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B0" w:rsidRPr="00673EB0" w:rsidRDefault="00673EB0" w:rsidP="00673EB0">
      <w:pPr>
        <w:spacing w:before="0" w:after="120"/>
        <w:jc w:val="center"/>
        <w:rPr>
          <w:rFonts w:eastAsia="Calibri" w:cs="Arial"/>
          <w:b/>
          <w:color w:val="4F2D7F"/>
          <w:sz w:val="32"/>
          <w:szCs w:val="52"/>
        </w:rPr>
      </w:pPr>
      <w:r w:rsidRPr="00673EB0">
        <w:rPr>
          <w:rFonts w:eastAsia="Calibri" w:cs="Arial"/>
          <w:b/>
          <w:color w:val="4F2D7F"/>
          <w:sz w:val="32"/>
          <w:szCs w:val="52"/>
        </w:rPr>
        <w:t>ACCC Dairy Inquiry</w:t>
      </w:r>
    </w:p>
    <w:p w:rsidR="00673EB0" w:rsidRPr="00673EB0" w:rsidRDefault="00673EB0" w:rsidP="00673EB0">
      <w:pPr>
        <w:spacing w:before="0" w:after="120"/>
        <w:jc w:val="center"/>
        <w:rPr>
          <w:rFonts w:eastAsia="Calibri" w:cs="Arial"/>
          <w:color w:val="4F2D7F"/>
          <w:sz w:val="24"/>
          <w:szCs w:val="24"/>
        </w:rPr>
      </w:pPr>
      <w:r w:rsidRPr="00673EB0">
        <w:rPr>
          <w:rFonts w:eastAsia="Calibri" w:cs="Arial"/>
          <w:color w:val="4F2D7F"/>
          <w:sz w:val="24"/>
          <w:szCs w:val="24"/>
        </w:rPr>
        <w:t xml:space="preserve">Farmer consultation forum - </w:t>
      </w:r>
      <w:r w:rsidR="003D0F6C">
        <w:rPr>
          <w:rFonts w:eastAsia="Calibri" w:cs="Arial"/>
          <w:color w:val="4F2D7F"/>
          <w:sz w:val="24"/>
          <w:szCs w:val="24"/>
        </w:rPr>
        <w:t>Warrnambool</w:t>
      </w:r>
    </w:p>
    <w:p w:rsidR="00673EB0" w:rsidRPr="00673EB0" w:rsidRDefault="003D0F6C" w:rsidP="00673EB0">
      <w:pPr>
        <w:spacing w:before="0" w:after="200" w:line="276" w:lineRule="auto"/>
        <w:jc w:val="center"/>
        <w:rPr>
          <w:rFonts w:ascii="Calibri" w:eastAsia="Calibri" w:hAnsi="Calibri" w:cs="Arial"/>
          <w:color w:val="4F2D7F"/>
          <w:sz w:val="24"/>
          <w:szCs w:val="24"/>
        </w:rPr>
      </w:pPr>
      <w:r>
        <w:rPr>
          <w:rFonts w:ascii="Calibri" w:eastAsia="Calibri" w:hAnsi="Calibri" w:cs="Arial"/>
          <w:color w:val="4F2D7F"/>
          <w:sz w:val="24"/>
          <w:szCs w:val="24"/>
        </w:rPr>
        <w:t>Monday 27</w:t>
      </w:r>
      <w:r w:rsidR="00673EB0" w:rsidRPr="00673EB0">
        <w:rPr>
          <w:rFonts w:ascii="Calibri" w:eastAsia="Calibri" w:hAnsi="Calibri" w:cs="Arial"/>
          <w:color w:val="4F2D7F"/>
          <w:sz w:val="24"/>
          <w:szCs w:val="24"/>
        </w:rPr>
        <w:t xml:space="preserve"> February 2017, </w:t>
      </w:r>
      <w:r>
        <w:rPr>
          <w:rFonts w:ascii="Calibri" w:eastAsia="Calibri" w:hAnsi="Calibri" w:cs="Arial"/>
          <w:color w:val="4F2D7F"/>
          <w:sz w:val="24"/>
          <w:szCs w:val="24"/>
        </w:rPr>
        <w:t>11:30 am – 2 pm</w:t>
      </w:r>
    </w:p>
    <w:tbl>
      <w:tblPr>
        <w:tblpPr w:leftFromText="180" w:rightFromText="180" w:vertAnchor="text" w:horzAnchor="margin" w:tblpX="-176" w:tblpY="212"/>
        <w:tblW w:w="965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577"/>
        <w:gridCol w:w="7081"/>
      </w:tblGrid>
      <w:tr w:rsidR="00673EB0" w:rsidRPr="00673EB0" w:rsidTr="00673EB0">
        <w:trPr>
          <w:trHeight w:val="607"/>
        </w:trPr>
        <w:tc>
          <w:tcPr>
            <w:tcW w:w="2577" w:type="dxa"/>
            <w:tcBorders>
              <w:top w:val="single" w:sz="4" w:space="0" w:color="D5D6D2" w:themeColor="background2"/>
              <w:left w:val="nil"/>
              <w:bottom w:val="single" w:sz="4" w:space="0" w:color="D5D6D2" w:themeColor="background2"/>
              <w:right w:val="nil"/>
            </w:tcBorders>
            <w:shd w:val="clear" w:color="auto" w:fill="FFFFFF"/>
          </w:tcPr>
          <w:p w:rsidR="00673EB0" w:rsidRPr="00673EB0" w:rsidRDefault="00673EB0" w:rsidP="00673EB0">
            <w:pPr>
              <w:spacing w:before="120" w:after="60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673EB0">
              <w:rPr>
                <w:rFonts w:eastAsia="Calibri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7081" w:type="dxa"/>
            <w:tcBorders>
              <w:top w:val="single" w:sz="4" w:space="0" w:color="D5D6D2" w:themeColor="background2"/>
              <w:left w:val="nil"/>
              <w:bottom w:val="single" w:sz="4" w:space="0" w:color="D5D6D2" w:themeColor="background2"/>
            </w:tcBorders>
            <w:shd w:val="clear" w:color="auto" w:fill="FFFFFF"/>
          </w:tcPr>
          <w:p w:rsidR="00B82919" w:rsidRDefault="003D0F6C" w:rsidP="00B82919">
            <w:pPr>
              <w:spacing w:before="120" w:after="60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Warrnambool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Golf Club</w:t>
            </w:r>
          </w:p>
          <w:p w:rsidR="00673EB0" w:rsidRPr="00673EB0" w:rsidRDefault="003D0F6C" w:rsidP="00B82919">
            <w:pPr>
              <w:spacing w:before="120" w:after="6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Younger Street,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Warrnambool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>, Victoria</w:t>
            </w:r>
          </w:p>
        </w:tc>
      </w:tr>
      <w:tr w:rsidR="00673EB0" w:rsidRPr="00673EB0" w:rsidTr="00673EB0">
        <w:trPr>
          <w:trHeight w:val="334"/>
        </w:trPr>
        <w:tc>
          <w:tcPr>
            <w:tcW w:w="2577" w:type="dxa"/>
            <w:tcBorders>
              <w:top w:val="single" w:sz="4" w:space="0" w:color="D5D6D2" w:themeColor="background2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</w:tcPr>
          <w:p w:rsidR="00673EB0" w:rsidRPr="00673EB0" w:rsidRDefault="00673EB0" w:rsidP="00673EB0">
            <w:pPr>
              <w:spacing w:before="120" w:after="60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673EB0">
              <w:rPr>
                <w:rFonts w:eastAsia="Calibri" w:cs="Arial"/>
                <w:b/>
                <w:bCs/>
                <w:sz w:val="20"/>
                <w:szCs w:val="20"/>
              </w:rPr>
              <w:t>ACCC Chair</w:t>
            </w:r>
          </w:p>
        </w:tc>
        <w:tc>
          <w:tcPr>
            <w:tcW w:w="7081" w:type="dxa"/>
            <w:tcBorders>
              <w:top w:val="single" w:sz="4" w:space="0" w:color="D5D6D2" w:themeColor="background2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</w:tcPr>
          <w:p w:rsidR="00673EB0" w:rsidRPr="00673EB0" w:rsidRDefault="003D0F6C" w:rsidP="003D0F6C">
            <w:pPr>
              <w:spacing w:before="120" w:after="6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ACCC Chairman Rod Sims and ACCC Commissioner</w:t>
            </w:r>
            <w:r w:rsidR="00673EB0" w:rsidRPr="00673EB0">
              <w:rPr>
                <w:rFonts w:eastAsia="Calibri" w:cs="Arial"/>
                <w:sz w:val="20"/>
                <w:szCs w:val="20"/>
                <w:lang w:val="en-US"/>
              </w:rPr>
              <w:t xml:space="preserve"> Mr. Mick Keogh</w:t>
            </w:r>
          </w:p>
        </w:tc>
      </w:tr>
    </w:tbl>
    <w:p w:rsidR="00673EB0" w:rsidRPr="00673EB0" w:rsidRDefault="00673EB0" w:rsidP="00673EB0">
      <w:pPr>
        <w:spacing w:before="0" w:after="120"/>
        <w:jc w:val="center"/>
        <w:rPr>
          <w:rFonts w:eastAsia="Calibri" w:cs="Arial"/>
          <w:b/>
          <w:color w:val="4F2D7F"/>
          <w:sz w:val="28"/>
          <w:szCs w:val="28"/>
        </w:rPr>
      </w:pPr>
      <w:r>
        <w:rPr>
          <w:rFonts w:ascii="Lucida Fax" w:eastAsia="Calibri" w:hAnsi="Lucida Fax" w:cs="Times New Roman"/>
          <w:color w:val="4F2D7F"/>
          <w:sz w:val="32"/>
          <w:szCs w:val="52"/>
        </w:rPr>
        <w:br/>
      </w:r>
      <w:r w:rsidRPr="00673EB0">
        <w:rPr>
          <w:rFonts w:eastAsia="Calibri" w:cs="Arial"/>
          <w:b/>
          <w:color w:val="4F2D7F"/>
          <w:sz w:val="28"/>
          <w:szCs w:val="28"/>
        </w:rPr>
        <w:t>Agenda</w:t>
      </w:r>
    </w:p>
    <w:tbl>
      <w:tblPr>
        <w:tblStyle w:val="LightShading3"/>
        <w:tblW w:w="9640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1560"/>
        <w:gridCol w:w="8080"/>
      </w:tblGrid>
      <w:tr w:rsidR="00673EB0" w:rsidRPr="00673EB0" w:rsidTr="002C5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73EB0" w:rsidRPr="00673EB0" w:rsidRDefault="00673EB0" w:rsidP="00673EB0">
            <w:pPr>
              <w:spacing w:before="0" w:after="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3EB0">
              <w:rPr>
                <w:rFonts w:ascii="Calibri" w:eastAsia="Calibri" w:hAnsi="Calibri" w:cs="Times New Roman"/>
                <w:sz w:val="24"/>
                <w:szCs w:val="24"/>
              </w:rPr>
              <w:t>Time</w:t>
            </w:r>
          </w:p>
        </w:tc>
        <w:tc>
          <w:tcPr>
            <w:tcW w:w="8080" w:type="dxa"/>
          </w:tcPr>
          <w:p w:rsidR="00673EB0" w:rsidRPr="00673EB0" w:rsidRDefault="00673EB0" w:rsidP="00673EB0">
            <w:pPr>
              <w:spacing w:before="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673EB0">
              <w:rPr>
                <w:rFonts w:ascii="Calibri" w:eastAsia="Calibri" w:hAnsi="Calibri" w:cs="Arial"/>
                <w:color w:val="000000"/>
                <w:sz w:val="24"/>
                <w:szCs w:val="24"/>
              </w:rPr>
              <w:t>Session</w:t>
            </w:r>
          </w:p>
        </w:tc>
      </w:tr>
      <w:tr w:rsidR="00673EB0" w:rsidRPr="00673EB0" w:rsidTr="002C50B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73EB0" w:rsidRPr="00673EB0" w:rsidRDefault="00F367AC" w:rsidP="00B82919">
            <w:pPr>
              <w:spacing w:before="0" w:after="200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</w:rPr>
              <w:t>11.30 am</w:t>
            </w:r>
          </w:p>
        </w:tc>
        <w:tc>
          <w:tcPr>
            <w:tcW w:w="8080" w:type="dxa"/>
          </w:tcPr>
          <w:p w:rsidR="00673EB0" w:rsidRPr="00673EB0" w:rsidRDefault="00673EB0" w:rsidP="00673EB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color w:val="000000"/>
                <w:sz w:val="22"/>
              </w:rPr>
            </w:pPr>
            <w:r w:rsidRPr="00673EB0">
              <w:rPr>
                <w:rFonts w:ascii="Calibri" w:eastAsia="Calibri" w:hAnsi="Calibri" w:cs="Arial"/>
                <w:b/>
                <w:color w:val="000000"/>
                <w:sz w:val="22"/>
              </w:rPr>
              <w:t xml:space="preserve">Introduction and welcome </w:t>
            </w:r>
          </w:p>
          <w:p w:rsidR="00673EB0" w:rsidRPr="00673EB0" w:rsidRDefault="003D0F6C" w:rsidP="00673EB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color w:val="000000"/>
                <w:sz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</w:rPr>
              <w:t xml:space="preserve">Mr Rod Sims &amp; </w:t>
            </w:r>
            <w:r w:rsidR="00673EB0" w:rsidRPr="00673EB0">
              <w:rPr>
                <w:rFonts w:ascii="Calibri" w:eastAsia="Calibri" w:hAnsi="Calibri" w:cs="Arial"/>
                <w:color w:val="000000"/>
                <w:sz w:val="22"/>
              </w:rPr>
              <w:t>Mr. Mick Keogh</w:t>
            </w:r>
          </w:p>
        </w:tc>
      </w:tr>
      <w:tr w:rsidR="00673EB0" w:rsidRPr="00673EB0" w:rsidTr="002C50B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73EB0" w:rsidRPr="00673EB0" w:rsidRDefault="00F367AC" w:rsidP="00B82919">
            <w:pPr>
              <w:spacing w:before="0" w:after="200"/>
              <w:rPr>
                <w:rFonts w:ascii="Calibri" w:eastAsia="Calibri" w:hAnsi="Calibri" w:cs="Arial"/>
                <w:color w:val="000000"/>
                <w:sz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</w:rPr>
              <w:t>11.40 am</w:t>
            </w:r>
          </w:p>
        </w:tc>
        <w:tc>
          <w:tcPr>
            <w:tcW w:w="8080" w:type="dxa"/>
          </w:tcPr>
          <w:p w:rsidR="00673EB0" w:rsidRPr="00673EB0" w:rsidRDefault="00673EB0" w:rsidP="00673EB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color w:val="000000"/>
                <w:sz w:val="22"/>
              </w:rPr>
            </w:pPr>
            <w:r w:rsidRPr="00673EB0">
              <w:rPr>
                <w:rFonts w:ascii="Calibri" w:eastAsia="Calibri" w:hAnsi="Calibri" w:cs="Arial"/>
                <w:b/>
                <w:color w:val="000000"/>
                <w:sz w:val="22"/>
              </w:rPr>
              <w:t xml:space="preserve">Open discussion </w:t>
            </w:r>
          </w:p>
          <w:p w:rsidR="00673EB0" w:rsidRPr="00673EB0" w:rsidRDefault="00673EB0" w:rsidP="00673EB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2"/>
              </w:rPr>
            </w:pPr>
            <w:r w:rsidRPr="00673EB0">
              <w:rPr>
                <w:rFonts w:ascii="Calibri" w:eastAsia="Calibri" w:hAnsi="Calibri" w:cs="Arial"/>
                <w:color w:val="000000"/>
                <w:sz w:val="22"/>
              </w:rPr>
              <w:t xml:space="preserve">ACCC Commissioners will lead a discussion about competition and fair trading issues in the industry. </w:t>
            </w:r>
          </w:p>
        </w:tc>
      </w:tr>
      <w:tr w:rsidR="00673EB0" w:rsidRPr="00673EB0" w:rsidTr="002C50B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73EB0" w:rsidRPr="00673EB0" w:rsidRDefault="00673EB0" w:rsidP="00673EB0">
            <w:pPr>
              <w:spacing w:before="0" w:after="200"/>
              <w:rPr>
                <w:rFonts w:ascii="Calibri" w:eastAsia="Calibri" w:hAnsi="Calibri" w:cs="Arial"/>
                <w:color w:val="000000"/>
                <w:sz w:val="22"/>
              </w:rPr>
            </w:pPr>
          </w:p>
        </w:tc>
        <w:tc>
          <w:tcPr>
            <w:tcW w:w="8080" w:type="dxa"/>
          </w:tcPr>
          <w:p w:rsidR="00673EB0" w:rsidRPr="00673EB0" w:rsidRDefault="00673EB0" w:rsidP="00673EB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r w:rsidRPr="00673EB0">
              <w:rPr>
                <w:rFonts w:ascii="Calibri" w:eastAsia="Calibri" w:hAnsi="Calibri" w:cs="Times New Roman"/>
                <w:sz w:val="22"/>
              </w:rPr>
              <w:t>We are interested in hearing your views on key issues being considered in the Dairy Inquiry. Commissioners will invite feedback on topics such as:</w:t>
            </w:r>
          </w:p>
          <w:p w:rsidR="00673EB0" w:rsidRPr="00673EB0" w:rsidRDefault="00673EB0" w:rsidP="00673EB0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r w:rsidRPr="00673EB0">
              <w:rPr>
                <w:rFonts w:ascii="Calibri" w:eastAsia="Calibri" w:hAnsi="Calibri" w:cs="Times New Roman"/>
                <w:sz w:val="22"/>
              </w:rPr>
              <w:t>Competition between milk processors</w:t>
            </w:r>
          </w:p>
          <w:p w:rsidR="00673EB0" w:rsidRPr="00673EB0" w:rsidRDefault="00673EB0" w:rsidP="00673EB0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r w:rsidRPr="00673EB0">
              <w:rPr>
                <w:rFonts w:ascii="Calibri" w:eastAsia="Calibri" w:hAnsi="Calibri" w:cs="Times New Roman"/>
                <w:sz w:val="22"/>
              </w:rPr>
              <w:t>Contracting and pricing practices</w:t>
            </w:r>
            <w:bookmarkStart w:id="0" w:name="_GoBack"/>
            <w:bookmarkEnd w:id="0"/>
          </w:p>
          <w:p w:rsidR="00673EB0" w:rsidRPr="00673EB0" w:rsidRDefault="00673EB0" w:rsidP="00673EB0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r w:rsidRPr="00673EB0">
              <w:rPr>
                <w:rFonts w:ascii="Calibri" w:eastAsia="Calibri" w:hAnsi="Calibri" w:cs="Times New Roman"/>
                <w:sz w:val="22"/>
              </w:rPr>
              <w:t>Retail pricing</w:t>
            </w:r>
          </w:p>
          <w:p w:rsidR="00673EB0" w:rsidRPr="00673EB0" w:rsidRDefault="00673EB0" w:rsidP="00673EB0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r w:rsidRPr="00673EB0">
              <w:rPr>
                <w:rFonts w:ascii="Calibri" w:eastAsia="Calibri" w:hAnsi="Calibri" w:cs="Times New Roman"/>
                <w:sz w:val="22"/>
              </w:rPr>
              <w:t>Transparency</w:t>
            </w:r>
          </w:p>
          <w:p w:rsidR="00673EB0" w:rsidRPr="00673EB0" w:rsidRDefault="00673EB0" w:rsidP="00673EB0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2"/>
              </w:rPr>
            </w:pPr>
            <w:r w:rsidRPr="00673EB0">
              <w:rPr>
                <w:rFonts w:ascii="Calibri" w:eastAsia="Calibri" w:hAnsi="Calibri" w:cs="Times New Roman"/>
                <w:sz w:val="22"/>
              </w:rPr>
              <w:t>Other areas of interest to the Inquiry</w:t>
            </w:r>
          </w:p>
        </w:tc>
      </w:tr>
      <w:tr w:rsidR="00673EB0" w:rsidRPr="00673EB0" w:rsidTr="002C50B9">
        <w:trPr>
          <w:trHeight w:val="359"/>
        </w:trPr>
        <w:tc>
          <w:tcPr>
            <w:tcW w:w="1560" w:type="dxa"/>
          </w:tcPr>
          <w:p w:rsidR="00673EB0" w:rsidRPr="00673EB0" w:rsidRDefault="00F367AC" w:rsidP="00B82919">
            <w:pPr>
              <w:spacing w:before="0" w:after="20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</w:rPr>
              <w:t>1.00 pm to 2.00 pm</w:t>
            </w:r>
            <w:r w:rsidR="00673EB0" w:rsidRPr="00673EB0">
              <w:rPr>
                <w:rFonts w:ascii="Calibri" w:eastAsia="Calibri" w:hAnsi="Calibri" w:cs="Arial"/>
                <w:color w:val="000000"/>
                <w:sz w:val="22"/>
              </w:rPr>
              <w:t xml:space="preserve"> </w:t>
            </w:r>
          </w:p>
        </w:tc>
        <w:tc>
          <w:tcPr>
            <w:tcW w:w="8080" w:type="dxa"/>
          </w:tcPr>
          <w:p w:rsidR="00673EB0" w:rsidRPr="00673EB0" w:rsidRDefault="00673EB0" w:rsidP="00673EB0">
            <w:pPr>
              <w:spacing w:before="0"/>
              <w:rPr>
                <w:rFonts w:ascii="Calibri" w:eastAsia="Calibri" w:hAnsi="Calibri" w:cs="Arial"/>
                <w:b/>
                <w:color w:val="000000"/>
                <w:sz w:val="22"/>
              </w:rPr>
            </w:pPr>
            <w:r w:rsidRPr="00673EB0">
              <w:rPr>
                <w:rFonts w:ascii="Calibri" w:eastAsia="Calibri" w:hAnsi="Calibri" w:cs="Arial"/>
                <w:b/>
                <w:color w:val="000000"/>
                <w:sz w:val="22"/>
              </w:rPr>
              <w:t xml:space="preserve">Close of </w:t>
            </w:r>
            <w:r w:rsidR="004D537B">
              <w:rPr>
                <w:rFonts w:ascii="Calibri" w:eastAsia="Calibri" w:hAnsi="Calibri" w:cs="Arial"/>
                <w:b/>
                <w:color w:val="000000"/>
                <w:sz w:val="22"/>
              </w:rPr>
              <w:t>discussion</w:t>
            </w:r>
            <w:r w:rsidR="001442A7">
              <w:rPr>
                <w:rFonts w:ascii="Calibri" w:eastAsia="Calibri" w:hAnsi="Calibri" w:cs="Arial"/>
                <w:b/>
                <w:color w:val="000000"/>
                <w:sz w:val="22"/>
              </w:rPr>
              <w:t xml:space="preserve"> and light refreshments</w:t>
            </w:r>
          </w:p>
          <w:p w:rsidR="001442A7" w:rsidRDefault="00673EB0" w:rsidP="001442A7">
            <w:pPr>
              <w:spacing w:before="0"/>
              <w:rPr>
                <w:rFonts w:ascii="Calibri" w:eastAsia="Calibri" w:hAnsi="Calibri" w:cs="Arial"/>
                <w:color w:val="000000"/>
                <w:sz w:val="22"/>
              </w:rPr>
            </w:pPr>
            <w:r w:rsidRPr="00673EB0">
              <w:rPr>
                <w:rFonts w:ascii="Calibri" w:eastAsia="Calibri" w:hAnsi="Calibri" w:cs="Arial"/>
                <w:color w:val="000000"/>
                <w:sz w:val="22"/>
              </w:rPr>
              <w:t xml:space="preserve">You are welcome to raise issues on an informal basis over </w:t>
            </w:r>
            <w:r w:rsidR="001442A7">
              <w:rPr>
                <w:rFonts w:ascii="Calibri" w:eastAsia="Calibri" w:hAnsi="Calibri" w:cs="Arial"/>
                <w:color w:val="000000"/>
                <w:sz w:val="22"/>
              </w:rPr>
              <w:t>light refreshments.</w:t>
            </w:r>
          </w:p>
          <w:p w:rsidR="00673EB0" w:rsidRPr="00673EB0" w:rsidRDefault="001442A7" w:rsidP="001442A7">
            <w:pPr>
              <w:spacing w:before="0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</w:rPr>
              <w:t>Coffee, tea and light refreshments will be provided.</w:t>
            </w:r>
            <w:r w:rsidR="00673EB0" w:rsidRPr="00673EB0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</w:tc>
      </w:tr>
    </w:tbl>
    <w:p w:rsidR="00673EB0" w:rsidRPr="00673EB0" w:rsidRDefault="00673EB0" w:rsidP="004D537B">
      <w:pPr>
        <w:spacing w:before="240"/>
        <w:rPr>
          <w:rFonts w:cs="Arial"/>
          <w:b/>
          <w:bCs/>
          <w:sz w:val="20"/>
          <w:szCs w:val="20"/>
        </w:rPr>
      </w:pPr>
      <w:r w:rsidRPr="00673EB0">
        <w:rPr>
          <w:rFonts w:cs="Arial"/>
          <w:b/>
          <w:bCs/>
          <w:sz w:val="20"/>
          <w:szCs w:val="20"/>
        </w:rPr>
        <w:t>Providing documents and written feedback to the ACCC</w:t>
      </w:r>
    </w:p>
    <w:p w:rsidR="00673EB0" w:rsidRPr="00673EB0" w:rsidRDefault="00673EB0" w:rsidP="004D537B">
      <w:pPr>
        <w:spacing w:before="100"/>
        <w:rPr>
          <w:rFonts w:cs="Arial"/>
          <w:sz w:val="18"/>
          <w:szCs w:val="18"/>
        </w:rPr>
      </w:pPr>
      <w:r w:rsidRPr="00673EB0">
        <w:rPr>
          <w:rFonts w:cs="Arial"/>
          <w:sz w:val="18"/>
          <w:szCs w:val="18"/>
        </w:rPr>
        <w:t xml:space="preserve">The ACCC welcomes any documents or written submissions that you would like to provide, either at today’s forum or afterwards. </w:t>
      </w:r>
    </w:p>
    <w:p w:rsidR="00673EB0" w:rsidRPr="00673EB0" w:rsidRDefault="00673EB0" w:rsidP="004D537B">
      <w:pPr>
        <w:spacing w:before="100"/>
        <w:rPr>
          <w:rFonts w:cs="Arial"/>
          <w:sz w:val="18"/>
          <w:szCs w:val="18"/>
        </w:rPr>
      </w:pPr>
      <w:r w:rsidRPr="00673EB0">
        <w:rPr>
          <w:rFonts w:cs="Arial"/>
          <w:sz w:val="18"/>
          <w:szCs w:val="18"/>
        </w:rPr>
        <w:t xml:space="preserve">Broadly speaking, the ACCC’s Dairy Inquiry is a public process and written feedback is posted on the ACCC website. </w:t>
      </w:r>
      <w:r w:rsidRPr="00673EB0">
        <w:rPr>
          <w:sz w:val="18"/>
          <w:szCs w:val="18"/>
        </w:rPr>
        <w:t>However, the ACCC can accept a claim of confidentiality if the disclosure of the information would damage your competitive position</w:t>
      </w:r>
      <w:proofErr w:type="gramStart"/>
      <w:r w:rsidRPr="00673EB0">
        <w:rPr>
          <w:sz w:val="18"/>
          <w:szCs w:val="18"/>
        </w:rPr>
        <w:t>..</w:t>
      </w:r>
      <w:proofErr w:type="gramEnd"/>
      <w:r w:rsidRPr="00673EB0">
        <w:rPr>
          <w:sz w:val="18"/>
          <w:szCs w:val="18"/>
        </w:rPr>
        <w:t xml:space="preserve"> If the ACCC is satisfied that the confidentiality claim is justified, it must keep that information confidential unless it considers that disclosure of the information is necessary in the public interest.</w:t>
      </w:r>
    </w:p>
    <w:p w:rsidR="00303C4A" w:rsidRPr="00673EB0" w:rsidRDefault="00673EB0" w:rsidP="004D537B">
      <w:pPr>
        <w:pStyle w:val="Numberedparagraph"/>
        <w:numPr>
          <w:ilvl w:val="0"/>
          <w:numId w:val="0"/>
        </w:numPr>
        <w:spacing w:before="100"/>
        <w:rPr>
          <w:color w:val="auto"/>
          <w:sz w:val="18"/>
          <w:szCs w:val="18"/>
        </w:rPr>
      </w:pPr>
      <w:r w:rsidRPr="00673EB0">
        <w:rPr>
          <w:color w:val="auto"/>
          <w:sz w:val="18"/>
          <w:szCs w:val="18"/>
        </w:rPr>
        <w:t xml:space="preserve">If you wish to discuss this process further, please do not hesitate to speak with one of the ACCC staff at today’s forum, or contact the ACCC at </w:t>
      </w:r>
      <w:hyperlink r:id="rId10" w:history="1">
        <w:r w:rsidRPr="00673EB0">
          <w:rPr>
            <w:rStyle w:val="Hyperlink"/>
            <w:rFonts w:eastAsiaTheme="majorEastAsia"/>
            <w:color w:val="auto"/>
            <w:sz w:val="18"/>
            <w:szCs w:val="18"/>
          </w:rPr>
          <w:t>dairyinquiry@accc.gov.au</w:t>
        </w:r>
      </w:hyperlink>
      <w:r w:rsidRPr="00673EB0">
        <w:rPr>
          <w:color w:val="auto"/>
          <w:sz w:val="18"/>
          <w:szCs w:val="18"/>
        </w:rPr>
        <w:t xml:space="preserve"> or on 02 6243 1280.</w:t>
      </w:r>
    </w:p>
    <w:sectPr w:rsidR="00303C4A" w:rsidRPr="00673EB0" w:rsidSect="00691616">
      <w:headerReference w:type="default" r:id="rId11"/>
      <w:footerReference w:type="first" r:id="rId1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B0" w:rsidRDefault="00673EB0" w:rsidP="004B4412">
      <w:pPr>
        <w:spacing w:before="0"/>
      </w:pPr>
      <w:r>
        <w:separator/>
      </w:r>
    </w:p>
  </w:endnote>
  <w:endnote w:type="continuationSeparator" w:id="0">
    <w:p w:rsidR="00673EB0" w:rsidRDefault="00673EB0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B0" w:rsidRDefault="00673EB0" w:rsidP="004B4412">
      <w:pPr>
        <w:spacing w:before="0"/>
      </w:pPr>
      <w:r>
        <w:separator/>
      </w:r>
    </w:p>
  </w:footnote>
  <w:footnote w:type="continuationSeparator" w:id="0">
    <w:p w:rsidR="00673EB0" w:rsidRDefault="00673EB0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B0" w:rsidRDefault="00673EB0">
    <w:pPr>
      <w:pStyle w:val="Header"/>
    </w:pPr>
    <w:r w:rsidRPr="00673EB0">
      <w:rPr>
        <w:rFonts w:ascii="Lucida Fax" w:eastAsia="Calibri" w:hAnsi="Lucida Fax" w:cs="Times New Roman"/>
        <w:noProof/>
        <w:color w:val="4F2D7F"/>
        <w:sz w:val="32"/>
        <w:szCs w:val="52"/>
        <w:lang w:eastAsia="en-AU"/>
      </w:rPr>
      <w:drawing>
        <wp:inline distT="0" distB="0" distL="0" distR="0" wp14:anchorId="1420DC77" wp14:editId="4BB68963">
          <wp:extent cx="2232561" cy="700644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054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0122C46"/>
    <w:multiLevelType w:val="hybridMultilevel"/>
    <w:tmpl w:val="67A20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5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6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2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3"/>
  </w:num>
  <w:num w:numId="16">
    <w:abstractNumId w:val="26"/>
  </w:num>
  <w:num w:numId="17">
    <w:abstractNumId w:val="25"/>
  </w:num>
  <w:num w:numId="18">
    <w:abstractNumId w:val="19"/>
  </w:num>
  <w:num w:numId="19">
    <w:abstractNumId w:val="13"/>
  </w:num>
  <w:num w:numId="20">
    <w:abstractNumId w:val="16"/>
  </w:num>
  <w:num w:numId="21">
    <w:abstractNumId w:val="24"/>
  </w:num>
  <w:num w:numId="22">
    <w:abstractNumId w:val="20"/>
  </w:num>
  <w:num w:numId="23">
    <w:abstractNumId w:val="8"/>
  </w:num>
  <w:num w:numId="24">
    <w:abstractNumId w:val="3"/>
  </w:num>
  <w:num w:numId="25">
    <w:abstractNumId w:val="18"/>
  </w:num>
  <w:num w:numId="26">
    <w:abstractNumId w:val="11"/>
  </w:num>
  <w:num w:numId="27">
    <w:abstractNumId w:val="21"/>
  </w:num>
  <w:num w:numId="28">
    <w:abstractNumId w:val="17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cdchnas-evs02\home$\eatki\dairy inquiry - forums - agenda - shepparton (D2017-00017152).docx"/>
  </w:docVars>
  <w:rsids>
    <w:rsidRoot w:val="00673EB0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442A7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3D0F6C"/>
    <w:rsid w:val="00475DDE"/>
    <w:rsid w:val="00480B4B"/>
    <w:rsid w:val="00485DC4"/>
    <w:rsid w:val="004B4412"/>
    <w:rsid w:val="004C348C"/>
    <w:rsid w:val="004D537B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3EB0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2919"/>
    <w:rsid w:val="00B87C39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67AC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customStyle="1" w:styleId="LightShading3">
    <w:name w:val="Light Shading3"/>
    <w:basedOn w:val="TableNormal"/>
    <w:next w:val="LightShading"/>
    <w:uiPriority w:val="60"/>
    <w:rsid w:val="00673EB0"/>
    <w:pPr>
      <w:spacing w:before="120" w:after="120"/>
    </w:pPr>
    <w:rPr>
      <w:sz w:val="20"/>
    </w:rPr>
    <w:tblPr>
      <w:tblBorders>
        <w:top w:val="single" w:sz="4" w:space="0" w:color="EEECE1"/>
        <w:left w:val="single" w:sz="4" w:space="0" w:color="EEECE1"/>
        <w:bottom w:val="single" w:sz="4" w:space="0" w:color="EEECE1"/>
        <w:right w:val="single" w:sz="4" w:space="0" w:color="EEECE1"/>
        <w:insideH w:val="single" w:sz="4" w:space="0" w:color="EEECE1"/>
        <w:insideV w:val="single" w:sz="4" w:space="0" w:color="EEECE1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bCs/>
        <w:sz w:val="20"/>
      </w:rPr>
      <w:tblPr/>
      <w:tcPr>
        <w:tc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customStyle="1" w:styleId="LightShading3">
    <w:name w:val="Light Shading3"/>
    <w:basedOn w:val="TableNormal"/>
    <w:next w:val="LightShading"/>
    <w:uiPriority w:val="60"/>
    <w:rsid w:val="00673EB0"/>
    <w:pPr>
      <w:spacing w:before="120" w:after="120"/>
    </w:pPr>
    <w:rPr>
      <w:sz w:val="20"/>
    </w:rPr>
    <w:tblPr>
      <w:tblBorders>
        <w:top w:val="single" w:sz="4" w:space="0" w:color="EEECE1"/>
        <w:left w:val="single" w:sz="4" w:space="0" w:color="EEECE1"/>
        <w:bottom w:val="single" w:sz="4" w:space="0" w:color="EEECE1"/>
        <w:right w:val="single" w:sz="4" w:space="0" w:color="EEECE1"/>
        <w:insideH w:val="single" w:sz="4" w:space="0" w:color="EEECE1"/>
        <w:insideV w:val="single" w:sz="4" w:space="0" w:color="EEECE1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bCs/>
        <w:sz w:val="20"/>
      </w:rPr>
      <w:tblPr/>
      <w:tcPr>
        <w:tc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dairyinquiry@accc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0E64D7-AD59-48BF-A30F-507B203B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18372368</Template>
  <TotalTime>2</TotalTime>
  <Pages>1</Pages>
  <Words>288</Words>
  <Characters>1524</Characters>
  <Application>Microsoft Office Word</Application>
  <DocSecurity>0</DocSecurity>
  <Lines>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Atkins, Eleanor</dc:creator>
  <cp:keywords/>
  <dc:description/>
  <cp:lastModifiedBy>Atkins, Eleanor</cp:lastModifiedBy>
  <cp:revision>4</cp:revision>
  <dcterms:created xsi:type="dcterms:W3CDTF">2017-02-10T01:59:00Z</dcterms:created>
  <dcterms:modified xsi:type="dcterms:W3CDTF">2017-02-10T02:01:00Z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file">
    <vt:lpwstr>\\cdchnas-evs02\home$\eatki\dairy inquiry - forums - agenda - shepparton (D2017-00017152).docx</vt:lpwstr>
  </property>
</Properties>
</file>