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A" w:rsidRPr="005C63CE" w:rsidRDefault="00597E5A" w:rsidP="00597E5A">
      <w:pPr>
        <w:pStyle w:val="Heading1"/>
        <w:jc w:val="center"/>
        <w:rPr>
          <w:rFonts w:eastAsia="Calibri"/>
        </w:rPr>
      </w:pPr>
      <w:r w:rsidRPr="005C63CE">
        <w:rPr>
          <w:rFonts w:eastAsia="Calibri"/>
        </w:rPr>
        <w:t>Draft CAANZ Guidance</w:t>
      </w:r>
    </w:p>
    <w:p w:rsidR="00597E5A" w:rsidRPr="005C63CE" w:rsidRDefault="00597E5A" w:rsidP="00597E5A">
      <w:pPr>
        <w:pStyle w:val="Heading1"/>
        <w:spacing w:after="240"/>
        <w:jc w:val="center"/>
        <w:rPr>
          <w:rFonts w:eastAsia="Calibri"/>
        </w:rPr>
      </w:pPr>
      <w:r w:rsidRPr="005C63CE">
        <w:rPr>
          <w:rFonts w:eastAsia="Calibri"/>
        </w:rPr>
        <w:t>The application of the Australian Consumer Law to fundraising</w:t>
      </w:r>
    </w:p>
    <w:p w:rsidR="00597E5A" w:rsidRPr="00D86DB9"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 xml:space="preserve">Consumer Affairs Australia and New Zealand (CAANZ) released this guide following interest from the charities, not-for-profit and </w:t>
      </w:r>
      <w:r w:rsidRPr="00D86DB9">
        <w:rPr>
          <w:rFonts w:ascii="Calibri" w:eastAsia="Calibri" w:hAnsi="Calibri" w:cs="Times New Roman"/>
          <w:color w:val="000000"/>
          <w:sz w:val="24"/>
        </w:rPr>
        <w:t xml:space="preserve">fundraising </w:t>
      </w:r>
      <w:r>
        <w:rPr>
          <w:rFonts w:ascii="Calibri" w:eastAsia="Calibri" w:hAnsi="Calibri" w:cs="Times New Roman"/>
          <w:color w:val="000000"/>
          <w:sz w:val="24"/>
        </w:rPr>
        <w:t>sectors</w:t>
      </w:r>
      <w:r w:rsidRPr="00D86DB9">
        <w:rPr>
          <w:rFonts w:ascii="Calibri" w:eastAsia="Calibri" w:hAnsi="Calibri" w:cs="Times New Roman"/>
          <w:color w:val="000000"/>
          <w:sz w:val="24"/>
        </w:rPr>
        <w:t xml:space="preserve"> for </w:t>
      </w:r>
      <w:r>
        <w:rPr>
          <w:rFonts w:ascii="Calibri" w:eastAsia="Calibri" w:hAnsi="Calibri" w:cs="Times New Roman"/>
          <w:color w:val="000000"/>
          <w:sz w:val="24"/>
        </w:rPr>
        <w:t xml:space="preserve">more information about </w:t>
      </w:r>
      <w:r w:rsidRPr="00D86DB9">
        <w:rPr>
          <w:rFonts w:ascii="Calibri" w:eastAsia="Calibri" w:hAnsi="Calibri" w:cs="Times New Roman"/>
          <w:color w:val="000000"/>
          <w:sz w:val="24"/>
        </w:rPr>
        <w:t>when the A</w:t>
      </w:r>
      <w:r>
        <w:rPr>
          <w:rFonts w:ascii="Calibri" w:eastAsia="Calibri" w:hAnsi="Calibri" w:cs="Times New Roman"/>
          <w:color w:val="000000"/>
          <w:sz w:val="24"/>
        </w:rPr>
        <w:t xml:space="preserve">ustralian </w:t>
      </w:r>
      <w:r w:rsidRPr="00D86DB9">
        <w:rPr>
          <w:rFonts w:ascii="Calibri" w:eastAsia="Calibri" w:hAnsi="Calibri" w:cs="Times New Roman"/>
          <w:color w:val="000000"/>
          <w:sz w:val="24"/>
        </w:rPr>
        <w:t>C</w:t>
      </w:r>
      <w:r>
        <w:rPr>
          <w:rFonts w:ascii="Calibri" w:eastAsia="Calibri" w:hAnsi="Calibri" w:cs="Times New Roman"/>
          <w:color w:val="000000"/>
          <w:sz w:val="24"/>
        </w:rPr>
        <w:t xml:space="preserve">onsumer </w:t>
      </w:r>
      <w:r w:rsidRPr="00D86DB9">
        <w:rPr>
          <w:rFonts w:ascii="Calibri" w:eastAsia="Calibri" w:hAnsi="Calibri" w:cs="Times New Roman"/>
          <w:color w:val="000000"/>
          <w:sz w:val="24"/>
        </w:rPr>
        <w:t>L</w:t>
      </w:r>
      <w:r>
        <w:rPr>
          <w:rFonts w:ascii="Calibri" w:eastAsia="Calibri" w:hAnsi="Calibri" w:cs="Times New Roman"/>
          <w:color w:val="000000"/>
          <w:sz w:val="24"/>
        </w:rPr>
        <w:t xml:space="preserve">aw (ACL) applies to fundraising </w:t>
      </w:r>
      <w:r w:rsidRPr="00D86DB9">
        <w:rPr>
          <w:rFonts w:ascii="Calibri" w:eastAsia="Calibri" w:hAnsi="Calibri" w:cs="Times New Roman"/>
          <w:color w:val="000000"/>
          <w:sz w:val="24"/>
        </w:rPr>
        <w:t>activities.</w:t>
      </w:r>
    </w:p>
    <w:p w:rsidR="00597E5A" w:rsidRPr="00D86DB9" w:rsidRDefault="00597E5A" w:rsidP="00597E5A">
      <w:pPr>
        <w:keepNext/>
        <w:keepLines/>
        <w:spacing w:before="360" w:after="240"/>
        <w:outlineLvl w:val="0"/>
        <w:rPr>
          <w:rFonts w:ascii="Calibri" w:eastAsia="Times New Roman" w:hAnsi="Calibri" w:cs="Times New Roman"/>
          <w:b/>
          <w:bCs/>
          <w:smallCaps/>
          <w:color w:val="595959"/>
          <w:sz w:val="44"/>
          <w:szCs w:val="28"/>
        </w:rPr>
      </w:pPr>
      <w:r>
        <w:rPr>
          <w:rFonts w:ascii="Calibri" w:eastAsia="Times New Roman" w:hAnsi="Calibri" w:cs="Times New Roman"/>
          <w:b/>
          <w:bCs/>
          <w:smallCaps/>
          <w:color w:val="595959"/>
          <w:sz w:val="44"/>
          <w:szCs w:val="28"/>
        </w:rPr>
        <w:t>F</w:t>
      </w:r>
      <w:r w:rsidRPr="00D86DB9">
        <w:rPr>
          <w:rFonts w:ascii="Calibri" w:eastAsia="Times New Roman" w:hAnsi="Calibri" w:cs="Times New Roman"/>
          <w:b/>
          <w:bCs/>
          <w:smallCaps/>
          <w:color w:val="595959"/>
          <w:sz w:val="44"/>
          <w:szCs w:val="28"/>
        </w:rPr>
        <w:t>undraising and the ACL</w:t>
      </w:r>
    </w:p>
    <w:p w:rsidR="00597E5A" w:rsidRPr="00E41370" w:rsidRDefault="00597E5A" w:rsidP="00597E5A">
      <w:pPr>
        <w:shd w:val="clear" w:color="auto" w:fill="BCE292"/>
        <w:spacing w:before="0" w:after="240"/>
        <w:rPr>
          <w:rFonts w:ascii="Calibri" w:eastAsia="Calibri" w:hAnsi="Calibri" w:cs="Times New Roman"/>
          <w:b/>
          <w:smallCaps/>
          <w:color w:val="000000"/>
          <w:sz w:val="32"/>
          <w:szCs w:val="32"/>
        </w:rPr>
      </w:pPr>
      <w:r w:rsidRPr="00E41370">
        <w:rPr>
          <w:rFonts w:ascii="Calibri" w:eastAsia="Calibri" w:hAnsi="Calibri" w:cs="Times New Roman"/>
          <w:b/>
          <w:smallCaps/>
          <w:color w:val="000000"/>
          <w:sz w:val="32"/>
          <w:szCs w:val="32"/>
        </w:rPr>
        <w:t>Key Point</w:t>
      </w:r>
    </w:p>
    <w:p w:rsidR="00597E5A" w:rsidRPr="00E41370" w:rsidRDefault="00597E5A" w:rsidP="00597E5A">
      <w:pPr>
        <w:shd w:val="clear" w:color="auto" w:fill="BCE292"/>
        <w:spacing w:before="0" w:after="240"/>
        <w:rPr>
          <w:rFonts w:ascii="Calibri" w:eastAsia="Calibri" w:hAnsi="Calibri" w:cs="Times New Roman"/>
          <w:color w:val="000000"/>
          <w:sz w:val="28"/>
          <w:szCs w:val="28"/>
        </w:rPr>
      </w:pPr>
      <w:r w:rsidRPr="00E41370">
        <w:rPr>
          <w:rFonts w:ascii="Calibri" w:eastAsia="Calibri" w:hAnsi="Calibri" w:cs="Times New Roman"/>
          <w:color w:val="000000"/>
          <w:sz w:val="28"/>
          <w:szCs w:val="28"/>
        </w:rPr>
        <w:t>If you engage in fundraising activities you may have obligations under the ACL.</w:t>
      </w:r>
    </w:p>
    <w:p w:rsidR="00597E5A" w:rsidRPr="00D86DB9" w:rsidRDefault="00597E5A" w:rsidP="00597E5A">
      <w:pPr>
        <w:spacing w:before="0" w:after="240"/>
        <w:rPr>
          <w:rFonts w:ascii="Calibri" w:eastAsia="Calibri" w:hAnsi="Calibri" w:cs="Times New Roman"/>
          <w:color w:val="000000"/>
          <w:sz w:val="24"/>
        </w:rPr>
      </w:pPr>
      <w:r w:rsidRPr="00D86DB9">
        <w:rPr>
          <w:rFonts w:ascii="Calibri" w:eastAsia="Calibri" w:hAnsi="Calibri" w:cs="Times New Roman"/>
          <w:color w:val="000000"/>
          <w:sz w:val="24"/>
        </w:rPr>
        <w:t xml:space="preserve">The ACL is </w:t>
      </w:r>
      <w:r w:rsidR="00156819">
        <w:rPr>
          <w:rFonts w:ascii="Calibri" w:eastAsia="Calibri" w:hAnsi="Calibri" w:cs="Times New Roman"/>
          <w:color w:val="000000"/>
          <w:sz w:val="24"/>
        </w:rPr>
        <w:t>a single, national consumer protection law, which applies in the same way nationally and in each State and Territory</w:t>
      </w:r>
      <w:r w:rsidRPr="00D86DB9">
        <w:rPr>
          <w:rFonts w:ascii="Calibri" w:eastAsia="Calibri" w:hAnsi="Calibri" w:cs="Times New Roman"/>
          <w:color w:val="000000"/>
          <w:sz w:val="24"/>
        </w:rPr>
        <w:t xml:space="preserve">. </w:t>
      </w:r>
      <w:r w:rsidR="00934802">
        <w:rPr>
          <w:rFonts w:ascii="Calibri" w:eastAsia="Calibri" w:hAnsi="Calibri" w:cs="Times New Roman"/>
          <w:color w:val="000000"/>
          <w:sz w:val="24"/>
        </w:rPr>
        <w:t>The ACL</w:t>
      </w:r>
      <w:r w:rsidR="00934802" w:rsidRPr="00D86DB9">
        <w:rPr>
          <w:rFonts w:ascii="Calibri" w:eastAsia="Calibri" w:hAnsi="Calibri" w:cs="Times New Roman"/>
          <w:color w:val="000000"/>
          <w:sz w:val="24"/>
        </w:rPr>
        <w:t xml:space="preserve"> </w:t>
      </w:r>
      <w:r w:rsidRPr="00D86DB9">
        <w:rPr>
          <w:rFonts w:ascii="Calibri" w:eastAsia="Calibri" w:hAnsi="Calibri" w:cs="Times New Roman"/>
          <w:color w:val="000000"/>
          <w:sz w:val="24"/>
        </w:rPr>
        <w:t xml:space="preserve">sets out rules that must </w:t>
      </w:r>
      <w:r w:rsidR="001D16C0">
        <w:rPr>
          <w:rFonts w:ascii="Calibri" w:eastAsia="Calibri" w:hAnsi="Calibri" w:cs="Times New Roman"/>
          <w:color w:val="000000"/>
          <w:sz w:val="24"/>
        </w:rPr>
        <w:t xml:space="preserve">be followed </w:t>
      </w:r>
      <w:r w:rsidRPr="00D86DB9">
        <w:rPr>
          <w:rFonts w:ascii="Calibri" w:eastAsia="Calibri" w:hAnsi="Calibri" w:cs="Times New Roman"/>
          <w:color w:val="000000"/>
          <w:sz w:val="24"/>
        </w:rPr>
        <w:t xml:space="preserve">when dealing with </w:t>
      </w:r>
      <w:r>
        <w:rPr>
          <w:rFonts w:ascii="Calibri" w:eastAsia="Calibri" w:hAnsi="Calibri" w:cs="Times New Roman"/>
          <w:color w:val="000000"/>
          <w:sz w:val="24"/>
        </w:rPr>
        <w:t>consumers</w:t>
      </w:r>
      <w:r w:rsidRPr="00D86DB9">
        <w:rPr>
          <w:rFonts w:ascii="Calibri" w:eastAsia="Calibri" w:hAnsi="Calibri" w:cs="Times New Roman"/>
          <w:color w:val="000000"/>
          <w:sz w:val="24"/>
        </w:rPr>
        <w:t>.</w:t>
      </w:r>
    </w:p>
    <w:p w:rsidR="00597E5A" w:rsidRPr="00D86DB9" w:rsidRDefault="00597E5A" w:rsidP="00597E5A">
      <w:pPr>
        <w:spacing w:before="0" w:after="240"/>
        <w:rPr>
          <w:rFonts w:ascii="Calibri" w:eastAsia="Calibri" w:hAnsi="Calibri" w:cs="Times New Roman"/>
          <w:color w:val="000000"/>
          <w:sz w:val="24"/>
        </w:rPr>
      </w:pPr>
      <w:r w:rsidRPr="00D86DB9">
        <w:rPr>
          <w:rFonts w:ascii="Calibri" w:eastAsia="Calibri" w:hAnsi="Calibri" w:cs="Times New Roman"/>
          <w:color w:val="000000"/>
          <w:sz w:val="24"/>
        </w:rPr>
        <w:t xml:space="preserve">The ACL applies to </w:t>
      </w:r>
      <w:r>
        <w:rPr>
          <w:rFonts w:ascii="Calibri" w:eastAsia="Calibri" w:hAnsi="Calibri" w:cs="Times New Roman"/>
          <w:color w:val="000000"/>
          <w:sz w:val="24"/>
        </w:rPr>
        <w:t xml:space="preserve">certain </w:t>
      </w:r>
      <w:r w:rsidRPr="00D86DB9">
        <w:rPr>
          <w:rFonts w:ascii="Calibri" w:eastAsia="Calibri" w:hAnsi="Calibri" w:cs="Times New Roman"/>
          <w:color w:val="000000"/>
          <w:sz w:val="24"/>
        </w:rPr>
        <w:t>activities of charities, not-for-profit</w:t>
      </w:r>
      <w:r w:rsidR="0045361B">
        <w:rPr>
          <w:rFonts w:ascii="Calibri" w:eastAsia="Calibri" w:hAnsi="Calibri" w:cs="Times New Roman"/>
          <w:color w:val="000000"/>
          <w:sz w:val="24"/>
        </w:rPr>
        <w:t xml:space="preserve"> entities and fundraiser</w:t>
      </w:r>
      <w:r w:rsidR="000D1443">
        <w:rPr>
          <w:rFonts w:ascii="Calibri" w:eastAsia="Calibri" w:hAnsi="Calibri" w:cs="Times New Roman"/>
          <w:color w:val="000000"/>
          <w:sz w:val="24"/>
        </w:rPr>
        <w:t>s</w:t>
      </w:r>
      <w:r w:rsidRPr="00D86DB9">
        <w:rPr>
          <w:rFonts w:ascii="Calibri" w:eastAsia="Calibri" w:hAnsi="Calibri" w:cs="Times New Roman"/>
          <w:color w:val="000000"/>
          <w:sz w:val="24"/>
        </w:rPr>
        <w:t xml:space="preserve">. Whether </w:t>
      </w:r>
      <w:r>
        <w:rPr>
          <w:rFonts w:ascii="Calibri" w:eastAsia="Calibri" w:hAnsi="Calibri" w:cs="Times New Roman"/>
          <w:color w:val="000000"/>
          <w:sz w:val="24"/>
        </w:rPr>
        <w:t xml:space="preserve">the ACL applies to a particular </w:t>
      </w:r>
      <w:r w:rsidRPr="00D86DB9">
        <w:rPr>
          <w:rFonts w:ascii="Calibri" w:eastAsia="Calibri" w:hAnsi="Calibri" w:cs="Times New Roman"/>
          <w:color w:val="000000"/>
          <w:sz w:val="24"/>
        </w:rPr>
        <w:t xml:space="preserve">fundraising </w:t>
      </w:r>
      <w:r>
        <w:rPr>
          <w:rFonts w:ascii="Calibri" w:eastAsia="Calibri" w:hAnsi="Calibri" w:cs="Times New Roman"/>
          <w:color w:val="000000"/>
          <w:sz w:val="24"/>
        </w:rPr>
        <w:t xml:space="preserve">activity depends </w:t>
      </w:r>
      <w:r w:rsidRPr="00D86DB9">
        <w:rPr>
          <w:rFonts w:ascii="Calibri" w:eastAsia="Calibri" w:hAnsi="Calibri" w:cs="Times New Roman"/>
          <w:color w:val="000000"/>
          <w:sz w:val="24"/>
        </w:rPr>
        <w:t xml:space="preserve">on whether </w:t>
      </w:r>
      <w:r>
        <w:rPr>
          <w:rFonts w:ascii="Calibri" w:eastAsia="Calibri" w:hAnsi="Calibri" w:cs="Times New Roman"/>
          <w:color w:val="000000"/>
          <w:sz w:val="24"/>
        </w:rPr>
        <w:t>that</w:t>
      </w:r>
      <w:r w:rsidRPr="00D86DB9">
        <w:rPr>
          <w:rFonts w:ascii="Calibri" w:eastAsia="Calibri" w:hAnsi="Calibri" w:cs="Times New Roman"/>
          <w:color w:val="000000"/>
          <w:sz w:val="24"/>
        </w:rPr>
        <w:t xml:space="preserve"> </w:t>
      </w:r>
      <w:r>
        <w:rPr>
          <w:rFonts w:ascii="Calibri" w:eastAsia="Calibri" w:hAnsi="Calibri" w:cs="Times New Roman"/>
          <w:color w:val="000000"/>
          <w:sz w:val="24"/>
        </w:rPr>
        <w:t xml:space="preserve">activity </w:t>
      </w:r>
      <w:r w:rsidRPr="00D86DB9">
        <w:rPr>
          <w:rFonts w:ascii="Calibri" w:eastAsia="Calibri" w:hAnsi="Calibri" w:cs="Times New Roman"/>
          <w:color w:val="000000"/>
          <w:sz w:val="24"/>
        </w:rPr>
        <w:t xml:space="preserve">occurs in </w:t>
      </w:r>
      <w:r>
        <w:rPr>
          <w:rFonts w:ascii="Calibri" w:eastAsia="Calibri" w:hAnsi="Calibri" w:cs="Times New Roman"/>
          <w:color w:val="000000"/>
          <w:sz w:val="24"/>
        </w:rPr>
        <w:t>‘</w:t>
      </w:r>
      <w:r w:rsidRPr="00D86DB9">
        <w:rPr>
          <w:rFonts w:ascii="Calibri" w:eastAsia="Calibri" w:hAnsi="Calibri" w:cs="Times New Roman"/>
          <w:color w:val="000000"/>
          <w:sz w:val="24"/>
        </w:rPr>
        <w:t>trade or commerce</w:t>
      </w:r>
      <w:r>
        <w:rPr>
          <w:rFonts w:ascii="Calibri" w:eastAsia="Calibri" w:hAnsi="Calibri" w:cs="Times New Roman"/>
          <w:color w:val="000000"/>
          <w:sz w:val="24"/>
        </w:rPr>
        <w:t>’</w:t>
      </w:r>
      <w:r w:rsidRPr="00D86DB9">
        <w:rPr>
          <w:rFonts w:ascii="Calibri" w:eastAsia="Calibri" w:hAnsi="Calibri" w:cs="Times New Roman"/>
          <w:color w:val="000000"/>
          <w:sz w:val="24"/>
        </w:rPr>
        <w:t xml:space="preserve">. </w:t>
      </w:r>
      <w:r>
        <w:rPr>
          <w:rFonts w:ascii="Calibri" w:eastAsia="Calibri" w:hAnsi="Calibri" w:cs="Times New Roman"/>
          <w:color w:val="000000"/>
          <w:sz w:val="24"/>
        </w:rPr>
        <w:t>If it does, then you should expect the ACL to apply to that activity</w:t>
      </w:r>
      <w:r w:rsidRPr="00D86DB9">
        <w:rPr>
          <w:rFonts w:ascii="Calibri" w:eastAsia="Calibri" w:hAnsi="Calibri" w:cs="Times New Roman"/>
          <w:color w:val="000000"/>
          <w:sz w:val="24"/>
        </w:rPr>
        <w:t>.</w:t>
      </w:r>
    </w:p>
    <w:p w:rsidR="00597E5A" w:rsidRPr="00D86DB9"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Your fundraising activities are</w:t>
      </w:r>
      <w:r w:rsidR="00295540">
        <w:rPr>
          <w:rFonts w:ascii="Calibri" w:eastAsia="Calibri" w:hAnsi="Calibri" w:cs="Times New Roman"/>
          <w:color w:val="000000"/>
          <w:sz w:val="24"/>
        </w:rPr>
        <w:t xml:space="preserve"> also</w:t>
      </w:r>
      <w:r>
        <w:rPr>
          <w:rFonts w:ascii="Calibri" w:eastAsia="Calibri" w:hAnsi="Calibri" w:cs="Times New Roman"/>
          <w:color w:val="000000"/>
          <w:sz w:val="24"/>
        </w:rPr>
        <w:t xml:space="preserve"> likely to be captured by other State, T</w:t>
      </w:r>
      <w:r w:rsidRPr="00D4076F">
        <w:rPr>
          <w:rFonts w:ascii="Calibri" w:eastAsia="Calibri" w:hAnsi="Calibri" w:cs="Times New Roman"/>
          <w:color w:val="000000"/>
          <w:sz w:val="24"/>
        </w:rPr>
        <w:t xml:space="preserve">erritory and </w:t>
      </w:r>
      <w:r>
        <w:rPr>
          <w:rFonts w:ascii="Calibri" w:eastAsia="Calibri" w:hAnsi="Calibri" w:cs="Times New Roman"/>
          <w:color w:val="000000"/>
          <w:sz w:val="24"/>
        </w:rPr>
        <w:t>Commonwealth</w:t>
      </w:r>
      <w:r w:rsidRPr="00D4076F">
        <w:rPr>
          <w:rFonts w:ascii="Calibri" w:eastAsia="Calibri" w:hAnsi="Calibri" w:cs="Times New Roman"/>
          <w:color w:val="000000"/>
          <w:sz w:val="24"/>
        </w:rPr>
        <w:t xml:space="preserve"> </w:t>
      </w:r>
      <w:r>
        <w:rPr>
          <w:rFonts w:ascii="Calibri" w:eastAsia="Calibri" w:hAnsi="Calibri" w:cs="Times New Roman"/>
          <w:color w:val="000000"/>
          <w:sz w:val="24"/>
        </w:rPr>
        <w:t>laws that govern charities, not-for-profit entities</w:t>
      </w:r>
      <w:r w:rsidR="0045361B">
        <w:rPr>
          <w:rFonts w:ascii="Calibri" w:eastAsia="Calibri" w:hAnsi="Calibri" w:cs="Times New Roman"/>
          <w:color w:val="000000"/>
          <w:sz w:val="24"/>
        </w:rPr>
        <w:t xml:space="preserve"> and fundraisers</w:t>
      </w:r>
      <w:r>
        <w:rPr>
          <w:rFonts w:ascii="Calibri" w:eastAsia="Calibri" w:hAnsi="Calibri" w:cs="Times New Roman"/>
          <w:color w:val="000000"/>
          <w:sz w:val="24"/>
        </w:rPr>
        <w:t xml:space="preserve">. </w:t>
      </w:r>
      <w:r w:rsidRPr="00D00002">
        <w:rPr>
          <w:rFonts w:ascii="Calibri" w:eastAsia="Calibri" w:hAnsi="Calibri" w:cs="Times New Roman"/>
          <w:color w:val="000000"/>
          <w:sz w:val="24"/>
        </w:rPr>
        <w:t xml:space="preserve">These sector-specific laws and regulators </w:t>
      </w:r>
      <w:r w:rsidR="002B753D">
        <w:rPr>
          <w:rFonts w:ascii="Calibri" w:eastAsia="Calibri" w:hAnsi="Calibri" w:cs="Times New Roman"/>
          <w:color w:val="000000"/>
          <w:sz w:val="24"/>
        </w:rPr>
        <w:t xml:space="preserve">typically </w:t>
      </w:r>
      <w:r w:rsidRPr="00D00002">
        <w:rPr>
          <w:rFonts w:ascii="Calibri" w:eastAsia="Calibri" w:hAnsi="Calibri" w:cs="Times New Roman"/>
          <w:color w:val="000000"/>
          <w:sz w:val="24"/>
        </w:rPr>
        <w:t>deliver protections and obligations that are different to those in the ACL, which is a general law that applies across the economy</w:t>
      </w:r>
      <w:r>
        <w:rPr>
          <w:rFonts w:ascii="Calibri" w:eastAsia="Calibri" w:hAnsi="Calibri" w:cs="Times New Roman"/>
          <w:color w:val="000000"/>
          <w:sz w:val="24"/>
        </w:rPr>
        <w:t>.</w:t>
      </w:r>
    </w:p>
    <w:p w:rsidR="00597E5A" w:rsidRPr="00D86DB9" w:rsidRDefault="00597E5A" w:rsidP="00597E5A">
      <w:pPr>
        <w:keepNext/>
        <w:keepLines/>
        <w:spacing w:before="360" w:after="240"/>
        <w:outlineLvl w:val="0"/>
        <w:rPr>
          <w:rFonts w:ascii="Calibri" w:eastAsia="Times New Roman" w:hAnsi="Calibri" w:cs="Times New Roman"/>
          <w:b/>
          <w:bCs/>
          <w:smallCaps/>
          <w:color w:val="595959"/>
          <w:sz w:val="44"/>
          <w:szCs w:val="28"/>
        </w:rPr>
      </w:pPr>
      <w:r w:rsidRPr="00D86DB9">
        <w:rPr>
          <w:rFonts w:ascii="Calibri" w:eastAsia="Times New Roman" w:hAnsi="Calibri" w:cs="Times New Roman"/>
          <w:b/>
          <w:bCs/>
          <w:smallCaps/>
          <w:color w:val="595959"/>
          <w:sz w:val="44"/>
          <w:szCs w:val="28"/>
        </w:rPr>
        <w:lastRenderedPageBreak/>
        <w:t>The application of the ACL</w:t>
      </w:r>
    </w:p>
    <w:tbl>
      <w:tblPr>
        <w:tblStyle w:val="ACCCTable1"/>
        <w:tblW w:w="0" w:type="auto"/>
        <w:tblInd w:w="108" w:type="dxa"/>
        <w:shd w:val="clear" w:color="auto" w:fill="F2F2F2" w:themeFill="background1" w:themeFillShade="F2"/>
        <w:tblLook w:val="04A0" w:firstRow="1" w:lastRow="0" w:firstColumn="1" w:lastColumn="0" w:noHBand="0" w:noVBand="1"/>
      </w:tblPr>
      <w:tblGrid>
        <w:gridCol w:w="9066"/>
      </w:tblGrid>
      <w:tr w:rsidR="00597E5A" w:rsidRPr="00D86DB9" w:rsidTr="00A6591F">
        <w:tc>
          <w:tcPr>
            <w:tcW w:w="9134" w:type="dxa"/>
            <w:tcBorders>
              <w:top w:val="nil"/>
              <w:left w:val="nil"/>
              <w:bottom w:val="nil"/>
              <w:right w:val="nil"/>
            </w:tcBorders>
            <w:shd w:val="clear" w:color="auto" w:fill="BCE292"/>
          </w:tcPr>
          <w:p w:rsidR="00597E5A" w:rsidRPr="00E41370" w:rsidRDefault="00597E5A" w:rsidP="00A6591F">
            <w:pPr>
              <w:keepNext/>
              <w:spacing w:after="240"/>
              <w:rPr>
                <w:rFonts w:ascii="Calibri" w:eastAsia="Calibri" w:hAnsi="Calibri" w:cs="Times New Roman"/>
                <w:b/>
                <w:smallCaps/>
                <w:color w:val="000000"/>
                <w:sz w:val="32"/>
                <w:szCs w:val="32"/>
              </w:rPr>
            </w:pPr>
            <w:r w:rsidRPr="00E41370">
              <w:rPr>
                <w:rFonts w:ascii="Calibri" w:eastAsia="Calibri" w:hAnsi="Calibri" w:cs="Times New Roman"/>
                <w:b/>
                <w:smallCaps/>
                <w:color w:val="000000"/>
                <w:sz w:val="32"/>
                <w:szCs w:val="32"/>
              </w:rPr>
              <w:t xml:space="preserve">Key </w:t>
            </w:r>
            <w:r>
              <w:rPr>
                <w:rFonts w:ascii="Calibri" w:eastAsia="Calibri" w:hAnsi="Calibri" w:cs="Times New Roman"/>
                <w:b/>
                <w:smallCaps/>
                <w:color w:val="000000"/>
                <w:sz w:val="32"/>
                <w:szCs w:val="32"/>
              </w:rPr>
              <w:t>P</w:t>
            </w:r>
            <w:r w:rsidRPr="00E41370">
              <w:rPr>
                <w:rFonts w:ascii="Calibri" w:eastAsia="Calibri" w:hAnsi="Calibri" w:cs="Times New Roman"/>
                <w:b/>
                <w:smallCaps/>
                <w:color w:val="000000"/>
                <w:sz w:val="32"/>
                <w:szCs w:val="32"/>
              </w:rPr>
              <w:t>oints</w:t>
            </w:r>
          </w:p>
          <w:p w:rsidR="00597E5A" w:rsidRPr="00E41370" w:rsidRDefault="00597E5A" w:rsidP="00A6591F">
            <w:pPr>
              <w:keepNext/>
              <w:spacing w:after="240"/>
              <w:rPr>
                <w:rFonts w:ascii="Calibri" w:eastAsia="Calibri" w:hAnsi="Calibri" w:cs="Times New Roman"/>
                <w:color w:val="000000"/>
                <w:sz w:val="28"/>
                <w:szCs w:val="28"/>
              </w:rPr>
            </w:pPr>
            <w:r w:rsidRPr="00E41370">
              <w:rPr>
                <w:rFonts w:ascii="Calibri" w:eastAsia="Calibri" w:hAnsi="Calibri" w:cs="Times New Roman"/>
                <w:color w:val="000000"/>
                <w:sz w:val="28"/>
                <w:szCs w:val="28"/>
              </w:rPr>
              <w:t>Generally, if you:</w:t>
            </w:r>
          </w:p>
          <w:p w:rsidR="00597E5A" w:rsidRPr="00E41370" w:rsidRDefault="00597E5A" w:rsidP="00A6591F">
            <w:pPr>
              <w:keepNext/>
              <w:numPr>
                <w:ilvl w:val="0"/>
                <w:numId w:val="31"/>
              </w:numPr>
              <w:tabs>
                <w:tab w:val="left" w:pos="459"/>
              </w:tabs>
              <w:spacing w:before="120" w:after="240"/>
              <w:ind w:left="459" w:hanging="425"/>
              <w:rPr>
                <w:rFonts w:ascii="Calibri" w:eastAsia="Calibri" w:hAnsi="Calibri" w:cs="Times New Roman"/>
                <w:color w:val="000000"/>
                <w:sz w:val="28"/>
                <w:szCs w:val="28"/>
              </w:rPr>
            </w:pPr>
            <w:r w:rsidRPr="00E41370">
              <w:rPr>
                <w:rFonts w:ascii="Calibri" w:eastAsia="Calibri" w:hAnsi="Calibri" w:cs="Times New Roman"/>
                <w:color w:val="000000"/>
                <w:sz w:val="28"/>
                <w:szCs w:val="28"/>
              </w:rPr>
              <w:t>engage in a fundraising activity involving a supply of goods or services</w:t>
            </w:r>
          </w:p>
          <w:p w:rsidR="00597E5A" w:rsidRPr="00E41370" w:rsidRDefault="00597E5A" w:rsidP="00A6591F">
            <w:pPr>
              <w:keepNext/>
              <w:numPr>
                <w:ilvl w:val="0"/>
                <w:numId w:val="31"/>
              </w:numPr>
              <w:tabs>
                <w:tab w:val="left" w:pos="459"/>
              </w:tabs>
              <w:spacing w:before="120" w:after="240"/>
              <w:ind w:left="459" w:hanging="425"/>
              <w:rPr>
                <w:rFonts w:ascii="Calibri" w:eastAsia="Calibri" w:hAnsi="Calibri" w:cs="Times New Roman"/>
                <w:color w:val="000000"/>
                <w:sz w:val="28"/>
                <w:szCs w:val="28"/>
              </w:rPr>
            </w:pPr>
            <w:r w:rsidRPr="00E41370">
              <w:rPr>
                <w:rFonts w:ascii="Calibri" w:eastAsia="Calibri" w:hAnsi="Calibri" w:cs="Times New Roman"/>
                <w:color w:val="000000"/>
                <w:sz w:val="28"/>
                <w:szCs w:val="28"/>
              </w:rPr>
              <w:t>are a for-profit professional fundraiser or</w:t>
            </w:r>
          </w:p>
          <w:p w:rsidR="00597E5A" w:rsidRPr="00E41370" w:rsidRDefault="00597E5A" w:rsidP="00A6591F">
            <w:pPr>
              <w:keepNext/>
              <w:numPr>
                <w:ilvl w:val="0"/>
                <w:numId w:val="31"/>
              </w:numPr>
              <w:tabs>
                <w:tab w:val="left" w:pos="459"/>
              </w:tabs>
              <w:spacing w:before="120" w:after="240"/>
              <w:ind w:left="459" w:hanging="425"/>
              <w:rPr>
                <w:rFonts w:ascii="Calibri" w:eastAsia="Calibri" w:hAnsi="Calibri" w:cs="Times New Roman"/>
                <w:color w:val="000000"/>
                <w:sz w:val="28"/>
                <w:szCs w:val="28"/>
              </w:rPr>
            </w:pPr>
            <w:r w:rsidRPr="00E41370">
              <w:rPr>
                <w:rFonts w:ascii="Calibri" w:eastAsia="Calibri" w:hAnsi="Calibri" w:cs="Times New Roman"/>
                <w:color w:val="000000"/>
                <w:sz w:val="28"/>
                <w:szCs w:val="28"/>
              </w:rPr>
              <w:t xml:space="preserve">are fundraising in an organised, </w:t>
            </w:r>
            <w:r w:rsidR="005F1366">
              <w:rPr>
                <w:rFonts w:ascii="Calibri" w:eastAsia="Calibri" w:hAnsi="Calibri" w:cs="Times New Roman"/>
                <w:color w:val="000000"/>
                <w:sz w:val="28"/>
                <w:szCs w:val="28"/>
              </w:rPr>
              <w:t xml:space="preserve">continuous and </w:t>
            </w:r>
            <w:r w:rsidRPr="00E41370">
              <w:rPr>
                <w:rFonts w:ascii="Calibri" w:eastAsia="Calibri" w:hAnsi="Calibri" w:cs="Times New Roman"/>
                <w:color w:val="000000"/>
                <w:sz w:val="28"/>
                <w:szCs w:val="28"/>
              </w:rPr>
              <w:t>repetitive way</w:t>
            </w:r>
            <w:bookmarkStart w:id="0" w:name="_GoBack"/>
            <w:bookmarkEnd w:id="0"/>
          </w:p>
          <w:p w:rsidR="00597E5A" w:rsidRPr="00D86DB9" w:rsidRDefault="00597E5A" w:rsidP="00A6591F">
            <w:pPr>
              <w:spacing w:after="240"/>
              <w:rPr>
                <w:rFonts w:ascii="Calibri" w:eastAsia="Calibri" w:hAnsi="Calibri" w:cs="Times New Roman"/>
                <w:color w:val="000000"/>
                <w:sz w:val="24"/>
              </w:rPr>
            </w:pPr>
            <w:proofErr w:type="gramStart"/>
            <w:r w:rsidRPr="00E41370">
              <w:rPr>
                <w:rFonts w:ascii="Calibri" w:eastAsia="Calibri" w:hAnsi="Calibri" w:cs="Times New Roman"/>
                <w:color w:val="000000"/>
                <w:sz w:val="28"/>
                <w:szCs w:val="28"/>
              </w:rPr>
              <w:t>then</w:t>
            </w:r>
            <w:proofErr w:type="gramEnd"/>
            <w:r w:rsidRPr="00E41370">
              <w:rPr>
                <w:rFonts w:ascii="Calibri" w:eastAsia="Calibri" w:hAnsi="Calibri" w:cs="Times New Roman"/>
                <w:color w:val="000000"/>
                <w:sz w:val="28"/>
                <w:szCs w:val="28"/>
              </w:rPr>
              <w:t xml:space="preserve"> your fundraising activity is likely to be in trade or commerce and you are likely to have certain obligations under the ACL.</w:t>
            </w:r>
          </w:p>
        </w:tc>
      </w:tr>
    </w:tbl>
    <w:p w:rsidR="00597E5A" w:rsidRDefault="00597E5A" w:rsidP="00597E5A">
      <w:pPr>
        <w:spacing w:before="240" w:after="240"/>
        <w:rPr>
          <w:rFonts w:ascii="Calibri" w:eastAsia="Calibri" w:hAnsi="Calibri" w:cs="Times New Roman"/>
          <w:color w:val="000000"/>
          <w:sz w:val="24"/>
        </w:rPr>
      </w:pPr>
      <w:r>
        <w:rPr>
          <w:rFonts w:ascii="Calibri" w:eastAsia="Calibri" w:hAnsi="Calibri" w:cs="Times New Roman"/>
          <w:color w:val="000000"/>
          <w:sz w:val="24"/>
        </w:rPr>
        <w:t>G</w:t>
      </w:r>
      <w:r w:rsidRPr="00D86DB9">
        <w:rPr>
          <w:rFonts w:ascii="Calibri" w:eastAsia="Calibri" w:hAnsi="Calibri" w:cs="Times New Roman"/>
          <w:color w:val="000000"/>
          <w:sz w:val="24"/>
        </w:rPr>
        <w:t>enerally</w:t>
      </w:r>
      <w:r>
        <w:rPr>
          <w:rFonts w:ascii="Calibri" w:eastAsia="Calibri" w:hAnsi="Calibri" w:cs="Times New Roman"/>
          <w:color w:val="000000"/>
          <w:sz w:val="24"/>
        </w:rPr>
        <w:t>, t</w:t>
      </w:r>
      <w:r w:rsidRPr="00D86DB9">
        <w:rPr>
          <w:rFonts w:ascii="Calibri" w:eastAsia="Calibri" w:hAnsi="Calibri" w:cs="Times New Roman"/>
          <w:color w:val="000000"/>
          <w:sz w:val="24"/>
        </w:rPr>
        <w:t xml:space="preserve">he ACL </w:t>
      </w:r>
      <w:r>
        <w:rPr>
          <w:rFonts w:ascii="Calibri" w:eastAsia="Calibri" w:hAnsi="Calibri" w:cs="Times New Roman"/>
          <w:color w:val="000000"/>
          <w:sz w:val="24"/>
        </w:rPr>
        <w:t xml:space="preserve">only applies to activities that are </w:t>
      </w:r>
      <w:r w:rsidRPr="00D86DB9">
        <w:rPr>
          <w:rFonts w:ascii="Calibri" w:eastAsia="Calibri" w:hAnsi="Calibri" w:cs="Times New Roman"/>
          <w:color w:val="000000"/>
          <w:sz w:val="24"/>
        </w:rPr>
        <w:t xml:space="preserve">in </w:t>
      </w:r>
      <w:r w:rsidRPr="006C588D">
        <w:rPr>
          <w:rFonts w:ascii="Calibri" w:eastAsia="Calibri" w:hAnsi="Calibri" w:cs="Times New Roman"/>
          <w:b/>
          <w:color w:val="000000"/>
          <w:sz w:val="24"/>
        </w:rPr>
        <w:t>trade or commerce</w:t>
      </w:r>
      <w:r w:rsidR="00F16722">
        <w:rPr>
          <w:rFonts w:ascii="Calibri" w:eastAsia="Calibri" w:hAnsi="Calibri" w:cs="Times New Roman"/>
          <w:color w:val="000000"/>
          <w:sz w:val="24"/>
        </w:rPr>
        <w:t xml:space="preserve">, including </w:t>
      </w:r>
      <w:r w:rsidR="002E6BAB">
        <w:rPr>
          <w:rFonts w:ascii="Calibri" w:eastAsia="Calibri" w:hAnsi="Calibri" w:cs="Times New Roman"/>
          <w:color w:val="000000"/>
          <w:sz w:val="24"/>
        </w:rPr>
        <w:t xml:space="preserve">business or professional activities, whether or not carried on for profit. </w:t>
      </w:r>
    </w:p>
    <w:p w:rsidR="00597E5A" w:rsidRDefault="00597E5A" w:rsidP="00597E5A">
      <w:pPr>
        <w:spacing w:before="240" w:after="240"/>
        <w:rPr>
          <w:rFonts w:ascii="Calibri" w:eastAsia="Calibri" w:hAnsi="Calibri" w:cs="Times New Roman"/>
          <w:color w:val="000000"/>
          <w:sz w:val="24"/>
        </w:rPr>
      </w:pPr>
      <w:r>
        <w:rPr>
          <w:rFonts w:ascii="Calibri" w:eastAsia="Calibri" w:hAnsi="Calibri" w:cs="Times New Roman"/>
          <w:color w:val="000000"/>
          <w:sz w:val="24"/>
        </w:rPr>
        <w:t xml:space="preserve">The trade or commerce threshold </w:t>
      </w:r>
      <w:r w:rsidRPr="00D86DB9">
        <w:rPr>
          <w:rFonts w:ascii="Calibri" w:eastAsia="Calibri" w:hAnsi="Calibri" w:cs="Times New Roman"/>
          <w:color w:val="000000"/>
          <w:sz w:val="24"/>
        </w:rPr>
        <w:t xml:space="preserve">is </w:t>
      </w:r>
      <w:r>
        <w:rPr>
          <w:rFonts w:ascii="Calibri" w:eastAsia="Calibri" w:hAnsi="Calibri" w:cs="Times New Roman"/>
          <w:color w:val="000000"/>
          <w:sz w:val="24"/>
        </w:rPr>
        <w:t xml:space="preserve">intended to separate </w:t>
      </w:r>
      <w:r w:rsidRPr="00D86DB9">
        <w:rPr>
          <w:rFonts w:ascii="Calibri" w:eastAsia="Calibri" w:hAnsi="Calibri" w:cs="Times New Roman"/>
          <w:color w:val="000000"/>
          <w:sz w:val="24"/>
        </w:rPr>
        <w:t>business activit</w:t>
      </w:r>
      <w:r>
        <w:rPr>
          <w:rFonts w:ascii="Calibri" w:eastAsia="Calibri" w:hAnsi="Calibri" w:cs="Times New Roman"/>
          <w:color w:val="000000"/>
          <w:sz w:val="24"/>
        </w:rPr>
        <w:t>ies</w:t>
      </w:r>
      <w:r w:rsidRPr="00D86DB9">
        <w:rPr>
          <w:rFonts w:ascii="Calibri" w:eastAsia="Calibri" w:hAnsi="Calibri" w:cs="Times New Roman"/>
          <w:color w:val="000000"/>
          <w:sz w:val="24"/>
        </w:rPr>
        <w:t xml:space="preserve"> </w:t>
      </w:r>
      <w:r>
        <w:rPr>
          <w:rFonts w:ascii="Calibri" w:eastAsia="Calibri" w:hAnsi="Calibri" w:cs="Times New Roman"/>
          <w:color w:val="000000"/>
          <w:sz w:val="24"/>
        </w:rPr>
        <w:t xml:space="preserve">from other activities and </w:t>
      </w:r>
      <w:r w:rsidR="000D1443">
        <w:rPr>
          <w:rFonts w:ascii="Calibri" w:eastAsia="Calibri" w:hAnsi="Calibri" w:cs="Times New Roman"/>
          <w:color w:val="000000"/>
          <w:sz w:val="24"/>
        </w:rPr>
        <w:t xml:space="preserve">only apply </w:t>
      </w:r>
      <w:r>
        <w:rPr>
          <w:rFonts w:ascii="Calibri" w:eastAsia="Calibri" w:hAnsi="Calibri" w:cs="Times New Roman"/>
          <w:color w:val="000000"/>
          <w:sz w:val="24"/>
        </w:rPr>
        <w:t xml:space="preserve">the ACL to the business activities. When considering whether your activities are in trade or commerce, you need to consider the </w:t>
      </w:r>
      <w:r>
        <w:rPr>
          <w:rFonts w:ascii="Calibri" w:eastAsia="Calibri" w:hAnsi="Calibri" w:cs="Times New Roman"/>
          <w:i/>
          <w:color w:val="000000"/>
          <w:sz w:val="24"/>
        </w:rPr>
        <w:t>characteristics</w:t>
      </w:r>
      <w:r w:rsidRPr="00CC024E">
        <w:rPr>
          <w:rFonts w:ascii="Calibri" w:eastAsia="Calibri" w:hAnsi="Calibri" w:cs="Times New Roman"/>
          <w:i/>
          <w:color w:val="000000"/>
          <w:sz w:val="24"/>
        </w:rPr>
        <w:t xml:space="preserve"> of </w:t>
      </w:r>
      <w:r>
        <w:rPr>
          <w:rFonts w:ascii="Calibri" w:eastAsia="Calibri" w:hAnsi="Calibri" w:cs="Times New Roman"/>
          <w:i/>
          <w:color w:val="000000"/>
          <w:sz w:val="24"/>
        </w:rPr>
        <w:t xml:space="preserve">the </w:t>
      </w:r>
      <w:r w:rsidRPr="00CC024E">
        <w:rPr>
          <w:rFonts w:ascii="Calibri" w:eastAsia="Calibri" w:hAnsi="Calibri" w:cs="Times New Roman"/>
          <w:i/>
          <w:color w:val="000000"/>
          <w:sz w:val="24"/>
        </w:rPr>
        <w:t>activity</w:t>
      </w:r>
      <w:r>
        <w:rPr>
          <w:rFonts w:ascii="Calibri" w:eastAsia="Calibri" w:hAnsi="Calibri" w:cs="Times New Roman"/>
          <w:color w:val="000000"/>
          <w:sz w:val="24"/>
        </w:rPr>
        <w:t>; not merely your organisational structure or whether your operation is for profit or not</w:t>
      </w:r>
      <w:r w:rsidRPr="00D86DB9">
        <w:rPr>
          <w:rFonts w:ascii="Calibri" w:eastAsia="Calibri" w:hAnsi="Calibri" w:cs="Times New Roman"/>
          <w:color w:val="000000"/>
          <w:sz w:val="24"/>
        </w:rPr>
        <w:t xml:space="preserve">. </w:t>
      </w:r>
      <w:r>
        <w:rPr>
          <w:rFonts w:ascii="Calibri" w:eastAsia="Calibri" w:hAnsi="Calibri" w:cs="Times New Roman"/>
          <w:color w:val="000000"/>
          <w:sz w:val="24"/>
        </w:rPr>
        <w:t xml:space="preserve">You </w:t>
      </w:r>
      <w:r w:rsidRPr="00D86DB9">
        <w:rPr>
          <w:rFonts w:ascii="Calibri" w:eastAsia="Calibri" w:hAnsi="Calibri" w:cs="Times New Roman"/>
          <w:color w:val="000000"/>
          <w:sz w:val="24"/>
        </w:rPr>
        <w:t xml:space="preserve">may be </w:t>
      </w:r>
      <w:r>
        <w:rPr>
          <w:rFonts w:ascii="Calibri" w:eastAsia="Calibri" w:hAnsi="Calibri" w:cs="Times New Roman"/>
          <w:color w:val="000000"/>
          <w:sz w:val="24"/>
        </w:rPr>
        <w:t xml:space="preserve">acting </w:t>
      </w:r>
      <w:r w:rsidRPr="00D86DB9">
        <w:rPr>
          <w:rFonts w:ascii="Calibri" w:eastAsia="Calibri" w:hAnsi="Calibri" w:cs="Times New Roman"/>
          <w:color w:val="000000"/>
          <w:sz w:val="24"/>
        </w:rPr>
        <w:t xml:space="preserve">in trade or commerce </w:t>
      </w:r>
      <w:r>
        <w:rPr>
          <w:rFonts w:ascii="Calibri" w:eastAsia="Calibri" w:hAnsi="Calibri" w:cs="Times New Roman"/>
          <w:color w:val="000000"/>
          <w:sz w:val="24"/>
        </w:rPr>
        <w:t xml:space="preserve">for </w:t>
      </w:r>
      <w:r w:rsidRPr="00D86DB9">
        <w:rPr>
          <w:rFonts w:ascii="Calibri" w:eastAsia="Calibri" w:hAnsi="Calibri" w:cs="Times New Roman"/>
          <w:color w:val="000000"/>
          <w:sz w:val="24"/>
        </w:rPr>
        <w:t xml:space="preserve">some of </w:t>
      </w:r>
      <w:r>
        <w:rPr>
          <w:rFonts w:ascii="Calibri" w:eastAsia="Calibri" w:hAnsi="Calibri" w:cs="Times New Roman"/>
          <w:color w:val="000000"/>
          <w:sz w:val="24"/>
        </w:rPr>
        <w:t>your activities but not others.</w:t>
      </w:r>
    </w:p>
    <w:p w:rsidR="00AA4F12" w:rsidRPr="00145871" w:rsidRDefault="00AA4F12" w:rsidP="00145871">
      <w:pPr>
        <w:rPr>
          <w:rFonts w:ascii="Calibri" w:hAnsi="Calibri"/>
          <w:color w:val="003591" w:themeColor="text2"/>
        </w:rPr>
      </w:pPr>
      <w:r w:rsidRPr="00145871">
        <w:rPr>
          <w:rFonts w:ascii="Calibri" w:hAnsi="Calibri"/>
          <w:color w:val="003591" w:themeColor="text2"/>
        </w:rPr>
        <w:t>SUPPLY OF GOODS OR SERVICES</w:t>
      </w:r>
    </w:p>
    <w:p w:rsidR="00597E5A" w:rsidRDefault="00597E5A" w:rsidP="00597E5A">
      <w:pPr>
        <w:spacing w:before="240" w:after="240"/>
        <w:rPr>
          <w:rFonts w:ascii="Calibri" w:eastAsia="Calibri" w:hAnsi="Calibri" w:cs="Times New Roman"/>
          <w:color w:val="000000"/>
          <w:sz w:val="24"/>
        </w:rPr>
      </w:pPr>
      <w:r>
        <w:rPr>
          <w:rFonts w:ascii="Calibri" w:eastAsia="Calibri" w:hAnsi="Calibri" w:cs="Times New Roman"/>
          <w:color w:val="000000"/>
          <w:sz w:val="24"/>
        </w:rPr>
        <w:t xml:space="preserve">If you are regularly supplying </w:t>
      </w:r>
      <w:r w:rsidRPr="00D86DB9">
        <w:rPr>
          <w:rFonts w:ascii="Calibri" w:eastAsia="Calibri" w:hAnsi="Calibri" w:cs="Times New Roman"/>
          <w:color w:val="000000"/>
          <w:sz w:val="24"/>
        </w:rPr>
        <w:t>good</w:t>
      </w:r>
      <w:r>
        <w:rPr>
          <w:rFonts w:ascii="Calibri" w:eastAsia="Calibri" w:hAnsi="Calibri" w:cs="Times New Roman"/>
          <w:color w:val="000000"/>
          <w:sz w:val="24"/>
        </w:rPr>
        <w:t>s</w:t>
      </w:r>
      <w:r w:rsidRPr="00D86DB9">
        <w:rPr>
          <w:rFonts w:ascii="Calibri" w:eastAsia="Calibri" w:hAnsi="Calibri" w:cs="Times New Roman"/>
          <w:color w:val="000000"/>
          <w:sz w:val="24"/>
        </w:rPr>
        <w:t xml:space="preserve"> or service</w:t>
      </w:r>
      <w:r>
        <w:rPr>
          <w:rFonts w:ascii="Calibri" w:eastAsia="Calibri" w:hAnsi="Calibri" w:cs="Times New Roman"/>
          <w:color w:val="000000"/>
          <w:sz w:val="24"/>
        </w:rPr>
        <w:t>s</w:t>
      </w:r>
      <w:r w:rsidRPr="00D86DB9">
        <w:rPr>
          <w:rFonts w:ascii="Calibri" w:eastAsia="Calibri" w:hAnsi="Calibri" w:cs="Times New Roman"/>
          <w:color w:val="000000"/>
          <w:sz w:val="24"/>
        </w:rPr>
        <w:t xml:space="preserve"> in return for payment or other consideration</w:t>
      </w:r>
      <w:r>
        <w:rPr>
          <w:rFonts w:ascii="Calibri" w:eastAsia="Calibri" w:hAnsi="Calibri" w:cs="Times New Roman"/>
          <w:color w:val="000000"/>
          <w:sz w:val="24"/>
        </w:rPr>
        <w:t xml:space="preserve">, </w:t>
      </w:r>
      <w:r w:rsidRPr="006C588D">
        <w:rPr>
          <w:rFonts w:ascii="Calibri" w:eastAsia="Calibri" w:hAnsi="Calibri" w:cs="Times New Roman"/>
          <w:b/>
          <w:color w:val="000000"/>
          <w:sz w:val="24"/>
        </w:rPr>
        <w:t>including a donation</w:t>
      </w:r>
      <w:r>
        <w:rPr>
          <w:rFonts w:ascii="Calibri" w:eastAsia="Calibri" w:hAnsi="Calibri" w:cs="Times New Roman"/>
          <w:color w:val="000000"/>
          <w:sz w:val="24"/>
        </w:rPr>
        <w:t>,</w:t>
      </w:r>
      <w:r w:rsidRPr="00D86DB9">
        <w:rPr>
          <w:rFonts w:ascii="Calibri" w:eastAsia="Calibri" w:hAnsi="Calibri" w:cs="Times New Roman"/>
          <w:color w:val="000000"/>
          <w:sz w:val="24"/>
        </w:rPr>
        <w:t xml:space="preserve"> </w:t>
      </w:r>
      <w:r>
        <w:rPr>
          <w:rFonts w:ascii="Calibri" w:eastAsia="Calibri" w:hAnsi="Calibri" w:cs="Times New Roman"/>
          <w:color w:val="000000"/>
          <w:sz w:val="24"/>
        </w:rPr>
        <w:t xml:space="preserve">then that </w:t>
      </w:r>
      <w:r w:rsidRPr="00D86DB9">
        <w:rPr>
          <w:rFonts w:ascii="Calibri" w:eastAsia="Calibri" w:hAnsi="Calibri" w:cs="Times New Roman"/>
          <w:color w:val="000000"/>
          <w:sz w:val="24"/>
        </w:rPr>
        <w:t xml:space="preserve">activity is </w:t>
      </w:r>
      <w:r>
        <w:rPr>
          <w:rFonts w:ascii="Calibri" w:eastAsia="Calibri" w:hAnsi="Calibri" w:cs="Times New Roman"/>
          <w:color w:val="000000"/>
          <w:sz w:val="24"/>
        </w:rPr>
        <w:t xml:space="preserve">likely to be </w:t>
      </w:r>
      <w:r w:rsidRPr="00D86DB9">
        <w:rPr>
          <w:rFonts w:ascii="Calibri" w:eastAsia="Calibri" w:hAnsi="Calibri" w:cs="Times New Roman"/>
          <w:color w:val="000000"/>
          <w:sz w:val="24"/>
        </w:rPr>
        <w:t>in trade or commerce</w:t>
      </w:r>
      <w:r>
        <w:rPr>
          <w:rFonts w:ascii="Calibri" w:eastAsia="Calibri" w:hAnsi="Calibri" w:cs="Times New Roman"/>
          <w:color w:val="000000"/>
          <w:sz w:val="24"/>
        </w:rPr>
        <w:t xml:space="preserve"> and the ACL is likely to apply to you</w:t>
      </w:r>
      <w:r w:rsidR="00605229">
        <w:rPr>
          <w:rFonts w:ascii="Calibri" w:eastAsia="Calibri" w:hAnsi="Calibri" w:cs="Times New Roman"/>
          <w:color w:val="000000"/>
          <w:sz w:val="24"/>
        </w:rPr>
        <w:t xml:space="preserve"> </w:t>
      </w:r>
      <w:r w:rsidR="000D1443">
        <w:rPr>
          <w:rFonts w:ascii="Calibri" w:eastAsia="Calibri" w:hAnsi="Calibri" w:cs="Times New Roman"/>
          <w:color w:val="000000"/>
          <w:sz w:val="24"/>
        </w:rPr>
        <w:t xml:space="preserve">when you engage in </w:t>
      </w:r>
      <w:r w:rsidR="00605229">
        <w:rPr>
          <w:rFonts w:ascii="Calibri" w:eastAsia="Calibri" w:hAnsi="Calibri" w:cs="Times New Roman"/>
          <w:color w:val="000000"/>
          <w:sz w:val="24"/>
        </w:rPr>
        <w:t>that activity</w:t>
      </w:r>
      <w:r w:rsidRPr="00D86DB9">
        <w:rPr>
          <w:rFonts w:ascii="Calibri" w:eastAsia="Calibri" w:hAnsi="Calibri" w:cs="Times New Roman"/>
          <w:color w:val="000000"/>
          <w:sz w:val="24"/>
        </w:rPr>
        <w:t>.</w:t>
      </w:r>
    </w:p>
    <w:p w:rsidR="00AA4F12" w:rsidRDefault="00AA4F12" w:rsidP="00145871">
      <w:pPr>
        <w:rPr>
          <w:rFonts w:ascii="Calibri" w:hAnsi="Calibri"/>
          <w:color w:val="003591" w:themeColor="text2"/>
        </w:rPr>
      </w:pPr>
      <w:r w:rsidRPr="00145871">
        <w:rPr>
          <w:rFonts w:ascii="Calibri" w:hAnsi="Calibri"/>
          <w:color w:val="003591" w:themeColor="text2"/>
        </w:rPr>
        <w:t>PROFESSIONAL FUNDRAISERS</w:t>
      </w:r>
    </w:p>
    <w:p w:rsidR="00597E5A" w:rsidRDefault="00597E5A" w:rsidP="00145871">
      <w:pPr>
        <w:rPr>
          <w:rFonts w:ascii="Calibri" w:eastAsia="Calibri" w:hAnsi="Calibri" w:cs="Times New Roman"/>
          <w:color w:val="000000"/>
          <w:sz w:val="24"/>
        </w:rPr>
      </w:pPr>
      <w:r w:rsidRPr="00145871">
        <w:rPr>
          <w:rFonts w:ascii="Calibri" w:hAnsi="Calibri"/>
        </w:rPr>
        <w:t>Some charities, not-for-profit</w:t>
      </w:r>
      <w:r w:rsidR="0045361B">
        <w:rPr>
          <w:rFonts w:ascii="Calibri" w:hAnsi="Calibri"/>
        </w:rPr>
        <w:t xml:space="preserve"> entities </w:t>
      </w:r>
      <w:r w:rsidRPr="00145871">
        <w:rPr>
          <w:rFonts w:ascii="Calibri" w:hAnsi="Calibri"/>
        </w:rPr>
        <w:t>and fundraisers pay professional third party fundraisers to</w:t>
      </w:r>
      <w:r w:rsidRPr="00145871">
        <w:rPr>
          <w:rFonts w:ascii="Calibri" w:eastAsia="Calibri" w:hAnsi="Calibri" w:cs="Times New Roman"/>
          <w:sz w:val="24"/>
        </w:rPr>
        <w:t xml:space="preserve"> conduct </w:t>
      </w:r>
      <w:r w:rsidRPr="00D86DB9">
        <w:rPr>
          <w:rFonts w:ascii="Calibri" w:eastAsia="Calibri" w:hAnsi="Calibri" w:cs="Times New Roman"/>
          <w:color w:val="000000"/>
          <w:sz w:val="24"/>
        </w:rPr>
        <w:t>fundraising activities on their behalf. Professional fundraisers are in the business of soliciting donations</w:t>
      </w:r>
      <w:r>
        <w:rPr>
          <w:rFonts w:ascii="Calibri" w:eastAsia="Calibri" w:hAnsi="Calibri" w:cs="Times New Roman"/>
          <w:color w:val="000000"/>
          <w:sz w:val="24"/>
        </w:rPr>
        <w:t xml:space="preserve"> and </w:t>
      </w:r>
      <w:r w:rsidR="00B365A4">
        <w:rPr>
          <w:rFonts w:ascii="Calibri" w:eastAsia="Calibri" w:hAnsi="Calibri" w:cs="Times New Roman"/>
          <w:color w:val="000000"/>
          <w:sz w:val="24"/>
        </w:rPr>
        <w:t>the solicitation of donations</w:t>
      </w:r>
      <w:r>
        <w:rPr>
          <w:rFonts w:ascii="Calibri" w:eastAsia="Calibri" w:hAnsi="Calibri" w:cs="Times New Roman"/>
          <w:color w:val="000000"/>
          <w:sz w:val="24"/>
        </w:rPr>
        <w:t xml:space="preserve"> by them </w:t>
      </w:r>
      <w:r w:rsidR="00B365A4">
        <w:rPr>
          <w:rFonts w:ascii="Calibri" w:eastAsia="Calibri" w:hAnsi="Calibri" w:cs="Times New Roman"/>
          <w:color w:val="000000"/>
          <w:sz w:val="24"/>
        </w:rPr>
        <w:t xml:space="preserve">is </w:t>
      </w:r>
      <w:r>
        <w:rPr>
          <w:rFonts w:ascii="Calibri" w:eastAsia="Calibri" w:hAnsi="Calibri" w:cs="Times New Roman"/>
          <w:color w:val="000000"/>
          <w:sz w:val="24"/>
        </w:rPr>
        <w:t>likely to be in trade or commerce.</w:t>
      </w:r>
      <w:r w:rsidR="00295540">
        <w:rPr>
          <w:rFonts w:ascii="Calibri" w:eastAsia="Calibri" w:hAnsi="Calibri" w:cs="Times New Roman"/>
          <w:color w:val="000000"/>
          <w:sz w:val="24"/>
        </w:rPr>
        <w:t xml:space="preserve"> If you engage a professional fundraiser to </w:t>
      </w:r>
      <w:r w:rsidR="00B1123D">
        <w:rPr>
          <w:rFonts w:ascii="Calibri" w:eastAsia="Calibri" w:hAnsi="Calibri" w:cs="Times New Roman"/>
          <w:color w:val="000000"/>
          <w:sz w:val="24"/>
        </w:rPr>
        <w:t xml:space="preserve">carry out fundraising activities on </w:t>
      </w:r>
      <w:proofErr w:type="gramStart"/>
      <w:r w:rsidR="00B1123D">
        <w:rPr>
          <w:rFonts w:ascii="Calibri" w:eastAsia="Calibri" w:hAnsi="Calibri" w:cs="Times New Roman"/>
          <w:color w:val="000000"/>
          <w:sz w:val="24"/>
        </w:rPr>
        <w:t>your</w:t>
      </w:r>
      <w:proofErr w:type="gramEnd"/>
      <w:r w:rsidR="00B1123D">
        <w:rPr>
          <w:rFonts w:ascii="Calibri" w:eastAsia="Calibri" w:hAnsi="Calibri" w:cs="Times New Roman"/>
          <w:color w:val="000000"/>
          <w:sz w:val="24"/>
        </w:rPr>
        <w:t xml:space="preserve"> behalf then </w:t>
      </w:r>
      <w:r w:rsidR="00295540">
        <w:rPr>
          <w:rFonts w:ascii="Calibri" w:eastAsia="Calibri" w:hAnsi="Calibri" w:cs="Times New Roman"/>
          <w:color w:val="000000"/>
          <w:sz w:val="24"/>
        </w:rPr>
        <w:t xml:space="preserve">you </w:t>
      </w:r>
      <w:r w:rsidR="00B1123D">
        <w:rPr>
          <w:rFonts w:ascii="Calibri" w:eastAsia="Calibri" w:hAnsi="Calibri" w:cs="Times New Roman"/>
          <w:color w:val="000000"/>
          <w:sz w:val="24"/>
        </w:rPr>
        <w:t>need to be confident that their conduct does not breach the ACL</w:t>
      </w:r>
      <w:r w:rsidR="00295540">
        <w:rPr>
          <w:rFonts w:ascii="Calibri" w:eastAsia="Calibri" w:hAnsi="Calibri" w:cs="Times New Roman"/>
          <w:color w:val="000000"/>
          <w:sz w:val="24"/>
        </w:rPr>
        <w:t>.</w:t>
      </w:r>
    </w:p>
    <w:p w:rsidR="00597E5A" w:rsidRPr="009701DB" w:rsidRDefault="00597E5A" w:rsidP="00597E5A">
      <w:pPr>
        <w:pBdr>
          <w:top w:val="single" w:sz="4" w:space="1" w:color="auto"/>
          <w:left w:val="single" w:sz="4" w:space="4" w:color="auto"/>
          <w:bottom w:val="single" w:sz="4" w:space="1" w:color="auto"/>
          <w:right w:val="single" w:sz="4" w:space="4" w:color="auto"/>
        </w:pBdr>
        <w:rPr>
          <w:rFonts w:ascii="Calibri" w:hAnsi="Calibri"/>
          <w:b/>
          <w:sz w:val="24"/>
          <w:szCs w:val="24"/>
        </w:rPr>
      </w:pPr>
      <w:r w:rsidRPr="009701DB">
        <w:rPr>
          <w:rFonts w:ascii="Calibri" w:hAnsi="Calibri"/>
          <w:b/>
          <w:sz w:val="24"/>
          <w:szCs w:val="24"/>
        </w:rPr>
        <w:t>EXAMPLE</w:t>
      </w:r>
    </w:p>
    <w:p w:rsidR="00597E5A" w:rsidRDefault="00597E5A" w:rsidP="00597E5A">
      <w:pPr>
        <w:pBdr>
          <w:top w:val="single" w:sz="4" w:space="1" w:color="auto"/>
          <w:left w:val="single" w:sz="4" w:space="4" w:color="auto"/>
          <w:bottom w:val="single" w:sz="4" w:space="1" w:color="auto"/>
          <w:right w:val="single" w:sz="4" w:space="4" w:color="auto"/>
        </w:pBdr>
        <w:tabs>
          <w:tab w:val="left" w:pos="340"/>
        </w:tabs>
        <w:spacing w:before="120" w:after="240"/>
        <w:rPr>
          <w:rFonts w:ascii="Calibri" w:eastAsia="Calibri" w:hAnsi="Calibri" w:cs="Arial"/>
          <w:color w:val="000000"/>
          <w:sz w:val="24"/>
        </w:rPr>
      </w:pPr>
      <w:r w:rsidRPr="00D86DB9">
        <w:rPr>
          <w:rFonts w:ascii="Calibri" w:eastAsia="Calibri" w:hAnsi="Calibri" w:cs="Times New Roman"/>
          <w:color w:val="000000"/>
          <w:sz w:val="24"/>
        </w:rPr>
        <w:t xml:space="preserve">A third party marketing company is </w:t>
      </w:r>
      <w:r>
        <w:rPr>
          <w:rFonts w:ascii="Calibri" w:eastAsia="Calibri" w:hAnsi="Calibri" w:cs="Times New Roman"/>
          <w:color w:val="000000"/>
          <w:sz w:val="24"/>
        </w:rPr>
        <w:t xml:space="preserve">paid to </w:t>
      </w:r>
      <w:r w:rsidRPr="00D86DB9">
        <w:rPr>
          <w:rFonts w:ascii="Calibri" w:eastAsia="Calibri" w:hAnsi="Calibri" w:cs="Times New Roman"/>
          <w:color w:val="000000"/>
          <w:sz w:val="24"/>
        </w:rPr>
        <w:t>conduct a campaign</w:t>
      </w:r>
      <w:r>
        <w:rPr>
          <w:rFonts w:ascii="Calibri" w:eastAsia="Calibri" w:hAnsi="Calibri" w:cs="Times New Roman"/>
          <w:color w:val="000000"/>
          <w:sz w:val="24"/>
        </w:rPr>
        <w:t>,</w:t>
      </w:r>
      <w:r w:rsidRPr="00D86DB9">
        <w:rPr>
          <w:rFonts w:ascii="Calibri" w:eastAsia="Calibri" w:hAnsi="Calibri" w:cs="Times New Roman"/>
          <w:color w:val="000000"/>
          <w:sz w:val="24"/>
        </w:rPr>
        <w:t xml:space="preserve"> collecting donations on behalf of a registered charity</w:t>
      </w:r>
      <w:r>
        <w:rPr>
          <w:rFonts w:ascii="Calibri" w:eastAsia="Calibri" w:hAnsi="Calibri" w:cs="Times New Roman"/>
          <w:color w:val="000000"/>
          <w:sz w:val="24"/>
        </w:rPr>
        <w:t xml:space="preserve"> that supports disease research</w:t>
      </w:r>
      <w:r w:rsidRPr="00D86DB9">
        <w:rPr>
          <w:rFonts w:ascii="Calibri" w:eastAsia="Calibri" w:hAnsi="Calibri" w:cs="Times New Roman"/>
          <w:color w:val="000000"/>
          <w:sz w:val="24"/>
        </w:rPr>
        <w:t xml:space="preserve">. </w:t>
      </w:r>
      <w:r>
        <w:rPr>
          <w:rFonts w:ascii="Calibri" w:eastAsia="Calibri" w:hAnsi="Calibri" w:cs="Times New Roman"/>
          <w:color w:val="000000"/>
          <w:sz w:val="24"/>
        </w:rPr>
        <w:t>When soliciting donations, t</w:t>
      </w:r>
      <w:r w:rsidRPr="00D86DB9">
        <w:rPr>
          <w:rFonts w:ascii="Calibri" w:eastAsia="Calibri" w:hAnsi="Calibri" w:cs="Times New Roman"/>
          <w:color w:val="000000"/>
          <w:sz w:val="24"/>
        </w:rPr>
        <w:t xml:space="preserve">he </w:t>
      </w:r>
      <w:r>
        <w:rPr>
          <w:rFonts w:ascii="Calibri" w:eastAsia="Calibri" w:hAnsi="Calibri" w:cs="Times New Roman"/>
          <w:color w:val="000000"/>
          <w:sz w:val="24"/>
        </w:rPr>
        <w:t>employees of the third party market</w:t>
      </w:r>
      <w:r w:rsidR="00295540">
        <w:rPr>
          <w:rFonts w:ascii="Calibri" w:eastAsia="Calibri" w:hAnsi="Calibri" w:cs="Times New Roman"/>
          <w:color w:val="000000"/>
          <w:sz w:val="24"/>
        </w:rPr>
        <w:t>ing</w:t>
      </w:r>
      <w:r>
        <w:rPr>
          <w:rFonts w:ascii="Calibri" w:eastAsia="Calibri" w:hAnsi="Calibri" w:cs="Times New Roman"/>
          <w:color w:val="000000"/>
          <w:sz w:val="24"/>
        </w:rPr>
        <w:t xml:space="preserve"> company state that </w:t>
      </w:r>
      <w:r w:rsidRPr="00D86DB9">
        <w:rPr>
          <w:rFonts w:ascii="Calibri" w:eastAsia="Calibri" w:hAnsi="Calibri" w:cs="Times New Roman"/>
          <w:color w:val="000000"/>
          <w:sz w:val="24"/>
        </w:rPr>
        <w:t xml:space="preserve">all of </w:t>
      </w:r>
      <w:r>
        <w:rPr>
          <w:rFonts w:ascii="Calibri" w:eastAsia="Calibri" w:hAnsi="Calibri" w:cs="Times New Roman"/>
          <w:color w:val="000000"/>
          <w:sz w:val="24"/>
        </w:rPr>
        <w:t xml:space="preserve">the </w:t>
      </w:r>
      <w:r w:rsidRPr="00D86DB9">
        <w:rPr>
          <w:rFonts w:ascii="Calibri" w:eastAsia="Calibri" w:hAnsi="Calibri" w:cs="Times New Roman"/>
          <w:color w:val="000000"/>
          <w:sz w:val="24"/>
        </w:rPr>
        <w:t>donation</w:t>
      </w:r>
      <w:r>
        <w:rPr>
          <w:rFonts w:ascii="Calibri" w:eastAsia="Calibri" w:hAnsi="Calibri" w:cs="Times New Roman"/>
          <w:color w:val="000000"/>
          <w:sz w:val="24"/>
        </w:rPr>
        <w:t>s</w:t>
      </w:r>
      <w:r w:rsidRPr="00D86DB9">
        <w:rPr>
          <w:rFonts w:ascii="Calibri" w:eastAsia="Calibri" w:hAnsi="Calibri" w:cs="Times New Roman"/>
          <w:color w:val="000000"/>
          <w:sz w:val="24"/>
        </w:rPr>
        <w:t xml:space="preserve"> </w:t>
      </w:r>
      <w:r>
        <w:rPr>
          <w:rFonts w:ascii="Calibri" w:eastAsia="Calibri" w:hAnsi="Calibri" w:cs="Times New Roman"/>
          <w:color w:val="000000"/>
          <w:sz w:val="24"/>
        </w:rPr>
        <w:t xml:space="preserve">received </w:t>
      </w:r>
      <w:r w:rsidRPr="00D86DB9">
        <w:rPr>
          <w:rFonts w:ascii="Calibri" w:eastAsia="Calibri" w:hAnsi="Calibri" w:cs="Times New Roman"/>
          <w:color w:val="000000"/>
          <w:sz w:val="24"/>
        </w:rPr>
        <w:t xml:space="preserve">will go towards </w:t>
      </w:r>
      <w:r>
        <w:rPr>
          <w:rFonts w:ascii="Calibri" w:eastAsia="Calibri" w:hAnsi="Calibri" w:cs="Times New Roman"/>
          <w:color w:val="000000"/>
          <w:sz w:val="24"/>
        </w:rPr>
        <w:t xml:space="preserve">that </w:t>
      </w:r>
      <w:r w:rsidRPr="00D86DB9">
        <w:rPr>
          <w:rFonts w:ascii="Calibri" w:eastAsia="Calibri" w:hAnsi="Calibri" w:cs="Times New Roman"/>
          <w:color w:val="000000"/>
          <w:sz w:val="24"/>
        </w:rPr>
        <w:t>research. However, in reality</w:t>
      </w:r>
      <w:r>
        <w:rPr>
          <w:rFonts w:ascii="Calibri" w:eastAsia="Calibri" w:hAnsi="Calibri" w:cs="Times New Roman"/>
          <w:color w:val="000000"/>
          <w:sz w:val="24"/>
        </w:rPr>
        <w:t>,</w:t>
      </w:r>
      <w:r w:rsidRPr="00D86DB9">
        <w:rPr>
          <w:rFonts w:ascii="Calibri" w:eastAsia="Calibri" w:hAnsi="Calibri" w:cs="Times New Roman"/>
          <w:color w:val="000000"/>
          <w:sz w:val="24"/>
        </w:rPr>
        <w:t xml:space="preserve"> the </w:t>
      </w:r>
      <w:r>
        <w:rPr>
          <w:rFonts w:ascii="Calibri" w:eastAsia="Calibri" w:hAnsi="Calibri" w:cs="Times New Roman"/>
          <w:color w:val="000000"/>
          <w:sz w:val="24"/>
        </w:rPr>
        <w:t>commission received by</w:t>
      </w:r>
      <w:r w:rsidRPr="00D86DB9">
        <w:rPr>
          <w:rFonts w:ascii="Calibri" w:eastAsia="Calibri" w:hAnsi="Calibri" w:cs="Times New Roman"/>
          <w:color w:val="000000"/>
          <w:sz w:val="24"/>
        </w:rPr>
        <w:t xml:space="preserve"> the marketing company accounts for 60% of the donated funds. </w:t>
      </w:r>
      <w:r w:rsidRPr="00D86DB9">
        <w:rPr>
          <w:rFonts w:ascii="Calibri" w:eastAsia="Calibri" w:hAnsi="Calibri" w:cs="Arial"/>
          <w:color w:val="000000"/>
          <w:sz w:val="24"/>
        </w:rPr>
        <w:t>The conduct of the marketing company</w:t>
      </w:r>
      <w:r w:rsidR="00B1123D">
        <w:rPr>
          <w:rFonts w:ascii="Calibri" w:eastAsia="Calibri" w:hAnsi="Calibri" w:cs="Arial"/>
          <w:color w:val="000000"/>
          <w:sz w:val="24"/>
        </w:rPr>
        <w:t>, engaged in on behalf of the registered charity,</w:t>
      </w:r>
      <w:r w:rsidRPr="00D86DB9">
        <w:rPr>
          <w:rFonts w:ascii="Calibri" w:eastAsia="Calibri" w:hAnsi="Calibri" w:cs="Arial"/>
          <w:color w:val="000000"/>
          <w:sz w:val="24"/>
        </w:rPr>
        <w:t xml:space="preserve"> is likely to be </w:t>
      </w:r>
      <w:r>
        <w:rPr>
          <w:rFonts w:ascii="Calibri" w:eastAsia="Calibri" w:hAnsi="Calibri" w:cs="Arial"/>
          <w:color w:val="000000"/>
          <w:sz w:val="24"/>
        </w:rPr>
        <w:t>in trade or commerce and likely to amount to misleading or deceptive conduct</w:t>
      </w:r>
      <w:r w:rsidRPr="00D86DB9">
        <w:rPr>
          <w:rFonts w:ascii="Calibri" w:eastAsia="Calibri" w:hAnsi="Calibri" w:cs="Arial"/>
          <w:color w:val="000000"/>
          <w:sz w:val="24"/>
        </w:rPr>
        <w:t xml:space="preserve"> under the ACL</w:t>
      </w:r>
      <w:r>
        <w:rPr>
          <w:rFonts w:ascii="Calibri" w:eastAsia="Calibri" w:hAnsi="Calibri" w:cs="Arial"/>
          <w:color w:val="000000"/>
          <w:sz w:val="24"/>
        </w:rPr>
        <w:t>.</w:t>
      </w:r>
    </w:p>
    <w:p w:rsidR="00B365A4" w:rsidRPr="00145871" w:rsidRDefault="00B365A4" w:rsidP="00597E5A">
      <w:pPr>
        <w:keepNext/>
        <w:spacing w:before="0" w:after="240"/>
        <w:rPr>
          <w:rFonts w:ascii="Calibri" w:eastAsia="Calibri" w:hAnsi="Calibri" w:cs="Times New Roman"/>
          <w:color w:val="003591" w:themeColor="text2"/>
          <w:sz w:val="24"/>
        </w:rPr>
      </w:pPr>
      <w:r w:rsidRPr="00145871">
        <w:rPr>
          <w:rFonts w:ascii="Calibri" w:eastAsia="Calibri" w:hAnsi="Calibri" w:cs="Times New Roman"/>
          <w:color w:val="003591" w:themeColor="text2"/>
          <w:sz w:val="24"/>
        </w:rPr>
        <w:lastRenderedPageBreak/>
        <w:t xml:space="preserve">FUNDRAISING IN AN ORGANISED, CONTINUOUS AND REPETITIVE WAY </w:t>
      </w:r>
    </w:p>
    <w:p w:rsidR="00597E5A" w:rsidRPr="00BD21DA" w:rsidRDefault="00597E5A" w:rsidP="00597E5A">
      <w:pPr>
        <w:keepNext/>
        <w:spacing w:before="0" w:after="240"/>
        <w:rPr>
          <w:rFonts w:ascii="Calibri" w:eastAsia="Calibri" w:hAnsi="Calibri" w:cs="Times New Roman"/>
          <w:color w:val="000000"/>
          <w:sz w:val="24"/>
        </w:rPr>
      </w:pPr>
      <w:r>
        <w:rPr>
          <w:rFonts w:ascii="Calibri" w:eastAsia="Calibri" w:hAnsi="Calibri" w:cs="Times New Roman"/>
          <w:color w:val="000000"/>
          <w:sz w:val="24"/>
        </w:rPr>
        <w:t xml:space="preserve">Regardless of whether you collect donations or payments for goods or services by volunteer, employee or professional fundraiser, if those donations or payments are solicited </w:t>
      </w:r>
      <w:r w:rsidRPr="00E41370">
        <w:rPr>
          <w:rFonts w:ascii="Calibri" w:eastAsia="Calibri" w:hAnsi="Calibri" w:cs="Times New Roman"/>
          <w:color w:val="000000"/>
          <w:sz w:val="24"/>
        </w:rPr>
        <w:t xml:space="preserve">in a business-like way </w:t>
      </w:r>
      <w:r>
        <w:rPr>
          <w:rFonts w:ascii="Calibri" w:eastAsia="Calibri" w:hAnsi="Calibri" w:cs="Times New Roman"/>
          <w:color w:val="000000"/>
          <w:sz w:val="24"/>
        </w:rPr>
        <w:t xml:space="preserve">then that fundraising activity </w:t>
      </w:r>
      <w:r w:rsidRPr="00E41370">
        <w:rPr>
          <w:rFonts w:ascii="Calibri" w:eastAsia="Calibri" w:hAnsi="Calibri" w:cs="Times New Roman"/>
          <w:color w:val="000000"/>
          <w:sz w:val="24"/>
        </w:rPr>
        <w:t>is likely to be in trade or commerce and subject to the ACL</w:t>
      </w:r>
      <w:r w:rsidRPr="00BD21DA">
        <w:rPr>
          <w:rFonts w:ascii="Calibri" w:eastAsia="Calibri" w:hAnsi="Calibri" w:cs="Times New Roman"/>
          <w:color w:val="000000"/>
          <w:sz w:val="24"/>
        </w:rPr>
        <w:t>.</w:t>
      </w:r>
    </w:p>
    <w:p w:rsidR="00597E5A"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A fundraising activity is more likely to be undertaken in a business-like way and therefore in trade or commerce when</w:t>
      </w:r>
      <w:r w:rsidR="001D16C0">
        <w:rPr>
          <w:rFonts w:ascii="Calibri" w:eastAsia="Calibri" w:hAnsi="Calibri" w:cs="Times New Roman"/>
          <w:color w:val="000000"/>
          <w:sz w:val="24"/>
        </w:rPr>
        <w:t xml:space="preserve"> one or more of the following applies</w:t>
      </w:r>
      <w:r>
        <w:rPr>
          <w:rFonts w:ascii="Calibri" w:eastAsia="Calibri" w:hAnsi="Calibri" w:cs="Times New Roman"/>
          <w:color w:val="000000"/>
          <w:sz w:val="24"/>
        </w:rPr>
        <w:t>:</w:t>
      </w:r>
    </w:p>
    <w:p w:rsidR="00597E5A" w:rsidRDefault="00597E5A" w:rsidP="00597E5A">
      <w:pPr>
        <w:pStyle w:val="ListParagraph"/>
        <w:numPr>
          <w:ilvl w:val="0"/>
          <w:numId w:val="36"/>
        </w:numPr>
        <w:spacing w:before="0" w:after="240"/>
        <w:rPr>
          <w:rFonts w:ascii="Calibri" w:eastAsia="Calibri" w:hAnsi="Calibri" w:cs="Times New Roman"/>
          <w:color w:val="000000"/>
          <w:sz w:val="24"/>
        </w:rPr>
      </w:pPr>
      <w:r>
        <w:rPr>
          <w:rFonts w:ascii="Calibri" w:eastAsia="Calibri" w:hAnsi="Calibri" w:cs="Times New Roman"/>
          <w:color w:val="000000"/>
          <w:sz w:val="24"/>
        </w:rPr>
        <w:t xml:space="preserve">it is undertaken in an </w:t>
      </w:r>
      <w:r w:rsidRPr="00DD1A34">
        <w:rPr>
          <w:rFonts w:ascii="Calibri" w:eastAsia="Calibri" w:hAnsi="Calibri" w:cs="Times New Roman"/>
          <w:color w:val="000000"/>
          <w:sz w:val="24"/>
        </w:rPr>
        <w:t>organised, continuous and repetitive way</w:t>
      </w:r>
    </w:p>
    <w:p w:rsidR="00597E5A" w:rsidRPr="00DD1A34" w:rsidRDefault="00597E5A" w:rsidP="00597E5A">
      <w:pPr>
        <w:pStyle w:val="ListParagraph"/>
        <w:numPr>
          <w:ilvl w:val="0"/>
          <w:numId w:val="36"/>
        </w:numPr>
        <w:spacing w:before="0" w:after="240"/>
        <w:rPr>
          <w:rFonts w:ascii="Calibri" w:eastAsia="Calibri" w:hAnsi="Calibri" w:cs="Times New Roman"/>
          <w:color w:val="000000"/>
          <w:sz w:val="24"/>
        </w:rPr>
      </w:pPr>
      <w:r>
        <w:rPr>
          <w:rFonts w:ascii="Calibri" w:eastAsia="Calibri" w:hAnsi="Calibri" w:cs="Times New Roman"/>
          <w:color w:val="000000"/>
          <w:sz w:val="24"/>
        </w:rPr>
        <w:t xml:space="preserve">the </w:t>
      </w:r>
      <w:r w:rsidRPr="00DD1A34">
        <w:rPr>
          <w:rFonts w:ascii="Calibri" w:eastAsia="Calibri" w:hAnsi="Calibri" w:cs="Times New Roman"/>
          <w:color w:val="000000"/>
          <w:sz w:val="24"/>
        </w:rPr>
        <w:t xml:space="preserve">entity </w:t>
      </w:r>
      <w:r>
        <w:rPr>
          <w:rFonts w:ascii="Calibri" w:eastAsia="Calibri" w:hAnsi="Calibri" w:cs="Times New Roman"/>
          <w:color w:val="000000"/>
          <w:sz w:val="24"/>
        </w:rPr>
        <w:t xml:space="preserve">fundraising </w:t>
      </w:r>
      <w:r w:rsidRPr="00DD1A34">
        <w:rPr>
          <w:rFonts w:ascii="Calibri" w:eastAsia="Calibri" w:hAnsi="Calibri" w:cs="Times New Roman"/>
          <w:color w:val="000000"/>
          <w:sz w:val="24"/>
        </w:rPr>
        <w:t xml:space="preserve">is </w:t>
      </w:r>
      <w:r>
        <w:rPr>
          <w:rFonts w:ascii="Calibri" w:eastAsia="Calibri" w:hAnsi="Calibri" w:cs="Times New Roman"/>
          <w:color w:val="000000"/>
          <w:sz w:val="24"/>
        </w:rPr>
        <w:t xml:space="preserve">incorporated or otherwise </w:t>
      </w:r>
      <w:r w:rsidRPr="00DD1A34">
        <w:rPr>
          <w:rFonts w:ascii="Calibri" w:eastAsia="Calibri" w:hAnsi="Calibri" w:cs="Times New Roman"/>
          <w:color w:val="000000"/>
          <w:sz w:val="24"/>
        </w:rPr>
        <w:t>established as a legal entity</w:t>
      </w:r>
    </w:p>
    <w:p w:rsidR="00597E5A" w:rsidRDefault="00597E5A" w:rsidP="00597E5A">
      <w:pPr>
        <w:pStyle w:val="ListParagraph"/>
        <w:numPr>
          <w:ilvl w:val="0"/>
          <w:numId w:val="36"/>
        </w:numPr>
        <w:spacing w:before="0" w:after="240"/>
        <w:rPr>
          <w:rFonts w:ascii="Calibri" w:eastAsia="Calibri" w:hAnsi="Calibri" w:cs="Times New Roman"/>
          <w:color w:val="000000"/>
          <w:sz w:val="24"/>
        </w:rPr>
      </w:pPr>
      <w:r>
        <w:rPr>
          <w:rFonts w:ascii="Calibri" w:eastAsia="Calibri" w:hAnsi="Calibri" w:cs="Times New Roman"/>
          <w:color w:val="000000"/>
          <w:sz w:val="24"/>
        </w:rPr>
        <w:t xml:space="preserve">the </w:t>
      </w:r>
      <w:r w:rsidRPr="00DD1A34">
        <w:rPr>
          <w:rFonts w:ascii="Calibri" w:eastAsia="Calibri" w:hAnsi="Calibri" w:cs="Times New Roman"/>
          <w:color w:val="000000"/>
          <w:sz w:val="24"/>
        </w:rPr>
        <w:t xml:space="preserve">entity </w:t>
      </w:r>
      <w:r>
        <w:rPr>
          <w:rFonts w:ascii="Calibri" w:eastAsia="Calibri" w:hAnsi="Calibri" w:cs="Times New Roman"/>
          <w:color w:val="000000"/>
          <w:sz w:val="24"/>
        </w:rPr>
        <w:t>fundraising keeps financial records of the fundraising activity</w:t>
      </w:r>
    </w:p>
    <w:p w:rsidR="00597E5A" w:rsidRDefault="00597E5A" w:rsidP="00597E5A">
      <w:pPr>
        <w:pStyle w:val="ListParagraph"/>
        <w:numPr>
          <w:ilvl w:val="0"/>
          <w:numId w:val="36"/>
        </w:numPr>
        <w:spacing w:before="0" w:after="240"/>
        <w:rPr>
          <w:rFonts w:ascii="Calibri" w:eastAsia="Calibri" w:hAnsi="Calibri" w:cs="Times New Roman"/>
          <w:color w:val="000000"/>
          <w:sz w:val="24"/>
        </w:rPr>
      </w:pPr>
      <w:r>
        <w:rPr>
          <w:rFonts w:ascii="Calibri" w:eastAsia="Calibri" w:hAnsi="Calibri" w:cs="Times New Roman"/>
          <w:color w:val="000000"/>
          <w:sz w:val="24"/>
        </w:rPr>
        <w:t>the entity fundraising has assets and employees</w:t>
      </w:r>
    </w:p>
    <w:p w:rsidR="00597E5A" w:rsidRDefault="00597E5A" w:rsidP="00597E5A">
      <w:pPr>
        <w:pStyle w:val="ListParagraph"/>
        <w:numPr>
          <w:ilvl w:val="0"/>
          <w:numId w:val="36"/>
        </w:numPr>
        <w:spacing w:before="0" w:after="240"/>
        <w:rPr>
          <w:rFonts w:ascii="Calibri" w:eastAsia="Calibri" w:hAnsi="Calibri" w:cs="Times New Roman"/>
          <w:color w:val="000000"/>
          <w:sz w:val="24"/>
        </w:rPr>
      </w:pPr>
      <w:r>
        <w:rPr>
          <w:rFonts w:ascii="Calibri" w:eastAsia="Calibri" w:hAnsi="Calibri" w:cs="Times New Roman"/>
          <w:color w:val="000000"/>
          <w:sz w:val="24"/>
        </w:rPr>
        <w:t>the entity fundraising has internal management processes, policies and procedures that relate to the fundraising activity</w:t>
      </w:r>
    </w:p>
    <w:p w:rsidR="00597E5A" w:rsidRDefault="00597E5A" w:rsidP="00597E5A">
      <w:pPr>
        <w:pStyle w:val="ListParagraph"/>
        <w:numPr>
          <w:ilvl w:val="0"/>
          <w:numId w:val="36"/>
        </w:numPr>
        <w:spacing w:before="0" w:after="240"/>
        <w:rPr>
          <w:rFonts w:ascii="Calibri" w:eastAsia="Calibri" w:hAnsi="Calibri" w:cs="Times New Roman"/>
          <w:color w:val="000000"/>
          <w:sz w:val="24"/>
        </w:rPr>
      </w:pPr>
      <w:proofErr w:type="gramStart"/>
      <w:r>
        <w:rPr>
          <w:rFonts w:ascii="Calibri" w:eastAsia="Calibri" w:hAnsi="Calibri" w:cs="Times New Roman"/>
          <w:color w:val="000000"/>
          <w:sz w:val="24"/>
        </w:rPr>
        <w:t>the</w:t>
      </w:r>
      <w:proofErr w:type="gramEnd"/>
      <w:r>
        <w:rPr>
          <w:rFonts w:ascii="Calibri" w:eastAsia="Calibri" w:hAnsi="Calibri" w:cs="Times New Roman"/>
          <w:color w:val="000000"/>
          <w:sz w:val="24"/>
        </w:rPr>
        <w:t xml:space="preserve"> entity fundraising measures fundraising outputs and compares those to fundraising goals.</w:t>
      </w:r>
    </w:p>
    <w:p w:rsidR="009D742D" w:rsidRDefault="009D742D" w:rsidP="009D742D">
      <w:pPr>
        <w:pBdr>
          <w:top w:val="single" w:sz="4" w:space="1" w:color="auto"/>
          <w:left w:val="single" w:sz="4" w:space="4" w:color="auto"/>
          <w:bottom w:val="single" w:sz="4" w:space="1" w:color="auto"/>
          <w:right w:val="single" w:sz="4" w:space="4" w:color="auto"/>
        </w:pBdr>
        <w:tabs>
          <w:tab w:val="left" w:pos="340"/>
        </w:tabs>
        <w:spacing w:before="120" w:after="240"/>
        <w:rPr>
          <w:rFonts w:ascii="Calibri" w:hAnsi="Calibri"/>
          <w:b/>
          <w:sz w:val="24"/>
          <w:szCs w:val="24"/>
        </w:rPr>
      </w:pPr>
      <w:r w:rsidRPr="001F0352">
        <w:rPr>
          <w:rFonts w:ascii="Calibri" w:hAnsi="Calibri"/>
          <w:b/>
          <w:sz w:val="24"/>
          <w:szCs w:val="24"/>
        </w:rPr>
        <w:t>EXAMPLE</w:t>
      </w:r>
    </w:p>
    <w:p w:rsidR="00F67CAA" w:rsidRDefault="005B2D83" w:rsidP="009D742D">
      <w:pPr>
        <w:pBdr>
          <w:top w:val="single" w:sz="4" w:space="1" w:color="auto"/>
          <w:left w:val="single" w:sz="4" w:space="4" w:color="auto"/>
          <w:bottom w:val="single" w:sz="4" w:space="1" w:color="auto"/>
          <w:right w:val="single" w:sz="4" w:space="4" w:color="auto"/>
        </w:pBdr>
        <w:tabs>
          <w:tab w:val="left" w:pos="340"/>
        </w:tabs>
        <w:spacing w:before="120" w:after="240"/>
        <w:rPr>
          <w:rFonts w:ascii="Calibri" w:eastAsia="Calibri" w:hAnsi="Calibri" w:cs="Times New Roman"/>
          <w:color w:val="000000"/>
          <w:sz w:val="24"/>
        </w:rPr>
      </w:pPr>
      <w:r>
        <w:rPr>
          <w:rFonts w:ascii="Calibri" w:eastAsia="Calibri" w:hAnsi="Calibri" w:cs="Times New Roman"/>
          <w:color w:val="000000"/>
          <w:sz w:val="24"/>
        </w:rPr>
        <w:t>A</w:t>
      </w:r>
      <w:r w:rsidR="00D969B1">
        <w:rPr>
          <w:rFonts w:ascii="Calibri" w:eastAsia="Calibri" w:hAnsi="Calibri" w:cs="Times New Roman"/>
          <w:color w:val="000000"/>
          <w:sz w:val="24"/>
        </w:rPr>
        <w:t>n incorporated association</w:t>
      </w:r>
      <w:r>
        <w:rPr>
          <w:rFonts w:ascii="Calibri" w:eastAsia="Calibri" w:hAnsi="Calibri" w:cs="Times New Roman"/>
          <w:color w:val="000000"/>
          <w:sz w:val="24"/>
        </w:rPr>
        <w:t xml:space="preserve"> </w:t>
      </w:r>
      <w:r w:rsidR="00046BAE">
        <w:rPr>
          <w:rFonts w:ascii="Calibri" w:eastAsia="Calibri" w:hAnsi="Calibri" w:cs="Times New Roman"/>
          <w:color w:val="000000"/>
          <w:sz w:val="24"/>
        </w:rPr>
        <w:t xml:space="preserve">is established for the purpose of providing </w:t>
      </w:r>
      <w:r w:rsidR="00D969B1">
        <w:rPr>
          <w:rFonts w:ascii="Calibri" w:eastAsia="Calibri" w:hAnsi="Calibri" w:cs="Times New Roman"/>
          <w:color w:val="000000"/>
          <w:sz w:val="24"/>
        </w:rPr>
        <w:t xml:space="preserve">volunteer </w:t>
      </w:r>
      <w:r w:rsidR="00046BAE">
        <w:rPr>
          <w:rFonts w:ascii="Calibri" w:eastAsia="Calibri" w:hAnsi="Calibri" w:cs="Times New Roman"/>
          <w:color w:val="000000"/>
          <w:sz w:val="24"/>
        </w:rPr>
        <w:t>emergency services</w:t>
      </w:r>
      <w:r w:rsidR="003C05BE">
        <w:rPr>
          <w:rFonts w:ascii="Calibri" w:eastAsia="Calibri" w:hAnsi="Calibri" w:cs="Times New Roman"/>
          <w:color w:val="000000"/>
          <w:sz w:val="24"/>
        </w:rPr>
        <w:t xml:space="preserve">, being partly funded by donations </w:t>
      </w:r>
      <w:r w:rsidR="00F67CAA">
        <w:rPr>
          <w:rFonts w:ascii="Calibri" w:eastAsia="Calibri" w:hAnsi="Calibri" w:cs="Times New Roman"/>
          <w:color w:val="000000"/>
          <w:sz w:val="24"/>
        </w:rPr>
        <w:t xml:space="preserve">from the public. </w:t>
      </w:r>
      <w:r w:rsidR="00D969B1">
        <w:rPr>
          <w:rFonts w:ascii="Calibri" w:eastAsia="Calibri" w:hAnsi="Calibri" w:cs="Times New Roman"/>
          <w:color w:val="000000"/>
          <w:sz w:val="24"/>
        </w:rPr>
        <w:t xml:space="preserve">The association develops a </w:t>
      </w:r>
      <w:r w:rsidR="003C05BE">
        <w:rPr>
          <w:rFonts w:ascii="Calibri" w:eastAsia="Calibri" w:hAnsi="Calibri" w:cs="Times New Roman"/>
          <w:color w:val="000000"/>
          <w:sz w:val="24"/>
        </w:rPr>
        <w:t>s</w:t>
      </w:r>
      <w:r w:rsidR="006A0839">
        <w:rPr>
          <w:rFonts w:ascii="Calibri" w:eastAsia="Calibri" w:hAnsi="Calibri" w:cs="Times New Roman"/>
          <w:color w:val="000000"/>
          <w:sz w:val="24"/>
        </w:rPr>
        <w:t xml:space="preserve">trategic </w:t>
      </w:r>
      <w:r w:rsidR="00D969B1">
        <w:rPr>
          <w:rFonts w:ascii="Calibri" w:eastAsia="Calibri" w:hAnsi="Calibri" w:cs="Times New Roman"/>
          <w:color w:val="000000"/>
          <w:sz w:val="24"/>
        </w:rPr>
        <w:t>plan</w:t>
      </w:r>
      <w:r w:rsidR="00F67CAA">
        <w:rPr>
          <w:rFonts w:ascii="Calibri" w:eastAsia="Calibri" w:hAnsi="Calibri" w:cs="Times New Roman"/>
          <w:color w:val="000000"/>
          <w:sz w:val="24"/>
        </w:rPr>
        <w:t xml:space="preserve">, which includes its fundraising activities. </w:t>
      </w:r>
      <w:r w:rsidR="00F27DE3">
        <w:rPr>
          <w:rFonts w:ascii="Calibri" w:eastAsia="Calibri" w:hAnsi="Calibri" w:cs="Times New Roman"/>
          <w:color w:val="000000"/>
          <w:sz w:val="24"/>
        </w:rPr>
        <w:t xml:space="preserve">The association keeps records of its fundraising revenue and expenses, </w:t>
      </w:r>
      <w:r w:rsidR="00E0739B">
        <w:rPr>
          <w:rFonts w:ascii="Calibri" w:eastAsia="Calibri" w:hAnsi="Calibri" w:cs="Times New Roman"/>
          <w:color w:val="000000"/>
          <w:sz w:val="24"/>
        </w:rPr>
        <w:t>measures its performance against goals</w:t>
      </w:r>
      <w:r w:rsidR="0065671D">
        <w:rPr>
          <w:rFonts w:ascii="Calibri" w:eastAsia="Calibri" w:hAnsi="Calibri" w:cs="Times New Roman"/>
          <w:color w:val="000000"/>
          <w:sz w:val="24"/>
        </w:rPr>
        <w:t xml:space="preserve"> and undertakes regular fundraising drives with a view to meeting those goals</w:t>
      </w:r>
      <w:r w:rsidR="00995D06">
        <w:rPr>
          <w:rFonts w:ascii="Calibri" w:eastAsia="Calibri" w:hAnsi="Calibri" w:cs="Times New Roman"/>
          <w:color w:val="000000"/>
          <w:sz w:val="24"/>
        </w:rPr>
        <w:t>.</w:t>
      </w:r>
    </w:p>
    <w:p w:rsidR="00441CB2" w:rsidRDefault="00F27DE3" w:rsidP="009D742D">
      <w:pPr>
        <w:pBdr>
          <w:top w:val="single" w:sz="4" w:space="1" w:color="auto"/>
          <w:left w:val="single" w:sz="4" w:space="4" w:color="auto"/>
          <w:bottom w:val="single" w:sz="4" w:space="1" w:color="auto"/>
          <w:right w:val="single" w:sz="4" w:space="4" w:color="auto"/>
        </w:pBdr>
        <w:tabs>
          <w:tab w:val="left" w:pos="340"/>
        </w:tabs>
        <w:spacing w:before="120" w:after="240"/>
        <w:rPr>
          <w:rFonts w:ascii="Calibri" w:eastAsia="Calibri" w:hAnsi="Calibri" w:cs="Times New Roman"/>
          <w:color w:val="000000"/>
          <w:sz w:val="24"/>
        </w:rPr>
      </w:pPr>
      <w:r>
        <w:rPr>
          <w:rFonts w:ascii="Calibri" w:eastAsia="Calibri" w:hAnsi="Calibri" w:cs="Times New Roman"/>
          <w:color w:val="000000"/>
          <w:sz w:val="24"/>
        </w:rPr>
        <w:t xml:space="preserve">The </w:t>
      </w:r>
      <w:r w:rsidR="00441CB2">
        <w:rPr>
          <w:rFonts w:ascii="Calibri" w:eastAsia="Calibri" w:hAnsi="Calibri" w:cs="Times New Roman"/>
          <w:color w:val="000000"/>
          <w:sz w:val="24"/>
        </w:rPr>
        <w:t xml:space="preserve">ACL is likely to apply to the </w:t>
      </w:r>
      <w:r>
        <w:rPr>
          <w:rFonts w:ascii="Calibri" w:eastAsia="Calibri" w:hAnsi="Calibri" w:cs="Times New Roman"/>
          <w:color w:val="000000"/>
          <w:sz w:val="24"/>
        </w:rPr>
        <w:t>fundraising activities</w:t>
      </w:r>
      <w:r w:rsidR="00995D06">
        <w:rPr>
          <w:rFonts w:ascii="Calibri" w:eastAsia="Calibri" w:hAnsi="Calibri" w:cs="Times New Roman"/>
          <w:color w:val="000000"/>
          <w:sz w:val="24"/>
        </w:rPr>
        <w:t xml:space="preserve"> of the incorporated association</w:t>
      </w:r>
      <w:r w:rsidR="00441CB2">
        <w:rPr>
          <w:rFonts w:ascii="Calibri" w:eastAsia="Calibri" w:hAnsi="Calibri" w:cs="Times New Roman"/>
          <w:color w:val="000000"/>
          <w:sz w:val="24"/>
        </w:rPr>
        <w:t>, because these activities</w:t>
      </w:r>
      <w:r>
        <w:rPr>
          <w:rFonts w:ascii="Calibri" w:eastAsia="Calibri" w:hAnsi="Calibri" w:cs="Times New Roman"/>
          <w:color w:val="000000"/>
          <w:sz w:val="24"/>
        </w:rPr>
        <w:t xml:space="preserve"> are </w:t>
      </w:r>
      <w:r w:rsidR="00441CB2">
        <w:rPr>
          <w:rFonts w:ascii="Calibri" w:eastAsia="Calibri" w:hAnsi="Calibri" w:cs="Times New Roman"/>
          <w:color w:val="000000"/>
          <w:sz w:val="24"/>
        </w:rPr>
        <w:t xml:space="preserve">undertaken in a business-like way and therefore </w:t>
      </w:r>
      <w:r w:rsidR="000D1443">
        <w:rPr>
          <w:rFonts w:ascii="Calibri" w:eastAsia="Calibri" w:hAnsi="Calibri" w:cs="Times New Roman"/>
          <w:color w:val="000000"/>
          <w:sz w:val="24"/>
        </w:rPr>
        <w:t xml:space="preserve">the fundraising activities are likely to be undertaken </w:t>
      </w:r>
      <w:r w:rsidR="00441CB2">
        <w:rPr>
          <w:rFonts w:ascii="Calibri" w:eastAsia="Calibri" w:hAnsi="Calibri" w:cs="Times New Roman"/>
          <w:color w:val="000000"/>
          <w:sz w:val="24"/>
        </w:rPr>
        <w:t>in trade or commerce.</w:t>
      </w:r>
    </w:p>
    <w:p w:rsidR="00597E5A"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Collecting a</w:t>
      </w:r>
      <w:r w:rsidRPr="00D51F20">
        <w:rPr>
          <w:rFonts w:ascii="Calibri" w:eastAsia="Calibri" w:hAnsi="Calibri" w:cs="Times New Roman"/>
          <w:color w:val="000000"/>
          <w:sz w:val="24"/>
        </w:rPr>
        <w:t xml:space="preserve"> </w:t>
      </w:r>
      <w:r>
        <w:rPr>
          <w:rFonts w:ascii="Calibri" w:eastAsia="Calibri" w:hAnsi="Calibri" w:cs="Times New Roman"/>
          <w:color w:val="000000"/>
          <w:sz w:val="24"/>
        </w:rPr>
        <w:t xml:space="preserve">non-enduring </w:t>
      </w:r>
      <w:r w:rsidRPr="00D51F20">
        <w:rPr>
          <w:rFonts w:ascii="Calibri" w:eastAsia="Calibri" w:hAnsi="Calibri" w:cs="Times New Roman"/>
          <w:color w:val="000000"/>
          <w:sz w:val="24"/>
        </w:rPr>
        <w:t xml:space="preserve">donation </w:t>
      </w:r>
      <w:r>
        <w:rPr>
          <w:rFonts w:ascii="Calibri" w:eastAsia="Calibri" w:hAnsi="Calibri" w:cs="Times New Roman"/>
          <w:color w:val="000000"/>
          <w:sz w:val="24"/>
        </w:rPr>
        <w:t xml:space="preserve">for a one-off cause </w:t>
      </w:r>
      <w:r w:rsidRPr="00D51F20">
        <w:rPr>
          <w:rFonts w:ascii="Calibri" w:eastAsia="Calibri" w:hAnsi="Calibri" w:cs="Times New Roman"/>
          <w:color w:val="000000"/>
          <w:sz w:val="24"/>
        </w:rPr>
        <w:t xml:space="preserve">is </w:t>
      </w:r>
      <w:r>
        <w:rPr>
          <w:rFonts w:ascii="Calibri" w:eastAsia="Calibri" w:hAnsi="Calibri" w:cs="Times New Roman"/>
          <w:color w:val="000000"/>
          <w:sz w:val="24"/>
        </w:rPr>
        <w:t xml:space="preserve">unlikely to be </w:t>
      </w:r>
      <w:r w:rsidRPr="00D51F20">
        <w:rPr>
          <w:rFonts w:ascii="Calibri" w:eastAsia="Calibri" w:hAnsi="Calibri" w:cs="Times New Roman"/>
          <w:color w:val="000000"/>
          <w:sz w:val="24"/>
        </w:rPr>
        <w:t>in trade or commerce</w:t>
      </w:r>
      <w:r>
        <w:rPr>
          <w:rFonts w:ascii="Calibri" w:eastAsia="Calibri" w:hAnsi="Calibri" w:cs="Times New Roman"/>
          <w:color w:val="000000"/>
          <w:sz w:val="24"/>
        </w:rPr>
        <w:t>.</w:t>
      </w:r>
      <w:r w:rsidRPr="00D51F20">
        <w:rPr>
          <w:rFonts w:ascii="Calibri" w:eastAsia="Calibri" w:hAnsi="Calibri" w:cs="Times New Roman"/>
          <w:color w:val="000000"/>
          <w:sz w:val="24"/>
        </w:rPr>
        <w:t xml:space="preserve"> </w:t>
      </w:r>
      <w:r>
        <w:rPr>
          <w:rFonts w:ascii="Calibri" w:eastAsia="Calibri" w:hAnsi="Calibri" w:cs="Times New Roman"/>
          <w:color w:val="000000"/>
          <w:sz w:val="24"/>
        </w:rPr>
        <w:t>I</w:t>
      </w:r>
      <w:r w:rsidRPr="00D51F20">
        <w:rPr>
          <w:rFonts w:ascii="Calibri" w:eastAsia="Calibri" w:hAnsi="Calibri" w:cs="Times New Roman"/>
          <w:color w:val="000000"/>
          <w:sz w:val="24"/>
        </w:rPr>
        <w:t xml:space="preserve">t is not </w:t>
      </w:r>
      <w:r>
        <w:rPr>
          <w:rFonts w:ascii="Calibri" w:eastAsia="Calibri" w:hAnsi="Calibri" w:cs="Times New Roman"/>
          <w:color w:val="000000"/>
          <w:sz w:val="24"/>
        </w:rPr>
        <w:t xml:space="preserve">likely to be </w:t>
      </w:r>
      <w:r w:rsidRPr="00D51F20">
        <w:rPr>
          <w:rFonts w:ascii="Calibri" w:eastAsia="Calibri" w:hAnsi="Calibri" w:cs="Times New Roman"/>
          <w:color w:val="000000"/>
          <w:sz w:val="24"/>
        </w:rPr>
        <w:t>conducted with the level of organisation, continuity and repetition of a business-like activity.</w:t>
      </w:r>
    </w:p>
    <w:p w:rsidR="00597E5A" w:rsidRDefault="00597E5A" w:rsidP="00597E5A">
      <w:pPr>
        <w:pBdr>
          <w:top w:val="single" w:sz="4" w:space="1" w:color="auto"/>
          <w:left w:val="single" w:sz="4" w:space="4" w:color="auto"/>
          <w:bottom w:val="single" w:sz="4" w:space="1" w:color="auto"/>
          <w:right w:val="single" w:sz="4" w:space="4" w:color="auto"/>
        </w:pBdr>
        <w:tabs>
          <w:tab w:val="left" w:pos="340"/>
        </w:tabs>
        <w:spacing w:before="120" w:after="240"/>
        <w:rPr>
          <w:rFonts w:ascii="Calibri" w:eastAsia="Calibri" w:hAnsi="Calibri" w:cs="Times New Roman"/>
          <w:color w:val="000000"/>
          <w:sz w:val="24"/>
        </w:rPr>
      </w:pPr>
      <w:r w:rsidRPr="001F0352">
        <w:rPr>
          <w:rFonts w:ascii="Calibri" w:hAnsi="Calibri"/>
          <w:b/>
          <w:sz w:val="24"/>
          <w:szCs w:val="24"/>
        </w:rPr>
        <w:t>EXAMPLE</w:t>
      </w:r>
    </w:p>
    <w:p w:rsidR="00597E5A" w:rsidRPr="00D86DB9" w:rsidRDefault="00597E5A" w:rsidP="00597E5A">
      <w:pPr>
        <w:pBdr>
          <w:top w:val="single" w:sz="4" w:space="1" w:color="auto"/>
          <w:left w:val="single" w:sz="4" w:space="4" w:color="auto"/>
          <w:bottom w:val="single" w:sz="4" w:space="1" w:color="auto"/>
          <w:right w:val="single" w:sz="4" w:space="4" w:color="auto"/>
        </w:pBdr>
        <w:tabs>
          <w:tab w:val="left" w:pos="340"/>
        </w:tabs>
        <w:spacing w:before="120" w:after="240"/>
        <w:rPr>
          <w:rFonts w:ascii="Calibri" w:eastAsia="Calibri" w:hAnsi="Calibri" w:cs="Times New Roman"/>
          <w:color w:val="000000"/>
          <w:sz w:val="24"/>
        </w:rPr>
      </w:pPr>
      <w:r w:rsidRPr="00D86DB9">
        <w:rPr>
          <w:rFonts w:ascii="Calibri" w:eastAsia="Calibri" w:hAnsi="Calibri" w:cs="Times New Roman"/>
          <w:color w:val="000000"/>
          <w:sz w:val="24"/>
        </w:rPr>
        <w:t>A person sets up a</w:t>
      </w:r>
      <w:r>
        <w:rPr>
          <w:rFonts w:ascii="Calibri" w:eastAsia="Calibri" w:hAnsi="Calibri" w:cs="Times New Roman"/>
          <w:color w:val="000000"/>
          <w:sz w:val="24"/>
        </w:rPr>
        <w:t xml:space="preserve"> one-time</w:t>
      </w:r>
      <w:r w:rsidRPr="00D86DB9">
        <w:rPr>
          <w:rFonts w:ascii="Calibri" w:eastAsia="Calibri" w:hAnsi="Calibri" w:cs="Times New Roman"/>
          <w:color w:val="000000"/>
          <w:sz w:val="24"/>
        </w:rPr>
        <w:t xml:space="preserve"> peer to peer fundraising appeal stating that the monies received will be used for seeking medical treatment for their ill child. They do not have a child and the money obtained was used for a holiday. The ACL </w:t>
      </w:r>
      <w:r>
        <w:rPr>
          <w:rFonts w:ascii="Calibri" w:eastAsia="Calibri" w:hAnsi="Calibri" w:cs="Times New Roman"/>
          <w:color w:val="000000"/>
          <w:sz w:val="24"/>
        </w:rPr>
        <w:t>is unlikely to</w:t>
      </w:r>
      <w:r w:rsidRPr="00D86DB9">
        <w:rPr>
          <w:rFonts w:ascii="Calibri" w:eastAsia="Calibri" w:hAnsi="Calibri" w:cs="Times New Roman"/>
          <w:color w:val="000000"/>
          <w:sz w:val="24"/>
        </w:rPr>
        <w:t xml:space="preserve"> apply to the misleading statements as the statement did not occur </w:t>
      </w:r>
      <w:r>
        <w:rPr>
          <w:rFonts w:ascii="Calibri" w:eastAsia="Calibri" w:hAnsi="Calibri" w:cs="Times New Roman"/>
          <w:color w:val="000000"/>
          <w:sz w:val="24"/>
        </w:rPr>
        <w:t xml:space="preserve">during </w:t>
      </w:r>
      <w:r w:rsidRPr="00D86DB9">
        <w:rPr>
          <w:rFonts w:ascii="Calibri" w:eastAsia="Calibri" w:hAnsi="Calibri" w:cs="Times New Roman"/>
          <w:color w:val="000000"/>
          <w:sz w:val="24"/>
        </w:rPr>
        <w:t>a business like activity</w:t>
      </w:r>
      <w:r>
        <w:rPr>
          <w:rFonts w:ascii="Calibri" w:eastAsia="Calibri" w:hAnsi="Calibri" w:cs="Times New Roman"/>
          <w:color w:val="000000"/>
          <w:sz w:val="24"/>
        </w:rPr>
        <w:t xml:space="preserve">. However, this </w:t>
      </w:r>
      <w:r w:rsidRPr="00D86DB9">
        <w:rPr>
          <w:rFonts w:ascii="Calibri" w:eastAsia="Calibri" w:hAnsi="Calibri" w:cs="Times New Roman"/>
          <w:color w:val="000000"/>
          <w:sz w:val="24"/>
        </w:rPr>
        <w:t>may be opportunistic fraud</w:t>
      </w:r>
      <w:r>
        <w:rPr>
          <w:rFonts w:ascii="Calibri" w:eastAsia="Calibri" w:hAnsi="Calibri" w:cs="Times New Roman"/>
          <w:color w:val="000000"/>
          <w:sz w:val="24"/>
        </w:rPr>
        <w:t xml:space="preserve"> and t</w:t>
      </w:r>
      <w:r w:rsidRPr="00D86DB9">
        <w:rPr>
          <w:rFonts w:ascii="Calibri" w:eastAsia="Calibri" w:hAnsi="Calibri" w:cs="Times New Roman"/>
          <w:color w:val="000000"/>
          <w:sz w:val="24"/>
        </w:rPr>
        <w:t xml:space="preserve">he person soliciting donations may be liable </w:t>
      </w:r>
      <w:r w:rsidRPr="00D86DB9">
        <w:rPr>
          <w:rFonts w:ascii="Calibri" w:eastAsia="Calibri" w:hAnsi="Calibri" w:cs="Times New Roman"/>
          <w:color w:val="000000"/>
          <w:sz w:val="24"/>
        </w:rPr>
        <w:lastRenderedPageBreak/>
        <w:t xml:space="preserve">under other laws, including criminal laws, for obtaining a financial advantage by deception. The conduct may also breach the rules of </w:t>
      </w:r>
      <w:r>
        <w:rPr>
          <w:rFonts w:ascii="Calibri" w:eastAsia="Calibri" w:hAnsi="Calibri" w:cs="Times New Roman"/>
          <w:color w:val="000000"/>
          <w:sz w:val="24"/>
        </w:rPr>
        <w:t>the online</w:t>
      </w:r>
      <w:r w:rsidRPr="00D86DB9">
        <w:rPr>
          <w:rFonts w:ascii="Calibri" w:eastAsia="Calibri" w:hAnsi="Calibri" w:cs="Times New Roman"/>
          <w:color w:val="000000"/>
          <w:sz w:val="24"/>
        </w:rPr>
        <w:t xml:space="preserve"> platform used to solicit donations.</w:t>
      </w:r>
    </w:p>
    <w:p w:rsidR="00597E5A" w:rsidRPr="009701DB" w:rsidRDefault="00597E5A" w:rsidP="00597E5A">
      <w:pPr>
        <w:pBdr>
          <w:top w:val="single" w:sz="4" w:space="1" w:color="auto"/>
          <w:left w:val="single" w:sz="4" w:space="4" w:color="auto"/>
          <w:bottom w:val="single" w:sz="4" w:space="1" w:color="auto"/>
          <w:right w:val="single" w:sz="4" w:space="4" w:color="auto"/>
        </w:pBdr>
        <w:tabs>
          <w:tab w:val="left" w:pos="340"/>
        </w:tabs>
        <w:spacing w:before="120" w:after="240"/>
        <w:rPr>
          <w:rFonts w:ascii="Calibri" w:eastAsia="Calibri" w:hAnsi="Calibri" w:cs="Times New Roman"/>
          <w:b/>
          <w:color w:val="000000"/>
          <w:sz w:val="24"/>
        </w:rPr>
      </w:pPr>
      <w:r>
        <w:rPr>
          <w:rFonts w:ascii="Calibri" w:eastAsia="Calibri" w:hAnsi="Calibri" w:cs="Times New Roman"/>
          <w:b/>
          <w:color w:val="000000"/>
          <w:sz w:val="24"/>
        </w:rPr>
        <w:t>EXAMPLE</w:t>
      </w:r>
    </w:p>
    <w:p w:rsidR="00597E5A" w:rsidRDefault="00597E5A" w:rsidP="00597E5A">
      <w:pPr>
        <w:pBdr>
          <w:top w:val="single" w:sz="4" w:space="1" w:color="auto"/>
          <w:left w:val="single" w:sz="4" w:space="4" w:color="auto"/>
          <w:bottom w:val="single" w:sz="4" w:space="1" w:color="auto"/>
          <w:right w:val="single" w:sz="4" w:space="4" w:color="auto"/>
        </w:pBdr>
        <w:spacing w:before="240" w:after="240"/>
        <w:rPr>
          <w:rFonts w:ascii="Calibri" w:eastAsia="Calibri" w:hAnsi="Calibri" w:cs="Times New Roman"/>
          <w:color w:val="000000"/>
          <w:sz w:val="24"/>
        </w:rPr>
      </w:pPr>
      <w:r>
        <w:rPr>
          <w:rFonts w:ascii="Calibri" w:eastAsia="Calibri" w:hAnsi="Calibri" w:cs="Times New Roman"/>
          <w:color w:val="000000"/>
          <w:sz w:val="24"/>
        </w:rPr>
        <w:t>A parent solicits donations from their extended family and work colleagues stating that the money will be used to fund their child attending a State athletics carnival. The funds are used for other purposes.</w:t>
      </w:r>
    </w:p>
    <w:p w:rsidR="00597E5A" w:rsidRPr="001F0352" w:rsidRDefault="00597E5A" w:rsidP="00597E5A">
      <w:pPr>
        <w:pBdr>
          <w:top w:val="single" w:sz="4" w:space="1" w:color="auto"/>
          <w:left w:val="single" w:sz="4" w:space="4" w:color="auto"/>
          <w:bottom w:val="single" w:sz="4" w:space="1" w:color="auto"/>
          <w:right w:val="single" w:sz="4" w:space="4" w:color="auto"/>
        </w:pBdr>
        <w:spacing w:before="240" w:after="240"/>
        <w:rPr>
          <w:rFonts w:ascii="Calibri" w:eastAsia="Calibri" w:hAnsi="Calibri" w:cs="Times New Roman"/>
          <w:color w:val="000000"/>
          <w:sz w:val="24"/>
        </w:rPr>
      </w:pPr>
      <w:r>
        <w:rPr>
          <w:rFonts w:ascii="Calibri" w:eastAsia="Calibri" w:hAnsi="Calibri" w:cs="Times New Roman"/>
          <w:color w:val="000000"/>
          <w:sz w:val="24"/>
        </w:rPr>
        <w:t>The ACL is unlikely to apply.</w:t>
      </w:r>
    </w:p>
    <w:p w:rsidR="00D660A6" w:rsidRPr="00145871" w:rsidRDefault="00D660A6" w:rsidP="00597E5A">
      <w:pPr>
        <w:spacing w:before="0" w:after="240"/>
        <w:rPr>
          <w:rFonts w:ascii="Calibri" w:eastAsia="Calibri" w:hAnsi="Calibri" w:cs="Times New Roman"/>
          <w:color w:val="003591" w:themeColor="text2"/>
          <w:sz w:val="24"/>
        </w:rPr>
      </w:pPr>
      <w:r>
        <w:rPr>
          <w:rFonts w:ascii="Calibri" w:eastAsia="Calibri" w:hAnsi="Calibri" w:cs="Times New Roman"/>
          <w:color w:val="003591" w:themeColor="text2"/>
          <w:sz w:val="24"/>
        </w:rPr>
        <w:t xml:space="preserve">OTHER LAWS </w:t>
      </w:r>
    </w:p>
    <w:p w:rsidR="00AA4E04" w:rsidRDefault="00597E5A" w:rsidP="00597E5A">
      <w:pPr>
        <w:spacing w:before="0" w:after="240"/>
        <w:rPr>
          <w:rFonts w:ascii="Calibri" w:eastAsia="Calibri" w:hAnsi="Calibri" w:cs="Times New Roman"/>
          <w:color w:val="000000"/>
          <w:sz w:val="24"/>
        </w:rPr>
      </w:pPr>
      <w:r w:rsidRPr="00316245">
        <w:rPr>
          <w:rFonts w:ascii="Calibri" w:eastAsia="Calibri" w:hAnsi="Calibri" w:cs="Times New Roman"/>
          <w:color w:val="000000"/>
          <w:sz w:val="24"/>
        </w:rPr>
        <w:t xml:space="preserve">If your </w:t>
      </w:r>
      <w:r>
        <w:rPr>
          <w:rFonts w:ascii="Calibri" w:eastAsia="Calibri" w:hAnsi="Calibri" w:cs="Times New Roman"/>
          <w:color w:val="000000"/>
          <w:sz w:val="24"/>
        </w:rPr>
        <w:t xml:space="preserve">fundraising </w:t>
      </w:r>
      <w:r w:rsidRPr="00316245">
        <w:rPr>
          <w:rFonts w:ascii="Calibri" w:eastAsia="Calibri" w:hAnsi="Calibri" w:cs="Times New Roman"/>
          <w:color w:val="000000"/>
          <w:sz w:val="24"/>
        </w:rPr>
        <w:t xml:space="preserve">activity is not in trade or commerce then the ACL obligations do not apply to that activity. </w:t>
      </w:r>
      <w:r>
        <w:rPr>
          <w:rFonts w:ascii="Calibri" w:eastAsia="Calibri" w:hAnsi="Calibri" w:cs="Times New Roman"/>
          <w:color w:val="000000"/>
          <w:sz w:val="24"/>
        </w:rPr>
        <w:t xml:space="preserve">The ACL </w:t>
      </w:r>
      <w:r w:rsidR="00D660A6">
        <w:rPr>
          <w:rFonts w:ascii="Calibri" w:eastAsia="Calibri" w:hAnsi="Calibri" w:cs="Times New Roman"/>
          <w:color w:val="000000"/>
          <w:sz w:val="24"/>
        </w:rPr>
        <w:t xml:space="preserve">may </w:t>
      </w:r>
      <w:r>
        <w:rPr>
          <w:rFonts w:ascii="Calibri" w:eastAsia="Calibri" w:hAnsi="Calibri" w:cs="Times New Roman"/>
          <w:color w:val="000000"/>
          <w:sz w:val="24"/>
        </w:rPr>
        <w:t>still apply to your other activities. Others laws may apply to your fundraising activities</w:t>
      </w:r>
      <w:r w:rsidR="00AA4E04">
        <w:rPr>
          <w:rFonts w:ascii="Calibri" w:eastAsia="Calibri" w:hAnsi="Calibri" w:cs="Times New Roman"/>
          <w:color w:val="000000"/>
          <w:sz w:val="24"/>
        </w:rPr>
        <w:t xml:space="preserve"> including State and Territory fundraising legislation, criminal and other laws. </w:t>
      </w:r>
      <w:r w:rsidR="00D660A6">
        <w:rPr>
          <w:rFonts w:ascii="Calibri" w:eastAsia="Calibri" w:hAnsi="Calibri" w:cs="Times New Roman"/>
          <w:color w:val="000000"/>
          <w:sz w:val="24"/>
        </w:rPr>
        <w:t xml:space="preserve">Your entity </w:t>
      </w:r>
      <w:r w:rsidR="00073064">
        <w:rPr>
          <w:rFonts w:ascii="Calibri" w:eastAsia="Calibri" w:hAnsi="Calibri" w:cs="Times New Roman"/>
          <w:color w:val="000000"/>
          <w:sz w:val="24"/>
        </w:rPr>
        <w:t>is also</w:t>
      </w:r>
      <w:r w:rsidR="00D660A6">
        <w:rPr>
          <w:rFonts w:ascii="Calibri" w:eastAsia="Calibri" w:hAnsi="Calibri" w:cs="Times New Roman"/>
          <w:color w:val="000000"/>
          <w:sz w:val="24"/>
        </w:rPr>
        <w:t xml:space="preserve"> regulated by laws governing its incorporation, such as State and Territory </w:t>
      </w:r>
      <w:proofErr w:type="gramStart"/>
      <w:r w:rsidR="00D660A6">
        <w:rPr>
          <w:rFonts w:ascii="Calibri" w:eastAsia="Calibri" w:hAnsi="Calibri" w:cs="Times New Roman"/>
          <w:color w:val="000000"/>
          <w:sz w:val="24"/>
        </w:rPr>
        <w:t>associations</w:t>
      </w:r>
      <w:proofErr w:type="gramEnd"/>
      <w:r w:rsidR="00D660A6">
        <w:rPr>
          <w:rFonts w:ascii="Calibri" w:eastAsia="Calibri" w:hAnsi="Calibri" w:cs="Times New Roman"/>
          <w:color w:val="000000"/>
          <w:sz w:val="24"/>
        </w:rPr>
        <w:t xml:space="preserve"> legislation or the </w:t>
      </w:r>
      <w:r w:rsidR="00D660A6">
        <w:rPr>
          <w:rFonts w:ascii="Calibri" w:eastAsia="Calibri" w:hAnsi="Calibri" w:cs="Times New Roman"/>
          <w:i/>
          <w:color w:val="000000"/>
          <w:sz w:val="24"/>
        </w:rPr>
        <w:t>Corporations Act 2001</w:t>
      </w:r>
      <w:r w:rsidR="00D660A6">
        <w:rPr>
          <w:rFonts w:ascii="Calibri" w:eastAsia="Calibri" w:hAnsi="Calibri" w:cs="Times New Roman"/>
          <w:color w:val="000000"/>
          <w:sz w:val="24"/>
        </w:rPr>
        <w:t>.</w:t>
      </w:r>
    </w:p>
    <w:p w:rsidR="00AA4E04" w:rsidRPr="00AA4E04" w:rsidRDefault="00AC6BC6"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 xml:space="preserve">The </w:t>
      </w:r>
      <w:r w:rsidR="00AA4E04">
        <w:rPr>
          <w:rFonts w:ascii="Calibri" w:eastAsia="Calibri" w:hAnsi="Calibri" w:cs="Times New Roman"/>
          <w:color w:val="000000"/>
          <w:sz w:val="24"/>
        </w:rPr>
        <w:t xml:space="preserve">Australian Charities and Not-for-profits Commission (ACNC) is the national regulator of charities. Whilst the ACNC does not regulate fundraising </w:t>
      </w:r>
      <w:r w:rsidR="00AA4E04" w:rsidRPr="00145871">
        <w:rPr>
          <w:rFonts w:ascii="Calibri" w:eastAsia="Calibri" w:hAnsi="Calibri" w:cs="Times New Roman"/>
          <w:i/>
          <w:color w:val="000000"/>
          <w:sz w:val="24"/>
        </w:rPr>
        <w:t>per se</w:t>
      </w:r>
      <w:r w:rsidR="00AA4E04">
        <w:rPr>
          <w:rFonts w:ascii="Calibri" w:eastAsia="Calibri" w:hAnsi="Calibri" w:cs="Times New Roman"/>
          <w:color w:val="000000"/>
          <w:sz w:val="24"/>
        </w:rPr>
        <w:t xml:space="preserve">, charities that are registered with the ACNC must conduct their operations in compliance with the </w:t>
      </w:r>
      <w:r w:rsidR="00AA4E04" w:rsidRPr="00145871">
        <w:rPr>
          <w:rFonts w:ascii="Calibri" w:eastAsia="Calibri" w:hAnsi="Calibri" w:cs="Times New Roman"/>
          <w:i/>
          <w:color w:val="000000"/>
          <w:sz w:val="24"/>
        </w:rPr>
        <w:t>Australian Charities and Not-for-profits Commission Act 2012</w:t>
      </w:r>
      <w:r w:rsidR="00AA4E04">
        <w:rPr>
          <w:rFonts w:ascii="Calibri" w:eastAsia="Calibri" w:hAnsi="Calibri" w:cs="Times New Roman"/>
          <w:color w:val="000000"/>
          <w:sz w:val="24"/>
        </w:rPr>
        <w:t xml:space="preserve"> and ACNC governance standards. </w:t>
      </w:r>
    </w:p>
    <w:p w:rsidR="00597E5A" w:rsidRDefault="00597E5A" w:rsidP="00597E5A">
      <w:pPr>
        <w:keepNext/>
        <w:keepLines/>
        <w:spacing w:before="360" w:after="240"/>
        <w:outlineLvl w:val="0"/>
        <w:rPr>
          <w:rFonts w:ascii="Calibri" w:eastAsia="Times New Roman" w:hAnsi="Calibri" w:cs="Times New Roman"/>
          <w:b/>
          <w:bCs/>
          <w:smallCaps/>
          <w:color w:val="595959"/>
          <w:sz w:val="44"/>
          <w:szCs w:val="28"/>
        </w:rPr>
      </w:pPr>
      <w:proofErr w:type="gramStart"/>
      <w:r w:rsidRPr="00D86DB9">
        <w:rPr>
          <w:rFonts w:ascii="Calibri" w:eastAsia="Times New Roman" w:hAnsi="Calibri" w:cs="Times New Roman"/>
          <w:b/>
          <w:bCs/>
          <w:smallCaps/>
          <w:color w:val="595959"/>
          <w:sz w:val="44"/>
          <w:szCs w:val="28"/>
        </w:rPr>
        <w:t>Your</w:t>
      </w:r>
      <w:proofErr w:type="gramEnd"/>
      <w:r w:rsidRPr="00D86DB9">
        <w:rPr>
          <w:rFonts w:ascii="Calibri" w:eastAsia="Times New Roman" w:hAnsi="Calibri" w:cs="Times New Roman"/>
          <w:b/>
          <w:bCs/>
          <w:smallCaps/>
          <w:color w:val="595959"/>
          <w:sz w:val="44"/>
          <w:szCs w:val="28"/>
        </w:rPr>
        <w:t xml:space="preserve"> obligations under the ACL </w:t>
      </w:r>
    </w:p>
    <w:p w:rsidR="0065671D" w:rsidRPr="00605229" w:rsidRDefault="0065671D" w:rsidP="0065671D">
      <w:pPr>
        <w:rPr>
          <w:rFonts w:ascii="Calibri" w:eastAsia="Calibri" w:hAnsi="Calibri" w:cs="Times New Roman"/>
          <w:color w:val="000000"/>
          <w:sz w:val="24"/>
        </w:rPr>
      </w:pPr>
    </w:p>
    <w:tbl>
      <w:tblPr>
        <w:tblStyle w:val="ACCCTable1"/>
        <w:tblW w:w="0" w:type="auto"/>
        <w:tblInd w:w="108" w:type="dxa"/>
        <w:shd w:val="clear" w:color="auto" w:fill="F2F2F2" w:themeFill="background1" w:themeFillShade="F2"/>
        <w:tblLook w:val="04A0" w:firstRow="1" w:lastRow="0" w:firstColumn="1" w:lastColumn="0" w:noHBand="0" w:noVBand="1"/>
      </w:tblPr>
      <w:tblGrid>
        <w:gridCol w:w="9066"/>
      </w:tblGrid>
      <w:tr w:rsidR="0065671D" w:rsidRPr="00D86DB9" w:rsidTr="00F83F99">
        <w:tc>
          <w:tcPr>
            <w:tcW w:w="9134" w:type="dxa"/>
            <w:tcBorders>
              <w:top w:val="nil"/>
              <w:left w:val="nil"/>
              <w:bottom w:val="nil"/>
              <w:right w:val="nil"/>
            </w:tcBorders>
            <w:shd w:val="clear" w:color="auto" w:fill="BCE292"/>
          </w:tcPr>
          <w:p w:rsidR="0065671D" w:rsidRPr="004C0704" w:rsidRDefault="0065671D" w:rsidP="00F83F99">
            <w:pPr>
              <w:keepNext/>
              <w:spacing w:after="240"/>
              <w:rPr>
                <w:rFonts w:ascii="Calibri" w:eastAsia="Calibri" w:hAnsi="Calibri" w:cs="Times New Roman"/>
                <w:b/>
                <w:smallCaps/>
                <w:color w:val="000000"/>
                <w:sz w:val="32"/>
                <w:szCs w:val="32"/>
              </w:rPr>
            </w:pPr>
            <w:r w:rsidRPr="004C0704">
              <w:rPr>
                <w:rFonts w:ascii="Calibri" w:eastAsia="Calibri" w:hAnsi="Calibri" w:cs="Times New Roman"/>
                <w:b/>
                <w:smallCaps/>
                <w:color w:val="000000"/>
                <w:sz w:val="32"/>
                <w:szCs w:val="32"/>
              </w:rPr>
              <w:t xml:space="preserve">Key </w:t>
            </w:r>
            <w:r>
              <w:rPr>
                <w:rFonts w:ascii="Calibri" w:eastAsia="Calibri" w:hAnsi="Calibri" w:cs="Times New Roman"/>
                <w:b/>
                <w:smallCaps/>
                <w:color w:val="000000"/>
                <w:sz w:val="32"/>
                <w:szCs w:val="32"/>
              </w:rPr>
              <w:t>P</w:t>
            </w:r>
            <w:r w:rsidRPr="004C0704">
              <w:rPr>
                <w:rFonts w:ascii="Calibri" w:eastAsia="Calibri" w:hAnsi="Calibri" w:cs="Times New Roman"/>
                <w:b/>
                <w:smallCaps/>
                <w:color w:val="000000"/>
                <w:sz w:val="32"/>
                <w:szCs w:val="32"/>
              </w:rPr>
              <w:t>oint</w:t>
            </w:r>
          </w:p>
          <w:p w:rsidR="0065671D" w:rsidRPr="008D4174" w:rsidRDefault="0065671D" w:rsidP="00F83F99">
            <w:pPr>
              <w:spacing w:after="240"/>
              <w:rPr>
                <w:rFonts w:ascii="Calibri" w:eastAsia="Calibri" w:hAnsi="Calibri" w:cs="Times New Roman"/>
                <w:b/>
                <w:color w:val="000000"/>
                <w:sz w:val="28"/>
                <w:szCs w:val="28"/>
              </w:rPr>
            </w:pPr>
            <w:r>
              <w:rPr>
                <w:rFonts w:ascii="Calibri" w:eastAsia="Calibri" w:hAnsi="Calibri" w:cs="Times New Roman"/>
                <w:color w:val="000000"/>
                <w:sz w:val="28"/>
                <w:szCs w:val="28"/>
              </w:rPr>
              <w:t>You should be open, truthful and fair when fundraising. If you are, then you are unlikely to raise concerns under the ACL.</w:t>
            </w:r>
          </w:p>
        </w:tc>
      </w:tr>
    </w:tbl>
    <w:p w:rsidR="00605229" w:rsidRPr="00D86DB9" w:rsidRDefault="00605229" w:rsidP="00605229">
      <w:pPr>
        <w:spacing w:before="0" w:after="240"/>
        <w:rPr>
          <w:rFonts w:ascii="Calibri" w:eastAsia="Calibri" w:hAnsi="Calibri" w:cs="Times New Roman"/>
          <w:color w:val="000000"/>
          <w:sz w:val="24"/>
        </w:rPr>
      </w:pPr>
      <w:r w:rsidRPr="00D86DB9">
        <w:rPr>
          <w:rFonts w:ascii="Calibri" w:eastAsia="Calibri" w:hAnsi="Calibri" w:cs="Times New Roman"/>
          <w:color w:val="000000"/>
          <w:sz w:val="24"/>
        </w:rPr>
        <w:t xml:space="preserve">The extent to which a particular provision of the ACL </w:t>
      </w:r>
      <w:r>
        <w:rPr>
          <w:rFonts w:ascii="Calibri" w:eastAsia="Calibri" w:hAnsi="Calibri" w:cs="Times New Roman"/>
          <w:color w:val="000000"/>
          <w:sz w:val="24"/>
        </w:rPr>
        <w:t>may apply</w:t>
      </w:r>
      <w:r w:rsidRPr="00D86DB9">
        <w:rPr>
          <w:rFonts w:ascii="Calibri" w:eastAsia="Calibri" w:hAnsi="Calibri" w:cs="Times New Roman"/>
          <w:color w:val="000000"/>
          <w:sz w:val="24"/>
        </w:rPr>
        <w:t xml:space="preserve"> to your activities depend</w:t>
      </w:r>
      <w:r>
        <w:rPr>
          <w:rFonts w:ascii="Calibri" w:eastAsia="Calibri" w:hAnsi="Calibri" w:cs="Times New Roman"/>
          <w:color w:val="000000"/>
          <w:sz w:val="24"/>
        </w:rPr>
        <w:t xml:space="preserve">s </w:t>
      </w:r>
      <w:r w:rsidRPr="00D86DB9">
        <w:rPr>
          <w:rFonts w:ascii="Calibri" w:eastAsia="Calibri" w:hAnsi="Calibri" w:cs="Times New Roman"/>
          <w:color w:val="000000"/>
          <w:sz w:val="24"/>
        </w:rPr>
        <w:t xml:space="preserve">on </w:t>
      </w:r>
      <w:r w:rsidRPr="00605229">
        <w:rPr>
          <w:rFonts w:ascii="Calibri" w:eastAsia="Calibri" w:hAnsi="Calibri" w:cs="Times New Roman"/>
          <w:color w:val="000000"/>
          <w:sz w:val="24"/>
        </w:rPr>
        <w:t xml:space="preserve">the wording of the provision of the ACL, the character and </w:t>
      </w:r>
      <w:r>
        <w:rPr>
          <w:rFonts w:ascii="Calibri" w:eastAsia="Calibri" w:hAnsi="Calibri" w:cs="Times New Roman"/>
          <w:color w:val="000000"/>
          <w:sz w:val="24"/>
        </w:rPr>
        <w:t>nature</w:t>
      </w:r>
      <w:r w:rsidRPr="00605229">
        <w:rPr>
          <w:rFonts w:ascii="Calibri" w:eastAsia="Calibri" w:hAnsi="Calibri" w:cs="Times New Roman"/>
          <w:color w:val="000000"/>
          <w:sz w:val="24"/>
        </w:rPr>
        <w:t xml:space="preserve"> of your organisation and the particular facts around </w:t>
      </w:r>
      <w:r w:rsidR="0065671D">
        <w:rPr>
          <w:rFonts w:ascii="Calibri" w:eastAsia="Calibri" w:hAnsi="Calibri" w:cs="Times New Roman"/>
          <w:color w:val="000000"/>
          <w:sz w:val="24"/>
        </w:rPr>
        <w:t>how the activity is conducted</w:t>
      </w:r>
      <w:r w:rsidRPr="00D86DB9">
        <w:rPr>
          <w:rFonts w:ascii="Calibri" w:eastAsia="Calibri" w:hAnsi="Calibri" w:cs="Times New Roman"/>
          <w:color w:val="000000"/>
          <w:sz w:val="24"/>
        </w:rPr>
        <w:t>.</w:t>
      </w:r>
    </w:p>
    <w:p w:rsidR="00597E5A" w:rsidRPr="00D86DB9" w:rsidRDefault="00597E5A" w:rsidP="00597E5A">
      <w:pPr>
        <w:rPr>
          <w:rFonts w:ascii="Calibri" w:eastAsia="Calibri" w:hAnsi="Calibri" w:cs="Times New Roman"/>
          <w:color w:val="000000"/>
          <w:sz w:val="24"/>
        </w:rPr>
      </w:pPr>
      <w:r>
        <w:rPr>
          <w:rFonts w:ascii="Calibri" w:eastAsia="Calibri" w:hAnsi="Calibri" w:cs="Times New Roman"/>
          <w:color w:val="000000"/>
          <w:sz w:val="24"/>
        </w:rPr>
        <w:t xml:space="preserve">If your fundraising activities are in trade or commerce then you have a number of </w:t>
      </w:r>
      <w:r w:rsidRPr="00D86DB9">
        <w:rPr>
          <w:rFonts w:ascii="Calibri" w:eastAsia="Calibri" w:hAnsi="Calibri" w:cs="Times New Roman"/>
          <w:color w:val="000000"/>
          <w:sz w:val="24"/>
        </w:rPr>
        <w:t xml:space="preserve">obligations </w:t>
      </w:r>
      <w:r>
        <w:rPr>
          <w:rFonts w:ascii="Calibri" w:eastAsia="Calibri" w:hAnsi="Calibri" w:cs="Times New Roman"/>
          <w:color w:val="000000"/>
          <w:sz w:val="24"/>
        </w:rPr>
        <w:t xml:space="preserve">that you must meet that are </w:t>
      </w:r>
      <w:r w:rsidRPr="00D86DB9">
        <w:rPr>
          <w:rFonts w:ascii="Calibri" w:eastAsia="Calibri" w:hAnsi="Calibri" w:cs="Times New Roman"/>
          <w:color w:val="000000"/>
          <w:sz w:val="24"/>
        </w:rPr>
        <w:t xml:space="preserve">designed to protect consumers. Broadly, this includes </w:t>
      </w:r>
      <w:r>
        <w:rPr>
          <w:rFonts w:ascii="Calibri" w:eastAsia="Calibri" w:hAnsi="Calibri" w:cs="Times New Roman"/>
          <w:color w:val="000000"/>
          <w:sz w:val="24"/>
        </w:rPr>
        <w:t>not</w:t>
      </w:r>
      <w:r w:rsidRPr="00D86DB9">
        <w:rPr>
          <w:rFonts w:ascii="Calibri" w:eastAsia="Calibri" w:hAnsi="Calibri" w:cs="Times New Roman"/>
          <w:color w:val="000000"/>
          <w:sz w:val="24"/>
        </w:rPr>
        <w:t>:</w:t>
      </w:r>
    </w:p>
    <w:p w:rsidR="00597E5A" w:rsidRPr="00D86DB9" w:rsidRDefault="00597E5A" w:rsidP="00597E5A">
      <w:pPr>
        <w:numPr>
          <w:ilvl w:val="0"/>
          <w:numId w:val="30"/>
        </w:numPr>
        <w:tabs>
          <w:tab w:val="left" w:pos="340"/>
        </w:tabs>
        <w:spacing w:before="120" w:after="240"/>
        <w:rPr>
          <w:rFonts w:ascii="Calibri" w:eastAsia="Calibri" w:hAnsi="Calibri" w:cs="Times New Roman"/>
          <w:color w:val="000000"/>
          <w:sz w:val="24"/>
        </w:rPr>
      </w:pPr>
      <w:r>
        <w:rPr>
          <w:rFonts w:ascii="Calibri" w:eastAsia="Calibri" w:hAnsi="Calibri" w:cs="Times New Roman"/>
          <w:color w:val="000000"/>
          <w:sz w:val="24"/>
        </w:rPr>
        <w:t>engaging in m</w:t>
      </w:r>
      <w:r w:rsidRPr="00D86DB9">
        <w:rPr>
          <w:rFonts w:ascii="Calibri" w:eastAsia="Calibri" w:hAnsi="Calibri" w:cs="Times New Roman"/>
          <w:color w:val="000000"/>
          <w:sz w:val="24"/>
        </w:rPr>
        <w:t>isleading or deceptive conduct</w:t>
      </w:r>
    </w:p>
    <w:p w:rsidR="00597E5A" w:rsidRPr="00D86DB9" w:rsidRDefault="00597E5A" w:rsidP="00597E5A">
      <w:pPr>
        <w:numPr>
          <w:ilvl w:val="0"/>
          <w:numId w:val="30"/>
        </w:numPr>
        <w:tabs>
          <w:tab w:val="left" w:pos="340"/>
        </w:tabs>
        <w:spacing w:before="120" w:after="240"/>
        <w:rPr>
          <w:rFonts w:ascii="Calibri" w:eastAsia="Calibri" w:hAnsi="Calibri" w:cs="Times New Roman"/>
          <w:color w:val="000000"/>
          <w:sz w:val="24"/>
        </w:rPr>
      </w:pPr>
      <w:r>
        <w:rPr>
          <w:rFonts w:ascii="Calibri" w:eastAsia="Calibri" w:hAnsi="Calibri" w:cs="Times New Roman"/>
          <w:color w:val="000000"/>
          <w:sz w:val="24"/>
        </w:rPr>
        <w:t>m</w:t>
      </w:r>
      <w:r w:rsidRPr="00D86DB9">
        <w:rPr>
          <w:rFonts w:ascii="Calibri" w:eastAsia="Calibri" w:hAnsi="Calibri" w:cs="Times New Roman"/>
          <w:color w:val="000000"/>
          <w:sz w:val="24"/>
        </w:rPr>
        <w:t>aking false or misleading representations</w:t>
      </w:r>
    </w:p>
    <w:p w:rsidR="00597E5A" w:rsidRPr="00D86DB9" w:rsidRDefault="00597E5A" w:rsidP="00597E5A">
      <w:pPr>
        <w:numPr>
          <w:ilvl w:val="0"/>
          <w:numId w:val="30"/>
        </w:numPr>
        <w:tabs>
          <w:tab w:val="left" w:pos="340"/>
        </w:tabs>
        <w:spacing w:before="120" w:after="240"/>
        <w:rPr>
          <w:rFonts w:ascii="Calibri" w:eastAsia="Calibri" w:hAnsi="Calibri" w:cs="Times New Roman"/>
          <w:color w:val="000000"/>
          <w:sz w:val="24"/>
        </w:rPr>
      </w:pPr>
      <w:r>
        <w:rPr>
          <w:rFonts w:ascii="Calibri" w:eastAsia="Calibri" w:hAnsi="Calibri" w:cs="Times New Roman"/>
          <w:color w:val="000000"/>
          <w:sz w:val="24"/>
        </w:rPr>
        <w:t>engaging in u</w:t>
      </w:r>
      <w:r w:rsidRPr="00D86DB9">
        <w:rPr>
          <w:rFonts w:ascii="Calibri" w:eastAsia="Calibri" w:hAnsi="Calibri" w:cs="Times New Roman"/>
          <w:color w:val="000000"/>
          <w:sz w:val="24"/>
        </w:rPr>
        <w:t>nconscionable conduct</w:t>
      </w:r>
    </w:p>
    <w:p w:rsidR="00597E5A" w:rsidRPr="00D86DB9" w:rsidRDefault="00597E5A" w:rsidP="00597E5A">
      <w:pPr>
        <w:spacing w:before="0" w:after="240"/>
        <w:rPr>
          <w:rFonts w:ascii="Calibri" w:eastAsia="Calibri" w:hAnsi="Calibri" w:cs="Times New Roman"/>
          <w:color w:val="000000"/>
          <w:sz w:val="24"/>
        </w:rPr>
      </w:pPr>
    </w:p>
    <w:tbl>
      <w:tblPr>
        <w:tblStyle w:val="ACCCTable1"/>
        <w:tblW w:w="0" w:type="auto"/>
        <w:tblInd w:w="108" w:type="dxa"/>
        <w:shd w:val="clear" w:color="auto" w:fill="F2F2F2" w:themeFill="background1" w:themeFillShade="F2"/>
        <w:tblLook w:val="04A0" w:firstRow="1" w:lastRow="0" w:firstColumn="1" w:lastColumn="0" w:noHBand="0" w:noVBand="1"/>
      </w:tblPr>
      <w:tblGrid>
        <w:gridCol w:w="9066"/>
      </w:tblGrid>
      <w:tr w:rsidR="00597E5A" w:rsidRPr="00D86DB9" w:rsidTr="00A6591F">
        <w:tc>
          <w:tcPr>
            <w:tcW w:w="9134" w:type="dxa"/>
            <w:tcBorders>
              <w:top w:val="nil"/>
              <w:left w:val="nil"/>
              <w:bottom w:val="nil"/>
              <w:right w:val="nil"/>
            </w:tcBorders>
            <w:shd w:val="clear" w:color="auto" w:fill="BCE292"/>
          </w:tcPr>
          <w:p w:rsidR="00597E5A" w:rsidRPr="004C0704" w:rsidRDefault="00597E5A" w:rsidP="00A6591F">
            <w:pPr>
              <w:keepNext/>
              <w:spacing w:after="240"/>
              <w:rPr>
                <w:rFonts w:ascii="Calibri" w:eastAsia="Calibri" w:hAnsi="Calibri" w:cs="Times New Roman"/>
                <w:b/>
                <w:smallCaps/>
                <w:color w:val="000000"/>
                <w:sz w:val="32"/>
                <w:szCs w:val="32"/>
              </w:rPr>
            </w:pPr>
            <w:r w:rsidRPr="004C0704">
              <w:rPr>
                <w:rFonts w:ascii="Calibri" w:eastAsia="Calibri" w:hAnsi="Calibri" w:cs="Times New Roman"/>
                <w:b/>
                <w:smallCaps/>
                <w:color w:val="000000"/>
                <w:sz w:val="32"/>
                <w:szCs w:val="32"/>
              </w:rPr>
              <w:lastRenderedPageBreak/>
              <w:t xml:space="preserve">Key </w:t>
            </w:r>
            <w:r>
              <w:rPr>
                <w:rFonts w:ascii="Calibri" w:eastAsia="Calibri" w:hAnsi="Calibri" w:cs="Times New Roman"/>
                <w:b/>
                <w:smallCaps/>
                <w:color w:val="000000"/>
                <w:sz w:val="32"/>
                <w:szCs w:val="32"/>
              </w:rPr>
              <w:t>P</w:t>
            </w:r>
            <w:r w:rsidRPr="004C0704">
              <w:rPr>
                <w:rFonts w:ascii="Calibri" w:eastAsia="Calibri" w:hAnsi="Calibri" w:cs="Times New Roman"/>
                <w:b/>
                <w:smallCaps/>
                <w:color w:val="000000"/>
                <w:sz w:val="32"/>
                <w:szCs w:val="32"/>
              </w:rPr>
              <w:t>oints</w:t>
            </w:r>
          </w:p>
          <w:p w:rsidR="00597E5A" w:rsidRPr="00E41370" w:rsidRDefault="00597E5A" w:rsidP="00A6591F">
            <w:pPr>
              <w:spacing w:after="240"/>
              <w:rPr>
                <w:rFonts w:ascii="Calibri" w:eastAsia="Calibri" w:hAnsi="Calibri" w:cs="Times New Roman"/>
                <w:color w:val="000000"/>
                <w:sz w:val="28"/>
                <w:szCs w:val="28"/>
              </w:rPr>
            </w:pPr>
            <w:r w:rsidRPr="00E41370">
              <w:rPr>
                <w:rFonts w:ascii="Calibri" w:eastAsia="Calibri" w:hAnsi="Calibri" w:cs="Times New Roman"/>
                <w:color w:val="000000"/>
                <w:sz w:val="28"/>
                <w:szCs w:val="28"/>
              </w:rPr>
              <w:t>Generally, if your conduct is in trade or commerce:</w:t>
            </w:r>
          </w:p>
          <w:p w:rsidR="00597E5A" w:rsidRPr="00E41370" w:rsidRDefault="00597E5A" w:rsidP="00A6591F">
            <w:pPr>
              <w:numPr>
                <w:ilvl w:val="0"/>
                <w:numId w:val="31"/>
              </w:numPr>
              <w:tabs>
                <w:tab w:val="left" w:pos="318"/>
              </w:tabs>
              <w:spacing w:before="120" w:after="120"/>
              <w:ind w:left="318" w:hanging="284"/>
              <w:rPr>
                <w:rFonts w:ascii="Calibri" w:eastAsia="Calibri" w:hAnsi="Calibri" w:cs="Times New Roman"/>
                <w:color w:val="000000"/>
                <w:sz w:val="28"/>
                <w:szCs w:val="28"/>
              </w:rPr>
            </w:pPr>
            <w:r w:rsidRPr="00E41370">
              <w:rPr>
                <w:rFonts w:ascii="Calibri" w:eastAsia="Calibri" w:hAnsi="Calibri" w:cs="Times New Roman"/>
                <w:color w:val="000000"/>
                <w:sz w:val="28"/>
                <w:szCs w:val="28"/>
              </w:rPr>
              <w:t>you must not engage in misleading or deceptive conduct or unconscionable conduct; and</w:t>
            </w:r>
          </w:p>
          <w:p w:rsidR="00597E5A" w:rsidRPr="008D4174" w:rsidRDefault="00597E5A" w:rsidP="00A6591F">
            <w:pPr>
              <w:numPr>
                <w:ilvl w:val="0"/>
                <w:numId w:val="31"/>
              </w:numPr>
              <w:tabs>
                <w:tab w:val="left" w:pos="318"/>
              </w:tabs>
              <w:spacing w:before="120" w:after="120"/>
              <w:ind w:left="318" w:hanging="284"/>
              <w:rPr>
                <w:rFonts w:ascii="Calibri" w:eastAsia="Calibri" w:hAnsi="Calibri" w:cs="Times New Roman"/>
                <w:b/>
                <w:color w:val="000000"/>
                <w:sz w:val="28"/>
                <w:szCs w:val="28"/>
              </w:rPr>
            </w:pPr>
            <w:proofErr w:type="gramStart"/>
            <w:r w:rsidRPr="00E41370">
              <w:rPr>
                <w:rFonts w:ascii="Calibri" w:eastAsia="Calibri" w:hAnsi="Calibri" w:cs="Times New Roman"/>
                <w:color w:val="000000"/>
                <w:sz w:val="28"/>
                <w:szCs w:val="28"/>
              </w:rPr>
              <w:t>if</w:t>
            </w:r>
            <w:proofErr w:type="gramEnd"/>
            <w:r w:rsidRPr="00E41370">
              <w:rPr>
                <w:rFonts w:ascii="Calibri" w:eastAsia="Calibri" w:hAnsi="Calibri" w:cs="Times New Roman"/>
                <w:color w:val="000000"/>
                <w:sz w:val="28"/>
                <w:szCs w:val="28"/>
              </w:rPr>
              <w:t xml:space="preserve"> your fundraising activities also involve supplying goods or services, you must not make false or misleading representations or engage in unconscionable conduct in relation to the supply of those goods or services.</w:t>
            </w:r>
          </w:p>
        </w:tc>
      </w:tr>
    </w:tbl>
    <w:p w:rsidR="00597E5A" w:rsidRPr="00D86DB9" w:rsidRDefault="00597E5A" w:rsidP="00597E5A">
      <w:pPr>
        <w:keepNext/>
        <w:keepLines/>
        <w:spacing w:before="360" w:after="240"/>
        <w:outlineLvl w:val="0"/>
        <w:rPr>
          <w:rFonts w:ascii="Calibri" w:eastAsia="Times New Roman" w:hAnsi="Calibri" w:cs="Times New Roman"/>
          <w:b/>
          <w:bCs/>
          <w:smallCaps/>
          <w:color w:val="595959"/>
          <w:sz w:val="44"/>
          <w:szCs w:val="28"/>
        </w:rPr>
      </w:pPr>
      <w:r w:rsidRPr="00D86DB9">
        <w:rPr>
          <w:rFonts w:ascii="Calibri" w:eastAsia="Times New Roman" w:hAnsi="Calibri" w:cs="Times New Roman"/>
          <w:b/>
          <w:bCs/>
          <w:smallCaps/>
          <w:color w:val="595959"/>
          <w:sz w:val="44"/>
          <w:szCs w:val="28"/>
        </w:rPr>
        <w:t>The prohibition o</w:t>
      </w:r>
      <w:r>
        <w:rPr>
          <w:rFonts w:ascii="Calibri" w:eastAsia="Times New Roman" w:hAnsi="Calibri" w:cs="Times New Roman"/>
          <w:b/>
          <w:bCs/>
          <w:smallCaps/>
          <w:color w:val="595959"/>
          <w:sz w:val="44"/>
          <w:szCs w:val="28"/>
        </w:rPr>
        <w:t>n</w:t>
      </w:r>
      <w:r w:rsidRPr="00D86DB9">
        <w:rPr>
          <w:rFonts w:ascii="Calibri" w:eastAsia="Times New Roman" w:hAnsi="Calibri" w:cs="Times New Roman"/>
          <w:b/>
          <w:bCs/>
          <w:smallCaps/>
          <w:color w:val="595959"/>
          <w:sz w:val="44"/>
          <w:szCs w:val="28"/>
        </w:rPr>
        <w:t xml:space="preserve"> misleading or deceptive conduct</w:t>
      </w:r>
    </w:p>
    <w:p w:rsidR="00597E5A" w:rsidRPr="00D86DB9" w:rsidRDefault="00597E5A" w:rsidP="00597E5A">
      <w:pPr>
        <w:spacing w:before="0" w:after="240"/>
        <w:rPr>
          <w:rFonts w:ascii="Calibri" w:eastAsia="Calibri" w:hAnsi="Calibri" w:cs="Times New Roman"/>
          <w:color w:val="000000"/>
          <w:sz w:val="24"/>
        </w:rPr>
      </w:pPr>
      <w:r w:rsidRPr="00D86DB9">
        <w:rPr>
          <w:rFonts w:ascii="Calibri" w:eastAsia="Calibri" w:hAnsi="Calibri" w:cs="Times New Roman"/>
          <w:color w:val="000000"/>
          <w:sz w:val="24"/>
        </w:rPr>
        <w:t xml:space="preserve">If your </w:t>
      </w:r>
      <w:r>
        <w:rPr>
          <w:rFonts w:ascii="Calibri" w:eastAsia="Calibri" w:hAnsi="Calibri" w:cs="Times New Roman"/>
          <w:color w:val="000000"/>
          <w:sz w:val="24"/>
        </w:rPr>
        <w:t xml:space="preserve">fundraising </w:t>
      </w:r>
      <w:r w:rsidRPr="00D86DB9">
        <w:rPr>
          <w:rFonts w:ascii="Calibri" w:eastAsia="Calibri" w:hAnsi="Calibri" w:cs="Times New Roman"/>
          <w:color w:val="000000"/>
          <w:sz w:val="24"/>
        </w:rPr>
        <w:t xml:space="preserve">activities </w:t>
      </w:r>
      <w:r>
        <w:rPr>
          <w:rFonts w:ascii="Calibri" w:eastAsia="Calibri" w:hAnsi="Calibri" w:cs="Times New Roman"/>
          <w:color w:val="000000"/>
          <w:sz w:val="24"/>
        </w:rPr>
        <w:t xml:space="preserve">are in </w:t>
      </w:r>
      <w:r w:rsidRPr="00D86DB9">
        <w:rPr>
          <w:rFonts w:ascii="Calibri" w:eastAsia="Calibri" w:hAnsi="Calibri" w:cs="Times New Roman"/>
          <w:color w:val="000000"/>
          <w:sz w:val="24"/>
        </w:rPr>
        <w:t xml:space="preserve">trade or commerce </w:t>
      </w:r>
      <w:r>
        <w:rPr>
          <w:rFonts w:ascii="Calibri" w:eastAsia="Calibri" w:hAnsi="Calibri" w:cs="Times New Roman"/>
          <w:color w:val="000000"/>
          <w:sz w:val="24"/>
        </w:rPr>
        <w:t>t</w:t>
      </w:r>
      <w:r w:rsidRPr="00D86DB9">
        <w:rPr>
          <w:rFonts w:ascii="Calibri" w:eastAsia="Calibri" w:hAnsi="Calibri" w:cs="Times New Roman"/>
          <w:color w:val="000000"/>
          <w:sz w:val="24"/>
        </w:rPr>
        <w:t xml:space="preserve">hen you are required by law not to mislead or deceive. This obligation applies broadly, including if you are selling a good or service </w:t>
      </w:r>
      <w:r>
        <w:rPr>
          <w:rFonts w:ascii="Calibri" w:eastAsia="Calibri" w:hAnsi="Calibri" w:cs="Times New Roman"/>
          <w:color w:val="000000"/>
          <w:sz w:val="24"/>
        </w:rPr>
        <w:t>but also</w:t>
      </w:r>
      <w:r w:rsidRPr="00D86DB9">
        <w:rPr>
          <w:rFonts w:ascii="Calibri" w:eastAsia="Calibri" w:hAnsi="Calibri" w:cs="Times New Roman"/>
          <w:color w:val="000000"/>
          <w:sz w:val="24"/>
        </w:rPr>
        <w:t xml:space="preserve"> if you are soliciting donations of money only </w:t>
      </w:r>
      <w:r>
        <w:rPr>
          <w:rFonts w:ascii="Calibri" w:eastAsia="Calibri" w:hAnsi="Calibri" w:cs="Times New Roman"/>
          <w:color w:val="000000"/>
          <w:sz w:val="24"/>
        </w:rPr>
        <w:t xml:space="preserve">(i.e. </w:t>
      </w:r>
      <w:r w:rsidRPr="00D86DB9">
        <w:rPr>
          <w:rFonts w:ascii="Calibri" w:eastAsia="Calibri" w:hAnsi="Calibri" w:cs="Times New Roman"/>
          <w:color w:val="000000"/>
          <w:sz w:val="24"/>
        </w:rPr>
        <w:t xml:space="preserve">without </w:t>
      </w:r>
      <w:r>
        <w:rPr>
          <w:rFonts w:ascii="Calibri" w:eastAsia="Calibri" w:hAnsi="Calibri" w:cs="Times New Roman"/>
          <w:color w:val="000000"/>
          <w:sz w:val="24"/>
        </w:rPr>
        <w:t>supplying a good or service).</w:t>
      </w:r>
    </w:p>
    <w:p w:rsidR="00597E5A" w:rsidRPr="00D86DB9"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Some examples of conduct that will mislead a donor</w:t>
      </w:r>
      <w:r w:rsidRPr="00D86DB9">
        <w:rPr>
          <w:rFonts w:ascii="Calibri" w:eastAsia="Calibri" w:hAnsi="Calibri" w:cs="Times New Roman"/>
          <w:color w:val="000000"/>
          <w:sz w:val="24"/>
        </w:rPr>
        <w:t xml:space="preserve"> include:</w:t>
      </w:r>
    </w:p>
    <w:p w:rsidR="00F24502" w:rsidRDefault="00597E5A" w:rsidP="00F24502">
      <w:pPr>
        <w:numPr>
          <w:ilvl w:val="0"/>
          <w:numId w:val="32"/>
        </w:numPr>
        <w:tabs>
          <w:tab w:val="left" w:pos="426"/>
        </w:tabs>
        <w:spacing w:before="120" w:after="120"/>
        <w:ind w:left="425" w:hanging="425"/>
        <w:rPr>
          <w:rFonts w:ascii="Calibri" w:eastAsia="Calibri" w:hAnsi="Calibri" w:cs="Times New Roman"/>
          <w:color w:val="000000"/>
          <w:sz w:val="24"/>
        </w:rPr>
      </w:pPr>
      <w:r w:rsidRPr="00F24502">
        <w:rPr>
          <w:rFonts w:ascii="Calibri" w:eastAsia="Calibri" w:hAnsi="Calibri" w:cs="Times New Roman"/>
          <w:color w:val="000000"/>
          <w:sz w:val="24"/>
        </w:rPr>
        <w:t xml:space="preserve">making claims about where the money you collect will go, or what proportion is used to achieve the represented purpose, that are not true </w:t>
      </w:r>
    </w:p>
    <w:p w:rsidR="00597E5A" w:rsidRPr="00F24502" w:rsidRDefault="00597E5A" w:rsidP="00F24502">
      <w:pPr>
        <w:numPr>
          <w:ilvl w:val="0"/>
          <w:numId w:val="32"/>
        </w:numPr>
        <w:tabs>
          <w:tab w:val="left" w:pos="426"/>
        </w:tabs>
        <w:spacing w:before="120" w:after="120"/>
        <w:ind w:left="425" w:hanging="425"/>
        <w:rPr>
          <w:rFonts w:ascii="Calibri" w:eastAsia="Calibri" w:hAnsi="Calibri" w:cs="Times New Roman"/>
          <w:color w:val="000000"/>
          <w:sz w:val="24"/>
        </w:rPr>
      </w:pPr>
      <w:r w:rsidRPr="00F24502">
        <w:rPr>
          <w:rFonts w:ascii="Calibri" w:eastAsia="Calibri" w:hAnsi="Calibri" w:cs="Times New Roman"/>
          <w:color w:val="000000"/>
          <w:sz w:val="24"/>
        </w:rPr>
        <w:t>claiming to be a volunteer collecting money on behalf of a charity, not-for-profit or fundraiser when that is not the case, for example, where you receive a commission from donations secured</w:t>
      </w:r>
    </w:p>
    <w:p w:rsidR="00597E5A" w:rsidRPr="00AE2D04" w:rsidRDefault="00145871" w:rsidP="00F24502">
      <w:pPr>
        <w:numPr>
          <w:ilvl w:val="0"/>
          <w:numId w:val="32"/>
        </w:numPr>
        <w:tabs>
          <w:tab w:val="left" w:pos="426"/>
        </w:tabs>
        <w:spacing w:before="120" w:after="120"/>
        <w:ind w:left="425" w:hanging="425"/>
        <w:rPr>
          <w:rFonts w:ascii="Calibri" w:eastAsia="Calibri" w:hAnsi="Calibri" w:cs="Times New Roman"/>
          <w:color w:val="000000"/>
          <w:sz w:val="24"/>
        </w:rPr>
      </w:pPr>
      <w:r>
        <w:rPr>
          <w:rFonts w:ascii="Calibri" w:eastAsia="Calibri" w:hAnsi="Calibri" w:cs="Times New Roman"/>
          <w:color w:val="000000"/>
          <w:sz w:val="24"/>
        </w:rPr>
        <w:t>claiming that</w:t>
      </w:r>
      <w:r w:rsidRPr="00AE2D04">
        <w:rPr>
          <w:rFonts w:ascii="Calibri" w:eastAsia="Calibri" w:hAnsi="Calibri" w:cs="Times New Roman"/>
          <w:color w:val="000000"/>
          <w:sz w:val="24"/>
        </w:rPr>
        <w:t xml:space="preserve"> </w:t>
      </w:r>
      <w:r w:rsidR="00597E5A" w:rsidRPr="00AE2D04">
        <w:rPr>
          <w:rFonts w:ascii="Calibri" w:eastAsia="Calibri" w:hAnsi="Calibri" w:cs="Times New Roman"/>
          <w:color w:val="000000"/>
          <w:sz w:val="24"/>
        </w:rPr>
        <w:t xml:space="preserve">a person </w:t>
      </w:r>
      <w:r>
        <w:rPr>
          <w:rFonts w:ascii="Calibri" w:eastAsia="Calibri" w:hAnsi="Calibri" w:cs="Times New Roman"/>
          <w:color w:val="000000"/>
          <w:sz w:val="24"/>
        </w:rPr>
        <w:t xml:space="preserve">is </w:t>
      </w:r>
      <w:r w:rsidR="00597E5A" w:rsidRPr="00AE2D04">
        <w:rPr>
          <w:rFonts w:ascii="Calibri" w:eastAsia="Calibri" w:hAnsi="Calibri" w:cs="Times New Roman"/>
          <w:color w:val="000000"/>
          <w:sz w:val="24"/>
        </w:rPr>
        <w:t xml:space="preserve">making a one-off donation when </w:t>
      </w:r>
      <w:r w:rsidR="00597E5A">
        <w:rPr>
          <w:rFonts w:ascii="Calibri" w:eastAsia="Calibri" w:hAnsi="Calibri" w:cs="Times New Roman"/>
          <w:color w:val="000000"/>
          <w:sz w:val="24"/>
        </w:rPr>
        <w:t>they are in fact</w:t>
      </w:r>
      <w:r w:rsidR="00597E5A" w:rsidRPr="00AE2D04">
        <w:rPr>
          <w:rFonts w:ascii="Calibri" w:eastAsia="Calibri" w:hAnsi="Calibri" w:cs="Times New Roman"/>
          <w:color w:val="000000"/>
          <w:sz w:val="24"/>
        </w:rPr>
        <w:t xml:space="preserve"> making an enduring </w:t>
      </w:r>
      <w:r w:rsidR="00597E5A">
        <w:rPr>
          <w:rFonts w:ascii="Calibri" w:eastAsia="Calibri" w:hAnsi="Calibri" w:cs="Times New Roman"/>
          <w:color w:val="000000"/>
          <w:sz w:val="24"/>
        </w:rPr>
        <w:t xml:space="preserve">(i.e. ongoing) </w:t>
      </w:r>
      <w:r w:rsidR="00597E5A" w:rsidRPr="00AE2D04">
        <w:rPr>
          <w:rFonts w:ascii="Calibri" w:eastAsia="Calibri" w:hAnsi="Calibri" w:cs="Times New Roman"/>
          <w:color w:val="000000"/>
          <w:sz w:val="24"/>
        </w:rPr>
        <w:t>donation</w:t>
      </w:r>
    </w:p>
    <w:p w:rsidR="00597E5A" w:rsidRDefault="00145871" w:rsidP="00F24502">
      <w:pPr>
        <w:numPr>
          <w:ilvl w:val="0"/>
          <w:numId w:val="32"/>
        </w:numPr>
        <w:tabs>
          <w:tab w:val="left" w:pos="426"/>
        </w:tabs>
        <w:spacing w:before="120" w:after="120"/>
        <w:ind w:left="425" w:hanging="425"/>
        <w:rPr>
          <w:rFonts w:ascii="Calibri" w:eastAsia="Calibri" w:hAnsi="Calibri" w:cs="Times New Roman"/>
          <w:color w:val="000000"/>
          <w:sz w:val="24"/>
        </w:rPr>
      </w:pPr>
      <w:proofErr w:type="gramStart"/>
      <w:r>
        <w:rPr>
          <w:rFonts w:ascii="Calibri" w:eastAsia="Calibri" w:hAnsi="Calibri" w:cs="Times New Roman"/>
          <w:color w:val="000000"/>
          <w:sz w:val="24"/>
        </w:rPr>
        <w:t>claiming</w:t>
      </w:r>
      <w:proofErr w:type="gramEnd"/>
      <w:r>
        <w:rPr>
          <w:rFonts w:ascii="Calibri" w:eastAsia="Calibri" w:hAnsi="Calibri" w:cs="Times New Roman"/>
          <w:color w:val="000000"/>
          <w:sz w:val="24"/>
        </w:rPr>
        <w:t xml:space="preserve"> that </w:t>
      </w:r>
      <w:r w:rsidR="00597E5A" w:rsidRPr="00AE2D04">
        <w:rPr>
          <w:rFonts w:ascii="Calibri" w:eastAsia="Calibri" w:hAnsi="Calibri" w:cs="Times New Roman"/>
          <w:color w:val="000000"/>
          <w:sz w:val="24"/>
        </w:rPr>
        <w:t xml:space="preserve">the good or service </w:t>
      </w:r>
      <w:r>
        <w:rPr>
          <w:rFonts w:ascii="Calibri" w:eastAsia="Calibri" w:hAnsi="Calibri" w:cs="Times New Roman"/>
          <w:color w:val="000000"/>
          <w:sz w:val="24"/>
        </w:rPr>
        <w:t xml:space="preserve">a person is </w:t>
      </w:r>
      <w:r w:rsidR="00597E5A" w:rsidRPr="00AE2D04">
        <w:rPr>
          <w:rFonts w:ascii="Calibri" w:eastAsia="Calibri" w:hAnsi="Calibri" w:cs="Times New Roman"/>
          <w:color w:val="000000"/>
          <w:sz w:val="24"/>
        </w:rPr>
        <w:t xml:space="preserve">purchasing has certain qualities </w:t>
      </w:r>
      <w:r w:rsidR="00597E5A">
        <w:rPr>
          <w:rFonts w:ascii="Calibri" w:eastAsia="Calibri" w:hAnsi="Calibri" w:cs="Times New Roman"/>
          <w:color w:val="000000"/>
          <w:sz w:val="24"/>
        </w:rPr>
        <w:t xml:space="preserve">or </w:t>
      </w:r>
      <w:r w:rsidR="00597E5A" w:rsidRPr="00AE2D04">
        <w:rPr>
          <w:rFonts w:ascii="Calibri" w:eastAsia="Calibri" w:hAnsi="Calibri" w:cs="Times New Roman"/>
          <w:color w:val="000000"/>
          <w:sz w:val="24"/>
        </w:rPr>
        <w:t xml:space="preserve">characteristics that </w:t>
      </w:r>
      <w:r w:rsidR="00597E5A">
        <w:rPr>
          <w:rFonts w:ascii="Calibri" w:eastAsia="Calibri" w:hAnsi="Calibri" w:cs="Times New Roman"/>
          <w:color w:val="000000"/>
          <w:sz w:val="24"/>
        </w:rPr>
        <w:t>it</w:t>
      </w:r>
      <w:r w:rsidR="00597E5A" w:rsidRPr="00AE2D04">
        <w:rPr>
          <w:rFonts w:ascii="Calibri" w:eastAsia="Calibri" w:hAnsi="Calibri" w:cs="Times New Roman"/>
          <w:color w:val="000000"/>
          <w:sz w:val="24"/>
        </w:rPr>
        <w:t xml:space="preserve"> do</w:t>
      </w:r>
      <w:r w:rsidR="00597E5A">
        <w:rPr>
          <w:rFonts w:ascii="Calibri" w:eastAsia="Calibri" w:hAnsi="Calibri" w:cs="Times New Roman"/>
          <w:color w:val="000000"/>
          <w:sz w:val="24"/>
        </w:rPr>
        <w:t>es</w:t>
      </w:r>
      <w:r w:rsidR="00597E5A" w:rsidRPr="00AE2D04">
        <w:rPr>
          <w:rFonts w:ascii="Calibri" w:eastAsia="Calibri" w:hAnsi="Calibri" w:cs="Times New Roman"/>
          <w:color w:val="000000"/>
          <w:sz w:val="24"/>
        </w:rPr>
        <w:t xml:space="preserve"> not have</w:t>
      </w:r>
      <w:r w:rsidR="00597E5A">
        <w:rPr>
          <w:rFonts w:ascii="Calibri" w:eastAsia="Calibri" w:hAnsi="Calibri" w:cs="Times New Roman"/>
          <w:color w:val="000000"/>
          <w:sz w:val="24"/>
        </w:rPr>
        <w:t>.</w:t>
      </w:r>
    </w:p>
    <w:p w:rsidR="00597E5A" w:rsidRPr="006037B5" w:rsidRDefault="00597E5A" w:rsidP="00597E5A">
      <w:pPr>
        <w:spacing w:before="0" w:after="240"/>
      </w:pPr>
      <w:r w:rsidRPr="00326B99">
        <w:rPr>
          <w:rFonts w:ascii="Calibri" w:eastAsia="Calibri" w:hAnsi="Calibri" w:cs="Times New Roman"/>
          <w:color w:val="000000"/>
          <w:sz w:val="24"/>
        </w:rPr>
        <w:t xml:space="preserve">You can find </w:t>
      </w:r>
      <w:r w:rsidR="00605229">
        <w:rPr>
          <w:rFonts w:ascii="Calibri" w:eastAsia="Calibri" w:hAnsi="Calibri" w:cs="Times New Roman"/>
          <w:color w:val="000000"/>
          <w:sz w:val="24"/>
        </w:rPr>
        <w:t>general</w:t>
      </w:r>
      <w:r w:rsidR="00605229" w:rsidRPr="00326B99">
        <w:rPr>
          <w:rFonts w:ascii="Calibri" w:eastAsia="Calibri" w:hAnsi="Calibri" w:cs="Times New Roman"/>
          <w:color w:val="000000"/>
          <w:sz w:val="24"/>
        </w:rPr>
        <w:t xml:space="preserve"> </w:t>
      </w:r>
      <w:r w:rsidRPr="00326B99">
        <w:rPr>
          <w:rFonts w:ascii="Calibri" w:eastAsia="Calibri" w:hAnsi="Calibri" w:cs="Times New Roman"/>
          <w:color w:val="000000"/>
          <w:sz w:val="24"/>
        </w:rPr>
        <w:t xml:space="preserve">information regarding </w:t>
      </w:r>
      <w:r w:rsidR="00605229">
        <w:rPr>
          <w:rFonts w:ascii="Calibri" w:eastAsia="Calibri" w:hAnsi="Calibri" w:cs="Times New Roman"/>
          <w:color w:val="000000"/>
          <w:sz w:val="24"/>
        </w:rPr>
        <w:t>the</w:t>
      </w:r>
      <w:r w:rsidR="00605229" w:rsidRPr="00326B99">
        <w:rPr>
          <w:rFonts w:ascii="Calibri" w:eastAsia="Calibri" w:hAnsi="Calibri" w:cs="Times New Roman"/>
          <w:color w:val="000000"/>
          <w:sz w:val="24"/>
        </w:rPr>
        <w:t xml:space="preserve"> obligation</w:t>
      </w:r>
      <w:r w:rsidRPr="00326B99">
        <w:rPr>
          <w:rFonts w:ascii="Calibri" w:eastAsia="Calibri" w:hAnsi="Calibri" w:cs="Times New Roman"/>
          <w:color w:val="000000"/>
          <w:sz w:val="24"/>
        </w:rPr>
        <w:t xml:space="preserve"> </w:t>
      </w:r>
      <w:r w:rsidR="00605229">
        <w:rPr>
          <w:rFonts w:ascii="Calibri" w:eastAsia="Calibri" w:hAnsi="Calibri" w:cs="Times New Roman"/>
          <w:color w:val="000000"/>
          <w:sz w:val="24"/>
        </w:rPr>
        <w:t xml:space="preserve">to </w:t>
      </w:r>
      <w:r w:rsidR="00605229" w:rsidRPr="00605229">
        <w:rPr>
          <w:rFonts w:ascii="Calibri" w:eastAsia="Calibri" w:hAnsi="Calibri" w:cs="Times New Roman"/>
          <w:color w:val="000000"/>
          <w:sz w:val="24"/>
        </w:rPr>
        <w:t xml:space="preserve">not engage in misleading or deceptive </w:t>
      </w:r>
      <w:r w:rsidR="00605229">
        <w:rPr>
          <w:rFonts w:ascii="Calibri" w:eastAsia="Calibri" w:hAnsi="Calibri" w:cs="Times New Roman"/>
          <w:color w:val="000000"/>
          <w:sz w:val="24"/>
        </w:rPr>
        <w:t>conduct</w:t>
      </w:r>
      <w:r w:rsidR="00605229" w:rsidRPr="00605229">
        <w:rPr>
          <w:rFonts w:ascii="Calibri" w:eastAsia="Calibri" w:hAnsi="Calibri" w:cs="Times New Roman"/>
          <w:color w:val="000000"/>
          <w:sz w:val="24"/>
        </w:rPr>
        <w:t xml:space="preserve"> in trade or commerce</w:t>
      </w:r>
      <w:r w:rsidR="00605229">
        <w:rPr>
          <w:rFonts w:ascii="Calibri" w:eastAsia="Calibri" w:hAnsi="Calibri" w:cs="Times New Roman"/>
          <w:color w:val="000000"/>
          <w:sz w:val="24"/>
        </w:rPr>
        <w:t xml:space="preserve"> in</w:t>
      </w:r>
      <w:r w:rsidR="00605229" w:rsidRPr="00326B99">
        <w:rPr>
          <w:rFonts w:ascii="Calibri" w:eastAsia="Calibri" w:hAnsi="Calibri" w:cs="Times New Roman"/>
          <w:color w:val="000000"/>
          <w:sz w:val="24"/>
        </w:rPr>
        <w:t xml:space="preserve"> </w:t>
      </w:r>
      <w:hyperlink r:id="rId9" w:history="1">
        <w:r w:rsidRPr="00326B99">
          <w:rPr>
            <w:rStyle w:val="Hyperlink"/>
            <w:i/>
          </w:rPr>
          <w:t>Avoiding unfair business practices: A guide for businesses and legal practitioners</w:t>
        </w:r>
      </w:hyperlink>
      <w:r w:rsidRPr="00326B99">
        <w:rPr>
          <w:rStyle w:val="Hyperlink"/>
          <w:color w:val="auto"/>
          <w:u w:val="none"/>
        </w:rPr>
        <w:t>.</w:t>
      </w:r>
    </w:p>
    <w:p w:rsidR="00597E5A" w:rsidRPr="002A1CD4" w:rsidRDefault="00597E5A" w:rsidP="00597E5A">
      <w:pPr>
        <w:pBdr>
          <w:top w:val="single" w:sz="4" w:space="1" w:color="auto"/>
          <w:left w:val="single" w:sz="4" w:space="4" w:color="auto"/>
          <w:bottom w:val="single" w:sz="4" w:space="1" w:color="auto"/>
          <w:right w:val="single" w:sz="4" w:space="4" w:color="auto"/>
        </w:pBdr>
        <w:spacing w:before="0" w:after="240"/>
        <w:rPr>
          <w:rFonts w:ascii="Calibri" w:eastAsia="Calibri" w:hAnsi="Calibri" w:cs="Times New Roman"/>
          <w:color w:val="000000"/>
          <w:sz w:val="24"/>
        </w:rPr>
      </w:pPr>
      <w:r w:rsidRPr="002A1CD4">
        <w:rPr>
          <w:rFonts w:ascii="Calibri" w:eastAsia="Calibri" w:hAnsi="Calibri" w:cs="Times New Roman"/>
          <w:color w:val="000000"/>
          <w:sz w:val="24"/>
        </w:rPr>
        <w:t>EXAMPLE</w:t>
      </w:r>
    </w:p>
    <w:p w:rsidR="00597E5A" w:rsidRPr="002A1CD4" w:rsidRDefault="00597E5A" w:rsidP="00597E5A">
      <w:pPr>
        <w:pBdr>
          <w:top w:val="single" w:sz="4" w:space="1" w:color="auto"/>
          <w:left w:val="single" w:sz="4" w:space="4" w:color="auto"/>
          <w:bottom w:val="single" w:sz="4" w:space="1" w:color="auto"/>
          <w:right w:val="single" w:sz="4" w:space="4" w:color="auto"/>
        </w:pBdr>
        <w:spacing w:before="0" w:after="240"/>
        <w:rPr>
          <w:rFonts w:ascii="Calibri" w:eastAsia="Calibri" w:hAnsi="Calibri" w:cs="Times New Roman"/>
          <w:color w:val="000000"/>
          <w:sz w:val="24"/>
        </w:rPr>
      </w:pPr>
      <w:r w:rsidRPr="002A1CD4">
        <w:rPr>
          <w:rFonts w:ascii="Calibri" w:eastAsia="Calibri" w:hAnsi="Calibri" w:cs="Times New Roman"/>
          <w:color w:val="000000"/>
          <w:sz w:val="24"/>
        </w:rPr>
        <w:t>A charity is conducting its annual fundraising campaign to raise money for homeless support services. While soliciting donations, some of the charity’s volunteers and employees require donors to complete a credit card authorisation form</w:t>
      </w:r>
      <w:r>
        <w:rPr>
          <w:rFonts w:ascii="Calibri" w:eastAsia="Calibri" w:hAnsi="Calibri" w:cs="Times New Roman"/>
          <w:color w:val="000000"/>
          <w:sz w:val="24"/>
        </w:rPr>
        <w:t xml:space="preserve"> </w:t>
      </w:r>
      <w:r w:rsidRPr="002A1CD4">
        <w:rPr>
          <w:rFonts w:ascii="Calibri" w:eastAsia="Calibri" w:hAnsi="Calibri" w:cs="Times New Roman"/>
          <w:color w:val="000000"/>
          <w:sz w:val="24"/>
        </w:rPr>
        <w:t xml:space="preserve">to make, what the donor </w:t>
      </w:r>
      <w:r>
        <w:rPr>
          <w:rFonts w:ascii="Calibri" w:eastAsia="Calibri" w:hAnsi="Calibri" w:cs="Times New Roman"/>
          <w:color w:val="000000"/>
          <w:sz w:val="24"/>
        </w:rPr>
        <w:t>is told is</w:t>
      </w:r>
      <w:r w:rsidR="00145871">
        <w:rPr>
          <w:rFonts w:ascii="Calibri" w:eastAsia="Calibri" w:hAnsi="Calibri" w:cs="Times New Roman"/>
          <w:color w:val="000000"/>
          <w:sz w:val="24"/>
        </w:rPr>
        <w:t>,</w:t>
      </w:r>
      <w:r w:rsidRPr="002A1CD4">
        <w:rPr>
          <w:rFonts w:ascii="Calibri" w:eastAsia="Calibri" w:hAnsi="Calibri" w:cs="Times New Roman"/>
          <w:color w:val="000000"/>
          <w:sz w:val="24"/>
        </w:rPr>
        <w:t xml:space="preserve"> a </w:t>
      </w:r>
      <w:r>
        <w:rPr>
          <w:rFonts w:ascii="Calibri" w:eastAsia="Calibri" w:hAnsi="Calibri" w:cs="Times New Roman"/>
          <w:color w:val="000000"/>
          <w:sz w:val="24"/>
        </w:rPr>
        <w:t>single donation via credit card.</w:t>
      </w:r>
      <w:r w:rsidRPr="002A1CD4">
        <w:rPr>
          <w:rFonts w:ascii="Calibri" w:eastAsia="Calibri" w:hAnsi="Calibri" w:cs="Times New Roman"/>
          <w:color w:val="000000"/>
          <w:sz w:val="24"/>
        </w:rPr>
        <w:t xml:space="preserve"> </w:t>
      </w:r>
      <w:r>
        <w:rPr>
          <w:rFonts w:ascii="Calibri" w:eastAsia="Calibri" w:hAnsi="Calibri" w:cs="Times New Roman"/>
          <w:color w:val="000000"/>
          <w:sz w:val="24"/>
        </w:rPr>
        <w:t>T</w:t>
      </w:r>
      <w:r w:rsidRPr="002A1CD4">
        <w:rPr>
          <w:rFonts w:ascii="Calibri" w:eastAsia="Calibri" w:hAnsi="Calibri" w:cs="Times New Roman"/>
          <w:color w:val="000000"/>
          <w:sz w:val="24"/>
        </w:rPr>
        <w:t>he form is actually an agreement for an ongoing monthly donation.</w:t>
      </w:r>
    </w:p>
    <w:p w:rsidR="00597E5A" w:rsidRPr="002A1CD4" w:rsidRDefault="00597E5A" w:rsidP="00597E5A">
      <w:pPr>
        <w:pBdr>
          <w:top w:val="single" w:sz="4" w:space="1" w:color="auto"/>
          <w:left w:val="single" w:sz="4" w:space="4" w:color="auto"/>
          <w:bottom w:val="single" w:sz="4" w:space="1" w:color="auto"/>
          <w:right w:val="single" w:sz="4" w:space="4" w:color="auto"/>
        </w:pBdr>
        <w:spacing w:before="0" w:after="240"/>
        <w:rPr>
          <w:rFonts w:ascii="Calibri" w:eastAsia="Calibri" w:hAnsi="Calibri" w:cs="Times New Roman"/>
          <w:color w:val="000000"/>
          <w:sz w:val="24"/>
        </w:rPr>
      </w:pPr>
      <w:r w:rsidRPr="002A1CD4">
        <w:rPr>
          <w:rFonts w:ascii="Calibri" w:eastAsia="Calibri" w:hAnsi="Calibri" w:cs="Times New Roman"/>
          <w:color w:val="000000"/>
          <w:sz w:val="24"/>
        </w:rPr>
        <w:lastRenderedPageBreak/>
        <w:t>The fundraising activities of the charity are likely to occur in trade or commerce due to the organised, continuous and repetitive nature of these activities. The ACL is likely to apply to the conduct of both the charity’s volunteers and employees in soliciting the donations.</w:t>
      </w:r>
    </w:p>
    <w:p w:rsidR="00597E5A" w:rsidRPr="00D86DB9" w:rsidRDefault="00597E5A" w:rsidP="00597E5A">
      <w:pPr>
        <w:keepNext/>
        <w:keepLines/>
        <w:spacing w:before="360" w:after="240"/>
        <w:outlineLvl w:val="0"/>
        <w:rPr>
          <w:rFonts w:ascii="Calibri" w:eastAsia="Times New Roman" w:hAnsi="Calibri" w:cs="Times New Roman"/>
          <w:b/>
          <w:bCs/>
          <w:smallCaps/>
          <w:color w:val="595959"/>
          <w:sz w:val="44"/>
          <w:szCs w:val="28"/>
        </w:rPr>
      </w:pPr>
      <w:r>
        <w:rPr>
          <w:rFonts w:ascii="Calibri" w:eastAsia="Times New Roman" w:hAnsi="Calibri" w:cs="Times New Roman"/>
          <w:b/>
          <w:bCs/>
          <w:smallCaps/>
          <w:color w:val="595959"/>
          <w:sz w:val="44"/>
          <w:szCs w:val="28"/>
        </w:rPr>
        <w:t>Unconscionable Conduct</w:t>
      </w:r>
    </w:p>
    <w:p w:rsidR="00597E5A" w:rsidRDefault="00597E5A" w:rsidP="00597E5A">
      <w:pPr>
        <w:spacing w:before="0" w:after="240"/>
        <w:rPr>
          <w:rFonts w:ascii="Calibri" w:eastAsia="Calibri" w:hAnsi="Calibri" w:cs="Times New Roman"/>
          <w:color w:val="000000"/>
          <w:sz w:val="24"/>
        </w:rPr>
      </w:pPr>
      <w:r w:rsidRPr="00D86DB9">
        <w:rPr>
          <w:rFonts w:ascii="Calibri" w:eastAsia="Calibri" w:hAnsi="Calibri" w:cs="Times New Roman"/>
          <w:color w:val="000000"/>
          <w:sz w:val="24"/>
        </w:rPr>
        <w:t xml:space="preserve">The prohibition against unconscionable conduct seeks to prevent trading practices that are unfair. </w:t>
      </w:r>
      <w:r>
        <w:rPr>
          <w:rFonts w:ascii="Calibri" w:eastAsia="Calibri" w:hAnsi="Calibri" w:cs="Times New Roman"/>
          <w:color w:val="000000"/>
          <w:sz w:val="24"/>
        </w:rPr>
        <w:t>C</w:t>
      </w:r>
      <w:r w:rsidRPr="00D86DB9">
        <w:rPr>
          <w:rFonts w:ascii="Calibri" w:eastAsia="Calibri" w:hAnsi="Calibri" w:cs="Times New Roman"/>
          <w:color w:val="000000"/>
          <w:sz w:val="24"/>
        </w:rPr>
        <w:t>onduct may be unconscionable if it is particularly harsh or oppressive</w:t>
      </w:r>
      <w:r>
        <w:rPr>
          <w:rFonts w:ascii="Calibri" w:eastAsia="Calibri" w:hAnsi="Calibri" w:cs="Times New Roman"/>
          <w:color w:val="000000"/>
          <w:sz w:val="24"/>
        </w:rPr>
        <w:t xml:space="preserve"> or </w:t>
      </w:r>
      <w:r w:rsidRPr="00D86DB9">
        <w:rPr>
          <w:rFonts w:ascii="Calibri" w:eastAsia="Calibri" w:hAnsi="Calibri" w:cs="Times New Roman"/>
          <w:color w:val="000000"/>
          <w:sz w:val="24"/>
        </w:rPr>
        <w:t>where one party knowingly exploits the special disadvantage of another.</w:t>
      </w:r>
      <w:r w:rsidR="008619D4">
        <w:rPr>
          <w:rFonts w:ascii="Calibri" w:eastAsia="Calibri" w:hAnsi="Calibri" w:cs="Times New Roman"/>
          <w:color w:val="000000"/>
          <w:sz w:val="24"/>
        </w:rPr>
        <w:t xml:space="preserve"> The prohibition against unconscionable conduct </w:t>
      </w:r>
      <w:r w:rsidR="008619D4" w:rsidRPr="008619D4">
        <w:rPr>
          <w:rFonts w:ascii="Calibri" w:eastAsia="Calibri" w:hAnsi="Calibri" w:cs="Times New Roman"/>
          <w:color w:val="000000"/>
          <w:sz w:val="24"/>
        </w:rPr>
        <w:t>reinforce</w:t>
      </w:r>
      <w:r w:rsidR="008619D4">
        <w:rPr>
          <w:rFonts w:ascii="Calibri" w:eastAsia="Calibri" w:hAnsi="Calibri" w:cs="Times New Roman"/>
          <w:color w:val="000000"/>
          <w:sz w:val="24"/>
        </w:rPr>
        <w:t>s</w:t>
      </w:r>
      <w:r w:rsidR="008619D4" w:rsidRPr="008619D4">
        <w:rPr>
          <w:rFonts w:ascii="Calibri" w:eastAsia="Calibri" w:hAnsi="Calibri" w:cs="Times New Roman"/>
          <w:color w:val="000000"/>
          <w:sz w:val="24"/>
        </w:rPr>
        <w:t xml:space="preserve"> the recognised societal value and expectation that consumers will be dealt with honestly, fairly and without deception and unfair pressure.</w:t>
      </w:r>
    </w:p>
    <w:p w:rsidR="00597E5A" w:rsidRDefault="00597E5A" w:rsidP="00597E5A">
      <w:pPr>
        <w:spacing w:before="0" w:after="240"/>
        <w:rPr>
          <w:rStyle w:val="Hyperlink"/>
          <w:color w:val="auto"/>
          <w:u w:val="none"/>
        </w:rPr>
      </w:pPr>
      <w:r>
        <w:rPr>
          <w:rFonts w:ascii="Calibri" w:eastAsia="Calibri" w:hAnsi="Calibri" w:cs="Times New Roman"/>
          <w:color w:val="000000"/>
          <w:sz w:val="24"/>
        </w:rPr>
        <w:t xml:space="preserve">You can find further information regarding your obligations in </w:t>
      </w:r>
      <w:hyperlink r:id="rId10" w:history="1">
        <w:proofErr w:type="gramStart"/>
        <w:r w:rsidRPr="009701DB">
          <w:rPr>
            <w:rStyle w:val="Hyperlink"/>
            <w:i/>
          </w:rPr>
          <w:t>Avoiding</w:t>
        </w:r>
        <w:proofErr w:type="gramEnd"/>
        <w:r w:rsidRPr="009701DB">
          <w:rPr>
            <w:rStyle w:val="Hyperlink"/>
            <w:i/>
          </w:rPr>
          <w:t xml:space="preserve"> unfair business practices: A guide for businesses and legal practitioners</w:t>
        </w:r>
      </w:hyperlink>
      <w:r w:rsidRPr="006037B5">
        <w:rPr>
          <w:rStyle w:val="Hyperlink"/>
          <w:color w:val="auto"/>
          <w:u w:val="none"/>
        </w:rPr>
        <w:t>.</w:t>
      </w:r>
    </w:p>
    <w:p w:rsidR="00396AE6" w:rsidRPr="009701DB" w:rsidRDefault="00396AE6" w:rsidP="00396AE6">
      <w:pPr>
        <w:pBdr>
          <w:top w:val="single" w:sz="4" w:space="1" w:color="auto"/>
          <w:left w:val="single" w:sz="4" w:space="4" w:color="auto"/>
          <w:bottom w:val="single" w:sz="4" w:space="1" w:color="auto"/>
          <w:right w:val="single" w:sz="4" w:space="4" w:color="auto"/>
        </w:pBdr>
        <w:rPr>
          <w:rFonts w:ascii="Calibri" w:hAnsi="Calibri"/>
          <w:b/>
          <w:sz w:val="24"/>
          <w:szCs w:val="24"/>
        </w:rPr>
      </w:pPr>
      <w:r w:rsidRPr="009701DB">
        <w:rPr>
          <w:rFonts w:ascii="Calibri" w:hAnsi="Calibri"/>
          <w:b/>
          <w:sz w:val="24"/>
          <w:szCs w:val="24"/>
        </w:rPr>
        <w:t>EXAMPLE</w:t>
      </w:r>
    </w:p>
    <w:p w:rsidR="00396AE6" w:rsidRDefault="00396AE6" w:rsidP="00F24502">
      <w:pPr>
        <w:pBdr>
          <w:top w:val="single" w:sz="4" w:space="1" w:color="auto"/>
          <w:left w:val="single" w:sz="4" w:space="4" w:color="auto"/>
          <w:bottom w:val="single" w:sz="4" w:space="1" w:color="auto"/>
          <w:right w:val="single" w:sz="4" w:space="4" w:color="auto"/>
        </w:pBdr>
        <w:spacing w:before="120" w:after="120"/>
        <w:rPr>
          <w:rFonts w:ascii="Calibri" w:eastAsia="Calibri" w:hAnsi="Calibri" w:cs="Times New Roman"/>
          <w:color w:val="000000"/>
          <w:sz w:val="24"/>
        </w:rPr>
      </w:pPr>
      <w:r w:rsidRPr="009701DB">
        <w:rPr>
          <w:rFonts w:ascii="Calibri" w:eastAsia="Calibri" w:hAnsi="Calibri" w:cs="Times New Roman"/>
          <w:color w:val="000000"/>
          <w:sz w:val="24"/>
        </w:rPr>
        <w:t xml:space="preserve">A </w:t>
      </w:r>
      <w:r>
        <w:rPr>
          <w:rFonts w:ascii="Calibri" w:eastAsia="Calibri" w:hAnsi="Calibri" w:cs="Times New Roman"/>
          <w:color w:val="000000"/>
          <w:sz w:val="24"/>
        </w:rPr>
        <w:t xml:space="preserve">charity that routinely raises money to support overseas aid pays a third-party marketing company and uses volunteers </w:t>
      </w:r>
      <w:r w:rsidRPr="009701DB">
        <w:rPr>
          <w:rFonts w:ascii="Calibri" w:eastAsia="Calibri" w:hAnsi="Calibri" w:cs="Times New Roman"/>
          <w:color w:val="000000"/>
          <w:sz w:val="24"/>
        </w:rPr>
        <w:t xml:space="preserve">to </w:t>
      </w:r>
      <w:r>
        <w:rPr>
          <w:rFonts w:ascii="Calibri" w:eastAsia="Calibri" w:hAnsi="Calibri" w:cs="Times New Roman"/>
          <w:color w:val="000000"/>
          <w:sz w:val="24"/>
        </w:rPr>
        <w:t>solicit donations from elderly people in shopping centres</w:t>
      </w:r>
      <w:r w:rsidRPr="009701DB">
        <w:rPr>
          <w:rFonts w:ascii="Calibri" w:eastAsia="Calibri" w:hAnsi="Calibri" w:cs="Times New Roman"/>
          <w:color w:val="000000"/>
          <w:sz w:val="24"/>
        </w:rPr>
        <w:t>.</w:t>
      </w:r>
      <w:r>
        <w:rPr>
          <w:rFonts w:ascii="Calibri" w:eastAsia="Calibri" w:hAnsi="Calibri" w:cs="Times New Roman"/>
          <w:color w:val="000000"/>
          <w:sz w:val="24"/>
        </w:rPr>
        <w:t xml:space="preserve"> When a potential donor refuses to make a donation, the marketing company’s staff and the charity’s volunteers follow them around the shopping centre, pressuring them into completing direct debit forms and yelling at them in front of fellow shoppers. The potential donors are told that the direct debit form is only kept on file in case the potential donor changes their mind and chooses to donate in the future. </w:t>
      </w:r>
      <w:r w:rsidR="00F24502">
        <w:rPr>
          <w:rFonts w:ascii="Calibri" w:eastAsia="Calibri" w:hAnsi="Calibri" w:cs="Times New Roman"/>
          <w:color w:val="000000"/>
          <w:sz w:val="24"/>
        </w:rPr>
        <w:t>C</w:t>
      </w:r>
      <w:r>
        <w:rPr>
          <w:rFonts w:ascii="Calibri" w:eastAsia="Calibri" w:hAnsi="Calibri" w:cs="Times New Roman"/>
          <w:color w:val="000000"/>
          <w:sz w:val="24"/>
        </w:rPr>
        <w:t>ompleted direct debit forms are in fact used to authorise ongoing monthly donations from the date they are processed.</w:t>
      </w:r>
    </w:p>
    <w:p w:rsidR="00396AE6" w:rsidRPr="007436C0" w:rsidRDefault="00396AE6" w:rsidP="00F24502">
      <w:pPr>
        <w:pBdr>
          <w:top w:val="single" w:sz="4" w:space="1" w:color="auto"/>
          <w:left w:val="single" w:sz="4" w:space="4" w:color="auto"/>
          <w:bottom w:val="single" w:sz="4" w:space="1" w:color="auto"/>
          <w:right w:val="single" w:sz="4" w:space="4" w:color="auto"/>
        </w:pBdr>
        <w:spacing w:before="120" w:after="120"/>
        <w:rPr>
          <w:rFonts w:ascii="Calibri" w:eastAsia="Calibri" w:hAnsi="Calibri" w:cs="Times New Roman"/>
          <w:color w:val="000000"/>
          <w:sz w:val="24"/>
        </w:rPr>
      </w:pPr>
      <w:r w:rsidRPr="009701DB">
        <w:rPr>
          <w:rFonts w:ascii="Calibri" w:eastAsia="Calibri" w:hAnsi="Calibri" w:cs="Times New Roman"/>
          <w:color w:val="000000"/>
          <w:sz w:val="24"/>
        </w:rPr>
        <w:t xml:space="preserve">The </w:t>
      </w:r>
      <w:r>
        <w:rPr>
          <w:rFonts w:ascii="Calibri" w:eastAsia="Calibri" w:hAnsi="Calibri" w:cs="Times New Roman"/>
          <w:color w:val="000000"/>
          <w:sz w:val="24"/>
        </w:rPr>
        <w:t>fundraising activities of the charity and the third-party marketing company are both likely to occur in trade or commerce. The conduct of the marketing company’s staff and the charity’s volunteers in soliciting donations may amount to misleading or deceptive conduct. The tactics used in soliciting the donations from a vulnerable consumer group may also amount to unconscionable conduct under the ACL.</w:t>
      </w:r>
    </w:p>
    <w:p w:rsidR="00597E5A" w:rsidRPr="00D86DB9" w:rsidRDefault="00603BC1" w:rsidP="00597E5A">
      <w:pPr>
        <w:keepNext/>
        <w:keepLines/>
        <w:spacing w:before="360" w:after="240"/>
        <w:outlineLvl w:val="0"/>
        <w:rPr>
          <w:rFonts w:ascii="Calibri" w:eastAsia="Times New Roman" w:hAnsi="Calibri" w:cs="Times New Roman"/>
          <w:b/>
          <w:bCs/>
          <w:smallCaps/>
          <w:color w:val="595959"/>
          <w:sz w:val="44"/>
          <w:szCs w:val="28"/>
        </w:rPr>
      </w:pPr>
      <w:r w:rsidRPr="00603BC1">
        <w:rPr>
          <w:rFonts w:ascii="Calibri" w:eastAsia="Times New Roman" w:hAnsi="Calibri" w:cs="Times New Roman"/>
          <w:b/>
          <w:bCs/>
          <w:smallCaps/>
          <w:color w:val="595959"/>
          <w:sz w:val="44"/>
          <w:szCs w:val="28"/>
        </w:rPr>
        <w:t xml:space="preserve">Obligations that only apply if fundraising activities </w:t>
      </w:r>
      <w:r>
        <w:rPr>
          <w:rFonts w:ascii="Calibri" w:eastAsia="Times New Roman" w:hAnsi="Calibri" w:cs="Times New Roman"/>
          <w:b/>
          <w:bCs/>
          <w:smallCaps/>
          <w:color w:val="595959"/>
          <w:sz w:val="44"/>
          <w:szCs w:val="28"/>
        </w:rPr>
        <w:t>are in connection to the supply of</w:t>
      </w:r>
      <w:r w:rsidRPr="00603BC1">
        <w:rPr>
          <w:rFonts w:ascii="Calibri" w:eastAsia="Times New Roman" w:hAnsi="Calibri" w:cs="Times New Roman"/>
          <w:b/>
          <w:bCs/>
          <w:smallCaps/>
          <w:color w:val="595959"/>
          <w:sz w:val="44"/>
          <w:szCs w:val="28"/>
        </w:rPr>
        <w:t xml:space="preserve"> a good or service</w:t>
      </w:r>
    </w:p>
    <w:p w:rsidR="00597E5A" w:rsidRPr="00D86DB9" w:rsidRDefault="00597E5A" w:rsidP="00597E5A">
      <w:pPr>
        <w:spacing w:before="0" w:after="240"/>
        <w:rPr>
          <w:rFonts w:ascii="Calibri" w:eastAsia="Calibri" w:hAnsi="Calibri" w:cs="Times New Roman"/>
          <w:color w:val="000000"/>
          <w:sz w:val="24"/>
        </w:rPr>
      </w:pPr>
      <w:r w:rsidRPr="001D2ED2">
        <w:rPr>
          <w:rFonts w:ascii="Calibri" w:eastAsia="Calibri" w:hAnsi="Calibri" w:cs="Times New Roman"/>
          <w:color w:val="000000"/>
          <w:sz w:val="24"/>
        </w:rPr>
        <w:t>The obligation not to mislead or deceive or engage in unconscionable conduct</w:t>
      </w:r>
      <w:r>
        <w:rPr>
          <w:rFonts w:ascii="Calibri" w:eastAsia="Calibri" w:hAnsi="Calibri" w:cs="Times New Roman"/>
          <w:color w:val="000000"/>
          <w:sz w:val="24"/>
        </w:rPr>
        <w:t xml:space="preserve"> </w:t>
      </w:r>
      <w:r w:rsidRPr="00D86DB9">
        <w:rPr>
          <w:rFonts w:ascii="Calibri" w:eastAsia="Calibri" w:hAnsi="Calibri" w:cs="Times New Roman"/>
          <w:color w:val="000000"/>
          <w:sz w:val="24"/>
        </w:rPr>
        <w:t>in trade or commerce applies irrespective of whether you are seeking a donation of money only or are fundraising in connection with the supply of a good or a service, such as supplying badges or raffle tickets in exchange for donations of money.</w:t>
      </w:r>
    </w:p>
    <w:p w:rsidR="00597E5A"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 xml:space="preserve">If your fundraising activities involve supplying a good or a service then you have additional </w:t>
      </w:r>
      <w:r w:rsidRPr="00D86DB9">
        <w:rPr>
          <w:rFonts w:ascii="Calibri" w:eastAsia="Calibri" w:hAnsi="Calibri" w:cs="Times New Roman"/>
          <w:color w:val="000000"/>
          <w:sz w:val="24"/>
        </w:rPr>
        <w:t>obligations under the ACL</w:t>
      </w:r>
      <w:r>
        <w:rPr>
          <w:rFonts w:ascii="Calibri" w:eastAsia="Calibri" w:hAnsi="Calibri" w:cs="Times New Roman"/>
          <w:color w:val="000000"/>
          <w:sz w:val="24"/>
        </w:rPr>
        <w:t xml:space="preserve"> </w:t>
      </w:r>
      <w:r w:rsidRPr="00D86DB9">
        <w:rPr>
          <w:rFonts w:ascii="Calibri" w:eastAsia="Calibri" w:hAnsi="Calibri" w:cs="Times New Roman"/>
          <w:color w:val="000000"/>
          <w:sz w:val="24"/>
        </w:rPr>
        <w:t>–</w:t>
      </w:r>
      <w:r>
        <w:rPr>
          <w:rFonts w:ascii="Calibri" w:eastAsia="Calibri" w:hAnsi="Calibri" w:cs="Times New Roman"/>
          <w:color w:val="000000"/>
          <w:sz w:val="24"/>
        </w:rPr>
        <w:t xml:space="preserve"> not to </w:t>
      </w:r>
      <w:r w:rsidRPr="00D86DB9">
        <w:rPr>
          <w:rFonts w:ascii="Calibri" w:eastAsia="Calibri" w:hAnsi="Calibri" w:cs="Times New Roman"/>
          <w:color w:val="000000"/>
          <w:sz w:val="24"/>
        </w:rPr>
        <w:t xml:space="preserve">make false </w:t>
      </w:r>
      <w:r>
        <w:rPr>
          <w:rFonts w:ascii="Calibri" w:eastAsia="Calibri" w:hAnsi="Calibri" w:cs="Times New Roman"/>
          <w:color w:val="000000"/>
          <w:sz w:val="24"/>
        </w:rPr>
        <w:t xml:space="preserve">or misleading </w:t>
      </w:r>
      <w:r w:rsidRPr="00D86DB9">
        <w:rPr>
          <w:rFonts w:ascii="Calibri" w:eastAsia="Calibri" w:hAnsi="Calibri" w:cs="Times New Roman"/>
          <w:color w:val="000000"/>
          <w:sz w:val="24"/>
        </w:rPr>
        <w:t>representations</w:t>
      </w:r>
      <w:r>
        <w:rPr>
          <w:rFonts w:ascii="Calibri" w:eastAsia="Calibri" w:hAnsi="Calibri" w:cs="Times New Roman"/>
          <w:color w:val="000000"/>
          <w:sz w:val="24"/>
        </w:rPr>
        <w:t xml:space="preserve"> about the good or service and not to </w:t>
      </w:r>
      <w:r w:rsidRPr="00D86DB9">
        <w:rPr>
          <w:rFonts w:ascii="Calibri" w:eastAsia="Calibri" w:hAnsi="Calibri" w:cs="Times New Roman"/>
          <w:color w:val="000000"/>
          <w:sz w:val="24"/>
        </w:rPr>
        <w:t>harass or coerce</w:t>
      </w:r>
      <w:r>
        <w:rPr>
          <w:rFonts w:ascii="Calibri" w:eastAsia="Calibri" w:hAnsi="Calibri" w:cs="Times New Roman"/>
          <w:color w:val="000000"/>
          <w:sz w:val="24"/>
        </w:rPr>
        <w:t xml:space="preserve"> donors into accepting or paying for the good or </w:t>
      </w:r>
      <w:r>
        <w:rPr>
          <w:rFonts w:ascii="Calibri" w:eastAsia="Calibri" w:hAnsi="Calibri" w:cs="Times New Roman"/>
          <w:color w:val="000000"/>
          <w:sz w:val="24"/>
        </w:rPr>
        <w:lastRenderedPageBreak/>
        <w:t>service</w:t>
      </w:r>
      <w:r w:rsidRPr="006944D4">
        <w:rPr>
          <w:rFonts w:ascii="Calibri" w:eastAsia="Calibri" w:hAnsi="Calibri" w:cs="Times New Roman"/>
          <w:color w:val="000000"/>
          <w:sz w:val="24"/>
        </w:rPr>
        <w:t xml:space="preserve">. </w:t>
      </w:r>
      <w:r>
        <w:rPr>
          <w:rFonts w:ascii="Calibri" w:eastAsia="Calibri" w:hAnsi="Calibri" w:cs="Times New Roman"/>
          <w:color w:val="000000"/>
          <w:sz w:val="24"/>
        </w:rPr>
        <w:t>O</w:t>
      </w:r>
      <w:r w:rsidRPr="006944D4">
        <w:rPr>
          <w:rFonts w:ascii="Calibri" w:eastAsia="Calibri" w:hAnsi="Calibri" w:cs="Times New Roman"/>
          <w:color w:val="000000"/>
          <w:sz w:val="24"/>
        </w:rPr>
        <w:t>bligations in relation to consumer guarantees</w:t>
      </w:r>
      <w:r>
        <w:rPr>
          <w:rFonts w:ascii="Calibri" w:eastAsia="Calibri" w:hAnsi="Calibri" w:cs="Times New Roman"/>
          <w:color w:val="000000"/>
          <w:sz w:val="24"/>
        </w:rPr>
        <w:t xml:space="preserve">, </w:t>
      </w:r>
      <w:r w:rsidRPr="006944D4">
        <w:rPr>
          <w:rFonts w:ascii="Calibri" w:eastAsia="Calibri" w:hAnsi="Calibri" w:cs="Times New Roman"/>
          <w:color w:val="000000"/>
          <w:sz w:val="24"/>
        </w:rPr>
        <w:t>unsolicited consumer agreements</w:t>
      </w:r>
      <w:r>
        <w:rPr>
          <w:rFonts w:ascii="Calibri" w:eastAsia="Calibri" w:hAnsi="Calibri" w:cs="Times New Roman"/>
          <w:color w:val="000000"/>
          <w:sz w:val="24"/>
        </w:rPr>
        <w:t xml:space="preserve"> and product safety</w:t>
      </w:r>
      <w:r w:rsidRPr="006944D4">
        <w:rPr>
          <w:rFonts w:ascii="Calibri" w:eastAsia="Calibri" w:hAnsi="Calibri" w:cs="Times New Roman"/>
          <w:color w:val="000000"/>
          <w:sz w:val="24"/>
        </w:rPr>
        <w:t xml:space="preserve"> also apply.</w:t>
      </w:r>
      <w:r>
        <w:rPr>
          <w:rStyle w:val="FootnoteReference"/>
          <w:rFonts w:ascii="Calibri" w:eastAsia="Calibri" w:hAnsi="Calibri" w:cs="Times New Roman"/>
          <w:color w:val="000000"/>
          <w:sz w:val="24"/>
        </w:rPr>
        <w:footnoteReference w:id="1"/>
      </w:r>
    </w:p>
    <w:p w:rsidR="00597E5A" w:rsidRPr="009701DB" w:rsidRDefault="00597E5A" w:rsidP="00597E5A">
      <w:pPr>
        <w:pBdr>
          <w:top w:val="single" w:sz="4" w:space="1" w:color="auto"/>
          <w:left w:val="single" w:sz="4" w:space="4" w:color="auto"/>
          <w:bottom w:val="single" w:sz="4" w:space="1" w:color="auto"/>
          <w:right w:val="single" w:sz="4" w:space="4" w:color="auto"/>
        </w:pBdr>
        <w:tabs>
          <w:tab w:val="left" w:pos="340"/>
        </w:tabs>
        <w:spacing w:before="120" w:after="240"/>
        <w:rPr>
          <w:rFonts w:ascii="Calibri" w:eastAsia="Calibri" w:hAnsi="Calibri" w:cs="Times New Roman"/>
          <w:color w:val="000000"/>
          <w:sz w:val="24"/>
        </w:rPr>
      </w:pPr>
      <w:r w:rsidRPr="009701DB">
        <w:rPr>
          <w:rFonts w:ascii="Calibri" w:eastAsia="Calibri" w:hAnsi="Calibri" w:cs="Times New Roman"/>
          <w:color w:val="000000"/>
          <w:sz w:val="24"/>
        </w:rPr>
        <w:t>EXAMPLE</w:t>
      </w:r>
    </w:p>
    <w:p w:rsidR="00597E5A" w:rsidRPr="009701DB" w:rsidRDefault="00597E5A" w:rsidP="00597E5A">
      <w:pPr>
        <w:pStyle w:val="Bullet"/>
        <w:numPr>
          <w:ilvl w:val="0"/>
          <w:numId w:val="0"/>
        </w:numPr>
        <w:pBdr>
          <w:top w:val="single" w:sz="4" w:space="1" w:color="auto"/>
          <w:left w:val="single" w:sz="4" w:space="4" w:color="auto"/>
          <w:bottom w:val="single" w:sz="4" w:space="1" w:color="auto"/>
          <w:right w:val="single" w:sz="4" w:space="4" w:color="auto"/>
        </w:pBdr>
        <w:rPr>
          <w:rFonts w:ascii="Calibri" w:eastAsia="Calibri" w:hAnsi="Calibri"/>
          <w:sz w:val="24"/>
          <w:szCs w:val="22"/>
          <w:lang w:eastAsia="en-US"/>
        </w:rPr>
      </w:pPr>
      <w:r w:rsidRPr="009701DB">
        <w:rPr>
          <w:rFonts w:ascii="Calibri" w:eastAsia="Calibri" w:hAnsi="Calibri"/>
          <w:sz w:val="24"/>
          <w:szCs w:val="22"/>
          <w:lang w:eastAsia="en-US"/>
        </w:rPr>
        <w:t xml:space="preserve">A not-for-profit organisation provides subsidised cleaning services to </w:t>
      </w:r>
      <w:r w:rsidR="00832D65">
        <w:rPr>
          <w:rFonts w:ascii="Calibri" w:eastAsia="Calibri" w:hAnsi="Calibri"/>
          <w:sz w:val="24"/>
          <w:szCs w:val="22"/>
          <w:lang w:eastAsia="en-US"/>
        </w:rPr>
        <w:t>people who are disabled</w:t>
      </w:r>
      <w:r w:rsidRPr="009701DB">
        <w:rPr>
          <w:rFonts w:ascii="Calibri" w:eastAsia="Calibri" w:hAnsi="Calibri"/>
          <w:sz w:val="24"/>
          <w:szCs w:val="22"/>
          <w:lang w:eastAsia="en-US"/>
        </w:rPr>
        <w:t>. The not-for-profit is able to subsidise the price of the services as it receives a range of philanthropic grants</w:t>
      </w:r>
      <w:r>
        <w:rPr>
          <w:rFonts w:ascii="Calibri" w:eastAsia="Calibri" w:hAnsi="Calibri"/>
          <w:sz w:val="24"/>
          <w:szCs w:val="22"/>
          <w:lang w:eastAsia="en-US"/>
        </w:rPr>
        <w:t xml:space="preserve"> and engages in regular fundraising</w:t>
      </w:r>
      <w:r w:rsidRPr="009701DB">
        <w:rPr>
          <w:rFonts w:ascii="Calibri" w:eastAsia="Calibri" w:hAnsi="Calibri"/>
          <w:sz w:val="24"/>
          <w:szCs w:val="22"/>
          <w:lang w:eastAsia="en-US"/>
        </w:rPr>
        <w:t>.</w:t>
      </w:r>
      <w:r>
        <w:rPr>
          <w:rFonts w:ascii="Calibri" w:eastAsia="Calibri" w:hAnsi="Calibri"/>
          <w:sz w:val="24"/>
          <w:szCs w:val="22"/>
          <w:lang w:eastAsia="en-US"/>
        </w:rPr>
        <w:t xml:space="preserve"> </w:t>
      </w:r>
      <w:r w:rsidRPr="009701DB">
        <w:rPr>
          <w:rFonts w:ascii="Calibri" w:eastAsia="Calibri" w:hAnsi="Calibri"/>
          <w:sz w:val="24"/>
          <w:szCs w:val="22"/>
          <w:lang w:eastAsia="en-US"/>
        </w:rPr>
        <w:t xml:space="preserve">The not-for-profit is likely to be engaging in conduct in trade or commerce because it is supplying a service to the consumer in exchange for payment, even </w:t>
      </w:r>
      <w:r>
        <w:rPr>
          <w:rFonts w:ascii="Calibri" w:eastAsia="Calibri" w:hAnsi="Calibri"/>
          <w:sz w:val="24"/>
          <w:szCs w:val="22"/>
          <w:lang w:eastAsia="en-US"/>
        </w:rPr>
        <w:t>though the price is subsidised.</w:t>
      </w:r>
    </w:p>
    <w:p w:rsidR="00597E5A" w:rsidRPr="006944D4" w:rsidRDefault="00597E5A" w:rsidP="00597E5A">
      <w:pPr>
        <w:spacing w:before="0" w:after="240"/>
        <w:rPr>
          <w:rFonts w:ascii="Calibri" w:eastAsia="Times New Roman" w:hAnsi="Calibri" w:cs="Times New Roman"/>
          <w:bCs/>
          <w:i/>
          <w:color w:val="595959"/>
          <w:sz w:val="28"/>
          <w:szCs w:val="28"/>
        </w:rPr>
      </w:pPr>
      <w:r w:rsidRPr="006944D4">
        <w:rPr>
          <w:rFonts w:ascii="Calibri" w:eastAsia="Times New Roman" w:hAnsi="Calibri" w:cs="Times New Roman"/>
          <w:bCs/>
          <w:i/>
          <w:color w:val="595959"/>
          <w:sz w:val="28"/>
          <w:szCs w:val="28"/>
        </w:rPr>
        <w:t>False or misleading representations</w:t>
      </w:r>
    </w:p>
    <w:p w:rsidR="00597E5A"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It is unlawful to make false or misleading representations about goods or services when supplying, offering to supply, or promoting those goods or services. For example, you must not make false or mi</w:t>
      </w:r>
      <w:r w:rsidR="0058299F">
        <w:rPr>
          <w:rFonts w:ascii="Calibri" w:eastAsia="Calibri" w:hAnsi="Calibri" w:cs="Times New Roman"/>
          <w:color w:val="000000"/>
          <w:sz w:val="24"/>
        </w:rPr>
        <w:t>sleading representations about:</w:t>
      </w:r>
    </w:p>
    <w:p w:rsidR="00597E5A" w:rsidRDefault="00597E5A" w:rsidP="00597E5A">
      <w:pPr>
        <w:pStyle w:val="ListParagraph"/>
        <w:numPr>
          <w:ilvl w:val="0"/>
          <w:numId w:val="41"/>
        </w:numPr>
        <w:spacing w:before="0" w:after="240"/>
        <w:rPr>
          <w:rFonts w:ascii="Calibri" w:eastAsia="Calibri" w:hAnsi="Calibri" w:cs="Times New Roman"/>
          <w:color w:val="000000"/>
          <w:sz w:val="24"/>
        </w:rPr>
      </w:pPr>
      <w:r w:rsidRPr="006037B5">
        <w:rPr>
          <w:rFonts w:ascii="Calibri" w:eastAsia="Calibri" w:hAnsi="Calibri" w:cs="Times New Roman"/>
          <w:color w:val="000000"/>
          <w:sz w:val="24"/>
        </w:rPr>
        <w:t>the quality or characteristics of the goods or services</w:t>
      </w:r>
    </w:p>
    <w:p w:rsidR="00597E5A" w:rsidRDefault="00597E5A" w:rsidP="00597E5A">
      <w:pPr>
        <w:pStyle w:val="ListParagraph"/>
        <w:numPr>
          <w:ilvl w:val="0"/>
          <w:numId w:val="41"/>
        </w:numPr>
        <w:spacing w:before="0" w:after="240"/>
        <w:rPr>
          <w:rFonts w:ascii="Calibri" w:eastAsia="Calibri" w:hAnsi="Calibri" w:cs="Times New Roman"/>
          <w:color w:val="000000"/>
          <w:sz w:val="24"/>
        </w:rPr>
      </w:pPr>
      <w:r w:rsidRPr="006037B5">
        <w:rPr>
          <w:rFonts w:ascii="Calibri" w:eastAsia="Calibri" w:hAnsi="Calibri" w:cs="Times New Roman"/>
          <w:color w:val="000000"/>
          <w:sz w:val="24"/>
        </w:rPr>
        <w:t>whether the goods are new</w:t>
      </w:r>
    </w:p>
    <w:p w:rsidR="00597E5A" w:rsidRDefault="00597E5A" w:rsidP="00597E5A">
      <w:pPr>
        <w:pStyle w:val="ListParagraph"/>
        <w:numPr>
          <w:ilvl w:val="0"/>
          <w:numId w:val="41"/>
        </w:numPr>
        <w:spacing w:before="0" w:after="240"/>
        <w:rPr>
          <w:rFonts w:ascii="Calibri" w:eastAsia="Calibri" w:hAnsi="Calibri" w:cs="Times New Roman"/>
          <w:color w:val="000000"/>
          <w:sz w:val="24"/>
        </w:rPr>
      </w:pPr>
      <w:r w:rsidRPr="006037B5">
        <w:rPr>
          <w:rFonts w:ascii="Calibri" w:eastAsia="Calibri" w:hAnsi="Calibri" w:cs="Times New Roman"/>
          <w:color w:val="000000"/>
          <w:sz w:val="24"/>
        </w:rPr>
        <w:t>where the goods were made</w:t>
      </w:r>
    </w:p>
    <w:p w:rsidR="00597E5A" w:rsidRDefault="00597E5A" w:rsidP="00597E5A">
      <w:pPr>
        <w:pStyle w:val="ListParagraph"/>
        <w:numPr>
          <w:ilvl w:val="0"/>
          <w:numId w:val="41"/>
        </w:numPr>
        <w:spacing w:before="0" w:after="240"/>
        <w:rPr>
          <w:rFonts w:ascii="Calibri" w:eastAsia="Calibri" w:hAnsi="Calibri" w:cs="Times New Roman"/>
          <w:color w:val="000000"/>
          <w:sz w:val="24"/>
        </w:rPr>
      </w:pPr>
      <w:r w:rsidRPr="006037B5">
        <w:rPr>
          <w:rFonts w:ascii="Calibri" w:eastAsia="Calibri" w:hAnsi="Calibri" w:cs="Times New Roman"/>
          <w:color w:val="000000"/>
          <w:sz w:val="24"/>
        </w:rPr>
        <w:t>testimonials relating to the goods or services</w:t>
      </w:r>
    </w:p>
    <w:p w:rsidR="00597E5A" w:rsidRPr="006037B5" w:rsidRDefault="00597E5A" w:rsidP="00597E5A">
      <w:pPr>
        <w:pStyle w:val="ListParagraph"/>
        <w:numPr>
          <w:ilvl w:val="0"/>
          <w:numId w:val="41"/>
        </w:numPr>
        <w:spacing w:before="0" w:after="240"/>
        <w:rPr>
          <w:rFonts w:ascii="Calibri" w:eastAsia="Calibri" w:hAnsi="Calibri" w:cs="Times New Roman"/>
          <w:color w:val="000000"/>
          <w:sz w:val="24"/>
        </w:rPr>
      </w:pPr>
      <w:proofErr w:type="gramStart"/>
      <w:r>
        <w:rPr>
          <w:rFonts w:ascii="Calibri" w:eastAsia="Calibri" w:hAnsi="Calibri" w:cs="Times New Roman"/>
          <w:color w:val="000000"/>
          <w:sz w:val="24"/>
        </w:rPr>
        <w:t>the</w:t>
      </w:r>
      <w:proofErr w:type="gramEnd"/>
      <w:r>
        <w:rPr>
          <w:rFonts w:ascii="Calibri" w:eastAsia="Calibri" w:hAnsi="Calibri" w:cs="Times New Roman"/>
          <w:color w:val="000000"/>
          <w:sz w:val="24"/>
        </w:rPr>
        <w:t xml:space="preserve"> </w:t>
      </w:r>
      <w:r w:rsidRPr="006037B5">
        <w:rPr>
          <w:rFonts w:ascii="Calibri" w:eastAsia="Calibri" w:hAnsi="Calibri" w:cs="Times New Roman"/>
          <w:color w:val="000000"/>
          <w:sz w:val="24"/>
        </w:rPr>
        <w:t xml:space="preserve">price or any guarantees or warranties. </w:t>
      </w:r>
    </w:p>
    <w:p w:rsidR="00597E5A" w:rsidRPr="006944D4" w:rsidRDefault="00597E5A" w:rsidP="00597E5A">
      <w:pPr>
        <w:spacing w:before="0" w:after="240"/>
        <w:rPr>
          <w:rFonts w:ascii="Calibri" w:eastAsia="Times New Roman" w:hAnsi="Calibri" w:cs="Times New Roman"/>
          <w:bCs/>
          <w:i/>
          <w:color w:val="595959"/>
          <w:sz w:val="28"/>
          <w:szCs w:val="28"/>
        </w:rPr>
      </w:pPr>
      <w:r>
        <w:rPr>
          <w:rFonts w:ascii="Calibri" w:eastAsia="Times New Roman" w:hAnsi="Calibri" w:cs="Times New Roman"/>
          <w:bCs/>
          <w:i/>
          <w:color w:val="595959"/>
          <w:sz w:val="28"/>
          <w:szCs w:val="28"/>
        </w:rPr>
        <w:t>Harassment or coercion</w:t>
      </w:r>
    </w:p>
    <w:p w:rsidR="00597E5A"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It is also unlawful to harass or coerce someone about the supply of, or payment for, goods or services. For example, you cannot engage in unnecessary or excessive solicitation, or use actual or threatened force, in attempting to sell goods or services for the purposes of fundraising.</w:t>
      </w:r>
    </w:p>
    <w:p w:rsidR="00597E5A" w:rsidRPr="009701DB" w:rsidRDefault="00597E5A" w:rsidP="00597E5A">
      <w:pPr>
        <w:pBdr>
          <w:top w:val="single" w:sz="4" w:space="1" w:color="auto"/>
          <w:left w:val="single" w:sz="4" w:space="4" w:color="auto"/>
          <w:bottom w:val="single" w:sz="4" w:space="1" w:color="auto"/>
          <w:right w:val="single" w:sz="4" w:space="4" w:color="auto"/>
        </w:pBdr>
        <w:rPr>
          <w:rFonts w:ascii="Calibri" w:hAnsi="Calibri"/>
          <w:b/>
          <w:sz w:val="24"/>
          <w:szCs w:val="24"/>
        </w:rPr>
      </w:pPr>
      <w:r w:rsidRPr="009701DB">
        <w:rPr>
          <w:rFonts w:ascii="Calibri" w:hAnsi="Calibri"/>
          <w:b/>
          <w:sz w:val="24"/>
          <w:szCs w:val="24"/>
        </w:rPr>
        <w:t>EXAMPLE</w:t>
      </w:r>
    </w:p>
    <w:p w:rsidR="00597E5A" w:rsidRPr="009701DB" w:rsidRDefault="00597E5A" w:rsidP="00597E5A">
      <w:pPr>
        <w:pBdr>
          <w:top w:val="single" w:sz="4" w:space="1" w:color="auto"/>
          <w:left w:val="single" w:sz="4" w:space="4" w:color="auto"/>
          <w:bottom w:val="single" w:sz="4" w:space="1" w:color="auto"/>
          <w:right w:val="single" w:sz="4" w:space="4" w:color="auto"/>
        </w:pBdr>
        <w:rPr>
          <w:rFonts w:ascii="Calibri" w:eastAsia="Calibri" w:hAnsi="Calibri" w:cs="Times New Roman"/>
          <w:color w:val="000000"/>
          <w:sz w:val="24"/>
        </w:rPr>
      </w:pPr>
      <w:r w:rsidRPr="009701DB">
        <w:rPr>
          <w:rFonts w:ascii="Calibri" w:eastAsia="Calibri" w:hAnsi="Calibri" w:cs="Times New Roman"/>
          <w:color w:val="000000"/>
          <w:sz w:val="24"/>
        </w:rPr>
        <w:t xml:space="preserve">A not-for-profit </w:t>
      </w:r>
      <w:r>
        <w:rPr>
          <w:rFonts w:ascii="Calibri" w:eastAsia="Calibri" w:hAnsi="Calibri" w:cs="Times New Roman"/>
          <w:color w:val="000000"/>
          <w:sz w:val="24"/>
        </w:rPr>
        <w:t>protest</w:t>
      </w:r>
      <w:r w:rsidRPr="009701DB">
        <w:rPr>
          <w:rFonts w:ascii="Calibri" w:eastAsia="Calibri" w:hAnsi="Calibri" w:cs="Times New Roman"/>
          <w:color w:val="000000"/>
          <w:sz w:val="24"/>
        </w:rPr>
        <w:t xml:space="preserve"> group uses volunteer</w:t>
      </w:r>
      <w:r>
        <w:rPr>
          <w:rFonts w:ascii="Calibri" w:eastAsia="Calibri" w:hAnsi="Calibri" w:cs="Times New Roman"/>
          <w:color w:val="000000"/>
          <w:sz w:val="24"/>
        </w:rPr>
        <w:t>s</w:t>
      </w:r>
      <w:r w:rsidRPr="009701DB">
        <w:rPr>
          <w:rFonts w:ascii="Calibri" w:eastAsia="Calibri" w:hAnsi="Calibri" w:cs="Times New Roman"/>
          <w:color w:val="000000"/>
          <w:sz w:val="24"/>
        </w:rPr>
        <w:t xml:space="preserve"> to travel door-to-door selling books </w:t>
      </w:r>
      <w:r>
        <w:rPr>
          <w:rFonts w:ascii="Calibri" w:eastAsia="Calibri" w:hAnsi="Calibri" w:cs="Times New Roman"/>
          <w:color w:val="000000"/>
          <w:sz w:val="24"/>
        </w:rPr>
        <w:t xml:space="preserve">which </w:t>
      </w:r>
      <w:r w:rsidRPr="009701DB">
        <w:rPr>
          <w:rFonts w:ascii="Calibri" w:eastAsia="Calibri" w:hAnsi="Calibri" w:cs="Times New Roman"/>
          <w:color w:val="000000"/>
          <w:sz w:val="24"/>
        </w:rPr>
        <w:t xml:space="preserve">fund the group’s protest activities. </w:t>
      </w:r>
      <w:r>
        <w:rPr>
          <w:rFonts w:ascii="Calibri" w:eastAsia="Calibri" w:hAnsi="Calibri" w:cs="Times New Roman"/>
          <w:color w:val="000000"/>
          <w:sz w:val="24"/>
        </w:rPr>
        <w:t>One of the</w:t>
      </w:r>
      <w:r w:rsidRPr="009701DB">
        <w:rPr>
          <w:rFonts w:ascii="Calibri" w:eastAsia="Calibri" w:hAnsi="Calibri" w:cs="Times New Roman"/>
          <w:color w:val="000000"/>
          <w:sz w:val="24"/>
        </w:rPr>
        <w:t xml:space="preserve"> volunteer</w:t>
      </w:r>
      <w:r>
        <w:rPr>
          <w:rFonts w:ascii="Calibri" w:eastAsia="Calibri" w:hAnsi="Calibri" w:cs="Times New Roman"/>
          <w:color w:val="000000"/>
          <w:sz w:val="24"/>
        </w:rPr>
        <w:t>s</w:t>
      </w:r>
      <w:r w:rsidRPr="009701DB">
        <w:rPr>
          <w:rFonts w:ascii="Calibri" w:eastAsia="Calibri" w:hAnsi="Calibri" w:cs="Times New Roman"/>
          <w:color w:val="000000"/>
          <w:sz w:val="24"/>
        </w:rPr>
        <w:t xml:space="preserve"> pressures a </w:t>
      </w:r>
      <w:r>
        <w:rPr>
          <w:rFonts w:ascii="Calibri" w:eastAsia="Calibri" w:hAnsi="Calibri" w:cs="Times New Roman"/>
          <w:color w:val="000000"/>
          <w:sz w:val="24"/>
        </w:rPr>
        <w:t>person</w:t>
      </w:r>
      <w:r w:rsidRPr="009701DB">
        <w:rPr>
          <w:rFonts w:ascii="Calibri" w:eastAsia="Calibri" w:hAnsi="Calibri" w:cs="Times New Roman"/>
          <w:color w:val="000000"/>
          <w:sz w:val="24"/>
        </w:rPr>
        <w:t xml:space="preserve"> with a brain injury into purchasing </w:t>
      </w:r>
      <w:r>
        <w:rPr>
          <w:rFonts w:ascii="Calibri" w:eastAsia="Calibri" w:hAnsi="Calibri" w:cs="Times New Roman"/>
          <w:color w:val="000000"/>
          <w:sz w:val="24"/>
        </w:rPr>
        <w:t>the</w:t>
      </w:r>
      <w:r w:rsidRPr="009701DB">
        <w:rPr>
          <w:rFonts w:ascii="Calibri" w:eastAsia="Calibri" w:hAnsi="Calibri" w:cs="Times New Roman"/>
          <w:color w:val="000000"/>
          <w:sz w:val="24"/>
        </w:rPr>
        <w:t xml:space="preserve"> book</w:t>
      </w:r>
      <w:r>
        <w:rPr>
          <w:rFonts w:ascii="Calibri" w:eastAsia="Calibri" w:hAnsi="Calibri" w:cs="Times New Roman"/>
          <w:color w:val="000000"/>
          <w:sz w:val="24"/>
        </w:rPr>
        <w:t>s</w:t>
      </w:r>
      <w:r w:rsidRPr="009701DB">
        <w:rPr>
          <w:rFonts w:ascii="Calibri" w:eastAsia="Calibri" w:hAnsi="Calibri" w:cs="Times New Roman"/>
          <w:color w:val="000000"/>
          <w:sz w:val="24"/>
        </w:rPr>
        <w:t xml:space="preserve">, telling </w:t>
      </w:r>
      <w:r>
        <w:rPr>
          <w:rFonts w:ascii="Calibri" w:eastAsia="Calibri" w:hAnsi="Calibri" w:cs="Times New Roman"/>
          <w:color w:val="000000"/>
          <w:sz w:val="24"/>
        </w:rPr>
        <w:t xml:space="preserve">the person </w:t>
      </w:r>
      <w:r w:rsidRPr="009701DB">
        <w:rPr>
          <w:rFonts w:ascii="Calibri" w:eastAsia="Calibri" w:hAnsi="Calibri" w:cs="Times New Roman"/>
          <w:color w:val="000000"/>
          <w:sz w:val="24"/>
        </w:rPr>
        <w:t xml:space="preserve">that if </w:t>
      </w:r>
      <w:r>
        <w:rPr>
          <w:rFonts w:ascii="Calibri" w:eastAsia="Calibri" w:hAnsi="Calibri" w:cs="Times New Roman"/>
          <w:color w:val="000000"/>
          <w:sz w:val="24"/>
        </w:rPr>
        <w:t>they</w:t>
      </w:r>
      <w:r w:rsidRPr="009701DB">
        <w:rPr>
          <w:rFonts w:ascii="Calibri" w:eastAsia="Calibri" w:hAnsi="Calibri" w:cs="Times New Roman"/>
          <w:color w:val="000000"/>
          <w:sz w:val="24"/>
        </w:rPr>
        <w:t xml:space="preserve"> </w:t>
      </w:r>
      <w:r>
        <w:rPr>
          <w:rFonts w:ascii="Calibri" w:eastAsia="Calibri" w:hAnsi="Calibri" w:cs="Times New Roman"/>
          <w:color w:val="000000"/>
          <w:sz w:val="24"/>
        </w:rPr>
        <w:t xml:space="preserve">do </w:t>
      </w:r>
      <w:r w:rsidRPr="009701DB">
        <w:rPr>
          <w:rFonts w:ascii="Calibri" w:eastAsia="Calibri" w:hAnsi="Calibri" w:cs="Times New Roman"/>
          <w:color w:val="000000"/>
          <w:sz w:val="24"/>
        </w:rPr>
        <w:t>not b</w:t>
      </w:r>
      <w:r>
        <w:rPr>
          <w:rFonts w:ascii="Calibri" w:eastAsia="Calibri" w:hAnsi="Calibri" w:cs="Times New Roman"/>
          <w:color w:val="000000"/>
          <w:sz w:val="24"/>
        </w:rPr>
        <w:t>u</w:t>
      </w:r>
      <w:r w:rsidRPr="009701DB">
        <w:rPr>
          <w:rFonts w:ascii="Calibri" w:eastAsia="Calibri" w:hAnsi="Calibri" w:cs="Times New Roman"/>
          <w:color w:val="000000"/>
          <w:sz w:val="24"/>
        </w:rPr>
        <w:t>y the book</w:t>
      </w:r>
      <w:r>
        <w:rPr>
          <w:rFonts w:ascii="Calibri" w:eastAsia="Calibri" w:hAnsi="Calibri" w:cs="Times New Roman"/>
          <w:color w:val="000000"/>
          <w:sz w:val="24"/>
        </w:rPr>
        <w:t>s</w:t>
      </w:r>
      <w:r w:rsidRPr="009701DB">
        <w:rPr>
          <w:rFonts w:ascii="Calibri" w:eastAsia="Calibri" w:hAnsi="Calibri" w:cs="Times New Roman"/>
          <w:color w:val="000000"/>
          <w:sz w:val="24"/>
        </w:rPr>
        <w:t xml:space="preserve">, the volunteer will report </w:t>
      </w:r>
      <w:r>
        <w:rPr>
          <w:rFonts w:ascii="Calibri" w:eastAsia="Calibri" w:hAnsi="Calibri" w:cs="Times New Roman"/>
          <w:color w:val="000000"/>
          <w:sz w:val="24"/>
        </w:rPr>
        <w:t>them</w:t>
      </w:r>
      <w:r w:rsidRPr="009701DB">
        <w:rPr>
          <w:rFonts w:ascii="Calibri" w:eastAsia="Calibri" w:hAnsi="Calibri" w:cs="Times New Roman"/>
          <w:color w:val="000000"/>
          <w:sz w:val="24"/>
        </w:rPr>
        <w:t xml:space="preserve"> to the local council </w:t>
      </w:r>
      <w:r>
        <w:rPr>
          <w:rFonts w:ascii="Calibri" w:eastAsia="Calibri" w:hAnsi="Calibri" w:cs="Times New Roman"/>
          <w:color w:val="000000"/>
          <w:sz w:val="24"/>
        </w:rPr>
        <w:t>for having an overgrown garden.</w:t>
      </w:r>
    </w:p>
    <w:p w:rsidR="00597E5A" w:rsidRPr="009701DB" w:rsidRDefault="00597E5A" w:rsidP="00597E5A">
      <w:pPr>
        <w:pBdr>
          <w:top w:val="single" w:sz="4" w:space="1" w:color="auto"/>
          <w:left w:val="single" w:sz="4" w:space="4" w:color="auto"/>
          <w:bottom w:val="single" w:sz="4" w:space="1" w:color="auto"/>
          <w:right w:val="single" w:sz="4" w:space="4" w:color="auto"/>
        </w:pBdr>
        <w:spacing w:after="240"/>
        <w:rPr>
          <w:rFonts w:ascii="Calibri" w:eastAsia="Calibri" w:hAnsi="Calibri" w:cs="Times New Roman"/>
          <w:color w:val="000000"/>
          <w:sz w:val="24"/>
        </w:rPr>
      </w:pPr>
      <w:r w:rsidRPr="009701DB">
        <w:rPr>
          <w:rFonts w:ascii="Calibri" w:eastAsia="Calibri" w:hAnsi="Calibri" w:cs="Times New Roman"/>
          <w:color w:val="000000"/>
          <w:sz w:val="24"/>
        </w:rPr>
        <w:t xml:space="preserve">The </w:t>
      </w:r>
      <w:r>
        <w:rPr>
          <w:rFonts w:ascii="Calibri" w:eastAsia="Calibri" w:hAnsi="Calibri" w:cs="Times New Roman"/>
          <w:color w:val="000000"/>
          <w:sz w:val="24"/>
        </w:rPr>
        <w:t xml:space="preserve">conduct of the volunteer may raise unconscionable conduct and harassment and coercion concerns under the </w:t>
      </w:r>
      <w:r w:rsidRPr="009701DB">
        <w:rPr>
          <w:rFonts w:ascii="Calibri" w:eastAsia="Calibri" w:hAnsi="Calibri" w:cs="Times New Roman"/>
          <w:color w:val="000000"/>
          <w:sz w:val="24"/>
        </w:rPr>
        <w:t xml:space="preserve">ACL because </w:t>
      </w:r>
      <w:r>
        <w:rPr>
          <w:rFonts w:ascii="Calibri" w:eastAsia="Calibri" w:hAnsi="Calibri" w:cs="Times New Roman"/>
          <w:color w:val="000000"/>
          <w:sz w:val="24"/>
        </w:rPr>
        <w:t xml:space="preserve">the </w:t>
      </w:r>
      <w:r w:rsidRPr="009701DB">
        <w:rPr>
          <w:rFonts w:ascii="Calibri" w:eastAsia="Calibri" w:hAnsi="Calibri" w:cs="Times New Roman"/>
          <w:color w:val="000000"/>
          <w:sz w:val="24"/>
        </w:rPr>
        <w:t xml:space="preserve">book was supplied to the </w:t>
      </w:r>
      <w:r>
        <w:rPr>
          <w:rFonts w:ascii="Calibri" w:eastAsia="Calibri" w:hAnsi="Calibri" w:cs="Times New Roman"/>
          <w:color w:val="000000"/>
          <w:sz w:val="24"/>
        </w:rPr>
        <w:t>person</w:t>
      </w:r>
      <w:r w:rsidRPr="009701DB">
        <w:rPr>
          <w:rFonts w:ascii="Calibri" w:eastAsia="Calibri" w:hAnsi="Calibri" w:cs="Times New Roman"/>
          <w:color w:val="000000"/>
          <w:sz w:val="24"/>
        </w:rPr>
        <w:t xml:space="preserve"> using</w:t>
      </w:r>
      <w:r>
        <w:rPr>
          <w:rFonts w:ascii="Calibri" w:eastAsia="Calibri" w:hAnsi="Calibri" w:cs="Times New Roman"/>
          <w:color w:val="000000"/>
          <w:sz w:val="24"/>
        </w:rPr>
        <w:t xml:space="preserve"> coercive</w:t>
      </w:r>
      <w:r w:rsidRPr="009701DB">
        <w:rPr>
          <w:rFonts w:ascii="Calibri" w:eastAsia="Calibri" w:hAnsi="Calibri" w:cs="Times New Roman"/>
          <w:color w:val="000000"/>
          <w:sz w:val="24"/>
        </w:rPr>
        <w:t xml:space="preserve"> tactics that appear to target </w:t>
      </w:r>
      <w:r>
        <w:rPr>
          <w:rFonts w:ascii="Calibri" w:eastAsia="Calibri" w:hAnsi="Calibri" w:cs="Times New Roman"/>
          <w:color w:val="000000"/>
          <w:sz w:val="24"/>
        </w:rPr>
        <w:t>them</w:t>
      </w:r>
      <w:r w:rsidRPr="009701DB">
        <w:rPr>
          <w:rFonts w:ascii="Calibri" w:eastAsia="Calibri" w:hAnsi="Calibri" w:cs="Times New Roman"/>
          <w:color w:val="000000"/>
          <w:sz w:val="24"/>
        </w:rPr>
        <w:t xml:space="preserve"> as a vulnerable consumer.</w:t>
      </w:r>
    </w:p>
    <w:p w:rsidR="00597E5A" w:rsidRPr="006037B5" w:rsidRDefault="00597E5A" w:rsidP="00597E5A">
      <w:pPr>
        <w:spacing w:before="0" w:after="240"/>
      </w:pPr>
      <w:r>
        <w:rPr>
          <w:rFonts w:ascii="Calibri" w:eastAsia="Calibri" w:hAnsi="Calibri" w:cs="Times New Roman"/>
          <w:color w:val="000000"/>
          <w:sz w:val="24"/>
        </w:rPr>
        <w:lastRenderedPageBreak/>
        <w:t xml:space="preserve">You can find further information regarding your obligations in </w:t>
      </w:r>
      <w:hyperlink r:id="rId11" w:history="1">
        <w:proofErr w:type="gramStart"/>
        <w:r w:rsidRPr="009701DB">
          <w:rPr>
            <w:rStyle w:val="Hyperlink"/>
            <w:i/>
          </w:rPr>
          <w:t>Avoiding</w:t>
        </w:r>
        <w:proofErr w:type="gramEnd"/>
        <w:r w:rsidRPr="009701DB">
          <w:rPr>
            <w:rStyle w:val="Hyperlink"/>
            <w:i/>
          </w:rPr>
          <w:t xml:space="preserve"> unfair business practices: A guide for businesses and legal practitioners</w:t>
        </w:r>
      </w:hyperlink>
      <w:r w:rsidRPr="006037B5">
        <w:rPr>
          <w:rStyle w:val="Hyperlink"/>
          <w:color w:val="auto"/>
          <w:u w:val="none"/>
        </w:rPr>
        <w:t>.</w:t>
      </w:r>
    </w:p>
    <w:p w:rsidR="00597E5A" w:rsidRPr="00D86DB9" w:rsidRDefault="00597E5A" w:rsidP="00597E5A">
      <w:pPr>
        <w:keepNext/>
        <w:keepLines/>
        <w:spacing w:before="360" w:after="240"/>
        <w:outlineLvl w:val="0"/>
        <w:rPr>
          <w:rFonts w:ascii="Calibri" w:eastAsia="Times New Roman" w:hAnsi="Calibri" w:cs="Times New Roman"/>
          <w:b/>
          <w:bCs/>
          <w:smallCaps/>
          <w:color w:val="595959"/>
          <w:sz w:val="44"/>
          <w:szCs w:val="28"/>
        </w:rPr>
      </w:pPr>
      <w:r w:rsidRPr="00D86DB9">
        <w:rPr>
          <w:rFonts w:ascii="Calibri" w:eastAsia="Times New Roman" w:hAnsi="Calibri" w:cs="Times New Roman"/>
          <w:b/>
          <w:bCs/>
          <w:smallCaps/>
          <w:color w:val="595959"/>
          <w:sz w:val="44"/>
          <w:szCs w:val="28"/>
        </w:rPr>
        <w:t>Enforcing the law</w:t>
      </w:r>
    </w:p>
    <w:p w:rsidR="00597E5A" w:rsidRPr="005C63CE" w:rsidRDefault="00597E5A" w:rsidP="00597E5A">
      <w:pPr>
        <w:spacing w:before="0" w:after="240"/>
        <w:rPr>
          <w:rFonts w:ascii="Calibri" w:eastAsia="Calibri" w:hAnsi="Calibri" w:cs="Times New Roman"/>
          <w:color w:val="000000"/>
          <w:sz w:val="24"/>
        </w:rPr>
      </w:pPr>
      <w:r>
        <w:rPr>
          <w:rFonts w:ascii="Calibri" w:eastAsia="Calibri" w:hAnsi="Calibri" w:cs="Times New Roman"/>
          <w:color w:val="000000"/>
          <w:sz w:val="24"/>
        </w:rPr>
        <w:t>ACL regulators</w:t>
      </w:r>
      <w:r w:rsidRPr="00306441">
        <w:rPr>
          <w:rFonts w:ascii="Calibri" w:eastAsia="Calibri" w:hAnsi="Calibri" w:cs="Times New Roman"/>
          <w:color w:val="000000"/>
          <w:sz w:val="24"/>
        </w:rPr>
        <w:t xml:space="preserve"> investigate complaints </w:t>
      </w:r>
      <w:r>
        <w:rPr>
          <w:rFonts w:ascii="Calibri" w:eastAsia="Calibri" w:hAnsi="Calibri" w:cs="Times New Roman"/>
          <w:color w:val="000000"/>
          <w:sz w:val="24"/>
        </w:rPr>
        <w:t xml:space="preserve">about potential breaches of the ACL </w:t>
      </w:r>
      <w:r w:rsidRPr="00306441">
        <w:rPr>
          <w:rFonts w:ascii="Calibri" w:eastAsia="Calibri" w:hAnsi="Calibri" w:cs="Times New Roman"/>
          <w:color w:val="000000"/>
          <w:sz w:val="24"/>
        </w:rPr>
        <w:t>and take enforcement action where necessary</w:t>
      </w:r>
      <w:r>
        <w:rPr>
          <w:rFonts w:ascii="Calibri" w:eastAsia="Calibri" w:hAnsi="Calibri" w:cs="Times New Roman"/>
          <w:color w:val="000000"/>
          <w:sz w:val="24"/>
        </w:rPr>
        <w:t xml:space="preserve"> and where this falls within current priorities. In some cases enforcement action can include issuing</w:t>
      </w:r>
      <w:r w:rsidRPr="00306441">
        <w:rPr>
          <w:rFonts w:ascii="Calibri" w:eastAsia="Calibri" w:hAnsi="Calibri" w:cs="Times New Roman"/>
          <w:color w:val="000000"/>
          <w:sz w:val="24"/>
        </w:rPr>
        <w:t xml:space="preserve"> an infringement notice </w:t>
      </w:r>
      <w:r>
        <w:rPr>
          <w:rFonts w:ascii="Calibri" w:eastAsia="Calibri" w:hAnsi="Calibri" w:cs="Times New Roman"/>
          <w:color w:val="000000"/>
          <w:sz w:val="24"/>
        </w:rPr>
        <w:t>where the relevant regulator</w:t>
      </w:r>
      <w:r w:rsidRPr="00306441">
        <w:rPr>
          <w:rFonts w:ascii="Calibri" w:eastAsia="Calibri" w:hAnsi="Calibri" w:cs="Times New Roman"/>
          <w:color w:val="000000"/>
          <w:sz w:val="24"/>
        </w:rPr>
        <w:t xml:space="preserve"> has reaso</w:t>
      </w:r>
      <w:r>
        <w:rPr>
          <w:rFonts w:ascii="Calibri" w:eastAsia="Calibri" w:hAnsi="Calibri" w:cs="Times New Roman"/>
          <w:color w:val="000000"/>
          <w:sz w:val="24"/>
        </w:rPr>
        <w:t xml:space="preserve">nable grounds to believe that an entity </w:t>
      </w:r>
      <w:r w:rsidRPr="00306441">
        <w:rPr>
          <w:rFonts w:ascii="Calibri" w:eastAsia="Calibri" w:hAnsi="Calibri" w:cs="Times New Roman"/>
          <w:color w:val="000000"/>
          <w:sz w:val="24"/>
        </w:rPr>
        <w:t xml:space="preserve">has breached the </w:t>
      </w:r>
      <w:r>
        <w:rPr>
          <w:rFonts w:ascii="Calibri" w:eastAsia="Calibri" w:hAnsi="Calibri" w:cs="Times New Roman"/>
          <w:color w:val="000000"/>
          <w:sz w:val="24"/>
        </w:rPr>
        <w:t>ACL. ACL regulators can also take court action against an entity</w:t>
      </w:r>
      <w:r w:rsidRPr="00306441">
        <w:rPr>
          <w:rFonts w:ascii="Calibri" w:eastAsia="Calibri" w:hAnsi="Calibri" w:cs="Times New Roman"/>
          <w:color w:val="000000"/>
          <w:sz w:val="24"/>
        </w:rPr>
        <w:t>,</w:t>
      </w:r>
      <w:r>
        <w:rPr>
          <w:rFonts w:ascii="Calibri" w:eastAsia="Calibri" w:hAnsi="Calibri" w:cs="Times New Roman"/>
          <w:color w:val="000000"/>
          <w:sz w:val="24"/>
        </w:rPr>
        <w:t xml:space="preserve"> in some cases</w:t>
      </w:r>
      <w:r w:rsidRPr="00306441">
        <w:rPr>
          <w:rFonts w:ascii="Calibri" w:eastAsia="Calibri" w:hAnsi="Calibri" w:cs="Times New Roman"/>
          <w:color w:val="000000"/>
          <w:sz w:val="24"/>
        </w:rPr>
        <w:t xml:space="preserve"> seeking pecuniary penalties.</w:t>
      </w:r>
      <w:r>
        <w:rPr>
          <w:rFonts w:ascii="Calibri" w:eastAsia="Calibri" w:hAnsi="Calibri" w:cs="Times New Roman"/>
          <w:color w:val="000000"/>
          <w:sz w:val="24"/>
        </w:rPr>
        <w:t xml:space="preserve"> </w:t>
      </w:r>
      <w:r w:rsidRPr="00306441">
        <w:rPr>
          <w:rFonts w:ascii="Calibri" w:eastAsia="Calibri" w:hAnsi="Calibri" w:cs="Times New Roman"/>
          <w:color w:val="000000"/>
          <w:sz w:val="24"/>
        </w:rPr>
        <w:t xml:space="preserve">The maximum penalty for </w:t>
      </w:r>
      <w:r>
        <w:rPr>
          <w:rFonts w:ascii="Calibri" w:eastAsia="Calibri" w:hAnsi="Calibri" w:cs="Times New Roman"/>
          <w:color w:val="000000"/>
          <w:sz w:val="24"/>
        </w:rPr>
        <w:t>some ACL provisions is $1.1m for corporations and $220 000 for individuals, with lesser civil penalties applying</w:t>
      </w:r>
      <w:r w:rsidRPr="00306441">
        <w:rPr>
          <w:rFonts w:ascii="Calibri" w:eastAsia="Calibri" w:hAnsi="Calibri" w:cs="Times New Roman"/>
          <w:color w:val="000000"/>
          <w:sz w:val="24"/>
        </w:rPr>
        <w:t xml:space="preserve"> to other contraventions</w:t>
      </w:r>
      <w:r>
        <w:rPr>
          <w:rFonts w:ascii="Calibri" w:eastAsia="Calibri" w:hAnsi="Calibri" w:cs="Times New Roman"/>
          <w:color w:val="000000"/>
          <w:sz w:val="24"/>
        </w:rPr>
        <w:t xml:space="preserve">. </w:t>
      </w:r>
      <w:r w:rsidR="00A46932">
        <w:rPr>
          <w:rFonts w:ascii="Calibri" w:eastAsia="Calibri" w:hAnsi="Calibri" w:cs="Times New Roman"/>
          <w:color w:val="000000"/>
          <w:sz w:val="24"/>
        </w:rPr>
        <w:t>Other remedies including Court</w:t>
      </w:r>
      <w:r w:rsidR="00A46932" w:rsidRPr="00A46932">
        <w:rPr>
          <w:rFonts w:ascii="Calibri" w:eastAsia="Calibri" w:hAnsi="Calibri" w:cs="Times New Roman"/>
          <w:color w:val="000000"/>
          <w:sz w:val="24"/>
        </w:rPr>
        <w:t xml:space="preserve"> enforceable undertakings and corrective advertising</w:t>
      </w:r>
      <w:r w:rsidR="00A46932">
        <w:rPr>
          <w:rFonts w:ascii="Calibri" w:eastAsia="Calibri" w:hAnsi="Calibri" w:cs="Times New Roman"/>
          <w:color w:val="000000"/>
          <w:sz w:val="24"/>
        </w:rPr>
        <w:t xml:space="preserve"> are also available</w:t>
      </w:r>
      <w:r w:rsidR="00A46932" w:rsidRPr="00A46932">
        <w:rPr>
          <w:rFonts w:ascii="Calibri" w:eastAsia="Calibri" w:hAnsi="Calibri" w:cs="Times New Roman"/>
          <w:color w:val="000000"/>
          <w:sz w:val="24"/>
        </w:rPr>
        <w:t>.</w:t>
      </w:r>
      <w:r w:rsidR="00A46932">
        <w:rPr>
          <w:rFonts w:ascii="Calibri" w:eastAsia="Calibri" w:hAnsi="Calibri" w:cs="Times New Roman"/>
          <w:color w:val="000000"/>
          <w:sz w:val="24"/>
        </w:rPr>
        <w:t xml:space="preserve"> </w:t>
      </w:r>
      <w:r>
        <w:rPr>
          <w:rFonts w:ascii="Calibri" w:eastAsia="Calibri" w:hAnsi="Calibri" w:cs="Times New Roman"/>
          <w:color w:val="000000"/>
          <w:sz w:val="24"/>
        </w:rPr>
        <w:t xml:space="preserve">ACL regulators also utilise </w:t>
      </w:r>
      <w:r w:rsidRPr="009F53E7">
        <w:rPr>
          <w:rFonts w:ascii="Calibri" w:eastAsia="Calibri" w:hAnsi="Calibri" w:cs="Times New Roman"/>
          <w:color w:val="000000"/>
          <w:sz w:val="24"/>
        </w:rPr>
        <w:t xml:space="preserve">a range of compliance tools to prevent breaches of the </w:t>
      </w:r>
      <w:r>
        <w:rPr>
          <w:rFonts w:ascii="Calibri" w:eastAsia="Calibri" w:hAnsi="Calibri" w:cs="Times New Roman"/>
          <w:color w:val="000000"/>
          <w:sz w:val="24"/>
        </w:rPr>
        <w:t>ACL</w:t>
      </w:r>
      <w:r w:rsidRPr="009F53E7">
        <w:rPr>
          <w:rFonts w:ascii="Calibri" w:eastAsia="Calibri" w:hAnsi="Calibri" w:cs="Times New Roman"/>
          <w:color w:val="000000"/>
          <w:sz w:val="24"/>
        </w:rPr>
        <w:t xml:space="preserve"> including business and consumer education, and working closely with stakeholders and other agencies.</w:t>
      </w:r>
    </w:p>
    <w:p w:rsidR="00A84C82" w:rsidRPr="00597E5A" w:rsidRDefault="00A84C82" w:rsidP="00597E5A">
      <w:pPr>
        <w:spacing w:before="0" w:after="240"/>
        <w:rPr>
          <w:rFonts w:ascii="Calibri" w:eastAsia="Calibri" w:hAnsi="Calibri" w:cs="Times New Roman"/>
          <w:color w:val="000000"/>
          <w:sz w:val="24"/>
        </w:rPr>
      </w:pPr>
    </w:p>
    <w:sectPr w:rsidR="00A84C82" w:rsidRPr="00597E5A" w:rsidSect="007436C0">
      <w:headerReference w:type="even" r:id="rId12"/>
      <w:headerReference w:type="default" r:id="rId13"/>
      <w:footerReference w:type="even" r:id="rId14"/>
      <w:footerReference w:type="default" r:id="rId15"/>
      <w:headerReference w:type="first" r:id="rId16"/>
      <w:footerReference w:type="first" r:id="rId17"/>
      <w:pgSz w:w="11906" w:h="16838"/>
      <w:pgMar w:top="1440" w:right="1474" w:bottom="1440"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B9" w:rsidRDefault="00D86DB9" w:rsidP="004B4412">
      <w:pPr>
        <w:spacing w:before="0"/>
      </w:pPr>
      <w:r>
        <w:separator/>
      </w:r>
    </w:p>
  </w:endnote>
  <w:endnote w:type="continuationSeparator" w:id="0">
    <w:p w:rsidR="00D86DB9" w:rsidRDefault="00D86DB9"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C4" w:rsidRDefault="00204C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93106"/>
      <w:docPartObj>
        <w:docPartGallery w:val="Page Numbers (Bottom of Page)"/>
        <w:docPartUnique/>
      </w:docPartObj>
    </w:sdtPr>
    <w:sdtEndPr>
      <w:rPr>
        <w:noProof/>
      </w:rPr>
    </w:sdtEndPr>
    <w:sdtContent>
      <w:p w:rsidR="00603BC1" w:rsidRDefault="00603BC1">
        <w:pPr>
          <w:pStyle w:val="Footer"/>
          <w:jc w:val="right"/>
        </w:pPr>
        <w:r>
          <w:fldChar w:fldCharType="begin"/>
        </w:r>
        <w:r>
          <w:instrText xml:space="preserve"> PAGE   \* MERGEFORMAT </w:instrText>
        </w:r>
        <w:r>
          <w:fldChar w:fldCharType="separate"/>
        </w:r>
        <w:r w:rsidR="005D5F7B">
          <w:rPr>
            <w:noProof/>
          </w:rPr>
          <w:t>8</w:t>
        </w:r>
        <w:r>
          <w:rPr>
            <w:noProof/>
          </w:rPr>
          <w:fldChar w:fldCharType="end"/>
        </w:r>
      </w:p>
    </w:sdtContent>
  </w:sdt>
  <w:p w:rsidR="00603BC1" w:rsidRDefault="00603B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934326"/>
      <w:docPartObj>
        <w:docPartGallery w:val="Page Numbers (Bottom of Page)"/>
        <w:docPartUnique/>
      </w:docPartObj>
    </w:sdtPr>
    <w:sdtEndPr>
      <w:rPr>
        <w:noProof/>
      </w:rPr>
    </w:sdtEndPr>
    <w:sdtContent>
      <w:p w:rsidR="00691616" w:rsidRDefault="00691616">
        <w:pPr>
          <w:pStyle w:val="Footer"/>
        </w:pPr>
        <w:r>
          <w:fldChar w:fldCharType="begin"/>
        </w:r>
        <w:r>
          <w:instrText xml:space="preserve"> PAGE   \* MERGEFORMAT </w:instrText>
        </w:r>
        <w:r>
          <w:fldChar w:fldCharType="separate"/>
        </w:r>
        <w:r>
          <w:rPr>
            <w:noProof/>
          </w:rPr>
          <w:t>1</w:t>
        </w:r>
        <w:r>
          <w:rPr>
            <w:noProof/>
          </w:rPr>
          <w:fldChar w:fldCharType="end"/>
        </w:r>
      </w:p>
    </w:sdtContent>
  </w:sdt>
  <w:p w:rsidR="00691616" w:rsidRDefault="0069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B9" w:rsidRDefault="00D86DB9" w:rsidP="004B4412">
      <w:pPr>
        <w:spacing w:before="0"/>
      </w:pPr>
      <w:r>
        <w:separator/>
      </w:r>
    </w:p>
  </w:footnote>
  <w:footnote w:type="continuationSeparator" w:id="0">
    <w:p w:rsidR="00D86DB9" w:rsidRDefault="00D86DB9" w:rsidP="004B4412">
      <w:pPr>
        <w:spacing w:before="0"/>
      </w:pPr>
      <w:r>
        <w:continuationSeparator/>
      </w:r>
    </w:p>
  </w:footnote>
  <w:footnote w:id="1">
    <w:p w:rsidR="00597E5A" w:rsidRPr="00E41370" w:rsidRDefault="00597E5A" w:rsidP="00597E5A">
      <w:pPr>
        <w:pStyle w:val="FootnoteText"/>
        <w:tabs>
          <w:tab w:val="clear" w:pos="340"/>
          <w:tab w:val="left" w:pos="0"/>
        </w:tabs>
        <w:ind w:left="0" w:firstLine="0"/>
        <w:rPr>
          <w:szCs w:val="16"/>
        </w:rPr>
      </w:pPr>
      <w:r w:rsidRPr="006944D4">
        <w:rPr>
          <w:rStyle w:val="FootnoteReference"/>
          <w:szCs w:val="16"/>
        </w:rPr>
        <w:footnoteRef/>
      </w:r>
      <w:r w:rsidRPr="006944D4">
        <w:rPr>
          <w:szCs w:val="16"/>
        </w:rPr>
        <w:t xml:space="preserve"> </w:t>
      </w:r>
      <w:r w:rsidRPr="006944D4">
        <w:rPr>
          <w:rFonts w:ascii="Calibri" w:eastAsia="Calibri" w:hAnsi="Calibri" w:cs="Times New Roman"/>
          <w:color w:val="000000"/>
          <w:szCs w:val="16"/>
        </w:rPr>
        <w:t xml:space="preserve">You can find further information on </w:t>
      </w:r>
      <w:r>
        <w:rPr>
          <w:rFonts w:ascii="Calibri" w:eastAsia="Calibri" w:hAnsi="Calibri" w:cs="Times New Roman"/>
          <w:color w:val="000000"/>
          <w:szCs w:val="16"/>
        </w:rPr>
        <w:t>consumer guarantees</w:t>
      </w:r>
      <w:r w:rsidRPr="006944D4">
        <w:rPr>
          <w:rFonts w:ascii="Calibri" w:eastAsia="Calibri" w:hAnsi="Calibri" w:cs="Times New Roman"/>
          <w:color w:val="000000"/>
          <w:szCs w:val="16"/>
        </w:rPr>
        <w:t xml:space="preserve"> in </w:t>
      </w:r>
      <w:hyperlink r:id="rId1" w:history="1">
        <w:r w:rsidRPr="006944D4">
          <w:rPr>
            <w:rStyle w:val="Hyperlink"/>
            <w:rFonts w:ascii="Calibri" w:hAnsi="Calibri"/>
            <w:i/>
            <w:sz w:val="16"/>
            <w:szCs w:val="16"/>
          </w:rPr>
          <w:t>Consumer guarantees – a guide for businesses and legal practitioners</w:t>
        </w:r>
      </w:hyperlink>
      <w:r>
        <w:rPr>
          <w:rFonts w:ascii="Calibri" w:eastAsia="Calibri" w:hAnsi="Calibri" w:cs="Times New Roman"/>
          <w:i/>
          <w:color w:val="000000"/>
          <w:szCs w:val="16"/>
        </w:rPr>
        <w:t xml:space="preserve">. You can find further information about product safety at </w:t>
      </w:r>
      <w:r w:rsidRPr="00E41370">
        <w:rPr>
          <w:rFonts w:ascii="Calibri" w:eastAsia="Calibri" w:hAnsi="Calibri" w:cs="Times New Roman"/>
          <w:i/>
          <w:color w:val="000000"/>
          <w:szCs w:val="16"/>
        </w:rPr>
        <w:t>productsafety.gov.au</w:t>
      </w:r>
      <w:r w:rsidRPr="00E41370">
        <w:rPr>
          <w:rFonts w:ascii="Calibri" w:eastAsia="Calibri" w:hAnsi="Calibri" w:cs="Times New Roman"/>
          <w:color w:val="000000"/>
          <w:szCs w:val="16"/>
          <w:u w:val="singl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C4" w:rsidRDefault="00204C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808217243"/>
      <w:docPartObj>
        <w:docPartGallery w:val="Watermarks"/>
        <w:docPartUnique/>
      </w:docPartObj>
    </w:sdtPr>
    <w:sdtEndPr/>
    <w:sdtContent>
      <w:p w:rsidR="00D86DB9" w:rsidRPr="00F24502" w:rsidRDefault="005D5F7B">
        <w:pPr>
          <w:pStyle w:val="Header"/>
          <w:rPr>
            <w:b/>
          </w:rPr>
        </w:pPr>
        <w:r>
          <w:rPr>
            <w:b/>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C4" w:rsidRDefault="00204C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5181804"/>
    <w:multiLevelType w:val="hybridMultilevel"/>
    <w:tmpl w:val="45B6EA18"/>
    <w:lvl w:ilvl="0" w:tplc="0C090001">
      <w:start w:val="1"/>
      <w:numFmt w:val="bullet"/>
      <w:lvlText w:val=""/>
      <w:lvlJc w:val="left"/>
      <w:pPr>
        <w:ind w:left="720" w:hanging="360"/>
      </w:pPr>
      <w:rPr>
        <w:rFonts w:ascii="Symbol" w:hAnsi="Symbol" w:hint="default"/>
      </w:rPr>
    </w:lvl>
    <w:lvl w:ilvl="1" w:tplc="4AB45D5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241F2E"/>
    <w:multiLevelType w:val="hybridMultilevel"/>
    <w:tmpl w:val="C6683F1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0182B36"/>
    <w:multiLevelType w:val="hybridMultilevel"/>
    <w:tmpl w:val="2D30DFFA"/>
    <w:lvl w:ilvl="0" w:tplc="6D748420">
      <w:start w:val="1"/>
      <w:numFmt w:val="decimal"/>
      <w:pStyle w:val="Numbered"/>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BE4C39"/>
    <w:multiLevelType w:val="hybridMultilevel"/>
    <w:tmpl w:val="C880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5">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6">
    <w:nsid w:val="1A0910CF"/>
    <w:multiLevelType w:val="hybridMultilevel"/>
    <w:tmpl w:val="C6F6848A"/>
    <w:lvl w:ilvl="0" w:tplc="04FA60D0">
      <w:start w:val="1"/>
      <w:numFmt w:val="bullet"/>
      <w:pStyle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8">
    <w:nsid w:val="2D665DFA"/>
    <w:multiLevelType w:val="singleLevel"/>
    <w:tmpl w:val="D7E4CFE6"/>
    <w:name w:val="OneLevelAlphaParagraphList"/>
    <w:lvl w:ilvl="0">
      <w:start w:val="1"/>
      <w:numFmt w:val="lowerLetter"/>
      <w:lvlRestart w:val="0"/>
      <w:pStyle w:val="AlphaParagraph"/>
      <w:lvlText w:val="(%1)"/>
      <w:lvlJc w:val="left"/>
      <w:pPr>
        <w:tabs>
          <w:tab w:val="num" w:pos="567"/>
        </w:tabs>
        <w:ind w:left="567" w:hanging="567"/>
      </w:pPr>
      <w:rPr>
        <w:rFonts w:ascii="Arial" w:hAnsi="Arial" w:cs="Arial"/>
        <w:b w:val="0"/>
        <w:i w:val="0"/>
        <w:sz w:val="22"/>
      </w:rPr>
    </w:lvl>
  </w:abstractNum>
  <w:abstractNum w:abstractNumId="19">
    <w:nsid w:val="32F5300A"/>
    <w:multiLevelType w:val="hybridMultilevel"/>
    <w:tmpl w:val="4074F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1">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2">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4">
    <w:nsid w:val="456D24D0"/>
    <w:multiLevelType w:val="hybridMultilevel"/>
    <w:tmpl w:val="4D8C76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0F4BAE"/>
    <w:multiLevelType w:val="hybridMultilevel"/>
    <w:tmpl w:val="49FE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B890D1E"/>
    <w:multiLevelType w:val="hybridMultilevel"/>
    <w:tmpl w:val="C58AD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195499"/>
    <w:multiLevelType w:val="hybridMultilevel"/>
    <w:tmpl w:val="5BC038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3B602AE"/>
    <w:multiLevelType w:val="hybridMultilevel"/>
    <w:tmpl w:val="D5E8B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38"/>
  </w:num>
  <w:num w:numId="3">
    <w:abstractNumId w:val="7"/>
  </w:num>
  <w:num w:numId="4">
    <w:abstractNumId w:val="6"/>
  </w:num>
  <w:num w:numId="5">
    <w:abstractNumId w:val="5"/>
  </w:num>
  <w:num w:numId="6">
    <w:abstractNumId w:val="4"/>
  </w:num>
  <w:num w:numId="7">
    <w:abstractNumId w:val="1"/>
  </w:num>
  <w:num w:numId="8">
    <w:abstractNumId w:val="0"/>
  </w:num>
  <w:num w:numId="9">
    <w:abstractNumId w:val="33"/>
  </w:num>
  <w:num w:numId="10">
    <w:abstractNumId w:val="22"/>
  </w:num>
  <w:num w:numId="11">
    <w:abstractNumId w:val="11"/>
  </w:num>
  <w:num w:numId="12">
    <w:abstractNumId w:val="17"/>
  </w:num>
  <w:num w:numId="13">
    <w:abstractNumId w:val="21"/>
  </w:num>
  <w:num w:numId="14">
    <w:abstractNumId w:val="2"/>
  </w:num>
  <w:num w:numId="15">
    <w:abstractNumId w:val="34"/>
  </w:num>
  <w:num w:numId="16">
    <w:abstractNumId w:val="37"/>
  </w:num>
  <w:num w:numId="17">
    <w:abstractNumId w:val="36"/>
  </w:num>
  <w:num w:numId="18">
    <w:abstractNumId w:val="29"/>
  </w:num>
  <w:num w:numId="19">
    <w:abstractNumId w:val="20"/>
  </w:num>
  <w:num w:numId="20">
    <w:abstractNumId w:val="23"/>
  </w:num>
  <w:num w:numId="21">
    <w:abstractNumId w:val="35"/>
  </w:num>
  <w:num w:numId="22">
    <w:abstractNumId w:val="30"/>
  </w:num>
  <w:num w:numId="23">
    <w:abstractNumId w:val="8"/>
  </w:num>
  <w:num w:numId="24">
    <w:abstractNumId w:val="3"/>
  </w:num>
  <w:num w:numId="25">
    <w:abstractNumId w:val="25"/>
  </w:num>
  <w:num w:numId="26">
    <w:abstractNumId w:val="15"/>
  </w:num>
  <w:num w:numId="27">
    <w:abstractNumId w:val="32"/>
  </w:num>
  <w:num w:numId="28">
    <w:abstractNumId w:val="18"/>
  </w:num>
  <w:num w:numId="29">
    <w:abstractNumId w:val="12"/>
  </w:num>
  <w:num w:numId="30">
    <w:abstractNumId w:val="27"/>
  </w:num>
  <w:num w:numId="31">
    <w:abstractNumId w:val="31"/>
  </w:num>
  <w:num w:numId="32">
    <w:abstractNumId w:val="9"/>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28"/>
  </w:num>
  <w:num w:numId="38">
    <w:abstractNumId w:val="16"/>
  </w:num>
  <w:num w:numId="39">
    <w:abstractNumId w:val="13"/>
  </w:num>
  <w:num w:numId="40">
    <w:abstractNumId w:val="11"/>
  </w:num>
  <w:num w:numId="41">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Document1"/>
  </w:docVars>
  <w:rsids>
    <w:rsidRoot w:val="00D86DB9"/>
    <w:rsid w:val="000148E5"/>
    <w:rsid w:val="00020C8C"/>
    <w:rsid w:val="0002115F"/>
    <w:rsid w:val="00021202"/>
    <w:rsid w:val="000225C4"/>
    <w:rsid w:val="0003578C"/>
    <w:rsid w:val="00046BAE"/>
    <w:rsid w:val="00050035"/>
    <w:rsid w:val="000531D8"/>
    <w:rsid w:val="00063247"/>
    <w:rsid w:val="00070F9F"/>
    <w:rsid w:val="0007137B"/>
    <w:rsid w:val="00073064"/>
    <w:rsid w:val="0007619C"/>
    <w:rsid w:val="00085663"/>
    <w:rsid w:val="00085EBF"/>
    <w:rsid w:val="000A69CE"/>
    <w:rsid w:val="000B646C"/>
    <w:rsid w:val="000D122C"/>
    <w:rsid w:val="000D1443"/>
    <w:rsid w:val="000D4D04"/>
    <w:rsid w:val="000E16A8"/>
    <w:rsid w:val="000E1819"/>
    <w:rsid w:val="000E6C72"/>
    <w:rsid w:val="000F2368"/>
    <w:rsid w:val="000F2462"/>
    <w:rsid w:val="001128C3"/>
    <w:rsid w:val="00116EB2"/>
    <w:rsid w:val="00124609"/>
    <w:rsid w:val="0012481B"/>
    <w:rsid w:val="0013585F"/>
    <w:rsid w:val="00145248"/>
    <w:rsid w:val="00145871"/>
    <w:rsid w:val="00156819"/>
    <w:rsid w:val="001573E4"/>
    <w:rsid w:val="00160756"/>
    <w:rsid w:val="001705C8"/>
    <w:rsid w:val="0017232E"/>
    <w:rsid w:val="00174102"/>
    <w:rsid w:val="00180157"/>
    <w:rsid w:val="00181223"/>
    <w:rsid w:val="001818C0"/>
    <w:rsid w:val="001867E8"/>
    <w:rsid w:val="00186F77"/>
    <w:rsid w:val="001926A4"/>
    <w:rsid w:val="00194561"/>
    <w:rsid w:val="001A3A19"/>
    <w:rsid w:val="001B246B"/>
    <w:rsid w:val="001B2BB8"/>
    <w:rsid w:val="001B45A0"/>
    <w:rsid w:val="001C0FF6"/>
    <w:rsid w:val="001C18EE"/>
    <w:rsid w:val="001D055E"/>
    <w:rsid w:val="001D16C0"/>
    <w:rsid w:val="001D2ED2"/>
    <w:rsid w:val="001E69D0"/>
    <w:rsid w:val="001F492E"/>
    <w:rsid w:val="001F6DA3"/>
    <w:rsid w:val="00204CC4"/>
    <w:rsid w:val="00212737"/>
    <w:rsid w:val="002172F4"/>
    <w:rsid w:val="0022491B"/>
    <w:rsid w:val="00224DB9"/>
    <w:rsid w:val="00232D48"/>
    <w:rsid w:val="002354EF"/>
    <w:rsid w:val="00237920"/>
    <w:rsid w:val="00251745"/>
    <w:rsid w:val="002542D3"/>
    <w:rsid w:val="00263AC0"/>
    <w:rsid w:val="0026772D"/>
    <w:rsid w:val="00280FFB"/>
    <w:rsid w:val="00286874"/>
    <w:rsid w:val="00295540"/>
    <w:rsid w:val="00296B65"/>
    <w:rsid w:val="002A13DA"/>
    <w:rsid w:val="002A1CD4"/>
    <w:rsid w:val="002A7DEF"/>
    <w:rsid w:val="002B4A36"/>
    <w:rsid w:val="002B753D"/>
    <w:rsid w:val="002C21D6"/>
    <w:rsid w:val="002E6BAB"/>
    <w:rsid w:val="002F7986"/>
    <w:rsid w:val="00303C4A"/>
    <w:rsid w:val="00306441"/>
    <w:rsid w:val="00307F6D"/>
    <w:rsid w:val="003156F2"/>
    <w:rsid w:val="00316245"/>
    <w:rsid w:val="003177A2"/>
    <w:rsid w:val="00323478"/>
    <w:rsid w:val="00323BED"/>
    <w:rsid w:val="00326B99"/>
    <w:rsid w:val="003271B5"/>
    <w:rsid w:val="003301BA"/>
    <w:rsid w:val="00330CA0"/>
    <w:rsid w:val="00331264"/>
    <w:rsid w:val="00334C8D"/>
    <w:rsid w:val="00340655"/>
    <w:rsid w:val="003459E6"/>
    <w:rsid w:val="00346A6C"/>
    <w:rsid w:val="003518B3"/>
    <w:rsid w:val="00371641"/>
    <w:rsid w:val="003846F1"/>
    <w:rsid w:val="00387B45"/>
    <w:rsid w:val="00391655"/>
    <w:rsid w:val="00396AE6"/>
    <w:rsid w:val="003A0CCA"/>
    <w:rsid w:val="003A673F"/>
    <w:rsid w:val="003B5A70"/>
    <w:rsid w:val="003C05BE"/>
    <w:rsid w:val="003C547D"/>
    <w:rsid w:val="0040311C"/>
    <w:rsid w:val="0041490C"/>
    <w:rsid w:val="00426277"/>
    <w:rsid w:val="004271EA"/>
    <w:rsid w:val="00430F48"/>
    <w:rsid w:val="0043381D"/>
    <w:rsid w:val="00441CB2"/>
    <w:rsid w:val="00443773"/>
    <w:rsid w:val="00445A18"/>
    <w:rsid w:val="0045361B"/>
    <w:rsid w:val="00463D1B"/>
    <w:rsid w:val="0047105E"/>
    <w:rsid w:val="00475DDE"/>
    <w:rsid w:val="00476D02"/>
    <w:rsid w:val="00480B4B"/>
    <w:rsid w:val="0048409F"/>
    <w:rsid w:val="00485DC4"/>
    <w:rsid w:val="004952F1"/>
    <w:rsid w:val="004B25ED"/>
    <w:rsid w:val="004B4412"/>
    <w:rsid w:val="004C348C"/>
    <w:rsid w:val="004C536E"/>
    <w:rsid w:val="004D55BA"/>
    <w:rsid w:val="004E3F9A"/>
    <w:rsid w:val="004F7495"/>
    <w:rsid w:val="005038DB"/>
    <w:rsid w:val="00506F3E"/>
    <w:rsid w:val="00513A2E"/>
    <w:rsid w:val="00520384"/>
    <w:rsid w:val="00520F1F"/>
    <w:rsid w:val="005229F1"/>
    <w:rsid w:val="0052379B"/>
    <w:rsid w:val="00530128"/>
    <w:rsid w:val="00532467"/>
    <w:rsid w:val="00547BA2"/>
    <w:rsid w:val="00547CCF"/>
    <w:rsid w:val="00556954"/>
    <w:rsid w:val="0056002C"/>
    <w:rsid w:val="00564A4D"/>
    <w:rsid w:val="00571B35"/>
    <w:rsid w:val="00571C9F"/>
    <w:rsid w:val="00577A09"/>
    <w:rsid w:val="00580B78"/>
    <w:rsid w:val="0058299F"/>
    <w:rsid w:val="00584D8F"/>
    <w:rsid w:val="00586BB7"/>
    <w:rsid w:val="00596D42"/>
    <w:rsid w:val="00597E5A"/>
    <w:rsid w:val="005A225C"/>
    <w:rsid w:val="005A404D"/>
    <w:rsid w:val="005B1E3C"/>
    <w:rsid w:val="005B2D83"/>
    <w:rsid w:val="005C24AC"/>
    <w:rsid w:val="005C26CC"/>
    <w:rsid w:val="005C5F26"/>
    <w:rsid w:val="005D5F7B"/>
    <w:rsid w:val="005E6C0E"/>
    <w:rsid w:val="005F1366"/>
    <w:rsid w:val="00600FA1"/>
    <w:rsid w:val="006037B5"/>
    <w:rsid w:val="006037C9"/>
    <w:rsid w:val="00603BC1"/>
    <w:rsid w:val="00605229"/>
    <w:rsid w:val="00614601"/>
    <w:rsid w:val="00615C6B"/>
    <w:rsid w:val="00632D6D"/>
    <w:rsid w:val="00642C3E"/>
    <w:rsid w:val="00646025"/>
    <w:rsid w:val="0065671D"/>
    <w:rsid w:val="00663DAD"/>
    <w:rsid w:val="00676679"/>
    <w:rsid w:val="00691616"/>
    <w:rsid w:val="006928FE"/>
    <w:rsid w:val="006944D4"/>
    <w:rsid w:val="006A0839"/>
    <w:rsid w:val="006B4CF9"/>
    <w:rsid w:val="006B7AC8"/>
    <w:rsid w:val="006C588D"/>
    <w:rsid w:val="006C5DDA"/>
    <w:rsid w:val="006D54EF"/>
    <w:rsid w:val="006D550F"/>
    <w:rsid w:val="006D77F3"/>
    <w:rsid w:val="00701246"/>
    <w:rsid w:val="00701CAB"/>
    <w:rsid w:val="00707563"/>
    <w:rsid w:val="0072348C"/>
    <w:rsid w:val="00724A37"/>
    <w:rsid w:val="007303C3"/>
    <w:rsid w:val="00733C0A"/>
    <w:rsid w:val="00743223"/>
    <w:rsid w:val="007436C0"/>
    <w:rsid w:val="00746E01"/>
    <w:rsid w:val="00763E5D"/>
    <w:rsid w:val="00765883"/>
    <w:rsid w:val="00767740"/>
    <w:rsid w:val="00777EE6"/>
    <w:rsid w:val="00782EEA"/>
    <w:rsid w:val="007B2C72"/>
    <w:rsid w:val="007C1C53"/>
    <w:rsid w:val="007C28B9"/>
    <w:rsid w:val="007D0EEB"/>
    <w:rsid w:val="007E26A9"/>
    <w:rsid w:val="007E4904"/>
    <w:rsid w:val="007E4CB5"/>
    <w:rsid w:val="007E71C2"/>
    <w:rsid w:val="007F066B"/>
    <w:rsid w:val="008033C4"/>
    <w:rsid w:val="00806C88"/>
    <w:rsid w:val="0081034E"/>
    <w:rsid w:val="00813816"/>
    <w:rsid w:val="008301D1"/>
    <w:rsid w:val="00832D65"/>
    <w:rsid w:val="008344F6"/>
    <w:rsid w:val="0083510F"/>
    <w:rsid w:val="00851209"/>
    <w:rsid w:val="008619D4"/>
    <w:rsid w:val="00862FB7"/>
    <w:rsid w:val="0088007E"/>
    <w:rsid w:val="008837AC"/>
    <w:rsid w:val="008945B4"/>
    <w:rsid w:val="008A587D"/>
    <w:rsid w:val="008B31D2"/>
    <w:rsid w:val="008C5486"/>
    <w:rsid w:val="008D4174"/>
    <w:rsid w:val="008D53FF"/>
    <w:rsid w:val="008E7031"/>
    <w:rsid w:val="00902F1A"/>
    <w:rsid w:val="00913A8B"/>
    <w:rsid w:val="00922C95"/>
    <w:rsid w:val="009233EE"/>
    <w:rsid w:val="00932D95"/>
    <w:rsid w:val="00934802"/>
    <w:rsid w:val="00955B21"/>
    <w:rsid w:val="009601F0"/>
    <w:rsid w:val="009661DE"/>
    <w:rsid w:val="009701DB"/>
    <w:rsid w:val="009760F5"/>
    <w:rsid w:val="00977CFF"/>
    <w:rsid w:val="009856B7"/>
    <w:rsid w:val="0098602B"/>
    <w:rsid w:val="00991B3B"/>
    <w:rsid w:val="00995D06"/>
    <w:rsid w:val="009962BA"/>
    <w:rsid w:val="009A241A"/>
    <w:rsid w:val="009B74B0"/>
    <w:rsid w:val="009D4414"/>
    <w:rsid w:val="009D569D"/>
    <w:rsid w:val="009D6B46"/>
    <w:rsid w:val="009D742D"/>
    <w:rsid w:val="009E03A0"/>
    <w:rsid w:val="009F1722"/>
    <w:rsid w:val="009F4092"/>
    <w:rsid w:val="009F4940"/>
    <w:rsid w:val="009F53E7"/>
    <w:rsid w:val="00A12258"/>
    <w:rsid w:val="00A1665B"/>
    <w:rsid w:val="00A35F88"/>
    <w:rsid w:val="00A36C9C"/>
    <w:rsid w:val="00A446BC"/>
    <w:rsid w:val="00A4478A"/>
    <w:rsid w:val="00A44852"/>
    <w:rsid w:val="00A46932"/>
    <w:rsid w:val="00A564F8"/>
    <w:rsid w:val="00A57D04"/>
    <w:rsid w:val="00A60A26"/>
    <w:rsid w:val="00A61598"/>
    <w:rsid w:val="00A84A96"/>
    <w:rsid w:val="00A84C82"/>
    <w:rsid w:val="00A84F46"/>
    <w:rsid w:val="00A871F4"/>
    <w:rsid w:val="00A92CCC"/>
    <w:rsid w:val="00AA4E04"/>
    <w:rsid w:val="00AA4F12"/>
    <w:rsid w:val="00AC1B2C"/>
    <w:rsid w:val="00AC3264"/>
    <w:rsid w:val="00AC36A5"/>
    <w:rsid w:val="00AC6BC6"/>
    <w:rsid w:val="00AC6F01"/>
    <w:rsid w:val="00AD1F5E"/>
    <w:rsid w:val="00AD303F"/>
    <w:rsid w:val="00AD6828"/>
    <w:rsid w:val="00AD69D1"/>
    <w:rsid w:val="00AE0FE2"/>
    <w:rsid w:val="00AE1BF1"/>
    <w:rsid w:val="00AE2D04"/>
    <w:rsid w:val="00AE5712"/>
    <w:rsid w:val="00AF0DD2"/>
    <w:rsid w:val="00AF7371"/>
    <w:rsid w:val="00AF7CD4"/>
    <w:rsid w:val="00B074CC"/>
    <w:rsid w:val="00B10314"/>
    <w:rsid w:val="00B1123D"/>
    <w:rsid w:val="00B13048"/>
    <w:rsid w:val="00B15998"/>
    <w:rsid w:val="00B1716D"/>
    <w:rsid w:val="00B17A1D"/>
    <w:rsid w:val="00B207A0"/>
    <w:rsid w:val="00B365A4"/>
    <w:rsid w:val="00B537C5"/>
    <w:rsid w:val="00B56E03"/>
    <w:rsid w:val="00B60F5D"/>
    <w:rsid w:val="00B67E91"/>
    <w:rsid w:val="00B74FDC"/>
    <w:rsid w:val="00B7556E"/>
    <w:rsid w:val="00B8080B"/>
    <w:rsid w:val="00B87C39"/>
    <w:rsid w:val="00BA3499"/>
    <w:rsid w:val="00BA4665"/>
    <w:rsid w:val="00BB2FB2"/>
    <w:rsid w:val="00BB3304"/>
    <w:rsid w:val="00BC52CE"/>
    <w:rsid w:val="00BD0209"/>
    <w:rsid w:val="00BD21DA"/>
    <w:rsid w:val="00BD3446"/>
    <w:rsid w:val="00BE0BCE"/>
    <w:rsid w:val="00BE1F1B"/>
    <w:rsid w:val="00BE47B5"/>
    <w:rsid w:val="00BE4C99"/>
    <w:rsid w:val="00BF768A"/>
    <w:rsid w:val="00C023CC"/>
    <w:rsid w:val="00C058AB"/>
    <w:rsid w:val="00C06739"/>
    <w:rsid w:val="00C34C74"/>
    <w:rsid w:val="00C46059"/>
    <w:rsid w:val="00C538A9"/>
    <w:rsid w:val="00C53B5A"/>
    <w:rsid w:val="00C54F5A"/>
    <w:rsid w:val="00C55DD7"/>
    <w:rsid w:val="00C755AD"/>
    <w:rsid w:val="00C820D4"/>
    <w:rsid w:val="00C862D8"/>
    <w:rsid w:val="00C86679"/>
    <w:rsid w:val="00CB666B"/>
    <w:rsid w:val="00CC024E"/>
    <w:rsid w:val="00CC0719"/>
    <w:rsid w:val="00CF0490"/>
    <w:rsid w:val="00CF799E"/>
    <w:rsid w:val="00D00002"/>
    <w:rsid w:val="00D01CF0"/>
    <w:rsid w:val="00D0442A"/>
    <w:rsid w:val="00D050E8"/>
    <w:rsid w:val="00D05FC7"/>
    <w:rsid w:val="00D128C3"/>
    <w:rsid w:val="00D203E1"/>
    <w:rsid w:val="00D31F26"/>
    <w:rsid w:val="00D4076F"/>
    <w:rsid w:val="00D410FB"/>
    <w:rsid w:val="00D51F20"/>
    <w:rsid w:val="00D53636"/>
    <w:rsid w:val="00D544B8"/>
    <w:rsid w:val="00D61388"/>
    <w:rsid w:val="00D61A54"/>
    <w:rsid w:val="00D64DEA"/>
    <w:rsid w:val="00D660A6"/>
    <w:rsid w:val="00D80893"/>
    <w:rsid w:val="00D82645"/>
    <w:rsid w:val="00D86DB9"/>
    <w:rsid w:val="00D92CF1"/>
    <w:rsid w:val="00D92D38"/>
    <w:rsid w:val="00D93445"/>
    <w:rsid w:val="00D950F5"/>
    <w:rsid w:val="00D969B1"/>
    <w:rsid w:val="00DA2915"/>
    <w:rsid w:val="00DB0F93"/>
    <w:rsid w:val="00DC49FE"/>
    <w:rsid w:val="00DC542F"/>
    <w:rsid w:val="00DC7981"/>
    <w:rsid w:val="00DD1A34"/>
    <w:rsid w:val="00DE3B12"/>
    <w:rsid w:val="00DE4EFA"/>
    <w:rsid w:val="00DE5520"/>
    <w:rsid w:val="00E04818"/>
    <w:rsid w:val="00E06442"/>
    <w:rsid w:val="00E0739B"/>
    <w:rsid w:val="00E23993"/>
    <w:rsid w:val="00E25B8C"/>
    <w:rsid w:val="00E3481C"/>
    <w:rsid w:val="00E41370"/>
    <w:rsid w:val="00E452F6"/>
    <w:rsid w:val="00E4674F"/>
    <w:rsid w:val="00E656CF"/>
    <w:rsid w:val="00E65C85"/>
    <w:rsid w:val="00E66199"/>
    <w:rsid w:val="00E755EC"/>
    <w:rsid w:val="00E7624D"/>
    <w:rsid w:val="00E866A3"/>
    <w:rsid w:val="00E92BF4"/>
    <w:rsid w:val="00EA0ACC"/>
    <w:rsid w:val="00EA3D42"/>
    <w:rsid w:val="00EA3DDF"/>
    <w:rsid w:val="00EA5232"/>
    <w:rsid w:val="00EA6B1B"/>
    <w:rsid w:val="00ED03CA"/>
    <w:rsid w:val="00EE28F3"/>
    <w:rsid w:val="00EE37D2"/>
    <w:rsid w:val="00EF5110"/>
    <w:rsid w:val="00EF6344"/>
    <w:rsid w:val="00F048C0"/>
    <w:rsid w:val="00F15882"/>
    <w:rsid w:val="00F16722"/>
    <w:rsid w:val="00F20BD3"/>
    <w:rsid w:val="00F24502"/>
    <w:rsid w:val="00F27DE3"/>
    <w:rsid w:val="00F373A5"/>
    <w:rsid w:val="00F3799A"/>
    <w:rsid w:val="00F442F6"/>
    <w:rsid w:val="00F47559"/>
    <w:rsid w:val="00F56BD3"/>
    <w:rsid w:val="00F60BE4"/>
    <w:rsid w:val="00F61B84"/>
    <w:rsid w:val="00F61CF2"/>
    <w:rsid w:val="00F64C7B"/>
    <w:rsid w:val="00F676DD"/>
    <w:rsid w:val="00F67CAA"/>
    <w:rsid w:val="00F73A1D"/>
    <w:rsid w:val="00F75A26"/>
    <w:rsid w:val="00F83099"/>
    <w:rsid w:val="00F83FAD"/>
    <w:rsid w:val="00F91DC6"/>
    <w:rsid w:val="00F952A0"/>
    <w:rsid w:val="00F97EF6"/>
    <w:rsid w:val="00FA3C7F"/>
    <w:rsid w:val="00FA7036"/>
    <w:rsid w:val="00FB52D7"/>
    <w:rsid w:val="00FB74E2"/>
    <w:rsid w:val="00FC579B"/>
    <w:rsid w:val="00FD0D68"/>
    <w:rsid w:val="00FD5614"/>
    <w:rsid w:val="00FE0BE1"/>
    <w:rsid w:val="00FE1DE9"/>
    <w:rsid w:val="00FE39C2"/>
    <w:rsid w:val="00FE64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CCCTable1">
    <w:name w:val="ACCC Table1"/>
    <w:basedOn w:val="TableNormal"/>
    <w:next w:val="TableGrid"/>
    <w:uiPriority w:val="59"/>
    <w:rsid w:val="00D86DB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uiPriority w:val="1"/>
    <w:rsid w:val="00D86DB9"/>
    <w:pPr>
      <w:numPr>
        <w:numId w:val="28"/>
      </w:numPr>
      <w:tabs>
        <w:tab w:val="clear" w:pos="567"/>
      </w:tabs>
      <w:spacing w:before="0" w:after="240"/>
      <w:ind w:left="360" w:hanging="360"/>
    </w:pPr>
    <w:rPr>
      <w:rFonts w:ascii="Calibri" w:hAnsi="Calibri"/>
      <w:color w:val="000000"/>
      <w:sz w:val="24"/>
    </w:rPr>
  </w:style>
  <w:style w:type="paragraph" w:customStyle="1" w:styleId="Numbered">
    <w:name w:val="Numbered"/>
    <w:basedOn w:val="ListParagraph"/>
    <w:qFormat/>
    <w:rsid w:val="00D86DB9"/>
    <w:pPr>
      <w:numPr>
        <w:numId w:val="29"/>
      </w:numPr>
      <w:tabs>
        <w:tab w:val="clear" w:pos="340"/>
        <w:tab w:val="left" w:pos="425"/>
      </w:tabs>
      <w:spacing w:before="0" w:after="180"/>
      <w:ind w:left="1021" w:hanging="341"/>
    </w:pPr>
    <w:rPr>
      <w:rFonts w:ascii="Calibri" w:hAnsi="Calibri"/>
      <w:color w:val="000000"/>
      <w:sz w:val="24"/>
    </w:rPr>
  </w:style>
  <w:style w:type="character" w:styleId="CommentReference">
    <w:name w:val="annotation reference"/>
    <w:basedOn w:val="DefaultParagraphFont"/>
    <w:uiPriority w:val="99"/>
    <w:semiHidden/>
    <w:unhideWhenUsed/>
    <w:rsid w:val="00A84C82"/>
    <w:rPr>
      <w:sz w:val="16"/>
      <w:szCs w:val="16"/>
    </w:rPr>
  </w:style>
  <w:style w:type="paragraph" w:styleId="CommentText">
    <w:name w:val="annotation text"/>
    <w:basedOn w:val="Normal"/>
    <w:link w:val="CommentTextChar"/>
    <w:uiPriority w:val="99"/>
    <w:semiHidden/>
    <w:unhideWhenUsed/>
    <w:rsid w:val="00A84C82"/>
    <w:rPr>
      <w:sz w:val="20"/>
      <w:szCs w:val="20"/>
    </w:rPr>
  </w:style>
  <w:style w:type="character" w:customStyle="1" w:styleId="CommentTextChar">
    <w:name w:val="Comment Text Char"/>
    <w:basedOn w:val="DefaultParagraphFont"/>
    <w:link w:val="CommentText"/>
    <w:uiPriority w:val="99"/>
    <w:semiHidden/>
    <w:rsid w:val="00A84C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4C82"/>
    <w:rPr>
      <w:b/>
      <w:bCs/>
    </w:rPr>
  </w:style>
  <w:style w:type="character" w:customStyle="1" w:styleId="CommentSubjectChar">
    <w:name w:val="Comment Subject Char"/>
    <w:basedOn w:val="CommentTextChar"/>
    <w:link w:val="CommentSubject"/>
    <w:uiPriority w:val="99"/>
    <w:semiHidden/>
    <w:rsid w:val="00A84C82"/>
    <w:rPr>
      <w:rFonts w:ascii="Arial" w:hAnsi="Arial"/>
      <w:b/>
      <w:bCs/>
      <w:sz w:val="20"/>
      <w:szCs w:val="20"/>
    </w:rPr>
  </w:style>
  <w:style w:type="paragraph" w:customStyle="1" w:styleId="Default">
    <w:name w:val="Default"/>
    <w:uiPriority w:val="99"/>
    <w:rsid w:val="002B4A36"/>
    <w:pPr>
      <w:autoSpaceDE w:val="0"/>
      <w:autoSpaceDN w:val="0"/>
      <w:adjustRightInd w:val="0"/>
      <w:spacing w:before="0"/>
    </w:pPr>
    <w:rPr>
      <w:rFonts w:ascii="Arial" w:hAnsi="Arial" w:cs="Arial"/>
      <w:color w:val="000000"/>
      <w:sz w:val="24"/>
      <w:szCs w:val="24"/>
    </w:rPr>
  </w:style>
  <w:style w:type="paragraph" w:customStyle="1" w:styleId="Bullet">
    <w:name w:val="Bullet"/>
    <w:basedOn w:val="Normal"/>
    <w:link w:val="BulletChar"/>
    <w:qFormat/>
    <w:rsid w:val="00A446BC"/>
    <w:pPr>
      <w:numPr>
        <w:numId w:val="38"/>
      </w:numPr>
      <w:tabs>
        <w:tab w:val="left" w:pos="425"/>
      </w:tabs>
      <w:spacing w:before="120" w:after="240"/>
      <w:ind w:left="426" w:hanging="426"/>
    </w:pPr>
    <w:rPr>
      <w:rFonts w:asciiTheme="minorHAnsi" w:eastAsia="Times New Roman" w:hAnsiTheme="minorHAnsi" w:cs="Times New Roman"/>
      <w:color w:val="000000"/>
      <w:szCs w:val="20"/>
      <w:lang w:eastAsia="en-AU"/>
    </w:rPr>
  </w:style>
  <w:style w:type="character" w:customStyle="1" w:styleId="BulletChar">
    <w:name w:val="Bullet Char"/>
    <w:basedOn w:val="DefaultParagraphFont"/>
    <w:link w:val="Bullet"/>
    <w:rsid w:val="00A446BC"/>
    <w:rPr>
      <w:rFonts w:eastAsia="Times New Roman" w:cs="Times New Roman"/>
      <w:color w:val="000000"/>
      <w:szCs w:val="20"/>
      <w:lang w:eastAsia="en-AU"/>
    </w:rPr>
  </w:style>
  <w:style w:type="paragraph" w:styleId="Revision">
    <w:name w:val="Revision"/>
    <w:hidden/>
    <w:uiPriority w:val="99"/>
    <w:semiHidden/>
    <w:rsid w:val="00C34C74"/>
    <w:pPr>
      <w:spacing w:before="0"/>
    </w:pPr>
    <w:rPr>
      <w:rFonts w:ascii="Arial" w:hAnsi="Arial"/>
    </w:rPr>
  </w:style>
  <w:style w:type="character" w:styleId="FollowedHyperlink">
    <w:name w:val="FollowedHyperlink"/>
    <w:basedOn w:val="DefaultParagraphFont"/>
    <w:uiPriority w:val="99"/>
    <w:semiHidden/>
    <w:unhideWhenUsed/>
    <w:rsid w:val="00D934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646025"/>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F61B84"/>
    <w:pPr>
      <w:numPr>
        <w:ilvl w:val="1"/>
        <w:numId w:val="12"/>
      </w:numPr>
      <w:tabs>
        <w:tab w:val="left" w:pos="1021"/>
      </w:tabs>
      <w:ind w:left="1021" w:hanging="1021"/>
    </w:pPr>
    <w:rPr>
      <w:rFonts w:cs="Arial"/>
      <w:b w:val="0"/>
    </w:rPr>
  </w:style>
  <w:style w:type="paragraph" w:customStyle="1" w:styleId="Numbered111">
    <w:name w:val="Numbered 1.1.1"/>
    <w:basedOn w:val="Heading3"/>
    <w:next w:val="Normal"/>
    <w:qFormat/>
    <w:rsid w:val="00F61B84"/>
    <w:pPr>
      <w:numPr>
        <w:ilvl w:val="2"/>
        <w:numId w:val="12"/>
      </w:numPr>
      <w:tabs>
        <w:tab w:val="left" w:pos="1361"/>
      </w:tabs>
      <w:ind w:left="1361" w:hanging="136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646025"/>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3A673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Char">
    <w:name w:val="Table Heading Char"/>
    <w:basedOn w:val="TabletextChar"/>
    <w:link w:val="TableHeading"/>
    <w:rsid w:val="00584D8F"/>
    <w:rPr>
      <w:rFonts w:ascii="Arial" w:hAnsi="Arial"/>
      <w:b/>
      <w:sz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ACCCTable1">
    <w:name w:val="ACCC Table1"/>
    <w:basedOn w:val="TableNormal"/>
    <w:next w:val="TableGrid"/>
    <w:uiPriority w:val="59"/>
    <w:rsid w:val="00D86DB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uiPriority w:val="1"/>
    <w:rsid w:val="00D86DB9"/>
    <w:pPr>
      <w:numPr>
        <w:numId w:val="28"/>
      </w:numPr>
      <w:tabs>
        <w:tab w:val="clear" w:pos="567"/>
      </w:tabs>
      <w:spacing w:before="0" w:after="240"/>
      <w:ind w:left="360" w:hanging="360"/>
    </w:pPr>
    <w:rPr>
      <w:rFonts w:ascii="Calibri" w:hAnsi="Calibri"/>
      <w:color w:val="000000"/>
      <w:sz w:val="24"/>
    </w:rPr>
  </w:style>
  <w:style w:type="paragraph" w:customStyle="1" w:styleId="Numbered">
    <w:name w:val="Numbered"/>
    <w:basedOn w:val="ListParagraph"/>
    <w:qFormat/>
    <w:rsid w:val="00D86DB9"/>
    <w:pPr>
      <w:numPr>
        <w:numId w:val="29"/>
      </w:numPr>
      <w:tabs>
        <w:tab w:val="clear" w:pos="340"/>
        <w:tab w:val="left" w:pos="425"/>
      </w:tabs>
      <w:spacing w:before="0" w:after="180"/>
      <w:ind w:left="1021" w:hanging="341"/>
    </w:pPr>
    <w:rPr>
      <w:rFonts w:ascii="Calibri" w:hAnsi="Calibri"/>
      <w:color w:val="000000"/>
      <w:sz w:val="24"/>
    </w:rPr>
  </w:style>
  <w:style w:type="character" w:styleId="CommentReference">
    <w:name w:val="annotation reference"/>
    <w:basedOn w:val="DefaultParagraphFont"/>
    <w:uiPriority w:val="99"/>
    <w:semiHidden/>
    <w:unhideWhenUsed/>
    <w:rsid w:val="00A84C82"/>
    <w:rPr>
      <w:sz w:val="16"/>
      <w:szCs w:val="16"/>
    </w:rPr>
  </w:style>
  <w:style w:type="paragraph" w:styleId="CommentText">
    <w:name w:val="annotation text"/>
    <w:basedOn w:val="Normal"/>
    <w:link w:val="CommentTextChar"/>
    <w:uiPriority w:val="99"/>
    <w:semiHidden/>
    <w:unhideWhenUsed/>
    <w:rsid w:val="00A84C82"/>
    <w:rPr>
      <w:sz w:val="20"/>
      <w:szCs w:val="20"/>
    </w:rPr>
  </w:style>
  <w:style w:type="character" w:customStyle="1" w:styleId="CommentTextChar">
    <w:name w:val="Comment Text Char"/>
    <w:basedOn w:val="DefaultParagraphFont"/>
    <w:link w:val="CommentText"/>
    <w:uiPriority w:val="99"/>
    <w:semiHidden/>
    <w:rsid w:val="00A84C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4C82"/>
    <w:rPr>
      <w:b/>
      <w:bCs/>
    </w:rPr>
  </w:style>
  <w:style w:type="character" w:customStyle="1" w:styleId="CommentSubjectChar">
    <w:name w:val="Comment Subject Char"/>
    <w:basedOn w:val="CommentTextChar"/>
    <w:link w:val="CommentSubject"/>
    <w:uiPriority w:val="99"/>
    <w:semiHidden/>
    <w:rsid w:val="00A84C82"/>
    <w:rPr>
      <w:rFonts w:ascii="Arial" w:hAnsi="Arial"/>
      <w:b/>
      <w:bCs/>
      <w:sz w:val="20"/>
      <w:szCs w:val="20"/>
    </w:rPr>
  </w:style>
  <w:style w:type="paragraph" w:customStyle="1" w:styleId="Default">
    <w:name w:val="Default"/>
    <w:uiPriority w:val="99"/>
    <w:rsid w:val="002B4A36"/>
    <w:pPr>
      <w:autoSpaceDE w:val="0"/>
      <w:autoSpaceDN w:val="0"/>
      <w:adjustRightInd w:val="0"/>
      <w:spacing w:before="0"/>
    </w:pPr>
    <w:rPr>
      <w:rFonts w:ascii="Arial" w:hAnsi="Arial" w:cs="Arial"/>
      <w:color w:val="000000"/>
      <w:sz w:val="24"/>
      <w:szCs w:val="24"/>
    </w:rPr>
  </w:style>
  <w:style w:type="paragraph" w:customStyle="1" w:styleId="Bullet">
    <w:name w:val="Bullet"/>
    <w:basedOn w:val="Normal"/>
    <w:link w:val="BulletChar"/>
    <w:qFormat/>
    <w:rsid w:val="00A446BC"/>
    <w:pPr>
      <w:numPr>
        <w:numId w:val="38"/>
      </w:numPr>
      <w:tabs>
        <w:tab w:val="left" w:pos="425"/>
      </w:tabs>
      <w:spacing w:before="120" w:after="240"/>
      <w:ind w:left="426" w:hanging="426"/>
    </w:pPr>
    <w:rPr>
      <w:rFonts w:asciiTheme="minorHAnsi" w:eastAsia="Times New Roman" w:hAnsiTheme="minorHAnsi" w:cs="Times New Roman"/>
      <w:color w:val="000000"/>
      <w:szCs w:val="20"/>
      <w:lang w:eastAsia="en-AU"/>
    </w:rPr>
  </w:style>
  <w:style w:type="character" w:customStyle="1" w:styleId="BulletChar">
    <w:name w:val="Bullet Char"/>
    <w:basedOn w:val="DefaultParagraphFont"/>
    <w:link w:val="Bullet"/>
    <w:rsid w:val="00A446BC"/>
    <w:rPr>
      <w:rFonts w:eastAsia="Times New Roman" w:cs="Times New Roman"/>
      <w:color w:val="000000"/>
      <w:szCs w:val="20"/>
      <w:lang w:eastAsia="en-AU"/>
    </w:rPr>
  </w:style>
  <w:style w:type="paragraph" w:styleId="Revision">
    <w:name w:val="Revision"/>
    <w:hidden/>
    <w:uiPriority w:val="99"/>
    <w:semiHidden/>
    <w:rsid w:val="00C34C74"/>
    <w:pPr>
      <w:spacing w:before="0"/>
    </w:pPr>
    <w:rPr>
      <w:rFonts w:ascii="Arial" w:hAnsi="Arial"/>
    </w:rPr>
  </w:style>
  <w:style w:type="character" w:styleId="FollowedHyperlink">
    <w:name w:val="FollowedHyperlink"/>
    <w:basedOn w:val="DefaultParagraphFont"/>
    <w:uiPriority w:val="99"/>
    <w:semiHidden/>
    <w:unhideWhenUsed/>
    <w:rsid w:val="00D93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681397266">
      <w:bodyDiv w:val="1"/>
      <w:marLeft w:val="0"/>
      <w:marRight w:val="0"/>
      <w:marTop w:val="0"/>
      <w:marBottom w:val="0"/>
      <w:divBdr>
        <w:top w:val="none" w:sz="0" w:space="0" w:color="auto"/>
        <w:left w:val="none" w:sz="0" w:space="0" w:color="auto"/>
        <w:bottom w:val="none" w:sz="0" w:space="0" w:color="auto"/>
        <w:right w:val="none" w:sz="0" w:space="0" w:color="auto"/>
      </w:divBdr>
      <w:divsChild>
        <w:div w:id="907806239">
          <w:marLeft w:val="0"/>
          <w:marRight w:val="0"/>
          <w:marTop w:val="0"/>
          <w:marBottom w:val="0"/>
          <w:divBdr>
            <w:top w:val="none" w:sz="0" w:space="0" w:color="auto"/>
            <w:left w:val="none" w:sz="0" w:space="0" w:color="auto"/>
            <w:bottom w:val="none" w:sz="0" w:space="0" w:color="auto"/>
            <w:right w:val="none" w:sz="0" w:space="0" w:color="auto"/>
          </w:divBdr>
          <w:divsChild>
            <w:div w:id="2032805058">
              <w:marLeft w:val="-225"/>
              <w:marRight w:val="-225"/>
              <w:marTop w:val="0"/>
              <w:marBottom w:val="0"/>
              <w:divBdr>
                <w:top w:val="none" w:sz="0" w:space="0" w:color="auto"/>
                <w:left w:val="none" w:sz="0" w:space="0" w:color="auto"/>
                <w:bottom w:val="none" w:sz="0" w:space="0" w:color="auto"/>
                <w:right w:val="none" w:sz="0" w:space="0" w:color="auto"/>
              </w:divBdr>
              <w:divsChild>
                <w:div w:id="1932657367">
                  <w:marLeft w:val="0"/>
                  <w:marRight w:val="0"/>
                  <w:marTop w:val="0"/>
                  <w:marBottom w:val="0"/>
                  <w:divBdr>
                    <w:top w:val="none" w:sz="0" w:space="0" w:color="auto"/>
                    <w:left w:val="none" w:sz="0" w:space="0" w:color="auto"/>
                    <w:bottom w:val="none" w:sz="0" w:space="0" w:color="auto"/>
                    <w:right w:val="none" w:sz="0" w:space="0" w:color="auto"/>
                  </w:divBdr>
                  <w:divsChild>
                    <w:div w:id="1349066994">
                      <w:marLeft w:val="-225"/>
                      <w:marRight w:val="-225"/>
                      <w:marTop w:val="0"/>
                      <w:marBottom w:val="0"/>
                      <w:divBdr>
                        <w:top w:val="none" w:sz="0" w:space="0" w:color="auto"/>
                        <w:left w:val="none" w:sz="0" w:space="0" w:color="auto"/>
                        <w:bottom w:val="none" w:sz="0" w:space="0" w:color="auto"/>
                        <w:right w:val="none" w:sz="0" w:space="0" w:color="auto"/>
                      </w:divBdr>
                      <w:divsChild>
                        <w:div w:id="54285143">
                          <w:marLeft w:val="0"/>
                          <w:marRight w:val="0"/>
                          <w:marTop w:val="0"/>
                          <w:marBottom w:val="0"/>
                          <w:divBdr>
                            <w:top w:val="none" w:sz="0" w:space="0" w:color="auto"/>
                            <w:left w:val="none" w:sz="0" w:space="0" w:color="auto"/>
                            <w:bottom w:val="none" w:sz="0" w:space="0" w:color="auto"/>
                            <w:right w:val="none" w:sz="0" w:space="0" w:color="auto"/>
                          </w:divBdr>
                          <w:divsChild>
                            <w:div w:id="1003512108">
                              <w:marLeft w:val="0"/>
                              <w:marRight w:val="0"/>
                              <w:marTop w:val="0"/>
                              <w:marBottom w:val="0"/>
                              <w:divBdr>
                                <w:top w:val="none" w:sz="0" w:space="0" w:color="auto"/>
                                <w:left w:val="none" w:sz="0" w:space="0" w:color="auto"/>
                                <w:bottom w:val="none" w:sz="0" w:space="0" w:color="auto"/>
                                <w:right w:val="none" w:sz="0" w:space="0" w:color="auto"/>
                              </w:divBdr>
                              <w:divsChild>
                                <w:div w:id="1140927589">
                                  <w:marLeft w:val="0"/>
                                  <w:marRight w:val="0"/>
                                  <w:marTop w:val="0"/>
                                  <w:marBottom w:val="0"/>
                                  <w:divBdr>
                                    <w:top w:val="none" w:sz="0" w:space="0" w:color="auto"/>
                                    <w:left w:val="none" w:sz="0" w:space="0" w:color="auto"/>
                                    <w:bottom w:val="none" w:sz="0" w:space="0" w:color="auto"/>
                                    <w:right w:val="none" w:sz="0" w:space="0" w:color="auto"/>
                                  </w:divBdr>
                                  <w:divsChild>
                                    <w:div w:id="407310062">
                                      <w:marLeft w:val="0"/>
                                      <w:marRight w:val="0"/>
                                      <w:marTop w:val="0"/>
                                      <w:marBottom w:val="0"/>
                                      <w:divBdr>
                                        <w:top w:val="none" w:sz="0" w:space="0" w:color="auto"/>
                                        <w:left w:val="none" w:sz="0" w:space="0" w:color="auto"/>
                                        <w:bottom w:val="none" w:sz="0" w:space="0" w:color="auto"/>
                                        <w:right w:val="none" w:sz="0" w:space="0" w:color="auto"/>
                                      </w:divBdr>
                                      <w:divsChild>
                                        <w:div w:id="17357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4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cc.gov.au/publications/avoiding-unfair-business-practices-a-guide-for-businesses-legal-practitione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accc.gov.au/publications/avoiding-unfair-business-practices-a-guide-for-businesses-legal-practitione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ccc.gov.au/publications/avoiding-unfair-business-practices-a-guide-for-businesses-legal-practitioner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cc.gov.au/publications/consumer-guarantees-a-guide-for-businesses-and-legal-practitioners"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FD355F4C</Template>
  <TotalTime>0</TotalTime>
  <Pages>8</Pages>
  <Words>2382</Words>
  <Characters>13581</Characters>
  <Application>Microsoft Office Word</Application>
  <DocSecurity>0</DocSecurity>
  <Lines>113</Lines>
  <Paragraphs>31</Paragraphs>
  <ScaleCrop>false</ScaleCrop>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2017-10-05T04:36:00Z</dcterms:created>
  <dcterms:modified xsi:type="dcterms:W3CDTF">2017-10-06T04:39:00Z</dcterms:modified>
</cp:coreProperties>
</file>