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3892015"/>
        <w:docPartObj>
          <w:docPartGallery w:val="Cover Pages"/>
          <w:docPartUnique/>
        </w:docPartObj>
      </w:sdtPr>
      <w:sdtEndPr>
        <w:rPr>
          <w:rFonts w:ascii="Palatino Linotype" w:eastAsiaTheme="majorEastAsia" w:hAnsi="Palatino Linotype" w:cstheme="majorBidi"/>
          <w:bCs/>
          <w:color w:val="410099" w:themeColor="accent1"/>
          <w:sz w:val="32"/>
          <w:szCs w:val="28"/>
        </w:rPr>
      </w:sdtEndPr>
      <w:sdtContent>
        <w:p w14:paraId="78FBA297" w14:textId="77777777" w:rsidR="004C6F18" w:rsidRDefault="004C6F18" w:rsidP="004C6F18"/>
        <w:tbl>
          <w:tblPr>
            <w:tblStyle w:val="TableGrid"/>
            <w:tblW w:w="0" w:type="auto"/>
            <w:tblBorders>
              <w:top w:val="none" w:sz="0" w:space="0" w:color="auto"/>
              <w:bottom w:val="none" w:sz="0" w:space="0" w:color="auto"/>
            </w:tblBorders>
            <w:tblLook w:val="0400" w:firstRow="0" w:lastRow="0" w:firstColumn="0" w:lastColumn="0" w:noHBand="0" w:noVBand="1"/>
          </w:tblPr>
          <w:tblGrid>
            <w:gridCol w:w="9242"/>
          </w:tblGrid>
          <w:tr w:rsidR="004C6F18" w:rsidRPr="00C755AD" w14:paraId="6C0C957E" w14:textId="77777777" w:rsidTr="00F9479C">
            <w:trPr>
              <w:trHeight w:val="4227"/>
            </w:trPr>
            <w:tc>
              <w:tcPr>
                <w:tcW w:w="9242" w:type="dxa"/>
              </w:tcPr>
              <w:p w14:paraId="68997D14" w14:textId="77777777" w:rsidR="004C6F18" w:rsidRPr="005E6C0E" w:rsidRDefault="004C6F18" w:rsidP="00F9479C">
                <w:r>
                  <w:rPr>
                    <w:noProof/>
                    <w:lang w:eastAsia="en-AU"/>
                  </w:rPr>
                  <w:drawing>
                    <wp:inline distT="0" distB="0" distL="0" distR="0" wp14:anchorId="0CA4CF26" wp14:editId="29AB9882">
                      <wp:extent cx="3243648"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_Logo_Stacked_RGB_Positive2.png"/>
                              <pic:cNvPicPr/>
                            </pic:nvPicPr>
                            <pic:blipFill>
                              <a:blip r:embed="rId9">
                                <a:extLst>
                                  <a:ext uri="{28A0092B-C50C-407E-A947-70E740481C1C}">
                                    <a14:useLocalDpi xmlns:a14="http://schemas.microsoft.com/office/drawing/2010/main" val="0"/>
                                  </a:ext>
                                </a:extLst>
                              </a:blip>
                              <a:stretch>
                                <a:fillRect/>
                              </a:stretch>
                            </pic:blipFill>
                            <pic:spPr>
                              <a:xfrm>
                                <a:off x="0" y="0"/>
                                <a:ext cx="3253555" cy="1203816"/>
                              </a:xfrm>
                              <a:prstGeom prst="rect">
                                <a:avLst/>
                              </a:prstGeom>
                            </pic:spPr>
                          </pic:pic>
                        </a:graphicData>
                      </a:graphic>
                    </wp:inline>
                  </w:drawing>
                </w:r>
              </w:p>
              <w:p w14:paraId="63605CC7" w14:textId="77777777" w:rsidR="004C6F18" w:rsidRDefault="004C6F18" w:rsidP="00F9479C"/>
              <w:p w14:paraId="02D42972" w14:textId="77777777" w:rsidR="004C6F18" w:rsidRPr="00871C6C" w:rsidRDefault="004C6F18" w:rsidP="00F9479C"/>
              <w:p w14:paraId="2046A427" w14:textId="77777777" w:rsidR="004C6F18" w:rsidRPr="00871C6C" w:rsidRDefault="004C6F18" w:rsidP="00F9479C"/>
              <w:p w14:paraId="51142650" w14:textId="77777777" w:rsidR="004C6F18" w:rsidRDefault="004C6F18" w:rsidP="00F9479C"/>
              <w:p w14:paraId="0D0EBA1C" w14:textId="77777777" w:rsidR="004C6F18" w:rsidRPr="00871C6C" w:rsidRDefault="004C6F18" w:rsidP="00F9479C"/>
              <w:p w14:paraId="09067EFF" w14:textId="77777777" w:rsidR="004C6F18" w:rsidRDefault="004C6F18" w:rsidP="00F9479C"/>
              <w:p w14:paraId="5942A04D" w14:textId="0ED6F9D6" w:rsidR="004C6F18" w:rsidRPr="00871C6C" w:rsidRDefault="004C6F18" w:rsidP="00F9479C">
                <w:pPr>
                  <w:tabs>
                    <w:tab w:val="left" w:pos="6583"/>
                  </w:tabs>
                </w:pPr>
              </w:p>
            </w:tc>
          </w:tr>
          <w:tr w:rsidR="004C6F18" w:rsidRPr="00C755AD" w14:paraId="7A123988" w14:textId="77777777" w:rsidTr="00F9479C">
            <w:tc>
              <w:tcPr>
                <w:tcW w:w="9242" w:type="dxa"/>
              </w:tcPr>
              <w:p w14:paraId="39CFF5B7" w14:textId="54A6B177" w:rsidR="004C6F18" w:rsidRPr="00C755AD" w:rsidRDefault="004C6F18" w:rsidP="000A0232">
                <w:pPr>
                  <w:pStyle w:val="Title"/>
                </w:pPr>
                <w:bookmarkStart w:id="0" w:name="_Toc534887714"/>
                <w:r w:rsidRPr="00923268">
                  <w:rPr>
                    <w:szCs w:val="72"/>
                  </w:rPr>
                  <w:t>Guidelines on</w:t>
                </w:r>
                <w:r>
                  <w:rPr>
                    <w:szCs w:val="72"/>
                  </w:rPr>
                  <w:t xml:space="preserve"> </w:t>
                </w:r>
                <w:bookmarkEnd w:id="0"/>
                <w:r w:rsidR="00FA4FAE">
                  <w:rPr>
                    <w:szCs w:val="72"/>
                  </w:rPr>
                  <w:t xml:space="preserve">section 95ZN claims in </w:t>
                </w:r>
                <w:r>
                  <w:rPr>
                    <w:szCs w:val="72"/>
                  </w:rPr>
                  <w:t>price inquiries</w:t>
                </w:r>
              </w:p>
            </w:tc>
          </w:tr>
          <w:tr w:rsidR="004C6F18" w:rsidRPr="00C755AD" w14:paraId="3A67FA86" w14:textId="77777777" w:rsidTr="00F9479C">
            <w:tc>
              <w:tcPr>
                <w:tcW w:w="9242" w:type="dxa"/>
              </w:tcPr>
              <w:p w14:paraId="2835FE42" w14:textId="295AA456" w:rsidR="004C6F18" w:rsidRPr="00090458" w:rsidRDefault="00090458" w:rsidP="00090458">
                <w:pPr>
                  <w:pStyle w:val="Subtitle"/>
                  <w:jc w:val="center"/>
                  <w:rPr>
                    <w:b/>
                    <w:color w:val="FF0000"/>
                  </w:rPr>
                </w:pPr>
                <w:r>
                  <w:rPr>
                    <w:b/>
                    <w:color w:val="FF0000"/>
                  </w:rPr>
                  <w:t>[DRAFT]</w:t>
                </w:r>
              </w:p>
            </w:tc>
          </w:tr>
          <w:tr w:rsidR="004C6F18" w:rsidRPr="00C755AD" w14:paraId="157CBD8B" w14:textId="77777777" w:rsidTr="00F9479C">
            <w:tc>
              <w:tcPr>
                <w:tcW w:w="9242" w:type="dxa"/>
              </w:tcPr>
              <w:p w14:paraId="4202CAA2" w14:textId="77777777" w:rsidR="004C6F18" w:rsidRPr="00C755AD" w:rsidRDefault="004C6F18" w:rsidP="00F9479C"/>
              <w:p w14:paraId="00248E89" w14:textId="1BECC268" w:rsidR="004C6F18" w:rsidRPr="00C755AD" w:rsidRDefault="00592B3B" w:rsidP="00592B3B">
                <w:pPr>
                  <w:pStyle w:val="CoverDate"/>
                </w:pPr>
                <w:r>
                  <w:t>November</w:t>
                </w:r>
                <w:r w:rsidR="00406FB7">
                  <w:t xml:space="preserve"> </w:t>
                </w:r>
                <w:r w:rsidR="004C6F18" w:rsidRPr="001C78F9">
                  <w:t>2019</w:t>
                </w:r>
              </w:p>
            </w:tc>
          </w:tr>
        </w:tbl>
        <w:p w14:paraId="6D803192" w14:textId="77777777" w:rsidR="004C6F18" w:rsidRPr="002A723B" w:rsidRDefault="004C6F18" w:rsidP="004C6F18">
          <w:pPr>
            <w:rPr>
              <w:rFonts w:ascii="Palatino Linotype" w:eastAsiaTheme="majorEastAsia" w:hAnsi="Palatino Linotype" w:cstheme="majorBidi"/>
              <w:bCs/>
              <w:color w:val="410099" w:themeColor="accent1"/>
              <w:sz w:val="32"/>
              <w:szCs w:val="28"/>
            </w:rPr>
          </w:pPr>
          <w:r w:rsidRPr="002A723B">
            <w:rPr>
              <w:rFonts w:ascii="Palatino Linotype" w:eastAsiaTheme="majorEastAsia" w:hAnsi="Palatino Linotype" w:cstheme="majorBidi"/>
              <w:bCs/>
              <w:color w:val="410099" w:themeColor="accent1"/>
              <w:sz w:val="32"/>
              <w:szCs w:val="28"/>
            </w:rPr>
            <w:br w:type="page"/>
          </w:r>
        </w:p>
      </w:sdtContent>
    </w:sdt>
    <w:p w14:paraId="69FA9F76" w14:textId="77777777" w:rsidR="004C6F18" w:rsidRPr="00130CFD" w:rsidRDefault="004C6F18" w:rsidP="004C6F18">
      <w:pPr>
        <w:pStyle w:val="Numbered1"/>
        <w:numPr>
          <w:ilvl w:val="0"/>
          <w:numId w:val="0"/>
        </w:numPr>
        <w:spacing w:after="240"/>
        <w:ind w:left="680" w:hanging="680"/>
      </w:pPr>
      <w:bookmarkStart w:id="1" w:name="_Toc534887716"/>
      <w:bookmarkStart w:id="2" w:name="_Toc414270387"/>
      <w:r w:rsidRPr="00130CFD">
        <w:lastRenderedPageBreak/>
        <w:t>Purpose of these Guidelines</w:t>
      </w:r>
      <w:bookmarkEnd w:id="1"/>
      <w:r w:rsidRPr="00130CFD">
        <w:t xml:space="preserve"> </w:t>
      </w:r>
    </w:p>
    <w:p w14:paraId="082C8EDD" w14:textId="314C7E8F" w:rsidR="009228E5" w:rsidRDefault="004C6F18" w:rsidP="004C6F18">
      <w:pPr>
        <w:spacing w:before="120" w:after="120" w:line="276" w:lineRule="auto"/>
      </w:pPr>
      <w:r w:rsidRPr="001C383B">
        <w:t xml:space="preserve">These Guidelines </w:t>
      </w:r>
      <w:r w:rsidR="002C1824">
        <w:t xml:space="preserve">provide information about </w:t>
      </w:r>
      <w:r w:rsidRPr="001C383B">
        <w:t xml:space="preserve">the approach </w:t>
      </w:r>
      <w:r w:rsidR="002C1824">
        <w:t xml:space="preserve">taken by </w:t>
      </w:r>
      <w:r w:rsidRPr="001C383B">
        <w:t>the Australian Competition and Consumer Commission (</w:t>
      </w:r>
      <w:r w:rsidRPr="001C383B">
        <w:rPr>
          <w:b/>
        </w:rPr>
        <w:t>ACCC</w:t>
      </w:r>
      <w:r w:rsidRPr="001C383B">
        <w:t xml:space="preserve">) in assessing whether </w:t>
      </w:r>
      <w:r>
        <w:t xml:space="preserve">to disclose </w:t>
      </w:r>
      <w:r w:rsidR="002C1824">
        <w:t>information</w:t>
      </w:r>
      <w:r w:rsidR="00C36CC3">
        <w:t xml:space="preserve"> under section 95ZN of the </w:t>
      </w:r>
      <w:r w:rsidR="00C36CC3">
        <w:rPr>
          <w:i/>
        </w:rPr>
        <w:t>Competition and Consumer Act 2010</w:t>
      </w:r>
      <w:r w:rsidR="00C36CC3">
        <w:t xml:space="preserve"> (Cth) (</w:t>
      </w:r>
      <w:r w:rsidR="00C36CC3">
        <w:rPr>
          <w:b/>
        </w:rPr>
        <w:t>CCA</w:t>
      </w:r>
      <w:r w:rsidR="00C36CC3">
        <w:t>) where that information has been</w:t>
      </w:r>
      <w:r w:rsidR="00406FB7">
        <w:t>:</w:t>
      </w:r>
    </w:p>
    <w:p w14:paraId="054C2FBF" w14:textId="6B8ABC33" w:rsidR="009228E5" w:rsidRDefault="00090458" w:rsidP="00406FB7">
      <w:pPr>
        <w:pStyle w:val="ListParagraph"/>
        <w:numPr>
          <w:ilvl w:val="0"/>
          <w:numId w:val="48"/>
        </w:numPr>
        <w:spacing w:after="120" w:line="276" w:lineRule="auto"/>
        <w:ind w:left="714" w:hanging="357"/>
        <w:rPr>
          <w:rFonts w:cs="Arial"/>
          <w:color w:val="000000" w:themeColor="text1"/>
        </w:rPr>
      </w:pPr>
      <w:r>
        <w:t>P</w:t>
      </w:r>
      <w:r w:rsidR="004C6F18" w:rsidRPr="001C383B">
        <w:t>ro</w:t>
      </w:r>
      <w:r w:rsidR="009228E5">
        <w:t xml:space="preserve">vided to the ACCC </w:t>
      </w:r>
      <w:r w:rsidR="004C6F18" w:rsidRPr="001C383B">
        <w:t>under</w:t>
      </w:r>
      <w:r w:rsidR="004C6F18" w:rsidRPr="00E80828">
        <w:rPr>
          <w:rFonts w:cs="Arial"/>
          <w:color w:val="000000" w:themeColor="text1"/>
        </w:rPr>
        <w:t xml:space="preserve"> section 95ZK of the </w:t>
      </w:r>
      <w:r w:rsidR="00C36CC3">
        <w:rPr>
          <w:rFonts w:cs="Arial"/>
          <w:color w:val="000000" w:themeColor="text1"/>
        </w:rPr>
        <w:t>CCA</w:t>
      </w:r>
      <w:r w:rsidR="00406FB7">
        <w:rPr>
          <w:rFonts w:cs="Arial"/>
          <w:color w:val="000000" w:themeColor="text1"/>
        </w:rPr>
        <w:t>,</w:t>
      </w:r>
      <w:r w:rsidR="009228E5">
        <w:rPr>
          <w:rFonts w:cs="Arial"/>
          <w:color w:val="000000" w:themeColor="text1"/>
        </w:rPr>
        <w:t xml:space="preserve"> or</w:t>
      </w:r>
    </w:p>
    <w:p w14:paraId="4EC453CC" w14:textId="4266A715" w:rsidR="004C6F18" w:rsidRPr="00E80828" w:rsidRDefault="00090458" w:rsidP="00406FB7">
      <w:pPr>
        <w:pStyle w:val="ListParagraph"/>
        <w:numPr>
          <w:ilvl w:val="0"/>
          <w:numId w:val="48"/>
        </w:numPr>
        <w:spacing w:after="120" w:line="276" w:lineRule="auto"/>
        <w:ind w:left="714" w:hanging="357"/>
        <w:rPr>
          <w:rFonts w:cs="Arial"/>
          <w:color w:val="000000" w:themeColor="text1"/>
        </w:rPr>
      </w:pPr>
      <w:r>
        <w:t>M</w:t>
      </w:r>
      <w:r w:rsidR="009228E5">
        <w:t xml:space="preserve">ade available to the ACCC </w:t>
      </w:r>
      <w:r w:rsidR="002C1824">
        <w:t xml:space="preserve">in submissions to a price inquiry, or </w:t>
      </w:r>
      <w:r w:rsidR="00F31085">
        <w:t xml:space="preserve">given in private </w:t>
      </w:r>
      <w:r w:rsidR="009228E5">
        <w:t xml:space="preserve">at a </w:t>
      </w:r>
      <w:r w:rsidR="002C1824">
        <w:t xml:space="preserve">formal </w:t>
      </w:r>
      <w:r w:rsidR="009228E5">
        <w:t>price inquiry hearing</w:t>
      </w:r>
      <w:r w:rsidR="00406FB7">
        <w:t>.</w:t>
      </w:r>
    </w:p>
    <w:p w14:paraId="5CCFA275" w14:textId="77777777" w:rsidR="004C6F18" w:rsidRDefault="004C6F18" w:rsidP="004C6F18">
      <w:pPr>
        <w:spacing w:before="120" w:after="120" w:line="276" w:lineRule="auto"/>
      </w:pPr>
      <w:r>
        <w:t>These Guidelines are for the general guidance of legal practitioners and business advisors and are not a substitute for legal advice.</w:t>
      </w:r>
    </w:p>
    <w:p w14:paraId="24984B2E" w14:textId="3E3E4492" w:rsidR="004C6F18" w:rsidRDefault="00E80828" w:rsidP="004C6F18">
      <w:pPr>
        <w:spacing w:before="120" w:after="120" w:line="276" w:lineRule="auto"/>
      </w:pPr>
      <w:r>
        <w:t>More general guidance about the ACCC’s handing of information can be found in t</w:t>
      </w:r>
      <w:r w:rsidR="00C92269">
        <w:t>he following publications:</w:t>
      </w:r>
    </w:p>
    <w:p w14:paraId="0188F40A" w14:textId="1EFF5C9C" w:rsidR="004C6F18" w:rsidRDefault="00426264" w:rsidP="00406FB7">
      <w:pPr>
        <w:pStyle w:val="ListParagraph"/>
        <w:numPr>
          <w:ilvl w:val="0"/>
          <w:numId w:val="39"/>
        </w:numPr>
        <w:spacing w:after="120" w:line="276" w:lineRule="auto"/>
        <w:ind w:left="714" w:hanging="357"/>
      </w:pPr>
      <w:hyperlink r:id="rId10" w:history="1">
        <w:r w:rsidR="004C6F18" w:rsidRPr="00760842">
          <w:rPr>
            <w:rStyle w:val="Hyperlink"/>
            <w:i/>
          </w:rPr>
          <w:t>ACCC &amp; AER information policy: collection and disclosure of information</w:t>
        </w:r>
      </w:hyperlink>
      <w:r w:rsidR="004C6F18">
        <w:t>,</w:t>
      </w:r>
      <w:r w:rsidR="00A151CF">
        <w:t xml:space="preserve"> June 2014</w:t>
      </w:r>
    </w:p>
    <w:p w14:paraId="7E06CC51" w14:textId="43AF37D5" w:rsidR="004C6F18" w:rsidRDefault="00426264" w:rsidP="00406FB7">
      <w:pPr>
        <w:pStyle w:val="ListParagraph"/>
        <w:numPr>
          <w:ilvl w:val="0"/>
          <w:numId w:val="39"/>
        </w:numPr>
        <w:spacing w:after="120" w:line="276" w:lineRule="auto"/>
        <w:ind w:left="714" w:hanging="357"/>
      </w:pPr>
      <w:hyperlink r:id="rId11" w:history="1">
        <w:r w:rsidR="004C6F18" w:rsidRPr="00760842">
          <w:rPr>
            <w:rStyle w:val="Hyperlink"/>
            <w:i/>
          </w:rPr>
          <w:t>The ACCC's accountability framework for investigations</w:t>
        </w:r>
      </w:hyperlink>
      <w:r w:rsidR="00A151CF">
        <w:t>, April 2019</w:t>
      </w:r>
      <w:r w:rsidR="004C6F18">
        <w:t>.</w:t>
      </w:r>
    </w:p>
    <w:p w14:paraId="618C7474" w14:textId="7CEF123A" w:rsidR="00E80828" w:rsidRDefault="00E80828" w:rsidP="00E80828">
      <w:pPr>
        <w:spacing w:after="120" w:line="276" w:lineRule="auto"/>
      </w:pPr>
      <w:r>
        <w:t>These Guidelines are not intended to replace or amend any other ACCC guidance about the ACCC’s handling of confidential or commercially sensitive information under other sections of the CCA or other legislation.</w:t>
      </w:r>
    </w:p>
    <w:p w14:paraId="584B9924" w14:textId="4B11446E" w:rsidR="004C6F18" w:rsidRPr="00D42D06" w:rsidRDefault="00E80828" w:rsidP="00406FB7">
      <w:pPr>
        <w:spacing w:before="120" w:after="120" w:line="276" w:lineRule="auto"/>
      </w:pPr>
      <w:r>
        <w:t>The ACCC may amend these guidelines from time to time</w:t>
      </w:r>
      <w:r w:rsidR="00F31085">
        <w:t>.</w:t>
      </w:r>
    </w:p>
    <w:bookmarkEnd w:id="2"/>
    <w:p w14:paraId="673EDE08" w14:textId="77777777" w:rsidR="004C6F18" w:rsidRDefault="004C6F18" w:rsidP="004C6F18">
      <w:pPr>
        <w:rPr>
          <w:rFonts w:ascii="Palatino Linotype" w:eastAsiaTheme="majorEastAsia" w:hAnsi="Palatino Linotype" w:cstheme="majorBidi"/>
          <w:bCs/>
          <w:color w:val="410099" w:themeColor="accent1"/>
          <w:sz w:val="32"/>
          <w:szCs w:val="28"/>
        </w:rPr>
      </w:pPr>
      <w:r>
        <w:br w:type="page"/>
      </w:r>
    </w:p>
    <w:p w14:paraId="71D8BE95" w14:textId="77777777" w:rsidR="004C6F18" w:rsidRPr="00106775" w:rsidRDefault="004C6F18" w:rsidP="004C6F18">
      <w:pPr>
        <w:pStyle w:val="ListParagraph"/>
        <w:numPr>
          <w:ilvl w:val="0"/>
          <w:numId w:val="27"/>
        </w:numPr>
        <w:tabs>
          <w:tab w:val="clear" w:pos="340"/>
          <w:tab w:val="left" w:pos="567"/>
          <w:tab w:val="left" w:pos="624"/>
        </w:tabs>
        <w:spacing w:before="240" w:after="240"/>
        <w:ind w:left="624" w:hanging="624"/>
        <w:rPr>
          <w:rFonts w:ascii="Palatino Linotype" w:hAnsi="Palatino Linotype"/>
          <w:color w:val="410099" w:themeColor="accent1"/>
          <w:sz w:val="32"/>
          <w:szCs w:val="32"/>
        </w:rPr>
      </w:pPr>
      <w:r>
        <w:rPr>
          <w:rFonts w:ascii="Palatino Linotype" w:hAnsi="Palatino Linotype"/>
          <w:color w:val="410099" w:themeColor="accent1"/>
          <w:sz w:val="32"/>
          <w:szCs w:val="32"/>
        </w:rPr>
        <w:lastRenderedPageBreak/>
        <w:t>Introduction</w:t>
      </w:r>
    </w:p>
    <w:p w14:paraId="231446A1" w14:textId="0742AD12" w:rsidR="004C6F18" w:rsidRDefault="004C6F18" w:rsidP="004C6F18">
      <w:pPr>
        <w:pStyle w:val="ListParagraph"/>
        <w:numPr>
          <w:ilvl w:val="1"/>
          <w:numId w:val="27"/>
        </w:numPr>
        <w:spacing w:after="120" w:line="276" w:lineRule="auto"/>
        <w:ind w:left="624" w:hanging="624"/>
      </w:pPr>
      <w:r>
        <w:t>The ACCC is an independent Commonwealth statutory authority. The ACCC’s role is to enforce the CCA and a range of additional legislation, promoting competition</w:t>
      </w:r>
      <w:r w:rsidR="00406FB7">
        <w:t xml:space="preserve"> and</w:t>
      </w:r>
      <w:r>
        <w:t xml:space="preserve"> fair trading</w:t>
      </w:r>
      <w:r w:rsidR="00406FB7">
        <w:t>,</w:t>
      </w:r>
      <w:r>
        <w:t xml:space="preserve"> and regulating national infrastructure</w:t>
      </w:r>
      <w:r w:rsidR="00406FB7">
        <w:t>,</w:t>
      </w:r>
      <w:r>
        <w:t xml:space="preserve"> for the benefit of all Australians.</w:t>
      </w:r>
    </w:p>
    <w:p w14:paraId="5BE64290" w14:textId="54FCFDD4" w:rsidR="004C6F18" w:rsidRDefault="004C6F18" w:rsidP="004C6F18">
      <w:pPr>
        <w:pStyle w:val="ListParagraph"/>
        <w:numPr>
          <w:ilvl w:val="1"/>
          <w:numId w:val="27"/>
        </w:numPr>
        <w:spacing w:after="120" w:line="276" w:lineRule="auto"/>
        <w:ind w:left="624" w:hanging="624"/>
      </w:pPr>
      <w:r>
        <w:t>One of the ACCC’s functions is to conduct price inquiries under Part VIIA of the CCA.</w:t>
      </w:r>
      <w:r>
        <w:rPr>
          <w:rStyle w:val="FootnoteReference"/>
        </w:rPr>
        <w:footnoteReference w:id="1"/>
      </w:r>
      <w:r>
        <w:t xml:space="preserve"> When conducting price inquiries</w:t>
      </w:r>
      <w:r w:rsidR="006154A6">
        <w:t>,</w:t>
      </w:r>
      <w:r>
        <w:t xml:space="preserve"> the ACCC</w:t>
      </w:r>
      <w:r w:rsidR="0043338F" w:rsidRPr="0043338F">
        <w:t xml:space="preserve"> </w:t>
      </w:r>
      <w:r w:rsidR="0043338F">
        <w:t>Chairperson</w:t>
      </w:r>
      <w:r>
        <w:t xml:space="preserve"> may require a person to provide relevant information or documents</w:t>
      </w:r>
      <w:r w:rsidRPr="001C383B">
        <w:t xml:space="preserve"> </w:t>
      </w:r>
      <w:r>
        <w:t>under section 95ZK of the CCA</w:t>
      </w:r>
      <w:r w:rsidR="00F7383B">
        <w:t xml:space="preserve">. Information may also be provided </w:t>
      </w:r>
      <w:r w:rsidR="00B15C84">
        <w:t xml:space="preserve">via submissions, or </w:t>
      </w:r>
      <w:r w:rsidR="00F7383B">
        <w:t xml:space="preserve">at a </w:t>
      </w:r>
      <w:r w:rsidR="00B15C84">
        <w:t xml:space="preserve">formally convened </w:t>
      </w:r>
      <w:r w:rsidR="00F7383B">
        <w:t>hearing of the inquiry</w:t>
      </w:r>
      <w:r w:rsidR="006154A6">
        <w:t>.</w:t>
      </w:r>
    </w:p>
    <w:p w14:paraId="2B94715F" w14:textId="6E7BDFDA" w:rsidR="004C6F18" w:rsidRDefault="004C6F18" w:rsidP="004C6F18">
      <w:pPr>
        <w:pStyle w:val="ListParagraph"/>
        <w:numPr>
          <w:ilvl w:val="1"/>
          <w:numId w:val="27"/>
        </w:numPr>
        <w:spacing w:after="120" w:line="276" w:lineRule="auto"/>
        <w:ind w:left="624" w:hanging="624"/>
      </w:pPr>
      <w:r>
        <w:t xml:space="preserve">These Guidelines </w:t>
      </w:r>
      <w:r w:rsidR="0043338F">
        <w:t xml:space="preserve">set out </w:t>
      </w:r>
      <w:r>
        <w:t>how the ACCC assess</w:t>
      </w:r>
      <w:r w:rsidR="0043338F">
        <w:t>es</w:t>
      </w:r>
      <w:r w:rsidR="00C92269">
        <w:t>, under section 95ZN of the CCA,</w:t>
      </w:r>
      <w:r>
        <w:t xml:space="preserve"> whether information given or made available to the ACCC under section 95ZK of the CCA</w:t>
      </w:r>
      <w:r w:rsidR="00F7383B">
        <w:t xml:space="preserve">, or </w:t>
      </w:r>
      <w:r w:rsidR="00B15C84">
        <w:t xml:space="preserve">via submissions, or </w:t>
      </w:r>
      <w:r w:rsidR="00F31085">
        <w:t xml:space="preserve">in private </w:t>
      </w:r>
      <w:r w:rsidR="00F7383B">
        <w:t xml:space="preserve">at a </w:t>
      </w:r>
      <w:r w:rsidR="00B15C84">
        <w:t xml:space="preserve">formal </w:t>
      </w:r>
      <w:r w:rsidR="00F7383B">
        <w:t>hearing of the inquiry,</w:t>
      </w:r>
      <w:r>
        <w:t xml:space="preserve"> </w:t>
      </w:r>
      <w:r w:rsidR="00C92269">
        <w:t>will be</w:t>
      </w:r>
      <w:r>
        <w:t xml:space="preserve"> disclosed</w:t>
      </w:r>
      <w:r w:rsidR="00C92269">
        <w:t xml:space="preserve">. </w:t>
      </w:r>
    </w:p>
    <w:p w14:paraId="122CFF0D" w14:textId="77777777" w:rsidR="004C6F18" w:rsidRDefault="004C6F18" w:rsidP="004C6F18">
      <w:pPr>
        <w:pStyle w:val="ListParagraph"/>
        <w:keepNext/>
        <w:numPr>
          <w:ilvl w:val="0"/>
          <w:numId w:val="27"/>
        </w:numPr>
        <w:tabs>
          <w:tab w:val="clear" w:pos="340"/>
          <w:tab w:val="left" w:pos="567"/>
          <w:tab w:val="left" w:pos="624"/>
        </w:tabs>
        <w:spacing w:before="240" w:after="240"/>
        <w:ind w:left="624" w:hanging="624"/>
        <w:rPr>
          <w:rFonts w:ascii="Palatino Linotype" w:hAnsi="Palatino Linotype"/>
          <w:color w:val="410099" w:themeColor="accent1"/>
          <w:sz w:val="32"/>
          <w:szCs w:val="32"/>
        </w:rPr>
      </w:pPr>
      <w:r>
        <w:rPr>
          <w:rFonts w:ascii="Palatino Linotype" w:hAnsi="Palatino Linotype"/>
          <w:color w:val="410099" w:themeColor="accent1"/>
          <w:sz w:val="32"/>
          <w:szCs w:val="32"/>
        </w:rPr>
        <w:t>Price inquiry legislative framework</w:t>
      </w:r>
    </w:p>
    <w:p w14:paraId="6341454D" w14:textId="77777777" w:rsidR="004C6F18" w:rsidRPr="001C383B" w:rsidRDefault="004C6F18" w:rsidP="004C6F18">
      <w:pPr>
        <w:keepNext/>
        <w:tabs>
          <w:tab w:val="left" w:pos="567"/>
          <w:tab w:val="left" w:pos="624"/>
        </w:tabs>
        <w:spacing w:before="240" w:after="240"/>
        <w:rPr>
          <w:rFonts w:eastAsiaTheme="majorEastAsia" w:cstheme="majorBidi"/>
          <w:b/>
          <w:bCs/>
          <w:color w:val="000000" w:themeColor="text1" w:themeShade="BF"/>
          <w:sz w:val="24"/>
        </w:rPr>
      </w:pPr>
      <w:r w:rsidRPr="001C383B">
        <w:rPr>
          <w:rFonts w:eastAsiaTheme="majorEastAsia" w:cstheme="majorBidi"/>
          <w:b/>
          <w:bCs/>
          <w:color w:val="000000" w:themeColor="text1" w:themeShade="BF"/>
          <w:sz w:val="24"/>
        </w:rPr>
        <w:t>Price inquiries</w:t>
      </w:r>
    </w:p>
    <w:p w14:paraId="623E6012" w14:textId="25B40374" w:rsidR="008814BE" w:rsidRDefault="008814BE" w:rsidP="008814BE">
      <w:pPr>
        <w:pStyle w:val="ListParagraph"/>
        <w:numPr>
          <w:ilvl w:val="1"/>
          <w:numId w:val="27"/>
        </w:numPr>
        <w:spacing w:after="120" w:line="276" w:lineRule="auto"/>
        <w:ind w:left="624" w:hanging="624"/>
      </w:pPr>
      <w:r>
        <w:t xml:space="preserve">Under section 95H of the CCA, the </w:t>
      </w:r>
      <w:r w:rsidR="00B001C4">
        <w:t xml:space="preserve">responsible Minister </w:t>
      </w:r>
      <w:r>
        <w:t xml:space="preserve">may, by notice in writing, direct or approve the ACCC holding a price inquiry into certain specified matters. Under section 95J of the CCA, this notice must specify the goods or services in relation to which the price inquiry is to be held. </w:t>
      </w:r>
    </w:p>
    <w:p w14:paraId="5A0C81EC" w14:textId="72EF56D9" w:rsidR="004C6F18" w:rsidRDefault="00F7383B" w:rsidP="004C6F18">
      <w:pPr>
        <w:pStyle w:val="ListParagraph"/>
        <w:numPr>
          <w:ilvl w:val="1"/>
          <w:numId w:val="27"/>
        </w:numPr>
        <w:spacing w:after="120" w:line="276" w:lineRule="auto"/>
        <w:ind w:left="624" w:hanging="624"/>
      </w:pPr>
      <w:r>
        <w:t>P</w:t>
      </w:r>
      <w:r w:rsidR="004C6F18">
        <w:t xml:space="preserve">rice inquiries </w:t>
      </w:r>
      <w:r>
        <w:t xml:space="preserve">enable the ACCC </w:t>
      </w:r>
      <w:r w:rsidR="004C6F18">
        <w:t>to develop an in-depth understanding of particular industries, including what competition or consumer problems may be occurring in that industry.</w:t>
      </w:r>
    </w:p>
    <w:p w14:paraId="2CE12A9B" w14:textId="22C489A5" w:rsidR="004C6F18" w:rsidRPr="001C383B" w:rsidRDefault="00F7383B" w:rsidP="004C6F18">
      <w:pPr>
        <w:pStyle w:val="ListParagraph"/>
        <w:numPr>
          <w:ilvl w:val="1"/>
          <w:numId w:val="27"/>
        </w:numPr>
        <w:spacing w:after="120" w:line="276" w:lineRule="auto"/>
        <w:ind w:left="624" w:hanging="624"/>
      </w:pPr>
      <w:r>
        <w:t>P</w:t>
      </w:r>
      <w:r w:rsidR="004C6F18">
        <w:t xml:space="preserve">rice inquiries, in combination with market studies that are self-initiated by the ACCC under section 28 of the CCA, </w:t>
      </w:r>
      <w:r>
        <w:t xml:space="preserve">also assist the ACCC in </w:t>
      </w:r>
      <w:r w:rsidR="004C6F18">
        <w:t>achiev</w:t>
      </w:r>
      <w:r>
        <w:t>ing</w:t>
      </w:r>
      <w:r w:rsidR="004C6F18">
        <w:t xml:space="preserve"> its compliance objectives.</w:t>
      </w:r>
      <w:r w:rsidR="004C6F18">
        <w:rPr>
          <w:rStyle w:val="FootnoteReference"/>
        </w:rPr>
        <w:footnoteReference w:id="2"/>
      </w:r>
    </w:p>
    <w:p w14:paraId="552C370D" w14:textId="77777777" w:rsidR="004C6F18" w:rsidRDefault="004C6F18" w:rsidP="004C6F18">
      <w:pPr>
        <w:pStyle w:val="Heading3"/>
      </w:pPr>
      <w:r>
        <w:t>Information gathering powers</w:t>
      </w:r>
    </w:p>
    <w:p w14:paraId="31729616" w14:textId="02737524" w:rsidR="004C6F18" w:rsidRDefault="004C6F18" w:rsidP="004C6F18">
      <w:pPr>
        <w:pStyle w:val="ListParagraph"/>
        <w:numPr>
          <w:ilvl w:val="1"/>
          <w:numId w:val="27"/>
        </w:numPr>
        <w:spacing w:after="120" w:line="276" w:lineRule="auto"/>
        <w:ind w:left="624" w:hanging="624"/>
      </w:pPr>
      <w:r>
        <w:t xml:space="preserve">The ACCC has a range of information gathering powers available to it once the </w:t>
      </w:r>
      <w:r w:rsidR="00B001C4">
        <w:t>Minister</w:t>
      </w:r>
      <w:r>
        <w:t xml:space="preserve"> has directed or approved </w:t>
      </w:r>
      <w:r w:rsidR="006154A6">
        <w:t xml:space="preserve">the </w:t>
      </w:r>
      <w:r>
        <w:t xml:space="preserve">holding </w:t>
      </w:r>
      <w:r w:rsidR="006154A6">
        <w:t xml:space="preserve">of </w:t>
      </w:r>
      <w:r w:rsidR="00406FB7">
        <w:t>a price inquiry.</w:t>
      </w:r>
      <w:r w:rsidR="008B60F6">
        <w:t xml:space="preserve"> These include </w:t>
      </w:r>
      <w:r w:rsidR="00406FB7">
        <w:t xml:space="preserve">issuing compulsory notices under section 95ZK of the CCA, and </w:t>
      </w:r>
      <w:r w:rsidR="008B60F6">
        <w:t xml:space="preserve">conducting </w:t>
      </w:r>
      <w:r w:rsidR="00B15C84">
        <w:t xml:space="preserve">formal </w:t>
      </w:r>
      <w:r w:rsidR="008B60F6">
        <w:t>inquiry hearings</w:t>
      </w:r>
      <w:r w:rsidR="00EA2274">
        <w:t xml:space="preserve"> under section 95R of the CCA</w:t>
      </w:r>
      <w:r>
        <w:t>.</w:t>
      </w:r>
    </w:p>
    <w:p w14:paraId="13F49633" w14:textId="4D73DF61" w:rsidR="004C6F18" w:rsidRDefault="004C6F18" w:rsidP="004C6F18">
      <w:pPr>
        <w:pStyle w:val="ListParagraph"/>
        <w:numPr>
          <w:ilvl w:val="1"/>
          <w:numId w:val="27"/>
        </w:numPr>
        <w:spacing w:after="120" w:line="276" w:lineRule="auto"/>
        <w:ind w:left="624" w:hanging="624"/>
      </w:pPr>
      <w:r>
        <w:t>Under section 95ZK of the CCA, the Chairperson of the ACCC may, by notice in writing, require a person to give the ACCC specified information or documents</w:t>
      </w:r>
      <w:r w:rsidR="00361088">
        <w:t>. T</w:t>
      </w:r>
      <w:r>
        <w:t>he</w:t>
      </w:r>
      <w:r w:rsidR="0043338F">
        <w:t xml:space="preserve"> Chairperson</w:t>
      </w:r>
      <w:r>
        <w:t xml:space="preserve"> </w:t>
      </w:r>
      <w:r w:rsidR="00361088">
        <w:t xml:space="preserve">may do so if </w:t>
      </w:r>
      <w:r w:rsidR="00F4398E">
        <w:t>they have</w:t>
      </w:r>
      <w:r>
        <w:t xml:space="preserve"> reason to believe that the person is capable of giving information or documents relevant to a supply of goods or services by the person that is of a kind in relation to which the ACCC is carryin</w:t>
      </w:r>
      <w:r w:rsidR="0043338F">
        <w:t>g out the price inquiry. Refusing</w:t>
      </w:r>
      <w:r>
        <w:t xml:space="preserve"> or failing to comply with such a notice is a criminal offence</w:t>
      </w:r>
      <w:r w:rsidR="000C548D">
        <w:t xml:space="preserve">, which exposes </w:t>
      </w:r>
      <w:r w:rsidR="000C548D">
        <w:lastRenderedPageBreak/>
        <w:t>an individual to a fine of 20 penalty units and a corporation to a fine of 100 penalty units</w:t>
      </w:r>
      <w:r w:rsidR="000E7E61">
        <w:t>.</w:t>
      </w:r>
      <w:r w:rsidR="003A12B1">
        <w:rPr>
          <w:rStyle w:val="FootnoteReference"/>
        </w:rPr>
        <w:footnoteReference w:id="3"/>
      </w:r>
    </w:p>
    <w:p w14:paraId="4E0A092F" w14:textId="2A335A39" w:rsidR="008B60F6" w:rsidRDefault="008B60F6" w:rsidP="004C6F18">
      <w:pPr>
        <w:pStyle w:val="ListParagraph"/>
        <w:numPr>
          <w:ilvl w:val="1"/>
          <w:numId w:val="27"/>
        </w:numPr>
        <w:spacing w:after="120" w:line="276" w:lineRule="auto"/>
        <w:ind w:left="624" w:hanging="624"/>
      </w:pPr>
      <w:r>
        <w:t>Under section</w:t>
      </w:r>
      <w:r w:rsidR="004723B9">
        <w:t>s</w:t>
      </w:r>
      <w:r>
        <w:t xml:space="preserve"> 95R </w:t>
      </w:r>
      <w:r w:rsidR="004723B9">
        <w:t xml:space="preserve">and 95S </w:t>
      </w:r>
      <w:r>
        <w:t xml:space="preserve">of the CCA, </w:t>
      </w:r>
      <w:r w:rsidR="00EA2274">
        <w:t xml:space="preserve">the ACCC </w:t>
      </w:r>
      <w:r>
        <w:t>may</w:t>
      </w:r>
      <w:r w:rsidR="00830C49">
        <w:t xml:space="preserve"> obtain written submissions,</w:t>
      </w:r>
      <w:r>
        <w:t xml:space="preserve"> take written or oral evidence</w:t>
      </w:r>
      <w:r w:rsidR="00B15C84">
        <w:t xml:space="preserve"> at a formal hearing of the inquiry</w:t>
      </w:r>
      <w:r w:rsidR="00830C49">
        <w:t>,</w:t>
      </w:r>
      <w:r>
        <w:t xml:space="preserve"> and issue summonses to witnesses to give e</w:t>
      </w:r>
      <w:r w:rsidR="00830C49">
        <w:t xml:space="preserve">vidence or produce documents at a </w:t>
      </w:r>
      <w:r w:rsidR="00B15C84">
        <w:t xml:space="preserve">formal </w:t>
      </w:r>
      <w:r w:rsidR="00830C49">
        <w:t xml:space="preserve">hearing of </w:t>
      </w:r>
      <w:r w:rsidR="00361088">
        <w:t xml:space="preserve">the inquiry. </w:t>
      </w:r>
      <w:r w:rsidR="00830C49">
        <w:t>Failing to comply with a summons is a criminal offence</w:t>
      </w:r>
      <w:r w:rsidR="000C548D">
        <w:t>, which exposes an individual to a fine of 10 penalty units</w:t>
      </w:r>
      <w:r w:rsidR="003A12B1">
        <w:t>.</w:t>
      </w:r>
      <w:r w:rsidR="000C548D">
        <w:t xml:space="preserve"> </w:t>
      </w:r>
    </w:p>
    <w:p w14:paraId="2E1FC74E" w14:textId="6E808C12" w:rsidR="00F31085" w:rsidRDefault="00EA2274" w:rsidP="004C6F18">
      <w:pPr>
        <w:pStyle w:val="ListParagraph"/>
        <w:numPr>
          <w:ilvl w:val="1"/>
          <w:numId w:val="27"/>
        </w:numPr>
        <w:spacing w:after="120" w:line="276" w:lineRule="auto"/>
        <w:ind w:left="624" w:hanging="624"/>
      </w:pPr>
      <w:r>
        <w:t>Under section 95R(2) of the CCA, a</w:t>
      </w:r>
      <w:r w:rsidR="00F31085">
        <w:t xml:space="preserve"> person may request that </w:t>
      </w:r>
      <w:r>
        <w:t>their</w:t>
      </w:r>
      <w:r w:rsidR="00F31085">
        <w:t xml:space="preserve"> evidence </w:t>
      </w:r>
      <w:r>
        <w:t xml:space="preserve">be given </w:t>
      </w:r>
      <w:r w:rsidR="00F31085">
        <w:t xml:space="preserve">in private at a formal hearing of the inquiry. However, section 95ZN still applies to </w:t>
      </w:r>
      <w:r>
        <w:t xml:space="preserve">the ACCC’s decision about whether to disclose </w:t>
      </w:r>
      <w:r w:rsidR="00F31085">
        <w:t>that information.</w:t>
      </w:r>
    </w:p>
    <w:p w14:paraId="2932CB97" w14:textId="40279535" w:rsidR="004C6F18" w:rsidRDefault="006350DD" w:rsidP="004C6F18">
      <w:pPr>
        <w:pStyle w:val="Heading3"/>
      </w:pPr>
      <w:r>
        <w:t>D</w:t>
      </w:r>
      <w:r w:rsidR="004C6F18">
        <w:t>isclosure of information</w:t>
      </w:r>
    </w:p>
    <w:p w14:paraId="1CB92804" w14:textId="4BEEC636" w:rsidR="004C6F18" w:rsidRDefault="004C6F18" w:rsidP="004C6F18">
      <w:pPr>
        <w:pStyle w:val="ListParagraph"/>
        <w:numPr>
          <w:ilvl w:val="1"/>
          <w:numId w:val="27"/>
        </w:numPr>
        <w:spacing w:after="120" w:line="276" w:lineRule="auto"/>
        <w:ind w:left="624" w:hanging="624"/>
      </w:pPr>
      <w:r>
        <w:t xml:space="preserve">Under section 95ZN of the CCA, where information </w:t>
      </w:r>
      <w:r w:rsidR="00B15C84">
        <w:t xml:space="preserve">(including information contained in a document) </w:t>
      </w:r>
      <w:r>
        <w:t xml:space="preserve">has been given to the ACCC under </w:t>
      </w:r>
      <w:r w:rsidR="008814BE">
        <w:t>section 95ZK of the CCA</w:t>
      </w:r>
      <w:r w:rsidR="00B15C84">
        <w:t xml:space="preserve">, or via a submission, or </w:t>
      </w:r>
      <w:r w:rsidR="00F4398E">
        <w:t xml:space="preserve">in private </w:t>
      </w:r>
      <w:r w:rsidR="00B15C84">
        <w:t>at a formal hearing of the inquiry,</w:t>
      </w:r>
      <w:r w:rsidR="008814BE">
        <w:t xml:space="preserve"> and the</w:t>
      </w:r>
      <w:r w:rsidR="0043338F">
        <w:t xml:space="preserve"> information provider</w:t>
      </w:r>
      <w:r>
        <w:t xml:space="preserve"> has made a claim that disclosure of th</w:t>
      </w:r>
      <w:r w:rsidR="00963BED">
        <w:t>at information would damage their</w:t>
      </w:r>
      <w:r>
        <w:t xml:space="preserve"> competitive position, the ACCC must take all reasonable steps to ensure </w:t>
      </w:r>
      <w:r w:rsidR="00B15C84">
        <w:t xml:space="preserve">that the </w:t>
      </w:r>
      <w:r>
        <w:t>information is not disclosed</w:t>
      </w:r>
      <w:r w:rsidR="00B15C84">
        <w:t>, without the consent of the information provider,</w:t>
      </w:r>
      <w:r>
        <w:t xml:space="preserve"> if:</w:t>
      </w:r>
    </w:p>
    <w:p w14:paraId="0640D1DC" w14:textId="7E1868CC" w:rsidR="004C6F18" w:rsidRDefault="00090458" w:rsidP="004C6F18">
      <w:pPr>
        <w:pStyle w:val="ListParagraph"/>
        <w:numPr>
          <w:ilvl w:val="0"/>
          <w:numId w:val="42"/>
        </w:numPr>
        <w:spacing w:after="120" w:line="276" w:lineRule="auto"/>
      </w:pPr>
      <w:r>
        <w:t>T</w:t>
      </w:r>
      <w:r w:rsidR="004C6F18">
        <w:t>he ACCC is satisfied that the person’s claim that</w:t>
      </w:r>
      <w:r w:rsidR="00B15C84">
        <w:t xml:space="preserve"> </w:t>
      </w:r>
      <w:r w:rsidR="004C6F18">
        <w:t>disclosure would damage their competitive position is justified, and</w:t>
      </w:r>
    </w:p>
    <w:p w14:paraId="7FBFA56E" w14:textId="3A87F17F" w:rsidR="004C6F18" w:rsidRDefault="00090458" w:rsidP="004C6F18">
      <w:pPr>
        <w:pStyle w:val="ListParagraph"/>
        <w:numPr>
          <w:ilvl w:val="0"/>
          <w:numId w:val="42"/>
        </w:numPr>
        <w:spacing w:after="120" w:line="276" w:lineRule="auto"/>
      </w:pPr>
      <w:r>
        <w:t>T</w:t>
      </w:r>
      <w:r w:rsidR="004C6F18">
        <w:t>he ACCC is not of the opinion that disclosure of the information is necessary in the public interest.</w:t>
      </w:r>
    </w:p>
    <w:p w14:paraId="361799A2" w14:textId="66128EEB" w:rsidR="00CE2D91" w:rsidRDefault="00CE2D91" w:rsidP="00CE2D91">
      <w:pPr>
        <w:pStyle w:val="ListParagraph"/>
        <w:numPr>
          <w:ilvl w:val="1"/>
          <w:numId w:val="27"/>
        </w:numPr>
        <w:spacing w:after="120" w:line="276" w:lineRule="auto"/>
        <w:ind w:left="624" w:hanging="624"/>
      </w:pPr>
      <w:bookmarkStart w:id="3" w:name="_GoBack"/>
      <w:r>
        <w:t>However, the ACCC</w:t>
      </w:r>
      <w:r w:rsidR="00872398">
        <w:t xml:space="preserve"> can disclose the information in either of these circumstances</w:t>
      </w:r>
      <w:r>
        <w:t>:</w:t>
      </w:r>
    </w:p>
    <w:p w14:paraId="426DB2B2" w14:textId="10C93D9F" w:rsidR="00CE2D91" w:rsidRDefault="00090458" w:rsidP="00CE2D91">
      <w:pPr>
        <w:pStyle w:val="ListParagraph"/>
        <w:numPr>
          <w:ilvl w:val="0"/>
          <w:numId w:val="46"/>
        </w:numPr>
        <w:spacing w:after="120" w:line="276" w:lineRule="auto"/>
      </w:pPr>
      <w:r>
        <w:t>T</w:t>
      </w:r>
      <w:r w:rsidR="00CE2D91">
        <w:t>he ACCC is not satisfied that the claim is justified, or</w:t>
      </w:r>
    </w:p>
    <w:p w14:paraId="056D1E26" w14:textId="5189F6BE" w:rsidR="00CE2D91" w:rsidRDefault="00090458" w:rsidP="00CE2D91">
      <w:pPr>
        <w:pStyle w:val="ListParagraph"/>
        <w:numPr>
          <w:ilvl w:val="0"/>
          <w:numId w:val="46"/>
        </w:numPr>
        <w:spacing w:after="120" w:line="276" w:lineRule="auto"/>
      </w:pPr>
      <w:r>
        <w:t>T</w:t>
      </w:r>
      <w:r w:rsidR="00CE2D91">
        <w:t xml:space="preserve">he ACCC is of the opinion that disclosure of the information is necessary in the public interest, </w:t>
      </w:r>
      <w:r w:rsidR="005321E9">
        <w:t>whether or not</w:t>
      </w:r>
      <w:r w:rsidR="00CE2D91">
        <w:t xml:space="preserve"> it is satisfied that the claim is justified.</w:t>
      </w:r>
    </w:p>
    <w:bookmarkEnd w:id="3"/>
    <w:p w14:paraId="32531BC2" w14:textId="636A6979" w:rsidR="006F63BA" w:rsidRDefault="006F63BA" w:rsidP="005F47F4">
      <w:pPr>
        <w:pStyle w:val="ListParagraph"/>
        <w:numPr>
          <w:ilvl w:val="1"/>
          <w:numId w:val="27"/>
        </w:numPr>
        <w:spacing w:after="120" w:line="276" w:lineRule="auto"/>
        <w:ind w:left="624" w:hanging="624"/>
      </w:pPr>
      <w:r>
        <w:t>The</w:t>
      </w:r>
      <w:r w:rsidR="0030480D">
        <w:t xml:space="preserve"> ACCC is not required to assess a proposed disclosure under section 95ZN if it decides (for other reasons) not to proceed with the disclosure. </w:t>
      </w:r>
    </w:p>
    <w:p w14:paraId="0A54720D" w14:textId="4E1E83B5" w:rsidR="00C03B30" w:rsidRDefault="00C03B30" w:rsidP="005F47F4">
      <w:pPr>
        <w:pStyle w:val="ListParagraph"/>
        <w:numPr>
          <w:ilvl w:val="1"/>
          <w:numId w:val="27"/>
        </w:numPr>
        <w:spacing w:after="120" w:line="276" w:lineRule="auto"/>
        <w:ind w:left="624" w:hanging="624"/>
      </w:pPr>
      <w:r>
        <w:t xml:space="preserve">Where information is publicly available, the ACCC will base its disclosure on public sources and will not assess any claims under section 95ZN in relation to that information. </w:t>
      </w:r>
    </w:p>
    <w:p w14:paraId="1835F026" w14:textId="77777777" w:rsidR="00227B71" w:rsidRDefault="002B6B13" w:rsidP="005321E9">
      <w:pPr>
        <w:pStyle w:val="ListParagraph"/>
        <w:numPr>
          <w:ilvl w:val="1"/>
          <w:numId w:val="27"/>
        </w:numPr>
        <w:spacing w:after="120" w:line="276" w:lineRule="auto"/>
        <w:ind w:left="624" w:hanging="624"/>
      </w:pPr>
      <w:r>
        <w:t xml:space="preserve">Section 95ZN of the CCA does not apply </w:t>
      </w:r>
      <w:r w:rsidR="00227B71">
        <w:t>in the following situations:</w:t>
      </w:r>
    </w:p>
    <w:p w14:paraId="0EEE0CD0" w14:textId="3132B8BC" w:rsidR="00227B71" w:rsidRDefault="00E81E43" w:rsidP="00227B71">
      <w:pPr>
        <w:pStyle w:val="ListParagraph"/>
        <w:numPr>
          <w:ilvl w:val="0"/>
          <w:numId w:val="46"/>
        </w:numPr>
        <w:spacing w:after="120" w:line="276" w:lineRule="auto"/>
      </w:pPr>
      <w:r>
        <w:t>Where</w:t>
      </w:r>
      <w:r w:rsidR="000C548D">
        <w:t xml:space="preserve"> a person has not made a claim that disclosure would damage their competitive position</w:t>
      </w:r>
      <w:r w:rsidR="004723B9">
        <w:t>.</w:t>
      </w:r>
    </w:p>
    <w:p w14:paraId="6F35C98B" w14:textId="1D6DE3F0" w:rsidR="002B6B13" w:rsidRDefault="00227B71" w:rsidP="00227B71">
      <w:pPr>
        <w:pStyle w:val="ListParagraph"/>
        <w:numPr>
          <w:ilvl w:val="0"/>
          <w:numId w:val="46"/>
        </w:numPr>
        <w:spacing w:after="120" w:line="276" w:lineRule="auto"/>
      </w:pPr>
      <w:r>
        <w:t xml:space="preserve">Where information has been aggregated such that </w:t>
      </w:r>
      <w:r w:rsidR="00B549A0">
        <w:t>the disclosure will not</w:t>
      </w:r>
      <w:r>
        <w:t xml:space="preserve"> reveal information about an individual party (for example, by </w:t>
      </w:r>
      <w:r w:rsidR="00592B3B">
        <w:t>cross-referencing</w:t>
      </w:r>
      <w:r>
        <w:t xml:space="preserve"> with information held by another party or with other publicly available information)</w:t>
      </w:r>
      <w:r w:rsidR="000C548D">
        <w:t>.</w:t>
      </w:r>
    </w:p>
    <w:p w14:paraId="19278265" w14:textId="01FCA0CF" w:rsidR="00A91957" w:rsidRPr="00361088" w:rsidRDefault="00A91957" w:rsidP="000E7E61">
      <w:pPr>
        <w:spacing w:after="120" w:line="276" w:lineRule="auto"/>
      </w:pPr>
      <w:r>
        <w:rPr>
          <w:noProof/>
          <w:lang w:eastAsia="en-AU"/>
        </w:rPr>
        <w:lastRenderedPageBreak/>
        <mc:AlternateContent>
          <mc:Choice Requires="wps">
            <w:drawing>
              <wp:inline distT="0" distB="0" distL="0" distR="0" wp14:anchorId="78EB9B3A" wp14:editId="5D2445FD">
                <wp:extent cx="5773479" cy="3019647"/>
                <wp:effectExtent l="0" t="0" r="1778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79" cy="3019647"/>
                        </a:xfrm>
                        <a:prstGeom prst="rect">
                          <a:avLst/>
                        </a:prstGeom>
                        <a:solidFill>
                          <a:srgbClr val="FFFFFF"/>
                        </a:solidFill>
                        <a:ln w="9525">
                          <a:solidFill>
                            <a:srgbClr val="000000"/>
                          </a:solidFill>
                          <a:miter lim="800000"/>
                          <a:headEnd/>
                          <a:tailEnd/>
                        </a:ln>
                      </wps:spPr>
                      <wps:txbx>
                        <w:txbxContent>
                          <w:p w14:paraId="1ADE7CF5" w14:textId="6657BA19" w:rsidR="00A91957" w:rsidRDefault="00A91957">
                            <w:pPr>
                              <w:rPr>
                                <w:b/>
                              </w:rPr>
                            </w:pPr>
                            <w:r>
                              <w:rPr>
                                <w:b/>
                              </w:rPr>
                              <w:t>Example</w:t>
                            </w:r>
                            <w:r w:rsidR="00993901">
                              <w:rPr>
                                <w:b/>
                              </w:rPr>
                              <w:t>: Treatment of a</w:t>
                            </w:r>
                            <w:r>
                              <w:rPr>
                                <w:b/>
                              </w:rPr>
                              <w:t>ggregated information</w:t>
                            </w:r>
                          </w:p>
                          <w:p w14:paraId="05D74839" w14:textId="77777777" w:rsidR="00393FED" w:rsidRDefault="00A504CC" w:rsidP="008F1C97">
                            <w:pPr>
                              <w:spacing w:after="120" w:line="276" w:lineRule="auto"/>
                            </w:pPr>
                            <w:r>
                              <w:t>The ACCC will consider, on a case-by-case basis, whether</w:t>
                            </w:r>
                            <w:r w:rsidR="003A5B0E">
                              <w:t xml:space="preserve"> </w:t>
                            </w:r>
                            <w:r>
                              <w:t xml:space="preserve">the disclosure of aggregated information involves the disclosure of </w:t>
                            </w:r>
                            <w:r w:rsidR="00393FED">
                              <w:t>individual information.</w:t>
                            </w:r>
                          </w:p>
                          <w:p w14:paraId="6BBE8132" w14:textId="61BBFA66" w:rsidR="00393FED" w:rsidRDefault="00A504CC" w:rsidP="00393FED">
                            <w:pPr>
                              <w:spacing w:after="120" w:line="276" w:lineRule="auto"/>
                            </w:pPr>
                            <w:r>
                              <w:t>For example</w:t>
                            </w:r>
                            <w:r w:rsidR="00393FED">
                              <w:t>, a statement that “the two suppliers of product X supplied a combined volume of 1000 units of product X in 2018” would disclose information of each individual supplier, as each supplier could identify the information provided by the other supplier</w:t>
                            </w:r>
                            <w:r w:rsidR="00F4398E">
                              <w:t xml:space="preserve"> by subtracting its own information from the aggregated information</w:t>
                            </w:r>
                            <w:r w:rsidR="00393FED">
                              <w:t>.</w:t>
                            </w:r>
                          </w:p>
                          <w:p w14:paraId="11B77759" w14:textId="6A51C834" w:rsidR="003A5B0E" w:rsidRPr="00A91957" w:rsidRDefault="00393FED" w:rsidP="00393FED">
                            <w:pPr>
                              <w:spacing w:after="120" w:line="276" w:lineRule="auto"/>
                            </w:pPr>
                            <w:r>
                              <w:t xml:space="preserve">However, </w:t>
                            </w:r>
                            <w:r w:rsidR="008F1C97">
                              <w:t>a statement that “the three suppliers of product X supplied a combined volume of 1000 units of product X in 2018”</w:t>
                            </w:r>
                            <w:r w:rsidR="00C00A22">
                              <w:t xml:space="preserve"> would not disclose any information o</w:t>
                            </w:r>
                            <w:r w:rsidR="0021747B">
                              <w:t xml:space="preserve">f an individual supplier, unless </w:t>
                            </w:r>
                            <w:r>
                              <w:t>the volume of product X supplied by one or more of those three suppliers was otherwise publicly known</w:t>
                            </w:r>
                            <w:r w:rsidR="0021747B">
                              <w:t>, in which case this statement would also involve a disclosure of individual supplier information</w:t>
                            </w:r>
                            <w:r w:rsidR="00006D3A">
                              <w:t xml:space="preserve"> for the same reason as the statement in the paragraph above</w:t>
                            </w:r>
                            <w:r>
                              <w:t>.</w:t>
                            </w:r>
                          </w:p>
                        </w:txbxContent>
                      </wps:txbx>
                      <wps:bodyPr rot="0" vert="horz" wrap="square" lIns="91440" tIns="45720" rIns="91440" bIns="45720" anchor="t" anchorCtr="0">
                        <a:noAutofit/>
                      </wps:bodyPr>
                    </wps:wsp>
                  </a:graphicData>
                </a:graphic>
              </wp:inline>
            </w:drawing>
          </mc:Choice>
          <mc:Fallback>
            <w:pict>
              <v:shapetype w14:anchorId="78EB9B3A" id="_x0000_t202" coordsize="21600,21600" o:spt="202" path="m,l,21600r21600,l21600,xe">
                <v:stroke joinstyle="miter"/>
                <v:path gradientshapeok="t" o:connecttype="rect"/>
              </v:shapetype>
              <v:shape id="Text Box 2" o:spid="_x0000_s1026" type="#_x0000_t202" style="width:454.6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">
                <v:textbox>
                  <w:txbxContent>
                    <w:p w14:paraId="1ADE7CF5" w14:textId="6657BA19" w:rsidR="00A91957" w:rsidRDefault="00A91957">
                      <w:pPr>
                        <w:rPr>
                          <w:b/>
                        </w:rPr>
                      </w:pPr>
                      <w:r>
                        <w:rPr>
                          <w:b/>
                        </w:rPr>
                        <w:t>Example</w:t>
                      </w:r>
                      <w:r w:rsidR="00993901">
                        <w:rPr>
                          <w:b/>
                        </w:rPr>
                        <w:t>: Treatment of a</w:t>
                      </w:r>
                      <w:r>
                        <w:rPr>
                          <w:b/>
                        </w:rPr>
                        <w:t>ggregated information</w:t>
                      </w:r>
                    </w:p>
                    <w:p w14:paraId="05D74839" w14:textId="77777777" w:rsidR="00393FED" w:rsidRDefault="00A504CC" w:rsidP="008F1C97">
                      <w:pPr>
                        <w:spacing w:after="120" w:line="276" w:lineRule="auto"/>
                      </w:pPr>
                      <w:r>
                        <w:t>The ACCC will consider, on a case-by-case basis, whether</w:t>
                      </w:r>
                      <w:r w:rsidR="003A5B0E">
                        <w:t xml:space="preserve"> </w:t>
                      </w:r>
                      <w:r>
                        <w:t xml:space="preserve">the disclosure of aggregated information involves the disclosure of </w:t>
                      </w:r>
                      <w:r w:rsidR="00393FED">
                        <w:t>individual information.</w:t>
                      </w:r>
                    </w:p>
                    <w:p w14:paraId="6BBE8132" w14:textId="61BBFA66" w:rsidR="00393FED" w:rsidRDefault="00A504CC" w:rsidP="00393FED">
                      <w:pPr>
                        <w:spacing w:after="120" w:line="276" w:lineRule="auto"/>
                      </w:pPr>
                      <w:r>
                        <w:t>For example</w:t>
                      </w:r>
                      <w:r w:rsidR="00393FED">
                        <w:t>, a statement that “the two suppliers of product X supplied a combined volume of 1000 units of product X in 2018” would disclose information of each individual supplier, as each supplier could identify the information provided by the other supplier</w:t>
                      </w:r>
                      <w:r w:rsidR="00F4398E">
                        <w:t xml:space="preserve"> by subtracting its own information from the aggregated information</w:t>
                      </w:r>
                      <w:r w:rsidR="00393FED">
                        <w:t>.</w:t>
                      </w:r>
                    </w:p>
                    <w:p w14:paraId="11B77759" w14:textId="6A51C834" w:rsidR="003A5B0E" w:rsidRPr="00A91957" w:rsidRDefault="00393FED" w:rsidP="00393FED">
                      <w:pPr>
                        <w:spacing w:after="120" w:line="276" w:lineRule="auto"/>
                      </w:pPr>
                      <w:r>
                        <w:t xml:space="preserve">However, </w:t>
                      </w:r>
                      <w:r w:rsidR="008F1C97">
                        <w:t>a statement that “the three suppliers of product X supplied a combined volume of 1000 units of product X in 2018”</w:t>
                      </w:r>
                      <w:r w:rsidR="00C00A22">
                        <w:t xml:space="preserve"> would not disclose any information o</w:t>
                      </w:r>
                      <w:r w:rsidR="0021747B">
                        <w:t xml:space="preserve">f an individual supplier, unless </w:t>
                      </w:r>
                      <w:r>
                        <w:t>the volume of product X supplied by one or more of those three suppliers was otherwise publicly known</w:t>
                      </w:r>
                      <w:r w:rsidR="0021747B">
                        <w:t>, in which case this statement would also involve a disclosure of individual supplier information</w:t>
                      </w:r>
                      <w:r w:rsidR="00006D3A">
                        <w:t xml:space="preserve"> for the same reason as the statement in the paragraph above</w:t>
                      </w:r>
                      <w:r>
                        <w:t>.</w:t>
                      </w:r>
                    </w:p>
                  </w:txbxContent>
                </v:textbox>
                <w10:anchorlock/>
              </v:shape>
            </w:pict>
          </mc:Fallback>
        </mc:AlternateContent>
      </w:r>
    </w:p>
    <w:p w14:paraId="5326060C" w14:textId="77777777" w:rsidR="004C6F18" w:rsidRDefault="004C6F18" w:rsidP="004C6F18">
      <w:pPr>
        <w:pStyle w:val="ListParagraph"/>
        <w:keepNext/>
        <w:numPr>
          <w:ilvl w:val="0"/>
          <w:numId w:val="27"/>
        </w:numPr>
        <w:tabs>
          <w:tab w:val="clear" w:pos="340"/>
          <w:tab w:val="left" w:pos="567"/>
          <w:tab w:val="left" w:pos="624"/>
        </w:tabs>
        <w:spacing w:before="240" w:after="240"/>
        <w:ind w:left="624" w:hanging="624"/>
        <w:rPr>
          <w:rFonts w:ascii="Palatino Linotype" w:hAnsi="Palatino Linotype"/>
          <w:color w:val="410099" w:themeColor="accent1"/>
          <w:sz w:val="32"/>
          <w:szCs w:val="32"/>
        </w:rPr>
      </w:pPr>
      <w:r>
        <w:rPr>
          <w:rFonts w:ascii="Palatino Linotype" w:hAnsi="Palatino Linotype"/>
          <w:color w:val="410099" w:themeColor="accent1"/>
          <w:sz w:val="32"/>
          <w:szCs w:val="32"/>
        </w:rPr>
        <w:t>Assessing damage to a person’s competitive position</w:t>
      </w:r>
    </w:p>
    <w:p w14:paraId="74C2D70B" w14:textId="025864DE" w:rsidR="004C6F18" w:rsidRDefault="004C6F18" w:rsidP="004C6F18">
      <w:pPr>
        <w:pStyle w:val="ListParagraph"/>
        <w:numPr>
          <w:ilvl w:val="1"/>
          <w:numId w:val="27"/>
        </w:numPr>
        <w:spacing w:after="120" w:line="276" w:lineRule="auto"/>
        <w:ind w:left="624" w:hanging="624"/>
      </w:pPr>
      <w:r>
        <w:t xml:space="preserve">The first </w:t>
      </w:r>
      <w:r w:rsidR="00C87BB1">
        <w:t xml:space="preserve">element </w:t>
      </w:r>
      <w:r>
        <w:t>in the ACCC</w:t>
      </w:r>
      <w:r w:rsidR="006154A6">
        <w:t>’s</w:t>
      </w:r>
      <w:r w:rsidR="002C1824">
        <w:t xml:space="preserve"> consideration of</w:t>
      </w:r>
      <w:r>
        <w:t xml:space="preserve"> whether </w:t>
      </w:r>
      <w:r w:rsidR="002C1824">
        <w:t xml:space="preserve">to disclose </w:t>
      </w:r>
      <w:r>
        <w:t>information is an assessment of a person’s claim that disclosure of the information would damage th</w:t>
      </w:r>
      <w:r w:rsidR="002C1824">
        <w:t>at person</w:t>
      </w:r>
      <w:r w:rsidR="005B6DD8">
        <w:t>’</w:t>
      </w:r>
      <w:r w:rsidR="002C1824">
        <w:t xml:space="preserve">s </w:t>
      </w:r>
      <w:r>
        <w:t>competitive position.</w:t>
      </w:r>
    </w:p>
    <w:p w14:paraId="520917A5" w14:textId="06E4DF93" w:rsidR="006350DD" w:rsidRDefault="003C0E80" w:rsidP="00B03A82">
      <w:pPr>
        <w:pStyle w:val="ListParagraph"/>
        <w:numPr>
          <w:ilvl w:val="1"/>
          <w:numId w:val="27"/>
        </w:numPr>
        <w:spacing w:after="120" w:line="276" w:lineRule="auto"/>
        <w:ind w:left="624" w:hanging="624"/>
      </w:pPr>
      <w:r>
        <w:t xml:space="preserve">This element of section 95ZN </w:t>
      </w:r>
      <w:r w:rsidR="00993901">
        <w:t xml:space="preserve">of the CCA </w:t>
      </w:r>
      <w:r w:rsidR="005B6DD8">
        <w:t xml:space="preserve">establishes a targeted and specific test for making and assessing a </w:t>
      </w:r>
      <w:r>
        <w:t xml:space="preserve">claim. It </w:t>
      </w:r>
      <w:r w:rsidR="005B6DD8">
        <w:t>is not satisfied merely by establishing that the information is confidential (commercially or otherwise), or is of a confidential nature, or was provided to the ACCC in confidence.</w:t>
      </w:r>
      <w:r w:rsidR="00006D3A">
        <w:t xml:space="preserve"> T</w:t>
      </w:r>
      <w:r w:rsidR="0008118D">
        <w:t xml:space="preserve">he fact that </w:t>
      </w:r>
      <w:r w:rsidR="00006D3A">
        <w:t xml:space="preserve">the </w:t>
      </w:r>
      <w:r w:rsidR="0008118D">
        <w:t>inf</w:t>
      </w:r>
      <w:r w:rsidR="00006D3A">
        <w:t>ormation is not publicly known and</w:t>
      </w:r>
      <w:r w:rsidR="0008118D">
        <w:t xml:space="preserve"> relates to the commercial affairs of the person, or the fact that it is included in a document that </w:t>
      </w:r>
      <w:r w:rsidR="0021747B">
        <w:t>has been marked “confidential”</w:t>
      </w:r>
      <w:r w:rsidR="000E7E61">
        <w:t>,</w:t>
      </w:r>
      <w:r w:rsidR="005E2C1A">
        <w:t xml:space="preserve"> or</w:t>
      </w:r>
      <w:r w:rsidR="0021747B">
        <w:t xml:space="preserve"> “c</w:t>
      </w:r>
      <w:r w:rsidR="0008118D">
        <w:t>ommercial-in-confidence”</w:t>
      </w:r>
      <w:r w:rsidR="0021747B">
        <w:t>,</w:t>
      </w:r>
      <w:r w:rsidR="0008118D">
        <w:t xml:space="preserve"> or</w:t>
      </w:r>
      <w:r w:rsidR="005E2C1A">
        <w:t xml:space="preserve"> similar, or</w:t>
      </w:r>
      <w:r w:rsidR="0008118D">
        <w:t xml:space="preserve"> </w:t>
      </w:r>
      <w:r w:rsidR="002B6B13">
        <w:t>the fact that disclosure may damage the person’s reputation,</w:t>
      </w:r>
      <w:r w:rsidR="005E2C1A">
        <w:t xml:space="preserve"> </w:t>
      </w:r>
      <w:r w:rsidR="0008118D">
        <w:t>is not sufficient</w:t>
      </w:r>
      <w:r w:rsidR="00006D3A">
        <w:t>.</w:t>
      </w:r>
      <w:r w:rsidR="0008118D">
        <w:t xml:space="preserve"> </w:t>
      </w:r>
      <w:r>
        <w:t xml:space="preserve">Rather, </w:t>
      </w:r>
      <w:r w:rsidR="0008118D">
        <w:t xml:space="preserve">this element of section 95ZN </w:t>
      </w:r>
      <w:r w:rsidR="00006D3A">
        <w:t xml:space="preserve">of the CCA </w:t>
      </w:r>
      <w:r>
        <w:t>is specifically directed at</w:t>
      </w:r>
      <w:r w:rsidR="003312F9">
        <w:t xml:space="preserve"> </w:t>
      </w:r>
      <w:r w:rsidR="005B6DD8">
        <w:t xml:space="preserve">whether disclosure </w:t>
      </w:r>
      <w:r w:rsidR="00006D3A">
        <w:t xml:space="preserve">of the information </w:t>
      </w:r>
      <w:r w:rsidR="005B6DD8">
        <w:t>would damage that person’s competitive position.</w:t>
      </w:r>
      <w:r w:rsidR="00006D3A">
        <w:t xml:space="preserve"> Damage to </w:t>
      </w:r>
      <w:r w:rsidR="001C3565">
        <w:t>a third party’s</w:t>
      </w:r>
      <w:r w:rsidR="00006D3A">
        <w:t xml:space="preserve"> competitive position does not provide a basis for making a claim.</w:t>
      </w:r>
    </w:p>
    <w:p w14:paraId="687E0419" w14:textId="1561BA6F" w:rsidR="0008118D" w:rsidRDefault="005F47F4" w:rsidP="004C6F18">
      <w:pPr>
        <w:pStyle w:val="ListParagraph"/>
        <w:numPr>
          <w:ilvl w:val="1"/>
          <w:numId w:val="27"/>
        </w:numPr>
        <w:spacing w:after="120" w:line="276" w:lineRule="auto"/>
        <w:ind w:left="624" w:hanging="624"/>
      </w:pPr>
      <w:r>
        <w:t>In assessing whether a claim is justified, t</w:t>
      </w:r>
      <w:r w:rsidR="004C6F18">
        <w:t xml:space="preserve">he </w:t>
      </w:r>
      <w:r w:rsidR="007E33EF">
        <w:t xml:space="preserve">ACCC </w:t>
      </w:r>
      <w:r>
        <w:t>will</w:t>
      </w:r>
      <w:r w:rsidR="007E33EF">
        <w:t xml:space="preserve"> </w:t>
      </w:r>
      <w:r w:rsidR="004C6F18">
        <w:t>assess</w:t>
      </w:r>
      <w:r w:rsidR="007E33EF">
        <w:t xml:space="preserve"> </w:t>
      </w:r>
      <w:r w:rsidR="004C6F18">
        <w:t>the</w:t>
      </w:r>
      <w:r w:rsidR="003312F9">
        <w:t xml:space="preserve"> </w:t>
      </w:r>
      <w:r w:rsidR="004C6F18">
        <w:t xml:space="preserve">impact </w:t>
      </w:r>
      <w:r w:rsidR="003312F9">
        <w:t xml:space="preserve">that </w:t>
      </w:r>
      <w:r w:rsidR="00386A03">
        <w:t xml:space="preserve">disclosing </w:t>
      </w:r>
      <w:r w:rsidR="007E33EF">
        <w:t xml:space="preserve">the information </w:t>
      </w:r>
      <w:r w:rsidR="003C0E80">
        <w:t xml:space="preserve">would have on </w:t>
      </w:r>
      <w:r w:rsidR="003312F9">
        <w:t>the person</w:t>
      </w:r>
      <w:r w:rsidR="003C0E80">
        <w:t xml:space="preserve">’s future </w:t>
      </w:r>
      <w:r w:rsidR="006C56F1">
        <w:t xml:space="preserve">ability or </w:t>
      </w:r>
      <w:r w:rsidR="001C3565">
        <w:t xml:space="preserve">capacity </w:t>
      </w:r>
      <w:r w:rsidR="003C0E80">
        <w:t xml:space="preserve">to </w:t>
      </w:r>
      <w:r w:rsidR="003312F9">
        <w:t>compete in the supply</w:t>
      </w:r>
      <w:r w:rsidR="00CE2D91">
        <w:t xml:space="preserve"> or acquisition</w:t>
      </w:r>
      <w:r w:rsidR="003312F9">
        <w:t xml:space="preserve"> of the relevant goods or services. </w:t>
      </w:r>
      <w:r w:rsidR="00CE2D91">
        <w:t xml:space="preserve">As part of this assessment, the ACCC will </w:t>
      </w:r>
      <w:r w:rsidR="0008118D">
        <w:t xml:space="preserve">consider </w:t>
      </w:r>
      <w:r w:rsidR="00CE2D91">
        <w:t>whether</w:t>
      </w:r>
      <w:r w:rsidR="0008118D">
        <w:t>:</w:t>
      </w:r>
    </w:p>
    <w:p w14:paraId="639E1E59" w14:textId="25A5A896" w:rsidR="00131AF8" w:rsidRDefault="00006D3A" w:rsidP="0008118D">
      <w:pPr>
        <w:pStyle w:val="ListParagraph"/>
        <w:numPr>
          <w:ilvl w:val="2"/>
          <w:numId w:val="27"/>
        </w:numPr>
        <w:spacing w:after="120" w:line="276" w:lineRule="auto"/>
        <w:ind w:left="1037" w:hanging="357"/>
      </w:pPr>
      <w:r>
        <w:t>T</w:t>
      </w:r>
      <w:r w:rsidR="00CE2D91">
        <w:t>he disclosure would have any impact on the nature or intensity of the competition that the person would otherwise face</w:t>
      </w:r>
      <w:r w:rsidR="005321E9">
        <w:t xml:space="preserve"> or provide</w:t>
      </w:r>
      <w:r w:rsidR="00CE2D91">
        <w:t xml:space="preserve"> in the future in the absence of the disclosure,</w:t>
      </w:r>
      <w:r>
        <w:t xml:space="preserve"> </w:t>
      </w:r>
      <w:r w:rsidR="004723B9">
        <w:t>and</w:t>
      </w:r>
    </w:p>
    <w:p w14:paraId="777AE6E1" w14:textId="02AF7E3E" w:rsidR="0008118D" w:rsidRDefault="00006D3A" w:rsidP="0008118D">
      <w:pPr>
        <w:pStyle w:val="ListParagraph"/>
        <w:numPr>
          <w:ilvl w:val="2"/>
          <w:numId w:val="27"/>
        </w:numPr>
        <w:spacing w:after="120" w:line="276" w:lineRule="auto"/>
        <w:ind w:left="1037" w:hanging="357"/>
      </w:pPr>
      <w:r>
        <w:t>T</w:t>
      </w:r>
      <w:r w:rsidR="00CE2D91">
        <w:t>he disclosure would provide any other advantage to competitors</w:t>
      </w:r>
      <w:r>
        <w:t xml:space="preserve"> </w:t>
      </w:r>
      <w:r w:rsidR="003E372D">
        <w:t>seeking to compete against the person</w:t>
      </w:r>
      <w:r w:rsidR="00CE2D91">
        <w:t>.</w:t>
      </w:r>
    </w:p>
    <w:p w14:paraId="69660C68" w14:textId="122A4FAC" w:rsidR="00B03A82" w:rsidRDefault="001C3565" w:rsidP="00B03A82">
      <w:pPr>
        <w:pStyle w:val="ListParagraph"/>
        <w:numPr>
          <w:ilvl w:val="1"/>
          <w:numId w:val="27"/>
        </w:numPr>
        <w:spacing w:after="120" w:line="276" w:lineRule="auto"/>
        <w:ind w:left="624" w:hanging="624"/>
      </w:pPr>
      <w:r>
        <w:t>Accordingly</w:t>
      </w:r>
      <w:r w:rsidR="00F9479C">
        <w:t xml:space="preserve">, </w:t>
      </w:r>
      <w:r>
        <w:t xml:space="preserve">the ACCC expects that </w:t>
      </w:r>
      <w:r w:rsidR="00F9479C">
        <w:t xml:space="preserve">the person who provided the information </w:t>
      </w:r>
      <w:r>
        <w:t xml:space="preserve">will </w:t>
      </w:r>
      <w:r w:rsidR="00F9479C">
        <w:t xml:space="preserve">direct </w:t>
      </w:r>
      <w:r w:rsidR="00993901">
        <w:t>their claims</w:t>
      </w:r>
      <w:r w:rsidR="00006D3A">
        <w:t xml:space="preserve"> at these</w:t>
      </w:r>
      <w:r w:rsidR="00F9479C">
        <w:t xml:space="preserve"> </w:t>
      </w:r>
      <w:r w:rsidR="00727BA6">
        <w:t xml:space="preserve">types of </w:t>
      </w:r>
      <w:r w:rsidR="00F9479C">
        <w:t>issue</w:t>
      </w:r>
      <w:r w:rsidR="00006D3A">
        <w:t>s</w:t>
      </w:r>
      <w:r w:rsidR="00F9479C">
        <w:t xml:space="preserve">. </w:t>
      </w:r>
    </w:p>
    <w:p w14:paraId="1901C39A" w14:textId="75610065" w:rsidR="0021747B" w:rsidRDefault="005321E9" w:rsidP="0021747B">
      <w:pPr>
        <w:pStyle w:val="ListParagraph"/>
        <w:numPr>
          <w:ilvl w:val="1"/>
          <w:numId w:val="27"/>
        </w:numPr>
        <w:spacing w:after="120" w:line="276" w:lineRule="auto"/>
        <w:ind w:left="624" w:hanging="624"/>
      </w:pPr>
      <w:r>
        <w:lastRenderedPageBreak/>
        <w:t>T</w:t>
      </w:r>
      <w:r w:rsidR="00331D4E">
        <w:t xml:space="preserve">he ACCC </w:t>
      </w:r>
      <w:r>
        <w:t xml:space="preserve">will </w:t>
      </w:r>
      <w:r w:rsidR="00331D4E">
        <w:t xml:space="preserve">inform a person </w:t>
      </w:r>
      <w:r>
        <w:t xml:space="preserve">where </w:t>
      </w:r>
      <w:r w:rsidR="00331D4E">
        <w:t>it is proposing to disclose particular</w:t>
      </w:r>
      <w:r w:rsidR="00AF0CB7">
        <w:t xml:space="preserve"> items of</w:t>
      </w:r>
      <w:r w:rsidR="00331D4E">
        <w:t xml:space="preserve"> information</w:t>
      </w:r>
      <w:r w:rsidR="00B51C34">
        <w:t xml:space="preserve"> about that person</w:t>
      </w:r>
      <w:r>
        <w:t>.</w:t>
      </w:r>
      <w:r w:rsidR="00AF0CB7">
        <w:t xml:space="preserve"> </w:t>
      </w:r>
      <w:r>
        <w:t xml:space="preserve">If </w:t>
      </w:r>
      <w:r w:rsidR="00AF0CB7">
        <w:t>that person</w:t>
      </w:r>
      <w:r w:rsidR="00331D4E">
        <w:t xml:space="preserve"> </w:t>
      </w:r>
      <w:r w:rsidR="003C0E80">
        <w:t>wishes to make</w:t>
      </w:r>
      <w:r w:rsidR="00331D4E">
        <w:t xml:space="preserve"> a claim that the disclosure </w:t>
      </w:r>
      <w:r w:rsidR="00AF0CB7">
        <w:t xml:space="preserve">of one or more of those items of information </w:t>
      </w:r>
      <w:r w:rsidR="00331D4E">
        <w:t>would damag</w:t>
      </w:r>
      <w:r w:rsidR="00532B02">
        <w:t xml:space="preserve">e </w:t>
      </w:r>
      <w:r>
        <w:t>their</w:t>
      </w:r>
      <w:r w:rsidR="00532B02">
        <w:t xml:space="preserve"> competitive position, supporting </w:t>
      </w:r>
      <w:r w:rsidR="00006D3A">
        <w:t>material must be provided on an</w:t>
      </w:r>
      <w:r w:rsidR="00590339">
        <w:t xml:space="preserve"> item</w:t>
      </w:r>
      <w:r w:rsidR="00532B02">
        <w:t>-by-</w:t>
      </w:r>
      <w:r w:rsidR="00006D3A">
        <w:t xml:space="preserve">item basis. </w:t>
      </w:r>
      <w:r w:rsidR="00532B02">
        <w:t xml:space="preserve">That is, for each individual </w:t>
      </w:r>
      <w:r w:rsidR="00006D3A">
        <w:t>proposed disclosure</w:t>
      </w:r>
      <w:r w:rsidR="00532B02">
        <w:t>, t</w:t>
      </w:r>
      <w:r w:rsidR="0021747B">
        <w:t>he claim must be accompanied by:</w:t>
      </w:r>
    </w:p>
    <w:p w14:paraId="39341818" w14:textId="69FDAD62" w:rsidR="0021747B" w:rsidRDefault="0021747B" w:rsidP="0021747B">
      <w:pPr>
        <w:pStyle w:val="ListParagraph"/>
        <w:numPr>
          <w:ilvl w:val="2"/>
          <w:numId w:val="27"/>
        </w:numPr>
        <w:spacing w:after="120" w:line="276" w:lineRule="auto"/>
        <w:ind w:left="1037" w:hanging="357"/>
      </w:pPr>
      <w:r>
        <w:t xml:space="preserve">Reasoning specific to that </w:t>
      </w:r>
      <w:r w:rsidR="00006D3A">
        <w:t>proposed disclosure</w:t>
      </w:r>
      <w:r>
        <w:t xml:space="preserve"> as to the damage to the person’s competitive position that would be caused by disclosure, and  </w:t>
      </w:r>
    </w:p>
    <w:p w14:paraId="1E8D2457" w14:textId="33765971" w:rsidR="0021747B" w:rsidRDefault="0021747B" w:rsidP="0021747B">
      <w:pPr>
        <w:pStyle w:val="ListParagraph"/>
        <w:numPr>
          <w:ilvl w:val="2"/>
          <w:numId w:val="27"/>
        </w:numPr>
        <w:spacing w:after="120" w:line="276" w:lineRule="auto"/>
        <w:ind w:left="1037" w:hanging="357"/>
      </w:pPr>
      <w:r>
        <w:t xml:space="preserve">Where reasonably possible, by relevant evidence supporting the claim for that item. </w:t>
      </w:r>
    </w:p>
    <w:p w14:paraId="6EA32D3B" w14:textId="7006E4C3" w:rsidR="006C5A6E" w:rsidRDefault="006C5A6E" w:rsidP="00090458">
      <w:pPr>
        <w:pStyle w:val="ListParagraph"/>
        <w:numPr>
          <w:ilvl w:val="1"/>
          <w:numId w:val="27"/>
        </w:numPr>
        <w:spacing w:after="120" w:line="276" w:lineRule="auto"/>
        <w:ind w:left="624" w:hanging="624"/>
      </w:pPr>
      <w:r>
        <w:t>Each claim is to reflect the content of each individual proposed disclosure, rather than</w:t>
      </w:r>
      <w:r w:rsidR="006154A6">
        <w:t>:</w:t>
      </w:r>
      <w:r>
        <w:t xml:space="preserve"> </w:t>
      </w:r>
    </w:p>
    <w:p w14:paraId="050B25A0" w14:textId="7875E9A7" w:rsidR="006C5A6E" w:rsidRDefault="00090458" w:rsidP="00CE2D91">
      <w:pPr>
        <w:pStyle w:val="ListParagraph"/>
        <w:numPr>
          <w:ilvl w:val="2"/>
          <w:numId w:val="27"/>
        </w:numPr>
        <w:spacing w:after="120" w:line="276" w:lineRule="auto"/>
        <w:ind w:left="1037" w:hanging="357"/>
      </w:pPr>
      <w:r>
        <w:t>B</w:t>
      </w:r>
      <w:r w:rsidR="006C5A6E">
        <w:t>eing part of a blanket claim,</w:t>
      </w:r>
      <w:r w:rsidR="00BA518E">
        <w:t xml:space="preserve"> or</w:t>
      </w:r>
    </w:p>
    <w:p w14:paraId="17AF21E6" w14:textId="6B684674" w:rsidR="006C5A6E" w:rsidRDefault="00090458" w:rsidP="00CE2D91">
      <w:pPr>
        <w:pStyle w:val="ListParagraph"/>
        <w:numPr>
          <w:ilvl w:val="2"/>
          <w:numId w:val="27"/>
        </w:numPr>
        <w:spacing w:after="120" w:line="276" w:lineRule="auto"/>
        <w:ind w:left="1037" w:hanging="357"/>
      </w:pPr>
      <w:r>
        <w:t>R</w:t>
      </w:r>
      <w:r w:rsidR="006C5A6E">
        <w:t xml:space="preserve">elying on reasoning or evidence presented in a different claim, unless the relevant reasoning and evidence is identical for each claim. </w:t>
      </w:r>
    </w:p>
    <w:p w14:paraId="64AE348E" w14:textId="26D14AA9" w:rsidR="004C6F18" w:rsidRDefault="004C6F18" w:rsidP="00090458">
      <w:pPr>
        <w:pStyle w:val="ListParagraph"/>
        <w:numPr>
          <w:ilvl w:val="1"/>
          <w:numId w:val="27"/>
        </w:numPr>
        <w:spacing w:after="120" w:line="276" w:lineRule="auto"/>
        <w:ind w:left="624" w:hanging="624"/>
      </w:pPr>
      <w:r>
        <w:t xml:space="preserve">As a guide, the ACCC would </w:t>
      </w:r>
      <w:r w:rsidR="00963BED">
        <w:t xml:space="preserve">be </w:t>
      </w:r>
      <w:r w:rsidR="002073A3">
        <w:t>unlikely</w:t>
      </w:r>
      <w:r w:rsidR="00963BED">
        <w:t xml:space="preserve"> to </w:t>
      </w:r>
      <w:r>
        <w:t>consider that a claim</w:t>
      </w:r>
      <w:r w:rsidR="00331D4E">
        <w:t xml:space="preserve"> is</w:t>
      </w:r>
      <w:r>
        <w:t xml:space="preserve"> justifie</w:t>
      </w:r>
      <w:r w:rsidR="00CF6E43">
        <w:t>d in the  following cases</w:t>
      </w:r>
      <w:r w:rsidR="00361088">
        <w:t>:</w:t>
      </w:r>
    </w:p>
    <w:p w14:paraId="174939A9" w14:textId="6F235774" w:rsidR="00CF6E43" w:rsidRDefault="00090458" w:rsidP="00CE2D91">
      <w:pPr>
        <w:pStyle w:val="ListParagraph"/>
        <w:numPr>
          <w:ilvl w:val="2"/>
          <w:numId w:val="27"/>
        </w:numPr>
        <w:spacing w:after="120" w:line="276" w:lineRule="auto"/>
        <w:ind w:left="1037" w:hanging="357"/>
      </w:pPr>
      <w:r>
        <w:t>T</w:t>
      </w:r>
      <w:r w:rsidR="00CF6E43">
        <w:t>he information is already publicly available, or can be inferred from an analysis of other information that is already publicly available</w:t>
      </w:r>
      <w:r w:rsidR="00743B89">
        <w:t>,</w:t>
      </w:r>
    </w:p>
    <w:p w14:paraId="0A23074D" w14:textId="56D181C7" w:rsidR="004C6F18" w:rsidRDefault="00090458" w:rsidP="00CE2D91">
      <w:pPr>
        <w:pStyle w:val="ListParagraph"/>
        <w:numPr>
          <w:ilvl w:val="2"/>
          <w:numId w:val="27"/>
        </w:numPr>
        <w:spacing w:after="120" w:line="276" w:lineRule="auto"/>
        <w:ind w:left="1037" w:hanging="357"/>
      </w:pPr>
      <w:r>
        <w:t>T</w:t>
      </w:r>
      <w:r w:rsidR="002073A3">
        <w:t>he disclosure will not name the person, and the person will not otherwi</w:t>
      </w:r>
      <w:r w:rsidR="00006D3A">
        <w:t>se be able to be identified by anyone else</w:t>
      </w:r>
      <w:r w:rsidR="002073A3">
        <w:t xml:space="preserve"> as the person </w:t>
      </w:r>
      <w:r w:rsidR="007B3352">
        <w:t>to whom the information relates</w:t>
      </w:r>
      <w:r w:rsidR="00AF5A42">
        <w:t>,</w:t>
      </w:r>
    </w:p>
    <w:p w14:paraId="4FC2D30C" w14:textId="3D758884" w:rsidR="00B525F1" w:rsidRDefault="00090458" w:rsidP="00AF5A42">
      <w:pPr>
        <w:pStyle w:val="ListParagraph"/>
        <w:numPr>
          <w:ilvl w:val="2"/>
          <w:numId w:val="27"/>
        </w:numPr>
        <w:spacing w:after="120" w:line="276" w:lineRule="auto"/>
        <w:ind w:left="1037" w:hanging="357"/>
      </w:pPr>
      <w:r>
        <w:t>T</w:t>
      </w:r>
      <w:r w:rsidR="004C6F18">
        <w:t xml:space="preserve">he </w:t>
      </w:r>
      <w:r w:rsidR="002073A3">
        <w:t>disclosure</w:t>
      </w:r>
      <w:r w:rsidR="007B3352">
        <w:t xml:space="preserve"> would not reveal any information about</w:t>
      </w:r>
      <w:r w:rsidR="00B525F1">
        <w:t>:</w:t>
      </w:r>
      <w:r w:rsidR="007B3352">
        <w:t xml:space="preserve"> </w:t>
      </w:r>
    </w:p>
    <w:p w14:paraId="0B03D41E" w14:textId="77777777" w:rsidR="00B525F1" w:rsidRDefault="007B3352" w:rsidP="00012C37">
      <w:pPr>
        <w:pStyle w:val="ListParagraph"/>
        <w:numPr>
          <w:ilvl w:val="4"/>
          <w:numId w:val="27"/>
        </w:numPr>
        <w:spacing w:after="120" w:line="276" w:lineRule="auto"/>
        <w:ind w:left="1871" w:hanging="794"/>
      </w:pPr>
      <w:r>
        <w:t>the person’s current or future competitive strategies</w:t>
      </w:r>
      <w:r w:rsidR="00006D3A">
        <w:t xml:space="preserve">, </w:t>
      </w:r>
      <w:r w:rsidR="00361088">
        <w:t xml:space="preserve">such as </w:t>
      </w:r>
      <w:r w:rsidR="00006D3A">
        <w:t>their</w:t>
      </w:r>
      <w:r w:rsidR="00361088">
        <w:t xml:space="preserve"> approach to pricing or designing the non-price features of </w:t>
      </w:r>
      <w:r w:rsidR="00006D3A">
        <w:t>their</w:t>
      </w:r>
      <w:r w:rsidR="00361088">
        <w:t xml:space="preserve"> product offering, </w:t>
      </w:r>
    </w:p>
    <w:p w14:paraId="104ED8C8" w14:textId="10952E18" w:rsidR="00137958" w:rsidRDefault="00B525F1" w:rsidP="00012C37">
      <w:pPr>
        <w:pStyle w:val="ListParagraph"/>
        <w:numPr>
          <w:ilvl w:val="4"/>
          <w:numId w:val="27"/>
        </w:numPr>
        <w:spacing w:after="120" w:line="276" w:lineRule="auto"/>
        <w:ind w:left="1871" w:hanging="794"/>
      </w:pPr>
      <w:r>
        <w:t xml:space="preserve">the person’s </w:t>
      </w:r>
      <w:r w:rsidR="00361088">
        <w:t xml:space="preserve">own assessment of the strengths and weaknesses of </w:t>
      </w:r>
      <w:r w:rsidR="00006D3A">
        <w:t>their</w:t>
      </w:r>
      <w:r w:rsidR="003D3852">
        <w:t xml:space="preserve"> o</w:t>
      </w:r>
      <w:r w:rsidR="003C0E80">
        <w:t>w</w:t>
      </w:r>
      <w:r w:rsidR="003D3852">
        <w:t>n</w:t>
      </w:r>
      <w:r w:rsidR="00006D3A">
        <w:t xml:space="preserve"> </w:t>
      </w:r>
      <w:r w:rsidR="00C03B30">
        <w:t xml:space="preserve">current or future </w:t>
      </w:r>
      <w:r w:rsidR="00006D3A">
        <w:t>competitive position</w:t>
      </w:r>
      <w:r w:rsidR="008A1355">
        <w:t xml:space="preserve">, </w:t>
      </w:r>
    </w:p>
    <w:p w14:paraId="18112F4A" w14:textId="3554FCFE" w:rsidR="008A1355" w:rsidRDefault="00B525F1" w:rsidP="00012C37">
      <w:pPr>
        <w:pStyle w:val="ListParagraph"/>
        <w:numPr>
          <w:ilvl w:val="4"/>
          <w:numId w:val="27"/>
        </w:numPr>
        <w:spacing w:after="120" w:line="276" w:lineRule="auto"/>
        <w:ind w:left="1871" w:hanging="794"/>
      </w:pPr>
      <w:r>
        <w:t xml:space="preserve">the person’s </w:t>
      </w:r>
      <w:r w:rsidR="008A1355">
        <w:t>financial position</w:t>
      </w:r>
      <w:r>
        <w:t>, or the identity of their customers or suppliers</w:t>
      </w:r>
      <w:r w:rsidR="00012C37">
        <w:t>.</w:t>
      </w:r>
    </w:p>
    <w:p w14:paraId="1D349A7E" w14:textId="18E45162" w:rsidR="00361088" w:rsidRDefault="004E3AB8" w:rsidP="00090458">
      <w:pPr>
        <w:pStyle w:val="ListParagraph"/>
        <w:numPr>
          <w:ilvl w:val="1"/>
          <w:numId w:val="27"/>
        </w:numPr>
        <w:spacing w:after="120" w:line="276" w:lineRule="auto"/>
        <w:ind w:left="624" w:hanging="624"/>
      </w:pPr>
      <w:r>
        <w:t xml:space="preserve">Where the </w:t>
      </w:r>
      <w:r w:rsidR="00006D3A">
        <w:t xml:space="preserve">proposed </w:t>
      </w:r>
      <w:r>
        <w:t xml:space="preserve">disclosure </w:t>
      </w:r>
      <w:r w:rsidR="000E7E61">
        <w:t xml:space="preserve">would </w:t>
      </w:r>
      <w:r w:rsidR="002B6B13">
        <w:t>disclose</w:t>
      </w:r>
      <w:r>
        <w:t xml:space="preserve"> information about each identifiable member of a class (for example, “the four largest suppliers of product X</w:t>
      </w:r>
      <w:r w:rsidR="003D3852">
        <w:t xml:space="preserve"> priced that product below $Y</w:t>
      </w:r>
      <w:r>
        <w:t>”)</w:t>
      </w:r>
      <w:r w:rsidR="00361088">
        <w:t>, t</w:t>
      </w:r>
      <w:r>
        <w:t xml:space="preserve">he ACCC is unlikely to consider that </w:t>
      </w:r>
      <w:r w:rsidR="003D3852">
        <w:t xml:space="preserve">the disclosure would damage the </w:t>
      </w:r>
      <w:r w:rsidR="002B6B13">
        <w:t xml:space="preserve">competitive position </w:t>
      </w:r>
      <w:r w:rsidR="003D3852">
        <w:t>of the individual members of that class</w:t>
      </w:r>
      <w:r w:rsidR="00CE2D91">
        <w:t>.</w:t>
      </w:r>
    </w:p>
    <w:p w14:paraId="5CA46E67" w14:textId="77777777" w:rsidR="00137958" w:rsidRDefault="00361088" w:rsidP="00090458">
      <w:pPr>
        <w:pStyle w:val="ListParagraph"/>
        <w:numPr>
          <w:ilvl w:val="1"/>
          <w:numId w:val="27"/>
        </w:numPr>
        <w:spacing w:after="120" w:line="276" w:lineRule="auto"/>
        <w:ind w:left="624" w:hanging="624"/>
      </w:pPr>
      <w:r>
        <w:t xml:space="preserve">The ACCC will also take into account whether </w:t>
      </w:r>
      <w:r w:rsidR="008876E9">
        <w:t xml:space="preserve">the disclosure would </w:t>
      </w:r>
      <w:r>
        <w:t xml:space="preserve">damage existing or future commercial relationships between the person and their </w:t>
      </w:r>
      <w:r w:rsidR="008876E9">
        <w:t xml:space="preserve">suppliers or customers, in a way that would result in </w:t>
      </w:r>
      <w:r w:rsidR="003D3852">
        <w:t xml:space="preserve">damage to </w:t>
      </w:r>
      <w:r w:rsidR="008876E9">
        <w:t>the person’s</w:t>
      </w:r>
      <w:r w:rsidR="003D3852">
        <w:t xml:space="preserve"> competitive position</w:t>
      </w:r>
      <w:r w:rsidR="00137958">
        <w:t>.</w:t>
      </w:r>
    </w:p>
    <w:p w14:paraId="377059EA" w14:textId="0EA8400A" w:rsidR="007545FB" w:rsidRDefault="00137958" w:rsidP="007545FB">
      <w:pPr>
        <w:pStyle w:val="ListParagraph"/>
        <w:keepNext/>
        <w:numPr>
          <w:ilvl w:val="0"/>
          <w:numId w:val="27"/>
        </w:numPr>
        <w:tabs>
          <w:tab w:val="clear" w:pos="340"/>
          <w:tab w:val="left" w:pos="567"/>
          <w:tab w:val="left" w:pos="624"/>
        </w:tabs>
        <w:spacing w:before="240" w:after="240"/>
        <w:ind w:left="624" w:hanging="624"/>
        <w:rPr>
          <w:rFonts w:ascii="Palatino Linotype" w:hAnsi="Palatino Linotype"/>
          <w:color w:val="410099" w:themeColor="accent1"/>
          <w:sz w:val="32"/>
          <w:szCs w:val="32"/>
        </w:rPr>
      </w:pPr>
      <w:r>
        <w:t xml:space="preserve"> </w:t>
      </w:r>
      <w:r w:rsidR="007545FB">
        <w:rPr>
          <w:rFonts w:ascii="Palatino Linotype" w:hAnsi="Palatino Linotype"/>
          <w:color w:val="410099" w:themeColor="accent1"/>
          <w:sz w:val="32"/>
          <w:szCs w:val="32"/>
        </w:rPr>
        <w:t>Assessing public interest factors</w:t>
      </w:r>
    </w:p>
    <w:p w14:paraId="0AABB17D" w14:textId="7C3F2769" w:rsidR="007545FB" w:rsidRDefault="004C6F18" w:rsidP="007545FB">
      <w:pPr>
        <w:pStyle w:val="ListParagraph"/>
        <w:numPr>
          <w:ilvl w:val="1"/>
          <w:numId w:val="27"/>
        </w:numPr>
        <w:spacing w:after="120" w:line="276" w:lineRule="auto"/>
        <w:ind w:left="624" w:hanging="624"/>
      </w:pPr>
      <w:r>
        <w:t xml:space="preserve">The second </w:t>
      </w:r>
      <w:r w:rsidR="00C87BB1">
        <w:t xml:space="preserve">element </w:t>
      </w:r>
      <w:r>
        <w:t xml:space="preserve">in the ACCC’s </w:t>
      </w:r>
      <w:r w:rsidR="000E73C9">
        <w:t xml:space="preserve">consideration of whether to disclose the information is an </w:t>
      </w:r>
      <w:r>
        <w:t>assessment of whether disclosure is necessary in the public interest.</w:t>
      </w:r>
      <w:r w:rsidR="00E754FF">
        <w:t xml:space="preserve"> </w:t>
      </w:r>
      <w:r w:rsidR="003A12B1">
        <w:t xml:space="preserve">As noted above, </w:t>
      </w:r>
      <w:r w:rsidR="000E7E61">
        <w:t>t</w:t>
      </w:r>
      <w:r w:rsidR="00E754FF">
        <w:t xml:space="preserve">he ACCC may decide to disclose information where it is of the </w:t>
      </w:r>
      <w:r w:rsidR="00E754FF">
        <w:lastRenderedPageBreak/>
        <w:t xml:space="preserve">opinion that disclosure is necessary in the public interest, </w:t>
      </w:r>
      <w:r w:rsidR="005222CD">
        <w:t>even if it accepts</w:t>
      </w:r>
      <w:r w:rsidR="00E754FF">
        <w:t xml:space="preserve"> that </w:t>
      </w:r>
      <w:r w:rsidR="005222CD">
        <w:t xml:space="preserve">the </w:t>
      </w:r>
      <w:r w:rsidR="00E754FF">
        <w:t>disclosure would damage the person’s competitive position.</w:t>
      </w:r>
    </w:p>
    <w:p w14:paraId="02E4484D" w14:textId="25F316ED" w:rsidR="00AF0CB7" w:rsidRDefault="005321E9" w:rsidP="007545FB">
      <w:pPr>
        <w:pStyle w:val="ListParagraph"/>
        <w:numPr>
          <w:ilvl w:val="1"/>
          <w:numId w:val="27"/>
        </w:numPr>
        <w:spacing w:after="120" w:line="276" w:lineRule="auto"/>
        <w:ind w:left="624" w:hanging="624"/>
      </w:pPr>
      <w:r>
        <w:t>T</w:t>
      </w:r>
      <w:r w:rsidR="00AF0CB7">
        <w:t xml:space="preserve">he ACCC </w:t>
      </w:r>
      <w:r>
        <w:t xml:space="preserve">will </w:t>
      </w:r>
      <w:r w:rsidR="00AF0CB7">
        <w:t xml:space="preserve">inform a person </w:t>
      </w:r>
      <w:r>
        <w:t xml:space="preserve">where </w:t>
      </w:r>
      <w:r w:rsidR="00AF0CB7">
        <w:t xml:space="preserve">it is proposing to disclose particular </w:t>
      </w:r>
      <w:r w:rsidR="00006D3A">
        <w:t xml:space="preserve">items of </w:t>
      </w:r>
      <w:r w:rsidR="00AF0CB7">
        <w:t>information</w:t>
      </w:r>
      <w:r w:rsidR="00B51C34">
        <w:t xml:space="preserve"> about that person</w:t>
      </w:r>
      <w:r>
        <w:t>.</w:t>
      </w:r>
      <w:r w:rsidR="00AF0CB7">
        <w:t xml:space="preserve"> </w:t>
      </w:r>
      <w:r>
        <w:t xml:space="preserve">If </w:t>
      </w:r>
      <w:r w:rsidR="00AF0CB7">
        <w:t xml:space="preserve">that person </w:t>
      </w:r>
      <w:r w:rsidR="003C0E80">
        <w:t xml:space="preserve">wishes to </w:t>
      </w:r>
      <w:r w:rsidR="00AF0CB7">
        <w:t xml:space="preserve">object to the disclosure of one or more items of information on the basis the disclosure is not necessary in the public interest, </w:t>
      </w:r>
      <w:r w:rsidR="00532B02">
        <w:t>supporting material must be provided on</w:t>
      </w:r>
      <w:r w:rsidR="00006D3A">
        <w:t xml:space="preserve"> an item-by-</w:t>
      </w:r>
      <w:r w:rsidR="00532B02">
        <w:t xml:space="preserve">item basis. That is, for each individual </w:t>
      </w:r>
      <w:r w:rsidR="00006D3A">
        <w:t>proposed disclosure</w:t>
      </w:r>
      <w:r w:rsidR="00532B02">
        <w:t>, the o</w:t>
      </w:r>
      <w:r w:rsidR="0021747B">
        <w:t>bjection must be accompanied by:</w:t>
      </w:r>
    </w:p>
    <w:p w14:paraId="4BBD5DEE" w14:textId="049D3572" w:rsidR="00532B02" w:rsidRDefault="0021747B" w:rsidP="00532B02">
      <w:pPr>
        <w:pStyle w:val="ListParagraph"/>
        <w:numPr>
          <w:ilvl w:val="2"/>
          <w:numId w:val="27"/>
        </w:numPr>
        <w:spacing w:after="120" w:line="276" w:lineRule="auto"/>
        <w:ind w:left="1037" w:hanging="357"/>
      </w:pPr>
      <w:r>
        <w:t>R</w:t>
      </w:r>
      <w:r w:rsidR="00532B02">
        <w:t xml:space="preserve">easoning specific to that </w:t>
      </w:r>
      <w:r w:rsidR="00006D3A">
        <w:t>proposed disclosure</w:t>
      </w:r>
      <w:r w:rsidR="00532B02">
        <w:t xml:space="preserve"> as why the disclosure is not n</w:t>
      </w:r>
      <w:r>
        <w:t>ecessary in the public interest,</w:t>
      </w:r>
      <w:r w:rsidR="00532B02">
        <w:t xml:space="preserve"> and  </w:t>
      </w:r>
    </w:p>
    <w:p w14:paraId="52C057BC" w14:textId="61B42C40" w:rsidR="00532B02" w:rsidRDefault="0021747B" w:rsidP="00532B02">
      <w:pPr>
        <w:pStyle w:val="ListParagraph"/>
        <w:numPr>
          <w:ilvl w:val="2"/>
          <w:numId w:val="27"/>
        </w:numPr>
        <w:spacing w:after="120" w:line="276" w:lineRule="auto"/>
        <w:ind w:left="1037" w:hanging="357"/>
      </w:pPr>
      <w:r>
        <w:t>W</w:t>
      </w:r>
      <w:r w:rsidR="00532B02">
        <w:t xml:space="preserve">here reasonably possible, by relevant evidence supporting the objection for that item. </w:t>
      </w:r>
    </w:p>
    <w:p w14:paraId="12315476" w14:textId="55FA0542" w:rsidR="006C5A6E" w:rsidRDefault="006C5A6E" w:rsidP="007545FB">
      <w:pPr>
        <w:pStyle w:val="ListParagraph"/>
        <w:numPr>
          <w:ilvl w:val="1"/>
          <w:numId w:val="27"/>
        </w:numPr>
        <w:spacing w:after="120" w:line="276" w:lineRule="auto"/>
        <w:ind w:left="624" w:hanging="624"/>
      </w:pPr>
      <w:r>
        <w:t>Again, each claim is to reflect the content of each individual proposed disclosure, rather than being part of a blanket claim, or relying on information and evidence that supports another claim unless the relevant reasoning and eviden</w:t>
      </w:r>
      <w:r w:rsidR="00006D3A">
        <w:t>ce is identical for each claim.</w:t>
      </w:r>
    </w:p>
    <w:p w14:paraId="52EA60A1" w14:textId="4087CFDC" w:rsidR="006C5A6E" w:rsidRPr="006C5A6E" w:rsidRDefault="000E73C9" w:rsidP="007545FB">
      <w:pPr>
        <w:pStyle w:val="ListParagraph"/>
        <w:numPr>
          <w:ilvl w:val="1"/>
          <w:numId w:val="27"/>
        </w:numPr>
        <w:spacing w:after="120" w:line="276" w:lineRule="auto"/>
        <w:ind w:left="624" w:hanging="624"/>
      </w:pPr>
      <w:r>
        <w:t>The ACCC’s assessment involves forming an opinion about whether the disclosure is reasonably required to achieve the purpose of this disclosure – namely, the advancement of the public interest. This is a discretionary</w:t>
      </w:r>
      <w:r w:rsidR="00925183">
        <w:t xml:space="preserve"> and evaluative</w:t>
      </w:r>
      <w:r>
        <w:t xml:space="preserve"> judgment for the ACCC </w:t>
      </w:r>
      <w:r w:rsidR="00925183">
        <w:t xml:space="preserve">in light of </w:t>
      </w:r>
      <w:r>
        <w:t xml:space="preserve">the subject, matter, scope and purpose </w:t>
      </w:r>
      <w:r w:rsidR="00925183">
        <w:t xml:space="preserve">of </w:t>
      </w:r>
      <w:r>
        <w:t>Part</w:t>
      </w:r>
      <w:r w:rsidR="00925183">
        <w:t xml:space="preserve"> VIIA</w:t>
      </w:r>
      <w:r w:rsidR="00993901">
        <w:t xml:space="preserve"> of the CCA</w:t>
      </w:r>
      <w:r>
        <w:t>. It will often require the consideration and balancing of a number of competing factors, and of various facets of the public i</w:t>
      </w:r>
      <w:r w:rsidR="00925183">
        <w:t>nterest.</w:t>
      </w:r>
      <w:r>
        <w:rPr>
          <w:rStyle w:val="FootnoteReference"/>
        </w:rPr>
        <w:footnoteReference w:id="4"/>
      </w:r>
    </w:p>
    <w:p w14:paraId="7A824C3A" w14:textId="6B0A22BC" w:rsidR="00B03A82" w:rsidRPr="00C92269" w:rsidRDefault="0075046E" w:rsidP="007545FB">
      <w:pPr>
        <w:pStyle w:val="ListParagraph"/>
        <w:numPr>
          <w:ilvl w:val="1"/>
          <w:numId w:val="27"/>
        </w:numPr>
        <w:spacing w:after="120" w:line="276" w:lineRule="auto"/>
        <w:ind w:left="624" w:hanging="624"/>
      </w:pPr>
      <w:r w:rsidRPr="003D3852">
        <w:t xml:space="preserve">As a guide, the ACCC </w:t>
      </w:r>
      <w:r w:rsidR="000E3462" w:rsidRPr="003D3852">
        <w:t>would be</w:t>
      </w:r>
      <w:r w:rsidRPr="003D3852">
        <w:t xml:space="preserve"> likely to form the</w:t>
      </w:r>
      <w:r w:rsidR="00B03A82" w:rsidRPr="003D3852">
        <w:t xml:space="preserve"> opinion that the disclosure is </w:t>
      </w:r>
      <w:r w:rsidRPr="003D3852">
        <w:t>necessary in the public interest where</w:t>
      </w:r>
      <w:r w:rsidR="007545FB">
        <w:t>:</w:t>
      </w:r>
    </w:p>
    <w:p w14:paraId="5268B583" w14:textId="5BF4E842" w:rsidR="00B03A82" w:rsidRPr="00C92269" w:rsidRDefault="007545FB" w:rsidP="006154A6">
      <w:pPr>
        <w:pStyle w:val="ListParagraph"/>
        <w:numPr>
          <w:ilvl w:val="2"/>
          <w:numId w:val="27"/>
        </w:numPr>
        <w:spacing w:after="120" w:line="276" w:lineRule="auto"/>
      </w:pPr>
      <w:r>
        <w:t>T</w:t>
      </w:r>
      <w:r w:rsidR="007E4589" w:rsidRPr="003D3852">
        <w:t xml:space="preserve">he disclosure </w:t>
      </w:r>
      <w:r w:rsidR="00B03A82" w:rsidRPr="003D3852">
        <w:t xml:space="preserve">would be likely to provide increased transparency about matters that are within the scope of </w:t>
      </w:r>
      <w:r w:rsidR="00006D3A">
        <w:t xml:space="preserve">the </w:t>
      </w:r>
      <w:r w:rsidR="00B03A82" w:rsidRPr="003D3852">
        <w:t xml:space="preserve">inquiry as directed or approved by the </w:t>
      </w:r>
      <w:r w:rsidR="00B001C4">
        <w:t>Minister</w:t>
      </w:r>
      <w:r w:rsidR="00006D3A">
        <w:t xml:space="preserve">, </w:t>
      </w:r>
      <w:r w:rsidR="007E4589" w:rsidRPr="003D3852">
        <w:t xml:space="preserve">such as the competitive dynamics </w:t>
      </w:r>
      <w:r w:rsidR="00A94338">
        <w:t xml:space="preserve">or consumer experience </w:t>
      </w:r>
      <w:r w:rsidR="007E4589" w:rsidRPr="003D3852">
        <w:t>of relevant markets</w:t>
      </w:r>
      <w:r w:rsidR="00925183">
        <w:t xml:space="preserve"> in light of the </w:t>
      </w:r>
      <w:r w:rsidR="007E4589" w:rsidRPr="003D3852">
        <w:t>commercial</w:t>
      </w:r>
      <w:r w:rsidR="00925183">
        <w:t xml:space="preserve"> and operational features of those</w:t>
      </w:r>
      <w:r w:rsidR="007E4589" w:rsidRPr="003D3852">
        <w:t xml:space="preserve"> market</w:t>
      </w:r>
      <w:r w:rsidR="00925183">
        <w:t>s</w:t>
      </w:r>
      <w:r w:rsidR="00BA518E">
        <w:t>,</w:t>
      </w:r>
    </w:p>
    <w:p w14:paraId="19BBDCE6" w14:textId="1DD7F49D" w:rsidR="007E4589" w:rsidRPr="00C92269" w:rsidRDefault="007545FB" w:rsidP="006154A6">
      <w:pPr>
        <w:pStyle w:val="ListParagraph"/>
        <w:numPr>
          <w:ilvl w:val="2"/>
          <w:numId w:val="27"/>
        </w:numPr>
        <w:spacing w:after="120" w:line="276" w:lineRule="auto"/>
      </w:pPr>
      <w:r>
        <w:t>T</w:t>
      </w:r>
      <w:r w:rsidR="007E4589" w:rsidRPr="003D3852">
        <w:t xml:space="preserve">he disclosure </w:t>
      </w:r>
      <w:r w:rsidR="00B03A82" w:rsidRPr="003D3852">
        <w:t xml:space="preserve">would be likely to improve the ability of </w:t>
      </w:r>
      <w:r w:rsidR="00EE7425">
        <w:t>consumers</w:t>
      </w:r>
      <w:r w:rsidR="00286B68">
        <w:t xml:space="preserve"> (or other customers)</w:t>
      </w:r>
      <w:r w:rsidR="00EE7425" w:rsidRPr="003D3852">
        <w:t xml:space="preserve"> </w:t>
      </w:r>
      <w:r w:rsidR="00B03A82" w:rsidRPr="003D3852">
        <w:t>to make informed decisions about acquiring relevant goods or services</w:t>
      </w:r>
      <w:r w:rsidR="00006D3A">
        <w:t xml:space="preserve">, </w:t>
      </w:r>
      <w:r w:rsidR="00925183">
        <w:t>such as</w:t>
      </w:r>
      <w:r w:rsidR="00006D3A">
        <w:t xml:space="preserve"> about which supplier to choose</w:t>
      </w:r>
      <w:r w:rsidR="00BA518E">
        <w:t>,</w:t>
      </w:r>
    </w:p>
    <w:p w14:paraId="03E8EE23" w14:textId="1528DF93" w:rsidR="007545FB" w:rsidRDefault="007545FB" w:rsidP="007545FB">
      <w:pPr>
        <w:pStyle w:val="ListParagraph"/>
        <w:numPr>
          <w:ilvl w:val="2"/>
          <w:numId w:val="27"/>
        </w:numPr>
        <w:spacing w:after="120" w:line="276" w:lineRule="auto"/>
      </w:pPr>
      <w:r>
        <w:t>T</w:t>
      </w:r>
      <w:r w:rsidR="007E4589" w:rsidRPr="003D3852">
        <w:t>he disclosure would otherwise be likely to reduce information asymmetries in relevant markets</w:t>
      </w:r>
      <w:r w:rsidR="00BA518E">
        <w:t>,</w:t>
      </w:r>
      <w:r w:rsidR="00DC1485">
        <w:t xml:space="preserve"> </w:t>
      </w:r>
      <w:r>
        <w:t>or</w:t>
      </w:r>
    </w:p>
    <w:p w14:paraId="3A1D094E" w14:textId="4A5D9D24" w:rsidR="00AE49BD" w:rsidRPr="004C6F18" w:rsidRDefault="007545FB" w:rsidP="007545FB">
      <w:pPr>
        <w:pStyle w:val="ListParagraph"/>
        <w:numPr>
          <w:ilvl w:val="2"/>
          <w:numId w:val="27"/>
        </w:numPr>
        <w:spacing w:after="120" w:line="276" w:lineRule="auto"/>
      </w:pPr>
      <w:r>
        <w:t>T</w:t>
      </w:r>
      <w:r w:rsidR="007B47CB" w:rsidRPr="003D3852">
        <w:t xml:space="preserve">he relevant information </w:t>
      </w:r>
      <w:r w:rsidR="000C548D">
        <w:t>explains the basis</w:t>
      </w:r>
      <w:r w:rsidR="007B47CB" w:rsidRPr="003D3852">
        <w:t xml:space="preserve"> for the findings or recommendations made by </w:t>
      </w:r>
      <w:r w:rsidR="00FA4FAE">
        <w:t>the ACCC</w:t>
      </w:r>
      <w:r w:rsidR="00FA4FAE" w:rsidRPr="003D3852">
        <w:t xml:space="preserve"> </w:t>
      </w:r>
      <w:r w:rsidR="007B47CB" w:rsidRPr="003D3852">
        <w:t>in its inquiry report</w:t>
      </w:r>
      <w:r>
        <w:t>.</w:t>
      </w:r>
    </w:p>
    <w:sectPr w:rsidR="00AE49BD" w:rsidRPr="004C6F18" w:rsidSect="00C06739">
      <w:footerReference w:type="default" r:id="rId12"/>
      <w:pgSz w:w="11906" w:h="16838"/>
      <w:pgMar w:top="1276"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CDE56" w14:textId="77777777" w:rsidR="00426264" w:rsidRDefault="00426264" w:rsidP="004B4412">
      <w:pPr>
        <w:spacing w:before="0"/>
      </w:pPr>
      <w:r>
        <w:separator/>
      </w:r>
    </w:p>
  </w:endnote>
  <w:endnote w:type="continuationSeparator" w:id="0">
    <w:p w14:paraId="7FE31282" w14:textId="77777777" w:rsidR="00426264" w:rsidRDefault="00426264"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E453" w14:textId="5BDADA22" w:rsidR="00F9479C" w:rsidRPr="00671AE7" w:rsidRDefault="00F9479C" w:rsidP="000E3A2E">
    <w:pPr>
      <w:tabs>
        <w:tab w:val="center" w:pos="4513"/>
        <w:tab w:val="right" w:pos="8505"/>
      </w:tabs>
      <w:spacing w:after="120" w:line="276" w:lineRule="auto"/>
      <w:rPr>
        <w:sz w:val="18"/>
      </w:rPr>
    </w:pPr>
    <w:r w:rsidRPr="00671AE7">
      <w:rPr>
        <w:sz w:val="18"/>
      </w:rPr>
      <w:fldChar w:fldCharType="begin"/>
    </w:r>
    <w:r w:rsidRPr="00671AE7">
      <w:rPr>
        <w:sz w:val="18"/>
      </w:rPr>
      <w:instrText xml:space="preserve"> STYLEREF  Title  \* MERGEFORMAT </w:instrText>
    </w:r>
    <w:r w:rsidRPr="00671AE7">
      <w:rPr>
        <w:sz w:val="18"/>
      </w:rPr>
      <w:fldChar w:fldCharType="separate"/>
    </w:r>
    <w:r w:rsidR="00872398">
      <w:rPr>
        <w:noProof/>
        <w:sz w:val="18"/>
      </w:rPr>
      <w:t>Guidelines on section 95ZN claims in price inquiries</w:t>
    </w:r>
    <w:r w:rsidRPr="00671AE7">
      <w:rPr>
        <w:noProof/>
        <w:sz w:val="18"/>
      </w:rPr>
      <w:fldChar w:fldCharType="end"/>
    </w:r>
    <w:r w:rsidRPr="00671AE7">
      <w:rPr>
        <w:sz w:val="18"/>
      </w:rPr>
      <w:tab/>
    </w:r>
    <w:r w:rsidRPr="00671AE7">
      <w:rPr>
        <w:sz w:val="18"/>
      </w:rPr>
      <w:fldChar w:fldCharType="begin"/>
    </w:r>
    <w:r w:rsidRPr="00671AE7">
      <w:rPr>
        <w:sz w:val="18"/>
      </w:rPr>
      <w:instrText xml:space="preserve"> PAGE   \* MERGEFORMAT </w:instrText>
    </w:r>
    <w:r w:rsidRPr="00671AE7">
      <w:rPr>
        <w:sz w:val="18"/>
      </w:rPr>
      <w:fldChar w:fldCharType="separate"/>
    </w:r>
    <w:r w:rsidR="00872398">
      <w:rPr>
        <w:noProof/>
        <w:sz w:val="18"/>
      </w:rPr>
      <w:t>2</w:t>
    </w:r>
    <w:r w:rsidRPr="00671AE7">
      <w:rPr>
        <w:sz w:val="18"/>
      </w:rPr>
      <w:fldChar w:fldCharType="end"/>
    </w:r>
  </w:p>
  <w:p w14:paraId="666F026A" w14:textId="77777777" w:rsidR="00F9479C" w:rsidRPr="00E370FD" w:rsidRDefault="00F9479C" w:rsidP="000E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E71F9" w14:textId="77777777" w:rsidR="00426264" w:rsidRDefault="00426264" w:rsidP="004B4412">
      <w:pPr>
        <w:spacing w:before="0"/>
      </w:pPr>
      <w:r>
        <w:separator/>
      </w:r>
    </w:p>
  </w:footnote>
  <w:footnote w:type="continuationSeparator" w:id="0">
    <w:p w14:paraId="4B43A894" w14:textId="77777777" w:rsidR="00426264" w:rsidRDefault="00426264" w:rsidP="004B4412">
      <w:pPr>
        <w:spacing w:before="0"/>
      </w:pPr>
      <w:r>
        <w:continuationSeparator/>
      </w:r>
    </w:p>
  </w:footnote>
  <w:footnote w:id="1">
    <w:p w14:paraId="30B961B6" w14:textId="77777777" w:rsidR="00F9479C" w:rsidRDefault="00F9479C" w:rsidP="004C6F18">
      <w:pPr>
        <w:pStyle w:val="FootnoteText"/>
      </w:pPr>
      <w:r>
        <w:rPr>
          <w:rStyle w:val="FootnoteReference"/>
        </w:rPr>
        <w:footnoteRef/>
      </w:r>
      <w:r>
        <w:t xml:space="preserve"> </w:t>
      </w:r>
      <w:r>
        <w:tab/>
        <w:t>The ACCC also has other functions under Part VIIA of the CCA, including price monitoring and price notification.</w:t>
      </w:r>
    </w:p>
  </w:footnote>
  <w:footnote w:id="2">
    <w:p w14:paraId="674A3A0D" w14:textId="77777777" w:rsidR="00F9479C" w:rsidRPr="00A36ABA" w:rsidRDefault="00F9479C" w:rsidP="004C6F18">
      <w:pPr>
        <w:pStyle w:val="FootnoteText"/>
      </w:pPr>
      <w:r>
        <w:rPr>
          <w:rStyle w:val="FootnoteReference"/>
        </w:rPr>
        <w:footnoteRef/>
      </w:r>
      <w:r>
        <w:t xml:space="preserve"> </w:t>
      </w:r>
      <w:r>
        <w:tab/>
      </w:r>
      <w:r>
        <w:rPr>
          <w:i/>
        </w:rPr>
        <w:t>Enforcement and Compliance Policy and Priorities</w:t>
      </w:r>
      <w:r>
        <w:t>, ACCC, 2019.</w:t>
      </w:r>
    </w:p>
  </w:footnote>
  <w:footnote w:id="3">
    <w:p w14:paraId="758F21DC" w14:textId="0004FA7B" w:rsidR="003A12B1" w:rsidRDefault="003A12B1">
      <w:pPr>
        <w:pStyle w:val="FootnoteText"/>
      </w:pPr>
      <w:r>
        <w:rPr>
          <w:rStyle w:val="FootnoteReference"/>
        </w:rPr>
        <w:footnoteRef/>
      </w:r>
      <w:r>
        <w:t xml:space="preserve"> </w:t>
      </w:r>
      <w:r w:rsidR="000E7E61">
        <w:tab/>
      </w:r>
      <w:r>
        <w:t xml:space="preserve">One penalty unit is currently $210, and will increase on 1 July 2020. </w:t>
      </w:r>
    </w:p>
  </w:footnote>
  <w:footnote w:id="4">
    <w:p w14:paraId="74B991FB" w14:textId="71645F0F" w:rsidR="000E73C9" w:rsidRDefault="000E73C9" w:rsidP="000E73C9">
      <w:pPr>
        <w:pStyle w:val="FootnoteText"/>
      </w:pPr>
      <w:r>
        <w:rPr>
          <w:rStyle w:val="FootnoteReference"/>
        </w:rPr>
        <w:footnoteRef/>
      </w:r>
      <w:r>
        <w:t xml:space="preserve"> See, for example, </w:t>
      </w:r>
      <w:r>
        <w:rPr>
          <w:i/>
        </w:rPr>
        <w:t xml:space="preserve">A v Corruption &amp; Crime Commissioner </w:t>
      </w:r>
      <w:r w:rsidRPr="003500BD">
        <w:t>[2013] WASCA 288</w:t>
      </w:r>
      <w:r w:rsidR="00743B8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29B325A"/>
    <w:multiLevelType w:val="hybridMultilevel"/>
    <w:tmpl w:val="C3FAC2EA"/>
    <w:lvl w:ilvl="0" w:tplc="0C090001">
      <w:start w:val="1"/>
      <w:numFmt w:val="bullet"/>
      <w:lvlText w:val=""/>
      <w:lvlJc w:val="left"/>
      <w:pPr>
        <w:ind w:left="984" w:hanging="360"/>
      </w:pPr>
      <w:rPr>
        <w:rFonts w:ascii="Symbol" w:hAnsi="Symbol" w:hint="default"/>
      </w:rPr>
    </w:lvl>
    <w:lvl w:ilvl="1" w:tplc="0C090003" w:tentative="1">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10" w15:restartNumberingAfterBreak="0">
    <w:nsid w:val="03545DC9"/>
    <w:multiLevelType w:val="hybridMultilevel"/>
    <w:tmpl w:val="5DB07EA2"/>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1" w15:restartNumberingAfterBreak="0">
    <w:nsid w:val="06603CEE"/>
    <w:multiLevelType w:val="hybridMultilevel"/>
    <w:tmpl w:val="54AE01CC"/>
    <w:lvl w:ilvl="0" w:tplc="7FBCE9A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37725"/>
    <w:multiLevelType w:val="hybridMultilevel"/>
    <w:tmpl w:val="CD805206"/>
    <w:lvl w:ilvl="0" w:tplc="A4D86E24">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3" w15:restartNumberingAfterBreak="0">
    <w:nsid w:val="0BC65C0E"/>
    <w:multiLevelType w:val="hybridMultilevel"/>
    <w:tmpl w:val="B6763AF0"/>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4" w15:restartNumberingAfterBreak="0">
    <w:nsid w:val="0BC70CCD"/>
    <w:multiLevelType w:val="hybridMultilevel"/>
    <w:tmpl w:val="9AFC579E"/>
    <w:lvl w:ilvl="0" w:tplc="DDDCF9E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D2542B"/>
    <w:multiLevelType w:val="hybridMultilevel"/>
    <w:tmpl w:val="7C60E1FC"/>
    <w:lvl w:ilvl="0" w:tplc="021E8868">
      <w:start w:val="1"/>
      <w:numFmt w:val="decimal"/>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E18740A"/>
    <w:multiLevelType w:val="hybridMultilevel"/>
    <w:tmpl w:val="4F803072"/>
    <w:lvl w:ilvl="0" w:tplc="4168B996">
      <w:numFmt w:val="bullet"/>
      <w:lvlText w:val=""/>
      <w:lvlJc w:val="left"/>
      <w:pPr>
        <w:ind w:left="1400" w:hanging="360"/>
      </w:pPr>
      <w:rPr>
        <w:rFonts w:ascii="Symbol" w:eastAsiaTheme="minorHAnsi" w:hAnsi="Symbol" w:cstheme="minorBidi" w:hint="default"/>
        <w:color w:val="auto"/>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7" w15:restartNumberingAfterBreak="0">
    <w:nsid w:val="100536AC"/>
    <w:multiLevelType w:val="hybridMultilevel"/>
    <w:tmpl w:val="B5AAD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6F0F8C"/>
    <w:multiLevelType w:val="hybridMultilevel"/>
    <w:tmpl w:val="1BA6FDF8"/>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19" w15:restartNumberingAfterBreak="0">
    <w:nsid w:val="1332227A"/>
    <w:multiLevelType w:val="hybridMultilevel"/>
    <w:tmpl w:val="C630BC00"/>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21" w15:restartNumberingAfterBreak="0">
    <w:nsid w:val="15EA762C"/>
    <w:multiLevelType w:val="hybridMultilevel"/>
    <w:tmpl w:val="72FE18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3" w15:restartNumberingAfterBreak="0">
    <w:nsid w:val="1CF519CE"/>
    <w:multiLevelType w:val="multilevel"/>
    <w:tmpl w:val="61EC022E"/>
    <w:lvl w:ilvl="0">
      <w:start w:val="1"/>
      <w:numFmt w:val="decimal"/>
      <w:pStyle w:val="Numbered1"/>
      <w:lvlText w:val="%1."/>
      <w:lvlJc w:val="left"/>
      <w:pPr>
        <w:ind w:left="360" w:hanging="360"/>
      </w:pPr>
      <w:rPr>
        <w:rFonts w:ascii="Palatino Linotype" w:eastAsiaTheme="majorEastAsia" w:hAnsi="Palatino Linotype" w:cstheme="majorBidi"/>
      </w:r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4" w15:restartNumberingAfterBreak="0">
    <w:nsid w:val="205B7611"/>
    <w:multiLevelType w:val="multilevel"/>
    <w:tmpl w:val="5F76B83A"/>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3593863"/>
    <w:multiLevelType w:val="multilevel"/>
    <w:tmpl w:val="E1DC312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8131EB"/>
    <w:multiLevelType w:val="hybridMultilevel"/>
    <w:tmpl w:val="44480F94"/>
    <w:lvl w:ilvl="0" w:tplc="EF705F8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9"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C256E5"/>
    <w:multiLevelType w:val="multilevel"/>
    <w:tmpl w:val="95C415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B660B0E"/>
    <w:multiLevelType w:val="hybridMultilevel"/>
    <w:tmpl w:val="7B76F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D62ED3"/>
    <w:multiLevelType w:val="hybridMultilevel"/>
    <w:tmpl w:val="A3E86E94"/>
    <w:lvl w:ilvl="0" w:tplc="9BD0EA8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4" w15:restartNumberingAfterBreak="0">
    <w:nsid w:val="3F7361D5"/>
    <w:multiLevelType w:val="hybridMultilevel"/>
    <w:tmpl w:val="ECEEE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FA1502A"/>
    <w:multiLevelType w:val="multilevel"/>
    <w:tmpl w:val="37C4BC68"/>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1A11178"/>
    <w:multiLevelType w:val="hybridMultilevel"/>
    <w:tmpl w:val="9BBE5D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2686040"/>
    <w:multiLevelType w:val="hybridMultilevel"/>
    <w:tmpl w:val="6C4646F4"/>
    <w:lvl w:ilvl="0" w:tplc="0C090001">
      <w:start w:val="1"/>
      <w:numFmt w:val="bullet"/>
      <w:lvlText w:val=""/>
      <w:lvlJc w:val="left"/>
      <w:pPr>
        <w:ind w:left="1344" w:hanging="360"/>
      </w:pPr>
      <w:rPr>
        <w:rFonts w:ascii="Symbol" w:hAnsi="Symbol" w:hint="default"/>
      </w:rPr>
    </w:lvl>
    <w:lvl w:ilvl="1" w:tplc="0C090003" w:tentative="1">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abstractNum w:abstractNumId="38" w15:restartNumberingAfterBreak="0">
    <w:nsid w:val="43EA261B"/>
    <w:multiLevelType w:val="multilevel"/>
    <w:tmpl w:val="BBD695D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61E1E25"/>
    <w:multiLevelType w:val="hybridMultilevel"/>
    <w:tmpl w:val="3B209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6A14F45"/>
    <w:multiLevelType w:val="hybridMultilevel"/>
    <w:tmpl w:val="7F901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7541A9F"/>
    <w:multiLevelType w:val="hybridMultilevel"/>
    <w:tmpl w:val="FAEA8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B216F4C"/>
    <w:multiLevelType w:val="hybridMultilevel"/>
    <w:tmpl w:val="16F2A2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C5105D7"/>
    <w:multiLevelType w:val="multilevel"/>
    <w:tmpl w:val="E822018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DD058B4"/>
    <w:multiLevelType w:val="hybridMultilevel"/>
    <w:tmpl w:val="793A45DA"/>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46"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7" w15:restartNumberingAfterBreak="0">
    <w:nsid w:val="608F194E"/>
    <w:multiLevelType w:val="hybridMultilevel"/>
    <w:tmpl w:val="1C126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64380402"/>
    <w:multiLevelType w:val="multilevel"/>
    <w:tmpl w:val="F064C7E2"/>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6A87B96"/>
    <w:multiLevelType w:val="multilevel"/>
    <w:tmpl w:val="720824D0"/>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bullet"/>
      <w:lvlText w:val=""/>
      <w:lvlJc w:val="left"/>
      <w:pPr>
        <w:ind w:left="2520" w:hanging="1080"/>
      </w:pPr>
      <w:rPr>
        <w:rFonts w:ascii="Symbol" w:hAnsi="Symbol"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6DC52CE"/>
    <w:multiLevelType w:val="multilevel"/>
    <w:tmpl w:val="F8CC5C92"/>
    <w:lvl w:ilvl="0">
      <w:start w:val="1"/>
      <w:numFmt w:val="decimal"/>
      <w:pStyle w:val="Heading9"/>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53"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54"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55"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56" w15:restartNumberingAfterBreak="0">
    <w:nsid w:val="76321D2D"/>
    <w:multiLevelType w:val="hybridMultilevel"/>
    <w:tmpl w:val="BDEEE222"/>
    <w:lvl w:ilvl="0" w:tplc="7A7AFF88">
      <w:start w:val="1"/>
      <w:numFmt w:val="lowerLetter"/>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57" w15:restartNumberingAfterBreak="0">
    <w:nsid w:val="79520CF1"/>
    <w:multiLevelType w:val="hybridMultilevel"/>
    <w:tmpl w:val="7D5CD1F6"/>
    <w:lvl w:ilvl="0" w:tplc="0C090001">
      <w:start w:val="1"/>
      <w:numFmt w:val="bullet"/>
      <w:lvlText w:val=""/>
      <w:lvlJc w:val="left"/>
      <w:pPr>
        <w:ind w:left="984" w:hanging="360"/>
      </w:pPr>
      <w:rPr>
        <w:rFonts w:ascii="Symbol" w:hAnsi="Symbol" w:hint="default"/>
      </w:rPr>
    </w:lvl>
    <w:lvl w:ilvl="1" w:tplc="0C090003">
      <w:start w:val="1"/>
      <w:numFmt w:val="bullet"/>
      <w:lvlText w:val="o"/>
      <w:lvlJc w:val="left"/>
      <w:pPr>
        <w:ind w:left="1704" w:hanging="360"/>
      </w:pPr>
      <w:rPr>
        <w:rFonts w:ascii="Courier New" w:hAnsi="Courier New" w:cs="Courier New" w:hint="default"/>
      </w:rPr>
    </w:lvl>
    <w:lvl w:ilvl="2" w:tplc="0C090005" w:tentative="1">
      <w:start w:val="1"/>
      <w:numFmt w:val="bullet"/>
      <w:lvlText w:val=""/>
      <w:lvlJc w:val="left"/>
      <w:pPr>
        <w:ind w:left="2424" w:hanging="360"/>
      </w:pPr>
      <w:rPr>
        <w:rFonts w:ascii="Wingdings" w:hAnsi="Wingdings" w:hint="default"/>
      </w:rPr>
    </w:lvl>
    <w:lvl w:ilvl="3" w:tplc="0C090001" w:tentative="1">
      <w:start w:val="1"/>
      <w:numFmt w:val="bullet"/>
      <w:lvlText w:val=""/>
      <w:lvlJc w:val="left"/>
      <w:pPr>
        <w:ind w:left="3144" w:hanging="360"/>
      </w:pPr>
      <w:rPr>
        <w:rFonts w:ascii="Symbol" w:hAnsi="Symbol" w:hint="default"/>
      </w:rPr>
    </w:lvl>
    <w:lvl w:ilvl="4" w:tplc="0C090003" w:tentative="1">
      <w:start w:val="1"/>
      <w:numFmt w:val="bullet"/>
      <w:lvlText w:val="o"/>
      <w:lvlJc w:val="left"/>
      <w:pPr>
        <w:ind w:left="3864" w:hanging="360"/>
      </w:pPr>
      <w:rPr>
        <w:rFonts w:ascii="Courier New" w:hAnsi="Courier New" w:cs="Courier New" w:hint="default"/>
      </w:rPr>
    </w:lvl>
    <w:lvl w:ilvl="5" w:tplc="0C090005" w:tentative="1">
      <w:start w:val="1"/>
      <w:numFmt w:val="bullet"/>
      <w:lvlText w:val=""/>
      <w:lvlJc w:val="left"/>
      <w:pPr>
        <w:ind w:left="4584" w:hanging="360"/>
      </w:pPr>
      <w:rPr>
        <w:rFonts w:ascii="Wingdings" w:hAnsi="Wingdings" w:hint="default"/>
      </w:rPr>
    </w:lvl>
    <w:lvl w:ilvl="6" w:tplc="0C090001" w:tentative="1">
      <w:start w:val="1"/>
      <w:numFmt w:val="bullet"/>
      <w:lvlText w:val=""/>
      <w:lvlJc w:val="left"/>
      <w:pPr>
        <w:ind w:left="5304" w:hanging="360"/>
      </w:pPr>
      <w:rPr>
        <w:rFonts w:ascii="Symbol" w:hAnsi="Symbol" w:hint="default"/>
      </w:rPr>
    </w:lvl>
    <w:lvl w:ilvl="7" w:tplc="0C090003" w:tentative="1">
      <w:start w:val="1"/>
      <w:numFmt w:val="bullet"/>
      <w:lvlText w:val="o"/>
      <w:lvlJc w:val="left"/>
      <w:pPr>
        <w:ind w:left="6024" w:hanging="360"/>
      </w:pPr>
      <w:rPr>
        <w:rFonts w:ascii="Courier New" w:hAnsi="Courier New" w:cs="Courier New" w:hint="default"/>
      </w:rPr>
    </w:lvl>
    <w:lvl w:ilvl="8" w:tplc="0C090005" w:tentative="1">
      <w:start w:val="1"/>
      <w:numFmt w:val="bullet"/>
      <w:lvlText w:val=""/>
      <w:lvlJc w:val="left"/>
      <w:pPr>
        <w:ind w:left="6744" w:hanging="360"/>
      </w:pPr>
      <w:rPr>
        <w:rFonts w:ascii="Wingdings" w:hAnsi="Wingdings" w:hint="default"/>
      </w:rPr>
    </w:lvl>
  </w:abstractNum>
  <w:abstractNum w:abstractNumId="58"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9" w15:restartNumberingAfterBreak="0">
    <w:nsid w:val="7CBF02BC"/>
    <w:multiLevelType w:val="hybridMultilevel"/>
    <w:tmpl w:val="198686F2"/>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60"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60"/>
  </w:num>
  <w:num w:numId="3">
    <w:abstractNumId w:val="7"/>
  </w:num>
  <w:num w:numId="4">
    <w:abstractNumId w:val="6"/>
  </w:num>
  <w:num w:numId="5">
    <w:abstractNumId w:val="5"/>
  </w:num>
  <w:num w:numId="6">
    <w:abstractNumId w:val="4"/>
  </w:num>
  <w:num w:numId="7">
    <w:abstractNumId w:val="1"/>
  </w:num>
  <w:num w:numId="8">
    <w:abstractNumId w:val="0"/>
  </w:num>
  <w:num w:numId="9">
    <w:abstractNumId w:val="52"/>
  </w:num>
  <w:num w:numId="10">
    <w:abstractNumId w:val="29"/>
  </w:num>
  <w:num w:numId="11">
    <w:abstractNumId w:val="23"/>
  </w:num>
  <w:num w:numId="12">
    <w:abstractNumId w:val="28"/>
  </w:num>
  <w:num w:numId="13">
    <w:abstractNumId w:val="2"/>
  </w:num>
  <w:num w:numId="14">
    <w:abstractNumId w:val="53"/>
  </w:num>
  <w:num w:numId="15">
    <w:abstractNumId w:val="58"/>
  </w:num>
  <w:num w:numId="16">
    <w:abstractNumId w:val="55"/>
  </w:num>
  <w:num w:numId="17">
    <w:abstractNumId w:val="46"/>
  </w:num>
  <w:num w:numId="18">
    <w:abstractNumId w:val="27"/>
  </w:num>
  <w:num w:numId="19">
    <w:abstractNumId w:val="33"/>
  </w:num>
  <w:num w:numId="20">
    <w:abstractNumId w:val="54"/>
  </w:num>
  <w:num w:numId="21">
    <w:abstractNumId w:val="48"/>
  </w:num>
  <w:num w:numId="22">
    <w:abstractNumId w:val="8"/>
  </w:num>
  <w:num w:numId="23">
    <w:abstractNumId w:val="3"/>
  </w:num>
  <w:num w:numId="24">
    <w:abstractNumId w:val="42"/>
  </w:num>
  <w:num w:numId="25">
    <w:abstractNumId w:val="22"/>
  </w:num>
  <w:num w:numId="26">
    <w:abstractNumId w:val="51"/>
  </w:num>
  <w:num w:numId="27">
    <w:abstractNumId w:val="44"/>
  </w:num>
  <w:num w:numId="28">
    <w:abstractNumId w:val="30"/>
  </w:num>
  <w:num w:numId="29">
    <w:abstractNumId w:val="13"/>
  </w:num>
  <w:num w:numId="30">
    <w:abstractNumId w:val="56"/>
  </w:num>
  <w:num w:numId="31">
    <w:abstractNumId w:val="32"/>
  </w:num>
  <w:num w:numId="32">
    <w:abstractNumId w:val="41"/>
  </w:num>
  <w:num w:numId="33">
    <w:abstractNumId w:val="15"/>
  </w:num>
  <w:num w:numId="34">
    <w:abstractNumId w:val="39"/>
  </w:num>
  <w:num w:numId="35">
    <w:abstractNumId w:val="34"/>
  </w:num>
  <w:num w:numId="36">
    <w:abstractNumId w:val="12"/>
  </w:num>
  <w:num w:numId="37">
    <w:abstractNumId w:val="25"/>
  </w:num>
  <w:num w:numId="38">
    <w:abstractNumId w:val="43"/>
  </w:num>
  <w:num w:numId="39">
    <w:abstractNumId w:val="36"/>
  </w:num>
  <w:num w:numId="40">
    <w:abstractNumId w:val="9"/>
  </w:num>
  <w:num w:numId="41">
    <w:abstractNumId w:val="57"/>
  </w:num>
  <w:num w:numId="42">
    <w:abstractNumId w:val="10"/>
  </w:num>
  <w:num w:numId="43">
    <w:abstractNumId w:val="45"/>
  </w:num>
  <w:num w:numId="44">
    <w:abstractNumId w:val="31"/>
  </w:num>
  <w:num w:numId="45">
    <w:abstractNumId w:val="59"/>
  </w:num>
  <w:num w:numId="46">
    <w:abstractNumId w:val="18"/>
  </w:num>
  <w:num w:numId="47">
    <w:abstractNumId w:val="17"/>
  </w:num>
  <w:num w:numId="48">
    <w:abstractNumId w:val="16"/>
  </w:num>
  <w:num w:numId="49">
    <w:abstractNumId w:val="49"/>
  </w:num>
  <w:num w:numId="50">
    <w:abstractNumId w:val="24"/>
  </w:num>
  <w:num w:numId="51">
    <w:abstractNumId w:val="40"/>
  </w:num>
  <w:num w:numId="52">
    <w:abstractNumId w:val="37"/>
  </w:num>
  <w:num w:numId="53">
    <w:abstractNumId w:val="50"/>
  </w:num>
  <w:num w:numId="54">
    <w:abstractNumId w:val="38"/>
  </w:num>
  <w:num w:numId="55">
    <w:abstractNumId w:val="35"/>
  </w:num>
  <w:num w:numId="56">
    <w:abstractNumId w:val="47"/>
  </w:num>
  <w:num w:numId="57">
    <w:abstractNumId w:val="26"/>
  </w:num>
  <w:num w:numId="58">
    <w:abstractNumId w:val="14"/>
  </w:num>
  <w:num w:numId="59">
    <w:abstractNumId w:val="19"/>
  </w:num>
  <w:num w:numId="60">
    <w:abstractNumId w:val="11"/>
  </w:num>
  <w:num w:numId="61">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en-AU" w:vendorID="64" w:dllVersion="131078" w:nlCheck="1" w:checkStyle="0"/>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Strat_Comms\Pubs_Design\Templates\ACCC\In Progress\ACCC\ACCC Report Template_04.dotm"/>
  </w:docVars>
  <w:rsids>
    <w:rsidRoot w:val="00C3186E"/>
    <w:rsid w:val="00005B80"/>
    <w:rsid w:val="00005D05"/>
    <w:rsid w:val="00006D3A"/>
    <w:rsid w:val="00007019"/>
    <w:rsid w:val="00010E5C"/>
    <w:rsid w:val="000118EA"/>
    <w:rsid w:val="00012BF9"/>
    <w:rsid w:val="00012C37"/>
    <w:rsid w:val="000137EB"/>
    <w:rsid w:val="000144A2"/>
    <w:rsid w:val="00017EE9"/>
    <w:rsid w:val="0002115F"/>
    <w:rsid w:val="00021202"/>
    <w:rsid w:val="00021418"/>
    <w:rsid w:val="000218EE"/>
    <w:rsid w:val="000225C4"/>
    <w:rsid w:val="0002285E"/>
    <w:rsid w:val="00025C92"/>
    <w:rsid w:val="00025CE5"/>
    <w:rsid w:val="0003284D"/>
    <w:rsid w:val="000333E2"/>
    <w:rsid w:val="0003578C"/>
    <w:rsid w:val="00036F0C"/>
    <w:rsid w:val="00040220"/>
    <w:rsid w:val="000405EE"/>
    <w:rsid w:val="00042A34"/>
    <w:rsid w:val="0004482C"/>
    <w:rsid w:val="000466E9"/>
    <w:rsid w:val="00051AD8"/>
    <w:rsid w:val="00053033"/>
    <w:rsid w:val="000531AC"/>
    <w:rsid w:val="00054637"/>
    <w:rsid w:val="00055D89"/>
    <w:rsid w:val="00063247"/>
    <w:rsid w:val="000668A2"/>
    <w:rsid w:val="00070F9F"/>
    <w:rsid w:val="0007137B"/>
    <w:rsid w:val="0008118D"/>
    <w:rsid w:val="00083104"/>
    <w:rsid w:val="00085663"/>
    <w:rsid w:val="00085EBF"/>
    <w:rsid w:val="00090458"/>
    <w:rsid w:val="00091578"/>
    <w:rsid w:val="00093A78"/>
    <w:rsid w:val="000963A8"/>
    <w:rsid w:val="000A0232"/>
    <w:rsid w:val="000A2F75"/>
    <w:rsid w:val="000A3072"/>
    <w:rsid w:val="000A6647"/>
    <w:rsid w:val="000A6BD4"/>
    <w:rsid w:val="000B77C1"/>
    <w:rsid w:val="000C0CD5"/>
    <w:rsid w:val="000C548D"/>
    <w:rsid w:val="000C5A30"/>
    <w:rsid w:val="000D122C"/>
    <w:rsid w:val="000D34ED"/>
    <w:rsid w:val="000D4242"/>
    <w:rsid w:val="000E1819"/>
    <w:rsid w:val="000E1963"/>
    <w:rsid w:val="000E26A7"/>
    <w:rsid w:val="000E30A5"/>
    <w:rsid w:val="000E3462"/>
    <w:rsid w:val="000E3A2E"/>
    <w:rsid w:val="000E4DBA"/>
    <w:rsid w:val="000E6C72"/>
    <w:rsid w:val="000E73C9"/>
    <w:rsid w:val="000E7E61"/>
    <w:rsid w:val="000F2368"/>
    <w:rsid w:val="000F527B"/>
    <w:rsid w:val="000F5CBB"/>
    <w:rsid w:val="000F7F39"/>
    <w:rsid w:val="0010606B"/>
    <w:rsid w:val="00106775"/>
    <w:rsid w:val="00106A6D"/>
    <w:rsid w:val="0010757C"/>
    <w:rsid w:val="00111F86"/>
    <w:rsid w:val="00114485"/>
    <w:rsid w:val="00115A28"/>
    <w:rsid w:val="00116EB2"/>
    <w:rsid w:val="00117A9A"/>
    <w:rsid w:val="0012087A"/>
    <w:rsid w:val="00121B35"/>
    <w:rsid w:val="00121FF1"/>
    <w:rsid w:val="00124609"/>
    <w:rsid w:val="00124F6D"/>
    <w:rsid w:val="00124FE1"/>
    <w:rsid w:val="001267FC"/>
    <w:rsid w:val="0012723C"/>
    <w:rsid w:val="00127A5A"/>
    <w:rsid w:val="00130CFD"/>
    <w:rsid w:val="00131AF8"/>
    <w:rsid w:val="00137958"/>
    <w:rsid w:val="00140B3D"/>
    <w:rsid w:val="00140CED"/>
    <w:rsid w:val="00141DDC"/>
    <w:rsid w:val="00143682"/>
    <w:rsid w:val="00147B85"/>
    <w:rsid w:val="0015125C"/>
    <w:rsid w:val="00151D86"/>
    <w:rsid w:val="00151FE1"/>
    <w:rsid w:val="00152994"/>
    <w:rsid w:val="00155B7B"/>
    <w:rsid w:val="001573E4"/>
    <w:rsid w:val="00160756"/>
    <w:rsid w:val="001665B7"/>
    <w:rsid w:val="0017232E"/>
    <w:rsid w:val="00174102"/>
    <w:rsid w:val="00177017"/>
    <w:rsid w:val="0017746F"/>
    <w:rsid w:val="00180157"/>
    <w:rsid w:val="00181223"/>
    <w:rsid w:val="00182546"/>
    <w:rsid w:val="0018532E"/>
    <w:rsid w:val="00186F77"/>
    <w:rsid w:val="001926A4"/>
    <w:rsid w:val="00192A7D"/>
    <w:rsid w:val="00193284"/>
    <w:rsid w:val="00193F9D"/>
    <w:rsid w:val="001948CA"/>
    <w:rsid w:val="00195FAD"/>
    <w:rsid w:val="00196608"/>
    <w:rsid w:val="00197CE1"/>
    <w:rsid w:val="001A0500"/>
    <w:rsid w:val="001B0250"/>
    <w:rsid w:val="001B1305"/>
    <w:rsid w:val="001B29ED"/>
    <w:rsid w:val="001B4385"/>
    <w:rsid w:val="001B45A0"/>
    <w:rsid w:val="001B6710"/>
    <w:rsid w:val="001C18EE"/>
    <w:rsid w:val="001C3565"/>
    <w:rsid w:val="001C522F"/>
    <w:rsid w:val="001D055E"/>
    <w:rsid w:val="001D0F67"/>
    <w:rsid w:val="001D1500"/>
    <w:rsid w:val="001D1B4A"/>
    <w:rsid w:val="001D32A4"/>
    <w:rsid w:val="001D35D4"/>
    <w:rsid w:val="001D5060"/>
    <w:rsid w:val="001D7001"/>
    <w:rsid w:val="001D7551"/>
    <w:rsid w:val="001D7D6D"/>
    <w:rsid w:val="001E138A"/>
    <w:rsid w:val="001E144F"/>
    <w:rsid w:val="001E423F"/>
    <w:rsid w:val="001E5ADC"/>
    <w:rsid w:val="001F05F2"/>
    <w:rsid w:val="001F0893"/>
    <w:rsid w:val="001F18B5"/>
    <w:rsid w:val="001F492E"/>
    <w:rsid w:val="001F6DA3"/>
    <w:rsid w:val="001F6F24"/>
    <w:rsid w:val="00203667"/>
    <w:rsid w:val="0020497E"/>
    <w:rsid w:val="002073A3"/>
    <w:rsid w:val="00207B3E"/>
    <w:rsid w:val="00210996"/>
    <w:rsid w:val="00210E9D"/>
    <w:rsid w:val="00212737"/>
    <w:rsid w:val="00212FF8"/>
    <w:rsid w:val="00213390"/>
    <w:rsid w:val="00215BBF"/>
    <w:rsid w:val="002164EC"/>
    <w:rsid w:val="0021747B"/>
    <w:rsid w:val="00220D1C"/>
    <w:rsid w:val="00224DB9"/>
    <w:rsid w:val="00226B87"/>
    <w:rsid w:val="00227B71"/>
    <w:rsid w:val="002360A0"/>
    <w:rsid w:val="00237CCC"/>
    <w:rsid w:val="00237ECA"/>
    <w:rsid w:val="0024134F"/>
    <w:rsid w:val="002433E4"/>
    <w:rsid w:val="00251745"/>
    <w:rsid w:val="0025647B"/>
    <w:rsid w:val="0026294A"/>
    <w:rsid w:val="00263AC0"/>
    <w:rsid w:val="00263CB5"/>
    <w:rsid w:val="00265815"/>
    <w:rsid w:val="002661FF"/>
    <w:rsid w:val="0026772D"/>
    <w:rsid w:val="00275201"/>
    <w:rsid w:val="002802CB"/>
    <w:rsid w:val="00280C5E"/>
    <w:rsid w:val="00282215"/>
    <w:rsid w:val="002854F8"/>
    <w:rsid w:val="00286874"/>
    <w:rsid w:val="00286B68"/>
    <w:rsid w:val="0028720C"/>
    <w:rsid w:val="00290ED4"/>
    <w:rsid w:val="00291026"/>
    <w:rsid w:val="00291F26"/>
    <w:rsid w:val="00293825"/>
    <w:rsid w:val="00295514"/>
    <w:rsid w:val="00296B65"/>
    <w:rsid w:val="00297CAC"/>
    <w:rsid w:val="002A6884"/>
    <w:rsid w:val="002A723B"/>
    <w:rsid w:val="002A7463"/>
    <w:rsid w:val="002A7DEF"/>
    <w:rsid w:val="002B08DD"/>
    <w:rsid w:val="002B2802"/>
    <w:rsid w:val="002B32E8"/>
    <w:rsid w:val="002B3F0C"/>
    <w:rsid w:val="002B6885"/>
    <w:rsid w:val="002B6B13"/>
    <w:rsid w:val="002C1824"/>
    <w:rsid w:val="002C1DB2"/>
    <w:rsid w:val="002C4EF4"/>
    <w:rsid w:val="002C4FB3"/>
    <w:rsid w:val="002C50B0"/>
    <w:rsid w:val="002D1906"/>
    <w:rsid w:val="002D2669"/>
    <w:rsid w:val="002D4A8B"/>
    <w:rsid w:val="002D7118"/>
    <w:rsid w:val="002D79DF"/>
    <w:rsid w:val="002D7BF3"/>
    <w:rsid w:val="002D7D13"/>
    <w:rsid w:val="002E022A"/>
    <w:rsid w:val="002E3EFE"/>
    <w:rsid w:val="002F1FD5"/>
    <w:rsid w:val="002F5D4C"/>
    <w:rsid w:val="002F60E4"/>
    <w:rsid w:val="002F7986"/>
    <w:rsid w:val="00300132"/>
    <w:rsid w:val="00300AA1"/>
    <w:rsid w:val="003010FB"/>
    <w:rsid w:val="00302E72"/>
    <w:rsid w:val="00303C4A"/>
    <w:rsid w:val="00303DF7"/>
    <w:rsid w:val="00303E3E"/>
    <w:rsid w:val="0030480D"/>
    <w:rsid w:val="003052BD"/>
    <w:rsid w:val="00305C2F"/>
    <w:rsid w:val="00307F6D"/>
    <w:rsid w:val="00310716"/>
    <w:rsid w:val="0031188B"/>
    <w:rsid w:val="00311FE4"/>
    <w:rsid w:val="003131FE"/>
    <w:rsid w:val="00313935"/>
    <w:rsid w:val="003149C7"/>
    <w:rsid w:val="00314FBA"/>
    <w:rsid w:val="00315ACE"/>
    <w:rsid w:val="003177A2"/>
    <w:rsid w:val="003229ED"/>
    <w:rsid w:val="00322A58"/>
    <w:rsid w:val="00326937"/>
    <w:rsid w:val="00326CB2"/>
    <w:rsid w:val="003271B5"/>
    <w:rsid w:val="00330928"/>
    <w:rsid w:val="00331206"/>
    <w:rsid w:val="00331264"/>
    <w:rsid w:val="003312F9"/>
    <w:rsid w:val="00331D4E"/>
    <w:rsid w:val="003325B2"/>
    <w:rsid w:val="00334A86"/>
    <w:rsid w:val="00334C8D"/>
    <w:rsid w:val="00340655"/>
    <w:rsid w:val="00343D4A"/>
    <w:rsid w:val="003459E6"/>
    <w:rsid w:val="00347D22"/>
    <w:rsid w:val="003500BD"/>
    <w:rsid w:val="00350FB6"/>
    <w:rsid w:val="00351617"/>
    <w:rsid w:val="003518B3"/>
    <w:rsid w:val="0035386B"/>
    <w:rsid w:val="00353E0C"/>
    <w:rsid w:val="00361088"/>
    <w:rsid w:val="003622EA"/>
    <w:rsid w:val="00364DB9"/>
    <w:rsid w:val="00370DDE"/>
    <w:rsid w:val="00371906"/>
    <w:rsid w:val="00372097"/>
    <w:rsid w:val="00376508"/>
    <w:rsid w:val="0037686C"/>
    <w:rsid w:val="00380358"/>
    <w:rsid w:val="00381695"/>
    <w:rsid w:val="003820F4"/>
    <w:rsid w:val="00383C5A"/>
    <w:rsid w:val="003846F1"/>
    <w:rsid w:val="0038643F"/>
    <w:rsid w:val="00386A03"/>
    <w:rsid w:val="00387033"/>
    <w:rsid w:val="003900FA"/>
    <w:rsid w:val="003902FD"/>
    <w:rsid w:val="00391C70"/>
    <w:rsid w:val="00393FED"/>
    <w:rsid w:val="00396C0B"/>
    <w:rsid w:val="003A08CF"/>
    <w:rsid w:val="003A11E2"/>
    <w:rsid w:val="003A12B1"/>
    <w:rsid w:val="003A2376"/>
    <w:rsid w:val="003A24C6"/>
    <w:rsid w:val="003A4194"/>
    <w:rsid w:val="003A5B0E"/>
    <w:rsid w:val="003A673F"/>
    <w:rsid w:val="003A747D"/>
    <w:rsid w:val="003A7BCA"/>
    <w:rsid w:val="003B18C3"/>
    <w:rsid w:val="003B2607"/>
    <w:rsid w:val="003B3080"/>
    <w:rsid w:val="003B5A70"/>
    <w:rsid w:val="003B6A26"/>
    <w:rsid w:val="003C0E80"/>
    <w:rsid w:val="003C1446"/>
    <w:rsid w:val="003C15E4"/>
    <w:rsid w:val="003C29E8"/>
    <w:rsid w:val="003D3852"/>
    <w:rsid w:val="003D53D9"/>
    <w:rsid w:val="003D5A1F"/>
    <w:rsid w:val="003E372D"/>
    <w:rsid w:val="003E71D5"/>
    <w:rsid w:val="003F1171"/>
    <w:rsid w:val="003F3274"/>
    <w:rsid w:val="003F339D"/>
    <w:rsid w:val="003F416F"/>
    <w:rsid w:val="003F6DD8"/>
    <w:rsid w:val="00400EAE"/>
    <w:rsid w:val="00401ADE"/>
    <w:rsid w:val="004034C2"/>
    <w:rsid w:val="0040364B"/>
    <w:rsid w:val="004039C0"/>
    <w:rsid w:val="0040442B"/>
    <w:rsid w:val="00405641"/>
    <w:rsid w:val="00406355"/>
    <w:rsid w:val="00406FB7"/>
    <w:rsid w:val="00410B20"/>
    <w:rsid w:val="004115B0"/>
    <w:rsid w:val="0041542D"/>
    <w:rsid w:val="00425689"/>
    <w:rsid w:val="00426264"/>
    <w:rsid w:val="0042703D"/>
    <w:rsid w:val="0043338F"/>
    <w:rsid w:val="00442686"/>
    <w:rsid w:val="00444385"/>
    <w:rsid w:val="004466EC"/>
    <w:rsid w:val="004467D4"/>
    <w:rsid w:val="00447C35"/>
    <w:rsid w:val="0045012F"/>
    <w:rsid w:val="00451FB8"/>
    <w:rsid w:val="004533EB"/>
    <w:rsid w:val="004538DE"/>
    <w:rsid w:val="00456512"/>
    <w:rsid w:val="00460AD2"/>
    <w:rsid w:val="004636AF"/>
    <w:rsid w:val="004662E5"/>
    <w:rsid w:val="00467AFE"/>
    <w:rsid w:val="004707A5"/>
    <w:rsid w:val="004723B9"/>
    <w:rsid w:val="00475DDE"/>
    <w:rsid w:val="00477F37"/>
    <w:rsid w:val="00480B4B"/>
    <w:rsid w:val="004842C2"/>
    <w:rsid w:val="00485DC4"/>
    <w:rsid w:val="004860A9"/>
    <w:rsid w:val="0049025E"/>
    <w:rsid w:val="00491991"/>
    <w:rsid w:val="00494162"/>
    <w:rsid w:val="004946F4"/>
    <w:rsid w:val="00494C14"/>
    <w:rsid w:val="004960F1"/>
    <w:rsid w:val="00496BCF"/>
    <w:rsid w:val="00497675"/>
    <w:rsid w:val="00497CC5"/>
    <w:rsid w:val="00497CDC"/>
    <w:rsid w:val="004A0C69"/>
    <w:rsid w:val="004A6226"/>
    <w:rsid w:val="004B0434"/>
    <w:rsid w:val="004B24A8"/>
    <w:rsid w:val="004B4412"/>
    <w:rsid w:val="004C0855"/>
    <w:rsid w:val="004C25ED"/>
    <w:rsid w:val="004C29FC"/>
    <w:rsid w:val="004C2A1C"/>
    <w:rsid w:val="004C348C"/>
    <w:rsid w:val="004C6F18"/>
    <w:rsid w:val="004C728B"/>
    <w:rsid w:val="004D1C3F"/>
    <w:rsid w:val="004D41D5"/>
    <w:rsid w:val="004D55BA"/>
    <w:rsid w:val="004E33F5"/>
    <w:rsid w:val="004E3AB8"/>
    <w:rsid w:val="004E69A4"/>
    <w:rsid w:val="004E7138"/>
    <w:rsid w:val="004F0D3E"/>
    <w:rsid w:val="004F3BCD"/>
    <w:rsid w:val="004F7324"/>
    <w:rsid w:val="004F740C"/>
    <w:rsid w:val="005008E8"/>
    <w:rsid w:val="005038DB"/>
    <w:rsid w:val="00506406"/>
    <w:rsid w:val="00506476"/>
    <w:rsid w:val="0051117C"/>
    <w:rsid w:val="005137E3"/>
    <w:rsid w:val="00514395"/>
    <w:rsid w:val="005169D3"/>
    <w:rsid w:val="00517520"/>
    <w:rsid w:val="00517A01"/>
    <w:rsid w:val="005222CD"/>
    <w:rsid w:val="0052384C"/>
    <w:rsid w:val="00526E92"/>
    <w:rsid w:val="00530128"/>
    <w:rsid w:val="0053069E"/>
    <w:rsid w:val="005321E9"/>
    <w:rsid w:val="00532467"/>
    <w:rsid w:val="00532B02"/>
    <w:rsid w:val="005343C5"/>
    <w:rsid w:val="00537035"/>
    <w:rsid w:val="00537ACE"/>
    <w:rsid w:val="00544E8A"/>
    <w:rsid w:val="00547CCF"/>
    <w:rsid w:val="005512EE"/>
    <w:rsid w:val="005549C2"/>
    <w:rsid w:val="005555C3"/>
    <w:rsid w:val="00562D7F"/>
    <w:rsid w:val="00564A4D"/>
    <w:rsid w:val="00567CC4"/>
    <w:rsid w:val="00570A8C"/>
    <w:rsid w:val="00571B35"/>
    <w:rsid w:val="00571C9F"/>
    <w:rsid w:val="00571D9A"/>
    <w:rsid w:val="00574583"/>
    <w:rsid w:val="00577A09"/>
    <w:rsid w:val="00577B21"/>
    <w:rsid w:val="00583D7A"/>
    <w:rsid w:val="005849FD"/>
    <w:rsid w:val="00584D8F"/>
    <w:rsid w:val="00590339"/>
    <w:rsid w:val="005926D3"/>
    <w:rsid w:val="00592B3B"/>
    <w:rsid w:val="0059396C"/>
    <w:rsid w:val="00593A63"/>
    <w:rsid w:val="00594A23"/>
    <w:rsid w:val="00595D75"/>
    <w:rsid w:val="00596281"/>
    <w:rsid w:val="00596D42"/>
    <w:rsid w:val="0059737C"/>
    <w:rsid w:val="00597962"/>
    <w:rsid w:val="00597EE3"/>
    <w:rsid w:val="005A03D4"/>
    <w:rsid w:val="005A200F"/>
    <w:rsid w:val="005A404D"/>
    <w:rsid w:val="005A5829"/>
    <w:rsid w:val="005A6D4C"/>
    <w:rsid w:val="005A746A"/>
    <w:rsid w:val="005A7E02"/>
    <w:rsid w:val="005B1E3C"/>
    <w:rsid w:val="005B6DD8"/>
    <w:rsid w:val="005C26CC"/>
    <w:rsid w:val="005C4B30"/>
    <w:rsid w:val="005C61CD"/>
    <w:rsid w:val="005C6684"/>
    <w:rsid w:val="005C6991"/>
    <w:rsid w:val="005D1CFD"/>
    <w:rsid w:val="005D27DA"/>
    <w:rsid w:val="005D3075"/>
    <w:rsid w:val="005D3506"/>
    <w:rsid w:val="005D6CBA"/>
    <w:rsid w:val="005D7BFC"/>
    <w:rsid w:val="005E2854"/>
    <w:rsid w:val="005E2C1A"/>
    <w:rsid w:val="005E4E72"/>
    <w:rsid w:val="005E5C5B"/>
    <w:rsid w:val="005E6C0E"/>
    <w:rsid w:val="005E7C0D"/>
    <w:rsid w:val="005F47F4"/>
    <w:rsid w:val="005F4A4C"/>
    <w:rsid w:val="005F793C"/>
    <w:rsid w:val="006059ED"/>
    <w:rsid w:val="006063BB"/>
    <w:rsid w:val="00613B9A"/>
    <w:rsid w:val="00614152"/>
    <w:rsid w:val="006154A6"/>
    <w:rsid w:val="00615876"/>
    <w:rsid w:val="00615C6B"/>
    <w:rsid w:val="006245CE"/>
    <w:rsid w:val="00632D6D"/>
    <w:rsid w:val="00632DB9"/>
    <w:rsid w:val="006350DD"/>
    <w:rsid w:val="00635BF1"/>
    <w:rsid w:val="00642C3E"/>
    <w:rsid w:val="00646EFF"/>
    <w:rsid w:val="00652222"/>
    <w:rsid w:val="00656601"/>
    <w:rsid w:val="00657CE2"/>
    <w:rsid w:val="006602A3"/>
    <w:rsid w:val="00663DAD"/>
    <w:rsid w:val="00667EFF"/>
    <w:rsid w:val="006716DC"/>
    <w:rsid w:val="00671AE7"/>
    <w:rsid w:val="0067246B"/>
    <w:rsid w:val="00672951"/>
    <w:rsid w:val="00673201"/>
    <w:rsid w:val="00676679"/>
    <w:rsid w:val="00680B2A"/>
    <w:rsid w:val="00687F39"/>
    <w:rsid w:val="006932A4"/>
    <w:rsid w:val="0069398A"/>
    <w:rsid w:val="00694326"/>
    <w:rsid w:val="00695134"/>
    <w:rsid w:val="006A179B"/>
    <w:rsid w:val="006A1CC8"/>
    <w:rsid w:val="006A406E"/>
    <w:rsid w:val="006A73A5"/>
    <w:rsid w:val="006B2C7E"/>
    <w:rsid w:val="006B4CF9"/>
    <w:rsid w:val="006B5576"/>
    <w:rsid w:val="006B6F3B"/>
    <w:rsid w:val="006B7AC8"/>
    <w:rsid w:val="006C2E90"/>
    <w:rsid w:val="006C56F1"/>
    <w:rsid w:val="006C5A6E"/>
    <w:rsid w:val="006C6C2D"/>
    <w:rsid w:val="006C6FE4"/>
    <w:rsid w:val="006C716A"/>
    <w:rsid w:val="006C7E64"/>
    <w:rsid w:val="006D2AFE"/>
    <w:rsid w:val="006D363B"/>
    <w:rsid w:val="006D550F"/>
    <w:rsid w:val="006D633A"/>
    <w:rsid w:val="006D77F3"/>
    <w:rsid w:val="006E0979"/>
    <w:rsid w:val="006E1994"/>
    <w:rsid w:val="006E374D"/>
    <w:rsid w:val="006F63BA"/>
    <w:rsid w:val="006F6A74"/>
    <w:rsid w:val="006F6C2A"/>
    <w:rsid w:val="006F7084"/>
    <w:rsid w:val="006F7216"/>
    <w:rsid w:val="00701CAB"/>
    <w:rsid w:val="00703229"/>
    <w:rsid w:val="00703C5E"/>
    <w:rsid w:val="00704656"/>
    <w:rsid w:val="00707563"/>
    <w:rsid w:val="00714520"/>
    <w:rsid w:val="00715435"/>
    <w:rsid w:val="007173C5"/>
    <w:rsid w:val="00717939"/>
    <w:rsid w:val="00721958"/>
    <w:rsid w:val="0072348C"/>
    <w:rsid w:val="0072428D"/>
    <w:rsid w:val="00724A37"/>
    <w:rsid w:val="00727992"/>
    <w:rsid w:val="00727BA6"/>
    <w:rsid w:val="007303C3"/>
    <w:rsid w:val="007306D8"/>
    <w:rsid w:val="00732017"/>
    <w:rsid w:val="00732E78"/>
    <w:rsid w:val="007402E3"/>
    <w:rsid w:val="00740501"/>
    <w:rsid w:val="00740BB0"/>
    <w:rsid w:val="00741B0F"/>
    <w:rsid w:val="00743223"/>
    <w:rsid w:val="00743B89"/>
    <w:rsid w:val="00744046"/>
    <w:rsid w:val="00746E01"/>
    <w:rsid w:val="0075046E"/>
    <w:rsid w:val="007545FB"/>
    <w:rsid w:val="00755995"/>
    <w:rsid w:val="007568F9"/>
    <w:rsid w:val="00756FF5"/>
    <w:rsid w:val="00760842"/>
    <w:rsid w:val="00763E5D"/>
    <w:rsid w:val="00767740"/>
    <w:rsid w:val="00770A24"/>
    <w:rsid w:val="00771E23"/>
    <w:rsid w:val="0077204D"/>
    <w:rsid w:val="007720DB"/>
    <w:rsid w:val="007721DA"/>
    <w:rsid w:val="007728E5"/>
    <w:rsid w:val="007748B1"/>
    <w:rsid w:val="00776E2C"/>
    <w:rsid w:val="00777EE6"/>
    <w:rsid w:val="00782EEA"/>
    <w:rsid w:val="00783F4E"/>
    <w:rsid w:val="00786278"/>
    <w:rsid w:val="00786ED5"/>
    <w:rsid w:val="00796F42"/>
    <w:rsid w:val="007A0A8A"/>
    <w:rsid w:val="007A52C6"/>
    <w:rsid w:val="007A5F0F"/>
    <w:rsid w:val="007B1C2F"/>
    <w:rsid w:val="007B2C72"/>
    <w:rsid w:val="007B2FB2"/>
    <w:rsid w:val="007B3352"/>
    <w:rsid w:val="007B3C10"/>
    <w:rsid w:val="007B3C9F"/>
    <w:rsid w:val="007B47CB"/>
    <w:rsid w:val="007B5449"/>
    <w:rsid w:val="007C153D"/>
    <w:rsid w:val="007C1C53"/>
    <w:rsid w:val="007C4AAC"/>
    <w:rsid w:val="007C6B31"/>
    <w:rsid w:val="007C6FDF"/>
    <w:rsid w:val="007D21A2"/>
    <w:rsid w:val="007D34F4"/>
    <w:rsid w:val="007D38CD"/>
    <w:rsid w:val="007D3F64"/>
    <w:rsid w:val="007E0139"/>
    <w:rsid w:val="007E15A2"/>
    <w:rsid w:val="007E1CA0"/>
    <w:rsid w:val="007E26A9"/>
    <w:rsid w:val="007E33EF"/>
    <w:rsid w:val="007E4589"/>
    <w:rsid w:val="007E4904"/>
    <w:rsid w:val="007E4CB5"/>
    <w:rsid w:val="007F066B"/>
    <w:rsid w:val="007F31E8"/>
    <w:rsid w:val="007F65DA"/>
    <w:rsid w:val="007F7AC8"/>
    <w:rsid w:val="00800B3D"/>
    <w:rsid w:val="0080290A"/>
    <w:rsid w:val="008033C4"/>
    <w:rsid w:val="00806C88"/>
    <w:rsid w:val="008101AD"/>
    <w:rsid w:val="0081034E"/>
    <w:rsid w:val="00810C0B"/>
    <w:rsid w:val="00810D2B"/>
    <w:rsid w:val="00811236"/>
    <w:rsid w:val="00813F6A"/>
    <w:rsid w:val="00814475"/>
    <w:rsid w:val="00816281"/>
    <w:rsid w:val="00816CBC"/>
    <w:rsid w:val="00820B5F"/>
    <w:rsid w:val="008214E7"/>
    <w:rsid w:val="00827F45"/>
    <w:rsid w:val="00830C49"/>
    <w:rsid w:val="00831866"/>
    <w:rsid w:val="0083337D"/>
    <w:rsid w:val="008344F6"/>
    <w:rsid w:val="0083510F"/>
    <w:rsid w:val="008353E2"/>
    <w:rsid w:val="00842A3D"/>
    <w:rsid w:val="0084305A"/>
    <w:rsid w:val="00844EFB"/>
    <w:rsid w:val="00845185"/>
    <w:rsid w:val="0084646A"/>
    <w:rsid w:val="00851209"/>
    <w:rsid w:val="00851533"/>
    <w:rsid w:val="008547BD"/>
    <w:rsid w:val="00857726"/>
    <w:rsid w:val="0086488C"/>
    <w:rsid w:val="008702A7"/>
    <w:rsid w:val="00871C6C"/>
    <w:rsid w:val="00872398"/>
    <w:rsid w:val="00874E1E"/>
    <w:rsid w:val="008760F9"/>
    <w:rsid w:val="0088007E"/>
    <w:rsid w:val="008814BE"/>
    <w:rsid w:val="00882A53"/>
    <w:rsid w:val="008837AC"/>
    <w:rsid w:val="00883B53"/>
    <w:rsid w:val="008856EA"/>
    <w:rsid w:val="00885B62"/>
    <w:rsid w:val="00887614"/>
    <w:rsid w:val="008876E9"/>
    <w:rsid w:val="008908F0"/>
    <w:rsid w:val="008910C2"/>
    <w:rsid w:val="00892D41"/>
    <w:rsid w:val="00893467"/>
    <w:rsid w:val="008945B4"/>
    <w:rsid w:val="0089496B"/>
    <w:rsid w:val="00895D2F"/>
    <w:rsid w:val="008A1355"/>
    <w:rsid w:val="008A1707"/>
    <w:rsid w:val="008A587D"/>
    <w:rsid w:val="008A7368"/>
    <w:rsid w:val="008B468E"/>
    <w:rsid w:val="008B60F6"/>
    <w:rsid w:val="008C08A5"/>
    <w:rsid w:val="008C1EED"/>
    <w:rsid w:val="008C4134"/>
    <w:rsid w:val="008C4427"/>
    <w:rsid w:val="008C5486"/>
    <w:rsid w:val="008C7D7D"/>
    <w:rsid w:val="008D19DE"/>
    <w:rsid w:val="008D3927"/>
    <w:rsid w:val="008D402C"/>
    <w:rsid w:val="008D423F"/>
    <w:rsid w:val="008D43D8"/>
    <w:rsid w:val="008D5C22"/>
    <w:rsid w:val="008D6274"/>
    <w:rsid w:val="008D6314"/>
    <w:rsid w:val="008E1931"/>
    <w:rsid w:val="008E7031"/>
    <w:rsid w:val="008F1A2A"/>
    <w:rsid w:val="008F1C97"/>
    <w:rsid w:val="008F3018"/>
    <w:rsid w:val="008F32E4"/>
    <w:rsid w:val="008F3859"/>
    <w:rsid w:val="008F5B8C"/>
    <w:rsid w:val="008F78B5"/>
    <w:rsid w:val="0090075F"/>
    <w:rsid w:val="00900ECB"/>
    <w:rsid w:val="0090161A"/>
    <w:rsid w:val="00907083"/>
    <w:rsid w:val="0091151C"/>
    <w:rsid w:val="00913CC7"/>
    <w:rsid w:val="00914EEA"/>
    <w:rsid w:val="00917042"/>
    <w:rsid w:val="00921FC9"/>
    <w:rsid w:val="009228E5"/>
    <w:rsid w:val="00922C95"/>
    <w:rsid w:val="00923268"/>
    <w:rsid w:val="009233EE"/>
    <w:rsid w:val="00923893"/>
    <w:rsid w:val="009243C5"/>
    <w:rsid w:val="00925183"/>
    <w:rsid w:val="00925258"/>
    <w:rsid w:val="00926301"/>
    <w:rsid w:val="009305FA"/>
    <w:rsid w:val="009322DB"/>
    <w:rsid w:val="009338C8"/>
    <w:rsid w:val="009356BA"/>
    <w:rsid w:val="00942999"/>
    <w:rsid w:val="00942E28"/>
    <w:rsid w:val="00944F93"/>
    <w:rsid w:val="0094512D"/>
    <w:rsid w:val="00953100"/>
    <w:rsid w:val="0095682E"/>
    <w:rsid w:val="009568F1"/>
    <w:rsid w:val="00963BED"/>
    <w:rsid w:val="00964318"/>
    <w:rsid w:val="00965F8B"/>
    <w:rsid w:val="009661DE"/>
    <w:rsid w:val="00967593"/>
    <w:rsid w:val="00971E7F"/>
    <w:rsid w:val="009721C6"/>
    <w:rsid w:val="00975339"/>
    <w:rsid w:val="00981D5B"/>
    <w:rsid w:val="00982AF6"/>
    <w:rsid w:val="009848AB"/>
    <w:rsid w:val="009856B7"/>
    <w:rsid w:val="0098602B"/>
    <w:rsid w:val="009918B1"/>
    <w:rsid w:val="00991A6A"/>
    <w:rsid w:val="00991B3B"/>
    <w:rsid w:val="00991E3C"/>
    <w:rsid w:val="009923E9"/>
    <w:rsid w:val="00993901"/>
    <w:rsid w:val="009962BA"/>
    <w:rsid w:val="0099723B"/>
    <w:rsid w:val="009A161A"/>
    <w:rsid w:val="009A71D3"/>
    <w:rsid w:val="009B1817"/>
    <w:rsid w:val="009B1D43"/>
    <w:rsid w:val="009B29D9"/>
    <w:rsid w:val="009B4497"/>
    <w:rsid w:val="009B65C4"/>
    <w:rsid w:val="009B74B0"/>
    <w:rsid w:val="009C1BAE"/>
    <w:rsid w:val="009C47EF"/>
    <w:rsid w:val="009D08F1"/>
    <w:rsid w:val="009D19DE"/>
    <w:rsid w:val="009D3BDA"/>
    <w:rsid w:val="009D4414"/>
    <w:rsid w:val="009D6B46"/>
    <w:rsid w:val="009D7333"/>
    <w:rsid w:val="009E1FD2"/>
    <w:rsid w:val="009E5AAC"/>
    <w:rsid w:val="009E5AAE"/>
    <w:rsid w:val="009E718B"/>
    <w:rsid w:val="009F2BE5"/>
    <w:rsid w:val="009F3F92"/>
    <w:rsid w:val="009F4940"/>
    <w:rsid w:val="009F6469"/>
    <w:rsid w:val="00A030FE"/>
    <w:rsid w:val="00A077E7"/>
    <w:rsid w:val="00A12EEB"/>
    <w:rsid w:val="00A143E7"/>
    <w:rsid w:val="00A151CF"/>
    <w:rsid w:val="00A15DD2"/>
    <w:rsid w:val="00A1665B"/>
    <w:rsid w:val="00A2535E"/>
    <w:rsid w:val="00A26E2B"/>
    <w:rsid w:val="00A27024"/>
    <w:rsid w:val="00A31E6B"/>
    <w:rsid w:val="00A33461"/>
    <w:rsid w:val="00A33CB5"/>
    <w:rsid w:val="00A33FC7"/>
    <w:rsid w:val="00A3407F"/>
    <w:rsid w:val="00A3418D"/>
    <w:rsid w:val="00A35A4D"/>
    <w:rsid w:val="00A36ABA"/>
    <w:rsid w:val="00A407E0"/>
    <w:rsid w:val="00A40E1D"/>
    <w:rsid w:val="00A40F80"/>
    <w:rsid w:val="00A42E3A"/>
    <w:rsid w:val="00A440BC"/>
    <w:rsid w:val="00A4478A"/>
    <w:rsid w:val="00A44852"/>
    <w:rsid w:val="00A46271"/>
    <w:rsid w:val="00A504CC"/>
    <w:rsid w:val="00A52DDC"/>
    <w:rsid w:val="00A57D04"/>
    <w:rsid w:val="00A60A26"/>
    <w:rsid w:val="00A61598"/>
    <w:rsid w:val="00A633D1"/>
    <w:rsid w:val="00A63C10"/>
    <w:rsid w:val="00A647DB"/>
    <w:rsid w:val="00A64999"/>
    <w:rsid w:val="00A650C9"/>
    <w:rsid w:val="00A65D4A"/>
    <w:rsid w:val="00A7006F"/>
    <w:rsid w:val="00A75990"/>
    <w:rsid w:val="00A76395"/>
    <w:rsid w:val="00A837B5"/>
    <w:rsid w:val="00A841F1"/>
    <w:rsid w:val="00A84F46"/>
    <w:rsid w:val="00A871F4"/>
    <w:rsid w:val="00A879F3"/>
    <w:rsid w:val="00A91957"/>
    <w:rsid w:val="00A94338"/>
    <w:rsid w:val="00A96F38"/>
    <w:rsid w:val="00AA1ADA"/>
    <w:rsid w:val="00AA2A73"/>
    <w:rsid w:val="00AA5F11"/>
    <w:rsid w:val="00AA5F88"/>
    <w:rsid w:val="00AB0DD3"/>
    <w:rsid w:val="00AB10B8"/>
    <w:rsid w:val="00AB608B"/>
    <w:rsid w:val="00AB695D"/>
    <w:rsid w:val="00AC1B2C"/>
    <w:rsid w:val="00AC2C80"/>
    <w:rsid w:val="00AC3264"/>
    <w:rsid w:val="00AC40A8"/>
    <w:rsid w:val="00AC6F01"/>
    <w:rsid w:val="00AD1581"/>
    <w:rsid w:val="00AD5F89"/>
    <w:rsid w:val="00AD7EBB"/>
    <w:rsid w:val="00AE0FE2"/>
    <w:rsid w:val="00AE1BF1"/>
    <w:rsid w:val="00AE49BD"/>
    <w:rsid w:val="00AE4A50"/>
    <w:rsid w:val="00AE696C"/>
    <w:rsid w:val="00AE6D7F"/>
    <w:rsid w:val="00AE6DE2"/>
    <w:rsid w:val="00AE7BEA"/>
    <w:rsid w:val="00AF03AD"/>
    <w:rsid w:val="00AF0CB7"/>
    <w:rsid w:val="00AF0DD2"/>
    <w:rsid w:val="00AF1976"/>
    <w:rsid w:val="00AF23D4"/>
    <w:rsid w:val="00AF2907"/>
    <w:rsid w:val="00AF2F31"/>
    <w:rsid w:val="00AF37A6"/>
    <w:rsid w:val="00AF4640"/>
    <w:rsid w:val="00AF5A42"/>
    <w:rsid w:val="00AF5E70"/>
    <w:rsid w:val="00B001C4"/>
    <w:rsid w:val="00B00583"/>
    <w:rsid w:val="00B024A8"/>
    <w:rsid w:val="00B02B4E"/>
    <w:rsid w:val="00B03A82"/>
    <w:rsid w:val="00B049CD"/>
    <w:rsid w:val="00B053C6"/>
    <w:rsid w:val="00B10314"/>
    <w:rsid w:val="00B12B9A"/>
    <w:rsid w:val="00B13048"/>
    <w:rsid w:val="00B1515C"/>
    <w:rsid w:val="00B15998"/>
    <w:rsid w:val="00B15C84"/>
    <w:rsid w:val="00B1716D"/>
    <w:rsid w:val="00B17A1D"/>
    <w:rsid w:val="00B20019"/>
    <w:rsid w:val="00B207A0"/>
    <w:rsid w:val="00B23234"/>
    <w:rsid w:val="00B26772"/>
    <w:rsid w:val="00B307EF"/>
    <w:rsid w:val="00B32C9C"/>
    <w:rsid w:val="00B3329C"/>
    <w:rsid w:val="00B34A58"/>
    <w:rsid w:val="00B40ED2"/>
    <w:rsid w:val="00B4280E"/>
    <w:rsid w:val="00B4296E"/>
    <w:rsid w:val="00B429F1"/>
    <w:rsid w:val="00B43E2E"/>
    <w:rsid w:val="00B4407A"/>
    <w:rsid w:val="00B45301"/>
    <w:rsid w:val="00B51C34"/>
    <w:rsid w:val="00B525F1"/>
    <w:rsid w:val="00B52908"/>
    <w:rsid w:val="00B52AC8"/>
    <w:rsid w:val="00B549A0"/>
    <w:rsid w:val="00B56B11"/>
    <w:rsid w:val="00B56E03"/>
    <w:rsid w:val="00B60EE8"/>
    <w:rsid w:val="00B60F5D"/>
    <w:rsid w:val="00B612F2"/>
    <w:rsid w:val="00B632CE"/>
    <w:rsid w:val="00B67E91"/>
    <w:rsid w:val="00B7101A"/>
    <w:rsid w:val="00B748A5"/>
    <w:rsid w:val="00B750EA"/>
    <w:rsid w:val="00B751C5"/>
    <w:rsid w:val="00B8080B"/>
    <w:rsid w:val="00B8211B"/>
    <w:rsid w:val="00B82D6F"/>
    <w:rsid w:val="00B83D58"/>
    <w:rsid w:val="00B85051"/>
    <w:rsid w:val="00B87C39"/>
    <w:rsid w:val="00B90749"/>
    <w:rsid w:val="00B9358A"/>
    <w:rsid w:val="00B97DE5"/>
    <w:rsid w:val="00BA0766"/>
    <w:rsid w:val="00BA4665"/>
    <w:rsid w:val="00BA518E"/>
    <w:rsid w:val="00BA6506"/>
    <w:rsid w:val="00BB2FB2"/>
    <w:rsid w:val="00BB3304"/>
    <w:rsid w:val="00BB3C43"/>
    <w:rsid w:val="00BB4D1B"/>
    <w:rsid w:val="00BB78E9"/>
    <w:rsid w:val="00BC2D1F"/>
    <w:rsid w:val="00BC6806"/>
    <w:rsid w:val="00BC7AB3"/>
    <w:rsid w:val="00BD2B52"/>
    <w:rsid w:val="00BD2C90"/>
    <w:rsid w:val="00BD3446"/>
    <w:rsid w:val="00BD46E5"/>
    <w:rsid w:val="00BD6902"/>
    <w:rsid w:val="00BE0768"/>
    <w:rsid w:val="00BE13A4"/>
    <w:rsid w:val="00BE1F1B"/>
    <w:rsid w:val="00BE340A"/>
    <w:rsid w:val="00BE3702"/>
    <w:rsid w:val="00BE47B5"/>
    <w:rsid w:val="00BE4C99"/>
    <w:rsid w:val="00BE5C52"/>
    <w:rsid w:val="00BF0DF8"/>
    <w:rsid w:val="00BF126C"/>
    <w:rsid w:val="00BF155B"/>
    <w:rsid w:val="00BF253B"/>
    <w:rsid w:val="00BF518A"/>
    <w:rsid w:val="00C008DC"/>
    <w:rsid w:val="00C00A22"/>
    <w:rsid w:val="00C022AD"/>
    <w:rsid w:val="00C02461"/>
    <w:rsid w:val="00C03B30"/>
    <w:rsid w:val="00C03E1A"/>
    <w:rsid w:val="00C058AB"/>
    <w:rsid w:val="00C06739"/>
    <w:rsid w:val="00C075B6"/>
    <w:rsid w:val="00C13D82"/>
    <w:rsid w:val="00C14A67"/>
    <w:rsid w:val="00C2675B"/>
    <w:rsid w:val="00C26BE4"/>
    <w:rsid w:val="00C27D04"/>
    <w:rsid w:val="00C3098A"/>
    <w:rsid w:val="00C3165E"/>
    <w:rsid w:val="00C3186E"/>
    <w:rsid w:val="00C34BCB"/>
    <w:rsid w:val="00C35313"/>
    <w:rsid w:val="00C36CC3"/>
    <w:rsid w:val="00C41968"/>
    <w:rsid w:val="00C41EFF"/>
    <w:rsid w:val="00C420DA"/>
    <w:rsid w:val="00C42896"/>
    <w:rsid w:val="00C43A70"/>
    <w:rsid w:val="00C538A9"/>
    <w:rsid w:val="00C53B5A"/>
    <w:rsid w:val="00C54F5A"/>
    <w:rsid w:val="00C55475"/>
    <w:rsid w:val="00C575A6"/>
    <w:rsid w:val="00C669E0"/>
    <w:rsid w:val="00C73603"/>
    <w:rsid w:val="00C74C80"/>
    <w:rsid w:val="00C755AD"/>
    <w:rsid w:val="00C76CAA"/>
    <w:rsid w:val="00C8200B"/>
    <w:rsid w:val="00C851FD"/>
    <w:rsid w:val="00C86679"/>
    <w:rsid w:val="00C87784"/>
    <w:rsid w:val="00C87BB1"/>
    <w:rsid w:val="00C92269"/>
    <w:rsid w:val="00C923E2"/>
    <w:rsid w:val="00C92D52"/>
    <w:rsid w:val="00C92E8B"/>
    <w:rsid w:val="00C95490"/>
    <w:rsid w:val="00C96FD2"/>
    <w:rsid w:val="00C97325"/>
    <w:rsid w:val="00CA63F8"/>
    <w:rsid w:val="00CA661C"/>
    <w:rsid w:val="00CB18ED"/>
    <w:rsid w:val="00CB1D6B"/>
    <w:rsid w:val="00CB268C"/>
    <w:rsid w:val="00CB666B"/>
    <w:rsid w:val="00CC5116"/>
    <w:rsid w:val="00CC63B7"/>
    <w:rsid w:val="00CD1293"/>
    <w:rsid w:val="00CD46DE"/>
    <w:rsid w:val="00CD609D"/>
    <w:rsid w:val="00CD69BF"/>
    <w:rsid w:val="00CE0219"/>
    <w:rsid w:val="00CE2D91"/>
    <w:rsid w:val="00CE5D4C"/>
    <w:rsid w:val="00CE6762"/>
    <w:rsid w:val="00CF0EC0"/>
    <w:rsid w:val="00CF3030"/>
    <w:rsid w:val="00CF60CE"/>
    <w:rsid w:val="00CF6CCD"/>
    <w:rsid w:val="00CF6E43"/>
    <w:rsid w:val="00CF799E"/>
    <w:rsid w:val="00D01CF0"/>
    <w:rsid w:val="00D02BB1"/>
    <w:rsid w:val="00D0442A"/>
    <w:rsid w:val="00D062A5"/>
    <w:rsid w:val="00D12F3B"/>
    <w:rsid w:val="00D13603"/>
    <w:rsid w:val="00D203E1"/>
    <w:rsid w:val="00D20B41"/>
    <w:rsid w:val="00D216E3"/>
    <w:rsid w:val="00D22BE1"/>
    <w:rsid w:val="00D22D71"/>
    <w:rsid w:val="00D25209"/>
    <w:rsid w:val="00D33712"/>
    <w:rsid w:val="00D3643F"/>
    <w:rsid w:val="00D378EB"/>
    <w:rsid w:val="00D40878"/>
    <w:rsid w:val="00D40F8D"/>
    <w:rsid w:val="00D42D06"/>
    <w:rsid w:val="00D44CE4"/>
    <w:rsid w:val="00D51685"/>
    <w:rsid w:val="00D544B8"/>
    <w:rsid w:val="00D57B19"/>
    <w:rsid w:val="00D61388"/>
    <w:rsid w:val="00D617D8"/>
    <w:rsid w:val="00D61A54"/>
    <w:rsid w:val="00D64AF7"/>
    <w:rsid w:val="00D64DEA"/>
    <w:rsid w:val="00D653D7"/>
    <w:rsid w:val="00D6720D"/>
    <w:rsid w:val="00D672C4"/>
    <w:rsid w:val="00D705A8"/>
    <w:rsid w:val="00D729A3"/>
    <w:rsid w:val="00D730CF"/>
    <w:rsid w:val="00D73D5F"/>
    <w:rsid w:val="00D74701"/>
    <w:rsid w:val="00D76271"/>
    <w:rsid w:val="00D76D14"/>
    <w:rsid w:val="00D77B81"/>
    <w:rsid w:val="00D80636"/>
    <w:rsid w:val="00D80893"/>
    <w:rsid w:val="00D819BB"/>
    <w:rsid w:val="00D856EF"/>
    <w:rsid w:val="00D863DC"/>
    <w:rsid w:val="00D86906"/>
    <w:rsid w:val="00D92BB7"/>
    <w:rsid w:val="00D92CF1"/>
    <w:rsid w:val="00D92D38"/>
    <w:rsid w:val="00D950F5"/>
    <w:rsid w:val="00DA0572"/>
    <w:rsid w:val="00DA5CAB"/>
    <w:rsid w:val="00DA6A17"/>
    <w:rsid w:val="00DB06AA"/>
    <w:rsid w:val="00DB0F93"/>
    <w:rsid w:val="00DB3EC9"/>
    <w:rsid w:val="00DB5C2D"/>
    <w:rsid w:val="00DC1485"/>
    <w:rsid w:val="00DC4011"/>
    <w:rsid w:val="00DC542F"/>
    <w:rsid w:val="00DC689A"/>
    <w:rsid w:val="00DC74AB"/>
    <w:rsid w:val="00DC7981"/>
    <w:rsid w:val="00DD0080"/>
    <w:rsid w:val="00DD1792"/>
    <w:rsid w:val="00DD2161"/>
    <w:rsid w:val="00DD2AAD"/>
    <w:rsid w:val="00DD326B"/>
    <w:rsid w:val="00DD7711"/>
    <w:rsid w:val="00DE4EFA"/>
    <w:rsid w:val="00DE5520"/>
    <w:rsid w:val="00DE6B1A"/>
    <w:rsid w:val="00DF0A7A"/>
    <w:rsid w:val="00DF1FD1"/>
    <w:rsid w:val="00E0355E"/>
    <w:rsid w:val="00E04818"/>
    <w:rsid w:val="00E0601D"/>
    <w:rsid w:val="00E06442"/>
    <w:rsid w:val="00E07210"/>
    <w:rsid w:val="00E11717"/>
    <w:rsid w:val="00E14A1C"/>
    <w:rsid w:val="00E2068A"/>
    <w:rsid w:val="00E22D54"/>
    <w:rsid w:val="00E23993"/>
    <w:rsid w:val="00E24679"/>
    <w:rsid w:val="00E25751"/>
    <w:rsid w:val="00E25B8C"/>
    <w:rsid w:val="00E27F27"/>
    <w:rsid w:val="00E30A55"/>
    <w:rsid w:val="00E370FD"/>
    <w:rsid w:val="00E431D1"/>
    <w:rsid w:val="00E43D96"/>
    <w:rsid w:val="00E4674F"/>
    <w:rsid w:val="00E46C6B"/>
    <w:rsid w:val="00E478AE"/>
    <w:rsid w:val="00E510CD"/>
    <w:rsid w:val="00E53603"/>
    <w:rsid w:val="00E5527C"/>
    <w:rsid w:val="00E63639"/>
    <w:rsid w:val="00E65C85"/>
    <w:rsid w:val="00E66199"/>
    <w:rsid w:val="00E66C03"/>
    <w:rsid w:val="00E66D3B"/>
    <w:rsid w:val="00E713A3"/>
    <w:rsid w:val="00E727EA"/>
    <w:rsid w:val="00E75464"/>
    <w:rsid w:val="00E754FF"/>
    <w:rsid w:val="00E755EC"/>
    <w:rsid w:val="00E7624D"/>
    <w:rsid w:val="00E76E9A"/>
    <w:rsid w:val="00E779B2"/>
    <w:rsid w:val="00E77F90"/>
    <w:rsid w:val="00E80828"/>
    <w:rsid w:val="00E81E43"/>
    <w:rsid w:val="00E87A15"/>
    <w:rsid w:val="00E90A2D"/>
    <w:rsid w:val="00E90B8C"/>
    <w:rsid w:val="00E9353C"/>
    <w:rsid w:val="00EA2274"/>
    <w:rsid w:val="00EA3D42"/>
    <w:rsid w:val="00EA3E0E"/>
    <w:rsid w:val="00EA6B1B"/>
    <w:rsid w:val="00EB00FC"/>
    <w:rsid w:val="00EB54FB"/>
    <w:rsid w:val="00EB58CA"/>
    <w:rsid w:val="00EB5B4A"/>
    <w:rsid w:val="00EB675D"/>
    <w:rsid w:val="00EC4F3F"/>
    <w:rsid w:val="00ED7834"/>
    <w:rsid w:val="00EE0F1B"/>
    <w:rsid w:val="00EE17BA"/>
    <w:rsid w:val="00EE28F3"/>
    <w:rsid w:val="00EE59E0"/>
    <w:rsid w:val="00EE7425"/>
    <w:rsid w:val="00EE745E"/>
    <w:rsid w:val="00EE7721"/>
    <w:rsid w:val="00EF5110"/>
    <w:rsid w:val="00F028AA"/>
    <w:rsid w:val="00F03484"/>
    <w:rsid w:val="00F03C7E"/>
    <w:rsid w:val="00F03F5A"/>
    <w:rsid w:val="00F06E92"/>
    <w:rsid w:val="00F07CC0"/>
    <w:rsid w:val="00F100EC"/>
    <w:rsid w:val="00F102DE"/>
    <w:rsid w:val="00F10884"/>
    <w:rsid w:val="00F12D58"/>
    <w:rsid w:val="00F14DDA"/>
    <w:rsid w:val="00F15882"/>
    <w:rsid w:val="00F16946"/>
    <w:rsid w:val="00F179DD"/>
    <w:rsid w:val="00F20BD3"/>
    <w:rsid w:val="00F20F62"/>
    <w:rsid w:val="00F24765"/>
    <w:rsid w:val="00F257A1"/>
    <w:rsid w:val="00F257BC"/>
    <w:rsid w:val="00F2595E"/>
    <w:rsid w:val="00F26E09"/>
    <w:rsid w:val="00F30D7C"/>
    <w:rsid w:val="00F31085"/>
    <w:rsid w:val="00F322BD"/>
    <w:rsid w:val="00F328B0"/>
    <w:rsid w:val="00F33B51"/>
    <w:rsid w:val="00F373A5"/>
    <w:rsid w:val="00F413FB"/>
    <w:rsid w:val="00F4398E"/>
    <w:rsid w:val="00F43BEC"/>
    <w:rsid w:val="00F47559"/>
    <w:rsid w:val="00F53FD3"/>
    <w:rsid w:val="00F57027"/>
    <w:rsid w:val="00F60BE4"/>
    <w:rsid w:val="00F61B84"/>
    <w:rsid w:val="00F625D4"/>
    <w:rsid w:val="00F62762"/>
    <w:rsid w:val="00F636FE"/>
    <w:rsid w:val="00F63D76"/>
    <w:rsid w:val="00F64C7B"/>
    <w:rsid w:val="00F6532C"/>
    <w:rsid w:val="00F66461"/>
    <w:rsid w:val="00F676DD"/>
    <w:rsid w:val="00F67B82"/>
    <w:rsid w:val="00F67CBA"/>
    <w:rsid w:val="00F67D3F"/>
    <w:rsid w:val="00F723EC"/>
    <w:rsid w:val="00F73667"/>
    <w:rsid w:val="00F7383B"/>
    <w:rsid w:val="00F73BB9"/>
    <w:rsid w:val="00F73DD0"/>
    <w:rsid w:val="00F7400B"/>
    <w:rsid w:val="00F75A26"/>
    <w:rsid w:val="00F75A62"/>
    <w:rsid w:val="00F7666A"/>
    <w:rsid w:val="00F77D30"/>
    <w:rsid w:val="00F8256F"/>
    <w:rsid w:val="00F8266D"/>
    <w:rsid w:val="00F82750"/>
    <w:rsid w:val="00F83FAD"/>
    <w:rsid w:val="00F84C8D"/>
    <w:rsid w:val="00F85C43"/>
    <w:rsid w:val="00F9122F"/>
    <w:rsid w:val="00F91DC6"/>
    <w:rsid w:val="00F9479C"/>
    <w:rsid w:val="00F94887"/>
    <w:rsid w:val="00F952A0"/>
    <w:rsid w:val="00F95722"/>
    <w:rsid w:val="00F974D8"/>
    <w:rsid w:val="00F97E5B"/>
    <w:rsid w:val="00F97EBF"/>
    <w:rsid w:val="00FA0DDE"/>
    <w:rsid w:val="00FA3924"/>
    <w:rsid w:val="00FA3C7F"/>
    <w:rsid w:val="00FA4FAE"/>
    <w:rsid w:val="00FA77DA"/>
    <w:rsid w:val="00FB1743"/>
    <w:rsid w:val="00FB52D7"/>
    <w:rsid w:val="00FB74C1"/>
    <w:rsid w:val="00FB74E2"/>
    <w:rsid w:val="00FC0B42"/>
    <w:rsid w:val="00FC16F0"/>
    <w:rsid w:val="00FC5F54"/>
    <w:rsid w:val="00FC6540"/>
    <w:rsid w:val="00FD5614"/>
    <w:rsid w:val="00FE018A"/>
    <w:rsid w:val="00FE0BE1"/>
    <w:rsid w:val="00FE1580"/>
    <w:rsid w:val="00FE1B05"/>
    <w:rsid w:val="00FE1DE9"/>
    <w:rsid w:val="00FE39C2"/>
    <w:rsid w:val="00FE621B"/>
    <w:rsid w:val="00FE64AE"/>
    <w:rsid w:val="00FE7345"/>
    <w:rsid w:val="00FF0C06"/>
    <w:rsid w:val="00FF48D7"/>
    <w:rsid w:val="00FF4E47"/>
    <w:rsid w:val="00FF6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5CA52"/>
  <w15:docId w15:val="{5DFCC7EF-78BD-4DDF-B96F-E82F7546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F18"/>
    <w:rPr>
      <w:rFonts w:ascii="Arial" w:hAnsi="Arial"/>
    </w:rPr>
  </w:style>
  <w:style w:type="paragraph" w:styleId="Heading1">
    <w:name w:val="heading 1"/>
    <w:basedOn w:val="Normal"/>
    <w:next w:val="Normal"/>
    <w:link w:val="Heading1Char"/>
    <w:qFormat/>
    <w:rsid w:val="00E370FD"/>
    <w:pPr>
      <w:spacing w:before="240"/>
      <w:outlineLvl w:val="0"/>
    </w:pPr>
    <w:rPr>
      <w:rFonts w:ascii="Palatino Linotype" w:eastAsiaTheme="majorEastAsia" w:hAnsi="Palatino Linotype" w:cstheme="majorBidi"/>
      <w:bCs/>
      <w:color w:val="410099" w:themeColor="accent1"/>
      <w:sz w:val="32"/>
      <w:szCs w:val="28"/>
    </w:rPr>
  </w:style>
  <w:style w:type="paragraph" w:styleId="Heading2">
    <w:name w:val="heading 2"/>
    <w:next w:val="Normal"/>
    <w:link w:val="Heading2Char"/>
    <w:qFormat/>
    <w:rsid w:val="00E370FD"/>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370FD"/>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D64AF7"/>
    <w:pPr>
      <w:numPr>
        <w:numId w:val="26"/>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70FD"/>
    <w:rPr>
      <w:rFonts w:ascii="Palatino Linotype" w:eastAsiaTheme="majorEastAsia" w:hAnsi="Palatino Linotype" w:cstheme="majorBidi"/>
      <w:bCs/>
      <w:color w:val="410099" w:themeColor="accent1"/>
      <w:sz w:val="32"/>
      <w:szCs w:val="28"/>
    </w:rPr>
  </w:style>
  <w:style w:type="character" w:customStyle="1" w:styleId="Heading2Char">
    <w:name w:val="Heading 2 Char"/>
    <w:basedOn w:val="DefaultParagraphFont"/>
    <w:link w:val="Heading2"/>
    <w:rsid w:val="00E370FD"/>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370FD"/>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370FD"/>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370FD"/>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370FD"/>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370FD"/>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1"/>
      </w:numPr>
      <w:tabs>
        <w:tab w:val="left" w:pos="680"/>
      </w:tabs>
    </w:pPr>
  </w:style>
  <w:style w:type="paragraph" w:customStyle="1" w:styleId="Numbered11">
    <w:name w:val="Numbered 1.1"/>
    <w:basedOn w:val="Heading2"/>
    <w:next w:val="Normal"/>
    <w:qFormat/>
    <w:rsid w:val="000E3A2E"/>
    <w:pPr>
      <w:numPr>
        <w:ilvl w:val="1"/>
        <w:numId w:val="11"/>
      </w:numPr>
      <w:tabs>
        <w:tab w:val="left" w:pos="1021"/>
      </w:tabs>
      <w:ind w:left="1021" w:hanging="1021"/>
    </w:pPr>
    <w:rPr>
      <w:rFonts w:cs="Arial"/>
    </w:rPr>
  </w:style>
  <w:style w:type="paragraph" w:customStyle="1" w:styleId="Numbered111">
    <w:name w:val="Numbered 1.1.1"/>
    <w:basedOn w:val="Heading3"/>
    <w:next w:val="Normal"/>
    <w:qFormat/>
    <w:rsid w:val="009F2BE5"/>
    <w:pPr>
      <w:numPr>
        <w:ilvl w:val="2"/>
        <w:numId w:val="11"/>
      </w:numPr>
      <w:tabs>
        <w:tab w:val="left" w:pos="1361"/>
      </w:tabs>
      <w:ind w:left="1021" w:hanging="1021"/>
      <w:contextualSpacing/>
    </w:pPr>
  </w:style>
  <w:style w:type="paragraph" w:customStyle="1" w:styleId="Numbered1111">
    <w:name w:val="Numbered 1.1.1.1"/>
    <w:basedOn w:val="Heading4"/>
    <w:next w:val="Normal"/>
    <w:rsid w:val="00F61B84"/>
    <w:pPr>
      <w:numPr>
        <w:ilvl w:val="3"/>
        <w:numId w:val="11"/>
      </w:numPr>
      <w:tabs>
        <w:tab w:val="left" w:pos="1361"/>
      </w:tabs>
      <w:ind w:left="1361" w:hanging="1361"/>
    </w:pPr>
  </w:style>
  <w:style w:type="paragraph" w:customStyle="1" w:styleId="Numbered11111">
    <w:name w:val="Numbered 1.1.1.1.1"/>
    <w:basedOn w:val="Heading5"/>
    <w:next w:val="Normal"/>
    <w:uiPriority w:val="2"/>
    <w:rsid w:val="00F61B84"/>
    <w:pPr>
      <w:numPr>
        <w:ilvl w:val="4"/>
        <w:numId w:val="11"/>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1"/>
      </w:numPr>
      <w:tabs>
        <w:tab w:val="left" w:pos="1701"/>
      </w:tabs>
      <w:ind w:left="1701" w:hanging="1701"/>
    </w:pPr>
  </w:style>
  <w:style w:type="paragraph" w:styleId="Header">
    <w:name w:val="header"/>
    <w:basedOn w:val="Normal"/>
    <w:link w:val="HeaderChar"/>
    <w:uiPriority w:val="99"/>
    <w:unhideWhenUsed/>
    <w:qFormat/>
    <w:rsid w:val="00E370FD"/>
    <w:pPr>
      <w:tabs>
        <w:tab w:val="center" w:pos="4513"/>
        <w:tab w:val="right" w:pos="9026"/>
      </w:tabs>
      <w:spacing w:after="120"/>
    </w:pPr>
    <w:rPr>
      <w:sz w:val="18"/>
    </w:rPr>
  </w:style>
  <w:style w:type="character" w:customStyle="1" w:styleId="HeaderChar">
    <w:name w:val="Header Char"/>
    <w:basedOn w:val="DefaultParagraphFont"/>
    <w:link w:val="Header"/>
    <w:uiPriority w:val="99"/>
    <w:rsid w:val="00E370FD"/>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370FD"/>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370FD"/>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370FD"/>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370FD"/>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2"/>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370FD"/>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3"/>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370FD"/>
    <w:pPr>
      <w:tabs>
        <w:tab w:val="center" w:pos="4513"/>
        <w:tab w:val="right" w:pos="9026"/>
      </w:tabs>
      <w:spacing w:after="120"/>
    </w:pPr>
    <w:rPr>
      <w:sz w:val="18"/>
    </w:rPr>
  </w:style>
  <w:style w:type="character" w:customStyle="1" w:styleId="FooterChar">
    <w:name w:val="Footer Char"/>
    <w:basedOn w:val="DefaultParagraphFont"/>
    <w:link w:val="Footer"/>
    <w:uiPriority w:val="99"/>
    <w:rsid w:val="00E370FD"/>
    <w:rPr>
      <w:rFonts w:ascii="Arial" w:hAnsi="Arial"/>
      <w:sz w:val="18"/>
    </w:rPr>
  </w:style>
  <w:style w:type="paragraph" w:styleId="ListParagraph">
    <w:name w:val="List Paragraph"/>
    <w:basedOn w:val="Normal"/>
    <w:uiPriority w:val="34"/>
    <w:qFormat/>
    <w:rsid w:val="00F61B84"/>
    <w:p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D64AF7"/>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1"/>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1"/>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E370FD"/>
    <w:pPr>
      <w:spacing w:before="720" w:after="120"/>
      <w:contextualSpacing/>
      <w:outlineLvl w:val="0"/>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E370FD"/>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370FD"/>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D73D5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D73D5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370FD"/>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370FD"/>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E370FD"/>
    <w:pPr>
      <w:tabs>
        <w:tab w:val="clear" w:pos="4513"/>
        <w:tab w:val="clear" w:pos="9026"/>
        <w:tab w:val="center" w:pos="4320"/>
        <w:tab w:val="right" w:pos="8640"/>
      </w:tabs>
      <w:spacing w:before="0" w:after="200"/>
      <w:jc w:val="right"/>
    </w:pPr>
    <w:rPr>
      <w:rFonts w:cs="Times New Roman"/>
      <w:szCs w:val="20"/>
      <w:lang w:val="en-US" w:eastAsia="ja-JP"/>
    </w:rPr>
  </w:style>
  <w:style w:type="paragraph" w:customStyle="1" w:styleId="Numbered111111111">
    <w:name w:val="Numbered 1.1.1.1.1.1.1.1.1"/>
    <w:basedOn w:val="Heading9"/>
    <w:next w:val="Normal"/>
    <w:uiPriority w:val="2"/>
    <w:rsid w:val="00B60F5D"/>
    <w:pPr>
      <w:numPr>
        <w:ilvl w:val="8"/>
        <w:numId w:val="11"/>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3"/>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table" w:customStyle="1" w:styleId="ACCCTable1">
    <w:name w:val="ACCC Table1"/>
    <w:basedOn w:val="TableNormal"/>
    <w:next w:val="TableGrid"/>
    <w:uiPriority w:val="59"/>
    <w:rsid w:val="000E3A2E"/>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Normal"/>
    <w:link w:val="TableHeading-rightChar"/>
    <w:rsid w:val="00E370FD"/>
    <w:pPr>
      <w:tabs>
        <w:tab w:val="left" w:pos="680"/>
      </w:tabs>
      <w:spacing w:before="240"/>
      <w:ind w:left="680" w:hanging="680"/>
      <w:jc w:val="right"/>
      <w:outlineLvl w:val="0"/>
    </w:pPr>
    <w:rPr>
      <w:rFonts w:ascii="Palatino Linotype" w:eastAsia="Times New Roman" w:hAnsi="Palatino Linotype" w:cs="Times New Roman"/>
      <w:color w:val="410099" w:themeColor="accent1"/>
      <w:sz w:val="32"/>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rightChar">
    <w:name w:val="Table Heading - right Char"/>
    <w:basedOn w:val="DefaultParagraphFont"/>
    <w:link w:val="TableHeading-right"/>
    <w:rsid w:val="00E370FD"/>
    <w:rPr>
      <w:rFonts w:ascii="Palatino Linotype" w:eastAsia="Times New Roman" w:hAnsi="Palatino Linotype" w:cs="Times New Roman"/>
      <w:color w:val="410099" w:themeColor="accent1"/>
      <w:sz w:val="32"/>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Normal"/>
    <w:rsid w:val="00E370FD"/>
    <w:pPr>
      <w:tabs>
        <w:tab w:val="left" w:pos="680"/>
      </w:tabs>
      <w:spacing w:before="240"/>
      <w:ind w:left="680" w:hanging="680"/>
      <w:jc w:val="center"/>
      <w:outlineLvl w:val="0"/>
    </w:pPr>
    <w:rPr>
      <w:rFonts w:ascii="Palatino Linotype" w:eastAsia="Times New Roman" w:hAnsi="Palatino Linotype" w:cs="Times New Roman"/>
      <w:color w:val="410099" w:themeColor="accent1"/>
      <w:sz w:val="32"/>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E370FD"/>
    <w:pPr>
      <w:ind w:left="680" w:hanging="680"/>
      <w:outlineLvl w:val="9"/>
    </w:pPr>
    <w:rPr>
      <w:bCs w:val="0"/>
      <w:color w:val="auto"/>
      <w:sz w:val="22"/>
    </w:rPr>
  </w:style>
  <w:style w:type="character" w:customStyle="1" w:styleId="Numbered1Char">
    <w:name w:val="Numbered 1 Char"/>
    <w:basedOn w:val="Heading1Char"/>
    <w:link w:val="Numbered1"/>
    <w:rsid w:val="00F61B84"/>
    <w:rPr>
      <w:rFonts w:ascii="Palatino Linotype" w:eastAsiaTheme="majorEastAsia" w:hAnsi="Palatino Linotype" w:cstheme="majorBidi"/>
      <w:bCs/>
      <w:color w:val="410099" w:themeColor="accent1"/>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2"/>
      </w:numPr>
      <w:tabs>
        <w:tab w:val="left" w:pos="680"/>
      </w:tabs>
      <w:spacing w:before="120"/>
    </w:pPr>
    <w:rPr>
      <w:rFonts w:ascii="Arial" w:hAnsi="Arial"/>
    </w:rPr>
  </w:style>
  <w:style w:type="paragraph" w:customStyle="1" w:styleId="Listalphabet3">
    <w:name w:val="List alphabet 3"/>
    <w:rsid w:val="00CF799E"/>
    <w:pPr>
      <w:numPr>
        <w:numId w:val="18"/>
      </w:numPr>
      <w:tabs>
        <w:tab w:val="left" w:pos="1021"/>
      </w:tabs>
      <w:spacing w:before="120"/>
    </w:pPr>
    <w:rPr>
      <w:rFonts w:ascii="Arial" w:hAnsi="Arial"/>
    </w:rPr>
  </w:style>
  <w:style w:type="paragraph" w:customStyle="1" w:styleId="Listalphabet4">
    <w:name w:val="List alphabet 4"/>
    <w:rsid w:val="00CF799E"/>
    <w:pPr>
      <w:numPr>
        <w:numId w:val="19"/>
      </w:numPr>
      <w:tabs>
        <w:tab w:val="left" w:pos="1361"/>
      </w:tabs>
      <w:spacing w:before="120"/>
    </w:pPr>
    <w:rPr>
      <w:rFonts w:ascii="Arial" w:hAnsi="Arial"/>
    </w:rPr>
  </w:style>
  <w:style w:type="paragraph" w:customStyle="1" w:styleId="Listalphabet5">
    <w:name w:val="List alphabet 5"/>
    <w:rsid w:val="00CF799E"/>
    <w:pPr>
      <w:numPr>
        <w:numId w:val="20"/>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1"/>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370FD"/>
    <w:rPr>
      <w:smallCaps/>
      <w:color w:val="auto"/>
      <w:u w:val="single"/>
    </w:rPr>
  </w:style>
  <w:style w:type="paragraph" w:customStyle="1" w:styleId="ListLegal">
    <w:name w:val="List Legal"/>
    <w:basedOn w:val="ListParagraph"/>
    <w:rsid w:val="00CF799E"/>
    <w:pPr>
      <w:numPr>
        <w:numId w:val="24"/>
      </w:numPr>
      <w:tabs>
        <w:tab w:val="clear" w:pos="340"/>
        <w:tab w:val="left" w:pos="680"/>
      </w:tabs>
    </w:pPr>
  </w:style>
  <w:style w:type="paragraph" w:customStyle="1" w:styleId="ListLegal2">
    <w:name w:val="List Legal 2"/>
    <w:basedOn w:val="ListLegal"/>
    <w:rsid w:val="00C06739"/>
    <w:pPr>
      <w:numPr>
        <w:numId w:val="15"/>
      </w:numPr>
      <w:tabs>
        <w:tab w:val="clear" w:pos="680"/>
        <w:tab w:val="left" w:pos="1021"/>
      </w:tabs>
    </w:pPr>
  </w:style>
  <w:style w:type="paragraph" w:customStyle="1" w:styleId="ListLegal3">
    <w:name w:val="List Legal 3"/>
    <w:basedOn w:val="ListNumber3"/>
    <w:rsid w:val="00CF799E"/>
    <w:pPr>
      <w:numPr>
        <w:numId w:val="14"/>
      </w:numPr>
      <w:tabs>
        <w:tab w:val="clear" w:pos="1021"/>
        <w:tab w:val="left" w:pos="1361"/>
      </w:tabs>
    </w:pPr>
  </w:style>
  <w:style w:type="paragraph" w:customStyle="1" w:styleId="ListLegal4">
    <w:name w:val="List Legal 4"/>
    <w:basedOn w:val="ListLegal3"/>
    <w:rsid w:val="00CF799E"/>
    <w:pPr>
      <w:numPr>
        <w:numId w:val="16"/>
      </w:numPr>
      <w:tabs>
        <w:tab w:val="clear" w:pos="1361"/>
        <w:tab w:val="left" w:pos="1701"/>
      </w:tabs>
    </w:pPr>
  </w:style>
  <w:style w:type="paragraph" w:customStyle="1" w:styleId="ListLegal5">
    <w:name w:val="List Legal 5"/>
    <w:basedOn w:val="ListLegal4"/>
    <w:rsid w:val="000F2368"/>
    <w:pPr>
      <w:numPr>
        <w:numId w:val="25"/>
      </w:numPr>
      <w:tabs>
        <w:tab w:val="clear" w:pos="1701"/>
        <w:tab w:val="left" w:pos="2041"/>
      </w:tabs>
    </w:pPr>
  </w:style>
  <w:style w:type="paragraph" w:customStyle="1" w:styleId="LegalNumbering">
    <w:name w:val="Legal Numbering"/>
    <w:basedOn w:val="Normal"/>
    <w:qFormat/>
    <w:rsid w:val="0002115F"/>
    <w:pPr>
      <w:numPr>
        <w:numId w:val="17"/>
      </w:numPr>
      <w:tabs>
        <w:tab w:val="left" w:pos="340"/>
        <w:tab w:val="left" w:pos="680"/>
        <w:tab w:val="left" w:pos="1021"/>
        <w:tab w:val="left" w:pos="1361"/>
      </w:tabs>
    </w:pPr>
  </w:style>
  <w:style w:type="table" w:customStyle="1" w:styleId="LightShading11">
    <w:name w:val="Light Shading11"/>
    <w:basedOn w:val="TableNormal"/>
    <w:next w:val="LightShading"/>
    <w:uiPriority w:val="60"/>
    <w:rsid w:val="00687F39"/>
    <w:pPr>
      <w:spacing w:before="120" w:after="120"/>
    </w:pPr>
    <w:rPr>
      <w:color w:val="000000" w:themeColor="text1" w:themeShade="BF"/>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b w:val="0"/>
        <w:bCs/>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313935"/>
    <w:rPr>
      <w:sz w:val="16"/>
      <w:szCs w:val="16"/>
    </w:rPr>
  </w:style>
  <w:style w:type="paragraph" w:styleId="CommentText">
    <w:name w:val="annotation text"/>
    <w:basedOn w:val="Normal"/>
    <w:link w:val="CommentTextChar"/>
    <w:uiPriority w:val="99"/>
    <w:unhideWhenUsed/>
    <w:rsid w:val="00313935"/>
    <w:rPr>
      <w:sz w:val="20"/>
      <w:szCs w:val="20"/>
    </w:rPr>
  </w:style>
  <w:style w:type="character" w:customStyle="1" w:styleId="CommentTextChar">
    <w:name w:val="Comment Text Char"/>
    <w:basedOn w:val="DefaultParagraphFont"/>
    <w:link w:val="CommentText"/>
    <w:uiPriority w:val="99"/>
    <w:rsid w:val="0031393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13935"/>
    <w:rPr>
      <w:b/>
      <w:bCs/>
    </w:rPr>
  </w:style>
  <w:style w:type="character" w:customStyle="1" w:styleId="CommentSubjectChar">
    <w:name w:val="Comment Subject Char"/>
    <w:basedOn w:val="CommentTextChar"/>
    <w:link w:val="CommentSubject"/>
    <w:uiPriority w:val="99"/>
    <w:semiHidden/>
    <w:rsid w:val="00313935"/>
    <w:rPr>
      <w:rFonts w:ascii="Arial" w:hAnsi="Arial"/>
      <w:b/>
      <w:bCs/>
      <w:sz w:val="20"/>
      <w:szCs w:val="20"/>
    </w:rPr>
  </w:style>
  <w:style w:type="paragraph" w:customStyle="1" w:styleId="Default">
    <w:name w:val="Default"/>
    <w:rsid w:val="002D7118"/>
    <w:pPr>
      <w:autoSpaceDE w:val="0"/>
      <w:autoSpaceDN w:val="0"/>
      <w:adjustRightInd w:val="0"/>
      <w:spacing w:before="0"/>
    </w:pPr>
    <w:rPr>
      <w:rFonts w:ascii="Arial" w:hAnsi="Arial" w:cs="Arial"/>
      <w:color w:val="000000"/>
      <w:sz w:val="24"/>
      <w:szCs w:val="24"/>
    </w:rPr>
  </w:style>
  <w:style w:type="character" w:styleId="FollowedHyperlink">
    <w:name w:val="FollowedHyperlink"/>
    <w:basedOn w:val="DefaultParagraphFont"/>
    <w:uiPriority w:val="99"/>
    <w:semiHidden/>
    <w:unhideWhenUsed/>
    <w:rsid w:val="001D1500"/>
    <w:rPr>
      <w:color w:val="800080" w:themeColor="followedHyperlink"/>
      <w:u w:val="single"/>
    </w:rPr>
  </w:style>
  <w:style w:type="character" w:customStyle="1" w:styleId="ssbarseparator3">
    <w:name w:val="ss_barseparator3"/>
    <w:basedOn w:val="DefaultParagraphFont"/>
    <w:rsid w:val="00A12EEB"/>
    <w:rPr>
      <w:rFonts w:ascii="Times New Roman" w:hAnsi="Times New Roman" w:cs="Times New Roman" w:hint="default"/>
      <w:b w:val="0"/>
      <w:bCs w:val="0"/>
      <w:color w:val="BCBEC0"/>
      <w:sz w:val="32"/>
      <w:szCs w:val="32"/>
    </w:rPr>
  </w:style>
  <w:style w:type="character" w:customStyle="1" w:styleId="ssactiverptr2">
    <w:name w:val="ss_activerptr2"/>
    <w:basedOn w:val="DefaultParagraphFont"/>
    <w:rsid w:val="00A12EEB"/>
    <w:rPr>
      <w:b/>
      <w:bCs/>
      <w:color w:val="BE161D"/>
    </w:rPr>
  </w:style>
  <w:style w:type="paragraph" w:styleId="Revision">
    <w:name w:val="Revision"/>
    <w:hidden/>
    <w:uiPriority w:val="99"/>
    <w:semiHidden/>
    <w:rsid w:val="00594A23"/>
    <w:pPr>
      <w:spacing w:befor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7436">
      <w:bodyDiv w:val="1"/>
      <w:marLeft w:val="0"/>
      <w:marRight w:val="0"/>
      <w:marTop w:val="0"/>
      <w:marBottom w:val="0"/>
      <w:divBdr>
        <w:top w:val="none" w:sz="0" w:space="0" w:color="auto"/>
        <w:left w:val="none" w:sz="0" w:space="0" w:color="auto"/>
        <w:bottom w:val="none" w:sz="0" w:space="0" w:color="auto"/>
        <w:right w:val="none" w:sz="0" w:space="0" w:color="auto"/>
      </w:divBdr>
    </w:div>
    <w:div w:id="651252830">
      <w:bodyDiv w:val="1"/>
      <w:marLeft w:val="0"/>
      <w:marRight w:val="0"/>
      <w:marTop w:val="0"/>
      <w:marBottom w:val="0"/>
      <w:divBdr>
        <w:top w:val="none" w:sz="0" w:space="0" w:color="auto"/>
        <w:left w:val="none" w:sz="0" w:space="0" w:color="auto"/>
        <w:bottom w:val="none" w:sz="0" w:space="0" w:color="auto"/>
        <w:right w:val="none" w:sz="0" w:space="0" w:color="auto"/>
      </w:divBdr>
    </w:div>
    <w:div w:id="747925924">
      <w:bodyDiv w:val="1"/>
      <w:marLeft w:val="0"/>
      <w:marRight w:val="0"/>
      <w:marTop w:val="0"/>
      <w:marBottom w:val="0"/>
      <w:divBdr>
        <w:top w:val="none" w:sz="0" w:space="0" w:color="auto"/>
        <w:left w:val="none" w:sz="0" w:space="0" w:color="auto"/>
        <w:bottom w:val="none" w:sz="0" w:space="0" w:color="auto"/>
        <w:right w:val="none" w:sz="0" w:space="0" w:color="auto"/>
      </w:divBdr>
    </w:div>
    <w:div w:id="915090176">
      <w:bodyDiv w:val="1"/>
      <w:marLeft w:val="0"/>
      <w:marRight w:val="0"/>
      <w:marTop w:val="0"/>
      <w:marBottom w:val="0"/>
      <w:divBdr>
        <w:top w:val="none" w:sz="0" w:space="0" w:color="auto"/>
        <w:left w:val="none" w:sz="0" w:space="0" w:color="auto"/>
        <w:bottom w:val="none" w:sz="0" w:space="0" w:color="auto"/>
        <w:right w:val="none" w:sz="0" w:space="0" w:color="auto"/>
      </w:divBdr>
    </w:div>
    <w:div w:id="103751247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252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cc.gov.au/system/files/1553_Accountability%20Framework%20for%20Investigations_FA.pdf" TargetMode="External"/><Relationship Id="rId5" Type="http://schemas.openxmlformats.org/officeDocument/2006/relationships/settings" Target="settings.xml"/><Relationship Id="rId10" Type="http://schemas.openxmlformats.org/officeDocument/2006/relationships/hyperlink" Target="https://www.accc.gov.au/system/files/ACCC-AER%20Information%20Policy.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CCC\Workgroup\ACCC%20Report%20Template.dotm" TargetMode="Externa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206E88-C137-406E-9135-0980AF06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ACCC Report Template</Template>
  <TotalTime>1863</TotalTime>
  <Pages>7</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Ryan, Matthew</dc:creator>
  <cp:lastModifiedBy>Bezzi, Marcus</cp:lastModifiedBy>
  <cp:revision>104</cp:revision>
  <cp:lastPrinted>2019-10-09T00:01:00Z</cp:lastPrinted>
  <dcterms:created xsi:type="dcterms:W3CDTF">2019-09-18T01:46:00Z</dcterms:created>
  <dcterms:modified xsi:type="dcterms:W3CDTF">2019-11-05T21:12:00Z</dcterms:modified>
</cp:coreProperties>
</file>