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A8D099" w14:textId="77777777" w:rsidR="00A915B5" w:rsidRDefault="00A915B5" w:rsidP="00773359">
      <w:pPr>
        <w:jc w:val="right"/>
      </w:pPr>
    </w:p>
    <w:p w14:paraId="21760D47" w14:textId="754470D0" w:rsidR="00B955D5" w:rsidRPr="005D33D3" w:rsidRDefault="00AB00E7" w:rsidP="00773359">
      <w:pPr>
        <w:jc w:val="right"/>
      </w:pPr>
      <w:r w:rsidRPr="005D33D3">
        <w:rPr>
          <w:noProof/>
          <w:lang w:eastAsia="zh-CN"/>
        </w:rPr>
        <w:drawing>
          <wp:inline distT="0" distB="0" distL="0" distR="0" wp14:anchorId="340F89F7" wp14:editId="532CA7AA">
            <wp:extent cx="3408134" cy="2087593"/>
            <wp:effectExtent l="0" t="0" r="1905"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08134" cy="2087593"/>
                    </a:xfrm>
                    <a:prstGeom prst="rect">
                      <a:avLst/>
                    </a:prstGeom>
                    <a:noFill/>
                    <a:ln>
                      <a:noFill/>
                    </a:ln>
                  </pic:spPr>
                </pic:pic>
              </a:graphicData>
            </a:graphic>
          </wp:inline>
        </w:drawing>
      </w:r>
    </w:p>
    <w:p w14:paraId="48E82732" w14:textId="77777777" w:rsidR="00D72976" w:rsidRPr="005D33D3" w:rsidRDefault="00DE2377" w:rsidP="00773359">
      <w:pPr>
        <w:jc w:val="center"/>
        <w:rPr>
          <w:b/>
          <w:i/>
          <w:sz w:val="24"/>
          <w:szCs w:val="24"/>
        </w:rPr>
      </w:pPr>
      <w:r w:rsidRPr="005D33D3">
        <w:rPr>
          <w:b/>
          <w:sz w:val="24"/>
          <w:szCs w:val="24"/>
        </w:rPr>
        <w:t xml:space="preserve">LESANZ Submission to </w:t>
      </w:r>
      <w:r w:rsidR="00773359" w:rsidRPr="005D33D3">
        <w:rPr>
          <w:b/>
          <w:sz w:val="24"/>
          <w:szCs w:val="24"/>
        </w:rPr>
        <w:t xml:space="preserve">the ACCC concerning the draft </w:t>
      </w:r>
      <w:bookmarkStart w:id="0" w:name="_Hlk14357298"/>
      <w:r w:rsidRPr="005D33D3">
        <w:rPr>
          <w:b/>
          <w:i/>
          <w:sz w:val="24"/>
          <w:szCs w:val="24"/>
        </w:rPr>
        <w:t xml:space="preserve">Guidelines on the </w:t>
      </w:r>
      <w:r w:rsidR="00773359" w:rsidRPr="005D33D3">
        <w:rPr>
          <w:b/>
          <w:i/>
          <w:sz w:val="24"/>
          <w:szCs w:val="24"/>
        </w:rPr>
        <w:t>r</w:t>
      </w:r>
      <w:r w:rsidRPr="005D33D3">
        <w:rPr>
          <w:b/>
          <w:i/>
          <w:sz w:val="24"/>
          <w:szCs w:val="24"/>
        </w:rPr>
        <w:t>epeal of sub-s</w:t>
      </w:r>
      <w:r w:rsidR="00773359" w:rsidRPr="005D33D3">
        <w:rPr>
          <w:b/>
          <w:i/>
          <w:sz w:val="24"/>
          <w:szCs w:val="24"/>
        </w:rPr>
        <w:t>ection </w:t>
      </w:r>
      <w:r w:rsidRPr="005D33D3">
        <w:rPr>
          <w:b/>
          <w:i/>
          <w:sz w:val="24"/>
          <w:szCs w:val="24"/>
        </w:rPr>
        <w:t>51(3) of the Competition and Consumer Act</w:t>
      </w:r>
      <w:r w:rsidR="00773359" w:rsidRPr="005D33D3">
        <w:rPr>
          <w:b/>
          <w:i/>
          <w:sz w:val="24"/>
          <w:szCs w:val="24"/>
        </w:rPr>
        <w:t xml:space="preserve"> 2010 (</w:t>
      </w:r>
      <w:proofErr w:type="spellStart"/>
      <w:r w:rsidR="00773359" w:rsidRPr="005D33D3">
        <w:rPr>
          <w:b/>
          <w:i/>
          <w:sz w:val="24"/>
          <w:szCs w:val="24"/>
        </w:rPr>
        <w:t>Cth</w:t>
      </w:r>
      <w:proofErr w:type="spellEnd"/>
      <w:r w:rsidR="00773359" w:rsidRPr="005D33D3">
        <w:rPr>
          <w:b/>
          <w:i/>
          <w:sz w:val="24"/>
          <w:szCs w:val="24"/>
        </w:rPr>
        <w:t xml:space="preserve">) </w:t>
      </w:r>
      <w:bookmarkEnd w:id="0"/>
    </w:p>
    <w:p w14:paraId="0D34912B" w14:textId="77777777" w:rsidR="00EB529A" w:rsidRPr="005D33D3" w:rsidRDefault="00EB529A" w:rsidP="00773359">
      <w:pPr>
        <w:jc w:val="center"/>
        <w:rPr>
          <w:b/>
          <w:i/>
          <w:sz w:val="24"/>
          <w:szCs w:val="24"/>
        </w:rPr>
      </w:pPr>
      <w:r w:rsidRPr="005D33D3">
        <w:rPr>
          <w:b/>
          <w:i/>
          <w:sz w:val="24"/>
          <w:szCs w:val="24"/>
        </w:rPr>
        <w:t>2</w:t>
      </w:r>
      <w:r w:rsidR="00C87451" w:rsidRPr="005D33D3">
        <w:rPr>
          <w:b/>
          <w:i/>
          <w:sz w:val="24"/>
          <w:szCs w:val="24"/>
        </w:rPr>
        <w:t>9</w:t>
      </w:r>
      <w:r w:rsidRPr="005D33D3">
        <w:rPr>
          <w:b/>
          <w:i/>
          <w:sz w:val="24"/>
          <w:szCs w:val="24"/>
        </w:rPr>
        <w:t xml:space="preserve"> July 2019</w:t>
      </w:r>
    </w:p>
    <w:p w14:paraId="34B1D698" w14:textId="77777777" w:rsidR="00EB529A" w:rsidRPr="005D33D3" w:rsidRDefault="00EB529A" w:rsidP="00773359">
      <w:pPr>
        <w:jc w:val="center"/>
        <w:rPr>
          <w:b/>
          <w:sz w:val="24"/>
          <w:szCs w:val="24"/>
        </w:rPr>
      </w:pPr>
    </w:p>
    <w:p w14:paraId="258252FF" w14:textId="77777777" w:rsidR="000B5DFB" w:rsidRPr="005D33D3" w:rsidRDefault="000B5DFB" w:rsidP="004A2603">
      <w:pPr>
        <w:jc w:val="both"/>
        <w:rPr>
          <w:b/>
        </w:rPr>
      </w:pPr>
    </w:p>
    <w:p w14:paraId="13B6C8F2" w14:textId="77777777" w:rsidR="004A2603" w:rsidRPr="005D33D3" w:rsidRDefault="004A2603" w:rsidP="004A2603">
      <w:pPr>
        <w:snapToGrid w:val="0"/>
        <w:spacing w:after="240"/>
      </w:pPr>
      <w:r w:rsidRPr="005D33D3">
        <w:t xml:space="preserve">The </w:t>
      </w:r>
      <w:r w:rsidR="000B5DFB" w:rsidRPr="005D33D3">
        <w:t>Licensing Executives Society of Australia and New Zealand, Inc. (</w:t>
      </w:r>
      <w:r w:rsidR="000B5DFB" w:rsidRPr="005D33D3">
        <w:rPr>
          <w:b/>
        </w:rPr>
        <w:t>LESANZ</w:t>
      </w:r>
      <w:r w:rsidR="000B5DFB" w:rsidRPr="005D33D3">
        <w:t xml:space="preserve">) thanks the ACCC for the opportunity to provide </w:t>
      </w:r>
      <w:r w:rsidR="00D72976" w:rsidRPr="005D33D3">
        <w:t>comments on</w:t>
      </w:r>
      <w:r w:rsidR="000B5DFB" w:rsidRPr="005D33D3">
        <w:t xml:space="preserve"> the</w:t>
      </w:r>
      <w:r w:rsidR="006B0420" w:rsidRPr="005D33D3">
        <w:t xml:space="preserve"> draft </w:t>
      </w:r>
      <w:r w:rsidR="006B0420" w:rsidRPr="005D33D3">
        <w:rPr>
          <w:i/>
        </w:rPr>
        <w:t>Guidelines on the repeal of sub-section 51(3) of the Competition and Consumer Act 2010 (</w:t>
      </w:r>
      <w:proofErr w:type="spellStart"/>
      <w:r w:rsidR="006B0420" w:rsidRPr="005D33D3">
        <w:rPr>
          <w:i/>
        </w:rPr>
        <w:t>Cth</w:t>
      </w:r>
      <w:proofErr w:type="spellEnd"/>
      <w:r w:rsidR="006B0420" w:rsidRPr="005D33D3">
        <w:rPr>
          <w:i/>
        </w:rPr>
        <w:t xml:space="preserve">) (June 2019) </w:t>
      </w:r>
      <w:r w:rsidR="006B0420" w:rsidRPr="005D33D3">
        <w:t>(</w:t>
      </w:r>
      <w:r w:rsidR="006B0420" w:rsidRPr="005D33D3">
        <w:rPr>
          <w:b/>
        </w:rPr>
        <w:t>draft Guidelines</w:t>
      </w:r>
      <w:r w:rsidR="006B0420" w:rsidRPr="005D33D3">
        <w:t xml:space="preserve">).  </w:t>
      </w:r>
      <w:r w:rsidR="000B5DFB" w:rsidRPr="005D33D3">
        <w:t xml:space="preserve"> </w:t>
      </w:r>
    </w:p>
    <w:p w14:paraId="6647AA41" w14:textId="77777777" w:rsidR="004A2603" w:rsidRPr="005D33D3" w:rsidRDefault="004A2603" w:rsidP="004A2603">
      <w:pPr>
        <w:snapToGrid w:val="0"/>
        <w:spacing w:after="240"/>
      </w:pPr>
      <w:r w:rsidRPr="005D33D3">
        <w:t xml:space="preserve">After reviewing the draft Guidelines and consulting with </w:t>
      </w:r>
      <w:r w:rsidR="0010223E" w:rsidRPr="005D33D3">
        <w:t xml:space="preserve">leading practitioners and </w:t>
      </w:r>
      <w:r w:rsidRPr="005D33D3">
        <w:t xml:space="preserve">various members from the research and university sectors, LESANZ </w:t>
      </w:r>
      <w:r w:rsidR="00A77F7F" w:rsidRPr="005D33D3">
        <w:t>is</w:t>
      </w:r>
      <w:r w:rsidR="002171AE" w:rsidRPr="005D33D3">
        <w:t xml:space="preserve"> concern</w:t>
      </w:r>
      <w:r w:rsidR="00A77F7F" w:rsidRPr="005D33D3">
        <w:t>ed</w:t>
      </w:r>
      <w:r w:rsidRPr="005D33D3">
        <w:t xml:space="preserve"> </w:t>
      </w:r>
      <w:r w:rsidR="00A77F7F" w:rsidRPr="005D33D3">
        <w:t xml:space="preserve">that </w:t>
      </w:r>
      <w:r w:rsidRPr="005D33D3">
        <w:t>the draft Guidelines</w:t>
      </w:r>
      <w:r w:rsidR="00F84FE5" w:rsidRPr="005D33D3">
        <w:t xml:space="preserve"> </w:t>
      </w:r>
      <w:r w:rsidR="00063123" w:rsidRPr="005D33D3">
        <w:t>may</w:t>
      </w:r>
      <w:r w:rsidR="00F84FE5" w:rsidRPr="005D33D3">
        <w:t xml:space="preserve"> have an unnecessary “chilling effect” on</w:t>
      </w:r>
      <w:r w:rsidR="00A77F7F" w:rsidRPr="005D33D3">
        <w:t xml:space="preserve"> the commercialisation of </w:t>
      </w:r>
      <w:r w:rsidR="004C2279" w:rsidRPr="005D33D3">
        <w:t xml:space="preserve">science and technology </w:t>
      </w:r>
      <w:r w:rsidR="00A77F7F" w:rsidRPr="005D33D3">
        <w:t>in Australia</w:t>
      </w:r>
      <w:r w:rsidR="00F84FE5" w:rsidRPr="005D33D3">
        <w:t xml:space="preserve">, at a time </w:t>
      </w:r>
      <w:r w:rsidR="004C2279" w:rsidRPr="005D33D3">
        <w:t>when it is clearly recognised that Australia needs to significantly improve</w:t>
      </w:r>
      <w:r w:rsidR="0010223E" w:rsidRPr="005D33D3">
        <w:t xml:space="preserve"> in this area</w:t>
      </w:r>
      <w:r w:rsidR="006B0420" w:rsidRPr="005D33D3">
        <w:t xml:space="preserve">.  </w:t>
      </w:r>
    </w:p>
    <w:p w14:paraId="665B5E3F" w14:textId="77777777" w:rsidR="006B0420" w:rsidRPr="005D33D3" w:rsidRDefault="000B5DFB" w:rsidP="004A2603">
      <w:pPr>
        <w:snapToGrid w:val="0"/>
        <w:spacing w:after="240"/>
      </w:pPr>
      <w:r w:rsidRPr="005D33D3">
        <w:t xml:space="preserve">LESANZ is committed to continuing to foster </w:t>
      </w:r>
      <w:r w:rsidR="004A2603" w:rsidRPr="005D33D3">
        <w:t>its</w:t>
      </w:r>
      <w:r w:rsidR="0016422E" w:rsidRPr="005D33D3">
        <w:t xml:space="preserve"> </w:t>
      </w:r>
      <w:r w:rsidRPr="005D33D3">
        <w:t>relationship</w:t>
      </w:r>
      <w:r w:rsidR="0016422E" w:rsidRPr="005D33D3">
        <w:t xml:space="preserve"> with the ACCC</w:t>
      </w:r>
      <w:r w:rsidRPr="005D33D3">
        <w:t xml:space="preserve"> on behalf of </w:t>
      </w:r>
      <w:r w:rsidR="004A2603" w:rsidRPr="005D33D3">
        <w:t>its</w:t>
      </w:r>
      <w:r w:rsidRPr="005D33D3">
        <w:t xml:space="preserve"> membership</w:t>
      </w:r>
      <w:r w:rsidR="0016422E" w:rsidRPr="005D33D3">
        <w:t xml:space="preserve"> and hopes that </w:t>
      </w:r>
      <w:r w:rsidR="00DE2377" w:rsidRPr="005D33D3">
        <w:t>our</w:t>
      </w:r>
      <w:r w:rsidR="0016422E" w:rsidRPr="005D33D3">
        <w:t xml:space="preserve"> submission </w:t>
      </w:r>
      <w:r w:rsidR="000A171B" w:rsidRPr="005D33D3">
        <w:t xml:space="preserve">will be carefully </w:t>
      </w:r>
      <w:r w:rsidR="0016422E" w:rsidRPr="005D33D3">
        <w:t>considered</w:t>
      </w:r>
      <w:r w:rsidR="004A2603" w:rsidRPr="005D33D3">
        <w:t xml:space="preserve"> by the ACCC</w:t>
      </w:r>
      <w:r w:rsidRPr="005D33D3">
        <w:t>.</w:t>
      </w:r>
      <w:r w:rsidR="006B0420" w:rsidRPr="005D33D3">
        <w:t xml:space="preserve">  LESANZ </w:t>
      </w:r>
      <w:r w:rsidR="000E08D8" w:rsidRPr="005D33D3">
        <w:t xml:space="preserve">is </w:t>
      </w:r>
      <w:proofErr w:type="gramStart"/>
      <w:r w:rsidR="006B0420" w:rsidRPr="005D33D3">
        <w:t>also</w:t>
      </w:r>
      <w:proofErr w:type="gramEnd"/>
      <w:r w:rsidR="006B0420" w:rsidRPr="005D33D3">
        <w:t xml:space="preserve"> </w:t>
      </w:r>
      <w:r w:rsidR="000E08D8" w:rsidRPr="005D33D3">
        <w:t xml:space="preserve">keen </w:t>
      </w:r>
      <w:r w:rsidR="006B0420" w:rsidRPr="005D33D3">
        <w:t xml:space="preserve">to </w:t>
      </w:r>
      <w:r w:rsidR="002171AE" w:rsidRPr="005D33D3">
        <w:t>meet with</w:t>
      </w:r>
      <w:r w:rsidR="006B0420" w:rsidRPr="005D33D3">
        <w:t xml:space="preserve"> the ACCC </w:t>
      </w:r>
      <w:r w:rsidR="002171AE" w:rsidRPr="005D33D3">
        <w:t>to discuss these comments</w:t>
      </w:r>
      <w:r w:rsidR="006B0420" w:rsidRPr="005D33D3">
        <w:t>.</w:t>
      </w:r>
    </w:p>
    <w:p w14:paraId="5A3B8089" w14:textId="77777777" w:rsidR="00A0639E" w:rsidRPr="005D33D3" w:rsidRDefault="00A0639E" w:rsidP="00E120E6">
      <w:pPr>
        <w:pStyle w:val="Heading1"/>
        <w:keepNext/>
        <w:snapToGrid w:val="0"/>
        <w:rPr>
          <w:b/>
        </w:rPr>
      </w:pPr>
      <w:r w:rsidRPr="005D33D3">
        <w:rPr>
          <w:b/>
        </w:rPr>
        <w:t>About LESANZ</w:t>
      </w:r>
    </w:p>
    <w:p w14:paraId="37BEE5F5" w14:textId="77777777" w:rsidR="004A2603" w:rsidRPr="005D33D3" w:rsidRDefault="00A22117" w:rsidP="005F7CC5">
      <w:pPr>
        <w:pStyle w:val="Heading2"/>
      </w:pPr>
      <w:r w:rsidRPr="005D33D3">
        <w:t xml:space="preserve">LESANZ is the peak body in Australia and New Zealand for innovation and commercialisation professionals. </w:t>
      </w:r>
      <w:r w:rsidR="004A2603" w:rsidRPr="005D33D3">
        <w:t xml:space="preserve"> Its</w:t>
      </w:r>
      <w:r w:rsidRPr="005D33D3">
        <w:t xml:space="preserve"> focus is to create an environment for effective and successful commercialisation through the open exchange of ideas, </w:t>
      </w:r>
      <w:r w:rsidR="00526DDC" w:rsidRPr="005D33D3">
        <w:t xml:space="preserve">the </w:t>
      </w:r>
      <w:r w:rsidRPr="005D33D3">
        <w:t xml:space="preserve">identification of best practice and the encouragement of innovation through networking and education in all areas of intellectual property and knowledge transfer. </w:t>
      </w:r>
      <w:r w:rsidR="004A2603" w:rsidRPr="005D33D3">
        <w:t xml:space="preserve"> </w:t>
      </w:r>
      <w:r w:rsidRPr="005D33D3">
        <w:t xml:space="preserve">With approximately </w:t>
      </w:r>
      <w:proofErr w:type="gramStart"/>
      <w:r w:rsidR="0038709F" w:rsidRPr="005D33D3">
        <w:t xml:space="preserve">350 </w:t>
      </w:r>
      <w:r w:rsidRPr="005D33D3">
        <w:t xml:space="preserve"> members</w:t>
      </w:r>
      <w:proofErr w:type="gramEnd"/>
      <w:r w:rsidRPr="005D33D3">
        <w:t xml:space="preserve"> representing all steps </w:t>
      </w:r>
      <w:r w:rsidR="00526DDC" w:rsidRPr="005D33D3">
        <w:t>along</w:t>
      </w:r>
      <w:r w:rsidRPr="005D33D3">
        <w:t xml:space="preserve"> the commercialisation pathway, and as a member society of Licensing Executives Society International (comprising more than </w:t>
      </w:r>
      <w:r w:rsidR="0038709F" w:rsidRPr="005D33D3">
        <w:t>8</w:t>
      </w:r>
      <w:r w:rsidRPr="005D33D3">
        <w:t xml:space="preserve">,000 members), LESANZ is uniquely placed to provide </w:t>
      </w:r>
      <w:r w:rsidR="00035098" w:rsidRPr="005D33D3">
        <w:t>deep insights into the commercialisation of intellectual property</w:t>
      </w:r>
      <w:r w:rsidRPr="005D33D3">
        <w:t xml:space="preserve">. </w:t>
      </w:r>
      <w:r w:rsidR="004A2603" w:rsidRPr="005D33D3">
        <w:t xml:space="preserve"> </w:t>
      </w:r>
    </w:p>
    <w:p w14:paraId="3188A7D8" w14:textId="77777777" w:rsidR="00A0639E" w:rsidRPr="005D33D3" w:rsidRDefault="00A22117" w:rsidP="005F7CC5">
      <w:pPr>
        <w:pStyle w:val="Heading2"/>
      </w:pPr>
      <w:r w:rsidRPr="005D33D3">
        <w:t xml:space="preserve">More information about </w:t>
      </w:r>
      <w:r w:rsidR="004A2603" w:rsidRPr="005D33D3">
        <w:t>LESANZ</w:t>
      </w:r>
      <w:r w:rsidRPr="005D33D3">
        <w:t xml:space="preserve"> can be found at </w:t>
      </w:r>
      <w:hyperlink r:id="rId9" w:history="1">
        <w:r w:rsidR="004A2603" w:rsidRPr="005D33D3">
          <w:rPr>
            <w:rStyle w:val="Hyperlink"/>
          </w:rPr>
          <w:t>www.lesanz.org.au</w:t>
        </w:r>
      </w:hyperlink>
      <w:r w:rsidR="004A2603" w:rsidRPr="005D33D3">
        <w:t xml:space="preserve"> </w:t>
      </w:r>
      <w:r w:rsidRPr="005D33D3">
        <w:t xml:space="preserve">and about our parent international body at </w:t>
      </w:r>
      <w:hyperlink r:id="rId10" w:history="1">
        <w:r w:rsidR="004A2603" w:rsidRPr="005D33D3">
          <w:rPr>
            <w:rStyle w:val="Hyperlink"/>
          </w:rPr>
          <w:t>www.lesi.org</w:t>
        </w:r>
      </w:hyperlink>
      <w:r w:rsidRPr="005D33D3">
        <w:t>.</w:t>
      </w:r>
    </w:p>
    <w:p w14:paraId="629BDA04" w14:textId="77777777" w:rsidR="004A2603" w:rsidRPr="005D33D3" w:rsidRDefault="004A2603" w:rsidP="00E120E6">
      <w:pPr>
        <w:pStyle w:val="Heading1"/>
        <w:keepNext/>
        <w:snapToGrid w:val="0"/>
        <w:rPr>
          <w:b/>
        </w:rPr>
      </w:pPr>
      <w:r w:rsidRPr="005D33D3">
        <w:rPr>
          <w:b/>
        </w:rPr>
        <w:t xml:space="preserve">LESANZ’s </w:t>
      </w:r>
      <w:r w:rsidR="00EF32FA" w:rsidRPr="005D33D3">
        <w:rPr>
          <w:b/>
        </w:rPr>
        <w:t xml:space="preserve">overall </w:t>
      </w:r>
      <w:r w:rsidR="00AC7E90" w:rsidRPr="005D33D3">
        <w:rPr>
          <w:b/>
        </w:rPr>
        <w:t>concerns</w:t>
      </w:r>
      <w:r w:rsidRPr="005D33D3">
        <w:rPr>
          <w:b/>
        </w:rPr>
        <w:t xml:space="preserve"> </w:t>
      </w:r>
    </w:p>
    <w:p w14:paraId="1007AF69" w14:textId="77777777" w:rsidR="00A2245C" w:rsidRPr="005D33D3" w:rsidRDefault="00A22117" w:rsidP="009217AA">
      <w:pPr>
        <w:pStyle w:val="Heading2"/>
      </w:pPr>
      <w:r w:rsidRPr="005D33D3">
        <w:t>LESANZ</w:t>
      </w:r>
      <w:r w:rsidR="004A4882" w:rsidRPr="005D33D3">
        <w:t>’s primary concern</w:t>
      </w:r>
      <w:r w:rsidR="00F42362" w:rsidRPr="005D33D3">
        <w:t>s</w:t>
      </w:r>
      <w:r w:rsidR="004A4882" w:rsidRPr="005D33D3">
        <w:t xml:space="preserve"> with the draft Guidelines </w:t>
      </w:r>
      <w:r w:rsidR="00F42362" w:rsidRPr="005D33D3">
        <w:t>are</w:t>
      </w:r>
      <w:r w:rsidR="00875D4C" w:rsidRPr="005D33D3">
        <w:t xml:space="preserve"> that they do not sufficiently </w:t>
      </w:r>
      <w:r w:rsidR="00A2245C" w:rsidRPr="005D33D3">
        <w:t>cover</w:t>
      </w:r>
      <w:r w:rsidR="00875D4C" w:rsidRPr="005D33D3">
        <w:t xml:space="preserve"> the intersection of the commercialisation of intellectual property and competition law</w:t>
      </w:r>
      <w:r w:rsidR="00416E4B" w:rsidRPr="005D33D3">
        <w:t xml:space="preserve"> and many of the examples and issues </w:t>
      </w:r>
      <w:r w:rsidR="00F42362" w:rsidRPr="005D33D3">
        <w:t xml:space="preserve">are not sufficiently developed </w:t>
      </w:r>
      <w:r w:rsidR="00526DDC" w:rsidRPr="005D33D3">
        <w:t xml:space="preserve">to be </w:t>
      </w:r>
      <w:r w:rsidR="00F42362" w:rsidRPr="005D33D3">
        <w:t>instructive</w:t>
      </w:r>
      <w:r w:rsidR="004A4882" w:rsidRPr="005D33D3">
        <w:t>.</w:t>
      </w:r>
      <w:r w:rsidR="006B0420" w:rsidRPr="005D33D3">
        <w:t xml:space="preserve">  </w:t>
      </w:r>
      <w:r w:rsidR="003E6A9A" w:rsidRPr="005D33D3">
        <w:t>In LESANZ’s view</w:t>
      </w:r>
      <w:r w:rsidR="00A2245C" w:rsidRPr="005D33D3">
        <w:t>:</w:t>
      </w:r>
    </w:p>
    <w:p w14:paraId="11E10E76" w14:textId="77777777" w:rsidR="00A2245C" w:rsidRPr="005D33D3" w:rsidRDefault="000E08D8" w:rsidP="00A2245C">
      <w:pPr>
        <w:pStyle w:val="Heading3"/>
      </w:pPr>
      <w:r w:rsidRPr="005D33D3">
        <w:t xml:space="preserve">to provide a better balance, </w:t>
      </w:r>
      <w:r w:rsidR="003E6A9A" w:rsidRPr="005D33D3">
        <w:t xml:space="preserve">more emphasis needs to be placed </w:t>
      </w:r>
      <w:r w:rsidRPr="005D33D3">
        <w:t xml:space="preserve">in the Guidelines </w:t>
      </w:r>
      <w:r w:rsidR="003E6A9A" w:rsidRPr="005D33D3">
        <w:t xml:space="preserve">on the </w:t>
      </w:r>
      <w:r w:rsidR="00D6768C" w:rsidRPr="005D33D3">
        <w:t>pro</w:t>
      </w:r>
      <w:r w:rsidRPr="005D33D3">
        <w:t>-</w:t>
      </w:r>
      <w:r w:rsidR="00D6768C" w:rsidRPr="005D33D3">
        <w:t>competitive aspects of the commercialisation of intellectual property</w:t>
      </w:r>
      <w:r w:rsidR="00A2245C" w:rsidRPr="005D33D3">
        <w:t>;</w:t>
      </w:r>
    </w:p>
    <w:p w14:paraId="01F48B01" w14:textId="77777777" w:rsidR="00A2245C" w:rsidRPr="005D33D3" w:rsidRDefault="00A2245C" w:rsidP="00A2245C">
      <w:pPr>
        <w:pStyle w:val="Heading3"/>
      </w:pPr>
      <w:r w:rsidRPr="005D33D3">
        <w:t xml:space="preserve">more guidance needs to be given on </w:t>
      </w:r>
      <w:r w:rsidR="00D6768C" w:rsidRPr="005D33D3">
        <w:t xml:space="preserve">the assessment </w:t>
      </w:r>
      <w:r w:rsidR="00AA52FB" w:rsidRPr="005D33D3">
        <w:t>of</w:t>
      </w:r>
      <w:r w:rsidR="00D6768C" w:rsidRPr="005D33D3">
        <w:t xml:space="preserve"> whether certain conduct is likely to have the p</w:t>
      </w:r>
      <w:r w:rsidR="00AA52FB" w:rsidRPr="005D33D3">
        <w:t>ur</w:t>
      </w:r>
      <w:r w:rsidR="00D6768C" w:rsidRPr="005D33D3">
        <w:t>pose or effect of substantially lessening competition</w:t>
      </w:r>
      <w:r w:rsidRPr="005D33D3">
        <w:t>;</w:t>
      </w:r>
    </w:p>
    <w:p w14:paraId="1D855971" w14:textId="77777777" w:rsidR="00416E4B" w:rsidRPr="005D33D3" w:rsidRDefault="00416E4B" w:rsidP="00A2245C">
      <w:pPr>
        <w:pStyle w:val="Heading3"/>
      </w:pPr>
      <w:r w:rsidRPr="005D33D3">
        <w:lastRenderedPageBreak/>
        <w:t xml:space="preserve">many of the examples </w:t>
      </w:r>
      <w:r w:rsidR="00F42362" w:rsidRPr="005D33D3">
        <w:t xml:space="preserve">need further development and would benefit from greater </w:t>
      </w:r>
      <w:r w:rsidR="00526DDC" w:rsidRPr="005D33D3">
        <w:t xml:space="preserve">nuance and </w:t>
      </w:r>
      <w:r w:rsidR="00F42362" w:rsidRPr="005D33D3">
        <w:t>understanding of licensing practice</w:t>
      </w:r>
      <w:r w:rsidR="00F531D3" w:rsidRPr="005D33D3">
        <w:t>s</w:t>
      </w:r>
      <w:r w:rsidR="00F42362" w:rsidRPr="005D33D3">
        <w:t>;</w:t>
      </w:r>
    </w:p>
    <w:p w14:paraId="1FC500BF" w14:textId="69921C57" w:rsidR="00A70EBA" w:rsidRPr="005D33D3" w:rsidRDefault="00416E4B" w:rsidP="00A2245C">
      <w:pPr>
        <w:pStyle w:val="Heading3"/>
      </w:pPr>
      <w:r w:rsidRPr="005D33D3">
        <w:t>more guidance needs to be given on</w:t>
      </w:r>
      <w:r w:rsidR="00F42362" w:rsidRPr="005D33D3">
        <w:t xml:space="preserve"> competitors</w:t>
      </w:r>
      <w:r w:rsidR="00A70EBA" w:rsidRPr="005D33D3">
        <w:t xml:space="preserve"> </w:t>
      </w:r>
      <w:r w:rsidR="00F531D3" w:rsidRPr="005D33D3">
        <w:t xml:space="preserve">(given the long and enduring nature of many </w:t>
      </w:r>
      <w:r w:rsidR="003E3282" w:rsidRPr="005D33D3">
        <w:t>intellectual property</w:t>
      </w:r>
      <w:r w:rsidR="00F531D3" w:rsidRPr="005D33D3">
        <w:t xml:space="preserve"> licences) </w:t>
      </w:r>
      <w:r w:rsidR="00A70EBA" w:rsidRPr="005D33D3">
        <w:t xml:space="preserve">and </w:t>
      </w:r>
      <w:r w:rsidR="00F531D3" w:rsidRPr="005D33D3">
        <w:t xml:space="preserve">on </w:t>
      </w:r>
      <w:r w:rsidR="00A70EBA" w:rsidRPr="005D33D3">
        <w:t xml:space="preserve">output and territory </w:t>
      </w:r>
      <w:r w:rsidR="00EE0F53" w:rsidRPr="005D33D3">
        <w:t>restrictions under</w:t>
      </w:r>
      <w:r w:rsidR="00F42362" w:rsidRPr="005D33D3">
        <w:t xml:space="preserve"> the cartel laws</w:t>
      </w:r>
      <w:r w:rsidR="00A70EBA" w:rsidRPr="005D33D3">
        <w:t>;</w:t>
      </w:r>
      <w:r w:rsidR="00D6768C" w:rsidRPr="005D33D3">
        <w:t xml:space="preserve"> and </w:t>
      </w:r>
    </w:p>
    <w:p w14:paraId="63BA6ECF" w14:textId="77777777" w:rsidR="009217AA" w:rsidRPr="005D33D3" w:rsidRDefault="00A70EBA" w:rsidP="00A2245C">
      <w:pPr>
        <w:pStyle w:val="Heading3"/>
      </w:pPr>
      <w:r w:rsidRPr="005D33D3">
        <w:t>critically, detailed guidance is needed on</w:t>
      </w:r>
      <w:r w:rsidR="00526DDC" w:rsidRPr="005D33D3">
        <w:t xml:space="preserve"> the</w:t>
      </w:r>
      <w:r w:rsidRPr="005D33D3">
        <w:t xml:space="preserve"> </w:t>
      </w:r>
      <w:r w:rsidR="00AA52FB" w:rsidRPr="005D33D3">
        <w:t xml:space="preserve">exclusive dealing </w:t>
      </w:r>
      <w:r w:rsidR="00B25387" w:rsidRPr="005D33D3">
        <w:t xml:space="preserve">exception to the cartel laws.  </w:t>
      </w:r>
    </w:p>
    <w:p w14:paraId="0239E9B9" w14:textId="77777777" w:rsidR="00B25387" w:rsidRPr="005D33D3" w:rsidRDefault="009217AA" w:rsidP="000E7146">
      <w:pPr>
        <w:pStyle w:val="Heading2"/>
      </w:pPr>
      <w:r w:rsidRPr="005D33D3">
        <w:t xml:space="preserve">The </w:t>
      </w:r>
      <w:r w:rsidR="00BE2877" w:rsidRPr="005D33D3">
        <w:t xml:space="preserve">draft </w:t>
      </w:r>
      <w:r w:rsidRPr="005D33D3">
        <w:t xml:space="preserve">Guidelines were foreshadowed by the ACCC on 9 April 2019 as “guidelines on the application of Part IV of the </w:t>
      </w:r>
      <w:r w:rsidR="00E120E6" w:rsidRPr="005D33D3">
        <w:t>[</w:t>
      </w:r>
      <w:r w:rsidR="00E120E6" w:rsidRPr="005D33D3">
        <w:rPr>
          <w:i/>
        </w:rPr>
        <w:t>Competition and Consumer Act 2010</w:t>
      </w:r>
      <w:r w:rsidR="00E120E6" w:rsidRPr="005D33D3">
        <w:t xml:space="preserve"> (</w:t>
      </w:r>
      <w:proofErr w:type="spellStart"/>
      <w:r w:rsidR="00E120E6" w:rsidRPr="005D33D3">
        <w:t>Cth</w:t>
      </w:r>
      <w:proofErr w:type="spellEnd"/>
      <w:r w:rsidR="00E120E6" w:rsidRPr="005D33D3">
        <w:t>) (</w:t>
      </w:r>
      <w:r w:rsidRPr="005D33D3">
        <w:rPr>
          <w:b/>
        </w:rPr>
        <w:t>CCA</w:t>
      </w:r>
      <w:r w:rsidR="00E120E6" w:rsidRPr="005D33D3">
        <w:t>)]</w:t>
      </w:r>
      <w:r w:rsidRPr="005D33D3">
        <w:t xml:space="preserve"> to intellectual property”.  </w:t>
      </w:r>
      <w:r w:rsidR="00B25387" w:rsidRPr="005D33D3">
        <w:t>P</w:t>
      </w:r>
      <w:r w:rsidR="00D6768C" w:rsidRPr="005D33D3">
        <w:t xml:space="preserve">resently, </w:t>
      </w:r>
      <w:r w:rsidRPr="005D33D3">
        <w:t xml:space="preserve">the draft Guidelines place </w:t>
      </w:r>
      <w:r w:rsidR="00D6768C" w:rsidRPr="005D33D3">
        <w:t xml:space="preserve">too much emphasis on </w:t>
      </w:r>
      <w:proofErr w:type="gramStart"/>
      <w:r w:rsidR="00D6768C" w:rsidRPr="005D33D3">
        <w:t>whether or not</w:t>
      </w:r>
      <w:proofErr w:type="gramEnd"/>
      <w:r w:rsidR="00D6768C" w:rsidRPr="005D33D3">
        <w:t xml:space="preserve"> section 51(3) applied when that question will </w:t>
      </w:r>
      <w:r w:rsidR="00AC7E90" w:rsidRPr="005D33D3">
        <w:t>b</w:t>
      </w:r>
      <w:r w:rsidR="00D6768C" w:rsidRPr="005D33D3">
        <w:t>e irrelevant</w:t>
      </w:r>
      <w:r w:rsidR="00AC7E90" w:rsidRPr="005D33D3">
        <w:t xml:space="preserve"> after 13 September 2019</w:t>
      </w:r>
      <w:r w:rsidR="008C166E" w:rsidRPr="005D33D3">
        <w:t xml:space="preserve">.  In LESANZ’s view, there is not enough detail </w:t>
      </w:r>
      <w:r w:rsidR="00477D13" w:rsidRPr="005D33D3">
        <w:t>on the general application of Part IV of the CCA to intellectual property commercialisation</w:t>
      </w:r>
      <w:r w:rsidR="00D6768C" w:rsidRPr="005D33D3">
        <w:t xml:space="preserve">. </w:t>
      </w:r>
    </w:p>
    <w:p w14:paraId="02C80E9D" w14:textId="77777777" w:rsidR="004A4882" w:rsidRPr="005D33D3" w:rsidRDefault="006B0420" w:rsidP="005F7CC5">
      <w:pPr>
        <w:pStyle w:val="Heading2"/>
      </w:pPr>
      <w:r w:rsidRPr="005D33D3">
        <w:t>LESANZ considers that</w:t>
      </w:r>
      <w:r w:rsidR="00B25387" w:rsidRPr="005D33D3">
        <w:t>,</w:t>
      </w:r>
      <w:r w:rsidRPr="005D33D3">
        <w:t xml:space="preserve"> without further elaboration</w:t>
      </w:r>
      <w:r w:rsidR="00B25387" w:rsidRPr="005D33D3">
        <w:t>,</w:t>
      </w:r>
      <w:r w:rsidRPr="005D33D3">
        <w:t xml:space="preserve"> the draft Guidelines</w:t>
      </w:r>
      <w:r w:rsidR="00AC7E90" w:rsidRPr="005D33D3">
        <w:t xml:space="preserve"> </w:t>
      </w:r>
      <w:r w:rsidRPr="005D33D3">
        <w:t>have the potential to adversely impact the commercialisation of new technologies</w:t>
      </w:r>
      <w:r w:rsidR="009E2385" w:rsidRPr="005D33D3">
        <w:t xml:space="preserve"> in Australia</w:t>
      </w:r>
      <w:r w:rsidRPr="005D33D3">
        <w:t>.  LESANZ is aware of instances already where the draft Guidelines have been cited during licence negotiations in a way that is causing confusion among</w:t>
      </w:r>
      <w:r w:rsidR="005A35BB" w:rsidRPr="005D33D3">
        <w:t xml:space="preserve">st start-ups and </w:t>
      </w:r>
      <w:r w:rsidRPr="005D33D3">
        <w:t>research, university and commercialisation bodies.</w:t>
      </w:r>
      <w:r w:rsidR="00B25387" w:rsidRPr="005D33D3">
        <w:t xml:space="preserve">  </w:t>
      </w:r>
      <w:r w:rsidR="001631F5" w:rsidRPr="005D33D3">
        <w:t xml:space="preserve">Due to the speculative nature of most early stage commercialisation deals, </w:t>
      </w:r>
      <w:r w:rsidR="0074723D" w:rsidRPr="005D33D3">
        <w:t>they need to be negotiated efficiently with minimal legal fees</w:t>
      </w:r>
      <w:r w:rsidR="002D5CBF" w:rsidRPr="005D33D3">
        <w:t xml:space="preserve"> and </w:t>
      </w:r>
      <w:r w:rsidR="005A35BB" w:rsidRPr="005D33D3">
        <w:t xml:space="preserve">usually </w:t>
      </w:r>
      <w:r w:rsidR="002D5CBF" w:rsidRPr="005D33D3">
        <w:t xml:space="preserve">without the input of specialist competition lawyers. In that environment, the </w:t>
      </w:r>
      <w:r w:rsidR="00BE2877" w:rsidRPr="005D33D3">
        <w:t xml:space="preserve">draft </w:t>
      </w:r>
      <w:r w:rsidR="002D5CBF" w:rsidRPr="005D33D3">
        <w:t xml:space="preserve">Guidelines will be heavily relied on and </w:t>
      </w:r>
      <w:r w:rsidR="001309AF" w:rsidRPr="005D33D3">
        <w:t xml:space="preserve">accordingly </w:t>
      </w:r>
      <w:r w:rsidR="00E233CD" w:rsidRPr="005D33D3">
        <w:t xml:space="preserve">they </w:t>
      </w:r>
      <w:r w:rsidR="002D5CBF" w:rsidRPr="005D33D3">
        <w:t xml:space="preserve">need to provide the </w:t>
      </w:r>
      <w:r w:rsidR="005A35BB" w:rsidRPr="005D33D3">
        <w:t>full</w:t>
      </w:r>
      <w:r w:rsidR="002D5CBF" w:rsidRPr="005D33D3">
        <w:t xml:space="preserve"> context and </w:t>
      </w:r>
      <w:r w:rsidR="005A35BB" w:rsidRPr="005D33D3">
        <w:t>elaboration</w:t>
      </w:r>
      <w:r w:rsidR="002D5CBF" w:rsidRPr="005D33D3">
        <w:t>.</w:t>
      </w:r>
      <w:r w:rsidR="001631F5" w:rsidRPr="005D33D3">
        <w:t xml:space="preserve"> </w:t>
      </w:r>
    </w:p>
    <w:p w14:paraId="4FE55D8D" w14:textId="77777777" w:rsidR="00B73970" w:rsidRPr="005D33D3" w:rsidRDefault="00B73970" w:rsidP="00E120E6">
      <w:pPr>
        <w:pStyle w:val="Heading1"/>
        <w:keepNext/>
        <w:rPr>
          <w:b/>
        </w:rPr>
      </w:pPr>
      <w:r w:rsidRPr="005D33D3">
        <w:rPr>
          <w:b/>
        </w:rPr>
        <w:t xml:space="preserve">More context </w:t>
      </w:r>
      <w:r w:rsidR="00EF32FA" w:rsidRPr="005D33D3">
        <w:rPr>
          <w:b/>
        </w:rPr>
        <w:t xml:space="preserve">about the effect </w:t>
      </w:r>
      <w:r w:rsidR="00F820F7" w:rsidRPr="005D33D3">
        <w:rPr>
          <w:b/>
        </w:rPr>
        <w:t>o</w:t>
      </w:r>
      <w:r w:rsidR="00EF32FA" w:rsidRPr="005D33D3">
        <w:rPr>
          <w:b/>
        </w:rPr>
        <w:t xml:space="preserve">n competition </w:t>
      </w:r>
    </w:p>
    <w:p w14:paraId="2D42C3C2" w14:textId="77777777" w:rsidR="000B6886" w:rsidRPr="005D33D3" w:rsidRDefault="00E5753F" w:rsidP="00B73970">
      <w:pPr>
        <w:pStyle w:val="Heading2"/>
      </w:pPr>
      <w:r w:rsidRPr="005D33D3">
        <w:t xml:space="preserve">To provide </w:t>
      </w:r>
      <w:r w:rsidR="00B24AD7" w:rsidRPr="005D33D3">
        <w:t xml:space="preserve">more </w:t>
      </w:r>
      <w:r w:rsidRPr="005D33D3">
        <w:t xml:space="preserve">balance, the Guidelines should place greater emphasis on the pro-competitive role of the commercialisation of intellectual property.  </w:t>
      </w:r>
      <w:r w:rsidR="002D3100" w:rsidRPr="005D33D3">
        <w:t>While some general principles are include</w:t>
      </w:r>
      <w:r w:rsidR="00B24AD7" w:rsidRPr="005D33D3">
        <w:t>d</w:t>
      </w:r>
      <w:r w:rsidR="002D3100" w:rsidRPr="005D33D3">
        <w:t xml:space="preserve"> in </w:t>
      </w:r>
      <w:r w:rsidR="00462E2E" w:rsidRPr="005D33D3">
        <w:t>S</w:t>
      </w:r>
      <w:r w:rsidR="002D3100" w:rsidRPr="005D33D3">
        <w:t xml:space="preserve">ection 2, they are not then sufficiently connected to the </w:t>
      </w:r>
      <w:r w:rsidR="00B24AD7" w:rsidRPr="005D33D3">
        <w:t xml:space="preserve">explanations and </w:t>
      </w:r>
      <w:r w:rsidR="002D3100" w:rsidRPr="005D33D3">
        <w:t xml:space="preserve">examples in </w:t>
      </w:r>
      <w:r w:rsidR="00462E2E" w:rsidRPr="005D33D3">
        <w:t>S</w:t>
      </w:r>
      <w:r w:rsidR="00B24AD7" w:rsidRPr="005D33D3">
        <w:t xml:space="preserve">ection 3, particularly </w:t>
      </w:r>
      <w:r w:rsidR="00462E2E" w:rsidRPr="005D33D3">
        <w:t>S</w:t>
      </w:r>
      <w:r w:rsidR="00B24AD7" w:rsidRPr="005D33D3">
        <w:t xml:space="preserve">ections 3.8 and 3.15 (as explained below). </w:t>
      </w:r>
    </w:p>
    <w:p w14:paraId="755CBDFE" w14:textId="77777777" w:rsidR="000B4732" w:rsidRPr="005D33D3" w:rsidRDefault="000B4732" w:rsidP="00850B6E">
      <w:pPr>
        <w:pStyle w:val="Heading2"/>
      </w:pPr>
      <w:r w:rsidRPr="005D33D3">
        <w:t xml:space="preserve">As the ACCC recognises in Section 2.2 of the draft Guidelines, intellectual property rights do not necessarily confer substantial market power on the person who owns or controls those rights.  In fact, LESANZ would argue that this would seldom be the case because of the availability of substitutable or competitive products and the cross-elasticity of demand between a given product and complementary goods or services.  </w:t>
      </w:r>
    </w:p>
    <w:p w14:paraId="01F1B549" w14:textId="73954352" w:rsidR="00876CB6" w:rsidRPr="005D33D3" w:rsidRDefault="000B4732" w:rsidP="00971CD1">
      <w:pPr>
        <w:pStyle w:val="Heading2"/>
        <w:rPr>
          <w:color w:val="FF0000"/>
        </w:rPr>
      </w:pPr>
      <w:r w:rsidRPr="005D33D3">
        <w:t>Further, t</w:t>
      </w:r>
      <w:r w:rsidR="000B2549" w:rsidRPr="005D33D3">
        <w:t xml:space="preserve">he purpose of granting intellectual property rights is precisely and intentionally to allow and facilitate the owners of those rights to exercise a </w:t>
      </w:r>
      <w:r w:rsidR="00955F88" w:rsidRPr="005D33D3">
        <w:t xml:space="preserve">legal </w:t>
      </w:r>
      <w:r w:rsidR="000B2549" w:rsidRPr="005D33D3">
        <w:t xml:space="preserve">monopoly right and to </w:t>
      </w:r>
      <w:r w:rsidR="00955F88" w:rsidRPr="005D33D3">
        <w:t xml:space="preserve">provide a limited </w:t>
      </w:r>
      <w:r w:rsidR="000B2549" w:rsidRPr="005D33D3">
        <w:t>restrict</w:t>
      </w:r>
      <w:r w:rsidR="00955F88" w:rsidRPr="005D33D3">
        <w:t>ion on</w:t>
      </w:r>
      <w:r w:rsidR="000B2549" w:rsidRPr="005D33D3">
        <w:t xml:space="preserve"> competition</w:t>
      </w:r>
      <w:r w:rsidR="00955F88" w:rsidRPr="005D33D3">
        <w:t xml:space="preserve"> within the scope of that right</w:t>
      </w:r>
      <w:r w:rsidR="000B2549" w:rsidRPr="005D33D3">
        <w:t xml:space="preserve">, so the fact that they are used to restrict competition is not </w:t>
      </w:r>
      <w:r w:rsidR="000B2549" w:rsidRPr="005D33D3">
        <w:rPr>
          <w:i/>
        </w:rPr>
        <w:t>per se</w:t>
      </w:r>
      <w:r w:rsidR="000B2549" w:rsidRPr="005D33D3">
        <w:t xml:space="preserve"> unlawful. </w:t>
      </w:r>
      <w:r w:rsidR="00961B72" w:rsidRPr="005D33D3">
        <w:t xml:space="preserve"> </w:t>
      </w:r>
      <w:r w:rsidR="00C87A2F" w:rsidRPr="005D33D3">
        <w:t xml:space="preserve">As </w:t>
      </w:r>
      <w:r w:rsidR="00876CB6" w:rsidRPr="005D33D3">
        <w:t xml:space="preserve">briefly </w:t>
      </w:r>
      <w:r w:rsidR="00C87A2F" w:rsidRPr="005D33D3">
        <w:t xml:space="preserve">recognised in </w:t>
      </w:r>
      <w:r w:rsidR="00876CB6" w:rsidRPr="005D33D3">
        <w:t>S</w:t>
      </w:r>
      <w:r w:rsidR="00C87A2F" w:rsidRPr="005D33D3">
        <w:t>ection 2.3 of the draft Guidelines</w:t>
      </w:r>
      <w:r w:rsidR="009E2385" w:rsidRPr="005D33D3">
        <w:t>,</w:t>
      </w:r>
      <w:r w:rsidR="00C87A2F" w:rsidRPr="005D33D3">
        <w:t xml:space="preserve"> t</w:t>
      </w:r>
      <w:r w:rsidR="00961B72" w:rsidRPr="005D33D3">
        <w:t>his is the case e</w:t>
      </w:r>
      <w:r w:rsidR="000B2549" w:rsidRPr="005D33D3">
        <w:t xml:space="preserve">ven if the restriction is substantial </w:t>
      </w:r>
      <w:r w:rsidR="00961B72" w:rsidRPr="005D33D3">
        <w:t>(such as where a patent is granted following the discovery of a compound that is later commercialised into a valuable pharmaceutical product).</w:t>
      </w:r>
      <w:r w:rsidR="00576D15" w:rsidRPr="005D33D3">
        <w:t xml:space="preserve"> </w:t>
      </w:r>
      <w:r w:rsidR="0014788B" w:rsidRPr="005D33D3">
        <w:t xml:space="preserve"> </w:t>
      </w:r>
      <w:r w:rsidR="0047315D" w:rsidRPr="005D33D3">
        <w:t>In LESANZ’s view, t</w:t>
      </w:r>
      <w:r w:rsidR="0014788B" w:rsidRPr="005D33D3">
        <w:t xml:space="preserve">his needs to be better recognised throughout the explanations and examples in </w:t>
      </w:r>
      <w:r w:rsidR="00876CB6" w:rsidRPr="005D33D3">
        <w:t>S</w:t>
      </w:r>
      <w:r w:rsidR="0014788B" w:rsidRPr="005D33D3">
        <w:t xml:space="preserve">ection 3 and </w:t>
      </w:r>
      <w:r w:rsidR="0047315D" w:rsidRPr="005D33D3">
        <w:t>more</w:t>
      </w:r>
      <w:r w:rsidR="0014788B" w:rsidRPr="005D33D3">
        <w:t xml:space="preserve"> balance shown</w:t>
      </w:r>
      <w:r w:rsidR="00C87A2F" w:rsidRPr="005D33D3">
        <w:t xml:space="preserve">, </w:t>
      </w:r>
      <w:proofErr w:type="gramStart"/>
      <w:r w:rsidR="0014788B" w:rsidRPr="005D33D3">
        <w:t>similar to</w:t>
      </w:r>
      <w:proofErr w:type="gramEnd"/>
      <w:r w:rsidR="0014788B" w:rsidRPr="005D33D3">
        <w:t xml:space="preserve"> the following statement </w:t>
      </w:r>
      <w:r w:rsidR="00C87A2F" w:rsidRPr="005D33D3">
        <w:t xml:space="preserve">in the US </w:t>
      </w:r>
      <w:r w:rsidR="0096209B" w:rsidRPr="005D33D3">
        <w:t>Antitrust Guidelines for the Licensing of Intellectual Property</w:t>
      </w:r>
      <w:r w:rsidR="00AA5061" w:rsidRPr="005D33D3">
        <w:t xml:space="preserve"> (</w:t>
      </w:r>
      <w:r w:rsidR="00F27344" w:rsidRPr="005D33D3">
        <w:rPr>
          <w:b/>
        </w:rPr>
        <w:t xml:space="preserve">US </w:t>
      </w:r>
      <w:r w:rsidR="00AA5061" w:rsidRPr="005D33D3">
        <w:rPr>
          <w:b/>
        </w:rPr>
        <w:t>Guidelines</w:t>
      </w:r>
      <w:r w:rsidR="00AA5061" w:rsidRPr="005D33D3">
        <w:t>)</w:t>
      </w:r>
      <w:r w:rsidR="00876CB6" w:rsidRPr="005D33D3">
        <w:t>:</w:t>
      </w:r>
    </w:p>
    <w:p w14:paraId="30C45650" w14:textId="77777777" w:rsidR="00961B72" w:rsidRPr="005D33D3" w:rsidRDefault="00876CB6" w:rsidP="00876CB6">
      <w:pPr>
        <w:pStyle w:val="Heading2"/>
        <w:numPr>
          <w:ilvl w:val="0"/>
          <w:numId w:val="0"/>
        </w:numPr>
        <w:ind w:left="1474"/>
        <w:rPr>
          <w:color w:val="FF0000"/>
        </w:rPr>
      </w:pPr>
      <w:r w:rsidRPr="005D33D3">
        <w:t>“</w:t>
      </w:r>
      <w:r w:rsidR="00576D15" w:rsidRPr="005D33D3">
        <w:rPr>
          <w:rStyle w:val="PlaceholderText"/>
          <w:i/>
          <w:color w:val="auto"/>
        </w:rPr>
        <w:t xml:space="preserve">The Agencies will not presume that a patent, copyright, or trade secret necessarily confers market power upon its owner. Although the </w:t>
      </w:r>
      <w:r w:rsidR="00576D15" w:rsidRPr="005D33D3">
        <w:rPr>
          <w:rStyle w:val="PlaceholderText"/>
          <w:bCs/>
          <w:i/>
          <w:color w:val="auto"/>
        </w:rPr>
        <w:t>intellectual property right confers the power to exclude with respect to the specific product, process, or work in question</w:t>
      </w:r>
      <w:r w:rsidR="00576D15" w:rsidRPr="005D33D3">
        <w:rPr>
          <w:rStyle w:val="PlaceholderText"/>
          <w:i/>
          <w:color w:val="auto"/>
        </w:rPr>
        <w:t xml:space="preserve">, there will often be </w:t>
      </w:r>
      <w:proofErr w:type="gramStart"/>
      <w:r w:rsidR="00576D15" w:rsidRPr="005D33D3">
        <w:rPr>
          <w:rStyle w:val="PlaceholderText"/>
          <w:i/>
          <w:color w:val="auto"/>
        </w:rPr>
        <w:t>sufficient</w:t>
      </w:r>
      <w:proofErr w:type="gramEnd"/>
      <w:r w:rsidR="00576D15" w:rsidRPr="005D33D3">
        <w:rPr>
          <w:rStyle w:val="PlaceholderText"/>
          <w:i/>
          <w:color w:val="auto"/>
        </w:rPr>
        <w:t xml:space="preserve"> actual or potential close substitutes for such product, process, or work to prevent the exercise of market power. If an intellectual property right does confer market power, that market power does not by itself offend the antitrust laws</w:t>
      </w:r>
      <w:r w:rsidR="00576D15" w:rsidRPr="005D33D3">
        <w:rPr>
          <w:rStyle w:val="PlaceholderText"/>
          <w:color w:val="auto"/>
        </w:rPr>
        <w:t>.”</w:t>
      </w:r>
      <w:r w:rsidR="00576D15" w:rsidRPr="005D33D3">
        <w:rPr>
          <w:rStyle w:val="PlaceholderText"/>
        </w:rPr>
        <w:t xml:space="preserve"> </w:t>
      </w:r>
    </w:p>
    <w:p w14:paraId="772FF5A8" w14:textId="477062F8" w:rsidR="00600EB8" w:rsidRPr="005D33D3" w:rsidRDefault="00600EB8" w:rsidP="00971CD1">
      <w:pPr>
        <w:pStyle w:val="Heading2"/>
      </w:pPr>
      <w:r w:rsidRPr="005D33D3">
        <w:lastRenderedPageBreak/>
        <w:t xml:space="preserve">The draft Guidelines should recognise that in many cases it is unlikely to be anti-competitive for an </w:t>
      </w:r>
      <w:r w:rsidR="003E3282" w:rsidRPr="005D33D3">
        <w:t>intellectual property</w:t>
      </w:r>
      <w:r w:rsidRPr="005D33D3">
        <w:t xml:space="preserve"> owner to allow a licensee to </w:t>
      </w:r>
      <w:r w:rsidR="006E0501" w:rsidRPr="005D33D3">
        <w:t xml:space="preserve">use </w:t>
      </w:r>
      <w:r w:rsidR="003E3282" w:rsidRPr="005D33D3">
        <w:t>intellectual property</w:t>
      </w:r>
      <w:r w:rsidRPr="005D33D3">
        <w:t xml:space="preserve">, even under </w:t>
      </w:r>
      <w:r w:rsidR="006E0501" w:rsidRPr="005D33D3">
        <w:t xml:space="preserve">tight </w:t>
      </w:r>
      <w:r w:rsidRPr="005D33D3">
        <w:t xml:space="preserve">conditions, </w:t>
      </w:r>
      <w:r w:rsidR="00724BBD" w:rsidRPr="005D33D3">
        <w:t xml:space="preserve">when </w:t>
      </w:r>
      <w:r w:rsidR="00876CB6" w:rsidRPr="005D33D3">
        <w:t xml:space="preserve">the </w:t>
      </w:r>
      <w:r w:rsidR="003E3282" w:rsidRPr="005D33D3">
        <w:t>intellectual property</w:t>
      </w:r>
      <w:r w:rsidRPr="005D33D3">
        <w:t xml:space="preserve"> owner c</w:t>
      </w:r>
      <w:r w:rsidR="00876CB6" w:rsidRPr="005D33D3">
        <w:t>ould</w:t>
      </w:r>
      <w:r w:rsidRPr="005D33D3">
        <w:t xml:space="preserve"> otherwise lawfully prohibit </w:t>
      </w:r>
      <w:r w:rsidR="0003434D" w:rsidRPr="005D33D3">
        <w:t>any</w:t>
      </w:r>
      <w:r w:rsidR="00876CB6" w:rsidRPr="005D33D3">
        <w:t xml:space="preserve"> use</w:t>
      </w:r>
      <w:r w:rsidRPr="005D33D3">
        <w:t xml:space="preserve">.  </w:t>
      </w:r>
      <w:r w:rsidR="00A7651B" w:rsidRPr="005D33D3">
        <w:t xml:space="preserve">As </w:t>
      </w:r>
      <w:r w:rsidRPr="005D33D3">
        <w:t>an</w:t>
      </w:r>
      <w:r w:rsidR="00A7651B" w:rsidRPr="005D33D3">
        <w:t xml:space="preserve"> example of </w:t>
      </w:r>
      <w:r w:rsidRPr="005D33D3">
        <w:t xml:space="preserve">this point and </w:t>
      </w:r>
      <w:r w:rsidR="00A7651B" w:rsidRPr="005D33D3">
        <w:t>the need for more overall context</w:t>
      </w:r>
      <w:r w:rsidR="0054594F" w:rsidRPr="005D33D3">
        <w:t xml:space="preserve">, </w:t>
      </w:r>
      <w:r w:rsidR="00D375F0" w:rsidRPr="005D33D3">
        <w:t>E</w:t>
      </w:r>
      <w:r w:rsidR="0047315D" w:rsidRPr="005D33D3">
        <w:t xml:space="preserve">xample 8 </w:t>
      </w:r>
      <w:r w:rsidR="00072444" w:rsidRPr="005D33D3">
        <w:t>seem</w:t>
      </w:r>
      <w:r w:rsidR="001309AF" w:rsidRPr="005D33D3">
        <w:t>s</w:t>
      </w:r>
      <w:r w:rsidR="00072444" w:rsidRPr="005D33D3">
        <w:t xml:space="preserve"> to suggest that the </w:t>
      </w:r>
      <w:r w:rsidR="0054594F" w:rsidRPr="005D33D3">
        <w:t xml:space="preserve">mere </w:t>
      </w:r>
      <w:r w:rsidR="00072444" w:rsidRPr="005D33D3">
        <w:t xml:space="preserve">transfer of that </w:t>
      </w:r>
      <w:r w:rsidR="000A28E6" w:rsidRPr="005D33D3">
        <w:t xml:space="preserve">exclusive </w:t>
      </w:r>
      <w:r w:rsidR="00072444" w:rsidRPr="005D33D3">
        <w:t xml:space="preserve">right could be for the purpose or effect of substantially lessening competition.  </w:t>
      </w:r>
      <w:r w:rsidR="00851300" w:rsidRPr="005D33D3">
        <w:t xml:space="preserve">Instead, </w:t>
      </w:r>
      <w:r w:rsidR="0054594F" w:rsidRPr="005D33D3">
        <w:t xml:space="preserve">without more information about Firms A and B, </w:t>
      </w:r>
      <w:r w:rsidR="00851300" w:rsidRPr="005D33D3">
        <w:t>the</w:t>
      </w:r>
      <w:r w:rsidR="00D375F0" w:rsidRPr="005D33D3">
        <w:t>re appears to be no impact</w:t>
      </w:r>
      <w:r w:rsidR="001309AF" w:rsidRPr="005D33D3">
        <w:t xml:space="preserve"> on</w:t>
      </w:r>
      <w:r w:rsidR="00D375F0" w:rsidRPr="005D33D3">
        <w:t xml:space="preserve"> or lessening of competition.</w:t>
      </w:r>
      <w:r w:rsidR="000A28E6" w:rsidRPr="005D33D3">
        <w:t xml:space="preserve">  </w:t>
      </w:r>
      <w:r w:rsidR="00BB229B" w:rsidRPr="005D33D3">
        <w:t>While the nuances of the test of substantial</w:t>
      </w:r>
      <w:r w:rsidR="00467E07" w:rsidRPr="005D33D3">
        <w:t>l</w:t>
      </w:r>
      <w:r w:rsidR="00BB229B" w:rsidRPr="005D33D3">
        <w:t xml:space="preserve">y lessening competition may be understood by </w:t>
      </w:r>
      <w:r w:rsidR="001309AF" w:rsidRPr="005D33D3">
        <w:t>c</w:t>
      </w:r>
      <w:r w:rsidR="00BB229B" w:rsidRPr="005D33D3">
        <w:t xml:space="preserve">ompetition lawyers, </w:t>
      </w:r>
      <w:r w:rsidR="00467E07" w:rsidRPr="005D33D3">
        <w:t>LESANZ is concerned that the current framing of Example 8</w:t>
      </w:r>
      <w:r w:rsidR="0003434D" w:rsidRPr="005D33D3">
        <w:t>,</w:t>
      </w:r>
      <w:r w:rsidR="00467E07" w:rsidRPr="005D33D3">
        <w:t xml:space="preserve"> </w:t>
      </w:r>
      <w:r w:rsidR="0003434D" w:rsidRPr="005D33D3">
        <w:t xml:space="preserve">and the </w:t>
      </w:r>
      <w:r w:rsidR="00A3769F" w:rsidRPr="005D33D3">
        <w:t xml:space="preserve">general </w:t>
      </w:r>
      <w:r w:rsidR="0003434D" w:rsidRPr="005D33D3">
        <w:t xml:space="preserve">lack of detail about the substantial lessening of competition test as it applies to intellectual property, </w:t>
      </w:r>
      <w:r w:rsidR="00467E07" w:rsidRPr="005D33D3">
        <w:t>has the potential to inhibit the granting of exclusive licences</w:t>
      </w:r>
      <w:r w:rsidR="006A646C" w:rsidRPr="005D33D3">
        <w:t xml:space="preserve">.  </w:t>
      </w:r>
      <w:r w:rsidR="00114353" w:rsidRPr="005D33D3">
        <w:t>Such an outcome would dis</w:t>
      </w:r>
      <w:r w:rsidR="00467E07" w:rsidRPr="005D33D3">
        <w:t>incentivise licensees to</w:t>
      </w:r>
      <w:r w:rsidR="00A3769F" w:rsidRPr="005D33D3">
        <w:t xml:space="preserve"> properly</w:t>
      </w:r>
      <w:r w:rsidR="00467E07" w:rsidRPr="005D33D3">
        <w:t xml:space="preserve"> invest in the licensed intellectual property rights</w:t>
      </w:r>
      <w:r w:rsidR="0038709F" w:rsidRPr="005D33D3">
        <w:t xml:space="preserve"> and reduc</w:t>
      </w:r>
      <w:r w:rsidR="00114353" w:rsidRPr="005D33D3">
        <w:t>e</w:t>
      </w:r>
      <w:r w:rsidR="0038709F" w:rsidRPr="005D33D3">
        <w:t xml:space="preserve"> the likelihood of commercialisation</w:t>
      </w:r>
      <w:r w:rsidR="00467E07" w:rsidRPr="005D33D3">
        <w:t xml:space="preserve">. </w:t>
      </w:r>
    </w:p>
    <w:p w14:paraId="05F02087" w14:textId="77777777" w:rsidR="00DE7959" w:rsidRPr="005D33D3" w:rsidRDefault="00BD4B80" w:rsidP="00DE7959">
      <w:pPr>
        <w:pStyle w:val="Heading2"/>
      </w:pPr>
      <w:r w:rsidRPr="005D33D3">
        <w:t xml:space="preserve">In order to achieve the ACCC’s stated goal of developing guidelines on the application of Part IV of the CCA to intellectual property, LESANZ believes that </w:t>
      </w:r>
      <w:r w:rsidR="00DE7959" w:rsidRPr="005D33D3">
        <w:t xml:space="preserve">the Guidelines </w:t>
      </w:r>
      <w:r w:rsidRPr="005D33D3">
        <w:t>sh</w:t>
      </w:r>
      <w:r w:rsidR="00DE7959" w:rsidRPr="005D33D3">
        <w:t xml:space="preserve">ould include greater detail </w:t>
      </w:r>
      <w:r w:rsidR="00FB2AC8" w:rsidRPr="005D33D3">
        <w:t xml:space="preserve">and </w:t>
      </w:r>
      <w:r w:rsidR="00DE7959" w:rsidRPr="005D33D3">
        <w:t xml:space="preserve">examples of how the ACCC intends to apply the substantial lessening of competition test to intellectual property. </w:t>
      </w:r>
      <w:r w:rsidRPr="005D33D3">
        <w:t>For example</w:t>
      </w:r>
      <w:r w:rsidR="00DE7959" w:rsidRPr="005D33D3">
        <w:t>:</w:t>
      </w:r>
    </w:p>
    <w:p w14:paraId="681C7D22" w14:textId="77777777" w:rsidR="00DE7959" w:rsidRPr="005D33D3" w:rsidRDefault="00DE7959" w:rsidP="00971CD1">
      <w:pPr>
        <w:pStyle w:val="Heading3"/>
      </w:pPr>
      <w:proofErr w:type="gramStart"/>
      <w:r w:rsidRPr="005D33D3">
        <w:t>By definition a</w:t>
      </w:r>
      <w:proofErr w:type="gramEnd"/>
      <w:r w:rsidRPr="005D33D3">
        <w:t xml:space="preserve"> product or process protected by (most forms of) </w:t>
      </w:r>
      <w:r w:rsidR="007E2951" w:rsidRPr="005D33D3">
        <w:t>i</w:t>
      </w:r>
      <w:r w:rsidR="00732ABF" w:rsidRPr="005D33D3">
        <w:t>ntellectual property rights</w:t>
      </w:r>
      <w:r w:rsidRPr="005D33D3">
        <w:t xml:space="preserve"> is unique</w:t>
      </w:r>
      <w:r w:rsidR="00FB2AC8" w:rsidRPr="005D33D3">
        <w:t xml:space="preserve"> and it may </w:t>
      </w:r>
      <w:r w:rsidRPr="005D33D3">
        <w:t xml:space="preserve">be completely different to </w:t>
      </w:r>
      <w:r w:rsidR="00FB2AC8" w:rsidRPr="005D33D3">
        <w:t xml:space="preserve">and disruptive of </w:t>
      </w:r>
      <w:r w:rsidRPr="005D33D3">
        <w:t>existing technology. In the case of cutting</w:t>
      </w:r>
      <w:r w:rsidR="001309AF" w:rsidRPr="005D33D3">
        <w:t>-</w:t>
      </w:r>
      <w:r w:rsidRPr="005D33D3">
        <w:t>edge technology</w:t>
      </w:r>
      <w:r w:rsidR="00F8343E" w:rsidRPr="005D33D3">
        <w:t>,</w:t>
      </w:r>
      <w:r w:rsidRPr="005D33D3">
        <w:t xml:space="preserve"> there may only be a handful of researchers in Australia working in the area. </w:t>
      </w:r>
      <w:r w:rsidR="00FB2AC8" w:rsidRPr="005D33D3">
        <w:t xml:space="preserve">It would be helpful </w:t>
      </w:r>
      <w:r w:rsidR="00FC4000" w:rsidRPr="005D33D3">
        <w:t>if the ACCC provided s</w:t>
      </w:r>
      <w:r w:rsidRPr="005D33D3">
        <w:t xml:space="preserve">ome guidance on how the ACCC intends to approach </w:t>
      </w:r>
      <w:r w:rsidR="00FC4000" w:rsidRPr="005D33D3">
        <w:t xml:space="preserve">emerging disruptive technologies and identifying the </w:t>
      </w:r>
      <w:r w:rsidR="001309AF" w:rsidRPr="005D33D3">
        <w:t xml:space="preserve">relevant </w:t>
      </w:r>
      <w:r w:rsidRPr="005D33D3">
        <w:t>market.</w:t>
      </w:r>
    </w:p>
    <w:p w14:paraId="27F973FE" w14:textId="3D9195C4" w:rsidR="00CB2C5B" w:rsidRPr="005D33D3" w:rsidRDefault="00CB2C5B" w:rsidP="00CB2C5B">
      <w:pPr>
        <w:pStyle w:val="Heading3"/>
      </w:pPr>
      <w:r w:rsidRPr="005D33D3">
        <w:t xml:space="preserve">Many products and services involve use of a bundle of intellectual property rights, often owned by multiple licensors or the licensee itself. It would be helpful if the ACCC could indicate how it intends to evaluate the impact (say) of an exclusive licence of an </w:t>
      </w:r>
      <w:r w:rsidR="003E3282" w:rsidRPr="005D33D3">
        <w:t>intellectual property</w:t>
      </w:r>
      <w:r w:rsidRPr="005D33D3">
        <w:t xml:space="preserve"> right where other intellectual property rights are or might also be required in order to exercise the licensed intellectual property right, or otherwise to exploit the product or service the subject of the intellectual property right.</w:t>
      </w:r>
    </w:p>
    <w:p w14:paraId="27E3ADAB" w14:textId="77777777" w:rsidR="00CB2C5B" w:rsidRPr="005D33D3" w:rsidRDefault="00CB2C5B" w:rsidP="00CB2C5B">
      <w:pPr>
        <w:pStyle w:val="Heading3"/>
      </w:pPr>
      <w:r w:rsidRPr="005D33D3">
        <w:t>It would be helpful to clarify the time dimension of the test. Often patent and other intellectual property rights are licensed at a very early stage of product development, when the form of the final product may be many years away.</w:t>
      </w:r>
    </w:p>
    <w:p w14:paraId="648A3D27" w14:textId="77777777" w:rsidR="009566B0" w:rsidRPr="005D33D3" w:rsidRDefault="0002375F" w:rsidP="00971CD1">
      <w:pPr>
        <w:pStyle w:val="Heading2"/>
      </w:pPr>
      <w:r w:rsidRPr="005D33D3">
        <w:t>More generally, t</w:t>
      </w:r>
      <w:r w:rsidR="00A22117" w:rsidRPr="005D33D3">
        <w:t xml:space="preserve">he draft </w:t>
      </w:r>
      <w:r w:rsidR="00D72319" w:rsidRPr="005D33D3">
        <w:t>G</w:t>
      </w:r>
      <w:r w:rsidR="00A22117" w:rsidRPr="005D33D3">
        <w:t xml:space="preserve">uidelines appear to have been prepared with </w:t>
      </w:r>
      <w:r w:rsidR="00F5248D" w:rsidRPr="005D33D3">
        <w:t xml:space="preserve">a primary focus on </w:t>
      </w:r>
      <w:r w:rsidR="00A22117" w:rsidRPr="005D33D3">
        <w:t xml:space="preserve">corporations. </w:t>
      </w:r>
      <w:r w:rsidR="006B0420" w:rsidRPr="005D33D3">
        <w:t xml:space="preserve"> </w:t>
      </w:r>
      <w:r w:rsidRPr="005D33D3">
        <w:t>I</w:t>
      </w:r>
      <w:r w:rsidR="00D72319" w:rsidRPr="005D33D3">
        <w:t>n LESANZ’s experience, most commercialisation</w:t>
      </w:r>
      <w:r w:rsidR="00F5248D" w:rsidRPr="005D33D3">
        <w:t xml:space="preserve"> agreements in Australia derive from the research sector and the research sector will be the sector which most closely </w:t>
      </w:r>
      <w:r w:rsidR="000F1F22" w:rsidRPr="005D33D3">
        <w:t xml:space="preserve">relies on </w:t>
      </w:r>
      <w:r w:rsidR="00F5248D" w:rsidRPr="005D33D3">
        <w:t xml:space="preserve">the Guidelines. </w:t>
      </w:r>
      <w:r w:rsidR="00D72319" w:rsidRPr="005D33D3">
        <w:t xml:space="preserve"> </w:t>
      </w:r>
      <w:r w:rsidR="00A22117" w:rsidRPr="005D33D3">
        <w:t xml:space="preserve">LESANZ recommends that examples in the draft </w:t>
      </w:r>
      <w:r w:rsidR="00D72319" w:rsidRPr="005D33D3">
        <w:t>G</w:t>
      </w:r>
      <w:r w:rsidR="00A22117" w:rsidRPr="005D33D3">
        <w:t>uidelines be</w:t>
      </w:r>
      <w:r w:rsidR="00A3769F" w:rsidRPr="005D33D3">
        <w:t xml:space="preserve"> </w:t>
      </w:r>
      <w:r w:rsidR="00A22117" w:rsidRPr="005D33D3">
        <w:t>developed</w:t>
      </w:r>
      <w:r w:rsidR="00F5248D" w:rsidRPr="005D33D3">
        <w:t xml:space="preserve"> </w:t>
      </w:r>
      <w:r w:rsidRPr="005D33D3">
        <w:t xml:space="preserve">to be more relevant </w:t>
      </w:r>
      <w:r w:rsidR="008E7337" w:rsidRPr="005D33D3">
        <w:t xml:space="preserve">to </w:t>
      </w:r>
      <w:r w:rsidR="00A22117" w:rsidRPr="005D33D3">
        <w:t xml:space="preserve">the research </w:t>
      </w:r>
      <w:r w:rsidRPr="005D33D3">
        <w:t>sector</w:t>
      </w:r>
      <w:r w:rsidR="006B0420" w:rsidRPr="005D33D3">
        <w:t xml:space="preserve"> </w:t>
      </w:r>
      <w:r w:rsidR="00EC6BFC" w:rsidRPr="005D33D3">
        <w:t xml:space="preserve">with </w:t>
      </w:r>
      <w:r w:rsidR="00A139C1" w:rsidRPr="005D33D3">
        <w:t xml:space="preserve">more </w:t>
      </w:r>
      <w:r w:rsidR="006B0420" w:rsidRPr="005D33D3">
        <w:t xml:space="preserve">consideration given to </w:t>
      </w:r>
      <w:r w:rsidR="001309AF" w:rsidRPr="005D33D3">
        <w:t>the different</w:t>
      </w:r>
      <w:r w:rsidR="006B0420" w:rsidRPr="005D33D3">
        <w:t>, and in some cases, non-commercial objective</w:t>
      </w:r>
      <w:r w:rsidR="00D72319" w:rsidRPr="005D33D3">
        <w:t>s</w:t>
      </w:r>
      <w:r w:rsidR="006B0420" w:rsidRPr="005D33D3">
        <w:t xml:space="preserve"> of the research</w:t>
      </w:r>
      <w:r w:rsidR="00F5248D" w:rsidRPr="005D33D3">
        <w:t xml:space="preserve"> sector</w:t>
      </w:r>
      <w:r w:rsidR="006B0420" w:rsidRPr="005D33D3">
        <w:t>.</w:t>
      </w:r>
    </w:p>
    <w:p w14:paraId="2658FEAD" w14:textId="77777777" w:rsidR="00754CBB" w:rsidRPr="005D33D3" w:rsidRDefault="009566B0" w:rsidP="00E120E6">
      <w:pPr>
        <w:pStyle w:val="Heading1"/>
        <w:keepNext/>
        <w:snapToGrid w:val="0"/>
        <w:rPr>
          <w:b/>
        </w:rPr>
      </w:pPr>
      <w:r w:rsidRPr="005D33D3">
        <w:rPr>
          <w:b/>
        </w:rPr>
        <w:t>Contracts, arrangements, understandings and concerted practices</w:t>
      </w:r>
    </w:p>
    <w:p w14:paraId="3F2EEFD7" w14:textId="77777777" w:rsidR="00961B72" w:rsidRPr="005D33D3" w:rsidRDefault="002705EB" w:rsidP="00961B72">
      <w:pPr>
        <w:pStyle w:val="Heading2"/>
        <w:rPr>
          <w:lang w:eastAsia="zh-CN"/>
        </w:rPr>
      </w:pPr>
      <w:r w:rsidRPr="005D33D3">
        <w:t xml:space="preserve">LESANZ is concerned that </w:t>
      </w:r>
      <w:r w:rsidR="006E0501" w:rsidRPr="005D33D3">
        <w:t>S</w:t>
      </w:r>
      <w:r w:rsidR="00A22117" w:rsidRPr="005D33D3">
        <w:t>ection</w:t>
      </w:r>
      <w:r w:rsidR="008E7337" w:rsidRPr="005D33D3">
        <w:t>s</w:t>
      </w:r>
      <w:r w:rsidR="00A22117" w:rsidRPr="005D33D3">
        <w:t xml:space="preserve"> </w:t>
      </w:r>
      <w:r w:rsidR="006E0501" w:rsidRPr="005D33D3">
        <w:t xml:space="preserve">3.15 </w:t>
      </w:r>
      <w:r w:rsidR="007F62FE" w:rsidRPr="005D33D3">
        <w:t xml:space="preserve">to 3.17 </w:t>
      </w:r>
      <w:r w:rsidR="00A22117" w:rsidRPr="005D33D3">
        <w:t>ha</w:t>
      </w:r>
      <w:r w:rsidR="008E7337" w:rsidRPr="005D33D3">
        <w:t xml:space="preserve">ve the </w:t>
      </w:r>
      <w:r w:rsidR="00A22117" w:rsidRPr="005D33D3">
        <w:t xml:space="preserve">potential to </w:t>
      </w:r>
      <w:r w:rsidRPr="005D33D3">
        <w:t xml:space="preserve">hamper and confuse </w:t>
      </w:r>
      <w:r w:rsidR="00A22117" w:rsidRPr="005D33D3">
        <w:t xml:space="preserve">the negotiation of </w:t>
      </w:r>
      <w:r w:rsidR="00534DB9" w:rsidRPr="005D33D3">
        <w:t>intellectual property</w:t>
      </w:r>
      <w:r w:rsidRPr="005D33D3">
        <w:t xml:space="preserve"> </w:t>
      </w:r>
      <w:r w:rsidR="00A22117" w:rsidRPr="005D33D3">
        <w:t xml:space="preserve">licences. </w:t>
      </w:r>
    </w:p>
    <w:p w14:paraId="06B3DF67" w14:textId="45E6E32B" w:rsidR="00961B72" w:rsidRPr="005D33D3" w:rsidRDefault="00961B72" w:rsidP="00961B72">
      <w:pPr>
        <w:pStyle w:val="Heading2"/>
        <w:rPr>
          <w:lang w:eastAsia="zh-CN"/>
        </w:rPr>
      </w:pPr>
      <w:r w:rsidRPr="005D33D3">
        <w:t xml:space="preserve">The draft Guidelines </w:t>
      </w:r>
      <w:r w:rsidR="00AF07E8" w:rsidRPr="005D33D3">
        <w:t xml:space="preserve">could be read </w:t>
      </w:r>
      <w:r w:rsidR="008E7337" w:rsidRPr="005D33D3">
        <w:t xml:space="preserve">by licensing professionals </w:t>
      </w:r>
      <w:r w:rsidR="00AF07E8" w:rsidRPr="005D33D3">
        <w:t xml:space="preserve">as </w:t>
      </w:r>
      <w:r w:rsidRPr="005D33D3">
        <w:t>suggest</w:t>
      </w:r>
      <w:r w:rsidR="00AF07E8" w:rsidRPr="005D33D3">
        <w:t>ing</w:t>
      </w:r>
      <w:r w:rsidRPr="005D33D3">
        <w:t xml:space="preserve"> that the </w:t>
      </w:r>
      <w:r w:rsidR="00AF07E8" w:rsidRPr="005D33D3">
        <w:t xml:space="preserve">relevant </w:t>
      </w:r>
      <w:r w:rsidRPr="005D33D3">
        <w:t>test</w:t>
      </w:r>
      <w:r w:rsidR="00D90394" w:rsidRPr="005D33D3">
        <w:t xml:space="preserve"> </w:t>
      </w:r>
      <w:r w:rsidR="008D19A0" w:rsidRPr="005D33D3">
        <w:t>for determining whether s</w:t>
      </w:r>
      <w:r w:rsidR="00E120E6" w:rsidRPr="005D33D3">
        <w:t>ection</w:t>
      </w:r>
      <w:r w:rsidR="008D19A0" w:rsidRPr="005D33D3">
        <w:t xml:space="preserve"> 45 </w:t>
      </w:r>
      <w:r w:rsidR="00E120E6" w:rsidRPr="005D33D3">
        <w:t xml:space="preserve">of the CCA </w:t>
      </w:r>
      <w:r w:rsidR="008D19A0" w:rsidRPr="005D33D3">
        <w:t>applies</w:t>
      </w:r>
      <w:r w:rsidRPr="005D33D3">
        <w:t xml:space="preserve"> is whether </w:t>
      </w:r>
      <w:r w:rsidR="008D19A0" w:rsidRPr="005D33D3">
        <w:t xml:space="preserve">a </w:t>
      </w:r>
      <w:r w:rsidRPr="005D33D3">
        <w:t>purpose</w:t>
      </w:r>
      <w:r w:rsidR="00EC6BFC" w:rsidRPr="005D33D3">
        <w:t xml:space="preserve"> of the clause or restriction</w:t>
      </w:r>
      <w:r w:rsidRPr="005D33D3">
        <w:t xml:space="preserve"> is </w:t>
      </w:r>
      <w:r w:rsidR="00AE0B84" w:rsidRPr="005D33D3">
        <w:t>‘</w:t>
      </w:r>
      <w:r w:rsidRPr="005D33D3">
        <w:t>collateral</w:t>
      </w:r>
      <w:r w:rsidR="00AE0B84" w:rsidRPr="005D33D3">
        <w:t>’</w:t>
      </w:r>
      <w:r w:rsidRPr="005D33D3">
        <w:t xml:space="preserve">, as opposed to a purpose or effect of substantially lessening competition.  </w:t>
      </w:r>
      <w:r w:rsidR="00AF07E8" w:rsidRPr="005D33D3">
        <w:t>This confusion arises because of the focus of the draft Guidelines on the removal of section 51(3)</w:t>
      </w:r>
      <w:r w:rsidR="00AA5061" w:rsidRPr="005D33D3">
        <w:t>,</w:t>
      </w:r>
      <w:r w:rsidR="00AF07E8" w:rsidRPr="005D33D3">
        <w:t xml:space="preserve"> as opposed to the more general application of Part IV of the CCA</w:t>
      </w:r>
      <w:r w:rsidR="00EC6BFC" w:rsidRPr="005D33D3">
        <w:t xml:space="preserve"> and the competition test</w:t>
      </w:r>
      <w:r w:rsidR="00AF07E8" w:rsidRPr="005D33D3">
        <w:t xml:space="preserve"> to intellectual property. </w:t>
      </w:r>
      <w:r w:rsidR="006E0501" w:rsidRPr="005D33D3">
        <w:t xml:space="preserve"> LESANZ is of the view that i</w:t>
      </w:r>
      <w:r w:rsidRPr="005D33D3">
        <w:t xml:space="preserve">t should be clearer, across all of </w:t>
      </w:r>
      <w:r w:rsidR="00E120E6" w:rsidRPr="005D33D3">
        <w:t>S</w:t>
      </w:r>
      <w:r w:rsidRPr="005D33D3">
        <w:t>ection 3.15</w:t>
      </w:r>
      <w:r w:rsidR="009359FB" w:rsidRPr="005D33D3">
        <w:t>,</w:t>
      </w:r>
      <w:r w:rsidRPr="005D33D3">
        <w:t xml:space="preserve"> that any of these </w:t>
      </w:r>
      <w:r w:rsidR="009359FB" w:rsidRPr="005D33D3">
        <w:t xml:space="preserve">potential </w:t>
      </w:r>
      <w:r w:rsidRPr="005D33D3">
        <w:t xml:space="preserve">issues are still subject to a test of </w:t>
      </w:r>
      <w:r w:rsidR="00AE0B84" w:rsidRPr="005D33D3">
        <w:t xml:space="preserve">whether they have the </w:t>
      </w:r>
      <w:r w:rsidRPr="005D33D3">
        <w:t>purpose or effect of substantially lessening competition (</w:t>
      </w:r>
      <w:r w:rsidR="003E3282" w:rsidRPr="005D33D3">
        <w:t>for example</w:t>
      </w:r>
      <w:r w:rsidRPr="005D33D3">
        <w:t xml:space="preserve">, </w:t>
      </w:r>
      <w:r w:rsidR="006E0501" w:rsidRPr="005D33D3">
        <w:t>E</w:t>
      </w:r>
      <w:r w:rsidRPr="005D33D3">
        <w:t>xample 6 makes this clear</w:t>
      </w:r>
      <w:r w:rsidR="009359FB" w:rsidRPr="005D33D3">
        <w:t>er</w:t>
      </w:r>
      <w:r w:rsidRPr="005D33D3">
        <w:t>).</w:t>
      </w:r>
      <w:r w:rsidR="004276DF" w:rsidRPr="005D33D3">
        <w:t xml:space="preserve">  </w:t>
      </w:r>
    </w:p>
    <w:p w14:paraId="3D8E3328" w14:textId="77777777" w:rsidR="00961B72" w:rsidRPr="005D33D3" w:rsidRDefault="006E0501" w:rsidP="00961B72">
      <w:pPr>
        <w:pStyle w:val="Heading2"/>
        <w:rPr>
          <w:lang w:eastAsia="zh-CN"/>
        </w:rPr>
      </w:pPr>
      <w:r w:rsidRPr="005D33D3">
        <w:lastRenderedPageBreak/>
        <w:t>In its current form</w:t>
      </w:r>
      <w:r w:rsidR="00EC2410" w:rsidRPr="005D33D3">
        <w:t>,</w:t>
      </w:r>
      <w:r w:rsidRPr="005D33D3">
        <w:t xml:space="preserve"> </w:t>
      </w:r>
      <w:r w:rsidR="00961B72" w:rsidRPr="005D33D3">
        <w:t xml:space="preserve">Section 3.15 </w:t>
      </w:r>
      <w:r w:rsidRPr="005D33D3">
        <w:t>is likely to</w:t>
      </w:r>
      <w:r w:rsidR="00961B72" w:rsidRPr="005D33D3">
        <w:t xml:space="preserve"> be used by licensees as support for not agreeing </w:t>
      </w:r>
      <w:r w:rsidR="00EC6BFC" w:rsidRPr="005D33D3">
        <w:t xml:space="preserve">to </w:t>
      </w:r>
      <w:r w:rsidR="00961B72" w:rsidRPr="005D33D3">
        <w:t xml:space="preserve">provisions which would have no purpose </w:t>
      </w:r>
      <w:r w:rsidR="009359FB" w:rsidRPr="005D33D3">
        <w:t xml:space="preserve">related to </w:t>
      </w:r>
      <w:r w:rsidR="00961B72" w:rsidRPr="005D33D3">
        <w:t xml:space="preserve">or </w:t>
      </w:r>
      <w:r w:rsidR="00AE0B84" w:rsidRPr="005D33D3">
        <w:t xml:space="preserve">have any </w:t>
      </w:r>
      <w:r w:rsidR="00961B72" w:rsidRPr="005D33D3">
        <w:t xml:space="preserve">effect on competition, but which </w:t>
      </w:r>
      <w:r w:rsidR="00EC2410" w:rsidRPr="005D33D3">
        <w:t>encompass</w:t>
      </w:r>
      <w:r w:rsidR="00961B72" w:rsidRPr="005D33D3">
        <w:t xml:space="preserve"> provisions which are commonly included</w:t>
      </w:r>
      <w:r w:rsidR="00EC2410" w:rsidRPr="005D33D3">
        <w:t xml:space="preserve"> in </w:t>
      </w:r>
      <w:r w:rsidR="00CB2C5B" w:rsidRPr="005D33D3">
        <w:t>intellectual property</w:t>
      </w:r>
      <w:r w:rsidR="00EC6BFC" w:rsidRPr="005D33D3">
        <w:t xml:space="preserve"> licences</w:t>
      </w:r>
      <w:r w:rsidR="00961B72" w:rsidRPr="005D33D3">
        <w:t>.</w:t>
      </w:r>
      <w:r w:rsidR="00EC6BFC" w:rsidRPr="005D33D3">
        <w:t xml:space="preserve"> </w:t>
      </w:r>
      <w:r w:rsidR="002E46C7" w:rsidRPr="005D33D3">
        <w:t xml:space="preserve"> </w:t>
      </w:r>
      <w:r w:rsidR="00EC6BFC" w:rsidRPr="005D33D3">
        <w:t xml:space="preserve">For example: </w:t>
      </w:r>
    </w:p>
    <w:p w14:paraId="134D5CFA" w14:textId="77777777" w:rsidR="00961B72" w:rsidRPr="005D33D3" w:rsidRDefault="00EC2410" w:rsidP="00961B72">
      <w:pPr>
        <w:pStyle w:val="Heading3"/>
        <w:rPr>
          <w:lang w:eastAsia="zh-CN"/>
        </w:rPr>
      </w:pPr>
      <w:r w:rsidRPr="005D33D3">
        <w:rPr>
          <w:b/>
        </w:rPr>
        <w:t>Time restrictions</w:t>
      </w:r>
      <w:r w:rsidRPr="005D33D3">
        <w:t xml:space="preserve"> – a </w:t>
      </w:r>
      <w:r w:rsidR="00961B72" w:rsidRPr="005D33D3">
        <w:t xml:space="preserve">term which goes beyond the term of a licensed patent may be justified. </w:t>
      </w:r>
      <w:r w:rsidRPr="005D33D3">
        <w:t xml:space="preserve">The term may relate </w:t>
      </w:r>
      <w:r w:rsidR="003D226F" w:rsidRPr="005D33D3">
        <w:t>to associated know</w:t>
      </w:r>
      <w:r w:rsidR="00FF2E67" w:rsidRPr="005D33D3">
        <w:t xml:space="preserve">how which remains confidential, genuine quality provisions which are intended to protect the reputation of the licensor or deferred consideration designed to allow a lower royalty at the beginning of the licence while the technology is being established in the market. </w:t>
      </w:r>
      <w:r w:rsidR="009359FB" w:rsidRPr="005D33D3">
        <w:t>The</w:t>
      </w:r>
      <w:r w:rsidR="00961B72" w:rsidRPr="005D33D3">
        <w:t xml:space="preserve"> </w:t>
      </w:r>
      <w:r w:rsidR="00E546A6" w:rsidRPr="005D33D3">
        <w:t xml:space="preserve">commentary </w:t>
      </w:r>
      <w:r w:rsidR="009359FB" w:rsidRPr="005D33D3">
        <w:t xml:space="preserve">in the draft Guidelines </w:t>
      </w:r>
      <w:r w:rsidR="00E546A6" w:rsidRPr="005D33D3">
        <w:t xml:space="preserve">and the associated Example 4 </w:t>
      </w:r>
      <w:r w:rsidR="00961B72" w:rsidRPr="005D33D3">
        <w:t>should recognise that such provisions are only an issue</w:t>
      </w:r>
      <w:r w:rsidR="00AA5061" w:rsidRPr="005D33D3">
        <w:t xml:space="preserve"> if</w:t>
      </w:r>
      <w:r w:rsidR="00961B72" w:rsidRPr="005D33D3">
        <w:t xml:space="preserve"> </w:t>
      </w:r>
      <w:r w:rsidR="00611E19" w:rsidRPr="005D33D3">
        <w:t>they are</w:t>
      </w:r>
      <w:r w:rsidR="00E546A6" w:rsidRPr="005D33D3">
        <w:t xml:space="preserve"> for the purpose or</w:t>
      </w:r>
      <w:r w:rsidR="00B027F5" w:rsidRPr="005D33D3">
        <w:t xml:space="preserve"> have the likely</w:t>
      </w:r>
      <w:r w:rsidR="00E546A6" w:rsidRPr="005D33D3">
        <w:t xml:space="preserve"> effect of substantially lessening competition</w:t>
      </w:r>
      <w:r w:rsidR="00961B72" w:rsidRPr="005D33D3">
        <w:t>.</w:t>
      </w:r>
    </w:p>
    <w:p w14:paraId="19F49553" w14:textId="2ABD7B73" w:rsidR="00961B72" w:rsidRPr="005D33D3" w:rsidRDefault="00961B72" w:rsidP="00961B72">
      <w:pPr>
        <w:pStyle w:val="Heading3"/>
        <w:rPr>
          <w:lang w:eastAsia="zh-CN"/>
        </w:rPr>
      </w:pPr>
      <w:r w:rsidRPr="005D33D3">
        <w:rPr>
          <w:b/>
        </w:rPr>
        <w:t>No challenge provisions</w:t>
      </w:r>
      <w:r w:rsidRPr="005D33D3">
        <w:t xml:space="preserve"> </w:t>
      </w:r>
      <w:r w:rsidR="00E546A6" w:rsidRPr="005D33D3">
        <w:t xml:space="preserve">– in LESANZ’s experience, no challenge provisions are not </w:t>
      </w:r>
      <w:r w:rsidR="00A125D5" w:rsidRPr="005D33D3">
        <w:t>requ</w:t>
      </w:r>
      <w:r w:rsidR="005C4809" w:rsidRPr="005D33D3">
        <w:t>ested</w:t>
      </w:r>
      <w:r w:rsidR="00A125D5" w:rsidRPr="005D33D3">
        <w:t xml:space="preserve"> by a licensor </w:t>
      </w:r>
      <w:r w:rsidR="00E546A6" w:rsidRPr="005D33D3">
        <w:t>for the purpose of substantially lessening competition nor are they likely to have that effect</w:t>
      </w:r>
      <w:r w:rsidRPr="005D33D3">
        <w:t>.  The primary purpose of a no challenge clause</w:t>
      </w:r>
      <w:r w:rsidR="00A125D5" w:rsidRPr="005D33D3">
        <w:rPr>
          <w:rStyle w:val="FootnoteReference"/>
        </w:rPr>
        <w:footnoteReference w:id="1"/>
      </w:r>
      <w:r w:rsidRPr="005D33D3">
        <w:t xml:space="preserve"> is to support the </w:t>
      </w:r>
      <w:r w:rsidR="00A125D5" w:rsidRPr="005D33D3">
        <w:t xml:space="preserve">bargain </w:t>
      </w:r>
      <w:r w:rsidRPr="005D33D3">
        <w:t>that is formed by the licence agreement, with the licensee having the ability to do due diligence on the intellectual property prior to</w:t>
      </w:r>
      <w:r w:rsidR="00B027F5" w:rsidRPr="005D33D3">
        <w:t xml:space="preserve"> entering into</w:t>
      </w:r>
      <w:r w:rsidRPr="005D33D3">
        <w:t xml:space="preserve"> the licence agreement.  Once the bargain is struck, a no challenge clause is intended to support that bargain</w:t>
      </w:r>
      <w:r w:rsidR="005C4809" w:rsidRPr="005D33D3">
        <w:t>.  Further, it would be i</w:t>
      </w:r>
      <w:r w:rsidR="00C9660C" w:rsidRPr="005D33D3">
        <w:t>ni</w:t>
      </w:r>
      <w:r w:rsidR="005C4809" w:rsidRPr="005D33D3">
        <w:t xml:space="preserve">mical to a licence agreement for a licensor to be bound to a licence agreement in circumstances where the licensee does not accept that the licensed </w:t>
      </w:r>
      <w:r w:rsidR="003E3282" w:rsidRPr="005D33D3">
        <w:t>intellectual property</w:t>
      </w:r>
      <w:r w:rsidR="005C4809" w:rsidRPr="005D33D3">
        <w:t xml:space="preserve"> is valid. </w:t>
      </w:r>
      <w:r w:rsidR="00DA7C2D" w:rsidRPr="005D33D3">
        <w:t>LESANZ suggests that t</w:t>
      </w:r>
      <w:r w:rsidR="005C4809" w:rsidRPr="005D33D3">
        <w:t>his commentary should be removed</w:t>
      </w:r>
      <w:r w:rsidR="00C9660C" w:rsidRPr="005D33D3">
        <w:t>.</w:t>
      </w:r>
    </w:p>
    <w:p w14:paraId="571154F6" w14:textId="77777777" w:rsidR="00961B72" w:rsidRPr="005D33D3" w:rsidRDefault="00961B72" w:rsidP="00E120E6">
      <w:pPr>
        <w:pStyle w:val="Heading2"/>
        <w:keepNext/>
        <w:numPr>
          <w:ilvl w:val="0"/>
          <w:numId w:val="0"/>
        </w:numPr>
        <w:ind w:left="737"/>
        <w:rPr>
          <w:b/>
          <w:i/>
          <w:lang w:eastAsia="zh-CN"/>
        </w:rPr>
      </w:pPr>
      <w:r w:rsidRPr="005D33D3">
        <w:rPr>
          <w:b/>
          <w:i/>
          <w:lang w:eastAsia="zh-CN"/>
        </w:rPr>
        <w:t>Grant back provisions (</w:t>
      </w:r>
      <w:r w:rsidR="00BD52F7" w:rsidRPr="005D33D3">
        <w:rPr>
          <w:b/>
          <w:i/>
          <w:lang w:eastAsia="zh-CN"/>
        </w:rPr>
        <w:t>E</w:t>
      </w:r>
      <w:r w:rsidRPr="005D33D3">
        <w:rPr>
          <w:b/>
          <w:i/>
          <w:lang w:eastAsia="zh-CN"/>
        </w:rPr>
        <w:t>xample 5)</w:t>
      </w:r>
    </w:p>
    <w:p w14:paraId="4EF549F7" w14:textId="77777777" w:rsidR="00565E0B" w:rsidRPr="005D33D3" w:rsidRDefault="009E1C46" w:rsidP="005F7CC5">
      <w:pPr>
        <w:pStyle w:val="Heading2"/>
        <w:rPr>
          <w:lang w:eastAsia="zh-CN"/>
        </w:rPr>
      </w:pPr>
      <w:r w:rsidRPr="005D33D3">
        <w:t xml:space="preserve">The ACCC’s default position, as it appears in the </w:t>
      </w:r>
      <w:r w:rsidR="0086429F" w:rsidRPr="005D33D3">
        <w:t xml:space="preserve">draft </w:t>
      </w:r>
      <w:r w:rsidRPr="005D33D3">
        <w:t xml:space="preserve">Guidelines, seems to be that </w:t>
      </w:r>
      <w:r w:rsidR="004C6C83" w:rsidRPr="005D33D3">
        <w:t xml:space="preserve">the </w:t>
      </w:r>
      <w:r w:rsidRPr="005D33D3">
        <w:t xml:space="preserve">grant back </w:t>
      </w:r>
      <w:r w:rsidR="00863A8C" w:rsidRPr="005D33D3">
        <w:t xml:space="preserve">of improvements </w:t>
      </w:r>
      <w:r w:rsidR="004C6C83" w:rsidRPr="005D33D3">
        <w:t>is</w:t>
      </w:r>
      <w:r w:rsidR="00863A8C" w:rsidRPr="005D33D3">
        <w:t xml:space="preserve"> inherently problematic under competition laws</w:t>
      </w:r>
      <w:r w:rsidR="009F63D4" w:rsidRPr="005D33D3">
        <w:t xml:space="preserve">, in contrast with the </w:t>
      </w:r>
      <w:r w:rsidR="00327DB5" w:rsidRPr="005D33D3">
        <w:t>US</w:t>
      </w:r>
      <w:r w:rsidR="009F63D4" w:rsidRPr="005D33D3">
        <w:t xml:space="preserve"> Guidelines which outline that each grant back should be </w:t>
      </w:r>
      <w:r w:rsidR="00565E0B" w:rsidRPr="005D33D3">
        <w:t xml:space="preserve">evaluated </w:t>
      </w:r>
      <w:proofErr w:type="gramStart"/>
      <w:r w:rsidR="00565E0B" w:rsidRPr="005D33D3">
        <w:t>in light of</w:t>
      </w:r>
      <w:proofErr w:type="gramEnd"/>
      <w:r w:rsidR="00565E0B" w:rsidRPr="005D33D3">
        <w:t xml:space="preserve"> the circumstances. The U</w:t>
      </w:r>
      <w:r w:rsidR="00327DB5" w:rsidRPr="005D33D3">
        <w:t>S</w:t>
      </w:r>
      <w:r w:rsidR="00565E0B" w:rsidRPr="005D33D3">
        <w:t xml:space="preserve"> Guidelines state that</w:t>
      </w:r>
      <w:r w:rsidR="009F63D4" w:rsidRPr="005D33D3">
        <w:t xml:space="preserve"> </w:t>
      </w:r>
      <w:r w:rsidR="00565E0B" w:rsidRPr="005D33D3">
        <w:t xml:space="preserve">they evaluate </w:t>
      </w:r>
      <w:r w:rsidR="009F63D4" w:rsidRPr="005D33D3">
        <w:t>“</w:t>
      </w:r>
      <w:r w:rsidR="009F63D4" w:rsidRPr="005D33D3">
        <w:rPr>
          <w:bCs/>
          <w:i/>
        </w:rPr>
        <w:t>its likely effects in light of the overall structure of the licensing arrangement and conditions in the relevant markets</w:t>
      </w:r>
      <w:r w:rsidR="009F63D4" w:rsidRPr="005D33D3">
        <w:rPr>
          <w:bCs/>
        </w:rPr>
        <w:t>.</w:t>
      </w:r>
      <w:r w:rsidR="003F792D" w:rsidRPr="005D33D3">
        <w:rPr>
          <w:bCs/>
        </w:rPr>
        <w:t>” The US Guidelines</w:t>
      </w:r>
      <w:r w:rsidR="009F63D4" w:rsidRPr="005D33D3">
        <w:rPr>
          <w:sz w:val="14"/>
          <w:szCs w:val="14"/>
        </w:rPr>
        <w:t xml:space="preserve"> </w:t>
      </w:r>
      <w:r w:rsidR="00327DB5" w:rsidRPr="005D33D3">
        <w:rPr>
          <w:bCs/>
        </w:rPr>
        <w:t>outline that an</w:t>
      </w:r>
      <w:r w:rsidR="009F63D4" w:rsidRPr="005D33D3">
        <w:rPr>
          <w:bCs/>
        </w:rPr>
        <w:t xml:space="preserve"> important factor in </w:t>
      </w:r>
      <w:r w:rsidR="00C65661" w:rsidRPr="005D33D3">
        <w:rPr>
          <w:bCs/>
        </w:rPr>
        <w:t xml:space="preserve">any </w:t>
      </w:r>
      <w:r w:rsidR="009F63D4" w:rsidRPr="005D33D3">
        <w:rPr>
          <w:bCs/>
        </w:rPr>
        <w:t>analysis of a grant</w:t>
      </w:r>
      <w:r w:rsidR="003F792D" w:rsidRPr="005D33D3">
        <w:rPr>
          <w:bCs/>
        </w:rPr>
        <w:t xml:space="preserve"> </w:t>
      </w:r>
      <w:r w:rsidR="009F63D4" w:rsidRPr="005D33D3">
        <w:rPr>
          <w:bCs/>
        </w:rPr>
        <w:t xml:space="preserve">back will be whether the </w:t>
      </w:r>
      <w:r w:rsidR="00EC0561" w:rsidRPr="005D33D3">
        <w:rPr>
          <w:bCs/>
        </w:rPr>
        <w:t xml:space="preserve">intellectual property </w:t>
      </w:r>
      <w:r w:rsidR="009F63D4" w:rsidRPr="005D33D3">
        <w:rPr>
          <w:bCs/>
        </w:rPr>
        <w:t>licensor has market power in</w:t>
      </w:r>
      <w:r w:rsidR="00C65661" w:rsidRPr="005D33D3">
        <w:rPr>
          <w:bCs/>
        </w:rPr>
        <w:t xml:space="preserve"> relation to</w:t>
      </w:r>
      <w:r w:rsidR="009F63D4" w:rsidRPr="005D33D3">
        <w:rPr>
          <w:bCs/>
        </w:rPr>
        <w:t xml:space="preserve"> a relevant technology or research and development market.</w:t>
      </w:r>
      <w:r w:rsidR="00565E0B" w:rsidRPr="005D33D3">
        <w:t xml:space="preserve"> </w:t>
      </w:r>
    </w:p>
    <w:p w14:paraId="33237873" w14:textId="77777777" w:rsidR="009F63D4" w:rsidRPr="005D33D3" w:rsidRDefault="00565E0B" w:rsidP="005F7CC5">
      <w:pPr>
        <w:pStyle w:val="Heading2"/>
        <w:rPr>
          <w:lang w:eastAsia="zh-CN"/>
        </w:rPr>
      </w:pPr>
      <w:r w:rsidRPr="005D33D3">
        <w:t xml:space="preserve">Furthermore, the </w:t>
      </w:r>
      <w:r w:rsidR="00327DB5" w:rsidRPr="005D33D3">
        <w:t>US</w:t>
      </w:r>
      <w:r w:rsidRPr="005D33D3">
        <w:t xml:space="preserve"> </w:t>
      </w:r>
      <w:r w:rsidR="003F792D" w:rsidRPr="005D33D3">
        <w:t>Guidelines</w:t>
      </w:r>
      <w:r w:rsidRPr="005D33D3">
        <w:t xml:space="preserve"> also </w:t>
      </w:r>
      <w:r w:rsidR="003F792D" w:rsidRPr="005D33D3">
        <w:t xml:space="preserve">reflect how certain </w:t>
      </w:r>
      <w:r w:rsidRPr="005D33D3">
        <w:rPr>
          <w:bCs/>
        </w:rPr>
        <w:t>grant</w:t>
      </w:r>
      <w:r w:rsidR="003F792D" w:rsidRPr="005D33D3">
        <w:rPr>
          <w:bCs/>
        </w:rPr>
        <w:t xml:space="preserve"> </w:t>
      </w:r>
      <w:r w:rsidRPr="005D33D3">
        <w:rPr>
          <w:bCs/>
        </w:rPr>
        <w:t>back provision</w:t>
      </w:r>
      <w:r w:rsidR="00C65661" w:rsidRPr="005D33D3">
        <w:rPr>
          <w:bCs/>
        </w:rPr>
        <w:t>s</w:t>
      </w:r>
      <w:r w:rsidRPr="005D33D3">
        <w:rPr>
          <w:bCs/>
        </w:rPr>
        <w:t xml:space="preserve"> </w:t>
      </w:r>
      <w:r w:rsidR="003F792D" w:rsidRPr="005D33D3">
        <w:rPr>
          <w:bCs/>
        </w:rPr>
        <w:t>have</w:t>
      </w:r>
      <w:r w:rsidRPr="005D33D3">
        <w:rPr>
          <w:bCs/>
        </w:rPr>
        <w:t xml:space="preserve"> offsetting procompetitive effects</w:t>
      </w:r>
      <w:r w:rsidR="003F792D" w:rsidRPr="005D33D3">
        <w:rPr>
          <w:bCs/>
        </w:rPr>
        <w:t>, for example</w:t>
      </w:r>
      <w:r w:rsidR="00E120E6" w:rsidRPr="005D33D3">
        <w:rPr>
          <w:bCs/>
        </w:rPr>
        <w:t>,</w:t>
      </w:r>
      <w:r w:rsidR="003F792D" w:rsidRPr="005D33D3">
        <w:rPr>
          <w:b/>
          <w:bCs/>
        </w:rPr>
        <w:t xml:space="preserve"> </w:t>
      </w:r>
      <w:r w:rsidR="003F792D" w:rsidRPr="005D33D3">
        <w:rPr>
          <w:bCs/>
        </w:rPr>
        <w:t>“</w:t>
      </w:r>
      <w:r w:rsidRPr="005D33D3">
        <w:rPr>
          <w:i/>
        </w:rPr>
        <w:t>promoting dissemination of licensees’ improvements to the licensed technology</w:t>
      </w:r>
      <w:r w:rsidR="003F792D" w:rsidRPr="005D33D3">
        <w:rPr>
          <w:i/>
        </w:rPr>
        <w:t>…</w:t>
      </w:r>
      <w:r w:rsidRPr="005D33D3">
        <w:rPr>
          <w:i/>
        </w:rPr>
        <w:t xml:space="preserve"> increasing the licensors’ incentives to disseminate the licensed technology, or</w:t>
      </w:r>
      <w:r w:rsidR="003F792D" w:rsidRPr="005D33D3">
        <w:rPr>
          <w:i/>
        </w:rPr>
        <w:t>…</w:t>
      </w:r>
      <w:r w:rsidRPr="005D33D3">
        <w:rPr>
          <w:i/>
        </w:rPr>
        <w:t xml:space="preserve"> otherwise increasing competition and output in a relevant technology or research and development market</w:t>
      </w:r>
      <w:r w:rsidRPr="005D33D3">
        <w:t>.</w:t>
      </w:r>
      <w:r w:rsidR="003F792D" w:rsidRPr="005D33D3">
        <w:t>”</w:t>
      </w:r>
    </w:p>
    <w:p w14:paraId="72D0A6F2" w14:textId="77777777" w:rsidR="00FB7DB3" w:rsidRPr="005D33D3" w:rsidRDefault="00FB7DB3" w:rsidP="00FB7DB3">
      <w:pPr>
        <w:pStyle w:val="Heading2"/>
        <w:rPr>
          <w:lang w:eastAsia="zh-CN"/>
        </w:rPr>
      </w:pPr>
      <w:r w:rsidRPr="005D33D3">
        <w:t xml:space="preserve">LESANZ is aware </w:t>
      </w:r>
      <w:r w:rsidR="001C25FC" w:rsidRPr="005D33D3">
        <w:t>of instances where</w:t>
      </w:r>
      <w:r w:rsidRPr="005D33D3">
        <w:t xml:space="preserve"> the draft Guidelines </w:t>
      </w:r>
      <w:r w:rsidR="001C25FC" w:rsidRPr="005D33D3">
        <w:t>have been</w:t>
      </w:r>
      <w:r w:rsidRPr="005D33D3">
        <w:t xml:space="preserve"> used by licensees to resist </w:t>
      </w:r>
      <w:r w:rsidR="00732ABF" w:rsidRPr="005D33D3">
        <w:t>grant back</w:t>
      </w:r>
      <w:r w:rsidRPr="005D33D3">
        <w:t xml:space="preserve"> improvements clauses. This demonstrates the inherent risks of the draft Guidelines being used as leverage in negotiations where the factual circumstances are far removed from the example outlined in the </w:t>
      </w:r>
      <w:r w:rsidR="001C640A" w:rsidRPr="005D33D3">
        <w:t xml:space="preserve">draft </w:t>
      </w:r>
      <w:r w:rsidRPr="005D33D3">
        <w:t xml:space="preserve">Guidelines. </w:t>
      </w:r>
    </w:p>
    <w:p w14:paraId="49A18394" w14:textId="77777777" w:rsidR="003A50E2" w:rsidRPr="005D33D3" w:rsidRDefault="009E1C46" w:rsidP="00971CD1">
      <w:pPr>
        <w:pStyle w:val="Heading2"/>
      </w:pPr>
      <w:r w:rsidRPr="005D33D3">
        <w:t xml:space="preserve">The applicable example, Example </w:t>
      </w:r>
      <w:r w:rsidR="00BD52F7" w:rsidRPr="005D33D3">
        <w:t>5</w:t>
      </w:r>
      <w:r w:rsidRPr="005D33D3">
        <w:t xml:space="preserve">, ignores the complex nature of </w:t>
      </w:r>
      <w:r w:rsidR="00111B64" w:rsidRPr="005D33D3">
        <w:t>grant back</w:t>
      </w:r>
      <w:r w:rsidRPr="005D33D3">
        <w:t xml:space="preserve"> clauses</w:t>
      </w:r>
      <w:r w:rsidR="00863A8C" w:rsidRPr="005D33D3">
        <w:t xml:space="preserve"> and the nuances and crucial significance of assessing whether the relevant conduct has the purpose or effect of substantially lessening competition,</w:t>
      </w:r>
      <w:r w:rsidRPr="005D33D3">
        <w:t xml:space="preserve"> and</w:t>
      </w:r>
      <w:r w:rsidR="00863A8C" w:rsidRPr="005D33D3">
        <w:t xml:space="preserve"> consequently</w:t>
      </w:r>
      <w:r w:rsidRPr="005D33D3">
        <w:t xml:space="preserve"> has the potential to </w:t>
      </w:r>
      <w:r w:rsidR="001C640A" w:rsidRPr="005D33D3">
        <w:t>impede</w:t>
      </w:r>
      <w:r w:rsidRPr="005D33D3">
        <w:t xml:space="preserve"> the commercialisation of new technologies.</w:t>
      </w:r>
      <w:r w:rsidR="00FB7DB3" w:rsidRPr="005D33D3">
        <w:t xml:space="preserve">  </w:t>
      </w:r>
      <w:r w:rsidR="00961B72" w:rsidRPr="005D33D3">
        <w:t xml:space="preserve">Broadly speaking, </w:t>
      </w:r>
      <w:r w:rsidR="00BD52F7" w:rsidRPr="005D33D3">
        <w:t>E</w:t>
      </w:r>
      <w:r w:rsidR="00961B72" w:rsidRPr="005D33D3">
        <w:t xml:space="preserve">xample 5 rolls up too many issues into a brief set of </w:t>
      </w:r>
      <w:r w:rsidR="00B864E0" w:rsidRPr="005D33D3">
        <w:t>unrealistic facts</w:t>
      </w:r>
      <w:r w:rsidR="00961B72" w:rsidRPr="005D33D3">
        <w:t xml:space="preserve">.  </w:t>
      </w:r>
      <w:r w:rsidR="00B864E0" w:rsidRPr="005D33D3">
        <w:t xml:space="preserve">Improvements clauses are usually only agreed in exclusive licences which cover </w:t>
      </w:r>
      <w:proofErr w:type="gramStart"/>
      <w:r w:rsidR="00B864E0" w:rsidRPr="005D33D3">
        <w:t>all of</w:t>
      </w:r>
      <w:proofErr w:type="gramEnd"/>
      <w:r w:rsidR="00B864E0" w:rsidRPr="005D33D3">
        <w:t xml:space="preserve"> the patented rights or </w:t>
      </w:r>
      <w:r w:rsidR="00640D24" w:rsidRPr="005D33D3">
        <w:t xml:space="preserve">within </w:t>
      </w:r>
      <w:r w:rsidR="00B864E0" w:rsidRPr="005D33D3">
        <w:t xml:space="preserve">a field.  </w:t>
      </w:r>
      <w:r w:rsidR="00FB7DB3" w:rsidRPr="005D33D3">
        <w:t xml:space="preserve">It would be </w:t>
      </w:r>
      <w:r w:rsidR="00640D24" w:rsidRPr="005D33D3">
        <w:t xml:space="preserve">unlikely </w:t>
      </w:r>
      <w:r w:rsidR="001C640A" w:rsidRPr="005D33D3">
        <w:t xml:space="preserve">for them </w:t>
      </w:r>
      <w:r w:rsidR="00640D24" w:rsidRPr="005D33D3">
        <w:t xml:space="preserve">to </w:t>
      </w:r>
      <w:r w:rsidR="001C640A" w:rsidRPr="005D33D3">
        <w:t xml:space="preserve">be </w:t>
      </w:r>
      <w:r w:rsidR="00B864E0" w:rsidRPr="005D33D3">
        <w:t>agree</w:t>
      </w:r>
      <w:r w:rsidR="001C640A" w:rsidRPr="005D33D3">
        <w:t>d</w:t>
      </w:r>
      <w:r w:rsidR="00B864E0" w:rsidRPr="005D33D3">
        <w:t xml:space="preserve"> in non</w:t>
      </w:r>
      <w:r w:rsidR="00640D24" w:rsidRPr="005D33D3">
        <w:t>-</w:t>
      </w:r>
      <w:r w:rsidR="00B864E0" w:rsidRPr="005D33D3">
        <w:t xml:space="preserve">exclusive licences </w:t>
      </w:r>
      <w:r w:rsidR="00640D24" w:rsidRPr="005D33D3">
        <w:t xml:space="preserve">and then </w:t>
      </w:r>
      <w:r w:rsidR="00FB7DB3" w:rsidRPr="005D33D3">
        <w:t>have the</w:t>
      </w:r>
      <w:r w:rsidR="00260A29" w:rsidRPr="005D33D3">
        <w:t xml:space="preserve"> improvements</w:t>
      </w:r>
      <w:r w:rsidR="00FB7DB3" w:rsidRPr="005D33D3">
        <w:t xml:space="preserve"> </w:t>
      </w:r>
      <w:r w:rsidR="00640D24" w:rsidRPr="005D33D3">
        <w:t xml:space="preserve">shared between licensees which appear to be competitive. </w:t>
      </w:r>
      <w:r w:rsidR="00B864E0" w:rsidRPr="005D33D3">
        <w:t xml:space="preserve"> </w:t>
      </w:r>
      <w:r w:rsidR="00640D24" w:rsidRPr="005D33D3">
        <w:t xml:space="preserve">However, this unusual example has the potential to </w:t>
      </w:r>
      <w:r w:rsidR="00FB7DB3" w:rsidRPr="005D33D3">
        <w:t>“</w:t>
      </w:r>
      <w:r w:rsidR="00640D24" w:rsidRPr="005D33D3">
        <w:t>tar</w:t>
      </w:r>
      <w:r w:rsidR="00FB7DB3" w:rsidRPr="005D33D3">
        <w:t>”</w:t>
      </w:r>
      <w:r w:rsidR="00640D24" w:rsidRPr="005D33D3">
        <w:t xml:space="preserve"> all improvem</w:t>
      </w:r>
      <w:r w:rsidR="00FB7DB3" w:rsidRPr="005D33D3">
        <w:t>en</w:t>
      </w:r>
      <w:r w:rsidR="00640D24" w:rsidRPr="005D33D3">
        <w:t xml:space="preserve">ts </w:t>
      </w:r>
      <w:r w:rsidR="00C65661" w:rsidRPr="005D33D3">
        <w:t xml:space="preserve">and grant back </w:t>
      </w:r>
      <w:r w:rsidR="00640D24" w:rsidRPr="005D33D3">
        <w:t xml:space="preserve">clauses with </w:t>
      </w:r>
      <w:r w:rsidR="002C60C7" w:rsidRPr="005D33D3">
        <w:t>“</w:t>
      </w:r>
      <w:r w:rsidR="00640D24" w:rsidRPr="005D33D3">
        <w:t>the same brush</w:t>
      </w:r>
      <w:r w:rsidR="002C60C7" w:rsidRPr="005D33D3">
        <w:t>”</w:t>
      </w:r>
      <w:r w:rsidR="00640D24" w:rsidRPr="005D33D3">
        <w:t xml:space="preserve">.  </w:t>
      </w:r>
    </w:p>
    <w:p w14:paraId="5441B3BC" w14:textId="77777777" w:rsidR="00F820F7" w:rsidRPr="005D33D3" w:rsidRDefault="00961B72" w:rsidP="00E120E6">
      <w:pPr>
        <w:pStyle w:val="Heading2"/>
        <w:keepNext/>
      </w:pPr>
      <w:r w:rsidRPr="005D33D3">
        <w:lastRenderedPageBreak/>
        <w:t>Ideally</w:t>
      </w:r>
      <w:r w:rsidR="002C60C7" w:rsidRPr="005D33D3">
        <w:t xml:space="preserve"> Example 5 </w:t>
      </w:r>
      <w:r w:rsidR="00584B82" w:rsidRPr="005D33D3">
        <w:t>sh</w:t>
      </w:r>
      <w:r w:rsidRPr="005D33D3">
        <w:t>ould</w:t>
      </w:r>
      <w:r w:rsidR="00F820F7" w:rsidRPr="005D33D3">
        <w:t>:</w:t>
      </w:r>
    </w:p>
    <w:p w14:paraId="77990D82" w14:textId="77777777" w:rsidR="00F820F7" w:rsidRPr="005D33D3" w:rsidRDefault="00632A7D" w:rsidP="00F820F7">
      <w:pPr>
        <w:pStyle w:val="Heading3"/>
      </w:pPr>
      <w:r w:rsidRPr="005D33D3">
        <w:t>clarify whether</w:t>
      </w:r>
      <w:r w:rsidR="002C60C7" w:rsidRPr="005D33D3">
        <w:t xml:space="preserve"> Firms B and C are competitive</w:t>
      </w:r>
      <w:r w:rsidR="002C60C7" w:rsidRPr="005D33D3">
        <w:rPr>
          <w:rStyle w:val="FootnoteReference"/>
        </w:rPr>
        <w:footnoteReference w:id="2"/>
      </w:r>
      <w:r w:rsidR="00F820F7" w:rsidRPr="005D33D3">
        <w:t>;</w:t>
      </w:r>
    </w:p>
    <w:p w14:paraId="45A828BD" w14:textId="77777777" w:rsidR="006477B3" w:rsidRPr="005D33D3" w:rsidRDefault="006477B3" w:rsidP="00F820F7">
      <w:pPr>
        <w:pStyle w:val="Heading3"/>
      </w:pPr>
      <w:r w:rsidRPr="005D33D3">
        <w:t>provide more details on the scope of the improvements which are assigned back</w:t>
      </w:r>
      <w:r w:rsidRPr="005D33D3">
        <w:rPr>
          <w:rStyle w:val="FootnoteReference"/>
        </w:rPr>
        <w:footnoteReference w:id="3"/>
      </w:r>
      <w:r w:rsidR="003E3282" w:rsidRPr="005D33D3">
        <w:t>;</w:t>
      </w:r>
    </w:p>
    <w:p w14:paraId="5F2FC5E2" w14:textId="77777777" w:rsidR="00F820F7" w:rsidRPr="005D33D3" w:rsidRDefault="00632A7D" w:rsidP="00F820F7">
      <w:pPr>
        <w:pStyle w:val="Heading3"/>
      </w:pPr>
      <w:r w:rsidRPr="005D33D3">
        <w:t>remove the focus on the collateral purpose</w:t>
      </w:r>
      <w:r w:rsidR="00C65661" w:rsidRPr="005D33D3">
        <w:t xml:space="preserve"> and focus on </w:t>
      </w:r>
      <w:r w:rsidR="00EA3CA4" w:rsidRPr="005D33D3">
        <w:t xml:space="preserve">the </w:t>
      </w:r>
      <w:r w:rsidR="00C65661" w:rsidRPr="005D33D3">
        <w:t>purpose of the clause more generally</w:t>
      </w:r>
      <w:r w:rsidR="00F820F7" w:rsidRPr="005D33D3">
        <w:t>;</w:t>
      </w:r>
    </w:p>
    <w:p w14:paraId="46C7462B" w14:textId="77777777" w:rsidR="00F820F7" w:rsidRPr="005D33D3" w:rsidRDefault="00F820F7" w:rsidP="00F820F7">
      <w:pPr>
        <w:pStyle w:val="Heading3"/>
      </w:pPr>
      <w:r w:rsidRPr="005D33D3">
        <w:t xml:space="preserve">give additional insight on the substantial lessening of competition </w:t>
      </w:r>
      <w:r w:rsidR="00BA10B2" w:rsidRPr="005D33D3">
        <w:t xml:space="preserve">assessment </w:t>
      </w:r>
      <w:r w:rsidRPr="005D33D3">
        <w:t xml:space="preserve">such </w:t>
      </w:r>
      <w:r w:rsidR="009D1952" w:rsidRPr="005D33D3">
        <w:t xml:space="preserve">as </w:t>
      </w:r>
      <w:r w:rsidRPr="005D33D3">
        <w:t>the nature of the technology</w:t>
      </w:r>
      <w:r w:rsidR="009D1952" w:rsidRPr="005D33D3">
        <w:t xml:space="preserve"> and</w:t>
      </w:r>
      <w:r w:rsidRPr="005D33D3">
        <w:t xml:space="preserve"> the existence of other technology in the market</w:t>
      </w:r>
      <w:r w:rsidR="004F3672" w:rsidRPr="005D33D3">
        <w:t xml:space="preserve"> (f</w:t>
      </w:r>
      <w:r w:rsidR="00650F29" w:rsidRPr="005D33D3">
        <w:t xml:space="preserve">or example, </w:t>
      </w:r>
      <w:r w:rsidR="009D1952" w:rsidRPr="005D33D3">
        <w:t xml:space="preserve">is this </w:t>
      </w:r>
      <w:r w:rsidR="00650F29" w:rsidRPr="005D33D3">
        <w:t>dominant technology</w:t>
      </w:r>
      <w:r w:rsidR="009D1952" w:rsidRPr="005D33D3">
        <w:t xml:space="preserve"> </w:t>
      </w:r>
      <w:r w:rsidR="00650F29" w:rsidRPr="005D33D3">
        <w:t>or is the technology just one of</w:t>
      </w:r>
      <w:r w:rsidR="009D1952" w:rsidRPr="005D33D3">
        <w:t xml:space="preserve"> hundreds of different to</w:t>
      </w:r>
      <w:r w:rsidR="00650F29" w:rsidRPr="005D33D3">
        <w:t>uchscreen technologies</w:t>
      </w:r>
      <w:r w:rsidR="004F3672" w:rsidRPr="005D33D3">
        <w:t>?</w:t>
      </w:r>
      <w:r w:rsidR="00650F29" w:rsidRPr="005D33D3">
        <w:t>)</w:t>
      </w:r>
      <w:r w:rsidR="009D1952" w:rsidRPr="005D33D3">
        <w:t xml:space="preserve">; and </w:t>
      </w:r>
      <w:r w:rsidRPr="005D33D3">
        <w:t xml:space="preserve"> </w:t>
      </w:r>
    </w:p>
    <w:p w14:paraId="65DBBC01" w14:textId="77777777" w:rsidR="00961B72" w:rsidRPr="005D33D3" w:rsidRDefault="00632A7D" w:rsidP="00F820F7">
      <w:pPr>
        <w:pStyle w:val="Heading3"/>
      </w:pPr>
      <w:r w:rsidRPr="005D33D3">
        <w:t>be contrasted with m</w:t>
      </w:r>
      <w:r w:rsidR="00584B82" w:rsidRPr="005D33D3">
        <w:t xml:space="preserve">ore realistic examples of </w:t>
      </w:r>
      <w:r w:rsidR="00EC3FF2" w:rsidRPr="005D33D3">
        <w:t xml:space="preserve">grant back </w:t>
      </w:r>
      <w:r w:rsidRPr="005D33D3">
        <w:t>clauses</w:t>
      </w:r>
      <w:r w:rsidR="009D1952" w:rsidRPr="005D33D3">
        <w:t xml:space="preserve"> as described below</w:t>
      </w:r>
      <w:r w:rsidR="00961B72" w:rsidRPr="005D33D3">
        <w:t xml:space="preserve">. </w:t>
      </w:r>
    </w:p>
    <w:p w14:paraId="39C87125" w14:textId="77777777" w:rsidR="00654AC9" w:rsidRPr="005D33D3" w:rsidRDefault="006477B3" w:rsidP="00971CD1">
      <w:pPr>
        <w:pStyle w:val="Heading2"/>
      </w:pPr>
      <w:r w:rsidRPr="005D33D3">
        <w:t xml:space="preserve">The assignment back of improvements is standard practice in licences from the research sector.  The associated </w:t>
      </w:r>
      <w:r w:rsidR="00961B72" w:rsidRPr="005D33D3">
        <w:t>provisions are complex</w:t>
      </w:r>
      <w:r w:rsidR="00EC3FF2" w:rsidRPr="005D33D3">
        <w:t xml:space="preserve"> and are</w:t>
      </w:r>
      <w:r w:rsidR="00961B72" w:rsidRPr="005D33D3">
        <w:t xml:space="preserve"> structured in </w:t>
      </w:r>
      <w:proofErr w:type="gramStart"/>
      <w:r w:rsidR="00961B72" w:rsidRPr="005D33D3">
        <w:t xml:space="preserve">many </w:t>
      </w:r>
      <w:r w:rsidR="00EC3FF2" w:rsidRPr="005D33D3">
        <w:t xml:space="preserve">different </w:t>
      </w:r>
      <w:r w:rsidR="00961B72" w:rsidRPr="005D33D3">
        <w:t>ways</w:t>
      </w:r>
      <w:proofErr w:type="gramEnd"/>
      <w:r w:rsidR="00961B72" w:rsidRPr="005D33D3">
        <w:t>.</w:t>
      </w:r>
      <w:r w:rsidR="00EC3FF2" w:rsidRPr="005D33D3">
        <w:t xml:space="preserve">  </w:t>
      </w:r>
      <w:r w:rsidR="00961B72" w:rsidRPr="005D33D3">
        <w:t xml:space="preserve">A more typical </w:t>
      </w:r>
      <w:r w:rsidR="00732ABF" w:rsidRPr="005D33D3">
        <w:t>grant back</w:t>
      </w:r>
      <w:r w:rsidR="00961B72" w:rsidRPr="005D33D3">
        <w:t xml:space="preserve"> clause involves</w:t>
      </w:r>
      <w:r w:rsidR="00654AC9" w:rsidRPr="005D33D3">
        <w:t>:</w:t>
      </w:r>
    </w:p>
    <w:p w14:paraId="59A958CE" w14:textId="77777777" w:rsidR="00961B72" w:rsidRPr="005D33D3" w:rsidRDefault="00066F7F" w:rsidP="00654AC9">
      <w:pPr>
        <w:pStyle w:val="Heading3"/>
      </w:pPr>
      <w:r w:rsidRPr="005D33D3">
        <w:t>t</w:t>
      </w:r>
      <w:r w:rsidR="00654AC9" w:rsidRPr="005D33D3">
        <w:t>he licensor and licensee ag</w:t>
      </w:r>
      <w:r w:rsidR="00961B72" w:rsidRPr="005D33D3">
        <w:t>ree</w:t>
      </w:r>
      <w:r w:rsidR="00650F29" w:rsidRPr="005D33D3">
        <w:t>ing</w:t>
      </w:r>
      <w:r w:rsidR="00961B72" w:rsidRPr="005D33D3">
        <w:t xml:space="preserve"> royalties based on the sales of licensed products that incorporate the </w:t>
      </w:r>
      <w:r w:rsidR="003E3282" w:rsidRPr="005D33D3">
        <w:t>“</w:t>
      </w:r>
      <w:r w:rsidR="00654AC9" w:rsidRPr="005D33D3">
        <w:t>Licensed IP</w:t>
      </w:r>
      <w:r w:rsidR="003E3282" w:rsidRPr="005D33D3">
        <w:t>”</w:t>
      </w:r>
      <w:r w:rsidR="00654AC9" w:rsidRPr="005D33D3">
        <w:t>;</w:t>
      </w:r>
    </w:p>
    <w:p w14:paraId="50C0B1CC" w14:textId="4235C178" w:rsidR="00654AC9" w:rsidRPr="005D33D3" w:rsidRDefault="00066F7F" w:rsidP="00971CD1">
      <w:pPr>
        <w:pStyle w:val="Heading3"/>
      </w:pPr>
      <w:r w:rsidRPr="005D33D3">
        <w:t xml:space="preserve">the </w:t>
      </w:r>
      <w:r w:rsidR="004F3672" w:rsidRPr="005D33D3">
        <w:t>Licensed IP including</w:t>
      </w:r>
      <w:r w:rsidR="00654AC9" w:rsidRPr="005D33D3">
        <w:t xml:space="preserve"> the original </w:t>
      </w:r>
      <w:r w:rsidR="003E3282" w:rsidRPr="005D33D3">
        <w:t>intellectual property</w:t>
      </w:r>
      <w:r w:rsidR="00654AC9" w:rsidRPr="005D33D3">
        <w:t xml:space="preserve"> and defined </w:t>
      </w:r>
      <w:r w:rsidR="00961B72" w:rsidRPr="005D33D3">
        <w:t>improvements</w:t>
      </w:r>
      <w:r w:rsidRPr="005D33D3">
        <w:t>; and</w:t>
      </w:r>
    </w:p>
    <w:p w14:paraId="0B71CC95" w14:textId="34893386" w:rsidR="00066F7F" w:rsidRPr="005D33D3" w:rsidRDefault="00066F7F" w:rsidP="00971CD1">
      <w:pPr>
        <w:pStyle w:val="Heading3"/>
      </w:pPr>
      <w:r w:rsidRPr="005D33D3">
        <w:t>t</w:t>
      </w:r>
      <w:r w:rsidR="00654AC9" w:rsidRPr="005D33D3">
        <w:t xml:space="preserve">he defined improvements </w:t>
      </w:r>
      <w:r w:rsidR="00BA10B2" w:rsidRPr="005D33D3">
        <w:t xml:space="preserve">being </w:t>
      </w:r>
      <w:r w:rsidR="00961B72" w:rsidRPr="005D33D3">
        <w:t xml:space="preserve">assigned back to the licensor </w:t>
      </w:r>
      <w:r w:rsidR="00BA10B2" w:rsidRPr="005D33D3">
        <w:t xml:space="preserve">to </w:t>
      </w:r>
      <w:r w:rsidR="00961B72" w:rsidRPr="005D33D3">
        <w:t xml:space="preserve">form part of the </w:t>
      </w:r>
      <w:r w:rsidR="003E3282" w:rsidRPr="005D33D3">
        <w:t>L</w:t>
      </w:r>
      <w:r w:rsidR="00961B72" w:rsidRPr="005D33D3">
        <w:t xml:space="preserve">icensed IP (with the licensor gaining no additional </w:t>
      </w:r>
      <w:r w:rsidR="0047710A" w:rsidRPr="005D33D3">
        <w:t xml:space="preserve">exploitation </w:t>
      </w:r>
      <w:r w:rsidR="00961B72" w:rsidRPr="005D33D3">
        <w:t>rights</w:t>
      </w:r>
      <w:r w:rsidR="00A35E6D" w:rsidRPr="005D33D3">
        <w:t>)</w:t>
      </w:r>
      <w:r w:rsidR="0047710A" w:rsidRPr="005D33D3">
        <w:t>.</w:t>
      </w:r>
    </w:p>
    <w:p w14:paraId="27C23211" w14:textId="6CB21031" w:rsidR="008F2747" w:rsidRPr="005D33D3" w:rsidRDefault="00961B72" w:rsidP="00971CD1">
      <w:pPr>
        <w:pStyle w:val="Heading2"/>
      </w:pPr>
      <w:r w:rsidRPr="005D33D3">
        <w:t xml:space="preserve">The primary purpose of such a structure is to protect the future royalties which are payable in relation to licensed products and </w:t>
      </w:r>
      <w:r w:rsidR="00066F7F" w:rsidRPr="005D33D3">
        <w:t xml:space="preserve">to recognise the likelihood that </w:t>
      </w:r>
      <w:r w:rsidRPr="005D33D3">
        <w:t xml:space="preserve">the originally licensed intellectual property </w:t>
      </w:r>
      <w:r w:rsidR="00066F7F" w:rsidRPr="005D33D3">
        <w:t xml:space="preserve">will be </w:t>
      </w:r>
      <w:r w:rsidRPr="005D33D3">
        <w:t xml:space="preserve">a springboard for the licensee to further </w:t>
      </w:r>
      <w:r w:rsidR="00066F7F" w:rsidRPr="005D33D3">
        <w:t xml:space="preserve">develop </w:t>
      </w:r>
      <w:r w:rsidRPr="005D33D3">
        <w:t>the</w:t>
      </w:r>
      <w:r w:rsidR="008F2747" w:rsidRPr="005D33D3">
        <w:t xml:space="preserve"> </w:t>
      </w:r>
      <w:r w:rsidR="003E3282" w:rsidRPr="005D33D3">
        <w:t>intellectual property</w:t>
      </w:r>
      <w:r w:rsidR="008F2747" w:rsidRPr="005D33D3">
        <w:t xml:space="preserve"> that will be commercially </w:t>
      </w:r>
      <w:r w:rsidR="00D80964" w:rsidRPr="005D33D3">
        <w:t>applied</w:t>
      </w:r>
      <w:r w:rsidRPr="005D33D3">
        <w:t>.</w:t>
      </w:r>
      <w:r w:rsidR="00066F7F" w:rsidRPr="005D33D3">
        <w:t xml:space="preserve">  In the absence of that structure, the licensor </w:t>
      </w:r>
      <w:r w:rsidR="008F2747" w:rsidRPr="005D33D3">
        <w:t xml:space="preserve">may not be </w:t>
      </w:r>
      <w:r w:rsidR="001C25FC" w:rsidRPr="005D33D3">
        <w:t xml:space="preserve">fully </w:t>
      </w:r>
      <w:r w:rsidR="00066F7F" w:rsidRPr="005D33D3">
        <w:t xml:space="preserve">rewarded for their original innovation </w:t>
      </w:r>
      <w:r w:rsidR="008F2747" w:rsidRPr="005D33D3">
        <w:t xml:space="preserve">and the licence which </w:t>
      </w:r>
      <w:r w:rsidR="00066F7F" w:rsidRPr="005D33D3">
        <w:t xml:space="preserve">permitted the </w:t>
      </w:r>
      <w:r w:rsidR="008F2747" w:rsidRPr="005D33D3">
        <w:t xml:space="preserve">licensee to achieve its success.  The inclusion of improvements in the </w:t>
      </w:r>
      <w:r w:rsidR="003E3282" w:rsidRPr="005D33D3">
        <w:t>L</w:t>
      </w:r>
      <w:r w:rsidR="008F2747" w:rsidRPr="005D33D3">
        <w:t>icensed IP and then</w:t>
      </w:r>
      <w:r w:rsidR="007B639B" w:rsidRPr="005D33D3">
        <w:t xml:space="preserve"> subsequently</w:t>
      </w:r>
      <w:r w:rsidR="008F2747" w:rsidRPr="005D33D3">
        <w:t xml:space="preserve"> licensed products, provides the licensor which a more secure claim to th</w:t>
      </w:r>
      <w:r w:rsidR="00D46AC6" w:rsidRPr="005D33D3">
        <w:t>o</w:t>
      </w:r>
      <w:r w:rsidR="008F2747" w:rsidRPr="005D33D3">
        <w:t>se roya</w:t>
      </w:r>
      <w:r w:rsidR="00D46AC6" w:rsidRPr="005D33D3">
        <w:t xml:space="preserve">lties </w:t>
      </w:r>
      <w:r w:rsidR="008F2747" w:rsidRPr="005D33D3">
        <w:t xml:space="preserve">than </w:t>
      </w:r>
      <w:r w:rsidR="00D46AC6" w:rsidRPr="005D33D3">
        <w:t>if it was just a contractual right to royalties.</w:t>
      </w:r>
    </w:p>
    <w:p w14:paraId="60078A05" w14:textId="77777777" w:rsidR="00961B72" w:rsidRPr="005D33D3" w:rsidRDefault="00961B72" w:rsidP="00971CD1">
      <w:pPr>
        <w:pStyle w:val="Heading2"/>
      </w:pPr>
      <w:r w:rsidRPr="005D33D3">
        <w:t xml:space="preserve">In addition, an </w:t>
      </w:r>
      <w:proofErr w:type="gramStart"/>
      <w:r w:rsidRPr="005D33D3">
        <w:t>improvements</w:t>
      </w:r>
      <w:proofErr w:type="gramEnd"/>
      <w:r w:rsidRPr="005D33D3">
        <w:t xml:space="preserve"> </w:t>
      </w:r>
      <w:r w:rsidR="00732ABF" w:rsidRPr="005D33D3">
        <w:t>grant back</w:t>
      </w:r>
      <w:r w:rsidRPr="005D33D3">
        <w:t xml:space="preserve"> </w:t>
      </w:r>
      <w:r w:rsidR="00F06C15" w:rsidRPr="005D33D3">
        <w:t xml:space="preserve">structure </w:t>
      </w:r>
      <w:r w:rsidRPr="005D33D3">
        <w:t>is intended to keep the intellectual property together as a whole</w:t>
      </w:r>
      <w:r w:rsidR="00B0270F" w:rsidRPr="005D33D3">
        <w:t xml:space="preserve"> and prevent fragmentation. This ensures that </w:t>
      </w:r>
      <w:proofErr w:type="gramStart"/>
      <w:r w:rsidR="00B0270F" w:rsidRPr="005D33D3">
        <w:t>in</w:t>
      </w:r>
      <w:r w:rsidRPr="005D33D3">
        <w:t xml:space="preserve"> the event that</w:t>
      </w:r>
      <w:proofErr w:type="gramEnd"/>
      <w:r w:rsidRPr="005D33D3">
        <w:t xml:space="preserve"> the licence is terminated</w:t>
      </w:r>
      <w:r w:rsidR="001C11F4" w:rsidRPr="005D33D3">
        <w:t xml:space="preserve"> for breach or poor performance</w:t>
      </w:r>
      <w:r w:rsidRPr="005D33D3">
        <w:t>, the licensor is able to license the intellectual property to another licensee with</w:t>
      </w:r>
      <w:r w:rsidR="001C11F4" w:rsidRPr="005D33D3">
        <w:t xml:space="preserve"> less </w:t>
      </w:r>
      <w:r w:rsidRPr="005D33D3">
        <w:t xml:space="preserve">risk </w:t>
      </w:r>
      <w:r w:rsidR="001C11F4" w:rsidRPr="005D33D3">
        <w:t xml:space="preserve">that </w:t>
      </w:r>
      <w:r w:rsidRPr="005D33D3">
        <w:t xml:space="preserve">the terminated licensee </w:t>
      </w:r>
      <w:r w:rsidR="001C11F4" w:rsidRPr="005D33D3">
        <w:t xml:space="preserve">will </w:t>
      </w:r>
      <w:r w:rsidRPr="005D33D3">
        <w:t>challeng</w:t>
      </w:r>
      <w:r w:rsidR="001C11F4" w:rsidRPr="005D33D3">
        <w:t>e</w:t>
      </w:r>
      <w:r w:rsidRPr="005D33D3">
        <w:t xml:space="preserve"> the new licensee</w:t>
      </w:r>
      <w:r w:rsidR="001C11F4" w:rsidRPr="005D33D3">
        <w:t xml:space="preserve"> based on incremental improvements</w:t>
      </w:r>
      <w:r w:rsidR="00D80964" w:rsidRPr="005D33D3">
        <w:t xml:space="preserve">. This approach provides the greatest chance that the </w:t>
      </w:r>
      <w:r w:rsidR="003B4BB5" w:rsidRPr="005D33D3">
        <w:t>intellectual property will ultimately be commercialised.</w:t>
      </w:r>
    </w:p>
    <w:p w14:paraId="1C46C579" w14:textId="06240936" w:rsidR="00F712DE" w:rsidRPr="005D33D3" w:rsidRDefault="003A50E2" w:rsidP="00971CD1">
      <w:pPr>
        <w:pStyle w:val="Heading2"/>
      </w:pPr>
      <w:r w:rsidRPr="005D33D3">
        <w:t xml:space="preserve">Lastly, the Guidelines should recognise that </w:t>
      </w:r>
      <w:r w:rsidR="00F712DE" w:rsidRPr="005D33D3">
        <w:t>“</w:t>
      </w:r>
      <w:r w:rsidR="007B639B" w:rsidRPr="005D33D3">
        <w:t>i</w:t>
      </w:r>
      <w:r w:rsidR="00F712DE" w:rsidRPr="005D33D3">
        <w:t>mprovements” is not a set statutory term.  The meaning of “improvements” and the scope o</w:t>
      </w:r>
      <w:r w:rsidRPr="005D33D3">
        <w:t>f</w:t>
      </w:r>
      <w:r w:rsidR="00F712DE" w:rsidRPr="005D33D3">
        <w:t xml:space="preserve"> the grant back is often heavily negotiated. The licensee typically wants the improvements definition to have a narrow meaning</w:t>
      </w:r>
      <w:r w:rsidR="00C3048E" w:rsidRPr="005D33D3">
        <w:t xml:space="preserve"> restricted to improvements which would infringe the original </w:t>
      </w:r>
      <w:r w:rsidR="003E3282" w:rsidRPr="005D33D3">
        <w:t>intellectual property</w:t>
      </w:r>
      <w:r w:rsidR="00C3048E" w:rsidRPr="005D33D3">
        <w:t xml:space="preserve">, while the </w:t>
      </w:r>
      <w:r w:rsidR="00F712DE" w:rsidRPr="005D33D3">
        <w:t xml:space="preserve">licensor </w:t>
      </w:r>
      <w:r w:rsidR="00C3048E" w:rsidRPr="005D33D3">
        <w:t>may seek a broader definition to protect its claim for royalties in the future.</w:t>
      </w:r>
      <w:r w:rsidRPr="005D33D3">
        <w:t xml:space="preserve">  The definition </w:t>
      </w:r>
      <w:r w:rsidR="003B4BB5" w:rsidRPr="005D33D3">
        <w:t>may</w:t>
      </w:r>
      <w:r w:rsidRPr="005D33D3">
        <w:t xml:space="preserve"> be relevant to </w:t>
      </w:r>
      <w:r w:rsidR="007B639B" w:rsidRPr="005D33D3">
        <w:t xml:space="preserve">any potential </w:t>
      </w:r>
      <w:r w:rsidRPr="005D33D3">
        <w:t xml:space="preserve">impact on competition. </w:t>
      </w:r>
    </w:p>
    <w:p w14:paraId="62127CC2" w14:textId="77777777" w:rsidR="007F62FE" w:rsidRPr="005D33D3" w:rsidRDefault="007F62FE" w:rsidP="00E120E6">
      <w:pPr>
        <w:pStyle w:val="Heading2"/>
        <w:keepNext/>
        <w:numPr>
          <w:ilvl w:val="0"/>
          <w:numId w:val="0"/>
        </w:numPr>
        <w:ind w:left="737"/>
        <w:rPr>
          <w:b/>
          <w:i/>
        </w:rPr>
      </w:pPr>
      <w:r w:rsidRPr="005D33D3">
        <w:rPr>
          <w:b/>
          <w:i/>
        </w:rPr>
        <w:lastRenderedPageBreak/>
        <w:t>Quality provisions</w:t>
      </w:r>
    </w:p>
    <w:p w14:paraId="7A491B74" w14:textId="2F821530" w:rsidR="00D1100D" w:rsidRPr="005D33D3" w:rsidRDefault="007F62FE" w:rsidP="00971CD1">
      <w:pPr>
        <w:pStyle w:val="Heading2"/>
      </w:pPr>
      <w:r w:rsidRPr="005D33D3">
        <w:t>The imposition of quality requirements by licensors is essential in trade mark licences</w:t>
      </w:r>
      <w:r w:rsidR="00BA58B2" w:rsidRPr="005D33D3">
        <w:rPr>
          <w:rStyle w:val="FootnoteReference"/>
        </w:rPr>
        <w:footnoteReference w:id="4"/>
      </w:r>
      <w:r w:rsidRPr="005D33D3">
        <w:t xml:space="preserve">, and highly desirable in other licences, in order to protect the validity of the </w:t>
      </w:r>
      <w:r w:rsidR="003E3282" w:rsidRPr="005D33D3">
        <w:t xml:space="preserve">intellectual property </w:t>
      </w:r>
      <w:r w:rsidRPr="005D33D3">
        <w:t>being licensed, limit the licensor’s potential exposure for product liability claims and</w:t>
      </w:r>
      <w:r w:rsidR="00E44124" w:rsidRPr="005D33D3">
        <w:t xml:space="preserve"> to</w:t>
      </w:r>
      <w:r w:rsidRPr="005D33D3">
        <w:t xml:space="preserve"> protect the licensor’s reputation. </w:t>
      </w:r>
    </w:p>
    <w:p w14:paraId="61AF3071" w14:textId="77777777" w:rsidR="007F62FE" w:rsidRPr="005D33D3" w:rsidRDefault="00A11FD9" w:rsidP="00971CD1">
      <w:pPr>
        <w:pStyle w:val="Heading2"/>
      </w:pPr>
      <w:r w:rsidRPr="005D33D3">
        <w:t>While Examples 4 and 6 involve highly specific circumstances, t</w:t>
      </w:r>
      <w:r w:rsidR="007F62FE" w:rsidRPr="005D33D3">
        <w:t xml:space="preserve">he ACCC’s use of </w:t>
      </w:r>
      <w:r w:rsidR="003B4BB5" w:rsidRPr="005D33D3">
        <w:t xml:space="preserve">the </w:t>
      </w:r>
      <w:r w:rsidR="007F62FE" w:rsidRPr="005D33D3">
        <w:t>imposition of quality standards as anti-competitive conduct</w:t>
      </w:r>
      <w:r w:rsidR="00D1100D" w:rsidRPr="005D33D3">
        <w:t xml:space="preserve"> in those examples may be used </w:t>
      </w:r>
      <w:r w:rsidR="003B4BB5" w:rsidRPr="005D33D3">
        <w:t xml:space="preserve">in negotiations to resist </w:t>
      </w:r>
      <w:r w:rsidR="00D1100D" w:rsidRPr="005D33D3">
        <w:t>reasonable quality requirements in licence negotiations</w:t>
      </w:r>
      <w:r w:rsidR="007F62FE" w:rsidRPr="005D33D3">
        <w:t>.</w:t>
      </w:r>
      <w:r w:rsidR="00D1100D" w:rsidRPr="005D33D3">
        <w:t xml:space="preserve"> The Guidelines should provide some additional balance to the</w:t>
      </w:r>
      <w:r w:rsidR="00E44124" w:rsidRPr="005D33D3">
        <w:t xml:space="preserve"> legitimate</w:t>
      </w:r>
      <w:r w:rsidR="00D1100D" w:rsidRPr="005D33D3">
        <w:t xml:space="preserve"> role of quality requirements.</w:t>
      </w:r>
    </w:p>
    <w:p w14:paraId="18E25045" w14:textId="77777777" w:rsidR="000B2549" w:rsidRPr="005D33D3" w:rsidRDefault="00FC4000" w:rsidP="00E120E6">
      <w:pPr>
        <w:pStyle w:val="Heading1"/>
        <w:keepNext/>
        <w:snapToGrid w:val="0"/>
        <w:rPr>
          <w:b/>
        </w:rPr>
      </w:pPr>
      <w:r w:rsidRPr="005D33D3">
        <w:rPr>
          <w:b/>
        </w:rPr>
        <w:t>Cartel conduct</w:t>
      </w:r>
      <w:r w:rsidR="009566B0" w:rsidRPr="005D33D3">
        <w:rPr>
          <w:b/>
        </w:rPr>
        <w:t xml:space="preserve">  </w:t>
      </w:r>
    </w:p>
    <w:p w14:paraId="3D2E2C27" w14:textId="77777777" w:rsidR="00F04C51" w:rsidRPr="005D33D3" w:rsidRDefault="00F04C51" w:rsidP="00264A9B">
      <w:pPr>
        <w:pStyle w:val="Heading2"/>
      </w:pPr>
      <w:r w:rsidRPr="005D33D3">
        <w:t>Given the significant consequences for breach of the cartel provisions</w:t>
      </w:r>
      <w:r w:rsidR="0086476D" w:rsidRPr="005D33D3">
        <w:t xml:space="preserve"> and </w:t>
      </w:r>
      <w:proofErr w:type="gramStart"/>
      <w:r w:rsidR="0086476D" w:rsidRPr="005D33D3">
        <w:t>the</w:t>
      </w:r>
      <w:r w:rsidR="00C408F4" w:rsidRPr="005D33D3">
        <w:t>ir</w:t>
      </w:r>
      <w:proofErr w:type="gramEnd"/>
      <w:r w:rsidR="004B51E6" w:rsidRPr="005D33D3">
        <w:t xml:space="preserve"> </w:t>
      </w:r>
      <w:r w:rsidR="004B51E6" w:rsidRPr="005D33D3">
        <w:rPr>
          <w:i/>
        </w:rPr>
        <w:t>per se</w:t>
      </w:r>
      <w:r w:rsidR="004B51E6" w:rsidRPr="005D33D3">
        <w:t xml:space="preserve"> nature</w:t>
      </w:r>
      <w:r w:rsidR="0086476D" w:rsidRPr="005D33D3">
        <w:t>,</w:t>
      </w:r>
      <w:r w:rsidRPr="005D33D3">
        <w:t xml:space="preserve"> LESANZ submits that there are many matters which require further clarification and coverage as described below. </w:t>
      </w:r>
    </w:p>
    <w:p w14:paraId="2F6099C7" w14:textId="4FB64F62" w:rsidR="0027092B" w:rsidRPr="005D33D3" w:rsidRDefault="00B176DB" w:rsidP="00264A9B">
      <w:pPr>
        <w:pStyle w:val="Heading2"/>
      </w:pPr>
      <w:r w:rsidRPr="005D33D3">
        <w:t xml:space="preserve">In LESANZ’s view, the </w:t>
      </w:r>
      <w:r w:rsidR="00315A90" w:rsidRPr="005D33D3">
        <w:t xml:space="preserve">draft </w:t>
      </w:r>
      <w:r w:rsidRPr="005D33D3">
        <w:t xml:space="preserve">Guidelines should give more guidance as to the </w:t>
      </w:r>
      <w:r w:rsidR="00163924" w:rsidRPr="005D33D3">
        <w:t>identification of competitors in the context of intellectual property.</w:t>
      </w:r>
      <w:r w:rsidR="0027092B" w:rsidRPr="005D33D3">
        <w:t xml:space="preserve"> </w:t>
      </w:r>
      <w:r w:rsidR="00264A9B" w:rsidRPr="005D33D3">
        <w:t>For example,</w:t>
      </w:r>
      <w:r w:rsidR="0027092B" w:rsidRPr="005D33D3">
        <w:t xml:space="preserve"> as recently identified in a speech by The Honourable Justice Michael O'Bryan</w:t>
      </w:r>
      <w:r w:rsidR="003E3282" w:rsidRPr="005D33D3">
        <w:t xml:space="preserve"> of the</w:t>
      </w:r>
      <w:r w:rsidR="0027092B" w:rsidRPr="005D33D3">
        <w:t xml:space="preserve"> Federal Court of Australia</w:t>
      </w:r>
      <w:r w:rsidR="0027092B" w:rsidRPr="005D33D3">
        <w:rPr>
          <w:rStyle w:val="FootnoteReference"/>
        </w:rPr>
        <w:footnoteReference w:id="5"/>
      </w:r>
      <w:r w:rsidR="0027092B" w:rsidRPr="005D33D3">
        <w:t>:</w:t>
      </w:r>
    </w:p>
    <w:p w14:paraId="27F83751" w14:textId="77777777" w:rsidR="0027092B" w:rsidRPr="005D33D3" w:rsidRDefault="0027092B" w:rsidP="001A4784">
      <w:pPr>
        <w:pStyle w:val="BodyText"/>
        <w:ind w:left="1474"/>
        <w:rPr>
          <w:i/>
        </w:rPr>
      </w:pPr>
      <w:r w:rsidRPr="005D33D3">
        <w:rPr>
          <w:i/>
        </w:rPr>
        <w:t xml:space="preserve">“Difficult questions will arise where the owner of intellectual property exploits the rights to supply goods or services in Australian trade or commerce but, at the time the licence is entered into, the licensee is not a competitor in respect of the supply of those goods or services and is not likely to be a competitor. It is yet to be determined how the cartel prohibitions will apply to licence arrangements between persons who are not competitors at the time the licence is entered </w:t>
      </w:r>
      <w:proofErr w:type="gramStart"/>
      <w:r w:rsidRPr="005D33D3">
        <w:rPr>
          <w:i/>
        </w:rPr>
        <w:t>into, but</w:t>
      </w:r>
      <w:proofErr w:type="gramEnd"/>
      <w:r w:rsidRPr="005D33D3">
        <w:rPr>
          <w:i/>
        </w:rPr>
        <w:t xml:space="preserve"> have the potential to be competitors by reason of the licence.” </w:t>
      </w:r>
    </w:p>
    <w:p w14:paraId="786EF7F6" w14:textId="201040DD" w:rsidR="00F04C51" w:rsidRPr="005D33D3" w:rsidRDefault="0027092B" w:rsidP="00FC2885">
      <w:pPr>
        <w:pStyle w:val="Heading2"/>
      </w:pPr>
      <w:r w:rsidRPr="005D33D3">
        <w:t xml:space="preserve">It </w:t>
      </w:r>
      <w:r w:rsidR="007C3353" w:rsidRPr="005D33D3">
        <w:t>is important that</w:t>
      </w:r>
      <w:r w:rsidRPr="005D33D3">
        <w:t xml:space="preserve"> the </w:t>
      </w:r>
      <w:r w:rsidR="00315A90" w:rsidRPr="005D33D3">
        <w:t xml:space="preserve">draft </w:t>
      </w:r>
      <w:r w:rsidRPr="005D33D3">
        <w:t>Guidelines provide guidance on th</w:t>
      </w:r>
      <w:r w:rsidR="0087141B" w:rsidRPr="005D33D3">
        <w:t>e</w:t>
      </w:r>
      <w:r w:rsidRPr="005D33D3">
        <w:t xml:space="preserve"> question</w:t>
      </w:r>
      <w:r w:rsidR="00F04C51" w:rsidRPr="005D33D3">
        <w:t xml:space="preserve"> raised by Justice O</w:t>
      </w:r>
      <w:r w:rsidR="005D33D3" w:rsidRPr="005D33D3">
        <w:t>’</w:t>
      </w:r>
      <w:r w:rsidR="00F04C51" w:rsidRPr="005D33D3">
        <w:t>Bryan</w:t>
      </w:r>
      <w:r w:rsidR="00C408F4" w:rsidRPr="005D33D3">
        <w:t xml:space="preserve"> and more generally </w:t>
      </w:r>
      <w:r w:rsidR="008A326E" w:rsidRPr="005D33D3">
        <w:t>on</w:t>
      </w:r>
      <w:r w:rsidR="00C408F4" w:rsidRPr="005D33D3">
        <w:t xml:space="preserve"> the identification of competitors in the context of intellectual property</w:t>
      </w:r>
      <w:r w:rsidRPr="005D33D3">
        <w:t xml:space="preserve">. </w:t>
      </w:r>
    </w:p>
    <w:p w14:paraId="542B9AE4" w14:textId="05702DC6" w:rsidR="009C7BDC" w:rsidRPr="005D33D3" w:rsidRDefault="00264A9B" w:rsidP="00135C0A">
      <w:pPr>
        <w:pStyle w:val="Heading2"/>
      </w:pPr>
      <w:r w:rsidRPr="005D33D3">
        <w:t xml:space="preserve">With most cartels, </w:t>
      </w:r>
      <w:r w:rsidR="00B176DB" w:rsidRPr="005D33D3">
        <w:t xml:space="preserve">the alternative to </w:t>
      </w:r>
      <w:proofErr w:type="gramStart"/>
      <w:r w:rsidR="00B176DB" w:rsidRPr="005D33D3">
        <w:t>competing with each other</w:t>
      </w:r>
      <w:proofErr w:type="gramEnd"/>
      <w:r w:rsidR="00B176DB" w:rsidRPr="005D33D3">
        <w:t xml:space="preserve"> is said to be working together. However, where an intellectual property right is involved, a</w:t>
      </w:r>
      <w:r w:rsidR="0047710A" w:rsidRPr="005D33D3">
        <w:t>n unlicen</w:t>
      </w:r>
      <w:r w:rsidR="003E3282" w:rsidRPr="005D33D3">
        <w:t>s</w:t>
      </w:r>
      <w:r w:rsidR="0047710A" w:rsidRPr="005D33D3">
        <w:t>ed non</w:t>
      </w:r>
      <w:r w:rsidR="003E3282" w:rsidRPr="005D33D3">
        <w:t>-</w:t>
      </w:r>
      <w:r w:rsidR="0047710A" w:rsidRPr="005D33D3">
        <w:t>owning</w:t>
      </w:r>
      <w:r w:rsidR="00B176DB" w:rsidRPr="005D33D3">
        <w:t xml:space="preserve"> </w:t>
      </w:r>
      <w:r w:rsidR="00C408F4" w:rsidRPr="005D33D3">
        <w:t>entity</w:t>
      </w:r>
      <w:r w:rsidR="00B176DB" w:rsidRPr="005D33D3">
        <w:t xml:space="preserve"> does not have the ability to compete with the owner of the right within the scope of protection provided by that right. </w:t>
      </w:r>
      <w:r w:rsidR="004F5833" w:rsidRPr="005D33D3">
        <w:t xml:space="preserve">That </w:t>
      </w:r>
      <w:r w:rsidR="00821AA8" w:rsidRPr="005D33D3">
        <w:t>entity</w:t>
      </w:r>
      <w:r w:rsidR="004F5833" w:rsidRPr="005D33D3">
        <w:t xml:space="preserve"> is of course </w:t>
      </w:r>
      <w:r w:rsidR="00EA5E0F" w:rsidRPr="005D33D3">
        <w:t>at li</w:t>
      </w:r>
      <w:r w:rsidR="00971919" w:rsidRPr="005D33D3">
        <w:t>berty</w:t>
      </w:r>
      <w:r w:rsidR="00D5056A" w:rsidRPr="005D33D3">
        <w:t xml:space="preserve"> to compete </w:t>
      </w:r>
      <w:r w:rsidR="00D90394" w:rsidRPr="005D33D3">
        <w:t xml:space="preserve">in the relevant market </w:t>
      </w:r>
      <w:r w:rsidR="00D5056A" w:rsidRPr="005D33D3">
        <w:t>outside the scope of the intellectual property rights</w:t>
      </w:r>
      <w:r w:rsidR="00D90394" w:rsidRPr="005D33D3">
        <w:t>.</w:t>
      </w:r>
      <w:r w:rsidR="00D5056A" w:rsidRPr="005D33D3">
        <w:t xml:space="preserve"> </w:t>
      </w:r>
      <w:r w:rsidR="00821AA8" w:rsidRPr="005D33D3">
        <w:t>W</w:t>
      </w:r>
      <w:r w:rsidR="00B176DB" w:rsidRPr="005D33D3">
        <w:t>hen intellectual property right</w:t>
      </w:r>
      <w:r w:rsidR="00821AA8" w:rsidRPr="005D33D3">
        <w:t>s are then</w:t>
      </w:r>
      <w:r w:rsidR="00B176DB" w:rsidRPr="005D33D3">
        <w:t xml:space="preserve"> licenced, the licensor is enabling th</w:t>
      </w:r>
      <w:r w:rsidR="00821AA8" w:rsidRPr="005D33D3">
        <w:t>at entity</w:t>
      </w:r>
      <w:r w:rsidR="00B176DB" w:rsidRPr="005D33D3">
        <w:t xml:space="preserve"> to engage </w:t>
      </w:r>
      <w:proofErr w:type="gramStart"/>
      <w:r w:rsidR="00B176DB" w:rsidRPr="005D33D3">
        <w:t xml:space="preserve">in </w:t>
      </w:r>
      <w:r w:rsidR="00D90394" w:rsidRPr="005D33D3">
        <w:t xml:space="preserve">particular </w:t>
      </w:r>
      <w:r w:rsidR="00B176DB" w:rsidRPr="005D33D3">
        <w:t>activity</w:t>
      </w:r>
      <w:proofErr w:type="gramEnd"/>
      <w:r w:rsidR="00D5056A" w:rsidRPr="005D33D3">
        <w:t xml:space="preserve"> within th</w:t>
      </w:r>
      <w:r w:rsidR="00D90394" w:rsidRPr="005D33D3">
        <w:t>at</w:t>
      </w:r>
      <w:r w:rsidR="00D5056A" w:rsidRPr="005D33D3">
        <w:t xml:space="preserve"> broader market</w:t>
      </w:r>
      <w:r w:rsidR="00B176DB" w:rsidRPr="005D33D3">
        <w:t xml:space="preserve"> which th</w:t>
      </w:r>
      <w:r w:rsidR="00441AAF" w:rsidRPr="005D33D3">
        <w:t>at</w:t>
      </w:r>
      <w:r w:rsidR="00B176DB" w:rsidRPr="005D33D3">
        <w:t xml:space="preserve"> </w:t>
      </w:r>
      <w:r w:rsidR="008A326E" w:rsidRPr="005D33D3">
        <w:t>entity</w:t>
      </w:r>
      <w:r w:rsidR="00B176DB" w:rsidRPr="005D33D3">
        <w:t xml:space="preserve"> would not otherwise be able to do. Thus, it is not a case of parties agreeing to restrain their competitive activity in an area in which each can compete (a cartel) but a case of one </w:t>
      </w:r>
      <w:r w:rsidR="00441AAF" w:rsidRPr="005D33D3">
        <w:t>entity</w:t>
      </w:r>
      <w:r w:rsidR="00B176DB" w:rsidRPr="005D33D3">
        <w:t xml:space="preserve"> allowing another </w:t>
      </w:r>
      <w:r w:rsidR="00441AAF" w:rsidRPr="005D33D3">
        <w:t>entity</w:t>
      </w:r>
      <w:r w:rsidR="00B176DB" w:rsidRPr="005D33D3">
        <w:t xml:space="preserve"> to compete in a</w:t>
      </w:r>
      <w:r w:rsidR="001F5BCA" w:rsidRPr="005D33D3">
        <w:t xml:space="preserve"> </w:t>
      </w:r>
      <w:proofErr w:type="gramStart"/>
      <w:r w:rsidR="001F5BCA" w:rsidRPr="005D33D3">
        <w:t>particular way</w:t>
      </w:r>
      <w:proofErr w:type="gramEnd"/>
      <w:r w:rsidR="001F5BCA" w:rsidRPr="005D33D3">
        <w:t xml:space="preserve"> which would be</w:t>
      </w:r>
      <w:r w:rsidR="00B176DB" w:rsidRPr="005D33D3">
        <w:t xml:space="preserve"> otherwise prohibited</w:t>
      </w:r>
      <w:r w:rsidRPr="005D33D3">
        <w:t>.</w:t>
      </w:r>
      <w:r w:rsidR="00BF08FB" w:rsidRPr="005D33D3">
        <w:t xml:space="preserve"> Consequently, any limitation in a licence is more accurately analysed as a limitation on the scope of the licence. The limitation merely defines the scope of the permission given; it does not constrain the licensee from doing something it could otherwise do</w:t>
      </w:r>
      <w:r w:rsidR="009C7BDC" w:rsidRPr="005D33D3">
        <w:t xml:space="preserve"> nor would it be for </w:t>
      </w:r>
      <w:r w:rsidR="00D12F77" w:rsidRPr="005D33D3">
        <w:t>the purpose of “preventing, restricting and limiting” condition in section</w:t>
      </w:r>
      <w:r w:rsidR="005D33D3" w:rsidRPr="005D33D3">
        <w:t> </w:t>
      </w:r>
      <w:r w:rsidR="00D12F77" w:rsidRPr="005D33D3">
        <w:t>45</w:t>
      </w:r>
      <w:proofErr w:type="gramStart"/>
      <w:r w:rsidR="00D12F77" w:rsidRPr="005D33D3">
        <w:t>AD(</w:t>
      </w:r>
      <w:proofErr w:type="gramEnd"/>
      <w:r w:rsidR="00D12F77" w:rsidRPr="005D33D3">
        <w:t>3)</w:t>
      </w:r>
      <w:r w:rsidR="005D33D3" w:rsidRPr="005D33D3">
        <w:t xml:space="preserve"> of the CCA</w:t>
      </w:r>
      <w:r w:rsidR="004538A1" w:rsidRPr="005D33D3">
        <w:t>.</w:t>
      </w:r>
      <w:r w:rsidR="00D12F77" w:rsidRPr="005D33D3">
        <w:t xml:space="preserve">  </w:t>
      </w:r>
    </w:p>
    <w:p w14:paraId="27E206DA" w14:textId="6E265118" w:rsidR="00441AAF" w:rsidRPr="005D33D3" w:rsidRDefault="009C7BDC" w:rsidP="00135C0A">
      <w:pPr>
        <w:pStyle w:val="Heading2"/>
      </w:pPr>
      <w:r w:rsidRPr="005D33D3">
        <w:t xml:space="preserve">The </w:t>
      </w:r>
      <w:r w:rsidR="00441AAF" w:rsidRPr="005D33D3">
        <w:t xml:space="preserve">context set out in the previous paragraph should be </w:t>
      </w:r>
      <w:r w:rsidR="005D33D3" w:rsidRPr="005D33D3">
        <w:t>considered</w:t>
      </w:r>
      <w:r w:rsidR="00441AAF" w:rsidRPr="005D33D3">
        <w:t xml:space="preserve"> by the ACCC in the Guidelines </w:t>
      </w:r>
      <w:r w:rsidRPr="005D33D3">
        <w:t>and its reference t</w:t>
      </w:r>
      <w:r w:rsidR="00E26617" w:rsidRPr="005D33D3">
        <w:t>o</w:t>
      </w:r>
      <w:r w:rsidRPr="005D33D3">
        <w:t xml:space="preserve"> purpose in each of the examples given </w:t>
      </w:r>
      <w:r w:rsidR="005D33D3" w:rsidRPr="005D33D3">
        <w:t>in S</w:t>
      </w:r>
      <w:r w:rsidRPr="005D33D3">
        <w:t>ection 3.8</w:t>
      </w:r>
      <w:r w:rsidR="00E26617" w:rsidRPr="005D33D3">
        <w:t xml:space="preserve"> (more later)</w:t>
      </w:r>
      <w:r w:rsidRPr="005D33D3">
        <w:t xml:space="preserve">. </w:t>
      </w:r>
    </w:p>
    <w:p w14:paraId="252DB3DC" w14:textId="77777777" w:rsidR="00FC4000" w:rsidRPr="005D33D3" w:rsidRDefault="00F613F3" w:rsidP="00FC4000">
      <w:pPr>
        <w:pStyle w:val="Heading2"/>
      </w:pPr>
      <w:r w:rsidRPr="005D33D3">
        <w:lastRenderedPageBreak/>
        <w:t>I</w:t>
      </w:r>
      <w:r w:rsidR="0026104E" w:rsidRPr="005D33D3">
        <w:t xml:space="preserve">n LESANZ’s view, </w:t>
      </w:r>
      <w:r w:rsidR="007C3353" w:rsidRPr="005D33D3">
        <w:t xml:space="preserve">it is critical that </w:t>
      </w:r>
      <w:r w:rsidR="00B6073D" w:rsidRPr="005D33D3">
        <w:t xml:space="preserve">the </w:t>
      </w:r>
      <w:r w:rsidR="00315A90" w:rsidRPr="005D33D3">
        <w:t xml:space="preserve">draft </w:t>
      </w:r>
      <w:r w:rsidR="00B6073D" w:rsidRPr="005D33D3">
        <w:t>Guidelines should give g</w:t>
      </w:r>
      <w:r w:rsidR="0026104E" w:rsidRPr="005D33D3">
        <w:t>uidance on th</w:t>
      </w:r>
      <w:r w:rsidR="00E40093" w:rsidRPr="005D33D3">
        <w:t xml:space="preserve">e operation of the </w:t>
      </w:r>
      <w:r w:rsidR="0026104E" w:rsidRPr="005D33D3">
        <w:t>exemptions relating to exclusive dealing and joint ventures</w:t>
      </w:r>
      <w:r w:rsidR="00DA1485" w:rsidRPr="005D33D3">
        <w:t>, which will have a greater role to play following the repeal of s</w:t>
      </w:r>
      <w:r w:rsidR="005D33D3" w:rsidRPr="005D33D3">
        <w:t>ection </w:t>
      </w:r>
      <w:r w:rsidR="00DA1485" w:rsidRPr="005D33D3">
        <w:t>51(3)</w:t>
      </w:r>
      <w:r w:rsidR="0026104E" w:rsidRPr="005D33D3">
        <w:t xml:space="preserve">.  </w:t>
      </w:r>
    </w:p>
    <w:p w14:paraId="6559D084" w14:textId="4F020865" w:rsidR="00F613F3" w:rsidRPr="005D33D3" w:rsidRDefault="00F613F3" w:rsidP="00FC4000">
      <w:pPr>
        <w:pStyle w:val="Heading2"/>
      </w:pPr>
      <w:r w:rsidRPr="005D33D3">
        <w:t xml:space="preserve">The Australian research sector has been </w:t>
      </w:r>
      <w:r w:rsidR="00E4386B" w:rsidRPr="005D33D3">
        <w:t xml:space="preserve">increasingly </w:t>
      </w:r>
      <w:r w:rsidRPr="005D33D3">
        <w:t xml:space="preserve">encouraged by all Governments to collaborate between themselves and with industry for many years.  In that context, it would be helpful if the Guidelines provided insight </w:t>
      </w:r>
      <w:r w:rsidR="00E4386B" w:rsidRPr="005D33D3">
        <w:t>on</w:t>
      </w:r>
      <w:r w:rsidRPr="005D33D3">
        <w:t xml:space="preserve"> </w:t>
      </w:r>
      <w:r w:rsidR="00E4386B" w:rsidRPr="005D33D3">
        <w:t xml:space="preserve">the application of the joint venture exemption to research and </w:t>
      </w:r>
      <w:r w:rsidR="003E3282" w:rsidRPr="005D33D3">
        <w:t>intellectual property</w:t>
      </w:r>
      <w:r w:rsidR="00E4386B" w:rsidRPr="005D33D3">
        <w:t xml:space="preserve"> commercialisation collaborations.</w:t>
      </w:r>
    </w:p>
    <w:p w14:paraId="41A150BD" w14:textId="462B6067" w:rsidR="0029275B" w:rsidRPr="005D33D3" w:rsidRDefault="00057747" w:rsidP="00FC4000">
      <w:pPr>
        <w:pStyle w:val="Heading2"/>
      </w:pPr>
      <w:r w:rsidRPr="005D33D3">
        <w:t xml:space="preserve">Most </w:t>
      </w:r>
      <w:r w:rsidR="00015B53" w:rsidRPr="005D33D3">
        <w:t xml:space="preserve">licences from the research sector involve a form of exclusivity.  </w:t>
      </w:r>
      <w:r w:rsidR="002C70BE" w:rsidRPr="005D33D3">
        <w:t>T</w:t>
      </w:r>
      <w:r w:rsidR="00015B53" w:rsidRPr="005D33D3">
        <w:t>here</w:t>
      </w:r>
      <w:r w:rsidRPr="005D33D3">
        <w:t xml:space="preserve"> </w:t>
      </w:r>
      <w:r w:rsidR="00015B53" w:rsidRPr="005D33D3">
        <w:t xml:space="preserve">have been </w:t>
      </w:r>
      <w:r w:rsidR="007C3353" w:rsidRPr="005D33D3">
        <w:t xml:space="preserve">serious </w:t>
      </w:r>
      <w:r w:rsidR="00015B53" w:rsidRPr="005D33D3">
        <w:t xml:space="preserve">questions raised as to how the exclusive dealing exemption would apply in the research sector </w:t>
      </w:r>
      <w:r w:rsidR="00F9247C" w:rsidRPr="005D33D3">
        <w:t xml:space="preserve">given </w:t>
      </w:r>
      <w:r w:rsidR="009F0A58" w:rsidRPr="005D33D3">
        <w:t xml:space="preserve">the </w:t>
      </w:r>
      <w:r w:rsidR="004932C7" w:rsidRPr="005D33D3">
        <w:t>non</w:t>
      </w:r>
      <w:r w:rsidR="009F0A58" w:rsidRPr="005D33D3">
        <w:t>-</w:t>
      </w:r>
      <w:r w:rsidR="004932C7" w:rsidRPr="005D33D3">
        <w:t xml:space="preserve">implementation of </w:t>
      </w:r>
      <w:r w:rsidR="00F9247C" w:rsidRPr="005D33D3">
        <w:t xml:space="preserve">the recommendation of the Harper report </w:t>
      </w:r>
      <w:r w:rsidR="004932C7" w:rsidRPr="005D33D3">
        <w:t>that the exemption be widened to better fit with</w:t>
      </w:r>
      <w:r w:rsidR="00F9247C" w:rsidRPr="005D33D3">
        <w:t xml:space="preserve"> intellectual property licences. </w:t>
      </w:r>
      <w:r w:rsidR="0029275B" w:rsidRPr="005D33D3">
        <w:t xml:space="preserve"> </w:t>
      </w:r>
      <w:r w:rsidR="009F0A58" w:rsidRPr="005D33D3">
        <w:t xml:space="preserve">For example, </w:t>
      </w:r>
      <w:r w:rsidR="0029275B" w:rsidRPr="005D33D3">
        <w:t>Justice</w:t>
      </w:r>
      <w:r w:rsidR="005D33D3" w:rsidRPr="005D33D3">
        <w:t xml:space="preserve"> </w:t>
      </w:r>
      <w:r w:rsidR="0029275B" w:rsidRPr="005D33D3">
        <w:t xml:space="preserve">O'Bryan </w:t>
      </w:r>
      <w:r w:rsidR="00BE1B1A" w:rsidRPr="005D33D3">
        <w:t xml:space="preserve">recently </w:t>
      </w:r>
      <w:r w:rsidR="0029275B" w:rsidRPr="005D33D3">
        <w:t>stated</w:t>
      </w:r>
      <w:r w:rsidR="00F9247C" w:rsidRPr="005D33D3">
        <w:rPr>
          <w:rStyle w:val="FootnoteReference"/>
        </w:rPr>
        <w:footnoteReference w:id="6"/>
      </w:r>
      <w:r w:rsidR="0029275B" w:rsidRPr="005D33D3">
        <w:t>:</w:t>
      </w:r>
    </w:p>
    <w:p w14:paraId="64A33501" w14:textId="77777777" w:rsidR="00B069AA" w:rsidRPr="005D33D3" w:rsidRDefault="0029275B" w:rsidP="0029275B">
      <w:pPr>
        <w:pStyle w:val="BodyText"/>
        <w:ind w:left="1474"/>
      </w:pPr>
      <w:r w:rsidRPr="005D33D3">
        <w:t>“</w:t>
      </w:r>
      <w:r w:rsidRPr="005D33D3">
        <w:rPr>
          <w:i/>
        </w:rPr>
        <w:t>the restriction relates to the goods or services that are the subject of the primary supply. In the case of intellectual property licences, the primary supply is a licence of the intellectual property rights and typically the restriction relates to goods or services that are produced through the exploitation of those rights. Generally, section 47 has no application to those circumstances. For that reason, the exception to the cartel prohibitions, found in s 45AR, is unlikely to apply to intellectual property licences</w:t>
      </w:r>
      <w:r w:rsidRPr="005D33D3">
        <w:t>.</w:t>
      </w:r>
      <w:r w:rsidR="00E4386B" w:rsidRPr="005D33D3">
        <w:t>”</w:t>
      </w:r>
    </w:p>
    <w:p w14:paraId="6435591A" w14:textId="091E2165" w:rsidR="008A1A35" w:rsidRPr="005D33D3" w:rsidRDefault="00611F3F" w:rsidP="0029275B">
      <w:pPr>
        <w:pStyle w:val="Heading2"/>
      </w:pPr>
      <w:r w:rsidRPr="005D33D3">
        <w:t xml:space="preserve">Justice O'Bryan’s concerns do not appear to </w:t>
      </w:r>
      <w:r w:rsidR="005D33D3" w:rsidRPr="005D33D3">
        <w:t>consider</w:t>
      </w:r>
      <w:r w:rsidRPr="005D33D3">
        <w:t xml:space="preserve"> the expansive definition of re-supply of services in section 4C</w:t>
      </w:r>
      <w:r w:rsidR="001649DA" w:rsidRPr="005D33D3">
        <w:t xml:space="preserve">(f) </w:t>
      </w:r>
      <w:r w:rsidR="005D33D3" w:rsidRPr="005D33D3">
        <w:t xml:space="preserve">of the CCA </w:t>
      </w:r>
      <w:r w:rsidR="00140915" w:rsidRPr="005D33D3">
        <w:t>nor</w:t>
      </w:r>
      <w:r w:rsidR="001649DA" w:rsidRPr="005D33D3">
        <w:t xml:space="preserve"> th</w:t>
      </w:r>
      <w:r w:rsidR="00140915" w:rsidRPr="005D33D3">
        <w:t>at th</w:t>
      </w:r>
      <w:r w:rsidR="001649DA" w:rsidRPr="005D33D3">
        <w:t xml:space="preserve">e </w:t>
      </w:r>
      <w:r w:rsidR="00140915" w:rsidRPr="005D33D3">
        <w:t xml:space="preserve">licensee’s </w:t>
      </w:r>
      <w:r w:rsidR="001649DA" w:rsidRPr="005D33D3">
        <w:t xml:space="preserve">goods and services will often </w:t>
      </w:r>
      <w:r w:rsidR="00FD60A6" w:rsidRPr="005D33D3">
        <w:t>involve</w:t>
      </w:r>
      <w:r w:rsidR="001649DA" w:rsidRPr="005D33D3">
        <w:t xml:space="preserve"> the resupply of the services</w:t>
      </w:r>
      <w:r w:rsidR="001649DA" w:rsidRPr="005D33D3">
        <w:rPr>
          <w:rStyle w:val="FootnoteReference"/>
        </w:rPr>
        <w:footnoteReference w:id="7"/>
      </w:r>
      <w:r w:rsidR="00FD60A6" w:rsidRPr="005D33D3">
        <w:t xml:space="preserve">. </w:t>
      </w:r>
      <w:r w:rsidRPr="005D33D3">
        <w:t xml:space="preserve"> </w:t>
      </w:r>
      <w:r w:rsidR="0029275B" w:rsidRPr="005D33D3">
        <w:t xml:space="preserve">Given the </w:t>
      </w:r>
      <w:r w:rsidR="00DA1485" w:rsidRPr="005D33D3">
        <w:t xml:space="preserve">significant </w:t>
      </w:r>
      <w:r w:rsidR="0029275B" w:rsidRPr="005D33D3">
        <w:t xml:space="preserve">consequences </w:t>
      </w:r>
      <w:r w:rsidR="00DA1485" w:rsidRPr="005D33D3">
        <w:t xml:space="preserve">for breach </w:t>
      </w:r>
      <w:r w:rsidR="0029275B" w:rsidRPr="005D33D3">
        <w:t xml:space="preserve">of the cartel provisions, LESANZ respectively submits that </w:t>
      </w:r>
      <w:r w:rsidR="009F0A58" w:rsidRPr="005D33D3">
        <w:t xml:space="preserve">the </w:t>
      </w:r>
      <w:r w:rsidR="00140915" w:rsidRPr="005D33D3">
        <w:t xml:space="preserve">Guidelines should provide guidance on this question and more generally explain the </w:t>
      </w:r>
      <w:r w:rsidR="009F0A58" w:rsidRPr="005D33D3">
        <w:t>application of the exclusive dealing exemption to intellectual property licences</w:t>
      </w:r>
      <w:r w:rsidR="008A1A35" w:rsidRPr="005D33D3">
        <w:t>.</w:t>
      </w:r>
    </w:p>
    <w:p w14:paraId="6DA8304E" w14:textId="77777777" w:rsidR="0051552F" w:rsidRPr="005D33D3" w:rsidRDefault="00971CD1" w:rsidP="003C32FA">
      <w:pPr>
        <w:pStyle w:val="Heading2"/>
      </w:pPr>
      <w:r w:rsidRPr="005D33D3">
        <w:t xml:space="preserve">Example 1 states that the settlement agreement does not license </w:t>
      </w:r>
      <w:r w:rsidR="00AA6944" w:rsidRPr="005D33D3">
        <w:t>i</w:t>
      </w:r>
      <w:r w:rsidR="00732ABF" w:rsidRPr="005D33D3">
        <w:t>ntellectual property rights</w:t>
      </w:r>
      <w:r w:rsidRPr="005D33D3">
        <w:t>.  However, it is commonly accepted</w:t>
      </w:r>
      <w:r w:rsidR="00BE1B1A" w:rsidRPr="005D33D3">
        <w:t xml:space="preserve"> in at least US patent cases </w:t>
      </w:r>
      <w:r w:rsidRPr="005D33D3">
        <w:t>that a</w:t>
      </w:r>
      <w:r w:rsidR="00274DA9" w:rsidRPr="005D33D3">
        <w:t xml:space="preserve">n express </w:t>
      </w:r>
      <w:r w:rsidRPr="005D33D3">
        <w:t>licen</w:t>
      </w:r>
      <w:r w:rsidR="00274DA9" w:rsidRPr="005D33D3">
        <w:t>c</w:t>
      </w:r>
      <w:r w:rsidRPr="005D33D3">
        <w:t xml:space="preserve">e is the same as a promise by the licensor not to sue </w:t>
      </w:r>
      <w:r w:rsidR="00274DA9" w:rsidRPr="005D33D3">
        <w:t xml:space="preserve">the licensee for using the licensor’s </w:t>
      </w:r>
      <w:r w:rsidR="00AA6944" w:rsidRPr="005D33D3">
        <w:t>i</w:t>
      </w:r>
      <w:r w:rsidR="00732ABF" w:rsidRPr="005D33D3">
        <w:t>ntellectual property rights</w:t>
      </w:r>
      <w:r w:rsidR="00274DA9" w:rsidRPr="005D33D3">
        <w:t xml:space="preserve">.  </w:t>
      </w:r>
      <w:r w:rsidR="00A667E3" w:rsidRPr="005D33D3">
        <w:t>In any event</w:t>
      </w:r>
      <w:r w:rsidR="00274DA9" w:rsidRPr="005D33D3">
        <w:t>, it would be unlikely that a settlement agreement in these circumstances would n</w:t>
      </w:r>
      <w:r w:rsidR="006D777B" w:rsidRPr="005D33D3">
        <w:t>ot</w:t>
      </w:r>
      <w:r w:rsidR="00274DA9" w:rsidRPr="005D33D3">
        <w:t xml:space="preserve"> contain express cross licences.</w:t>
      </w:r>
      <w:r w:rsidR="006D777B" w:rsidRPr="005D33D3">
        <w:t xml:space="preserve">  As these licenses are likely to be exclusive, </w:t>
      </w:r>
      <w:r w:rsidR="0051552F" w:rsidRPr="005D33D3">
        <w:t xml:space="preserve">the example should not </w:t>
      </w:r>
      <w:r w:rsidR="00A667E3" w:rsidRPr="005D33D3">
        <w:t>include</w:t>
      </w:r>
      <w:r w:rsidR="0051552F" w:rsidRPr="005D33D3">
        <w:t xml:space="preserve"> </w:t>
      </w:r>
      <w:r w:rsidR="00A667E3" w:rsidRPr="005D33D3">
        <w:t xml:space="preserve">the </w:t>
      </w:r>
      <w:r w:rsidR="0051552F" w:rsidRPr="005D33D3">
        <w:t xml:space="preserve">immutable conclusion that the conduct </w:t>
      </w:r>
      <w:r w:rsidR="00A667E3" w:rsidRPr="005D33D3">
        <w:t xml:space="preserve">in likely to </w:t>
      </w:r>
      <w:r w:rsidR="0051552F" w:rsidRPr="005D33D3">
        <w:t xml:space="preserve">contravene the cartel provisions </w:t>
      </w:r>
      <w:r w:rsidR="00A667E3" w:rsidRPr="005D33D3">
        <w:t xml:space="preserve">without at least </w:t>
      </w:r>
      <w:r w:rsidR="0051552F" w:rsidRPr="005D33D3">
        <w:t>refer</w:t>
      </w:r>
      <w:r w:rsidR="00A667E3" w:rsidRPr="005D33D3">
        <w:t>ring</w:t>
      </w:r>
      <w:r w:rsidR="0051552F" w:rsidRPr="005D33D3">
        <w:t xml:space="preserve"> to the potential </w:t>
      </w:r>
      <w:r w:rsidR="006B7F87" w:rsidRPr="005D33D3">
        <w:t xml:space="preserve">application of </w:t>
      </w:r>
      <w:r w:rsidR="0051552F" w:rsidRPr="005D33D3">
        <w:t>the exclusive dealing exemption.</w:t>
      </w:r>
    </w:p>
    <w:p w14:paraId="685215D2" w14:textId="1A553D2D" w:rsidR="00DF415A" w:rsidRPr="005D33D3" w:rsidRDefault="00BF08FB" w:rsidP="007D12CA">
      <w:pPr>
        <w:pStyle w:val="Heading2"/>
      </w:pPr>
      <w:r w:rsidRPr="005D33D3">
        <w:t>Further to paragraph</w:t>
      </w:r>
      <w:r w:rsidR="00091FEC" w:rsidRPr="005D33D3">
        <w:t>s</w:t>
      </w:r>
      <w:r w:rsidRPr="005D33D3">
        <w:t xml:space="preserve"> 5.</w:t>
      </w:r>
      <w:r w:rsidR="00091FEC" w:rsidRPr="005D33D3">
        <w:t>4 and 5.5</w:t>
      </w:r>
      <w:r w:rsidRPr="005D33D3">
        <w:t xml:space="preserve"> above, a</w:t>
      </w:r>
      <w:r w:rsidR="006B7F87" w:rsidRPr="005D33D3">
        <w:t xml:space="preserve">dditional </w:t>
      </w:r>
      <w:r w:rsidR="005D33D3" w:rsidRPr="005D33D3">
        <w:t xml:space="preserve">guidance </w:t>
      </w:r>
      <w:r w:rsidR="006B7F87" w:rsidRPr="005D33D3">
        <w:t>need</w:t>
      </w:r>
      <w:r w:rsidR="005D33D3" w:rsidRPr="005D33D3">
        <w:t>s</w:t>
      </w:r>
      <w:r w:rsidR="006B7F87" w:rsidRPr="005D33D3">
        <w:t xml:space="preserve"> to </w:t>
      </w:r>
      <w:r w:rsidR="00DF415A" w:rsidRPr="005D33D3">
        <w:t>be provided in relation to output restrictions</w:t>
      </w:r>
      <w:r w:rsidR="00563229" w:rsidRPr="005D33D3">
        <w:t xml:space="preserve"> and where they would satisfy the purpose of “preventing, restricting and limiting” condition in section 45AD(3</w:t>
      </w:r>
      <w:r w:rsidR="003C1516" w:rsidRPr="005D33D3">
        <w:t>)</w:t>
      </w:r>
      <w:r w:rsidR="005D33D3" w:rsidRPr="005D33D3">
        <w:t xml:space="preserve"> of the CCA</w:t>
      </w:r>
      <w:r w:rsidR="003C1516" w:rsidRPr="005D33D3">
        <w:t>,</w:t>
      </w:r>
      <w:r w:rsidR="00563229" w:rsidRPr="005D33D3">
        <w:t xml:space="preserve"> as opposed to being permissions to use intellectual property rights </w:t>
      </w:r>
      <w:r w:rsidR="007D12CA" w:rsidRPr="005D33D3">
        <w:t xml:space="preserve">within certain boundaries </w:t>
      </w:r>
      <w:r w:rsidR="00563229" w:rsidRPr="005D33D3">
        <w:t>that the licensee was otherwise not entitled to use</w:t>
      </w:r>
      <w:r w:rsidR="00DF415A" w:rsidRPr="005D33D3">
        <w:t xml:space="preserve">. </w:t>
      </w:r>
      <w:r w:rsidR="006B7F87" w:rsidRPr="005D33D3">
        <w:t xml:space="preserve">Section </w:t>
      </w:r>
      <w:r w:rsidR="00FE314F" w:rsidRPr="005D33D3">
        <w:t xml:space="preserve">3.8 </w:t>
      </w:r>
      <w:r w:rsidR="007D12CA" w:rsidRPr="005D33D3">
        <w:t xml:space="preserve">on output restrictions </w:t>
      </w:r>
      <w:r w:rsidR="00FE314F" w:rsidRPr="005D33D3">
        <w:t xml:space="preserve">and Example 3 provide little assistance to the </w:t>
      </w:r>
      <w:r w:rsidR="00DF415A" w:rsidRPr="005D33D3">
        <w:t xml:space="preserve">research sector </w:t>
      </w:r>
      <w:r w:rsidR="00FE314F" w:rsidRPr="005D33D3">
        <w:t>which regularly include</w:t>
      </w:r>
      <w:r w:rsidR="005D33D3" w:rsidRPr="005D33D3">
        <w:t>s</w:t>
      </w:r>
      <w:r w:rsidR="00FE314F" w:rsidRPr="005D33D3">
        <w:t xml:space="preserve"> field of use restrictions and quality restrictions</w:t>
      </w:r>
      <w:r w:rsidR="003C32FA" w:rsidRPr="005D33D3">
        <w:t xml:space="preserve"> in licence agreements</w:t>
      </w:r>
      <w:r w:rsidR="00FE314F" w:rsidRPr="005D33D3">
        <w:t xml:space="preserve">.  </w:t>
      </w:r>
    </w:p>
    <w:p w14:paraId="301C124D" w14:textId="75D535D5" w:rsidR="009566B0" w:rsidRPr="005D33D3" w:rsidRDefault="003C32FA" w:rsidP="00941D5E">
      <w:pPr>
        <w:pStyle w:val="Heading2"/>
      </w:pPr>
      <w:r w:rsidRPr="005D33D3">
        <w:t xml:space="preserve">Similarly, further </w:t>
      </w:r>
      <w:r w:rsidR="002B55AD" w:rsidRPr="005D33D3">
        <w:t>g</w:t>
      </w:r>
      <w:r w:rsidRPr="005D33D3">
        <w:t>uidelines need to be provided in relation to t</w:t>
      </w:r>
      <w:r w:rsidR="00B3069E" w:rsidRPr="005D33D3">
        <w:t xml:space="preserve">erritorial </w:t>
      </w:r>
      <w:r w:rsidRPr="005D33D3">
        <w:t>r</w:t>
      </w:r>
      <w:r w:rsidR="00B3069E" w:rsidRPr="005D33D3">
        <w:t>estrictions</w:t>
      </w:r>
      <w:r w:rsidR="00B33B58" w:rsidRPr="005D33D3">
        <w:t xml:space="preserve"> referred to in Section 3.8</w:t>
      </w:r>
      <w:r w:rsidR="003C1516" w:rsidRPr="005D33D3">
        <w:t xml:space="preserve"> and where they would satisfy the purpose of “preventing, restricting and limiting” condition in section 45AD(3)</w:t>
      </w:r>
      <w:r w:rsidR="005D33D3" w:rsidRPr="005D33D3">
        <w:t xml:space="preserve"> of the CCA</w:t>
      </w:r>
      <w:r w:rsidR="003C1516" w:rsidRPr="005D33D3">
        <w:t>, as opposed to being permissions to use intellectual property rights in a territory that the licensee was otherwise not entitled to use</w:t>
      </w:r>
      <w:r w:rsidRPr="005D33D3">
        <w:t xml:space="preserve">.  </w:t>
      </w:r>
      <w:r w:rsidR="00B37EAC" w:rsidRPr="005D33D3">
        <w:t xml:space="preserve">The draft </w:t>
      </w:r>
      <w:r w:rsidRPr="005D33D3">
        <w:t>G</w:t>
      </w:r>
      <w:r w:rsidR="00B37EAC" w:rsidRPr="005D33D3">
        <w:t>uidelines</w:t>
      </w:r>
      <w:r w:rsidR="006B7F87" w:rsidRPr="005D33D3">
        <w:t>’</w:t>
      </w:r>
      <w:r w:rsidR="00B37EAC" w:rsidRPr="005D33D3">
        <w:t xml:space="preserve"> </w:t>
      </w:r>
      <w:r w:rsidR="005D33D3" w:rsidRPr="005D33D3">
        <w:t>S</w:t>
      </w:r>
      <w:r w:rsidR="00B37EAC" w:rsidRPr="005D33D3">
        <w:t xml:space="preserve">ection </w:t>
      </w:r>
      <w:r w:rsidR="007C4317" w:rsidRPr="005D33D3">
        <w:t xml:space="preserve">3.8 </w:t>
      </w:r>
      <w:r w:rsidR="00B37EAC" w:rsidRPr="005D33D3">
        <w:t xml:space="preserve">on territorial restraints </w:t>
      </w:r>
      <w:r w:rsidR="00941D5E" w:rsidRPr="005D33D3">
        <w:t xml:space="preserve">does not expressly consider </w:t>
      </w:r>
      <w:r w:rsidR="00B37EAC" w:rsidRPr="005D33D3">
        <w:t xml:space="preserve">the </w:t>
      </w:r>
      <w:r w:rsidR="00941D5E" w:rsidRPr="005D33D3">
        <w:t xml:space="preserve">common practice of </w:t>
      </w:r>
      <w:r w:rsidR="00B37EAC" w:rsidRPr="005D33D3">
        <w:t xml:space="preserve">licensing intellectual property on a country by country </w:t>
      </w:r>
      <w:r w:rsidR="00590F99" w:rsidRPr="005D33D3">
        <w:t xml:space="preserve">or region by region </w:t>
      </w:r>
      <w:r w:rsidR="00B37EAC" w:rsidRPr="005D33D3">
        <w:t>basis.  As most forms of intellectual property arise on a national basis and are often licenced per country</w:t>
      </w:r>
      <w:r w:rsidR="00A039F2" w:rsidRPr="005D33D3">
        <w:t xml:space="preserve"> or region</w:t>
      </w:r>
      <w:r w:rsidR="00B37EAC" w:rsidRPr="005D33D3">
        <w:t xml:space="preserve">, LESANZ queries whether the ACCC should provide an example of a </w:t>
      </w:r>
      <w:r w:rsidR="00B37EAC" w:rsidRPr="005D33D3">
        <w:lastRenderedPageBreak/>
        <w:t>territorial licensing arrangement which would cause concern. Ideally this would be contrasted with</w:t>
      </w:r>
      <w:r w:rsidR="00A039F2" w:rsidRPr="005D33D3">
        <w:t xml:space="preserve"> examples of</w:t>
      </w:r>
      <w:r w:rsidR="00B37EAC" w:rsidRPr="005D33D3">
        <w:t xml:space="preserve"> territorial licensing restraints which are unlikely to cause concern</w:t>
      </w:r>
      <w:r w:rsidR="00941D5E" w:rsidRPr="005D33D3">
        <w:t>.</w:t>
      </w:r>
      <w:r w:rsidR="00B37EAC" w:rsidRPr="005D33D3">
        <w:t xml:space="preserve"> </w:t>
      </w:r>
      <w:r w:rsidR="006B7F87" w:rsidRPr="005D33D3">
        <w:t xml:space="preserve"> </w:t>
      </w:r>
    </w:p>
    <w:p w14:paraId="3FF6D4DC" w14:textId="77777777" w:rsidR="006B7F87" w:rsidRPr="005D33D3" w:rsidRDefault="00B33B58" w:rsidP="00941D5E">
      <w:pPr>
        <w:pStyle w:val="Heading2"/>
      </w:pPr>
      <w:r w:rsidRPr="005D33D3">
        <w:t xml:space="preserve">More generally, </w:t>
      </w:r>
      <w:r w:rsidR="007C4317" w:rsidRPr="005D33D3">
        <w:t xml:space="preserve">as noted above, </w:t>
      </w:r>
      <w:r w:rsidRPr="005D33D3">
        <w:t>each of the issues in S</w:t>
      </w:r>
      <w:r w:rsidR="004F203C" w:rsidRPr="005D33D3">
        <w:t>ection 3.8 need</w:t>
      </w:r>
      <w:r w:rsidR="00A039F2" w:rsidRPr="005D33D3">
        <w:t>s</w:t>
      </w:r>
      <w:r w:rsidR="004F203C" w:rsidRPr="005D33D3">
        <w:t xml:space="preserve"> to refer to the possible application of </w:t>
      </w:r>
      <w:r w:rsidR="000C4022" w:rsidRPr="005D33D3">
        <w:t>possible exempt</w:t>
      </w:r>
      <w:bookmarkStart w:id="1" w:name="_GoBack"/>
      <w:bookmarkEnd w:id="1"/>
      <w:r w:rsidR="000C4022" w:rsidRPr="005D33D3">
        <w:t xml:space="preserve">ions, including at least </w:t>
      </w:r>
      <w:r w:rsidR="004F203C" w:rsidRPr="005D33D3">
        <w:t>the exclusive dealing exemption</w:t>
      </w:r>
      <w:r w:rsidR="000C4022" w:rsidRPr="005D33D3">
        <w:t xml:space="preserve"> and the joint venture exemption</w:t>
      </w:r>
      <w:r w:rsidR="004F203C" w:rsidRPr="005D33D3">
        <w:t>.</w:t>
      </w:r>
    </w:p>
    <w:p w14:paraId="7B50E14C" w14:textId="77777777" w:rsidR="00FC1592" w:rsidRPr="005D33D3" w:rsidRDefault="00FC1592" w:rsidP="00E120E6">
      <w:pPr>
        <w:pStyle w:val="Heading1"/>
        <w:keepNext/>
        <w:rPr>
          <w:b/>
        </w:rPr>
      </w:pPr>
      <w:r w:rsidRPr="005D33D3">
        <w:rPr>
          <w:b/>
        </w:rPr>
        <w:t xml:space="preserve">Conclusion </w:t>
      </w:r>
    </w:p>
    <w:p w14:paraId="68E01798" w14:textId="77777777" w:rsidR="004A2603" w:rsidRPr="005D33D3" w:rsidRDefault="004A2603" w:rsidP="008E0060">
      <w:pPr>
        <w:pStyle w:val="Heading2"/>
      </w:pPr>
      <w:r w:rsidRPr="005D33D3">
        <w:t xml:space="preserve">LESANZ is committed to continuing to foster its relationship with the ACCC on behalf of its membership and hopes that our submission </w:t>
      </w:r>
      <w:r w:rsidR="00595F41" w:rsidRPr="005D33D3">
        <w:t xml:space="preserve">and our offer to provide further assistance </w:t>
      </w:r>
      <w:r w:rsidRPr="005D33D3">
        <w:t>will be carefully considered by the ACCC.</w:t>
      </w:r>
    </w:p>
    <w:p w14:paraId="77F60D23" w14:textId="77777777" w:rsidR="00FC1592" w:rsidRPr="005D33D3" w:rsidRDefault="00120F25" w:rsidP="00E120E6">
      <w:pPr>
        <w:keepNext/>
        <w:snapToGrid w:val="0"/>
        <w:spacing w:after="240"/>
      </w:pPr>
      <w:r w:rsidRPr="005D33D3">
        <w:t xml:space="preserve">Please do not </w:t>
      </w:r>
      <w:r w:rsidR="006F27BD" w:rsidRPr="005D33D3">
        <w:t>hesitate</w:t>
      </w:r>
      <w:r w:rsidRPr="005D33D3">
        <w:t xml:space="preserve"> to contact </w:t>
      </w:r>
      <w:r w:rsidR="004A2603" w:rsidRPr="005D33D3">
        <w:t>me if you have</w:t>
      </w:r>
      <w:r w:rsidR="006F27BD" w:rsidRPr="005D33D3">
        <w:t xml:space="preserve"> any questions or queries. </w:t>
      </w:r>
    </w:p>
    <w:p w14:paraId="3562FFA3" w14:textId="77777777" w:rsidR="00595F41" w:rsidRPr="005D33D3" w:rsidRDefault="00595F41" w:rsidP="00E120E6">
      <w:pPr>
        <w:keepNext/>
        <w:snapToGrid w:val="0"/>
        <w:spacing w:after="240"/>
      </w:pPr>
    </w:p>
    <w:p w14:paraId="31F5D6E0" w14:textId="77777777" w:rsidR="004A2603" w:rsidRPr="005D33D3" w:rsidRDefault="0038709F" w:rsidP="00E120E6">
      <w:pPr>
        <w:keepNext/>
        <w:snapToGrid w:val="0"/>
        <w:spacing w:after="240"/>
      </w:pPr>
      <w:r w:rsidRPr="005D33D3">
        <w:t>Duncan Ferguson</w:t>
      </w:r>
    </w:p>
    <w:p w14:paraId="3F410DDE" w14:textId="77777777" w:rsidR="0038709F" w:rsidRPr="00235C8A" w:rsidRDefault="0038709F" w:rsidP="00235C8A">
      <w:pPr>
        <w:keepNext/>
        <w:snapToGrid w:val="0"/>
        <w:spacing w:after="120"/>
        <w:rPr>
          <w:b/>
        </w:rPr>
      </w:pPr>
      <w:r w:rsidRPr="00235C8A">
        <w:rPr>
          <w:b/>
        </w:rPr>
        <w:t>President</w:t>
      </w:r>
    </w:p>
    <w:p w14:paraId="3DBDC3DB" w14:textId="77777777" w:rsidR="0038709F" w:rsidRPr="005D33D3" w:rsidRDefault="00FB1A71" w:rsidP="004A2603">
      <w:pPr>
        <w:snapToGrid w:val="0"/>
        <w:spacing w:after="240"/>
      </w:pPr>
      <w:r w:rsidRPr="005D33D3">
        <w:t>Licensing Executives Society of Australia and New Zealand Inc.</w:t>
      </w:r>
    </w:p>
    <w:sectPr w:rsidR="0038709F" w:rsidRPr="005D33D3">
      <w:footerReference w:type="even" r:id="rId11"/>
      <w:footerReference w:type="default" r:id="rId12"/>
      <w:footerReference w:type="first" r:id="rId13"/>
      <w:pgSz w:w="11906" w:h="16838" w:code="9"/>
      <w:pgMar w:top="1418" w:right="1418" w:bottom="1418" w:left="1418" w:header="720" w:footer="720" w:gutter="0"/>
      <w:pgNumType w:start="1"/>
      <w:cols w:space="720"/>
      <w:titlePg/>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BDDDB2" w14:textId="77777777" w:rsidR="00971CD1" w:rsidRDefault="00971CD1">
      <w:r>
        <w:separator/>
      </w:r>
    </w:p>
  </w:endnote>
  <w:endnote w:type="continuationSeparator" w:id="0">
    <w:p w14:paraId="148F5787" w14:textId="77777777" w:rsidR="00971CD1" w:rsidRDefault="00971C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2D88A3" w14:textId="77777777" w:rsidR="00971CD1" w:rsidRDefault="00971CD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17BD3">
      <w:rPr>
        <w:rStyle w:val="PageNumber"/>
        <w:noProof/>
      </w:rPr>
      <w:t>1</w:t>
    </w:r>
    <w:r>
      <w:rPr>
        <w:rStyle w:val="PageNumber"/>
      </w:rPr>
      <w:fldChar w:fldCharType="end"/>
    </w:r>
  </w:p>
  <w:p w14:paraId="6CDF9B46" w14:textId="77777777" w:rsidR="00971CD1" w:rsidRDefault="00971CD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405DEB" w14:textId="3721769A" w:rsidR="00971CD1" w:rsidRDefault="00D57564" w:rsidP="006F3E79">
    <w:pPr>
      <w:pStyle w:val="Footer"/>
      <w:tabs>
        <w:tab w:val="right" w:pos="9070"/>
      </w:tabs>
      <w:ind w:right="-15"/>
    </w:pPr>
    <w:r>
      <w:rPr>
        <w:sz w:val="16"/>
      </w:rPr>
      <w:t>ACCC - s51(3) submission:</w:t>
    </w:r>
    <w:r w:rsidR="00AB5F18">
      <w:rPr>
        <w:sz w:val="16"/>
      </w:rPr>
      <w:t xml:space="preserve"> </w:t>
    </w:r>
    <w:r w:rsidR="00AB5F18">
      <w:rPr>
        <w:sz w:val="16"/>
      </w:rPr>
      <w:fldChar w:fldCharType="begin"/>
    </w:r>
    <w:r w:rsidR="00AB5F18">
      <w:rPr>
        <w:sz w:val="16"/>
      </w:rPr>
      <w:instrText xml:space="preserve"> DOCPROPERTY  DocID  \* MERGEFORMAT </w:instrText>
    </w:r>
    <w:r w:rsidR="00AB5F18">
      <w:rPr>
        <w:sz w:val="16"/>
      </w:rPr>
      <w:fldChar w:fldCharType="separate"/>
    </w:r>
    <w:r w:rsidR="00AB5F18">
      <w:rPr>
        <w:noProof/>
        <w:sz w:val="16"/>
      </w:rPr>
      <w:t>42866197</w:t>
    </w:r>
    <w:r w:rsidR="00AB5F18">
      <w:rPr>
        <w:sz w:val="16"/>
      </w:rPr>
      <w:t>_</w:t>
    </w:r>
    <w:r w:rsidR="00235C8A">
      <w:rPr>
        <w:sz w:val="16"/>
      </w:rPr>
      <w:t>9</w:t>
    </w:r>
    <w:r w:rsidR="00AB5F18">
      <w:rPr>
        <w:sz w:val="16"/>
      </w:rPr>
      <w:fldChar w:fldCharType="end"/>
    </w:r>
    <w:r w:rsidR="00971CD1">
      <w:rPr>
        <w:sz w:val="16"/>
      </w:rPr>
      <w:tab/>
    </w:r>
    <w:r w:rsidR="00971CD1">
      <w:rPr>
        <w:rStyle w:val="PageNumber"/>
      </w:rPr>
      <w:fldChar w:fldCharType="begin"/>
    </w:r>
    <w:r w:rsidR="00971CD1">
      <w:rPr>
        <w:rStyle w:val="PageNumber"/>
      </w:rPr>
      <w:instrText xml:space="preserve"> PAGE </w:instrText>
    </w:r>
    <w:r w:rsidR="00971CD1">
      <w:rPr>
        <w:rStyle w:val="PageNumber"/>
      </w:rPr>
      <w:fldChar w:fldCharType="separate"/>
    </w:r>
    <w:r w:rsidR="00D76BA6">
      <w:rPr>
        <w:rStyle w:val="PageNumber"/>
        <w:noProof/>
      </w:rPr>
      <w:t>8</w:t>
    </w:r>
    <w:r w:rsidR="00971CD1">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67E1A9" w14:textId="77777777" w:rsidR="00971CD1" w:rsidRPr="004D4054" w:rsidRDefault="00971CD1" w:rsidP="004D4054">
    <w:pPr>
      <w:pStyle w:val="Footer"/>
      <w:rPr>
        <w:sz w:val="16"/>
      </w:rPr>
    </w:pPr>
    <w:r>
      <w:rPr>
        <w:sz w:val="16"/>
      </w:rPr>
      <w:fldChar w:fldCharType="begin"/>
    </w:r>
    <w:r>
      <w:rPr>
        <w:sz w:val="16"/>
      </w:rPr>
      <w:instrText xml:space="preserve"> DOCPROPERTY  DocID  \* MERGEFORMAT </w:instrText>
    </w:r>
    <w:r>
      <w:rPr>
        <w:sz w:val="16"/>
      </w:rPr>
      <w:fldChar w:fldCharType="separate"/>
    </w:r>
    <w:r w:rsidR="00E120E6">
      <w:rPr>
        <w:noProof/>
        <w:sz w:val="16"/>
      </w:rPr>
      <w:t>42866197_7</w:t>
    </w:r>
    <w:r>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2903EA" w14:textId="77777777" w:rsidR="00971CD1" w:rsidRDefault="00971CD1">
      <w:r>
        <w:separator/>
      </w:r>
    </w:p>
  </w:footnote>
  <w:footnote w:type="continuationSeparator" w:id="0">
    <w:p w14:paraId="0BA9C651" w14:textId="77777777" w:rsidR="00971CD1" w:rsidRDefault="00971CD1">
      <w:r>
        <w:continuationSeparator/>
      </w:r>
    </w:p>
  </w:footnote>
  <w:footnote w:id="1">
    <w:p w14:paraId="1BF1E16F" w14:textId="77777777" w:rsidR="00971CD1" w:rsidRPr="00E120E6" w:rsidRDefault="00971CD1">
      <w:pPr>
        <w:pStyle w:val="FootnoteText"/>
        <w:rPr>
          <w:sz w:val="18"/>
          <w:szCs w:val="18"/>
        </w:rPr>
      </w:pPr>
      <w:r w:rsidRPr="00E120E6">
        <w:rPr>
          <w:rStyle w:val="FootnoteReference"/>
          <w:sz w:val="18"/>
          <w:szCs w:val="18"/>
        </w:rPr>
        <w:footnoteRef/>
      </w:r>
      <w:r w:rsidRPr="00E120E6">
        <w:rPr>
          <w:sz w:val="18"/>
          <w:szCs w:val="18"/>
        </w:rPr>
        <w:t xml:space="preserve"> No challenge clauses may comprise either a prohibition on challenges or the </w:t>
      </w:r>
      <w:r w:rsidR="00260A29" w:rsidRPr="00E120E6">
        <w:rPr>
          <w:sz w:val="18"/>
          <w:szCs w:val="18"/>
        </w:rPr>
        <w:t>conferral</w:t>
      </w:r>
      <w:r w:rsidRPr="00E120E6">
        <w:rPr>
          <w:sz w:val="18"/>
          <w:szCs w:val="18"/>
        </w:rPr>
        <w:t xml:space="preserve"> of a termination right in the event of a challenge.   </w:t>
      </w:r>
    </w:p>
  </w:footnote>
  <w:footnote w:id="2">
    <w:p w14:paraId="296225D5" w14:textId="77777777" w:rsidR="00971CD1" w:rsidRPr="00E120E6" w:rsidRDefault="00971CD1">
      <w:pPr>
        <w:pStyle w:val="FootnoteText"/>
        <w:rPr>
          <w:sz w:val="18"/>
          <w:szCs w:val="18"/>
        </w:rPr>
      </w:pPr>
      <w:r w:rsidRPr="00E120E6">
        <w:rPr>
          <w:rStyle w:val="FootnoteReference"/>
          <w:sz w:val="18"/>
          <w:szCs w:val="18"/>
        </w:rPr>
        <w:footnoteRef/>
      </w:r>
      <w:r w:rsidRPr="00E120E6">
        <w:rPr>
          <w:sz w:val="18"/>
          <w:szCs w:val="18"/>
        </w:rPr>
        <w:t xml:space="preserve"> The example explains that </w:t>
      </w:r>
      <w:r w:rsidR="00260A29" w:rsidRPr="00E120E6">
        <w:rPr>
          <w:sz w:val="18"/>
          <w:szCs w:val="18"/>
        </w:rPr>
        <w:t>Firm A</w:t>
      </w:r>
      <w:r w:rsidRPr="00E120E6">
        <w:rPr>
          <w:sz w:val="18"/>
          <w:szCs w:val="18"/>
        </w:rPr>
        <w:t xml:space="preserve"> licence</w:t>
      </w:r>
      <w:r w:rsidR="00260A29" w:rsidRPr="00E120E6">
        <w:rPr>
          <w:sz w:val="18"/>
          <w:szCs w:val="18"/>
        </w:rPr>
        <w:t>s</w:t>
      </w:r>
      <w:r w:rsidRPr="00E120E6">
        <w:rPr>
          <w:sz w:val="18"/>
          <w:szCs w:val="18"/>
        </w:rPr>
        <w:t xml:space="preserve"> touchscreen technology but each of Firms B and C may be licenced the technology in separate fields which are clearly not competitive.  For example, Firm B may be licensed in the field of gaming applications only and Firm C could be licensed in the field </w:t>
      </w:r>
      <w:proofErr w:type="gramStart"/>
      <w:r w:rsidRPr="00E120E6">
        <w:rPr>
          <w:sz w:val="18"/>
          <w:szCs w:val="18"/>
        </w:rPr>
        <w:t>of  physical</w:t>
      </w:r>
      <w:proofErr w:type="gramEnd"/>
      <w:r w:rsidRPr="00E120E6">
        <w:rPr>
          <w:sz w:val="18"/>
          <w:szCs w:val="18"/>
        </w:rPr>
        <w:t xml:space="preserve"> security applications.  </w:t>
      </w:r>
    </w:p>
  </w:footnote>
  <w:footnote w:id="3">
    <w:p w14:paraId="3552334C" w14:textId="77777777" w:rsidR="00971CD1" w:rsidRPr="00E120E6" w:rsidRDefault="00971CD1">
      <w:pPr>
        <w:pStyle w:val="FootnoteText"/>
        <w:rPr>
          <w:sz w:val="18"/>
          <w:szCs w:val="18"/>
        </w:rPr>
      </w:pPr>
      <w:r w:rsidRPr="00E120E6">
        <w:rPr>
          <w:rStyle w:val="FootnoteReference"/>
          <w:sz w:val="18"/>
          <w:szCs w:val="18"/>
        </w:rPr>
        <w:footnoteRef/>
      </w:r>
      <w:r w:rsidRPr="00E120E6">
        <w:rPr>
          <w:sz w:val="18"/>
          <w:szCs w:val="18"/>
        </w:rPr>
        <w:t xml:space="preserve"> Do the improvements relate to better versions of the touchscreen technology or do they go more broadly to cover all applications which deploy that technology or a related manufacturing process?</w:t>
      </w:r>
    </w:p>
  </w:footnote>
  <w:footnote w:id="4">
    <w:p w14:paraId="2D86B910" w14:textId="77777777" w:rsidR="00BA58B2" w:rsidRPr="00E120E6" w:rsidRDefault="00BA58B2" w:rsidP="00BA58B2">
      <w:pPr>
        <w:pStyle w:val="FootnoteText"/>
        <w:rPr>
          <w:sz w:val="18"/>
          <w:szCs w:val="18"/>
        </w:rPr>
      </w:pPr>
      <w:r w:rsidRPr="00E120E6">
        <w:rPr>
          <w:rStyle w:val="FootnoteReference"/>
          <w:sz w:val="18"/>
          <w:szCs w:val="18"/>
        </w:rPr>
        <w:footnoteRef/>
      </w:r>
      <w:r w:rsidRPr="00E120E6">
        <w:rPr>
          <w:sz w:val="18"/>
          <w:szCs w:val="18"/>
        </w:rPr>
        <w:t xml:space="preserve"> </w:t>
      </w:r>
      <w:r w:rsidR="003A0317" w:rsidRPr="00E120E6">
        <w:rPr>
          <w:sz w:val="18"/>
          <w:szCs w:val="18"/>
        </w:rPr>
        <w:t>For example, s</w:t>
      </w:r>
      <w:r w:rsidRPr="00E120E6">
        <w:rPr>
          <w:sz w:val="18"/>
          <w:szCs w:val="18"/>
        </w:rPr>
        <w:t>ee s</w:t>
      </w:r>
      <w:r w:rsidR="00E120E6">
        <w:rPr>
          <w:sz w:val="18"/>
          <w:szCs w:val="18"/>
        </w:rPr>
        <w:t>ection</w:t>
      </w:r>
      <w:r w:rsidRPr="00E120E6">
        <w:rPr>
          <w:sz w:val="18"/>
          <w:szCs w:val="18"/>
        </w:rPr>
        <w:t xml:space="preserve"> 8 of the </w:t>
      </w:r>
      <w:r w:rsidRPr="00E120E6">
        <w:rPr>
          <w:i/>
          <w:sz w:val="18"/>
          <w:szCs w:val="18"/>
        </w:rPr>
        <w:t xml:space="preserve">Trade Mark Act 1995 </w:t>
      </w:r>
      <w:r w:rsidRPr="00E120E6">
        <w:rPr>
          <w:sz w:val="18"/>
          <w:szCs w:val="18"/>
        </w:rPr>
        <w:t>(</w:t>
      </w:r>
      <w:proofErr w:type="spellStart"/>
      <w:r w:rsidRPr="00E120E6">
        <w:rPr>
          <w:sz w:val="18"/>
          <w:szCs w:val="18"/>
        </w:rPr>
        <w:t>Cth</w:t>
      </w:r>
      <w:proofErr w:type="spellEnd"/>
      <w:r w:rsidRPr="00E120E6">
        <w:rPr>
          <w:sz w:val="18"/>
          <w:szCs w:val="18"/>
        </w:rPr>
        <w:t>)</w:t>
      </w:r>
      <w:r w:rsidR="00E120E6" w:rsidRPr="00E120E6">
        <w:rPr>
          <w:sz w:val="18"/>
          <w:szCs w:val="18"/>
        </w:rPr>
        <w:t>,</w:t>
      </w:r>
      <w:r w:rsidRPr="00E120E6">
        <w:rPr>
          <w:sz w:val="18"/>
          <w:szCs w:val="18"/>
        </w:rPr>
        <w:t xml:space="preserve"> which </w:t>
      </w:r>
      <w:r w:rsidR="003A0317" w:rsidRPr="00E120E6">
        <w:rPr>
          <w:sz w:val="18"/>
          <w:szCs w:val="18"/>
        </w:rPr>
        <w:t>mandates control by a licensor over the use by licensee.</w:t>
      </w:r>
    </w:p>
  </w:footnote>
  <w:footnote w:id="5">
    <w:p w14:paraId="2476551C" w14:textId="51B9E0C4" w:rsidR="0027092B" w:rsidRPr="00E120E6" w:rsidRDefault="0027092B" w:rsidP="0027092B">
      <w:pPr>
        <w:pStyle w:val="FootnoteText"/>
        <w:rPr>
          <w:sz w:val="18"/>
          <w:szCs w:val="18"/>
        </w:rPr>
      </w:pPr>
      <w:r w:rsidRPr="00E120E6">
        <w:rPr>
          <w:rStyle w:val="FootnoteReference"/>
          <w:sz w:val="18"/>
          <w:szCs w:val="18"/>
        </w:rPr>
        <w:footnoteRef/>
      </w:r>
      <w:r w:rsidRPr="00E120E6">
        <w:rPr>
          <w:sz w:val="18"/>
          <w:szCs w:val="18"/>
        </w:rPr>
        <w:t xml:space="preserve"> See the linked speech by The Honourable Justice Michael O'Bryan</w:t>
      </w:r>
      <w:r w:rsidR="00E120E6">
        <w:rPr>
          <w:sz w:val="18"/>
          <w:szCs w:val="18"/>
        </w:rPr>
        <w:t xml:space="preserve"> of the </w:t>
      </w:r>
      <w:r w:rsidRPr="00E120E6">
        <w:rPr>
          <w:sz w:val="18"/>
          <w:szCs w:val="18"/>
        </w:rPr>
        <w:t>Federal Court of Australia</w:t>
      </w:r>
      <w:r w:rsidR="00E120E6">
        <w:rPr>
          <w:sz w:val="18"/>
          <w:szCs w:val="18"/>
        </w:rPr>
        <w:t>, available at</w:t>
      </w:r>
      <w:r w:rsidRPr="00E120E6">
        <w:rPr>
          <w:sz w:val="18"/>
          <w:szCs w:val="18"/>
        </w:rPr>
        <w:t xml:space="preserve"> </w:t>
      </w:r>
      <w:hyperlink r:id="rId1" w:history="1">
        <w:r w:rsidR="00E120E6" w:rsidRPr="003379A1">
          <w:rPr>
            <w:rStyle w:val="Hyperlink"/>
            <w:sz w:val="18"/>
            <w:szCs w:val="18"/>
          </w:rPr>
          <w:t>https://www.fedcourt.gov.au/digital-law-library/judges-speeches/justice-obryan/obryan-j-20190410</w:t>
        </w:r>
      </w:hyperlink>
      <w:r w:rsidR="00E120E6">
        <w:rPr>
          <w:sz w:val="18"/>
          <w:szCs w:val="18"/>
        </w:rPr>
        <w:t xml:space="preserve">. </w:t>
      </w:r>
    </w:p>
  </w:footnote>
  <w:footnote w:id="6">
    <w:p w14:paraId="6AABD2C9" w14:textId="5AED32A1" w:rsidR="00971CD1" w:rsidRPr="00E120E6" w:rsidRDefault="00971CD1">
      <w:pPr>
        <w:pStyle w:val="FootnoteText"/>
        <w:rPr>
          <w:sz w:val="18"/>
          <w:szCs w:val="18"/>
        </w:rPr>
      </w:pPr>
      <w:r w:rsidRPr="00E120E6">
        <w:rPr>
          <w:rStyle w:val="FootnoteReference"/>
          <w:sz w:val="18"/>
          <w:szCs w:val="18"/>
        </w:rPr>
        <w:footnoteRef/>
      </w:r>
      <w:r w:rsidRPr="00E120E6">
        <w:rPr>
          <w:sz w:val="18"/>
          <w:szCs w:val="18"/>
        </w:rPr>
        <w:t xml:space="preserve"> </w:t>
      </w:r>
      <w:r w:rsidR="00E120E6">
        <w:rPr>
          <w:sz w:val="18"/>
          <w:szCs w:val="18"/>
        </w:rPr>
        <w:t>Ibid</w:t>
      </w:r>
    </w:p>
  </w:footnote>
  <w:footnote w:id="7">
    <w:p w14:paraId="5CC24B06" w14:textId="47CFB966" w:rsidR="001649DA" w:rsidRPr="00E120E6" w:rsidRDefault="001649DA">
      <w:pPr>
        <w:pStyle w:val="FootnoteText"/>
        <w:rPr>
          <w:sz w:val="18"/>
          <w:szCs w:val="18"/>
        </w:rPr>
      </w:pPr>
      <w:r w:rsidRPr="00E120E6">
        <w:rPr>
          <w:rStyle w:val="FootnoteReference"/>
          <w:sz w:val="18"/>
          <w:szCs w:val="18"/>
        </w:rPr>
        <w:footnoteRef/>
      </w:r>
      <w:r w:rsidRPr="00E120E6">
        <w:rPr>
          <w:sz w:val="18"/>
          <w:szCs w:val="18"/>
        </w:rPr>
        <w:t xml:space="preserve"> For example, the supply of a patent</w:t>
      </w:r>
      <w:r w:rsidR="008313F9" w:rsidRPr="00E120E6">
        <w:rPr>
          <w:sz w:val="18"/>
          <w:szCs w:val="18"/>
        </w:rPr>
        <w:t>ed</w:t>
      </w:r>
      <w:r w:rsidRPr="00E120E6">
        <w:rPr>
          <w:sz w:val="18"/>
          <w:szCs w:val="18"/>
        </w:rPr>
        <w:t xml:space="preserve"> good </w:t>
      </w:r>
      <w:r w:rsidR="008313F9" w:rsidRPr="00E120E6">
        <w:rPr>
          <w:sz w:val="18"/>
          <w:szCs w:val="18"/>
        </w:rPr>
        <w:t xml:space="preserve">by a licensee </w:t>
      </w:r>
      <w:r w:rsidRPr="00E120E6">
        <w:rPr>
          <w:sz w:val="18"/>
          <w:szCs w:val="18"/>
        </w:rPr>
        <w:t xml:space="preserve">involves exploitation of the patent rights, </w:t>
      </w:r>
      <w:r w:rsidR="008313F9" w:rsidRPr="00E120E6">
        <w:rPr>
          <w:sz w:val="18"/>
          <w:szCs w:val="18"/>
        </w:rPr>
        <w:t>which would be a resupply of services</w:t>
      </w:r>
      <w:r w:rsidR="007475D5" w:rsidRPr="00E120E6">
        <w:rPr>
          <w:sz w:val="18"/>
          <w:szCs w:val="18"/>
        </w:rPr>
        <w:t xml:space="preserve"> under a patent licence</w:t>
      </w:r>
      <w:r w:rsidR="008313F9" w:rsidRPr="00E120E6">
        <w:rPr>
          <w:sz w:val="18"/>
          <w:szCs w:val="18"/>
        </w:rPr>
        <w:t xml:space="preserve">.  In addition, the High Court found in </w:t>
      </w:r>
      <w:r w:rsidR="00E67D23" w:rsidRPr="00E120E6">
        <w:rPr>
          <w:i/>
          <w:sz w:val="18"/>
          <w:szCs w:val="18"/>
        </w:rPr>
        <w:t>E&amp;J Gallo Winery v Lion Nathan Australia Pty Ltd</w:t>
      </w:r>
      <w:r w:rsidR="00E67D23" w:rsidRPr="00E120E6">
        <w:rPr>
          <w:sz w:val="18"/>
          <w:szCs w:val="18"/>
        </w:rPr>
        <w:t xml:space="preserve"> </w:t>
      </w:r>
      <w:r w:rsidR="007475D5" w:rsidRPr="00E120E6">
        <w:rPr>
          <w:sz w:val="18"/>
          <w:szCs w:val="18"/>
        </w:rPr>
        <w:t xml:space="preserve">[2010] HCA 15 </w:t>
      </w:r>
      <w:r w:rsidR="00FD60A6" w:rsidRPr="00E120E6">
        <w:rPr>
          <w:sz w:val="18"/>
          <w:szCs w:val="18"/>
        </w:rPr>
        <w:t xml:space="preserve">that </w:t>
      </w:r>
      <w:r w:rsidR="008313F9" w:rsidRPr="00E120E6">
        <w:rPr>
          <w:sz w:val="18"/>
          <w:szCs w:val="18"/>
        </w:rPr>
        <w:t xml:space="preserve">each transfer of a </w:t>
      </w:r>
      <w:r w:rsidR="007475D5" w:rsidRPr="00E120E6">
        <w:rPr>
          <w:sz w:val="18"/>
          <w:szCs w:val="18"/>
        </w:rPr>
        <w:t xml:space="preserve">trademarked </w:t>
      </w:r>
      <w:r w:rsidR="008313F9" w:rsidRPr="00E120E6">
        <w:rPr>
          <w:sz w:val="18"/>
          <w:szCs w:val="18"/>
        </w:rPr>
        <w:t xml:space="preserve">good </w:t>
      </w:r>
      <w:r w:rsidR="007475D5" w:rsidRPr="00E120E6">
        <w:rPr>
          <w:sz w:val="18"/>
          <w:szCs w:val="18"/>
        </w:rPr>
        <w:t xml:space="preserve">is a use of the trade </w:t>
      </w:r>
      <w:proofErr w:type="gramStart"/>
      <w:r w:rsidR="007475D5" w:rsidRPr="00E120E6">
        <w:rPr>
          <w:sz w:val="18"/>
          <w:szCs w:val="18"/>
        </w:rPr>
        <w:t>mark, and</w:t>
      </w:r>
      <w:proofErr w:type="gramEnd"/>
      <w:r w:rsidR="007475D5" w:rsidRPr="00E120E6">
        <w:rPr>
          <w:sz w:val="18"/>
          <w:szCs w:val="18"/>
        </w:rPr>
        <w:t xml:space="preserve"> would be a resupply of services under a trade mark licence.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646C37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E72DA2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A94960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FE884A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82E1AE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A478C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C20E6C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BD0A37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9E0DF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D3CCDE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9661802"/>
    <w:multiLevelType w:val="multilevel"/>
    <w:tmpl w:val="0C090023"/>
    <w:styleLink w:val="ArticleSection"/>
    <w:lvl w:ilvl="0">
      <w:start w:val="1"/>
      <w:numFmt w:val="upperRoman"/>
      <w:lvlText w:val="Article %1."/>
      <w:lvlJc w:val="left"/>
      <w:pPr>
        <w:ind w:left="0" w:firstLine="0"/>
      </w:pPr>
      <w:rPr>
        <w:rFonts w:ascii="Arial" w:hAnsi="Arial" w:cs="Arial"/>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22A53977"/>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389F6925"/>
    <w:multiLevelType w:val="multilevel"/>
    <w:tmpl w:val="0C09001F"/>
    <w:styleLink w:val="111111"/>
    <w:lvl w:ilvl="0">
      <w:start w:val="1"/>
      <w:numFmt w:val="decimal"/>
      <w:lvlText w:val="%1."/>
      <w:lvlJc w:val="left"/>
      <w:pPr>
        <w:ind w:left="360" w:hanging="360"/>
      </w:pPr>
      <w:rPr>
        <w:rFonts w:ascii="Arial" w:hAnsi="Arial" w:cs="Arial"/>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75538CE"/>
    <w:multiLevelType w:val="hybridMultilevel"/>
    <w:tmpl w:val="D79611BA"/>
    <w:lvl w:ilvl="0" w:tplc="9CDC2550">
      <w:start w:val="1"/>
      <w:numFmt w:val="decimal"/>
      <w:lvlText w:val="%1."/>
      <w:lvlJc w:val="left"/>
      <w:pPr>
        <w:ind w:left="349" w:hanging="360"/>
      </w:pPr>
      <w:rPr>
        <w:rFonts w:hint="default"/>
      </w:rPr>
    </w:lvl>
    <w:lvl w:ilvl="1" w:tplc="0C090019" w:tentative="1">
      <w:start w:val="1"/>
      <w:numFmt w:val="lowerLetter"/>
      <w:lvlText w:val="%2."/>
      <w:lvlJc w:val="left"/>
      <w:pPr>
        <w:ind w:left="1069" w:hanging="360"/>
      </w:pPr>
    </w:lvl>
    <w:lvl w:ilvl="2" w:tplc="0C09001B" w:tentative="1">
      <w:start w:val="1"/>
      <w:numFmt w:val="lowerRoman"/>
      <w:lvlText w:val="%3."/>
      <w:lvlJc w:val="right"/>
      <w:pPr>
        <w:ind w:left="1789" w:hanging="180"/>
      </w:pPr>
    </w:lvl>
    <w:lvl w:ilvl="3" w:tplc="0C09000F" w:tentative="1">
      <w:start w:val="1"/>
      <w:numFmt w:val="decimal"/>
      <w:lvlText w:val="%4."/>
      <w:lvlJc w:val="left"/>
      <w:pPr>
        <w:ind w:left="2509" w:hanging="360"/>
      </w:pPr>
    </w:lvl>
    <w:lvl w:ilvl="4" w:tplc="0C090019" w:tentative="1">
      <w:start w:val="1"/>
      <w:numFmt w:val="lowerLetter"/>
      <w:lvlText w:val="%5."/>
      <w:lvlJc w:val="left"/>
      <w:pPr>
        <w:ind w:left="3229" w:hanging="360"/>
      </w:pPr>
    </w:lvl>
    <w:lvl w:ilvl="5" w:tplc="0C09001B" w:tentative="1">
      <w:start w:val="1"/>
      <w:numFmt w:val="lowerRoman"/>
      <w:lvlText w:val="%6."/>
      <w:lvlJc w:val="right"/>
      <w:pPr>
        <w:ind w:left="3949" w:hanging="180"/>
      </w:pPr>
    </w:lvl>
    <w:lvl w:ilvl="6" w:tplc="0C09000F" w:tentative="1">
      <w:start w:val="1"/>
      <w:numFmt w:val="decimal"/>
      <w:lvlText w:val="%7."/>
      <w:lvlJc w:val="left"/>
      <w:pPr>
        <w:ind w:left="4669" w:hanging="360"/>
      </w:pPr>
    </w:lvl>
    <w:lvl w:ilvl="7" w:tplc="0C090019" w:tentative="1">
      <w:start w:val="1"/>
      <w:numFmt w:val="lowerLetter"/>
      <w:lvlText w:val="%8."/>
      <w:lvlJc w:val="left"/>
      <w:pPr>
        <w:ind w:left="5389" w:hanging="360"/>
      </w:pPr>
    </w:lvl>
    <w:lvl w:ilvl="8" w:tplc="0C09001B" w:tentative="1">
      <w:start w:val="1"/>
      <w:numFmt w:val="lowerRoman"/>
      <w:lvlText w:val="%9."/>
      <w:lvlJc w:val="right"/>
      <w:pPr>
        <w:ind w:left="6109" w:hanging="180"/>
      </w:pPr>
    </w:lvl>
  </w:abstractNum>
  <w:abstractNum w:abstractNumId="14" w15:restartNumberingAfterBreak="0">
    <w:nsid w:val="47FE13B0"/>
    <w:multiLevelType w:val="multilevel"/>
    <w:tmpl w:val="E698F7F6"/>
    <w:lvl w:ilvl="0">
      <w:start w:val="1"/>
      <w:numFmt w:val="decimal"/>
      <w:pStyle w:val="Heading1"/>
      <w:lvlText w:val="%1"/>
      <w:lvlJc w:val="left"/>
      <w:pPr>
        <w:tabs>
          <w:tab w:val="num" w:pos="737"/>
        </w:tabs>
        <w:ind w:left="737" w:hanging="737"/>
      </w:pPr>
      <w:rPr>
        <w:rFonts w:hint="default"/>
      </w:rPr>
    </w:lvl>
    <w:lvl w:ilvl="1">
      <w:start w:val="1"/>
      <w:numFmt w:val="decimal"/>
      <w:pStyle w:val="Heading2"/>
      <w:lvlText w:val="%1.%2"/>
      <w:lvlJc w:val="left"/>
      <w:pPr>
        <w:tabs>
          <w:tab w:val="num" w:pos="737"/>
        </w:tabs>
        <w:ind w:left="737" w:hanging="737"/>
      </w:pPr>
      <w:rPr>
        <w:rFonts w:hint="default"/>
        <w:b w:val="0"/>
        <w:color w:val="auto"/>
      </w:rPr>
    </w:lvl>
    <w:lvl w:ilvl="2">
      <w:start w:val="1"/>
      <w:numFmt w:val="lowerLetter"/>
      <w:pStyle w:val="Heading3"/>
      <w:lvlText w:val="(%3)"/>
      <w:lvlJc w:val="left"/>
      <w:pPr>
        <w:tabs>
          <w:tab w:val="num" w:pos="1474"/>
        </w:tabs>
        <w:ind w:left="1474" w:hanging="737"/>
      </w:pPr>
      <w:rPr>
        <w:rFonts w:hint="default"/>
      </w:rPr>
    </w:lvl>
    <w:lvl w:ilvl="3">
      <w:start w:val="1"/>
      <w:numFmt w:val="lowerRoman"/>
      <w:pStyle w:val="Heading4"/>
      <w:lvlText w:val="(%4)"/>
      <w:lvlJc w:val="left"/>
      <w:pPr>
        <w:tabs>
          <w:tab w:val="num" w:pos="2211"/>
        </w:tabs>
        <w:ind w:left="2211" w:hanging="737"/>
      </w:pPr>
      <w:rPr>
        <w:rFonts w:hint="default"/>
      </w:rPr>
    </w:lvl>
    <w:lvl w:ilvl="4">
      <w:start w:val="1"/>
      <w:numFmt w:val="upperLetter"/>
      <w:pStyle w:val="Heading5"/>
      <w:lvlText w:val="(%5)"/>
      <w:lvlJc w:val="left"/>
      <w:pPr>
        <w:tabs>
          <w:tab w:val="num" w:pos="2948"/>
        </w:tabs>
        <w:ind w:left="2948" w:hanging="737"/>
      </w:pPr>
      <w:rPr>
        <w:rFonts w:hint="default"/>
      </w:rPr>
    </w:lvl>
    <w:lvl w:ilvl="5">
      <w:start w:val="1"/>
      <w:numFmt w:val="none"/>
      <w:pStyle w:val="Heading6"/>
      <w:suff w:val="nothing"/>
      <w:lvlText w:val=""/>
      <w:lvlJc w:val="left"/>
      <w:pPr>
        <w:ind w:left="0" w:firstLine="0"/>
      </w:pPr>
      <w:rPr>
        <w:rFonts w:hint="default"/>
      </w:rPr>
    </w:lvl>
    <w:lvl w:ilvl="6">
      <w:start w:val="1"/>
      <w:numFmt w:val="decimal"/>
      <w:pStyle w:val="Heading7"/>
      <w:lvlText w:val="%7"/>
      <w:lvlJc w:val="left"/>
      <w:pPr>
        <w:tabs>
          <w:tab w:val="num" w:pos="737"/>
        </w:tabs>
        <w:ind w:left="737" w:hanging="737"/>
      </w:pPr>
      <w:rPr>
        <w:rFonts w:hint="default"/>
      </w:rPr>
    </w:lvl>
    <w:lvl w:ilvl="7">
      <w:start w:val="1"/>
      <w:numFmt w:val="lowerLetter"/>
      <w:pStyle w:val="Heading8"/>
      <w:lvlText w:val="(%8)"/>
      <w:lvlJc w:val="left"/>
      <w:pPr>
        <w:tabs>
          <w:tab w:val="num" w:pos="1474"/>
        </w:tabs>
        <w:ind w:left="1474" w:hanging="737"/>
      </w:pPr>
      <w:rPr>
        <w:rFonts w:hint="default"/>
      </w:rPr>
    </w:lvl>
    <w:lvl w:ilvl="8">
      <w:start w:val="1"/>
      <w:numFmt w:val="lowerRoman"/>
      <w:pStyle w:val="Heading9"/>
      <w:lvlText w:val="(%9)"/>
      <w:lvlJc w:val="left"/>
      <w:pPr>
        <w:tabs>
          <w:tab w:val="num" w:pos="2211"/>
        </w:tabs>
        <w:ind w:left="2211" w:hanging="737"/>
      </w:pPr>
      <w:rPr>
        <w:rFonts w:hint="default"/>
      </w:rPr>
    </w:lvl>
  </w:abstractNum>
  <w:abstractNum w:abstractNumId="15" w15:restartNumberingAfterBreak="0">
    <w:nsid w:val="4C8668B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5D80FA0"/>
    <w:multiLevelType w:val="multilevel"/>
    <w:tmpl w:val="FBDE3C16"/>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737"/>
        </w:tabs>
        <w:ind w:left="737" w:hanging="737"/>
      </w:pPr>
      <w:rPr>
        <w:rFonts w:hint="default"/>
      </w:rPr>
    </w:lvl>
    <w:lvl w:ilvl="2">
      <w:start w:val="1"/>
      <w:numFmt w:val="lowerLetter"/>
      <w:lvlText w:val="(%3)"/>
      <w:lvlJc w:val="left"/>
      <w:pPr>
        <w:tabs>
          <w:tab w:val="num" w:pos="1474"/>
        </w:tabs>
        <w:ind w:left="1474" w:hanging="737"/>
      </w:pPr>
      <w:rPr>
        <w:rFonts w:hint="default"/>
      </w:rPr>
    </w:lvl>
    <w:lvl w:ilvl="3">
      <w:start w:val="1"/>
      <w:numFmt w:val="lowerRoman"/>
      <w:lvlText w:val="(%4)"/>
      <w:lvlJc w:val="left"/>
      <w:pPr>
        <w:tabs>
          <w:tab w:val="num" w:pos="2211"/>
        </w:tabs>
        <w:ind w:left="2211" w:hanging="737"/>
      </w:pPr>
      <w:rPr>
        <w:rFonts w:hint="default"/>
      </w:rPr>
    </w:lvl>
    <w:lvl w:ilvl="4">
      <w:start w:val="1"/>
      <w:numFmt w:val="upperLetter"/>
      <w:lvlText w:val="(%5)"/>
      <w:lvlJc w:val="left"/>
      <w:pPr>
        <w:tabs>
          <w:tab w:val="num" w:pos="2948"/>
        </w:tabs>
        <w:ind w:left="2948" w:hanging="737"/>
      </w:pPr>
      <w:rPr>
        <w:rFonts w:hint="default"/>
      </w:rPr>
    </w:lvl>
    <w:lvl w:ilvl="5">
      <w:start w:val="1"/>
      <w:numFmt w:val="none"/>
      <w:suff w:val="nothing"/>
      <w:lvlText w:val=""/>
      <w:lvlJc w:val="left"/>
      <w:pPr>
        <w:ind w:left="0" w:firstLine="0"/>
      </w:pPr>
      <w:rPr>
        <w:rFonts w:hint="default"/>
      </w:rPr>
    </w:lvl>
    <w:lvl w:ilvl="6">
      <w:start w:val="1"/>
      <w:numFmt w:val="decimal"/>
      <w:lvlText w:val="%7"/>
      <w:lvlJc w:val="left"/>
      <w:pPr>
        <w:tabs>
          <w:tab w:val="num" w:pos="737"/>
        </w:tabs>
        <w:ind w:left="737" w:hanging="737"/>
      </w:pPr>
      <w:rPr>
        <w:rFonts w:hint="default"/>
      </w:rPr>
    </w:lvl>
    <w:lvl w:ilvl="7">
      <w:start w:val="1"/>
      <w:numFmt w:val="lowerLetter"/>
      <w:lvlText w:val="(%8)"/>
      <w:lvlJc w:val="left"/>
      <w:pPr>
        <w:tabs>
          <w:tab w:val="num" w:pos="1474"/>
        </w:tabs>
        <w:ind w:left="1474" w:hanging="737"/>
      </w:pPr>
      <w:rPr>
        <w:rFonts w:hint="default"/>
      </w:rPr>
    </w:lvl>
    <w:lvl w:ilvl="8">
      <w:start w:val="1"/>
      <w:numFmt w:val="lowerRoman"/>
      <w:lvlText w:val="(%9)"/>
      <w:lvlJc w:val="left"/>
      <w:pPr>
        <w:tabs>
          <w:tab w:val="num" w:pos="2211"/>
        </w:tabs>
        <w:ind w:left="2211" w:hanging="737"/>
      </w:pPr>
      <w:rPr>
        <w:rFonts w:hint="default"/>
      </w:rPr>
    </w:lvl>
  </w:abstractNum>
  <w:abstractNum w:abstractNumId="17" w15:restartNumberingAfterBreak="0">
    <w:nsid w:val="5DA00D99"/>
    <w:multiLevelType w:val="hybridMultilevel"/>
    <w:tmpl w:val="0BF63E5A"/>
    <w:lvl w:ilvl="0" w:tplc="7AB621CA">
      <w:start w:val="1"/>
      <w:numFmt w:val="bullet"/>
      <w:pStyle w:val="Bullets"/>
      <w:lvlText w:val="▪"/>
      <w:lvlJc w:val="left"/>
      <w:pPr>
        <w:ind w:left="1134" w:hanging="567"/>
      </w:pPr>
      <w:rPr>
        <w:rFonts w:ascii="Arial" w:hAnsi="Arial" w:cs="Times New Roman" w:hint="default"/>
        <w:color w:val="00AEEF"/>
        <w:sz w:val="24"/>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742B78F8"/>
    <w:multiLevelType w:val="multilevel"/>
    <w:tmpl w:val="0C09001D"/>
    <w:styleLink w:val="1ai"/>
    <w:lvl w:ilvl="0">
      <w:start w:val="1"/>
      <w:numFmt w:val="decimal"/>
      <w:lvlText w:val="%1)"/>
      <w:lvlJc w:val="left"/>
      <w:pPr>
        <w:ind w:left="360" w:hanging="360"/>
      </w:pPr>
      <w:rPr>
        <w:rFonts w:ascii="Arial" w:hAnsi="Arial"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4"/>
  </w:num>
  <w:num w:numId="2">
    <w:abstractNumId w:val="14"/>
  </w:num>
  <w:num w:numId="3">
    <w:abstractNumId w:val="14"/>
  </w:num>
  <w:num w:numId="4">
    <w:abstractNumId w:val="14"/>
  </w:num>
  <w:num w:numId="5">
    <w:abstractNumId w:val="14"/>
  </w:num>
  <w:num w:numId="6">
    <w:abstractNumId w:val="14"/>
  </w:num>
  <w:num w:numId="7">
    <w:abstractNumId w:val="14"/>
  </w:num>
  <w:num w:numId="8">
    <w:abstractNumId w:val="14"/>
  </w:num>
  <w:num w:numId="9">
    <w:abstractNumId w:val="14"/>
  </w:num>
  <w:num w:numId="10">
    <w:abstractNumId w:val="14"/>
  </w:num>
  <w:num w:numId="11">
    <w:abstractNumId w:val="14"/>
  </w:num>
  <w:num w:numId="12">
    <w:abstractNumId w:val="11"/>
  </w:num>
  <w:num w:numId="13">
    <w:abstractNumId w:val="15"/>
  </w:num>
  <w:num w:numId="14">
    <w:abstractNumId w:val="16"/>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18"/>
  </w:num>
  <w:num w:numId="18">
    <w:abstractNumId w:val="10"/>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 w:numId="29">
    <w:abstractNumId w:val="13"/>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Formatting/>
  <w:defaultTabStop w:val="737"/>
  <w:drawingGridHorizontalSpacing w:val="113"/>
  <w:drawingGridVerticalSpacing w:val="113"/>
  <w:displayHorizontalDrawingGridEvery w:val="0"/>
  <w:noPunctuationKerning/>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KWMBrand" w:val="1.0"/>
    <w:docVar w:name="KWMSetGroupVis" w:val="-1"/>
    <w:docVar w:name="msjDescription" w:val="ACCC - s51(3) submission"/>
  </w:docVars>
  <w:rsids>
    <w:rsidRoot w:val="007F0601"/>
    <w:rsid w:val="00006C9E"/>
    <w:rsid w:val="00014437"/>
    <w:rsid w:val="00015B53"/>
    <w:rsid w:val="00022709"/>
    <w:rsid w:val="0002375F"/>
    <w:rsid w:val="00025268"/>
    <w:rsid w:val="00025528"/>
    <w:rsid w:val="0003434D"/>
    <w:rsid w:val="00035098"/>
    <w:rsid w:val="00044622"/>
    <w:rsid w:val="00057747"/>
    <w:rsid w:val="000604EB"/>
    <w:rsid w:val="00063123"/>
    <w:rsid w:val="00066F7F"/>
    <w:rsid w:val="00072444"/>
    <w:rsid w:val="00074E6B"/>
    <w:rsid w:val="00075C07"/>
    <w:rsid w:val="0008074F"/>
    <w:rsid w:val="00090A07"/>
    <w:rsid w:val="00091FEC"/>
    <w:rsid w:val="00092F38"/>
    <w:rsid w:val="000A171B"/>
    <w:rsid w:val="000A28E6"/>
    <w:rsid w:val="000A6F8D"/>
    <w:rsid w:val="000B2549"/>
    <w:rsid w:val="000B4732"/>
    <w:rsid w:val="000B5DFB"/>
    <w:rsid w:val="000B6886"/>
    <w:rsid w:val="000C286C"/>
    <w:rsid w:val="000C3ADD"/>
    <w:rsid w:val="000C4022"/>
    <w:rsid w:val="000C45F4"/>
    <w:rsid w:val="000D03C9"/>
    <w:rsid w:val="000D21D1"/>
    <w:rsid w:val="000D5E46"/>
    <w:rsid w:val="000D6DC9"/>
    <w:rsid w:val="000E08D8"/>
    <w:rsid w:val="000F150D"/>
    <w:rsid w:val="000F1F22"/>
    <w:rsid w:val="00100659"/>
    <w:rsid w:val="0010223E"/>
    <w:rsid w:val="00106B61"/>
    <w:rsid w:val="00111B64"/>
    <w:rsid w:val="00114353"/>
    <w:rsid w:val="00115B5C"/>
    <w:rsid w:val="00120F25"/>
    <w:rsid w:val="001309AF"/>
    <w:rsid w:val="001370A3"/>
    <w:rsid w:val="00140915"/>
    <w:rsid w:val="0014788B"/>
    <w:rsid w:val="0016014D"/>
    <w:rsid w:val="001631F5"/>
    <w:rsid w:val="00163924"/>
    <w:rsid w:val="0016422E"/>
    <w:rsid w:val="001649DA"/>
    <w:rsid w:val="001702C6"/>
    <w:rsid w:val="001A4784"/>
    <w:rsid w:val="001A59F8"/>
    <w:rsid w:val="001B1D63"/>
    <w:rsid w:val="001C11F4"/>
    <w:rsid w:val="001C25FC"/>
    <w:rsid w:val="001C640A"/>
    <w:rsid w:val="001E4D08"/>
    <w:rsid w:val="001E4E75"/>
    <w:rsid w:val="001E7B29"/>
    <w:rsid w:val="001F18CD"/>
    <w:rsid w:val="001F5BCA"/>
    <w:rsid w:val="0021254B"/>
    <w:rsid w:val="002171AE"/>
    <w:rsid w:val="0022624F"/>
    <w:rsid w:val="0023078D"/>
    <w:rsid w:val="00232464"/>
    <w:rsid w:val="00235C8A"/>
    <w:rsid w:val="00241757"/>
    <w:rsid w:val="00253865"/>
    <w:rsid w:val="00260A29"/>
    <w:rsid w:val="0026104E"/>
    <w:rsid w:val="00262271"/>
    <w:rsid w:val="00264A9B"/>
    <w:rsid w:val="002705EB"/>
    <w:rsid w:val="0027092B"/>
    <w:rsid w:val="00273A6A"/>
    <w:rsid w:val="00274DA9"/>
    <w:rsid w:val="002852B0"/>
    <w:rsid w:val="0029275B"/>
    <w:rsid w:val="002937BC"/>
    <w:rsid w:val="002B55AD"/>
    <w:rsid w:val="002C60C7"/>
    <w:rsid w:val="002C6B55"/>
    <w:rsid w:val="002C70BE"/>
    <w:rsid w:val="002D3100"/>
    <w:rsid w:val="002D5CBF"/>
    <w:rsid w:val="002E10C7"/>
    <w:rsid w:val="002E46C7"/>
    <w:rsid w:val="002E4A12"/>
    <w:rsid w:val="002E6582"/>
    <w:rsid w:val="002E7EFC"/>
    <w:rsid w:val="002F1FC4"/>
    <w:rsid w:val="00315A90"/>
    <w:rsid w:val="0032474A"/>
    <w:rsid w:val="00327DB5"/>
    <w:rsid w:val="00352D21"/>
    <w:rsid w:val="00353BFD"/>
    <w:rsid w:val="00354AF3"/>
    <w:rsid w:val="00376F5D"/>
    <w:rsid w:val="0038104D"/>
    <w:rsid w:val="0038709F"/>
    <w:rsid w:val="003A0317"/>
    <w:rsid w:val="003A3544"/>
    <w:rsid w:val="003A458B"/>
    <w:rsid w:val="003A50E2"/>
    <w:rsid w:val="003B4BB5"/>
    <w:rsid w:val="003C1516"/>
    <w:rsid w:val="003C3125"/>
    <w:rsid w:val="003C32FA"/>
    <w:rsid w:val="003D226F"/>
    <w:rsid w:val="003E3282"/>
    <w:rsid w:val="003E6A9A"/>
    <w:rsid w:val="003F02C9"/>
    <w:rsid w:val="003F63D2"/>
    <w:rsid w:val="003F792D"/>
    <w:rsid w:val="004014D8"/>
    <w:rsid w:val="00403DBB"/>
    <w:rsid w:val="00416E4B"/>
    <w:rsid w:val="00417BD3"/>
    <w:rsid w:val="00420A3A"/>
    <w:rsid w:val="00424B89"/>
    <w:rsid w:val="004276DF"/>
    <w:rsid w:val="00435D1F"/>
    <w:rsid w:val="004400B4"/>
    <w:rsid w:val="004415CD"/>
    <w:rsid w:val="00441AAF"/>
    <w:rsid w:val="004538A1"/>
    <w:rsid w:val="00457CF7"/>
    <w:rsid w:val="00462E2E"/>
    <w:rsid w:val="00467E07"/>
    <w:rsid w:val="0047315D"/>
    <w:rsid w:val="004748DC"/>
    <w:rsid w:val="0047710A"/>
    <w:rsid w:val="00477715"/>
    <w:rsid w:val="00477D13"/>
    <w:rsid w:val="00483636"/>
    <w:rsid w:val="004932C7"/>
    <w:rsid w:val="004A2603"/>
    <w:rsid w:val="004A3231"/>
    <w:rsid w:val="004A4882"/>
    <w:rsid w:val="004B51E6"/>
    <w:rsid w:val="004C2279"/>
    <w:rsid w:val="004C6C83"/>
    <w:rsid w:val="004D4054"/>
    <w:rsid w:val="004D6972"/>
    <w:rsid w:val="004F0D6A"/>
    <w:rsid w:val="004F203C"/>
    <w:rsid w:val="004F3672"/>
    <w:rsid w:val="004F5833"/>
    <w:rsid w:val="0050282C"/>
    <w:rsid w:val="00507D50"/>
    <w:rsid w:val="00511084"/>
    <w:rsid w:val="0051552F"/>
    <w:rsid w:val="00526DDC"/>
    <w:rsid w:val="005311C8"/>
    <w:rsid w:val="00534DB9"/>
    <w:rsid w:val="00540D81"/>
    <w:rsid w:val="00540E11"/>
    <w:rsid w:val="005426A1"/>
    <w:rsid w:val="0054594F"/>
    <w:rsid w:val="00560A79"/>
    <w:rsid w:val="00562279"/>
    <w:rsid w:val="00563229"/>
    <w:rsid w:val="00564080"/>
    <w:rsid w:val="00565E0B"/>
    <w:rsid w:val="00574095"/>
    <w:rsid w:val="00576D15"/>
    <w:rsid w:val="00577DC1"/>
    <w:rsid w:val="005817A9"/>
    <w:rsid w:val="00582E1A"/>
    <w:rsid w:val="00584B82"/>
    <w:rsid w:val="00586ED4"/>
    <w:rsid w:val="005902AE"/>
    <w:rsid w:val="00590F99"/>
    <w:rsid w:val="00595F41"/>
    <w:rsid w:val="005A355F"/>
    <w:rsid w:val="005A35BB"/>
    <w:rsid w:val="005A5DAF"/>
    <w:rsid w:val="005C0235"/>
    <w:rsid w:val="005C4809"/>
    <w:rsid w:val="005D1461"/>
    <w:rsid w:val="005D1816"/>
    <w:rsid w:val="005D33D3"/>
    <w:rsid w:val="005F7CC5"/>
    <w:rsid w:val="00600EB8"/>
    <w:rsid w:val="00605C91"/>
    <w:rsid w:val="00611E19"/>
    <w:rsid w:val="00611F3F"/>
    <w:rsid w:val="00614A28"/>
    <w:rsid w:val="00622C73"/>
    <w:rsid w:val="0062531D"/>
    <w:rsid w:val="00630F8E"/>
    <w:rsid w:val="00631A1E"/>
    <w:rsid w:val="00632A7D"/>
    <w:rsid w:val="00640D24"/>
    <w:rsid w:val="0064458B"/>
    <w:rsid w:val="006477B3"/>
    <w:rsid w:val="00650F29"/>
    <w:rsid w:val="00654AC9"/>
    <w:rsid w:val="0067507D"/>
    <w:rsid w:val="00677BE1"/>
    <w:rsid w:val="00680F3B"/>
    <w:rsid w:val="00681E9A"/>
    <w:rsid w:val="006919E2"/>
    <w:rsid w:val="00692EE8"/>
    <w:rsid w:val="006A646C"/>
    <w:rsid w:val="006B0420"/>
    <w:rsid w:val="006B3BCC"/>
    <w:rsid w:val="006B7F87"/>
    <w:rsid w:val="006D4DDA"/>
    <w:rsid w:val="006D777B"/>
    <w:rsid w:val="006E0501"/>
    <w:rsid w:val="006F1B94"/>
    <w:rsid w:val="006F27BD"/>
    <w:rsid w:val="006F3D1F"/>
    <w:rsid w:val="006F3E79"/>
    <w:rsid w:val="00702A69"/>
    <w:rsid w:val="00704629"/>
    <w:rsid w:val="0071085D"/>
    <w:rsid w:val="00711958"/>
    <w:rsid w:val="00723750"/>
    <w:rsid w:val="00724BBD"/>
    <w:rsid w:val="00726794"/>
    <w:rsid w:val="00730756"/>
    <w:rsid w:val="00732ABF"/>
    <w:rsid w:val="00735F00"/>
    <w:rsid w:val="00746316"/>
    <w:rsid w:val="0074723D"/>
    <w:rsid w:val="007475D5"/>
    <w:rsid w:val="00754CBB"/>
    <w:rsid w:val="00755099"/>
    <w:rsid w:val="0075585E"/>
    <w:rsid w:val="00773247"/>
    <w:rsid w:val="00773359"/>
    <w:rsid w:val="00784F64"/>
    <w:rsid w:val="00786B17"/>
    <w:rsid w:val="00797D63"/>
    <w:rsid w:val="007B3186"/>
    <w:rsid w:val="007B639B"/>
    <w:rsid w:val="007C283C"/>
    <w:rsid w:val="007C3353"/>
    <w:rsid w:val="007C36C8"/>
    <w:rsid w:val="007C4317"/>
    <w:rsid w:val="007D12CA"/>
    <w:rsid w:val="007D347E"/>
    <w:rsid w:val="007E2951"/>
    <w:rsid w:val="007F0601"/>
    <w:rsid w:val="007F44A8"/>
    <w:rsid w:val="007F62FE"/>
    <w:rsid w:val="008007FA"/>
    <w:rsid w:val="00806C48"/>
    <w:rsid w:val="00821AA8"/>
    <w:rsid w:val="00826D09"/>
    <w:rsid w:val="008313F9"/>
    <w:rsid w:val="00831518"/>
    <w:rsid w:val="00837C80"/>
    <w:rsid w:val="00851300"/>
    <w:rsid w:val="0085528B"/>
    <w:rsid w:val="00863A8C"/>
    <w:rsid w:val="0086429F"/>
    <w:rsid w:val="0086476D"/>
    <w:rsid w:val="0086727A"/>
    <w:rsid w:val="00871376"/>
    <w:rsid w:val="0087141B"/>
    <w:rsid w:val="00875312"/>
    <w:rsid w:val="00875D4C"/>
    <w:rsid w:val="00876CB6"/>
    <w:rsid w:val="00877FE0"/>
    <w:rsid w:val="008917A2"/>
    <w:rsid w:val="008A1A35"/>
    <w:rsid w:val="008A326E"/>
    <w:rsid w:val="008A35CB"/>
    <w:rsid w:val="008A71E5"/>
    <w:rsid w:val="008B4E1D"/>
    <w:rsid w:val="008C166E"/>
    <w:rsid w:val="008C1FEE"/>
    <w:rsid w:val="008C2B25"/>
    <w:rsid w:val="008D19A0"/>
    <w:rsid w:val="008E0060"/>
    <w:rsid w:val="008E0188"/>
    <w:rsid w:val="008E7337"/>
    <w:rsid w:val="008F2747"/>
    <w:rsid w:val="00902ACA"/>
    <w:rsid w:val="00912D9F"/>
    <w:rsid w:val="00915E25"/>
    <w:rsid w:val="00921277"/>
    <w:rsid w:val="009217AA"/>
    <w:rsid w:val="00931325"/>
    <w:rsid w:val="00932F43"/>
    <w:rsid w:val="009359FB"/>
    <w:rsid w:val="00935EDB"/>
    <w:rsid w:val="00941D5E"/>
    <w:rsid w:val="00944BD0"/>
    <w:rsid w:val="00953CCB"/>
    <w:rsid w:val="00955F88"/>
    <w:rsid w:val="009566B0"/>
    <w:rsid w:val="00957B02"/>
    <w:rsid w:val="00961B72"/>
    <w:rsid w:val="0096209B"/>
    <w:rsid w:val="00964FC9"/>
    <w:rsid w:val="00971919"/>
    <w:rsid w:val="00971CD1"/>
    <w:rsid w:val="00990080"/>
    <w:rsid w:val="00992379"/>
    <w:rsid w:val="009A23BA"/>
    <w:rsid w:val="009A35E4"/>
    <w:rsid w:val="009C48E3"/>
    <w:rsid w:val="009C546D"/>
    <w:rsid w:val="009C7BDC"/>
    <w:rsid w:val="009D1952"/>
    <w:rsid w:val="009D367B"/>
    <w:rsid w:val="009D36BD"/>
    <w:rsid w:val="009E1C46"/>
    <w:rsid w:val="009E2385"/>
    <w:rsid w:val="009E27B3"/>
    <w:rsid w:val="009E5D8B"/>
    <w:rsid w:val="009F0A58"/>
    <w:rsid w:val="009F25E7"/>
    <w:rsid w:val="009F2CEF"/>
    <w:rsid w:val="009F63D4"/>
    <w:rsid w:val="00A011B4"/>
    <w:rsid w:val="00A039F2"/>
    <w:rsid w:val="00A0639E"/>
    <w:rsid w:val="00A11FD9"/>
    <w:rsid w:val="00A125D5"/>
    <w:rsid w:val="00A139C1"/>
    <w:rsid w:val="00A207EA"/>
    <w:rsid w:val="00A22117"/>
    <w:rsid w:val="00A2245C"/>
    <w:rsid w:val="00A234C9"/>
    <w:rsid w:val="00A26E4E"/>
    <w:rsid w:val="00A3157D"/>
    <w:rsid w:val="00A35E6D"/>
    <w:rsid w:val="00A3769F"/>
    <w:rsid w:val="00A4395F"/>
    <w:rsid w:val="00A43F87"/>
    <w:rsid w:val="00A54600"/>
    <w:rsid w:val="00A5696F"/>
    <w:rsid w:val="00A56E5B"/>
    <w:rsid w:val="00A667E3"/>
    <w:rsid w:val="00A70ABE"/>
    <w:rsid w:val="00A70EBA"/>
    <w:rsid w:val="00A7651B"/>
    <w:rsid w:val="00A76672"/>
    <w:rsid w:val="00A77F7F"/>
    <w:rsid w:val="00A84821"/>
    <w:rsid w:val="00A915B5"/>
    <w:rsid w:val="00A940BE"/>
    <w:rsid w:val="00AA4E1E"/>
    <w:rsid w:val="00AA5061"/>
    <w:rsid w:val="00AA52FB"/>
    <w:rsid w:val="00AA6944"/>
    <w:rsid w:val="00AB00E7"/>
    <w:rsid w:val="00AB35FC"/>
    <w:rsid w:val="00AB5F18"/>
    <w:rsid w:val="00AC149C"/>
    <w:rsid w:val="00AC1F48"/>
    <w:rsid w:val="00AC7E90"/>
    <w:rsid w:val="00AD4558"/>
    <w:rsid w:val="00AD6C83"/>
    <w:rsid w:val="00AE0B84"/>
    <w:rsid w:val="00AE543D"/>
    <w:rsid w:val="00AF07E8"/>
    <w:rsid w:val="00AF2E29"/>
    <w:rsid w:val="00B01FB4"/>
    <w:rsid w:val="00B0270F"/>
    <w:rsid w:val="00B027F5"/>
    <w:rsid w:val="00B069AA"/>
    <w:rsid w:val="00B147F3"/>
    <w:rsid w:val="00B14A42"/>
    <w:rsid w:val="00B176DB"/>
    <w:rsid w:val="00B21F85"/>
    <w:rsid w:val="00B24AD7"/>
    <w:rsid w:val="00B25387"/>
    <w:rsid w:val="00B30277"/>
    <w:rsid w:val="00B3069E"/>
    <w:rsid w:val="00B32AA1"/>
    <w:rsid w:val="00B33B58"/>
    <w:rsid w:val="00B340E2"/>
    <w:rsid w:val="00B345D1"/>
    <w:rsid w:val="00B37EAC"/>
    <w:rsid w:val="00B47256"/>
    <w:rsid w:val="00B554A6"/>
    <w:rsid w:val="00B6073D"/>
    <w:rsid w:val="00B63D40"/>
    <w:rsid w:val="00B6406E"/>
    <w:rsid w:val="00B72E5A"/>
    <w:rsid w:val="00B73970"/>
    <w:rsid w:val="00B864E0"/>
    <w:rsid w:val="00B91A9B"/>
    <w:rsid w:val="00B94205"/>
    <w:rsid w:val="00B955D5"/>
    <w:rsid w:val="00BA10B2"/>
    <w:rsid w:val="00BA4B0F"/>
    <w:rsid w:val="00BA58B2"/>
    <w:rsid w:val="00BB081C"/>
    <w:rsid w:val="00BB1847"/>
    <w:rsid w:val="00BB229B"/>
    <w:rsid w:val="00BC150F"/>
    <w:rsid w:val="00BC5D56"/>
    <w:rsid w:val="00BD4B80"/>
    <w:rsid w:val="00BD52F7"/>
    <w:rsid w:val="00BD57B8"/>
    <w:rsid w:val="00BD64D6"/>
    <w:rsid w:val="00BE1B1A"/>
    <w:rsid w:val="00BE2877"/>
    <w:rsid w:val="00BE6772"/>
    <w:rsid w:val="00BF08FB"/>
    <w:rsid w:val="00BF6D1B"/>
    <w:rsid w:val="00C3048E"/>
    <w:rsid w:val="00C30BFB"/>
    <w:rsid w:val="00C369B7"/>
    <w:rsid w:val="00C37535"/>
    <w:rsid w:val="00C408F4"/>
    <w:rsid w:val="00C562E3"/>
    <w:rsid w:val="00C601D1"/>
    <w:rsid w:val="00C639F7"/>
    <w:rsid w:val="00C65661"/>
    <w:rsid w:val="00C65FA2"/>
    <w:rsid w:val="00C7048E"/>
    <w:rsid w:val="00C80354"/>
    <w:rsid w:val="00C81117"/>
    <w:rsid w:val="00C8181D"/>
    <w:rsid w:val="00C81CFF"/>
    <w:rsid w:val="00C87451"/>
    <w:rsid w:val="00C87A2F"/>
    <w:rsid w:val="00C90003"/>
    <w:rsid w:val="00C952DF"/>
    <w:rsid w:val="00C9660C"/>
    <w:rsid w:val="00CA6149"/>
    <w:rsid w:val="00CA664C"/>
    <w:rsid w:val="00CB2C5B"/>
    <w:rsid w:val="00CB4F5E"/>
    <w:rsid w:val="00CD4292"/>
    <w:rsid w:val="00CE597A"/>
    <w:rsid w:val="00CF1B5D"/>
    <w:rsid w:val="00CF6F26"/>
    <w:rsid w:val="00D03DE4"/>
    <w:rsid w:val="00D07C4F"/>
    <w:rsid w:val="00D1100D"/>
    <w:rsid w:val="00D12F77"/>
    <w:rsid w:val="00D20B9A"/>
    <w:rsid w:val="00D30D32"/>
    <w:rsid w:val="00D32DE9"/>
    <w:rsid w:val="00D36D63"/>
    <w:rsid w:val="00D375F0"/>
    <w:rsid w:val="00D45A5A"/>
    <w:rsid w:val="00D46AC6"/>
    <w:rsid w:val="00D5056A"/>
    <w:rsid w:val="00D57564"/>
    <w:rsid w:val="00D57F0A"/>
    <w:rsid w:val="00D6409B"/>
    <w:rsid w:val="00D6768C"/>
    <w:rsid w:val="00D72319"/>
    <w:rsid w:val="00D72976"/>
    <w:rsid w:val="00D762C3"/>
    <w:rsid w:val="00D76BA6"/>
    <w:rsid w:val="00D80964"/>
    <w:rsid w:val="00D84258"/>
    <w:rsid w:val="00D87AFD"/>
    <w:rsid w:val="00D90394"/>
    <w:rsid w:val="00D94E66"/>
    <w:rsid w:val="00D96B09"/>
    <w:rsid w:val="00DA1485"/>
    <w:rsid w:val="00DA7940"/>
    <w:rsid w:val="00DA7C2D"/>
    <w:rsid w:val="00DD1F2D"/>
    <w:rsid w:val="00DD72F7"/>
    <w:rsid w:val="00DE2377"/>
    <w:rsid w:val="00DE6614"/>
    <w:rsid w:val="00DE7959"/>
    <w:rsid w:val="00DF415A"/>
    <w:rsid w:val="00DF66AA"/>
    <w:rsid w:val="00E05B41"/>
    <w:rsid w:val="00E07297"/>
    <w:rsid w:val="00E120E6"/>
    <w:rsid w:val="00E233CD"/>
    <w:rsid w:val="00E23BAD"/>
    <w:rsid w:val="00E24D89"/>
    <w:rsid w:val="00E26617"/>
    <w:rsid w:val="00E40093"/>
    <w:rsid w:val="00E4386B"/>
    <w:rsid w:val="00E44124"/>
    <w:rsid w:val="00E546A6"/>
    <w:rsid w:val="00E5753F"/>
    <w:rsid w:val="00E67D23"/>
    <w:rsid w:val="00E74E0A"/>
    <w:rsid w:val="00E94FF6"/>
    <w:rsid w:val="00EA3CA4"/>
    <w:rsid w:val="00EA5E0F"/>
    <w:rsid w:val="00EB46C0"/>
    <w:rsid w:val="00EB4C81"/>
    <w:rsid w:val="00EB529A"/>
    <w:rsid w:val="00EC0561"/>
    <w:rsid w:val="00EC1683"/>
    <w:rsid w:val="00EC2410"/>
    <w:rsid w:val="00EC376F"/>
    <w:rsid w:val="00EC3FF2"/>
    <w:rsid w:val="00EC6BFC"/>
    <w:rsid w:val="00ED2F7F"/>
    <w:rsid w:val="00EE0F53"/>
    <w:rsid w:val="00EE7B42"/>
    <w:rsid w:val="00EF32FA"/>
    <w:rsid w:val="00EF3559"/>
    <w:rsid w:val="00EF4504"/>
    <w:rsid w:val="00EF7551"/>
    <w:rsid w:val="00F022CE"/>
    <w:rsid w:val="00F03382"/>
    <w:rsid w:val="00F04C51"/>
    <w:rsid w:val="00F06C15"/>
    <w:rsid w:val="00F074A5"/>
    <w:rsid w:val="00F1246B"/>
    <w:rsid w:val="00F17420"/>
    <w:rsid w:val="00F27344"/>
    <w:rsid w:val="00F36CE1"/>
    <w:rsid w:val="00F421C4"/>
    <w:rsid w:val="00F42362"/>
    <w:rsid w:val="00F45957"/>
    <w:rsid w:val="00F5248D"/>
    <w:rsid w:val="00F531D3"/>
    <w:rsid w:val="00F613F3"/>
    <w:rsid w:val="00F712DE"/>
    <w:rsid w:val="00F72292"/>
    <w:rsid w:val="00F820F7"/>
    <w:rsid w:val="00F8343E"/>
    <w:rsid w:val="00F84FE5"/>
    <w:rsid w:val="00F86342"/>
    <w:rsid w:val="00F9247C"/>
    <w:rsid w:val="00F92DAC"/>
    <w:rsid w:val="00F94508"/>
    <w:rsid w:val="00FA4107"/>
    <w:rsid w:val="00FB1A71"/>
    <w:rsid w:val="00FB2AC8"/>
    <w:rsid w:val="00FB7DB3"/>
    <w:rsid w:val="00FC1592"/>
    <w:rsid w:val="00FC4000"/>
    <w:rsid w:val="00FD2C32"/>
    <w:rsid w:val="00FD427E"/>
    <w:rsid w:val="00FD60A6"/>
    <w:rsid w:val="00FE314F"/>
    <w:rsid w:val="00FF2E67"/>
    <w:rsid w:val="00FF6EB7"/>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4:docId w14:val="3D069000"/>
  <w15:docId w15:val="{12C7C2FB-DF96-47DC-8341-D851B0FEE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D4558"/>
    <w:rPr>
      <w:rFonts w:ascii="Arial" w:hAnsi="Arial" w:cs="Arial"/>
      <w:lang w:eastAsia="en-US"/>
    </w:rPr>
  </w:style>
  <w:style w:type="paragraph" w:styleId="Heading1">
    <w:name w:val="heading 1"/>
    <w:basedOn w:val="Normal"/>
    <w:qFormat/>
    <w:rsid w:val="00B955D5"/>
    <w:pPr>
      <w:numPr>
        <w:numId w:val="1"/>
      </w:numPr>
      <w:tabs>
        <w:tab w:val="clear" w:pos="737"/>
      </w:tabs>
      <w:spacing w:after="240"/>
      <w:outlineLvl w:val="0"/>
    </w:pPr>
  </w:style>
  <w:style w:type="paragraph" w:styleId="Heading2">
    <w:name w:val="heading 2"/>
    <w:basedOn w:val="Normal"/>
    <w:qFormat/>
    <w:rsid w:val="00B955D5"/>
    <w:pPr>
      <w:numPr>
        <w:ilvl w:val="1"/>
        <w:numId w:val="1"/>
      </w:numPr>
      <w:tabs>
        <w:tab w:val="clear" w:pos="737"/>
      </w:tabs>
      <w:spacing w:after="240"/>
      <w:outlineLvl w:val="1"/>
    </w:pPr>
  </w:style>
  <w:style w:type="paragraph" w:styleId="Heading3">
    <w:name w:val="heading 3"/>
    <w:basedOn w:val="Normal"/>
    <w:qFormat/>
    <w:rsid w:val="00B955D5"/>
    <w:pPr>
      <w:numPr>
        <w:ilvl w:val="2"/>
        <w:numId w:val="1"/>
      </w:numPr>
      <w:tabs>
        <w:tab w:val="clear" w:pos="1474"/>
      </w:tabs>
      <w:spacing w:after="240"/>
      <w:outlineLvl w:val="2"/>
    </w:pPr>
  </w:style>
  <w:style w:type="paragraph" w:styleId="Heading4">
    <w:name w:val="heading 4"/>
    <w:basedOn w:val="Normal"/>
    <w:qFormat/>
    <w:rsid w:val="00B955D5"/>
    <w:pPr>
      <w:numPr>
        <w:ilvl w:val="3"/>
        <w:numId w:val="1"/>
      </w:numPr>
      <w:tabs>
        <w:tab w:val="clear" w:pos="2211"/>
      </w:tabs>
      <w:spacing w:after="240"/>
      <w:outlineLvl w:val="3"/>
    </w:pPr>
  </w:style>
  <w:style w:type="paragraph" w:styleId="Heading5">
    <w:name w:val="heading 5"/>
    <w:basedOn w:val="Normal"/>
    <w:qFormat/>
    <w:rsid w:val="00B955D5"/>
    <w:pPr>
      <w:numPr>
        <w:ilvl w:val="4"/>
        <w:numId w:val="1"/>
      </w:numPr>
      <w:tabs>
        <w:tab w:val="clear" w:pos="2948"/>
      </w:tabs>
      <w:spacing w:after="240"/>
      <w:outlineLvl w:val="4"/>
    </w:pPr>
  </w:style>
  <w:style w:type="paragraph" w:styleId="Heading6">
    <w:name w:val="heading 6"/>
    <w:basedOn w:val="Normal"/>
    <w:qFormat/>
    <w:rsid w:val="00B955D5"/>
    <w:pPr>
      <w:numPr>
        <w:ilvl w:val="5"/>
        <w:numId w:val="1"/>
      </w:numPr>
      <w:spacing w:after="240"/>
      <w:outlineLvl w:val="5"/>
    </w:pPr>
  </w:style>
  <w:style w:type="paragraph" w:styleId="Heading7">
    <w:name w:val="heading 7"/>
    <w:basedOn w:val="Normal"/>
    <w:qFormat/>
    <w:rsid w:val="00B955D5"/>
    <w:pPr>
      <w:numPr>
        <w:ilvl w:val="6"/>
        <w:numId w:val="1"/>
      </w:numPr>
      <w:tabs>
        <w:tab w:val="clear" w:pos="737"/>
      </w:tabs>
      <w:spacing w:after="240"/>
      <w:outlineLvl w:val="6"/>
    </w:pPr>
  </w:style>
  <w:style w:type="paragraph" w:styleId="Heading8">
    <w:name w:val="heading 8"/>
    <w:basedOn w:val="Normal"/>
    <w:qFormat/>
    <w:rsid w:val="00B955D5"/>
    <w:pPr>
      <w:numPr>
        <w:ilvl w:val="7"/>
        <w:numId w:val="1"/>
      </w:numPr>
      <w:tabs>
        <w:tab w:val="clear" w:pos="1474"/>
      </w:tabs>
      <w:spacing w:after="240"/>
      <w:outlineLvl w:val="7"/>
    </w:pPr>
  </w:style>
  <w:style w:type="paragraph" w:styleId="Heading9">
    <w:name w:val="heading 9"/>
    <w:basedOn w:val="Normal"/>
    <w:qFormat/>
    <w:rsid w:val="00B955D5"/>
    <w:pPr>
      <w:numPr>
        <w:ilvl w:val="8"/>
        <w:numId w:val="1"/>
      </w:numPr>
      <w:tabs>
        <w:tab w:val="clear" w:pos="2211"/>
      </w:tabs>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F7551"/>
  </w:style>
  <w:style w:type="paragraph" w:styleId="BodyText">
    <w:name w:val="Body Text"/>
    <w:basedOn w:val="Normal"/>
    <w:link w:val="BodyTextChar"/>
    <w:rsid w:val="00EF7551"/>
    <w:pPr>
      <w:spacing w:after="240"/>
    </w:pPr>
  </w:style>
  <w:style w:type="paragraph" w:customStyle="1" w:styleId="ArialN16">
    <w:name w:val="ArialN16"/>
    <w:basedOn w:val="Normal"/>
    <w:next w:val="Normal"/>
    <w:rsid w:val="00EF7551"/>
    <w:rPr>
      <w:rFonts w:ascii="Arial Narrow" w:hAnsi="Arial Narrow"/>
      <w:b/>
      <w:sz w:val="32"/>
    </w:rPr>
  </w:style>
  <w:style w:type="paragraph" w:customStyle="1" w:styleId="ContentsTitle">
    <w:name w:val="ContentsTitle"/>
    <w:basedOn w:val="Normal"/>
    <w:next w:val="Normal"/>
    <w:rsid w:val="00EF7551"/>
    <w:pPr>
      <w:pBdr>
        <w:bottom w:val="single" w:sz="18" w:space="2" w:color="auto"/>
      </w:pBdr>
      <w:tabs>
        <w:tab w:val="left" w:pos="2722"/>
      </w:tabs>
      <w:spacing w:after="40"/>
      <w:ind w:left="2722" w:hanging="2722"/>
    </w:pPr>
    <w:rPr>
      <w:rFonts w:ascii="Arial Narrow" w:hAnsi="Arial Narrow"/>
      <w:b/>
      <w:sz w:val="32"/>
    </w:rPr>
  </w:style>
  <w:style w:type="paragraph" w:customStyle="1" w:styleId="Indent1">
    <w:name w:val="Indent 1"/>
    <w:basedOn w:val="Normal"/>
    <w:rsid w:val="00EF7551"/>
    <w:pPr>
      <w:spacing w:after="240"/>
      <w:ind w:left="737"/>
    </w:pPr>
  </w:style>
  <w:style w:type="paragraph" w:customStyle="1" w:styleId="Indent2">
    <w:name w:val="Indent 2"/>
    <w:basedOn w:val="Normal"/>
    <w:rsid w:val="00EF7551"/>
    <w:pPr>
      <w:spacing w:after="240"/>
      <w:ind w:left="737"/>
    </w:pPr>
  </w:style>
  <w:style w:type="paragraph" w:customStyle="1" w:styleId="Indent3">
    <w:name w:val="Indent 3"/>
    <w:basedOn w:val="Normal"/>
    <w:rsid w:val="00EF7551"/>
    <w:pPr>
      <w:spacing w:after="240"/>
      <w:ind w:left="1474"/>
    </w:pPr>
  </w:style>
  <w:style w:type="paragraph" w:customStyle="1" w:styleId="Indent4">
    <w:name w:val="Indent 4"/>
    <w:basedOn w:val="Normal"/>
    <w:rsid w:val="00EF7551"/>
    <w:pPr>
      <w:spacing w:after="240"/>
      <w:ind w:left="2211"/>
    </w:pPr>
  </w:style>
  <w:style w:type="paragraph" w:customStyle="1" w:styleId="Indent5">
    <w:name w:val="Indent 5"/>
    <w:basedOn w:val="Normal"/>
    <w:rsid w:val="00EF7551"/>
    <w:pPr>
      <w:spacing w:after="240"/>
      <w:ind w:left="2948"/>
    </w:pPr>
  </w:style>
  <w:style w:type="paragraph" w:styleId="Header">
    <w:name w:val="header"/>
    <w:basedOn w:val="Normal"/>
    <w:rsid w:val="00EF7551"/>
  </w:style>
  <w:style w:type="character" w:styleId="PageNumber">
    <w:name w:val="page number"/>
    <w:rsid w:val="009D367B"/>
    <w:rPr>
      <w:noProof w:val="0"/>
      <w:lang w:val="en-AU"/>
    </w:rPr>
  </w:style>
  <w:style w:type="paragraph" w:styleId="FootnoteText">
    <w:name w:val="footnote text"/>
    <w:basedOn w:val="Normal"/>
    <w:link w:val="FootnoteTextChar"/>
    <w:rsid w:val="00025528"/>
  </w:style>
  <w:style w:type="paragraph" w:customStyle="1" w:styleId="DocTitle">
    <w:name w:val="DocTitle"/>
    <w:basedOn w:val="Normal"/>
    <w:next w:val="Normal"/>
    <w:rsid w:val="00EF7551"/>
    <w:pPr>
      <w:tabs>
        <w:tab w:val="left" w:pos="2722"/>
      </w:tabs>
      <w:ind w:left="2722"/>
    </w:pPr>
    <w:rPr>
      <w:rFonts w:ascii="Arial Narrow" w:hAnsi="Arial Narrow"/>
      <w:b/>
      <w:sz w:val="34"/>
    </w:rPr>
  </w:style>
  <w:style w:type="paragraph" w:customStyle="1" w:styleId="SchedTitle">
    <w:name w:val="SchedTitle"/>
    <w:basedOn w:val="Normal"/>
    <w:next w:val="Normal"/>
    <w:rsid w:val="00EF7551"/>
    <w:pPr>
      <w:pBdr>
        <w:bottom w:val="single" w:sz="18" w:space="2" w:color="auto"/>
      </w:pBdr>
      <w:tabs>
        <w:tab w:val="left" w:pos="2722"/>
      </w:tabs>
      <w:spacing w:after="40"/>
      <w:ind w:left="2722" w:hanging="2722"/>
    </w:pPr>
    <w:rPr>
      <w:rFonts w:ascii="Arial Narrow" w:hAnsi="Arial Narrow"/>
      <w:b/>
      <w:sz w:val="32"/>
    </w:rPr>
  </w:style>
  <w:style w:type="paragraph" w:customStyle="1" w:styleId="SubHead">
    <w:name w:val="SubHead"/>
    <w:basedOn w:val="Normal"/>
    <w:next w:val="Heading2"/>
    <w:rsid w:val="00EF7551"/>
    <w:pPr>
      <w:keepNext/>
    </w:pPr>
    <w:rPr>
      <w:b/>
    </w:rPr>
  </w:style>
  <w:style w:type="paragraph" w:styleId="TOC1">
    <w:name w:val="toc 1"/>
    <w:basedOn w:val="Normal"/>
    <w:next w:val="Normal"/>
    <w:semiHidden/>
    <w:rsid w:val="00EF7551"/>
    <w:pPr>
      <w:tabs>
        <w:tab w:val="right" w:pos="9299"/>
      </w:tabs>
      <w:spacing w:before="120" w:after="120"/>
      <w:ind w:left="2949" w:hanging="227"/>
    </w:pPr>
    <w:rPr>
      <w:b/>
    </w:rPr>
  </w:style>
  <w:style w:type="paragraph" w:styleId="TOC2">
    <w:name w:val="toc 2"/>
    <w:basedOn w:val="Normal"/>
    <w:next w:val="Normal"/>
    <w:semiHidden/>
    <w:rsid w:val="00EF7551"/>
    <w:pPr>
      <w:ind w:left="3459"/>
    </w:pPr>
  </w:style>
  <w:style w:type="paragraph" w:styleId="TOC3">
    <w:name w:val="toc 3"/>
    <w:basedOn w:val="Normal"/>
    <w:next w:val="Normal"/>
    <w:semiHidden/>
    <w:rsid w:val="00EF7551"/>
    <w:pPr>
      <w:tabs>
        <w:tab w:val="right" w:pos="9299"/>
      </w:tabs>
      <w:spacing w:before="120" w:after="120"/>
      <w:ind w:left="2949" w:hanging="227"/>
    </w:pPr>
    <w:rPr>
      <w:b/>
    </w:rPr>
  </w:style>
  <w:style w:type="character" w:customStyle="1" w:styleId="FootnoteTextChar">
    <w:name w:val="Footnote Text Char"/>
    <w:link w:val="FootnoteText"/>
    <w:rsid w:val="00025528"/>
    <w:rPr>
      <w:rFonts w:ascii="Arial" w:hAnsi="Arial" w:cs="Arial"/>
      <w:lang w:eastAsia="en-US"/>
    </w:rPr>
  </w:style>
  <w:style w:type="numbering" w:styleId="111111">
    <w:name w:val="Outline List 2"/>
    <w:basedOn w:val="NoList"/>
    <w:rsid w:val="00025528"/>
    <w:pPr>
      <w:numPr>
        <w:numId w:val="16"/>
      </w:numPr>
    </w:pPr>
  </w:style>
  <w:style w:type="numbering" w:styleId="1ai">
    <w:name w:val="Outline List 1"/>
    <w:basedOn w:val="NoList"/>
    <w:rsid w:val="00025528"/>
    <w:pPr>
      <w:numPr>
        <w:numId w:val="17"/>
      </w:numPr>
    </w:pPr>
  </w:style>
  <w:style w:type="numbering" w:styleId="ArticleSection">
    <w:name w:val="Outline List 3"/>
    <w:basedOn w:val="NoList"/>
    <w:rsid w:val="00025528"/>
    <w:pPr>
      <w:numPr>
        <w:numId w:val="18"/>
      </w:numPr>
    </w:pPr>
  </w:style>
  <w:style w:type="paragraph" w:styleId="BalloonText">
    <w:name w:val="Balloon Text"/>
    <w:basedOn w:val="Normal"/>
    <w:link w:val="BalloonTextChar"/>
    <w:rsid w:val="00025528"/>
    <w:rPr>
      <w:rFonts w:ascii="Tahoma" w:hAnsi="Tahoma" w:cs="Tahoma"/>
      <w:sz w:val="16"/>
      <w:szCs w:val="16"/>
    </w:rPr>
  </w:style>
  <w:style w:type="character" w:customStyle="1" w:styleId="BalloonTextChar">
    <w:name w:val="Balloon Text Char"/>
    <w:link w:val="BalloonText"/>
    <w:rsid w:val="00025528"/>
    <w:rPr>
      <w:rFonts w:ascii="Tahoma" w:hAnsi="Tahoma" w:cs="Tahoma"/>
      <w:sz w:val="16"/>
      <w:szCs w:val="16"/>
      <w:lang w:eastAsia="en-US"/>
    </w:rPr>
  </w:style>
  <w:style w:type="paragraph" w:styleId="Bibliography">
    <w:name w:val="Bibliography"/>
    <w:basedOn w:val="Normal"/>
    <w:next w:val="Normal"/>
    <w:uiPriority w:val="37"/>
    <w:semiHidden/>
    <w:unhideWhenUsed/>
    <w:rsid w:val="00025528"/>
  </w:style>
  <w:style w:type="paragraph" w:styleId="BlockText">
    <w:name w:val="Block Text"/>
    <w:basedOn w:val="Normal"/>
    <w:rsid w:val="00025528"/>
    <w:pPr>
      <w:spacing w:after="120"/>
      <w:ind w:left="1440" w:right="1440"/>
    </w:pPr>
  </w:style>
  <w:style w:type="paragraph" w:styleId="BodyText2">
    <w:name w:val="Body Text 2"/>
    <w:basedOn w:val="Normal"/>
    <w:link w:val="BodyText2Char"/>
    <w:rsid w:val="00025528"/>
    <w:pPr>
      <w:spacing w:after="120" w:line="480" w:lineRule="auto"/>
    </w:pPr>
  </w:style>
  <w:style w:type="character" w:customStyle="1" w:styleId="BodyText2Char">
    <w:name w:val="Body Text 2 Char"/>
    <w:link w:val="BodyText2"/>
    <w:rsid w:val="00025528"/>
    <w:rPr>
      <w:rFonts w:ascii="Arial" w:hAnsi="Arial" w:cs="Arial"/>
      <w:lang w:eastAsia="en-US"/>
    </w:rPr>
  </w:style>
  <w:style w:type="paragraph" w:styleId="BodyText3">
    <w:name w:val="Body Text 3"/>
    <w:basedOn w:val="Normal"/>
    <w:link w:val="BodyText3Char"/>
    <w:rsid w:val="00025528"/>
    <w:pPr>
      <w:spacing w:after="120"/>
    </w:pPr>
    <w:rPr>
      <w:sz w:val="16"/>
      <w:szCs w:val="16"/>
    </w:rPr>
  </w:style>
  <w:style w:type="character" w:customStyle="1" w:styleId="BodyText3Char">
    <w:name w:val="Body Text 3 Char"/>
    <w:link w:val="BodyText3"/>
    <w:rsid w:val="00025528"/>
    <w:rPr>
      <w:rFonts w:ascii="Arial" w:hAnsi="Arial" w:cs="Arial"/>
      <w:sz w:val="16"/>
      <w:szCs w:val="16"/>
      <w:lang w:eastAsia="en-US"/>
    </w:rPr>
  </w:style>
  <w:style w:type="paragraph" w:styleId="BodyTextFirstIndent">
    <w:name w:val="Body Text First Indent"/>
    <w:basedOn w:val="BodyText"/>
    <w:link w:val="BodyTextFirstIndentChar"/>
    <w:rsid w:val="00025528"/>
    <w:pPr>
      <w:spacing w:after="120"/>
      <w:ind w:firstLine="210"/>
    </w:pPr>
  </w:style>
  <w:style w:type="character" w:customStyle="1" w:styleId="BodyTextChar">
    <w:name w:val="Body Text Char"/>
    <w:link w:val="BodyText"/>
    <w:rsid w:val="00025528"/>
    <w:rPr>
      <w:rFonts w:ascii="Arial" w:hAnsi="Arial" w:cs="Arial"/>
      <w:lang w:eastAsia="en-US"/>
    </w:rPr>
  </w:style>
  <w:style w:type="character" w:customStyle="1" w:styleId="BodyTextFirstIndentChar">
    <w:name w:val="Body Text First Indent Char"/>
    <w:basedOn w:val="BodyTextChar"/>
    <w:link w:val="BodyTextFirstIndent"/>
    <w:rsid w:val="00025528"/>
    <w:rPr>
      <w:rFonts w:ascii="Arial" w:hAnsi="Arial" w:cs="Arial"/>
      <w:lang w:eastAsia="en-US"/>
    </w:rPr>
  </w:style>
  <w:style w:type="paragraph" w:styleId="BodyTextIndent">
    <w:name w:val="Body Text Indent"/>
    <w:basedOn w:val="Normal"/>
    <w:link w:val="BodyTextIndentChar"/>
    <w:rsid w:val="00025528"/>
    <w:pPr>
      <w:spacing w:after="120"/>
      <w:ind w:left="283"/>
    </w:pPr>
  </w:style>
  <w:style w:type="character" w:customStyle="1" w:styleId="BodyTextIndentChar">
    <w:name w:val="Body Text Indent Char"/>
    <w:link w:val="BodyTextIndent"/>
    <w:rsid w:val="00025528"/>
    <w:rPr>
      <w:rFonts w:ascii="Arial" w:hAnsi="Arial" w:cs="Arial"/>
      <w:lang w:eastAsia="en-US"/>
    </w:rPr>
  </w:style>
  <w:style w:type="paragraph" w:styleId="BodyTextFirstIndent2">
    <w:name w:val="Body Text First Indent 2"/>
    <w:basedOn w:val="BodyTextIndent"/>
    <w:link w:val="BodyTextFirstIndent2Char"/>
    <w:rsid w:val="00025528"/>
    <w:pPr>
      <w:ind w:firstLine="210"/>
    </w:pPr>
  </w:style>
  <w:style w:type="character" w:customStyle="1" w:styleId="BodyTextFirstIndent2Char">
    <w:name w:val="Body Text First Indent 2 Char"/>
    <w:basedOn w:val="BodyTextIndentChar"/>
    <w:link w:val="BodyTextFirstIndent2"/>
    <w:rsid w:val="00025528"/>
    <w:rPr>
      <w:rFonts w:ascii="Arial" w:hAnsi="Arial" w:cs="Arial"/>
      <w:lang w:eastAsia="en-US"/>
    </w:rPr>
  </w:style>
  <w:style w:type="paragraph" w:styleId="BodyTextIndent2">
    <w:name w:val="Body Text Indent 2"/>
    <w:basedOn w:val="Normal"/>
    <w:link w:val="BodyTextIndent2Char"/>
    <w:rsid w:val="00025528"/>
    <w:pPr>
      <w:spacing w:after="120" w:line="480" w:lineRule="auto"/>
      <w:ind w:left="283"/>
    </w:pPr>
  </w:style>
  <w:style w:type="character" w:customStyle="1" w:styleId="BodyTextIndent2Char">
    <w:name w:val="Body Text Indent 2 Char"/>
    <w:link w:val="BodyTextIndent2"/>
    <w:rsid w:val="00025528"/>
    <w:rPr>
      <w:rFonts w:ascii="Arial" w:hAnsi="Arial" w:cs="Arial"/>
      <w:lang w:eastAsia="en-US"/>
    </w:rPr>
  </w:style>
  <w:style w:type="paragraph" w:styleId="BodyTextIndent3">
    <w:name w:val="Body Text Indent 3"/>
    <w:basedOn w:val="Normal"/>
    <w:link w:val="BodyTextIndent3Char"/>
    <w:rsid w:val="00025528"/>
    <w:pPr>
      <w:spacing w:after="120"/>
      <w:ind w:left="283"/>
    </w:pPr>
    <w:rPr>
      <w:sz w:val="16"/>
      <w:szCs w:val="16"/>
    </w:rPr>
  </w:style>
  <w:style w:type="character" w:customStyle="1" w:styleId="BodyTextIndent3Char">
    <w:name w:val="Body Text Indent 3 Char"/>
    <w:link w:val="BodyTextIndent3"/>
    <w:rsid w:val="00025528"/>
    <w:rPr>
      <w:rFonts w:ascii="Arial" w:hAnsi="Arial" w:cs="Arial"/>
      <w:sz w:val="16"/>
      <w:szCs w:val="16"/>
      <w:lang w:eastAsia="en-US"/>
    </w:rPr>
  </w:style>
  <w:style w:type="character" w:styleId="BookTitle">
    <w:name w:val="Book Title"/>
    <w:uiPriority w:val="33"/>
    <w:qFormat/>
    <w:rsid w:val="00025528"/>
    <w:rPr>
      <w:b/>
      <w:bCs/>
      <w:smallCaps/>
      <w:spacing w:val="5"/>
    </w:rPr>
  </w:style>
  <w:style w:type="paragraph" w:styleId="Caption">
    <w:name w:val="caption"/>
    <w:basedOn w:val="Normal"/>
    <w:next w:val="Normal"/>
    <w:semiHidden/>
    <w:unhideWhenUsed/>
    <w:qFormat/>
    <w:rsid w:val="00025528"/>
    <w:rPr>
      <w:b/>
      <w:bCs/>
    </w:rPr>
  </w:style>
  <w:style w:type="paragraph" w:styleId="Closing">
    <w:name w:val="Closing"/>
    <w:basedOn w:val="Normal"/>
    <w:link w:val="ClosingChar"/>
    <w:rsid w:val="00025528"/>
    <w:pPr>
      <w:ind w:left="4252"/>
    </w:pPr>
  </w:style>
  <w:style w:type="character" w:customStyle="1" w:styleId="ClosingChar">
    <w:name w:val="Closing Char"/>
    <w:link w:val="Closing"/>
    <w:rsid w:val="00025528"/>
    <w:rPr>
      <w:rFonts w:ascii="Arial" w:hAnsi="Arial" w:cs="Arial"/>
      <w:lang w:eastAsia="en-US"/>
    </w:rPr>
  </w:style>
  <w:style w:type="table" w:styleId="ColorfulGrid">
    <w:name w:val="Colorful Grid"/>
    <w:basedOn w:val="TableNormal"/>
    <w:uiPriority w:val="73"/>
    <w:rsid w:val="000255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0255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0255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0255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0255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0255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0255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0255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0255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0255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0255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0255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0255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0255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0255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0255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0255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0255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0255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0255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0255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character" w:styleId="CommentReference">
    <w:name w:val="annotation reference"/>
    <w:rsid w:val="00025528"/>
    <w:rPr>
      <w:sz w:val="16"/>
      <w:szCs w:val="16"/>
    </w:rPr>
  </w:style>
  <w:style w:type="paragraph" w:styleId="CommentText">
    <w:name w:val="annotation text"/>
    <w:basedOn w:val="Normal"/>
    <w:link w:val="CommentTextChar"/>
    <w:rsid w:val="00025528"/>
  </w:style>
  <w:style w:type="character" w:customStyle="1" w:styleId="CommentTextChar">
    <w:name w:val="Comment Text Char"/>
    <w:link w:val="CommentText"/>
    <w:rsid w:val="00025528"/>
    <w:rPr>
      <w:rFonts w:ascii="Arial" w:hAnsi="Arial" w:cs="Arial"/>
      <w:lang w:eastAsia="en-US"/>
    </w:rPr>
  </w:style>
  <w:style w:type="paragraph" w:styleId="CommentSubject">
    <w:name w:val="annotation subject"/>
    <w:basedOn w:val="CommentText"/>
    <w:next w:val="CommentText"/>
    <w:link w:val="CommentSubjectChar"/>
    <w:rsid w:val="00025528"/>
    <w:rPr>
      <w:b/>
      <w:bCs/>
    </w:rPr>
  </w:style>
  <w:style w:type="character" w:customStyle="1" w:styleId="CommentSubjectChar">
    <w:name w:val="Comment Subject Char"/>
    <w:link w:val="CommentSubject"/>
    <w:rsid w:val="00025528"/>
    <w:rPr>
      <w:rFonts w:ascii="Arial" w:hAnsi="Arial" w:cs="Arial"/>
      <w:b/>
      <w:bCs/>
      <w:lang w:eastAsia="en-US"/>
    </w:rPr>
  </w:style>
  <w:style w:type="table" w:styleId="DarkList">
    <w:name w:val="Dark List"/>
    <w:basedOn w:val="TableNormal"/>
    <w:uiPriority w:val="70"/>
    <w:rsid w:val="000255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0255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0255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0255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0255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0255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0255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Date">
    <w:name w:val="Date"/>
    <w:basedOn w:val="Normal"/>
    <w:next w:val="Normal"/>
    <w:link w:val="DateChar"/>
    <w:rsid w:val="00025528"/>
  </w:style>
  <w:style w:type="character" w:customStyle="1" w:styleId="DateChar">
    <w:name w:val="Date Char"/>
    <w:link w:val="Date"/>
    <w:rsid w:val="00025528"/>
    <w:rPr>
      <w:rFonts w:ascii="Arial" w:hAnsi="Arial" w:cs="Arial"/>
      <w:lang w:eastAsia="en-US"/>
    </w:rPr>
  </w:style>
  <w:style w:type="paragraph" w:styleId="DocumentMap">
    <w:name w:val="Document Map"/>
    <w:basedOn w:val="Normal"/>
    <w:link w:val="DocumentMapChar"/>
    <w:rsid w:val="00025528"/>
    <w:rPr>
      <w:rFonts w:ascii="Tahoma" w:hAnsi="Tahoma" w:cs="Tahoma"/>
      <w:sz w:val="16"/>
      <w:szCs w:val="16"/>
    </w:rPr>
  </w:style>
  <w:style w:type="character" w:customStyle="1" w:styleId="DocumentMapChar">
    <w:name w:val="Document Map Char"/>
    <w:link w:val="DocumentMap"/>
    <w:rsid w:val="00025528"/>
    <w:rPr>
      <w:rFonts w:ascii="Tahoma" w:hAnsi="Tahoma" w:cs="Tahoma"/>
      <w:sz w:val="16"/>
      <w:szCs w:val="16"/>
      <w:lang w:eastAsia="en-US"/>
    </w:rPr>
  </w:style>
  <w:style w:type="paragraph" w:styleId="E-mailSignature">
    <w:name w:val="E-mail Signature"/>
    <w:basedOn w:val="Normal"/>
    <w:link w:val="E-mailSignatureChar"/>
    <w:rsid w:val="00025528"/>
  </w:style>
  <w:style w:type="character" w:customStyle="1" w:styleId="E-mailSignatureChar">
    <w:name w:val="E-mail Signature Char"/>
    <w:link w:val="E-mailSignature"/>
    <w:rsid w:val="00025528"/>
    <w:rPr>
      <w:rFonts w:ascii="Arial" w:hAnsi="Arial" w:cs="Arial"/>
      <w:lang w:eastAsia="en-US"/>
    </w:rPr>
  </w:style>
  <w:style w:type="character" w:styleId="Emphasis">
    <w:name w:val="Emphasis"/>
    <w:uiPriority w:val="20"/>
    <w:qFormat/>
    <w:rsid w:val="00025528"/>
    <w:rPr>
      <w:i/>
      <w:iCs/>
    </w:rPr>
  </w:style>
  <w:style w:type="character" w:styleId="EndnoteReference">
    <w:name w:val="endnote reference"/>
    <w:rsid w:val="00025528"/>
    <w:rPr>
      <w:vertAlign w:val="superscript"/>
    </w:rPr>
  </w:style>
  <w:style w:type="paragraph" w:styleId="EndnoteText">
    <w:name w:val="endnote text"/>
    <w:basedOn w:val="Normal"/>
    <w:link w:val="EndnoteTextChar"/>
    <w:rsid w:val="00025528"/>
  </w:style>
  <w:style w:type="character" w:customStyle="1" w:styleId="EndnoteTextChar">
    <w:name w:val="Endnote Text Char"/>
    <w:link w:val="EndnoteText"/>
    <w:rsid w:val="00025528"/>
    <w:rPr>
      <w:rFonts w:ascii="Arial" w:hAnsi="Arial" w:cs="Arial"/>
      <w:lang w:eastAsia="en-US"/>
    </w:rPr>
  </w:style>
  <w:style w:type="paragraph" w:styleId="EnvelopeAddress">
    <w:name w:val="envelope address"/>
    <w:basedOn w:val="Normal"/>
    <w:rsid w:val="00025528"/>
    <w:pPr>
      <w:framePr w:w="7920" w:h="1980" w:hRule="exact" w:hSpace="180" w:wrap="auto" w:hAnchor="page" w:xAlign="center" w:yAlign="bottom"/>
      <w:ind w:left="2880"/>
    </w:pPr>
    <w:rPr>
      <w:rFonts w:ascii="Cambria" w:eastAsia="SimSun" w:hAnsi="Cambria" w:cs="Times New Roman"/>
      <w:sz w:val="24"/>
      <w:szCs w:val="24"/>
    </w:rPr>
  </w:style>
  <w:style w:type="paragraph" w:styleId="EnvelopeReturn">
    <w:name w:val="envelope return"/>
    <w:basedOn w:val="Normal"/>
    <w:rsid w:val="00025528"/>
    <w:rPr>
      <w:rFonts w:ascii="Cambria" w:eastAsia="SimSun" w:hAnsi="Cambria" w:cs="Times New Roman"/>
    </w:rPr>
  </w:style>
  <w:style w:type="character" w:styleId="FollowedHyperlink">
    <w:name w:val="FollowedHyperlink"/>
    <w:rsid w:val="00025528"/>
    <w:rPr>
      <w:color w:val="800080"/>
      <w:u w:val="single"/>
    </w:rPr>
  </w:style>
  <w:style w:type="character" w:styleId="FootnoteReference">
    <w:name w:val="footnote reference"/>
    <w:rsid w:val="00025528"/>
    <w:rPr>
      <w:vertAlign w:val="superscript"/>
    </w:rPr>
  </w:style>
  <w:style w:type="character" w:styleId="HTMLAcronym">
    <w:name w:val="HTML Acronym"/>
    <w:rsid w:val="00025528"/>
  </w:style>
  <w:style w:type="paragraph" w:styleId="HTMLAddress">
    <w:name w:val="HTML Address"/>
    <w:basedOn w:val="Normal"/>
    <w:link w:val="HTMLAddressChar"/>
    <w:rsid w:val="00025528"/>
    <w:rPr>
      <w:i/>
      <w:iCs/>
    </w:rPr>
  </w:style>
  <w:style w:type="character" w:customStyle="1" w:styleId="HTMLAddressChar">
    <w:name w:val="HTML Address Char"/>
    <w:link w:val="HTMLAddress"/>
    <w:rsid w:val="00025528"/>
    <w:rPr>
      <w:rFonts w:ascii="Arial" w:hAnsi="Arial" w:cs="Arial"/>
      <w:i/>
      <w:iCs/>
      <w:lang w:eastAsia="en-US"/>
    </w:rPr>
  </w:style>
  <w:style w:type="character" w:styleId="HTMLCite">
    <w:name w:val="HTML Cite"/>
    <w:rsid w:val="00025528"/>
    <w:rPr>
      <w:i/>
      <w:iCs/>
    </w:rPr>
  </w:style>
  <w:style w:type="character" w:styleId="HTMLCode">
    <w:name w:val="HTML Code"/>
    <w:rsid w:val="00025528"/>
    <w:rPr>
      <w:rFonts w:ascii="Courier New" w:hAnsi="Courier New" w:cs="Courier New"/>
      <w:sz w:val="20"/>
      <w:szCs w:val="20"/>
    </w:rPr>
  </w:style>
  <w:style w:type="character" w:styleId="HTMLDefinition">
    <w:name w:val="HTML Definition"/>
    <w:rsid w:val="00025528"/>
    <w:rPr>
      <w:i/>
      <w:iCs/>
    </w:rPr>
  </w:style>
  <w:style w:type="character" w:styleId="HTMLKeyboard">
    <w:name w:val="HTML Keyboard"/>
    <w:rsid w:val="00025528"/>
    <w:rPr>
      <w:rFonts w:ascii="Courier New" w:hAnsi="Courier New" w:cs="Courier New"/>
      <w:sz w:val="20"/>
      <w:szCs w:val="20"/>
    </w:rPr>
  </w:style>
  <w:style w:type="paragraph" w:styleId="HTMLPreformatted">
    <w:name w:val="HTML Preformatted"/>
    <w:basedOn w:val="Normal"/>
    <w:link w:val="HTMLPreformattedChar"/>
    <w:rsid w:val="00025528"/>
    <w:rPr>
      <w:rFonts w:ascii="Courier New" w:hAnsi="Courier New" w:cs="Courier New"/>
    </w:rPr>
  </w:style>
  <w:style w:type="character" w:customStyle="1" w:styleId="HTMLPreformattedChar">
    <w:name w:val="HTML Preformatted Char"/>
    <w:link w:val="HTMLPreformatted"/>
    <w:rsid w:val="00025528"/>
    <w:rPr>
      <w:rFonts w:ascii="Courier New" w:hAnsi="Courier New" w:cs="Courier New"/>
      <w:lang w:eastAsia="en-US"/>
    </w:rPr>
  </w:style>
  <w:style w:type="character" w:styleId="HTMLSample">
    <w:name w:val="HTML Sample"/>
    <w:rsid w:val="00025528"/>
    <w:rPr>
      <w:rFonts w:ascii="Courier New" w:hAnsi="Courier New" w:cs="Courier New"/>
    </w:rPr>
  </w:style>
  <w:style w:type="character" w:styleId="HTMLTypewriter">
    <w:name w:val="HTML Typewriter"/>
    <w:rsid w:val="00025528"/>
    <w:rPr>
      <w:rFonts w:ascii="Courier New" w:hAnsi="Courier New" w:cs="Courier New"/>
      <w:sz w:val="20"/>
      <w:szCs w:val="20"/>
    </w:rPr>
  </w:style>
  <w:style w:type="character" w:styleId="HTMLVariable">
    <w:name w:val="HTML Variable"/>
    <w:rsid w:val="00025528"/>
    <w:rPr>
      <w:i/>
      <w:iCs/>
    </w:rPr>
  </w:style>
  <w:style w:type="character" w:styleId="Hyperlink">
    <w:name w:val="Hyperlink"/>
    <w:uiPriority w:val="99"/>
    <w:rsid w:val="00025528"/>
    <w:rPr>
      <w:color w:val="0000FF"/>
      <w:u w:val="single"/>
    </w:rPr>
  </w:style>
  <w:style w:type="paragraph" w:styleId="Index1">
    <w:name w:val="index 1"/>
    <w:basedOn w:val="Normal"/>
    <w:next w:val="Normal"/>
    <w:autoRedefine/>
    <w:rsid w:val="00025528"/>
    <w:pPr>
      <w:ind w:left="200" w:hanging="200"/>
    </w:pPr>
  </w:style>
  <w:style w:type="paragraph" w:styleId="Index2">
    <w:name w:val="index 2"/>
    <w:basedOn w:val="Normal"/>
    <w:next w:val="Normal"/>
    <w:autoRedefine/>
    <w:rsid w:val="00025528"/>
    <w:pPr>
      <w:ind w:left="400" w:hanging="200"/>
    </w:pPr>
  </w:style>
  <w:style w:type="paragraph" w:styleId="Index3">
    <w:name w:val="index 3"/>
    <w:basedOn w:val="Normal"/>
    <w:next w:val="Normal"/>
    <w:autoRedefine/>
    <w:rsid w:val="00025528"/>
    <w:pPr>
      <w:ind w:left="600" w:hanging="200"/>
    </w:pPr>
  </w:style>
  <w:style w:type="paragraph" w:styleId="Index4">
    <w:name w:val="index 4"/>
    <w:basedOn w:val="Normal"/>
    <w:next w:val="Normal"/>
    <w:autoRedefine/>
    <w:rsid w:val="00025528"/>
    <w:pPr>
      <w:ind w:left="800" w:hanging="200"/>
    </w:pPr>
  </w:style>
  <w:style w:type="paragraph" w:styleId="Index5">
    <w:name w:val="index 5"/>
    <w:basedOn w:val="Normal"/>
    <w:next w:val="Normal"/>
    <w:autoRedefine/>
    <w:rsid w:val="00025528"/>
    <w:pPr>
      <w:ind w:left="1000" w:hanging="200"/>
    </w:pPr>
  </w:style>
  <w:style w:type="paragraph" w:styleId="Index6">
    <w:name w:val="index 6"/>
    <w:basedOn w:val="Normal"/>
    <w:next w:val="Normal"/>
    <w:autoRedefine/>
    <w:rsid w:val="00025528"/>
    <w:pPr>
      <w:ind w:left="1200" w:hanging="200"/>
    </w:pPr>
  </w:style>
  <w:style w:type="paragraph" w:styleId="Index7">
    <w:name w:val="index 7"/>
    <w:basedOn w:val="Normal"/>
    <w:next w:val="Normal"/>
    <w:autoRedefine/>
    <w:rsid w:val="00025528"/>
    <w:pPr>
      <w:ind w:left="1400" w:hanging="200"/>
    </w:pPr>
  </w:style>
  <w:style w:type="paragraph" w:styleId="Index8">
    <w:name w:val="index 8"/>
    <w:basedOn w:val="Normal"/>
    <w:next w:val="Normal"/>
    <w:autoRedefine/>
    <w:rsid w:val="00025528"/>
    <w:pPr>
      <w:ind w:left="1600" w:hanging="200"/>
    </w:pPr>
  </w:style>
  <w:style w:type="paragraph" w:styleId="Index9">
    <w:name w:val="index 9"/>
    <w:basedOn w:val="Normal"/>
    <w:next w:val="Normal"/>
    <w:autoRedefine/>
    <w:rsid w:val="00025528"/>
    <w:pPr>
      <w:ind w:left="1800" w:hanging="200"/>
    </w:pPr>
  </w:style>
  <w:style w:type="paragraph" w:styleId="IndexHeading">
    <w:name w:val="index heading"/>
    <w:basedOn w:val="Normal"/>
    <w:next w:val="Index1"/>
    <w:rsid w:val="00025528"/>
    <w:rPr>
      <w:rFonts w:ascii="Cambria" w:eastAsia="SimSun" w:hAnsi="Cambria" w:cs="Times New Roman"/>
      <w:b/>
      <w:bCs/>
    </w:rPr>
  </w:style>
  <w:style w:type="character" w:styleId="IntenseEmphasis">
    <w:name w:val="Intense Emphasis"/>
    <w:uiPriority w:val="21"/>
    <w:qFormat/>
    <w:rsid w:val="00025528"/>
    <w:rPr>
      <w:b/>
      <w:bCs/>
      <w:i/>
      <w:iCs/>
      <w:color w:val="4F81BD"/>
    </w:rPr>
  </w:style>
  <w:style w:type="paragraph" w:styleId="IntenseQuote">
    <w:name w:val="Intense Quote"/>
    <w:basedOn w:val="Normal"/>
    <w:next w:val="Normal"/>
    <w:link w:val="IntenseQuoteChar"/>
    <w:uiPriority w:val="30"/>
    <w:qFormat/>
    <w:rsid w:val="000255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025528"/>
    <w:rPr>
      <w:rFonts w:ascii="Arial" w:hAnsi="Arial" w:cs="Arial"/>
      <w:b/>
      <w:bCs/>
      <w:i/>
      <w:iCs/>
      <w:color w:val="4F81BD"/>
      <w:lang w:eastAsia="en-US"/>
    </w:rPr>
  </w:style>
  <w:style w:type="character" w:styleId="IntenseReference">
    <w:name w:val="Intense Reference"/>
    <w:uiPriority w:val="32"/>
    <w:qFormat/>
    <w:rsid w:val="00025528"/>
    <w:rPr>
      <w:b/>
      <w:bCs/>
      <w:smallCaps/>
      <w:color w:val="C0504D"/>
      <w:spacing w:val="5"/>
      <w:u w:val="single"/>
    </w:rPr>
  </w:style>
  <w:style w:type="table" w:styleId="LightGrid">
    <w:name w:val="Light Grid"/>
    <w:basedOn w:val="TableNormal"/>
    <w:uiPriority w:val="62"/>
    <w:rsid w:val="000255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SimSu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SimSu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0255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SimSu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SimSu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0255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SimSu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SimSu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0255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SimSu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SimSu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0255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SimSu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SimSu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0255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SimSu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SimSu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0255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SimSu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SimSu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0255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0255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0255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0255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0255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0255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0255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0255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0255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0255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0255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0255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0255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0255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character" w:styleId="LineNumber">
    <w:name w:val="line number"/>
    <w:rsid w:val="00025528"/>
  </w:style>
  <w:style w:type="paragraph" w:styleId="List">
    <w:name w:val="List"/>
    <w:basedOn w:val="Normal"/>
    <w:rsid w:val="00025528"/>
    <w:pPr>
      <w:ind w:left="283" w:hanging="283"/>
      <w:contextualSpacing/>
    </w:pPr>
  </w:style>
  <w:style w:type="paragraph" w:styleId="List2">
    <w:name w:val="List 2"/>
    <w:basedOn w:val="Normal"/>
    <w:rsid w:val="00025528"/>
    <w:pPr>
      <w:ind w:left="566" w:hanging="283"/>
      <w:contextualSpacing/>
    </w:pPr>
  </w:style>
  <w:style w:type="paragraph" w:styleId="List3">
    <w:name w:val="List 3"/>
    <w:basedOn w:val="Normal"/>
    <w:rsid w:val="00025528"/>
    <w:pPr>
      <w:ind w:left="849" w:hanging="283"/>
      <w:contextualSpacing/>
    </w:pPr>
  </w:style>
  <w:style w:type="paragraph" w:styleId="List4">
    <w:name w:val="List 4"/>
    <w:basedOn w:val="Normal"/>
    <w:rsid w:val="00025528"/>
    <w:pPr>
      <w:ind w:left="1132" w:hanging="283"/>
      <w:contextualSpacing/>
    </w:pPr>
  </w:style>
  <w:style w:type="paragraph" w:styleId="List5">
    <w:name w:val="List 5"/>
    <w:basedOn w:val="Normal"/>
    <w:rsid w:val="00025528"/>
    <w:pPr>
      <w:ind w:left="1415" w:hanging="283"/>
      <w:contextualSpacing/>
    </w:pPr>
  </w:style>
  <w:style w:type="paragraph" w:styleId="ListBullet">
    <w:name w:val="List Bullet"/>
    <w:basedOn w:val="Normal"/>
    <w:rsid w:val="00025528"/>
    <w:pPr>
      <w:numPr>
        <w:numId w:val="19"/>
      </w:numPr>
      <w:contextualSpacing/>
    </w:pPr>
  </w:style>
  <w:style w:type="paragraph" w:styleId="ListBullet2">
    <w:name w:val="List Bullet 2"/>
    <w:basedOn w:val="Normal"/>
    <w:rsid w:val="00025528"/>
    <w:pPr>
      <w:numPr>
        <w:numId w:val="20"/>
      </w:numPr>
      <w:contextualSpacing/>
    </w:pPr>
  </w:style>
  <w:style w:type="paragraph" w:styleId="ListBullet3">
    <w:name w:val="List Bullet 3"/>
    <w:basedOn w:val="Normal"/>
    <w:rsid w:val="00025528"/>
    <w:pPr>
      <w:numPr>
        <w:numId w:val="21"/>
      </w:numPr>
      <w:contextualSpacing/>
    </w:pPr>
  </w:style>
  <w:style w:type="paragraph" w:styleId="ListBullet4">
    <w:name w:val="List Bullet 4"/>
    <w:basedOn w:val="Normal"/>
    <w:rsid w:val="00025528"/>
    <w:pPr>
      <w:numPr>
        <w:numId w:val="22"/>
      </w:numPr>
      <w:contextualSpacing/>
    </w:pPr>
  </w:style>
  <w:style w:type="paragraph" w:styleId="ListBullet5">
    <w:name w:val="List Bullet 5"/>
    <w:basedOn w:val="Normal"/>
    <w:rsid w:val="00025528"/>
    <w:pPr>
      <w:numPr>
        <w:numId w:val="23"/>
      </w:numPr>
      <w:contextualSpacing/>
    </w:pPr>
  </w:style>
  <w:style w:type="paragraph" w:styleId="ListContinue">
    <w:name w:val="List Continue"/>
    <w:basedOn w:val="Normal"/>
    <w:rsid w:val="00025528"/>
    <w:pPr>
      <w:spacing w:after="120"/>
      <w:ind w:left="283"/>
      <w:contextualSpacing/>
    </w:pPr>
  </w:style>
  <w:style w:type="paragraph" w:styleId="ListContinue2">
    <w:name w:val="List Continue 2"/>
    <w:basedOn w:val="Normal"/>
    <w:rsid w:val="00025528"/>
    <w:pPr>
      <w:spacing w:after="120"/>
      <w:ind w:left="566"/>
      <w:contextualSpacing/>
    </w:pPr>
  </w:style>
  <w:style w:type="paragraph" w:styleId="ListContinue3">
    <w:name w:val="List Continue 3"/>
    <w:basedOn w:val="Normal"/>
    <w:rsid w:val="00025528"/>
    <w:pPr>
      <w:spacing w:after="120"/>
      <w:ind w:left="849"/>
      <w:contextualSpacing/>
    </w:pPr>
  </w:style>
  <w:style w:type="paragraph" w:styleId="ListContinue4">
    <w:name w:val="List Continue 4"/>
    <w:basedOn w:val="Normal"/>
    <w:rsid w:val="00025528"/>
    <w:pPr>
      <w:spacing w:after="120"/>
      <w:ind w:left="1132"/>
      <w:contextualSpacing/>
    </w:pPr>
  </w:style>
  <w:style w:type="paragraph" w:styleId="ListContinue5">
    <w:name w:val="List Continue 5"/>
    <w:basedOn w:val="Normal"/>
    <w:rsid w:val="00025528"/>
    <w:pPr>
      <w:spacing w:after="120"/>
      <w:ind w:left="1415"/>
      <w:contextualSpacing/>
    </w:pPr>
  </w:style>
  <w:style w:type="paragraph" w:styleId="ListNumber">
    <w:name w:val="List Number"/>
    <w:basedOn w:val="Normal"/>
    <w:rsid w:val="00025528"/>
    <w:pPr>
      <w:numPr>
        <w:numId w:val="24"/>
      </w:numPr>
      <w:contextualSpacing/>
    </w:pPr>
  </w:style>
  <w:style w:type="paragraph" w:styleId="ListNumber2">
    <w:name w:val="List Number 2"/>
    <w:basedOn w:val="Normal"/>
    <w:rsid w:val="00025528"/>
    <w:pPr>
      <w:numPr>
        <w:numId w:val="25"/>
      </w:numPr>
      <w:contextualSpacing/>
    </w:pPr>
  </w:style>
  <w:style w:type="paragraph" w:styleId="ListNumber3">
    <w:name w:val="List Number 3"/>
    <w:basedOn w:val="Normal"/>
    <w:rsid w:val="00025528"/>
    <w:pPr>
      <w:numPr>
        <w:numId w:val="26"/>
      </w:numPr>
      <w:contextualSpacing/>
    </w:pPr>
  </w:style>
  <w:style w:type="paragraph" w:styleId="ListNumber4">
    <w:name w:val="List Number 4"/>
    <w:basedOn w:val="Normal"/>
    <w:rsid w:val="00025528"/>
    <w:pPr>
      <w:numPr>
        <w:numId w:val="27"/>
      </w:numPr>
      <w:contextualSpacing/>
    </w:pPr>
  </w:style>
  <w:style w:type="paragraph" w:styleId="ListNumber5">
    <w:name w:val="List Number 5"/>
    <w:basedOn w:val="Normal"/>
    <w:rsid w:val="00025528"/>
    <w:pPr>
      <w:numPr>
        <w:numId w:val="28"/>
      </w:numPr>
      <w:contextualSpacing/>
    </w:pPr>
  </w:style>
  <w:style w:type="paragraph" w:styleId="ListParagraph">
    <w:name w:val="List Paragraph"/>
    <w:basedOn w:val="Normal"/>
    <w:uiPriority w:val="34"/>
    <w:qFormat/>
    <w:rsid w:val="00025528"/>
    <w:pPr>
      <w:ind w:left="720"/>
    </w:pPr>
  </w:style>
  <w:style w:type="paragraph" w:styleId="MacroText">
    <w:name w:val="macro"/>
    <w:link w:val="MacroTextChar"/>
    <w:rsid w:val="00025528"/>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link w:val="MacroText"/>
    <w:rsid w:val="00025528"/>
    <w:rPr>
      <w:rFonts w:ascii="Courier New" w:hAnsi="Courier New" w:cs="Courier New"/>
      <w:lang w:eastAsia="en-US"/>
    </w:rPr>
  </w:style>
  <w:style w:type="table" w:styleId="MediumGrid1">
    <w:name w:val="Medium Grid 1"/>
    <w:basedOn w:val="TableNormal"/>
    <w:uiPriority w:val="67"/>
    <w:rsid w:val="000255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0255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0255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0255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0255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0255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0255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025528"/>
    <w:rPr>
      <w:rFonts w:ascii="Cambria" w:eastAsia="SimSu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025528"/>
    <w:rPr>
      <w:rFonts w:ascii="Cambria" w:eastAsia="SimSu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025528"/>
    <w:rPr>
      <w:rFonts w:ascii="Cambria" w:eastAsia="SimSu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025528"/>
    <w:rPr>
      <w:rFonts w:ascii="Cambria" w:eastAsia="SimSu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025528"/>
    <w:rPr>
      <w:rFonts w:ascii="Cambria" w:eastAsia="SimSu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025528"/>
    <w:rPr>
      <w:rFonts w:ascii="Cambria" w:eastAsia="SimSu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025528"/>
    <w:rPr>
      <w:rFonts w:ascii="Cambria" w:eastAsia="SimSu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0255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0255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0255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0255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0255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0255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0255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025528"/>
    <w:rPr>
      <w:color w:val="000000"/>
    </w:rPr>
    <w:tblPr>
      <w:tblStyleRowBandSize w:val="1"/>
      <w:tblStyleColBandSize w:val="1"/>
      <w:tblBorders>
        <w:top w:val="single" w:sz="8" w:space="0" w:color="000000"/>
        <w:bottom w:val="single" w:sz="8" w:space="0" w:color="000000"/>
      </w:tblBorders>
    </w:tblPr>
    <w:tblStylePr w:type="firstRow">
      <w:rPr>
        <w:rFonts w:ascii="Cambria" w:eastAsia="SimSu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025528"/>
    <w:rPr>
      <w:color w:val="000000"/>
    </w:rPr>
    <w:tblPr>
      <w:tblStyleRowBandSize w:val="1"/>
      <w:tblStyleColBandSize w:val="1"/>
      <w:tblBorders>
        <w:top w:val="single" w:sz="8" w:space="0" w:color="4F81BD"/>
        <w:bottom w:val="single" w:sz="8" w:space="0" w:color="4F81BD"/>
      </w:tblBorders>
    </w:tblPr>
    <w:tblStylePr w:type="firstRow">
      <w:rPr>
        <w:rFonts w:ascii="Cambria" w:eastAsia="SimSu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025528"/>
    <w:rPr>
      <w:color w:val="000000"/>
    </w:rPr>
    <w:tblPr>
      <w:tblStyleRowBandSize w:val="1"/>
      <w:tblStyleColBandSize w:val="1"/>
      <w:tblBorders>
        <w:top w:val="single" w:sz="8" w:space="0" w:color="C0504D"/>
        <w:bottom w:val="single" w:sz="8" w:space="0" w:color="C0504D"/>
      </w:tblBorders>
    </w:tblPr>
    <w:tblStylePr w:type="firstRow">
      <w:rPr>
        <w:rFonts w:ascii="Cambria" w:eastAsia="SimSu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025528"/>
    <w:rPr>
      <w:color w:val="000000"/>
    </w:rPr>
    <w:tblPr>
      <w:tblStyleRowBandSize w:val="1"/>
      <w:tblStyleColBandSize w:val="1"/>
      <w:tblBorders>
        <w:top w:val="single" w:sz="8" w:space="0" w:color="9BBB59"/>
        <w:bottom w:val="single" w:sz="8" w:space="0" w:color="9BBB59"/>
      </w:tblBorders>
    </w:tblPr>
    <w:tblStylePr w:type="firstRow">
      <w:rPr>
        <w:rFonts w:ascii="Cambria" w:eastAsia="SimSu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025528"/>
    <w:rPr>
      <w:color w:val="000000"/>
    </w:rPr>
    <w:tblPr>
      <w:tblStyleRowBandSize w:val="1"/>
      <w:tblStyleColBandSize w:val="1"/>
      <w:tblBorders>
        <w:top w:val="single" w:sz="8" w:space="0" w:color="8064A2"/>
        <w:bottom w:val="single" w:sz="8" w:space="0" w:color="8064A2"/>
      </w:tblBorders>
    </w:tblPr>
    <w:tblStylePr w:type="firstRow">
      <w:rPr>
        <w:rFonts w:ascii="Cambria" w:eastAsia="SimSu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025528"/>
    <w:rPr>
      <w:color w:val="000000"/>
    </w:rPr>
    <w:tblPr>
      <w:tblStyleRowBandSize w:val="1"/>
      <w:tblStyleColBandSize w:val="1"/>
      <w:tblBorders>
        <w:top w:val="single" w:sz="8" w:space="0" w:color="4BACC6"/>
        <w:bottom w:val="single" w:sz="8" w:space="0" w:color="4BACC6"/>
      </w:tblBorders>
    </w:tblPr>
    <w:tblStylePr w:type="firstRow">
      <w:rPr>
        <w:rFonts w:ascii="Cambria" w:eastAsia="SimSu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025528"/>
    <w:rPr>
      <w:color w:val="000000"/>
    </w:rPr>
    <w:tblPr>
      <w:tblStyleRowBandSize w:val="1"/>
      <w:tblStyleColBandSize w:val="1"/>
      <w:tblBorders>
        <w:top w:val="single" w:sz="8" w:space="0" w:color="F79646"/>
        <w:bottom w:val="single" w:sz="8" w:space="0" w:color="F79646"/>
      </w:tblBorders>
    </w:tblPr>
    <w:tblStylePr w:type="firstRow">
      <w:rPr>
        <w:rFonts w:ascii="Cambria" w:eastAsia="SimSu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025528"/>
    <w:rPr>
      <w:rFonts w:ascii="Cambria" w:eastAsia="SimSu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025528"/>
    <w:rPr>
      <w:rFonts w:ascii="Cambria" w:eastAsia="SimSu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025528"/>
    <w:rPr>
      <w:rFonts w:ascii="Cambria" w:eastAsia="SimSu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025528"/>
    <w:rPr>
      <w:rFonts w:ascii="Cambria" w:eastAsia="SimSu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025528"/>
    <w:rPr>
      <w:rFonts w:ascii="Cambria" w:eastAsia="SimSu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025528"/>
    <w:rPr>
      <w:rFonts w:ascii="Cambria" w:eastAsia="SimSu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025528"/>
    <w:rPr>
      <w:rFonts w:ascii="Cambria" w:eastAsia="SimSu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0255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0255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0255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0255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0255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0255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0255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0255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0255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0255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0255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0255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0255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0255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rsid w:val="000255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SimSun" w:hAnsi="Cambria" w:cs="Times New Roman"/>
      <w:sz w:val="24"/>
      <w:szCs w:val="24"/>
    </w:rPr>
  </w:style>
  <w:style w:type="character" w:customStyle="1" w:styleId="MessageHeaderChar">
    <w:name w:val="Message Header Char"/>
    <w:link w:val="MessageHeader"/>
    <w:rsid w:val="00025528"/>
    <w:rPr>
      <w:rFonts w:ascii="Cambria" w:eastAsia="SimSun" w:hAnsi="Cambria" w:cs="Times New Roman"/>
      <w:sz w:val="24"/>
      <w:szCs w:val="24"/>
      <w:shd w:val="pct20" w:color="auto" w:fill="auto"/>
      <w:lang w:eastAsia="en-US"/>
    </w:rPr>
  </w:style>
  <w:style w:type="paragraph" w:styleId="NoSpacing">
    <w:name w:val="No Spacing"/>
    <w:uiPriority w:val="1"/>
    <w:qFormat/>
    <w:rsid w:val="00025528"/>
    <w:rPr>
      <w:rFonts w:ascii="Arial" w:hAnsi="Arial" w:cs="Arial"/>
      <w:lang w:eastAsia="en-US"/>
    </w:rPr>
  </w:style>
  <w:style w:type="paragraph" w:styleId="NormalWeb">
    <w:name w:val="Normal (Web)"/>
    <w:basedOn w:val="Normal"/>
    <w:rsid w:val="00025528"/>
    <w:rPr>
      <w:sz w:val="24"/>
      <w:szCs w:val="24"/>
    </w:rPr>
  </w:style>
  <w:style w:type="paragraph" w:styleId="NormalIndent">
    <w:name w:val="Normal Indent"/>
    <w:basedOn w:val="Normal"/>
    <w:rsid w:val="00025528"/>
    <w:pPr>
      <w:ind w:left="720"/>
    </w:pPr>
  </w:style>
  <w:style w:type="paragraph" w:styleId="NoteHeading">
    <w:name w:val="Note Heading"/>
    <w:basedOn w:val="Normal"/>
    <w:next w:val="Normal"/>
    <w:link w:val="NoteHeadingChar"/>
    <w:rsid w:val="00025528"/>
  </w:style>
  <w:style w:type="character" w:customStyle="1" w:styleId="NoteHeadingChar">
    <w:name w:val="Note Heading Char"/>
    <w:link w:val="NoteHeading"/>
    <w:rsid w:val="00025528"/>
    <w:rPr>
      <w:rFonts w:ascii="Arial" w:hAnsi="Arial" w:cs="Arial"/>
      <w:lang w:eastAsia="en-US"/>
    </w:rPr>
  </w:style>
  <w:style w:type="character" w:styleId="PlaceholderText">
    <w:name w:val="Placeholder Text"/>
    <w:uiPriority w:val="99"/>
    <w:semiHidden/>
    <w:rsid w:val="00025528"/>
    <w:rPr>
      <w:color w:val="808080"/>
    </w:rPr>
  </w:style>
  <w:style w:type="paragraph" w:styleId="PlainText">
    <w:name w:val="Plain Text"/>
    <w:basedOn w:val="Normal"/>
    <w:link w:val="PlainTextChar"/>
    <w:rsid w:val="00025528"/>
    <w:rPr>
      <w:rFonts w:ascii="Courier New" w:hAnsi="Courier New" w:cs="Courier New"/>
    </w:rPr>
  </w:style>
  <w:style w:type="character" w:customStyle="1" w:styleId="PlainTextChar">
    <w:name w:val="Plain Text Char"/>
    <w:link w:val="PlainText"/>
    <w:rsid w:val="00025528"/>
    <w:rPr>
      <w:rFonts w:ascii="Courier New" w:hAnsi="Courier New" w:cs="Courier New"/>
      <w:lang w:eastAsia="en-US"/>
    </w:rPr>
  </w:style>
  <w:style w:type="paragraph" w:styleId="Quote">
    <w:name w:val="Quote"/>
    <w:basedOn w:val="Normal"/>
    <w:next w:val="Normal"/>
    <w:link w:val="QuoteChar"/>
    <w:uiPriority w:val="29"/>
    <w:qFormat/>
    <w:rsid w:val="00025528"/>
    <w:rPr>
      <w:i/>
      <w:iCs/>
      <w:color w:val="000000"/>
    </w:rPr>
  </w:style>
  <w:style w:type="character" w:customStyle="1" w:styleId="QuoteChar">
    <w:name w:val="Quote Char"/>
    <w:link w:val="Quote"/>
    <w:uiPriority w:val="29"/>
    <w:rsid w:val="00025528"/>
    <w:rPr>
      <w:rFonts w:ascii="Arial" w:hAnsi="Arial" w:cs="Arial"/>
      <w:i/>
      <w:iCs/>
      <w:color w:val="000000"/>
      <w:lang w:eastAsia="en-US"/>
    </w:rPr>
  </w:style>
  <w:style w:type="paragraph" w:styleId="Salutation">
    <w:name w:val="Salutation"/>
    <w:basedOn w:val="Normal"/>
    <w:next w:val="Normal"/>
    <w:link w:val="SalutationChar"/>
    <w:rsid w:val="00025528"/>
  </w:style>
  <w:style w:type="character" w:customStyle="1" w:styleId="SalutationChar">
    <w:name w:val="Salutation Char"/>
    <w:link w:val="Salutation"/>
    <w:rsid w:val="00025528"/>
    <w:rPr>
      <w:rFonts w:ascii="Arial" w:hAnsi="Arial" w:cs="Arial"/>
      <w:lang w:eastAsia="en-US"/>
    </w:rPr>
  </w:style>
  <w:style w:type="paragraph" w:styleId="Signature">
    <w:name w:val="Signature"/>
    <w:basedOn w:val="Normal"/>
    <w:link w:val="SignatureChar"/>
    <w:rsid w:val="00025528"/>
    <w:pPr>
      <w:ind w:left="4252"/>
    </w:pPr>
  </w:style>
  <w:style w:type="character" w:customStyle="1" w:styleId="SignatureChar">
    <w:name w:val="Signature Char"/>
    <w:link w:val="Signature"/>
    <w:rsid w:val="00025528"/>
    <w:rPr>
      <w:rFonts w:ascii="Arial" w:hAnsi="Arial" w:cs="Arial"/>
      <w:lang w:eastAsia="en-US"/>
    </w:rPr>
  </w:style>
  <w:style w:type="character" w:styleId="Strong">
    <w:name w:val="Strong"/>
    <w:qFormat/>
    <w:rsid w:val="00025528"/>
    <w:rPr>
      <w:b/>
      <w:bCs/>
    </w:rPr>
  </w:style>
  <w:style w:type="paragraph" w:styleId="Subtitle">
    <w:name w:val="Subtitle"/>
    <w:basedOn w:val="Normal"/>
    <w:next w:val="Normal"/>
    <w:link w:val="SubtitleChar"/>
    <w:qFormat/>
    <w:rsid w:val="00025528"/>
    <w:pPr>
      <w:spacing w:after="60"/>
      <w:jc w:val="center"/>
      <w:outlineLvl w:val="1"/>
    </w:pPr>
    <w:rPr>
      <w:rFonts w:ascii="Cambria" w:eastAsia="SimSun" w:hAnsi="Cambria" w:cs="Times New Roman"/>
      <w:sz w:val="24"/>
      <w:szCs w:val="24"/>
    </w:rPr>
  </w:style>
  <w:style w:type="character" w:customStyle="1" w:styleId="SubtitleChar">
    <w:name w:val="Subtitle Char"/>
    <w:link w:val="Subtitle"/>
    <w:rsid w:val="00025528"/>
    <w:rPr>
      <w:rFonts w:ascii="Cambria" w:eastAsia="SimSun" w:hAnsi="Cambria" w:cs="Times New Roman"/>
      <w:sz w:val="24"/>
      <w:szCs w:val="24"/>
      <w:lang w:eastAsia="en-US"/>
    </w:rPr>
  </w:style>
  <w:style w:type="character" w:styleId="SubtleEmphasis">
    <w:name w:val="Subtle Emphasis"/>
    <w:uiPriority w:val="19"/>
    <w:qFormat/>
    <w:rsid w:val="00025528"/>
    <w:rPr>
      <w:i/>
      <w:iCs/>
      <w:color w:val="808080"/>
    </w:rPr>
  </w:style>
  <w:style w:type="character" w:styleId="SubtleReference">
    <w:name w:val="Subtle Reference"/>
    <w:uiPriority w:val="31"/>
    <w:qFormat/>
    <w:rsid w:val="00025528"/>
    <w:rPr>
      <w:smallCaps/>
      <w:color w:val="C0504D"/>
      <w:u w:val="single"/>
    </w:rPr>
  </w:style>
  <w:style w:type="table" w:styleId="Table3Deffects1">
    <w:name w:val="Table 3D effects 1"/>
    <w:basedOn w:val="TableNormal"/>
    <w:rsid w:val="00025528"/>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025528"/>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025528"/>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025528"/>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025528"/>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025528"/>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025528"/>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025528"/>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025528"/>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025528"/>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025528"/>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025528"/>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025528"/>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025528"/>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025528"/>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025528"/>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025528"/>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0255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02552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025528"/>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025528"/>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025528"/>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025528"/>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025528"/>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025528"/>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025528"/>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02552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025528"/>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025528"/>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025528"/>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025528"/>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025528"/>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025528"/>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025528"/>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rsid w:val="00025528"/>
    <w:pPr>
      <w:ind w:left="200" w:hanging="200"/>
    </w:pPr>
  </w:style>
  <w:style w:type="paragraph" w:styleId="TableofFigures">
    <w:name w:val="table of figures"/>
    <w:basedOn w:val="Normal"/>
    <w:next w:val="Normal"/>
    <w:rsid w:val="00025528"/>
  </w:style>
  <w:style w:type="table" w:styleId="TableProfessional">
    <w:name w:val="Table Professional"/>
    <w:basedOn w:val="TableNormal"/>
    <w:rsid w:val="0002552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025528"/>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025528"/>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025528"/>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025528"/>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025528"/>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0255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025528"/>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025528"/>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025528"/>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qFormat/>
    <w:rsid w:val="00025528"/>
    <w:pPr>
      <w:spacing w:before="240" w:after="60"/>
      <w:jc w:val="center"/>
      <w:outlineLvl w:val="0"/>
    </w:pPr>
    <w:rPr>
      <w:rFonts w:ascii="Cambria" w:eastAsia="SimSun" w:hAnsi="Cambria" w:cs="Times New Roman"/>
      <w:b/>
      <w:bCs/>
      <w:kern w:val="28"/>
      <w:sz w:val="32"/>
      <w:szCs w:val="32"/>
    </w:rPr>
  </w:style>
  <w:style w:type="character" w:customStyle="1" w:styleId="TitleChar">
    <w:name w:val="Title Char"/>
    <w:link w:val="Title"/>
    <w:rsid w:val="00025528"/>
    <w:rPr>
      <w:rFonts w:ascii="Cambria" w:eastAsia="SimSun" w:hAnsi="Cambria" w:cs="Times New Roman"/>
      <w:b/>
      <w:bCs/>
      <w:kern w:val="28"/>
      <w:sz w:val="32"/>
      <w:szCs w:val="32"/>
      <w:lang w:eastAsia="en-US"/>
    </w:rPr>
  </w:style>
  <w:style w:type="paragraph" w:styleId="TOAHeading">
    <w:name w:val="toa heading"/>
    <w:basedOn w:val="Normal"/>
    <w:next w:val="Normal"/>
    <w:rsid w:val="00025528"/>
    <w:pPr>
      <w:spacing w:before="120"/>
    </w:pPr>
    <w:rPr>
      <w:rFonts w:ascii="Cambria" w:eastAsia="SimSun" w:hAnsi="Cambria" w:cs="Times New Roman"/>
      <w:b/>
      <w:bCs/>
      <w:sz w:val="24"/>
      <w:szCs w:val="24"/>
    </w:rPr>
  </w:style>
  <w:style w:type="paragraph" w:styleId="TOC4">
    <w:name w:val="toc 4"/>
    <w:basedOn w:val="Normal"/>
    <w:next w:val="Normal"/>
    <w:autoRedefine/>
    <w:rsid w:val="00025528"/>
    <w:pPr>
      <w:ind w:left="600"/>
    </w:pPr>
  </w:style>
  <w:style w:type="paragraph" w:styleId="TOC5">
    <w:name w:val="toc 5"/>
    <w:basedOn w:val="Normal"/>
    <w:next w:val="Normal"/>
    <w:autoRedefine/>
    <w:rsid w:val="00025528"/>
    <w:pPr>
      <w:ind w:left="800"/>
    </w:pPr>
  </w:style>
  <w:style w:type="paragraph" w:styleId="TOC6">
    <w:name w:val="toc 6"/>
    <w:basedOn w:val="Normal"/>
    <w:next w:val="Normal"/>
    <w:autoRedefine/>
    <w:rsid w:val="00025528"/>
    <w:pPr>
      <w:ind w:left="1000"/>
    </w:pPr>
  </w:style>
  <w:style w:type="paragraph" w:styleId="TOC7">
    <w:name w:val="toc 7"/>
    <w:basedOn w:val="Normal"/>
    <w:next w:val="Normal"/>
    <w:autoRedefine/>
    <w:rsid w:val="00025528"/>
    <w:pPr>
      <w:ind w:left="1200"/>
    </w:pPr>
  </w:style>
  <w:style w:type="paragraph" w:styleId="TOC8">
    <w:name w:val="toc 8"/>
    <w:basedOn w:val="Normal"/>
    <w:next w:val="Normal"/>
    <w:autoRedefine/>
    <w:rsid w:val="00025528"/>
    <w:pPr>
      <w:ind w:left="1400"/>
    </w:pPr>
  </w:style>
  <w:style w:type="paragraph" w:styleId="TOC9">
    <w:name w:val="toc 9"/>
    <w:basedOn w:val="Normal"/>
    <w:next w:val="Normal"/>
    <w:autoRedefine/>
    <w:rsid w:val="00025528"/>
    <w:pPr>
      <w:ind w:left="1600"/>
    </w:pPr>
  </w:style>
  <w:style w:type="paragraph" w:styleId="TOCHeading">
    <w:name w:val="TOC Heading"/>
    <w:basedOn w:val="Heading1"/>
    <w:next w:val="Normal"/>
    <w:uiPriority w:val="39"/>
    <w:semiHidden/>
    <w:unhideWhenUsed/>
    <w:qFormat/>
    <w:rsid w:val="00025528"/>
    <w:pPr>
      <w:keepNext/>
      <w:numPr>
        <w:numId w:val="0"/>
      </w:numPr>
      <w:spacing w:before="240" w:after="60"/>
      <w:outlineLvl w:val="9"/>
    </w:pPr>
    <w:rPr>
      <w:rFonts w:ascii="Cambria" w:eastAsia="SimSun" w:hAnsi="Cambria" w:cs="Times New Roman"/>
      <w:b/>
      <w:bCs/>
      <w:kern w:val="32"/>
      <w:sz w:val="32"/>
      <w:szCs w:val="32"/>
    </w:rPr>
  </w:style>
  <w:style w:type="character" w:customStyle="1" w:styleId="UnresolvedMention1">
    <w:name w:val="Unresolved Mention1"/>
    <w:basedOn w:val="DefaultParagraphFont"/>
    <w:uiPriority w:val="99"/>
    <w:semiHidden/>
    <w:unhideWhenUsed/>
    <w:rsid w:val="004A2603"/>
    <w:rPr>
      <w:color w:val="605E5C"/>
      <w:shd w:val="clear" w:color="auto" w:fill="E1DFDD"/>
    </w:rPr>
  </w:style>
  <w:style w:type="character" w:customStyle="1" w:styleId="BulletsChar">
    <w:name w:val="Bullets Char"/>
    <w:basedOn w:val="DefaultParagraphFont"/>
    <w:link w:val="Bullets"/>
    <w:uiPriority w:val="3"/>
    <w:locked/>
    <w:rsid w:val="00961B72"/>
    <w:rPr>
      <w:rFonts w:ascii="Arial" w:eastAsiaTheme="minorEastAsia" w:hAnsi="Arial" w:cs="Arial"/>
      <w:color w:val="434244"/>
    </w:rPr>
  </w:style>
  <w:style w:type="paragraph" w:customStyle="1" w:styleId="Bullets">
    <w:name w:val="Bullets"/>
    <w:basedOn w:val="Normal"/>
    <w:link w:val="BulletsChar"/>
    <w:uiPriority w:val="3"/>
    <w:rsid w:val="00961B72"/>
    <w:pPr>
      <w:numPr>
        <w:numId w:val="30"/>
      </w:numPr>
      <w:spacing w:before="120" w:after="120" w:line="260" w:lineRule="atLeast"/>
      <w:ind w:left="567"/>
    </w:pPr>
    <w:rPr>
      <w:rFonts w:eastAsiaTheme="minorEastAsia"/>
      <w:color w:val="434244"/>
      <w:lang w:eastAsia="zh-CN"/>
    </w:rPr>
  </w:style>
  <w:style w:type="character" w:styleId="UnresolvedMention">
    <w:name w:val="Unresolved Mention"/>
    <w:basedOn w:val="DefaultParagraphFont"/>
    <w:uiPriority w:val="99"/>
    <w:semiHidden/>
    <w:unhideWhenUsed/>
    <w:rsid w:val="00E120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745235">
      <w:bodyDiv w:val="1"/>
      <w:marLeft w:val="0"/>
      <w:marRight w:val="0"/>
      <w:marTop w:val="0"/>
      <w:marBottom w:val="0"/>
      <w:divBdr>
        <w:top w:val="none" w:sz="0" w:space="0" w:color="auto"/>
        <w:left w:val="none" w:sz="0" w:space="0" w:color="auto"/>
        <w:bottom w:val="none" w:sz="0" w:space="0" w:color="auto"/>
        <w:right w:val="none" w:sz="0" w:space="0" w:color="auto"/>
      </w:divBdr>
    </w:div>
    <w:div w:id="385882576">
      <w:bodyDiv w:val="1"/>
      <w:marLeft w:val="0"/>
      <w:marRight w:val="0"/>
      <w:marTop w:val="0"/>
      <w:marBottom w:val="0"/>
      <w:divBdr>
        <w:top w:val="none" w:sz="0" w:space="0" w:color="auto"/>
        <w:left w:val="none" w:sz="0" w:space="0" w:color="auto"/>
        <w:bottom w:val="none" w:sz="0" w:space="0" w:color="auto"/>
        <w:right w:val="none" w:sz="0" w:space="0" w:color="auto"/>
      </w:divBdr>
    </w:div>
    <w:div w:id="668681257">
      <w:bodyDiv w:val="1"/>
      <w:marLeft w:val="0"/>
      <w:marRight w:val="0"/>
      <w:marTop w:val="0"/>
      <w:marBottom w:val="0"/>
      <w:divBdr>
        <w:top w:val="none" w:sz="0" w:space="0" w:color="auto"/>
        <w:left w:val="none" w:sz="0" w:space="0" w:color="auto"/>
        <w:bottom w:val="none" w:sz="0" w:space="0" w:color="auto"/>
        <w:right w:val="none" w:sz="0" w:space="0" w:color="auto"/>
      </w:divBdr>
    </w:div>
    <w:div w:id="887180693">
      <w:bodyDiv w:val="1"/>
      <w:marLeft w:val="0"/>
      <w:marRight w:val="0"/>
      <w:marTop w:val="0"/>
      <w:marBottom w:val="0"/>
      <w:divBdr>
        <w:top w:val="none" w:sz="0" w:space="0" w:color="auto"/>
        <w:left w:val="none" w:sz="0" w:space="0" w:color="auto"/>
        <w:bottom w:val="none" w:sz="0" w:space="0" w:color="auto"/>
        <w:right w:val="none" w:sz="0" w:space="0" w:color="auto"/>
      </w:divBdr>
    </w:div>
    <w:div w:id="1398016821">
      <w:bodyDiv w:val="1"/>
      <w:marLeft w:val="0"/>
      <w:marRight w:val="0"/>
      <w:marTop w:val="0"/>
      <w:marBottom w:val="0"/>
      <w:divBdr>
        <w:top w:val="none" w:sz="0" w:space="0" w:color="auto"/>
        <w:left w:val="none" w:sz="0" w:space="0" w:color="auto"/>
        <w:bottom w:val="none" w:sz="0" w:space="0" w:color="auto"/>
        <w:right w:val="none" w:sz="0" w:space="0" w:color="auto"/>
      </w:divBdr>
    </w:div>
    <w:div w:id="1477451130">
      <w:bodyDiv w:val="1"/>
      <w:marLeft w:val="0"/>
      <w:marRight w:val="0"/>
      <w:marTop w:val="0"/>
      <w:marBottom w:val="0"/>
      <w:divBdr>
        <w:top w:val="none" w:sz="0" w:space="0" w:color="auto"/>
        <w:left w:val="none" w:sz="0" w:space="0" w:color="auto"/>
        <w:bottom w:val="none" w:sz="0" w:space="0" w:color="auto"/>
        <w:right w:val="none" w:sz="0" w:space="0" w:color="auto"/>
      </w:divBdr>
    </w:div>
    <w:div w:id="1645350620">
      <w:bodyDiv w:val="1"/>
      <w:marLeft w:val="0"/>
      <w:marRight w:val="0"/>
      <w:marTop w:val="0"/>
      <w:marBottom w:val="0"/>
      <w:divBdr>
        <w:top w:val="none" w:sz="0" w:space="0" w:color="auto"/>
        <w:left w:val="none" w:sz="0" w:space="0" w:color="auto"/>
        <w:bottom w:val="none" w:sz="0" w:space="0" w:color="auto"/>
        <w:right w:val="none" w:sz="0" w:space="0" w:color="auto"/>
      </w:divBdr>
    </w:div>
    <w:div w:id="1842696980">
      <w:bodyDiv w:val="1"/>
      <w:marLeft w:val="0"/>
      <w:marRight w:val="0"/>
      <w:marTop w:val="0"/>
      <w:marBottom w:val="0"/>
      <w:divBdr>
        <w:top w:val="none" w:sz="0" w:space="0" w:color="auto"/>
        <w:left w:val="none" w:sz="0" w:space="0" w:color="auto"/>
        <w:bottom w:val="none" w:sz="0" w:space="0" w:color="auto"/>
        <w:right w:val="none" w:sz="0" w:space="0" w:color="auto"/>
      </w:divBdr>
    </w:div>
    <w:div w:id="2059238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esi.org" TargetMode="External"/><Relationship Id="rId4" Type="http://schemas.openxmlformats.org/officeDocument/2006/relationships/settings" Target="settings.xml"/><Relationship Id="rId9" Type="http://schemas.openxmlformats.org/officeDocument/2006/relationships/hyperlink" Target="http://www.lesanz.org.au"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fedcourt.gov.au/digital-law-library/judges-speeches/justice-obryan/obryan-j-201904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a:solidFill>
            <a:schemeClr val="tx1"/>
          </a:solidFill>
          <a:tailEnd type="none"/>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DD0842-CE0C-4691-AD6A-E7F3F4AA3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8</Pages>
  <Words>4039</Words>
  <Characters>21817</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Document</vt:lpstr>
    </vt:vector>
  </TitlesOfParts>
  <Company>King &amp; Wood Mallesons</Company>
  <LinksUpToDate>false</LinksUpToDate>
  <CharactersWithSpaces>25805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dc:creator>KWM</dc:creator>
  <cp:lastModifiedBy>Ferguson, Duncan (BD&amp;C, St. Lucia)</cp:lastModifiedBy>
  <cp:revision>3</cp:revision>
  <cp:lastPrinted>2005-11-14T23:09:00Z</cp:lastPrinted>
  <dcterms:created xsi:type="dcterms:W3CDTF">2019-07-29T06:35:00Z</dcterms:created>
  <dcterms:modified xsi:type="dcterms:W3CDTF">2019-07-29T12:51:00Z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JClientMatter">
    <vt:lpwstr/>
  </property>
  <property fmtid="{D5CDD505-2E9C-101B-9397-08002B2CF9AE}" pid="3" name="MSJClientCode">
    <vt:lpwstr/>
  </property>
  <property fmtid="{D5CDD505-2E9C-101B-9397-08002B2CF9AE}" pid="4" name="MSJPrintCopies">
    <vt:lpwstr>2</vt:lpwstr>
  </property>
  <property fmtid="{D5CDD505-2E9C-101B-9397-08002B2CF9AE}" pid="5" name="DocID">
    <vt:lpwstr>42866197_7</vt:lpwstr>
  </property>
  <property fmtid="{D5CDD505-2E9C-101B-9397-08002B2CF9AE}" pid="6" name="Template">
    <vt:lpwstr>fblank.dotm</vt:lpwstr>
  </property>
  <property fmtid="{D5CDD505-2E9C-101B-9397-08002B2CF9AE}" pid="7" name="M_SSCheck">
    <vt:lpwstr>0110</vt:lpwstr>
  </property>
</Properties>
</file>