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88A91" w14:textId="77777777" w:rsidR="00C53383" w:rsidRDefault="00C35B99" w:rsidP="00CD0452">
      <w:pPr>
        <w:spacing w:line="276" w:lineRule="auto"/>
      </w:pPr>
      <w:r w:rsidRPr="00C35B99">
        <w:t xml:space="preserve">Sections 45AF and 45AJ do not apply to the making of a contract, arrangement or understanding that contains a cartel provision, </w:t>
      </w:r>
      <w:r w:rsidR="001B3C12">
        <w:t xml:space="preserve">and section 45AG does not apply to the giving effect to a cartel provision in a contract, arrangement or understanding, </w:t>
      </w:r>
      <w:r w:rsidRPr="00C35B99">
        <w:t>insofar as</w:t>
      </w:r>
      <w:r>
        <w:t xml:space="preserve"> the cartel provision is contained in</w:t>
      </w:r>
      <w:r w:rsidR="00C53383">
        <w:t>:</w:t>
      </w:r>
    </w:p>
    <w:p w14:paraId="41E88B22" w14:textId="77777777" w:rsidR="00415A32" w:rsidRDefault="00C53383" w:rsidP="00332B30">
      <w:pPr>
        <w:pStyle w:val="ListParagraph"/>
        <w:numPr>
          <w:ilvl w:val="0"/>
          <w:numId w:val="2"/>
        </w:numPr>
        <w:spacing w:line="276" w:lineRule="auto"/>
        <w:ind w:left="567" w:hanging="567"/>
      </w:pPr>
      <w:r>
        <w:t xml:space="preserve">a licence granted by the </w:t>
      </w:r>
      <w:r w:rsidR="001B3C12">
        <w:t>owner or</w:t>
      </w:r>
      <w:r>
        <w:t xml:space="preserve"> licensee of a patent, registered design,</w:t>
      </w:r>
      <w:r w:rsidR="00B40F72">
        <w:t xml:space="preserve"> trade mark,</w:t>
      </w:r>
      <w:r>
        <w:t xml:space="preserve"> copyright</w:t>
      </w:r>
      <w:r w:rsidR="00D617D2">
        <w:t xml:space="preserve">, </w:t>
      </w:r>
      <w:r w:rsidR="00AA57C1">
        <w:t>plant breeder’s right</w:t>
      </w:r>
      <w:r>
        <w:t xml:space="preserve"> or EL right within the meaning of the </w:t>
      </w:r>
      <w:r w:rsidRPr="008B70C7">
        <w:rPr>
          <w:i/>
        </w:rPr>
        <w:t>Circuit Layouts Act 1989</w:t>
      </w:r>
      <w:r>
        <w:t xml:space="preserve"> </w:t>
      </w:r>
      <w:r w:rsidR="007A0201">
        <w:t>(Cth)</w:t>
      </w:r>
      <w:r w:rsidR="009A56DD">
        <w:t xml:space="preserve"> (</w:t>
      </w:r>
      <w:r w:rsidR="009C1F0C">
        <w:t xml:space="preserve">an </w:t>
      </w:r>
      <w:r w:rsidR="009A56DD">
        <w:t>“EL Right”)</w:t>
      </w:r>
      <w:r>
        <w:t>, or by a person who has applied for a patent</w:t>
      </w:r>
      <w:r w:rsidR="007A0201">
        <w:t>,</w:t>
      </w:r>
      <w:r>
        <w:t xml:space="preserve"> </w:t>
      </w:r>
      <w:r w:rsidR="00B40F72">
        <w:t>trade mark,</w:t>
      </w:r>
      <w:r>
        <w:t xml:space="preserve"> </w:t>
      </w:r>
      <w:r w:rsidR="007A0201">
        <w:t xml:space="preserve">registered </w:t>
      </w:r>
      <w:r>
        <w:t>design</w:t>
      </w:r>
      <w:r w:rsidR="00D617D2">
        <w:t xml:space="preserve"> or </w:t>
      </w:r>
      <w:r w:rsidR="00B40F72">
        <w:t xml:space="preserve">the </w:t>
      </w:r>
      <w:r w:rsidR="00D617D2">
        <w:t xml:space="preserve">grant of a </w:t>
      </w:r>
      <w:r w:rsidR="00AA57C1">
        <w:t>plant breeder’s right</w:t>
      </w:r>
      <w:r>
        <w:t>; or</w:t>
      </w:r>
    </w:p>
    <w:p w14:paraId="112E6282" w14:textId="77777777" w:rsidR="00415A32" w:rsidRDefault="00415A32" w:rsidP="00332B30">
      <w:pPr>
        <w:pStyle w:val="ListParagraph"/>
        <w:spacing w:line="276" w:lineRule="auto"/>
        <w:ind w:left="567" w:hanging="567"/>
      </w:pPr>
    </w:p>
    <w:p w14:paraId="3B85CFD2" w14:textId="77777777" w:rsidR="00C53383" w:rsidRDefault="00C53383" w:rsidP="00332B30">
      <w:pPr>
        <w:pStyle w:val="ListParagraph"/>
        <w:numPr>
          <w:ilvl w:val="0"/>
          <w:numId w:val="2"/>
        </w:numPr>
        <w:spacing w:line="276" w:lineRule="auto"/>
        <w:ind w:left="567" w:hanging="567"/>
      </w:pPr>
      <w:r>
        <w:t>an assignment of a patent,</w:t>
      </w:r>
      <w:r w:rsidR="00893645">
        <w:t xml:space="preserve"> trade mark,</w:t>
      </w:r>
      <w:r>
        <w:t xml:space="preserve"> registered design, copyright</w:t>
      </w:r>
      <w:r w:rsidR="008616E4">
        <w:t xml:space="preserve">, </w:t>
      </w:r>
      <w:r w:rsidR="00AA57C1">
        <w:t>plant breeder’s right</w:t>
      </w:r>
      <w:r>
        <w:t xml:space="preserve"> or EL right, or of the right to apply for a patent</w:t>
      </w:r>
      <w:r w:rsidR="00893645">
        <w:t>, trade mark</w:t>
      </w:r>
      <w:r>
        <w:t xml:space="preserve"> or a </w:t>
      </w:r>
      <w:r w:rsidR="006F719E">
        <w:t xml:space="preserve">registered </w:t>
      </w:r>
      <w:r>
        <w:t>design</w:t>
      </w:r>
      <w:r w:rsidR="008616E4">
        <w:t xml:space="preserve"> or </w:t>
      </w:r>
      <w:r w:rsidR="006F719E">
        <w:t xml:space="preserve">the grant of </w:t>
      </w:r>
      <w:r w:rsidR="008616E4">
        <w:t xml:space="preserve">a </w:t>
      </w:r>
      <w:r w:rsidR="00AA57C1">
        <w:t>plant breeder’s right</w:t>
      </w:r>
      <w:r>
        <w:t>;</w:t>
      </w:r>
      <w:r w:rsidR="008B70C7">
        <w:t xml:space="preserve"> or</w:t>
      </w:r>
    </w:p>
    <w:p w14:paraId="178286C8" w14:textId="77777777" w:rsidR="008B70C7" w:rsidRDefault="008B70C7" w:rsidP="00602EBA">
      <w:pPr>
        <w:pStyle w:val="ListParagraph"/>
      </w:pPr>
    </w:p>
    <w:p w14:paraId="057951D2" w14:textId="77777777" w:rsidR="008B70C7" w:rsidRDefault="008B70C7" w:rsidP="00332B30">
      <w:pPr>
        <w:pStyle w:val="ListParagraph"/>
        <w:numPr>
          <w:ilvl w:val="0"/>
          <w:numId w:val="2"/>
        </w:numPr>
        <w:spacing w:line="276" w:lineRule="auto"/>
        <w:ind w:left="567" w:hanging="567"/>
      </w:pPr>
      <w:r w:rsidRPr="00443792">
        <w:t xml:space="preserve">a contract, arrangement or understanding entered into in settlement of a claim of infringement by the </w:t>
      </w:r>
      <w:r>
        <w:t>owner</w:t>
      </w:r>
      <w:r w:rsidRPr="00443792">
        <w:t xml:space="preserve"> </w:t>
      </w:r>
      <w:r>
        <w:t xml:space="preserve">or </w:t>
      </w:r>
      <w:r w:rsidRPr="00443792">
        <w:t>licensee of the patent, the registered design, the trade mark, the copyright, the plant breeder’s right or the EL rights, as the case may be</w:t>
      </w:r>
      <w:r w:rsidR="00602EBA">
        <w:t>,</w:t>
      </w:r>
    </w:p>
    <w:p w14:paraId="1A448A62" w14:textId="77777777" w:rsidR="00C53383" w:rsidRDefault="008616E4" w:rsidP="00CD0452">
      <w:pPr>
        <w:spacing w:line="276" w:lineRule="auto"/>
      </w:pPr>
      <w:r>
        <w:t>and the provision</w:t>
      </w:r>
      <w:r w:rsidR="00C53383">
        <w:t>:</w:t>
      </w:r>
    </w:p>
    <w:p w14:paraId="527D81B4" w14:textId="77777777" w:rsidR="00C53383" w:rsidRDefault="00711A89" w:rsidP="00332B30">
      <w:pPr>
        <w:pStyle w:val="ListParagraph"/>
        <w:numPr>
          <w:ilvl w:val="0"/>
          <w:numId w:val="2"/>
        </w:numPr>
        <w:spacing w:line="276" w:lineRule="auto"/>
        <w:ind w:left="567" w:hanging="567"/>
      </w:pPr>
      <w:r>
        <w:t>limits</w:t>
      </w:r>
      <w:r w:rsidR="00732463">
        <w:t xml:space="preserve"> or defines</w:t>
      </w:r>
      <w:r>
        <w:t xml:space="preserve"> the scope of the rights granted under the licence or assignment</w:t>
      </w:r>
      <w:r w:rsidR="00C53383">
        <w:t>;</w:t>
      </w:r>
    </w:p>
    <w:p w14:paraId="33E5C7C2" w14:textId="77777777" w:rsidR="00415A32" w:rsidRDefault="00415A32" w:rsidP="00332B30">
      <w:pPr>
        <w:pStyle w:val="ListParagraph"/>
        <w:spacing w:line="276" w:lineRule="auto"/>
        <w:ind w:left="567" w:hanging="567"/>
      </w:pPr>
    </w:p>
    <w:p w14:paraId="112D3080" w14:textId="29D386C4" w:rsidR="00415A32" w:rsidRDefault="00146F33" w:rsidP="00332B30">
      <w:pPr>
        <w:pStyle w:val="ListParagraph"/>
        <w:numPr>
          <w:ilvl w:val="0"/>
          <w:numId w:val="2"/>
        </w:numPr>
        <w:spacing w:line="276" w:lineRule="auto"/>
        <w:ind w:left="567" w:hanging="567"/>
      </w:pPr>
      <w:r>
        <w:t xml:space="preserve">relates to conduct which </w:t>
      </w:r>
      <w:r w:rsidR="00732463">
        <w:t xml:space="preserve">is </w:t>
      </w:r>
      <w:bookmarkStart w:id="0" w:name="_GoBack"/>
      <w:bookmarkEnd w:id="0"/>
      <w:r w:rsidR="0068652D">
        <w:t>authori</w:t>
      </w:r>
      <w:r w:rsidR="00110354">
        <w:t>s</w:t>
      </w:r>
      <w:r w:rsidR="0068652D">
        <w:t>ed by the</w:t>
      </w:r>
      <w:r w:rsidR="003879DE">
        <w:t xml:space="preserve"> </w:t>
      </w:r>
      <w:r w:rsidR="0068652D">
        <w:t xml:space="preserve">patents, </w:t>
      </w:r>
      <w:r w:rsidR="00893645">
        <w:t xml:space="preserve">trade marks, </w:t>
      </w:r>
      <w:r w:rsidR="0068652D">
        <w:t xml:space="preserve">designs, copyright, EL rights or </w:t>
      </w:r>
      <w:r w:rsidR="00272A2F">
        <w:t>p</w:t>
      </w:r>
      <w:r w:rsidR="0068652D">
        <w:t xml:space="preserve">lant </w:t>
      </w:r>
      <w:r w:rsidR="00272A2F">
        <w:t>b</w:t>
      </w:r>
      <w:r w:rsidR="0068652D">
        <w:t xml:space="preserve">reeder’s </w:t>
      </w:r>
      <w:r w:rsidR="00272A2F">
        <w:t>r</w:t>
      </w:r>
      <w:r w:rsidR="0068652D">
        <w:t>ights</w:t>
      </w:r>
      <w:r w:rsidR="00110354">
        <w:t xml:space="preserve"> Act</w:t>
      </w:r>
      <w:r w:rsidR="00C61F5B">
        <w:t xml:space="preserve"> (as applicable)</w:t>
      </w:r>
      <w:r w:rsidR="003879DE">
        <w:t>;</w:t>
      </w:r>
    </w:p>
    <w:p w14:paraId="0DAA5BDF" w14:textId="77777777" w:rsidR="00DD0BA7" w:rsidRDefault="00DD0BA7" w:rsidP="00332B30">
      <w:pPr>
        <w:pStyle w:val="ListParagraph"/>
        <w:ind w:left="567" w:hanging="567"/>
      </w:pPr>
    </w:p>
    <w:p w14:paraId="5B93246B" w14:textId="77777777" w:rsidR="00DD0BA7" w:rsidRDefault="00FC5EA9" w:rsidP="00332B30">
      <w:pPr>
        <w:pStyle w:val="ListParagraph"/>
        <w:numPr>
          <w:ilvl w:val="0"/>
          <w:numId w:val="2"/>
        </w:numPr>
        <w:spacing w:line="276" w:lineRule="auto"/>
        <w:ind w:left="567" w:hanging="567"/>
      </w:pPr>
      <w:r>
        <w:t xml:space="preserve"> </w:t>
      </w:r>
      <w:r w:rsidR="003879DE">
        <w:t>insofar as trade marks are concerned, relates to</w:t>
      </w:r>
      <w:r w:rsidR="00DD0BA7">
        <w:t xml:space="preserve"> </w:t>
      </w:r>
      <w:r w:rsidR="00C53383">
        <w:t>authori</w:t>
      </w:r>
      <w:r w:rsidR="00533753">
        <w:t>s</w:t>
      </w:r>
      <w:r w:rsidR="00C53383">
        <w:t>ing the use of a certification trade mark in accordance wi</w:t>
      </w:r>
      <w:r w:rsidR="00A35850">
        <w:t xml:space="preserve">th </w:t>
      </w:r>
      <w:r w:rsidR="00D57CF6">
        <w:t xml:space="preserve">the </w:t>
      </w:r>
      <w:r w:rsidR="00D57CF6" w:rsidRPr="008B70C7">
        <w:rPr>
          <w:i/>
        </w:rPr>
        <w:t>Trade Marks Act</w:t>
      </w:r>
      <w:r w:rsidR="00AA57C1" w:rsidRPr="008B70C7">
        <w:rPr>
          <w:i/>
        </w:rPr>
        <w:t xml:space="preserve"> 1995</w:t>
      </w:r>
      <w:r w:rsidR="00D57CF6">
        <w:t xml:space="preserve"> </w:t>
      </w:r>
      <w:r w:rsidR="00533753">
        <w:t xml:space="preserve">(Cth) </w:t>
      </w:r>
      <w:r w:rsidR="00D57CF6">
        <w:t xml:space="preserve">or the </w:t>
      </w:r>
      <w:r w:rsidR="00A35850">
        <w:t>rules applicable under Part 16</w:t>
      </w:r>
      <w:r w:rsidR="00C53383">
        <w:t xml:space="preserve"> of the </w:t>
      </w:r>
      <w:r w:rsidR="00C53383" w:rsidRPr="008B70C7">
        <w:rPr>
          <w:i/>
        </w:rPr>
        <w:t>Trade Marks Act 19</w:t>
      </w:r>
      <w:r w:rsidR="00A35850" w:rsidRPr="008B70C7">
        <w:rPr>
          <w:i/>
        </w:rPr>
        <w:t>9</w:t>
      </w:r>
      <w:r w:rsidR="00D57CF6" w:rsidRPr="008B70C7">
        <w:rPr>
          <w:i/>
        </w:rPr>
        <w:t>5</w:t>
      </w:r>
      <w:r w:rsidR="00D57CF6">
        <w:t xml:space="preserve"> </w:t>
      </w:r>
      <w:r w:rsidR="00533753">
        <w:t xml:space="preserve">(Cth) </w:t>
      </w:r>
      <w:r w:rsidR="00D57CF6">
        <w:t>to that mark</w:t>
      </w:r>
      <w:r w:rsidR="00DD0BA7">
        <w:t>;</w:t>
      </w:r>
    </w:p>
    <w:p w14:paraId="36E915BB" w14:textId="77777777" w:rsidR="00DD0BA7" w:rsidRDefault="00DD0BA7" w:rsidP="00DD0BA7">
      <w:pPr>
        <w:pStyle w:val="ListParagraph"/>
      </w:pPr>
    </w:p>
    <w:p w14:paraId="26F38040" w14:textId="32E5CB3F" w:rsidR="002E54F7" w:rsidRDefault="00DD0BA7" w:rsidP="00332B30">
      <w:pPr>
        <w:pStyle w:val="ListParagraph"/>
        <w:numPr>
          <w:ilvl w:val="0"/>
          <w:numId w:val="2"/>
        </w:numPr>
        <w:spacing w:line="276" w:lineRule="auto"/>
        <w:ind w:left="567" w:hanging="567"/>
      </w:pPr>
      <w:r>
        <w:t xml:space="preserve">relates to </w:t>
      </w:r>
      <w:r w:rsidR="00C53383">
        <w:t>the kind, qualit</w:t>
      </w:r>
      <w:r w:rsidR="00533753">
        <w:t>y</w:t>
      </w:r>
      <w:r w:rsidR="00C53383">
        <w:t xml:space="preserve"> or standard of goods</w:t>
      </w:r>
      <w:r w:rsidR="00272A2F">
        <w:t xml:space="preserve"> or services</w:t>
      </w:r>
      <w:r w:rsidR="00C53383">
        <w:t xml:space="preserve"> </w:t>
      </w:r>
      <w:r w:rsidR="000624C5">
        <w:t>produced or supplied</w:t>
      </w:r>
      <w:r w:rsidR="00FC5EA9" w:rsidRPr="00FC5EA9">
        <w:t xml:space="preserve"> </w:t>
      </w:r>
      <w:r w:rsidR="00FC5EA9">
        <w:t>under an assignment or licence of the right or, in the case of a trade mark,</w:t>
      </w:r>
      <w:r w:rsidR="000624C5">
        <w:t xml:space="preserve"> </w:t>
      </w:r>
      <w:r w:rsidR="00C53383">
        <w:t>t</w:t>
      </w:r>
      <w:r w:rsidR="00272A2F">
        <w:t>hat may be produced or supplied</w:t>
      </w:r>
      <w:r w:rsidR="000624C5">
        <w:t>,</w:t>
      </w:r>
      <w:r w:rsidR="00FC5EA9">
        <w:t xml:space="preserve"> </w:t>
      </w:r>
      <w:r w:rsidR="002D5680">
        <w:t>bearing the licensed trade mark</w:t>
      </w:r>
      <w:r w:rsidR="002E54F7">
        <w:t>;</w:t>
      </w:r>
    </w:p>
    <w:p w14:paraId="668BDE81" w14:textId="77777777" w:rsidR="00415A32" w:rsidRDefault="00415A32" w:rsidP="00CD0452">
      <w:pPr>
        <w:pStyle w:val="ListParagraph"/>
        <w:spacing w:line="276" w:lineRule="auto"/>
        <w:ind w:left="2160"/>
      </w:pPr>
    </w:p>
    <w:p w14:paraId="1EE3F11A" w14:textId="77777777" w:rsidR="00E16545" w:rsidRDefault="002E54F7" w:rsidP="00332B30">
      <w:pPr>
        <w:pStyle w:val="ListParagraph"/>
        <w:numPr>
          <w:ilvl w:val="0"/>
          <w:numId w:val="2"/>
        </w:numPr>
        <w:spacing w:line="276" w:lineRule="auto"/>
        <w:ind w:left="567" w:hanging="567"/>
      </w:pPr>
      <w:r>
        <w:t xml:space="preserve">prevents or restricts the </w:t>
      </w:r>
      <w:r w:rsidR="009C1DE7">
        <w:t>licensee or a sub-licensee from challenging</w:t>
      </w:r>
      <w:r w:rsidR="00F71EA2">
        <w:t>,</w:t>
      </w:r>
      <w:r w:rsidR="00D52BAB">
        <w:t xml:space="preserve"> or </w:t>
      </w:r>
      <w:r w:rsidR="00F71EA2">
        <w:t xml:space="preserve">in any way </w:t>
      </w:r>
      <w:r w:rsidR="00D52BAB">
        <w:t>assisting in a challenge to</w:t>
      </w:r>
      <w:r w:rsidR="00F71EA2">
        <w:t>,</w:t>
      </w:r>
      <w:r w:rsidR="009C1DE7">
        <w:t xml:space="preserve"> the validity of the right</w:t>
      </w:r>
      <w:r w:rsidR="00F71EA2">
        <w:t xml:space="preserve"> or</w:t>
      </w:r>
      <w:r w:rsidR="009C1DE7">
        <w:t xml:space="preserve"> </w:t>
      </w:r>
      <w:r w:rsidR="00F71EA2">
        <w:t xml:space="preserve">the licensor’s </w:t>
      </w:r>
      <w:r w:rsidR="009C1DE7">
        <w:t xml:space="preserve">ownership of the right </w:t>
      </w:r>
      <w:r w:rsidR="00D86D6F">
        <w:t xml:space="preserve">or the right to apply for the right </w:t>
      </w:r>
      <w:r w:rsidR="009C1DE7">
        <w:t>under which the licence is granted</w:t>
      </w:r>
      <w:r w:rsidR="00E16545">
        <w:t>;</w:t>
      </w:r>
      <w:r w:rsidR="00471170">
        <w:t xml:space="preserve"> or</w:t>
      </w:r>
    </w:p>
    <w:p w14:paraId="29A53E0D" w14:textId="77777777" w:rsidR="00415A32" w:rsidRDefault="00415A32" w:rsidP="00CD0452">
      <w:pPr>
        <w:pStyle w:val="ListParagraph"/>
        <w:spacing w:line="276" w:lineRule="auto"/>
      </w:pPr>
    </w:p>
    <w:p w14:paraId="434A36C3" w14:textId="01C33DC9" w:rsidR="001B1261" w:rsidRDefault="001B1261" w:rsidP="00602EBA">
      <w:pPr>
        <w:pStyle w:val="ListParagraph"/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</w:pPr>
      <w:r>
        <w:t xml:space="preserve">in the case of paragraph (c) above, restricts or prohibits conduct by </w:t>
      </w:r>
      <w:r w:rsidR="00084F45">
        <w:t>the alleged infringer</w:t>
      </w:r>
      <w:r>
        <w:t xml:space="preserve"> relating to</w:t>
      </w:r>
      <w:r w:rsidRPr="00074A70">
        <w:t xml:space="preserve"> patent</w:t>
      </w:r>
      <w:r>
        <w:t>s</w:t>
      </w:r>
      <w:r w:rsidRPr="00074A70">
        <w:t>, registered design</w:t>
      </w:r>
      <w:r>
        <w:t>s</w:t>
      </w:r>
      <w:r w:rsidRPr="00074A70">
        <w:t>, trade mark</w:t>
      </w:r>
      <w:r>
        <w:t>s</w:t>
      </w:r>
      <w:r w:rsidRPr="00074A70">
        <w:t>, copyright, plant breeder’s right</w:t>
      </w:r>
      <w:r>
        <w:t>s</w:t>
      </w:r>
      <w:r w:rsidRPr="00074A70">
        <w:t xml:space="preserve"> or EL rights </w:t>
      </w:r>
      <w:r>
        <w:t xml:space="preserve">on the assumption that the relevant right has been validly granted and </w:t>
      </w:r>
      <w:r w:rsidR="00F93C99">
        <w:t xml:space="preserve">provided </w:t>
      </w:r>
      <w:r>
        <w:t xml:space="preserve">the owner or licensee </w:t>
      </w:r>
      <w:r w:rsidR="00F93C99">
        <w:t xml:space="preserve">does </w:t>
      </w:r>
      <w:r>
        <w:t xml:space="preserve">no </w:t>
      </w:r>
      <w:r w:rsidR="00F93C99">
        <w:t>know that the relevant right is invalid</w:t>
      </w:r>
      <w:r>
        <w:t>.</w:t>
      </w:r>
    </w:p>
    <w:p w14:paraId="1123BFF8" w14:textId="77777777" w:rsidR="003C3507" w:rsidRDefault="003C3507" w:rsidP="00602EBA">
      <w:pPr>
        <w:pStyle w:val="ListParagraph"/>
        <w:spacing w:line="276" w:lineRule="auto"/>
        <w:ind w:left="567"/>
      </w:pPr>
    </w:p>
    <w:sectPr w:rsidR="003C35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E6AA1"/>
    <w:multiLevelType w:val="hybridMultilevel"/>
    <w:tmpl w:val="166816B4"/>
    <w:lvl w:ilvl="0" w:tplc="995CF1C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28E1D90"/>
    <w:multiLevelType w:val="hybridMultilevel"/>
    <w:tmpl w:val="9B162784"/>
    <w:lvl w:ilvl="0" w:tplc="20B41868">
      <w:start w:val="1"/>
      <w:numFmt w:val="lowerLetter"/>
      <w:lvlText w:val="(%1)"/>
      <w:lvlJc w:val="left"/>
      <w:pPr>
        <w:ind w:left="17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44" w:hanging="360"/>
      </w:pPr>
    </w:lvl>
    <w:lvl w:ilvl="2" w:tplc="0C09001B" w:tentative="1">
      <w:start w:val="1"/>
      <w:numFmt w:val="lowerRoman"/>
      <w:lvlText w:val="%3."/>
      <w:lvlJc w:val="right"/>
      <w:pPr>
        <w:ind w:left="3164" w:hanging="180"/>
      </w:pPr>
    </w:lvl>
    <w:lvl w:ilvl="3" w:tplc="0C09000F" w:tentative="1">
      <w:start w:val="1"/>
      <w:numFmt w:val="decimal"/>
      <w:lvlText w:val="%4."/>
      <w:lvlJc w:val="left"/>
      <w:pPr>
        <w:ind w:left="3884" w:hanging="360"/>
      </w:pPr>
    </w:lvl>
    <w:lvl w:ilvl="4" w:tplc="0C090019" w:tentative="1">
      <w:start w:val="1"/>
      <w:numFmt w:val="lowerLetter"/>
      <w:lvlText w:val="%5."/>
      <w:lvlJc w:val="left"/>
      <w:pPr>
        <w:ind w:left="4604" w:hanging="360"/>
      </w:pPr>
    </w:lvl>
    <w:lvl w:ilvl="5" w:tplc="0C09001B" w:tentative="1">
      <w:start w:val="1"/>
      <w:numFmt w:val="lowerRoman"/>
      <w:lvlText w:val="%6."/>
      <w:lvlJc w:val="right"/>
      <w:pPr>
        <w:ind w:left="5324" w:hanging="180"/>
      </w:pPr>
    </w:lvl>
    <w:lvl w:ilvl="6" w:tplc="0C09000F" w:tentative="1">
      <w:start w:val="1"/>
      <w:numFmt w:val="decimal"/>
      <w:lvlText w:val="%7."/>
      <w:lvlJc w:val="left"/>
      <w:pPr>
        <w:ind w:left="6044" w:hanging="360"/>
      </w:pPr>
    </w:lvl>
    <w:lvl w:ilvl="7" w:tplc="0C090019" w:tentative="1">
      <w:start w:val="1"/>
      <w:numFmt w:val="lowerLetter"/>
      <w:lvlText w:val="%8."/>
      <w:lvlJc w:val="left"/>
      <w:pPr>
        <w:ind w:left="6764" w:hanging="360"/>
      </w:pPr>
    </w:lvl>
    <w:lvl w:ilvl="8" w:tplc="0C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 w15:restartNumberingAfterBreak="0">
    <w:nsid w:val="6D150399"/>
    <w:multiLevelType w:val="hybridMultilevel"/>
    <w:tmpl w:val="1430DE70"/>
    <w:lvl w:ilvl="0" w:tplc="2B329E6E">
      <w:start w:val="1"/>
      <w:numFmt w:val="lowerRoman"/>
      <w:lvlText w:val="(%1)"/>
      <w:lvlJc w:val="left"/>
      <w:pPr>
        <w:ind w:left="1724" w:hanging="360"/>
      </w:pPr>
      <w:rPr>
        <w:rFonts w:ascii="Verdana" w:eastAsiaTheme="minorHAnsi" w:hAnsi="Verdana" w:cstheme="minorBidi"/>
      </w:rPr>
    </w:lvl>
    <w:lvl w:ilvl="1" w:tplc="0C090019" w:tentative="1">
      <w:start w:val="1"/>
      <w:numFmt w:val="lowerLetter"/>
      <w:lvlText w:val="%2."/>
      <w:lvlJc w:val="left"/>
      <w:pPr>
        <w:ind w:left="2444" w:hanging="360"/>
      </w:pPr>
    </w:lvl>
    <w:lvl w:ilvl="2" w:tplc="0C09001B" w:tentative="1">
      <w:start w:val="1"/>
      <w:numFmt w:val="lowerRoman"/>
      <w:lvlText w:val="%3."/>
      <w:lvlJc w:val="right"/>
      <w:pPr>
        <w:ind w:left="3164" w:hanging="180"/>
      </w:pPr>
    </w:lvl>
    <w:lvl w:ilvl="3" w:tplc="0C09000F" w:tentative="1">
      <w:start w:val="1"/>
      <w:numFmt w:val="decimal"/>
      <w:lvlText w:val="%4."/>
      <w:lvlJc w:val="left"/>
      <w:pPr>
        <w:ind w:left="3884" w:hanging="360"/>
      </w:pPr>
    </w:lvl>
    <w:lvl w:ilvl="4" w:tplc="0C090019" w:tentative="1">
      <w:start w:val="1"/>
      <w:numFmt w:val="lowerLetter"/>
      <w:lvlText w:val="%5."/>
      <w:lvlJc w:val="left"/>
      <w:pPr>
        <w:ind w:left="4604" w:hanging="360"/>
      </w:pPr>
    </w:lvl>
    <w:lvl w:ilvl="5" w:tplc="0C09001B" w:tentative="1">
      <w:start w:val="1"/>
      <w:numFmt w:val="lowerRoman"/>
      <w:lvlText w:val="%6."/>
      <w:lvlJc w:val="right"/>
      <w:pPr>
        <w:ind w:left="5324" w:hanging="180"/>
      </w:pPr>
    </w:lvl>
    <w:lvl w:ilvl="6" w:tplc="0C09000F" w:tentative="1">
      <w:start w:val="1"/>
      <w:numFmt w:val="decimal"/>
      <w:lvlText w:val="%7."/>
      <w:lvlJc w:val="left"/>
      <w:pPr>
        <w:ind w:left="6044" w:hanging="360"/>
      </w:pPr>
    </w:lvl>
    <w:lvl w:ilvl="7" w:tplc="0C090019" w:tentative="1">
      <w:start w:val="1"/>
      <w:numFmt w:val="lowerLetter"/>
      <w:lvlText w:val="%8."/>
      <w:lvlJc w:val="left"/>
      <w:pPr>
        <w:ind w:left="6764" w:hanging="360"/>
      </w:pPr>
    </w:lvl>
    <w:lvl w:ilvl="8" w:tplc="0C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" w15:restartNumberingAfterBreak="0">
    <w:nsid w:val="73667268"/>
    <w:multiLevelType w:val="hybridMultilevel"/>
    <w:tmpl w:val="4E22C45A"/>
    <w:lvl w:ilvl="0" w:tplc="469C2426">
      <w:start w:val="1"/>
      <w:numFmt w:val="lowerLetter"/>
      <w:lvlText w:val="(%1)"/>
      <w:lvlJc w:val="left"/>
      <w:pPr>
        <w:ind w:left="18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50" w:hanging="360"/>
      </w:pPr>
    </w:lvl>
    <w:lvl w:ilvl="2" w:tplc="0C09001B" w:tentative="1">
      <w:start w:val="1"/>
      <w:numFmt w:val="lowerRoman"/>
      <w:lvlText w:val="%3."/>
      <w:lvlJc w:val="right"/>
      <w:pPr>
        <w:ind w:left="3270" w:hanging="180"/>
      </w:pPr>
    </w:lvl>
    <w:lvl w:ilvl="3" w:tplc="0C09000F" w:tentative="1">
      <w:start w:val="1"/>
      <w:numFmt w:val="decimal"/>
      <w:lvlText w:val="%4."/>
      <w:lvlJc w:val="left"/>
      <w:pPr>
        <w:ind w:left="3990" w:hanging="360"/>
      </w:pPr>
    </w:lvl>
    <w:lvl w:ilvl="4" w:tplc="0C090019" w:tentative="1">
      <w:start w:val="1"/>
      <w:numFmt w:val="lowerLetter"/>
      <w:lvlText w:val="%5."/>
      <w:lvlJc w:val="left"/>
      <w:pPr>
        <w:ind w:left="4710" w:hanging="360"/>
      </w:pPr>
    </w:lvl>
    <w:lvl w:ilvl="5" w:tplc="0C09001B" w:tentative="1">
      <w:start w:val="1"/>
      <w:numFmt w:val="lowerRoman"/>
      <w:lvlText w:val="%6."/>
      <w:lvlJc w:val="right"/>
      <w:pPr>
        <w:ind w:left="5430" w:hanging="180"/>
      </w:pPr>
    </w:lvl>
    <w:lvl w:ilvl="6" w:tplc="0C09000F" w:tentative="1">
      <w:start w:val="1"/>
      <w:numFmt w:val="decimal"/>
      <w:lvlText w:val="%7."/>
      <w:lvlJc w:val="left"/>
      <w:pPr>
        <w:ind w:left="6150" w:hanging="360"/>
      </w:pPr>
    </w:lvl>
    <w:lvl w:ilvl="7" w:tplc="0C090019" w:tentative="1">
      <w:start w:val="1"/>
      <w:numFmt w:val="lowerLetter"/>
      <w:lvlText w:val="%8."/>
      <w:lvlJc w:val="left"/>
      <w:pPr>
        <w:ind w:left="6870" w:hanging="360"/>
      </w:pPr>
    </w:lvl>
    <w:lvl w:ilvl="8" w:tplc="0C09001B" w:tentative="1">
      <w:start w:val="1"/>
      <w:numFmt w:val="lowerRoman"/>
      <w:lvlText w:val="%9."/>
      <w:lvlJc w:val="right"/>
      <w:pPr>
        <w:ind w:left="759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83"/>
    <w:rsid w:val="0001111F"/>
    <w:rsid w:val="00043828"/>
    <w:rsid w:val="000624C5"/>
    <w:rsid w:val="0006460C"/>
    <w:rsid w:val="00074A70"/>
    <w:rsid w:val="00084F45"/>
    <w:rsid w:val="00095602"/>
    <w:rsid w:val="000C2F85"/>
    <w:rsid w:val="000E692C"/>
    <w:rsid w:val="000F05F4"/>
    <w:rsid w:val="000F45A6"/>
    <w:rsid w:val="000F5BAA"/>
    <w:rsid w:val="00110354"/>
    <w:rsid w:val="0012622C"/>
    <w:rsid w:val="00146F33"/>
    <w:rsid w:val="00151A59"/>
    <w:rsid w:val="001571EA"/>
    <w:rsid w:val="001A6E13"/>
    <w:rsid w:val="001B1261"/>
    <w:rsid w:val="001B3C12"/>
    <w:rsid w:val="002001CE"/>
    <w:rsid w:val="00214297"/>
    <w:rsid w:val="0023373F"/>
    <w:rsid w:val="00250E16"/>
    <w:rsid w:val="00272A2F"/>
    <w:rsid w:val="002D5680"/>
    <w:rsid w:val="002E54F7"/>
    <w:rsid w:val="003215D2"/>
    <w:rsid w:val="00332116"/>
    <w:rsid w:val="00332B30"/>
    <w:rsid w:val="003363C8"/>
    <w:rsid w:val="00353D15"/>
    <w:rsid w:val="00366534"/>
    <w:rsid w:val="003750C2"/>
    <w:rsid w:val="003879DE"/>
    <w:rsid w:val="003A54A7"/>
    <w:rsid w:val="003B74A3"/>
    <w:rsid w:val="003C3507"/>
    <w:rsid w:val="003D3649"/>
    <w:rsid w:val="0041168B"/>
    <w:rsid w:val="00411820"/>
    <w:rsid w:val="00415A32"/>
    <w:rsid w:val="004345BF"/>
    <w:rsid w:val="0045324A"/>
    <w:rsid w:val="00463107"/>
    <w:rsid w:val="004634A5"/>
    <w:rsid w:val="004663CA"/>
    <w:rsid w:val="00471170"/>
    <w:rsid w:val="004B09AF"/>
    <w:rsid w:val="004D187F"/>
    <w:rsid w:val="00510A09"/>
    <w:rsid w:val="0051634F"/>
    <w:rsid w:val="0053336B"/>
    <w:rsid w:val="00533753"/>
    <w:rsid w:val="0055472C"/>
    <w:rsid w:val="00555777"/>
    <w:rsid w:val="00561449"/>
    <w:rsid w:val="005951AF"/>
    <w:rsid w:val="005A501C"/>
    <w:rsid w:val="005D0229"/>
    <w:rsid w:val="005D3777"/>
    <w:rsid w:val="005E0466"/>
    <w:rsid w:val="005F69EE"/>
    <w:rsid w:val="00602EBA"/>
    <w:rsid w:val="00602F26"/>
    <w:rsid w:val="00607AB6"/>
    <w:rsid w:val="006200CA"/>
    <w:rsid w:val="0066133D"/>
    <w:rsid w:val="00685F80"/>
    <w:rsid w:val="0068652D"/>
    <w:rsid w:val="006B12B9"/>
    <w:rsid w:val="006D17B6"/>
    <w:rsid w:val="006F719E"/>
    <w:rsid w:val="0070661F"/>
    <w:rsid w:val="00711A89"/>
    <w:rsid w:val="00732463"/>
    <w:rsid w:val="007550A2"/>
    <w:rsid w:val="00756DE0"/>
    <w:rsid w:val="00757EE6"/>
    <w:rsid w:val="0076004D"/>
    <w:rsid w:val="007820B4"/>
    <w:rsid w:val="007911A4"/>
    <w:rsid w:val="007A0201"/>
    <w:rsid w:val="007B25E1"/>
    <w:rsid w:val="007B2EFC"/>
    <w:rsid w:val="007B4695"/>
    <w:rsid w:val="007C2D8E"/>
    <w:rsid w:val="007E07C9"/>
    <w:rsid w:val="007E1FA6"/>
    <w:rsid w:val="0081558B"/>
    <w:rsid w:val="00823DD2"/>
    <w:rsid w:val="00835A87"/>
    <w:rsid w:val="008449DE"/>
    <w:rsid w:val="008514CB"/>
    <w:rsid w:val="00856C98"/>
    <w:rsid w:val="008616E4"/>
    <w:rsid w:val="0086558C"/>
    <w:rsid w:val="00866A83"/>
    <w:rsid w:val="00872504"/>
    <w:rsid w:val="00893645"/>
    <w:rsid w:val="008A431E"/>
    <w:rsid w:val="008A540D"/>
    <w:rsid w:val="008B08B7"/>
    <w:rsid w:val="008B70C7"/>
    <w:rsid w:val="008D062D"/>
    <w:rsid w:val="008E7C70"/>
    <w:rsid w:val="0092292D"/>
    <w:rsid w:val="00930AC7"/>
    <w:rsid w:val="0093465C"/>
    <w:rsid w:val="00980386"/>
    <w:rsid w:val="009A56DD"/>
    <w:rsid w:val="009C1DE7"/>
    <w:rsid w:val="009C1F0C"/>
    <w:rsid w:val="00A03F4A"/>
    <w:rsid w:val="00A35850"/>
    <w:rsid w:val="00A964B2"/>
    <w:rsid w:val="00AA57C1"/>
    <w:rsid w:val="00AB4C2F"/>
    <w:rsid w:val="00AD04BD"/>
    <w:rsid w:val="00AD704E"/>
    <w:rsid w:val="00AD744B"/>
    <w:rsid w:val="00B26254"/>
    <w:rsid w:val="00B40F72"/>
    <w:rsid w:val="00B412E7"/>
    <w:rsid w:val="00B813FD"/>
    <w:rsid w:val="00B85FD7"/>
    <w:rsid w:val="00B93BE3"/>
    <w:rsid w:val="00BB1E90"/>
    <w:rsid w:val="00BD141C"/>
    <w:rsid w:val="00BD682B"/>
    <w:rsid w:val="00BD71C2"/>
    <w:rsid w:val="00BF403F"/>
    <w:rsid w:val="00C34D1A"/>
    <w:rsid w:val="00C35B99"/>
    <w:rsid w:val="00C36802"/>
    <w:rsid w:val="00C45D29"/>
    <w:rsid w:val="00C53383"/>
    <w:rsid w:val="00C61B39"/>
    <w:rsid w:val="00C61F5B"/>
    <w:rsid w:val="00C82DC7"/>
    <w:rsid w:val="00C83421"/>
    <w:rsid w:val="00C8777D"/>
    <w:rsid w:val="00C955C2"/>
    <w:rsid w:val="00CA67A7"/>
    <w:rsid w:val="00CB3EFD"/>
    <w:rsid w:val="00CC4BFB"/>
    <w:rsid w:val="00CD0452"/>
    <w:rsid w:val="00CE36D3"/>
    <w:rsid w:val="00D020DB"/>
    <w:rsid w:val="00D271CE"/>
    <w:rsid w:val="00D32614"/>
    <w:rsid w:val="00D52BAB"/>
    <w:rsid w:val="00D57CF6"/>
    <w:rsid w:val="00D617D2"/>
    <w:rsid w:val="00D833EF"/>
    <w:rsid w:val="00D86D6F"/>
    <w:rsid w:val="00DD0BA7"/>
    <w:rsid w:val="00DE2AEE"/>
    <w:rsid w:val="00DE671E"/>
    <w:rsid w:val="00E03A79"/>
    <w:rsid w:val="00E14752"/>
    <w:rsid w:val="00E14A38"/>
    <w:rsid w:val="00E16545"/>
    <w:rsid w:val="00E2380A"/>
    <w:rsid w:val="00E324A9"/>
    <w:rsid w:val="00E42F75"/>
    <w:rsid w:val="00E72765"/>
    <w:rsid w:val="00EA2580"/>
    <w:rsid w:val="00ED640C"/>
    <w:rsid w:val="00F00616"/>
    <w:rsid w:val="00F53234"/>
    <w:rsid w:val="00F71EA2"/>
    <w:rsid w:val="00F80E6D"/>
    <w:rsid w:val="00F93C99"/>
    <w:rsid w:val="00FC179C"/>
    <w:rsid w:val="00FC2026"/>
    <w:rsid w:val="00FC5EA9"/>
    <w:rsid w:val="00FD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B8770"/>
  <w15:chartTrackingRefBased/>
  <w15:docId w15:val="{C741BE20-22EF-4B74-ABB5-C8F38B43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B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3B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BE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BE3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B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BE3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BE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624C5"/>
    <w:pPr>
      <w:spacing w:after="0" w:line="240" w:lineRule="auto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DCC</dc:creator>
  <cp:keywords/>
  <dc:description/>
  <cp:lastModifiedBy>DCC</cp:lastModifiedBy>
  <cp:revision>2</cp:revision>
  <dcterms:created xsi:type="dcterms:W3CDTF">2019-08-06T05:05:00Z</dcterms:created>
  <dcterms:modified xsi:type="dcterms:W3CDTF">2019-08-06T05:05:00Z</dcterms:modified>
</cp:coreProperties>
</file>