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56999988"/>
        <w:docPartObj>
          <w:docPartGallery w:val="Cover Pages"/>
          <w:docPartUnique/>
        </w:docPartObj>
      </w:sdtPr>
      <w:sdtEndPr/>
      <w:sdtContent>
        <w:p w:rsidR="00DC5053" w:rsidRDefault="00DC5053" w:rsidP="008945B4">
          <w:r>
            <w:rPr>
              <w:noProof/>
              <w:lang w:eastAsia="en-AU"/>
            </w:rPr>
            <mc:AlternateContent>
              <mc:Choice Requires="wps">
                <w:drawing>
                  <wp:anchor distT="0" distB="0" distL="114300" distR="114300" simplePos="0" relativeHeight="251659264" behindDoc="1" locked="0" layoutInCell="1" allowOverlap="1" wp14:anchorId="1CE5DE18" wp14:editId="3985F08C">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6269FCAE" wp14:editId="170F868A">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DC5053" w:rsidRPr="005E6C0E" w:rsidRDefault="00DC5053"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DC5053" w:rsidRPr="00C755AD" w:rsidTr="00C755AD">
            <w:trPr>
              <w:trHeight w:val="3135"/>
            </w:trPr>
            <w:tc>
              <w:tcPr>
                <w:tcW w:w="9242" w:type="dxa"/>
              </w:tcPr>
              <w:p w:rsidR="00DC5053" w:rsidRPr="00C755AD" w:rsidRDefault="00DC5053"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DC5053" w:rsidRPr="00C755AD" w:rsidTr="00C755AD">
            <w:tc>
              <w:tcPr>
                <w:tcW w:w="9242" w:type="dxa"/>
              </w:tcPr>
              <w:p w:rsidR="00DC5053" w:rsidRPr="00C755AD" w:rsidRDefault="00DC5053" w:rsidP="00303C4A">
                <w:pPr>
                  <w:pStyle w:val="Title"/>
                </w:pPr>
                <w:bookmarkStart w:id="0" w:name="_GoBack"/>
                <w:r w:rsidRPr="00DC5053">
                  <w:t>Framework for concerted practices guidelines</w:t>
                </w:r>
                <w:bookmarkEnd w:id="0"/>
              </w:p>
            </w:tc>
          </w:tr>
          <w:tr w:rsidR="00DC5053" w:rsidRPr="00C755AD" w:rsidTr="00C755AD">
            <w:tc>
              <w:tcPr>
                <w:tcW w:w="9242" w:type="dxa"/>
              </w:tcPr>
              <w:p w:rsidR="00DC5053" w:rsidRPr="00C755AD" w:rsidRDefault="00DC5053" w:rsidP="00303C4A"/>
              <w:p w:rsidR="00DC5053" w:rsidRPr="00C755AD" w:rsidRDefault="006A4AD2" w:rsidP="00303C4A">
                <w:pPr>
                  <w:pStyle w:val="CoverDate"/>
                </w:pPr>
                <w:r>
                  <w:t>September</w:t>
                </w:r>
                <w:r w:rsidR="00DC5053">
                  <w:t xml:space="preserve"> 2016</w:t>
                </w:r>
              </w:p>
            </w:tc>
          </w:tr>
        </w:tbl>
        <w:p w:rsidR="00DC5053" w:rsidRPr="003B5A70" w:rsidRDefault="00DC5053" w:rsidP="005E6C0E">
          <w:pPr>
            <w:tabs>
              <w:tab w:val="left" w:pos="340"/>
              <w:tab w:val="left" w:pos="680"/>
              <w:tab w:val="left" w:pos="1021"/>
              <w:tab w:val="left" w:pos="1361"/>
            </w:tabs>
          </w:pPr>
        </w:p>
        <w:p w:rsidR="00DC5053" w:rsidRDefault="00DC5053">
          <w:r>
            <w:br w:type="page"/>
          </w:r>
        </w:p>
        <w:p w:rsidR="00DC5053" w:rsidRDefault="00AD33DB" w:rsidP="00DC5053"/>
      </w:sdtContent>
    </w:sdt>
    <w:p w:rsidR="00F82B1A" w:rsidRPr="00F82B1A" w:rsidRDefault="00F82B1A" w:rsidP="00963E2A">
      <w:pPr>
        <w:pStyle w:val="Copyrighttext"/>
      </w:pPr>
      <w:r w:rsidRPr="00F82B1A">
        <w:t>© Commonwealth of Australia 2016</w:t>
      </w:r>
    </w:p>
    <w:p w:rsidR="00F82B1A" w:rsidRPr="00F82B1A" w:rsidRDefault="00F82B1A" w:rsidP="00963E2A">
      <w:pPr>
        <w:pStyle w:val="Copyrighttext"/>
      </w:pPr>
      <w:r w:rsidRPr="00F82B1A">
        <w:t xml:space="preserve">This work is copyright. In addition to any use permitted under the </w:t>
      </w:r>
      <w:r w:rsidRPr="00F82B1A">
        <w:rPr>
          <w:i/>
          <w:iCs/>
        </w:rPr>
        <w:t>Copyright Act 1968</w:t>
      </w:r>
      <w:r w:rsidRPr="00F82B1A">
        <w:t>, all material contained within this work is provided under a Creative Commons Attributions 3.0 Australia licence, with the exception of:</w:t>
      </w:r>
    </w:p>
    <w:p w:rsidR="00F82B1A" w:rsidRPr="00F82B1A" w:rsidRDefault="00F82B1A" w:rsidP="00963E2A">
      <w:pPr>
        <w:pStyle w:val="Copyrighttext"/>
        <w:numPr>
          <w:ilvl w:val="0"/>
          <w:numId w:val="42"/>
        </w:numPr>
        <w:rPr>
          <w:rFonts w:cs="Times New Roman"/>
        </w:rPr>
      </w:pPr>
      <w:r w:rsidRPr="00F82B1A">
        <w:rPr>
          <w:rFonts w:cs="Times New Roman"/>
        </w:rPr>
        <w:t>the Commonwealth Coat of Arms</w:t>
      </w:r>
    </w:p>
    <w:p w:rsidR="00F82B1A" w:rsidRPr="00F82B1A" w:rsidRDefault="00F82B1A" w:rsidP="00963E2A">
      <w:pPr>
        <w:pStyle w:val="Copyrighttext"/>
        <w:numPr>
          <w:ilvl w:val="0"/>
          <w:numId w:val="42"/>
        </w:numPr>
        <w:rPr>
          <w:rFonts w:cs="Times New Roman"/>
        </w:rPr>
      </w:pPr>
      <w:r w:rsidRPr="00F82B1A">
        <w:rPr>
          <w:rFonts w:cs="Times New Roman"/>
        </w:rPr>
        <w:t>the ACCC and AER logos</w:t>
      </w:r>
    </w:p>
    <w:p w:rsidR="00F82B1A" w:rsidRPr="00F82B1A" w:rsidRDefault="00F82B1A" w:rsidP="00963E2A">
      <w:pPr>
        <w:pStyle w:val="Copyrighttext"/>
        <w:numPr>
          <w:ilvl w:val="0"/>
          <w:numId w:val="42"/>
        </w:numPr>
        <w:rPr>
          <w:rFonts w:cs="Times New Roman"/>
        </w:rPr>
      </w:pPr>
      <w:r w:rsidRPr="00F82B1A">
        <w:rPr>
          <w:rFonts w:cs="Times New Roman"/>
        </w:rPr>
        <w:t>any illustration, diagram, photograph or graphic over which the Australian Competition and Consumer Commission does not hold copyright, but which may be part of or contained within this publication. The details of the relevant licence conditions are available on the Creative Commons website, as is the full legal code for the CC BY 3.0 AU licence.</w:t>
      </w:r>
    </w:p>
    <w:p w:rsidR="00F82B1A" w:rsidRDefault="00F82B1A" w:rsidP="00F82B1A">
      <w:pPr>
        <w:rPr>
          <w:rFonts w:ascii="Lucida Fax" w:eastAsiaTheme="majorEastAsia" w:hAnsi="Lucida Fax" w:cstheme="majorBidi"/>
          <w:bCs/>
          <w:color w:val="51626F"/>
          <w:sz w:val="32"/>
          <w:szCs w:val="28"/>
        </w:rPr>
      </w:pPr>
      <w:r>
        <w:t xml:space="preserve"> </w:t>
      </w:r>
      <w:r>
        <w:br w:type="page"/>
      </w:r>
    </w:p>
    <w:p w:rsidR="003C0D8F" w:rsidRDefault="003C0D8F" w:rsidP="00DC5053">
      <w:pPr>
        <w:pStyle w:val="Heading1"/>
      </w:pPr>
      <w:r>
        <w:lastRenderedPageBreak/>
        <w:t>Purpose of the draft framework</w:t>
      </w:r>
    </w:p>
    <w:p w:rsidR="003C0D8F" w:rsidRPr="00AA75A7" w:rsidRDefault="003C0D8F" w:rsidP="00DC5053">
      <w:r w:rsidRPr="00AA75A7">
        <w:t>The Australian Government has released an exposure Bill to implement reforms identified by the Harper Competition Policy Review.</w:t>
      </w:r>
      <w:r w:rsidR="006938B3">
        <w:t xml:space="preserve"> One area of reform included in</w:t>
      </w:r>
      <w:r w:rsidRPr="00AA75A7">
        <w:t xml:space="preserve"> </w:t>
      </w:r>
      <w:r w:rsidR="006938B3">
        <w:t>t</w:t>
      </w:r>
      <w:r w:rsidRPr="00AA75A7">
        <w:t xml:space="preserve">he exposure Bill </w:t>
      </w:r>
      <w:r w:rsidR="006938B3">
        <w:t xml:space="preserve">is </w:t>
      </w:r>
      <w:r w:rsidRPr="00AA75A7">
        <w:t xml:space="preserve">to </w:t>
      </w:r>
      <w:r w:rsidR="006938B3">
        <w:t xml:space="preserve">amend the </w:t>
      </w:r>
      <w:r w:rsidR="00E3224D" w:rsidRPr="00DC5053">
        <w:rPr>
          <w:rStyle w:val="Emphasis"/>
        </w:rPr>
        <w:t xml:space="preserve">Competition and Consumer Act 2010 </w:t>
      </w:r>
      <w:r w:rsidR="00E3224D">
        <w:t>(</w:t>
      </w:r>
      <w:r w:rsidR="006938B3">
        <w:t>CCA</w:t>
      </w:r>
      <w:r w:rsidR="00E3224D">
        <w:t>)</w:t>
      </w:r>
      <w:r w:rsidR="006938B3">
        <w:t xml:space="preserve"> to </w:t>
      </w:r>
      <w:r w:rsidRPr="00AA75A7">
        <w:t xml:space="preserve">introduce a prohibition against concerted practices that substantially lessen competition. If the Bill is enacted, we will publish guidelines about </w:t>
      </w:r>
      <w:r w:rsidR="001F7AAC" w:rsidRPr="00AA75A7">
        <w:t>our</w:t>
      </w:r>
      <w:r w:rsidRPr="00AA75A7">
        <w:t xml:space="preserve"> approach to possible breaches of the concerted practices prohibition.</w:t>
      </w:r>
    </w:p>
    <w:p w:rsidR="003C0D8F" w:rsidRPr="00AA75A7" w:rsidRDefault="003C0D8F" w:rsidP="00DC5053">
      <w:r w:rsidRPr="00AA75A7">
        <w:t xml:space="preserve">This framework </w:t>
      </w:r>
      <w:r w:rsidR="00DA7D75" w:rsidRPr="00AA75A7">
        <w:t xml:space="preserve">provides a summary of the </w:t>
      </w:r>
      <w:r w:rsidR="00524B55">
        <w:t>proposed</w:t>
      </w:r>
      <w:r w:rsidR="00524B55" w:rsidRPr="00AA75A7">
        <w:t xml:space="preserve"> </w:t>
      </w:r>
      <w:r w:rsidR="00DA7D75" w:rsidRPr="00AA75A7">
        <w:t xml:space="preserve">content of </w:t>
      </w:r>
      <w:r w:rsidR="00524B55">
        <w:t>the</w:t>
      </w:r>
      <w:r w:rsidR="00524B55" w:rsidRPr="00AA75A7">
        <w:t xml:space="preserve"> </w:t>
      </w:r>
      <w:r w:rsidRPr="00AA75A7">
        <w:t xml:space="preserve">guidelines. It is intended to help you to understand the proposed reform </w:t>
      </w:r>
      <w:r w:rsidR="001F7AAC" w:rsidRPr="00AA75A7">
        <w:t>and help you to provide</w:t>
      </w:r>
      <w:r w:rsidR="00DA7D75" w:rsidRPr="00AA75A7">
        <w:t xml:space="preserve"> us with</w:t>
      </w:r>
      <w:r w:rsidR="001F7AAC" w:rsidRPr="00AA75A7">
        <w:t xml:space="preserve"> feedback that will</w:t>
      </w:r>
      <w:r w:rsidR="001166BA" w:rsidRPr="00AA75A7">
        <w:t xml:space="preserve"> inform and</w:t>
      </w:r>
      <w:r w:rsidR="001F7AAC" w:rsidRPr="00AA75A7">
        <w:t xml:space="preserve"> improve the guidelines</w:t>
      </w:r>
      <w:r w:rsidR="00B82C83" w:rsidRPr="00AA75A7">
        <w:t xml:space="preserve"> we produce</w:t>
      </w:r>
      <w:r w:rsidR="001F7AAC" w:rsidRPr="00AA75A7">
        <w:t>.</w:t>
      </w:r>
    </w:p>
    <w:p w:rsidR="001F7AAC" w:rsidRPr="00AA75A7" w:rsidRDefault="001F7AAC" w:rsidP="00DC5053">
      <w:r w:rsidRPr="00AA75A7">
        <w:t xml:space="preserve">An effective guideline should provide you with greater certainty about our understanding of </w:t>
      </w:r>
      <w:r w:rsidR="001166BA" w:rsidRPr="00AA75A7">
        <w:t>the conduct that is likely to be a prohibited concerted practice and how we will enforce the law. The guideline</w:t>
      </w:r>
      <w:r w:rsidR="00B82C83" w:rsidRPr="00AA75A7">
        <w:t xml:space="preserve"> will provide our views only</w:t>
      </w:r>
      <w:r w:rsidR="00BF07E3">
        <w:t xml:space="preserve">. It </w:t>
      </w:r>
      <w:r w:rsidR="001166BA" w:rsidRPr="00AA75A7">
        <w:t xml:space="preserve">will </w:t>
      </w:r>
      <w:r w:rsidR="00BF07E3">
        <w:t>ultimately be up to the Courts</w:t>
      </w:r>
      <w:r w:rsidR="00B82C83" w:rsidRPr="00AA75A7">
        <w:t xml:space="preserve"> to determine whether you have breached the </w:t>
      </w:r>
      <w:r w:rsidR="00E55394">
        <w:t xml:space="preserve">prohibition on </w:t>
      </w:r>
      <w:r w:rsidR="00B82C83" w:rsidRPr="00AA75A7">
        <w:t xml:space="preserve">concerted practices </w:t>
      </w:r>
      <w:r w:rsidR="00E55394">
        <w:t>that have the purpose, effect or likely effect of substantially lessening competition</w:t>
      </w:r>
      <w:r w:rsidR="00B82C83" w:rsidRPr="00AA75A7">
        <w:t>.</w:t>
      </w:r>
      <w:r w:rsidR="00BF07E3" w:rsidRPr="00BF07E3">
        <w:t xml:space="preserve"> </w:t>
      </w:r>
    </w:p>
    <w:p w:rsidR="00762B8E" w:rsidRPr="00AA75A7" w:rsidRDefault="00762B8E" w:rsidP="00DC5053">
      <w:pPr>
        <w:rPr>
          <w:lang w:val="en-US"/>
        </w:rPr>
      </w:pPr>
      <w:r w:rsidRPr="00AA75A7">
        <w:rPr>
          <w:lang w:val="en-US"/>
        </w:rPr>
        <w:t xml:space="preserve">We invite your feedback on this framework. We will prepare and publish the guideline with the benefit of feedback </w:t>
      </w:r>
      <w:r w:rsidR="003E0AB5">
        <w:rPr>
          <w:lang w:val="en-US"/>
        </w:rPr>
        <w:t xml:space="preserve">once </w:t>
      </w:r>
      <w:r w:rsidRPr="00AA75A7">
        <w:rPr>
          <w:lang w:val="en-US"/>
        </w:rPr>
        <w:t>the CCA is amended</w:t>
      </w:r>
      <w:r w:rsidR="003E0AB5">
        <w:rPr>
          <w:lang w:val="en-US"/>
        </w:rPr>
        <w:t xml:space="preserve"> to introduce the prohibition</w:t>
      </w:r>
      <w:r w:rsidRPr="00AA75A7">
        <w:rPr>
          <w:lang w:val="en-US"/>
        </w:rPr>
        <w:t>.</w:t>
      </w:r>
    </w:p>
    <w:p w:rsidR="00BB0424" w:rsidRPr="00274494" w:rsidRDefault="00BB0424" w:rsidP="00D272F8">
      <w:pPr>
        <w:shd w:val="clear" w:color="auto" w:fill="F2F2F2" w:themeFill="background1" w:themeFillShade="F2"/>
        <w:rPr>
          <w:rStyle w:val="Strong"/>
        </w:rPr>
      </w:pPr>
      <w:r w:rsidRPr="00274494">
        <w:rPr>
          <w:rStyle w:val="Strong"/>
        </w:rPr>
        <w:t>Invitation for submissions on the proposed framework</w:t>
      </w:r>
    </w:p>
    <w:p w:rsidR="00BB0424" w:rsidRPr="00D272F8" w:rsidRDefault="00BB0424" w:rsidP="001602E2">
      <w:pPr>
        <w:shd w:val="clear" w:color="auto" w:fill="F2F2F2" w:themeFill="background1" w:themeFillShade="F2"/>
        <w:rPr>
          <w:lang w:val="en-US"/>
        </w:rPr>
      </w:pPr>
      <w:r w:rsidRPr="002C05A7">
        <w:t xml:space="preserve">Submissions are invited to be made to the ACCC by </w:t>
      </w:r>
      <w:r w:rsidR="00CD0333" w:rsidRPr="00AD33DB">
        <w:rPr>
          <w:rStyle w:val="Strong"/>
        </w:rPr>
        <w:t>3 October 2016</w:t>
      </w:r>
      <w:r w:rsidRPr="002C05A7">
        <w:t xml:space="preserve"> and can be made </w:t>
      </w:r>
      <w:r w:rsidRPr="00D272F8">
        <w:rPr>
          <w:lang w:val="en-US"/>
        </w:rPr>
        <w:t>o</w:t>
      </w:r>
      <w:r w:rsidR="00CD0333" w:rsidRPr="00D272F8">
        <w:rPr>
          <w:lang w:val="en-US"/>
        </w:rPr>
        <w:t xml:space="preserve">nline at </w:t>
      </w:r>
      <w:hyperlink r:id="rId11" w:history="1">
        <w:r w:rsidR="00D272F8" w:rsidRPr="00D272F8">
          <w:rPr>
            <w:rStyle w:val="Hyperlink"/>
            <w:lang w:val="en-US"/>
          </w:rPr>
          <w:t>https://consultation.accc.gov.au/legal-economic/draft-framework-for-concerted-practices-guidelines/</w:t>
        </w:r>
      </w:hyperlink>
      <w:r w:rsidR="00D272F8" w:rsidRPr="00D272F8">
        <w:rPr>
          <w:lang w:val="en-US"/>
        </w:rPr>
        <w:t xml:space="preserve"> </w:t>
      </w:r>
    </w:p>
    <w:p w:rsidR="005957F8" w:rsidRDefault="005957F8" w:rsidP="005957F8">
      <w:pPr>
        <w:pStyle w:val="Heading1"/>
      </w:pPr>
      <w:r>
        <w:t>The proposed law</w:t>
      </w:r>
    </w:p>
    <w:p w:rsidR="005957F8" w:rsidRPr="00AA75A7" w:rsidRDefault="005957F8" w:rsidP="003C0D8F">
      <w:pPr>
        <w:rPr>
          <w:rFonts w:cs="Arial"/>
        </w:rPr>
      </w:pPr>
      <w:r w:rsidRPr="00AA75A7">
        <w:rPr>
          <w:rFonts w:cs="Arial"/>
        </w:rPr>
        <w:t xml:space="preserve">The proposed amendment </w:t>
      </w:r>
      <w:r w:rsidR="006938B3">
        <w:rPr>
          <w:rFonts w:cs="Arial"/>
        </w:rPr>
        <w:t xml:space="preserve">would insert a new sub-paragraph (c) into section 45 as </w:t>
      </w:r>
      <w:r w:rsidRPr="00AA75A7">
        <w:rPr>
          <w:rFonts w:cs="Arial"/>
        </w:rPr>
        <w:t>set out below:</w:t>
      </w:r>
    </w:p>
    <w:p w:rsidR="005957F8" w:rsidRPr="00AA75A7" w:rsidRDefault="005957F8" w:rsidP="003C0D8F">
      <w:pPr>
        <w:rPr>
          <w:rFonts w:cs="Arial"/>
        </w:rPr>
      </w:pPr>
      <w:r w:rsidRPr="00AA75A7">
        <w:rPr>
          <w:rFonts w:cs="Arial"/>
        </w:rPr>
        <w:t>Section 45</w:t>
      </w:r>
    </w:p>
    <w:p w:rsidR="005957F8" w:rsidRDefault="005957F8" w:rsidP="00DC5053">
      <w:pPr>
        <w:pStyle w:val="ListNumber2"/>
      </w:pPr>
      <w:r w:rsidRPr="00AA75A7">
        <w:t>A corporation must not:</w:t>
      </w:r>
    </w:p>
    <w:p w:rsidR="006938B3" w:rsidRPr="006938B3" w:rsidRDefault="006938B3" w:rsidP="00DC5053">
      <w:pPr>
        <w:pStyle w:val="ListContinue"/>
      </w:pPr>
      <w:r>
        <w:t>…</w:t>
      </w:r>
    </w:p>
    <w:p w:rsidR="005957F8" w:rsidRPr="00AA75A7" w:rsidRDefault="00AD1EB5" w:rsidP="00DC5053">
      <w:pPr>
        <w:pStyle w:val="Listalphabet3"/>
      </w:pPr>
      <w:proofErr w:type="gramStart"/>
      <w:r>
        <w:t>e</w:t>
      </w:r>
      <w:r w:rsidR="005957F8" w:rsidRPr="00AA75A7">
        <w:t>ngage</w:t>
      </w:r>
      <w:proofErr w:type="gramEnd"/>
      <w:r w:rsidR="005957F8" w:rsidRPr="00AA75A7">
        <w:t xml:space="preserve"> with one or more persons in a concerted practice that has the purpose</w:t>
      </w:r>
      <w:r>
        <w:t>,</w:t>
      </w:r>
      <w:r w:rsidR="005957F8" w:rsidRPr="00AA75A7">
        <w:t xml:space="preserve"> or has or is likely to have the effect, of subs</w:t>
      </w:r>
      <w:r w:rsidR="006938B3">
        <w:t>tantially lessening competition</w:t>
      </w:r>
      <w:r>
        <w:t>.</w:t>
      </w:r>
    </w:p>
    <w:p w:rsidR="00A37D59" w:rsidRDefault="00A37D59" w:rsidP="00A37D59">
      <w:pPr>
        <w:pStyle w:val="Heading1"/>
      </w:pPr>
      <w:r>
        <w:t>International experiences</w:t>
      </w:r>
    </w:p>
    <w:p w:rsidR="00A37D59" w:rsidRPr="00C809F8" w:rsidRDefault="00A37D59" w:rsidP="00A37D59">
      <w:pPr>
        <w:rPr>
          <w:rFonts w:cs="Arial"/>
          <w:lang w:val="en"/>
        </w:rPr>
      </w:pPr>
      <w:r w:rsidRPr="00C809F8">
        <w:rPr>
          <w:rFonts w:cs="Arial"/>
          <w:lang w:val="en"/>
        </w:rPr>
        <w:t>The concept of a concerted practice is well established in competition law internationally.</w:t>
      </w:r>
    </w:p>
    <w:p w:rsidR="00A37D59" w:rsidRPr="00C809F8" w:rsidRDefault="00A37D59" w:rsidP="00DC5053">
      <w:pPr>
        <w:pStyle w:val="Bulletpoint"/>
        <w:rPr>
          <w:lang w:val="en"/>
        </w:rPr>
      </w:pPr>
      <w:r w:rsidRPr="00C809F8">
        <w:rPr>
          <w:lang w:val="en"/>
        </w:rPr>
        <w:t>The European Union (EU) has a long history of prohibiting “concerted practices” that have the object or effect of preventing, restricting or distorting competition. Other jurisdictions introducing new competition law regimes (such as Hong Kong and Singapore) have followed a similar approach.</w:t>
      </w:r>
    </w:p>
    <w:p w:rsidR="00A37D59" w:rsidRDefault="00A37D59" w:rsidP="00DC5053">
      <w:pPr>
        <w:pStyle w:val="Bulletpoint"/>
        <w:rPr>
          <w:lang w:val="en"/>
        </w:rPr>
      </w:pPr>
      <w:r w:rsidRPr="00C809F8">
        <w:rPr>
          <w:lang w:val="en"/>
        </w:rPr>
        <w:t xml:space="preserve">In the EU and United Kingdom, the principle at the heart of establishing whether an unlawful concerted practice has occurred is whether “the parties, even if they did not enter into an agreement, knowingly substituted cooperation between them for the risks of </w:t>
      </w:r>
      <w:r w:rsidRPr="00C809F8">
        <w:rPr>
          <w:lang w:val="en"/>
        </w:rPr>
        <w:lastRenderedPageBreak/>
        <w:t>competition”.</w:t>
      </w:r>
      <w:r w:rsidRPr="00C809F8">
        <w:rPr>
          <w:vertAlign w:val="superscript"/>
          <w:lang w:val="en"/>
        </w:rPr>
        <w:footnoteReference w:id="1"/>
      </w:r>
      <w:r w:rsidRPr="00C809F8">
        <w:rPr>
          <w:lang w:val="en"/>
        </w:rPr>
        <w:t xml:space="preserve"> This is based on the idea that in a competitive market each economic operator must determine independently the </w:t>
      </w:r>
      <w:r w:rsidR="00145725">
        <w:rPr>
          <w:lang w:val="en"/>
        </w:rPr>
        <w:t>practices</w:t>
      </w:r>
      <w:r w:rsidR="00145725" w:rsidRPr="00C809F8">
        <w:rPr>
          <w:lang w:val="en"/>
        </w:rPr>
        <w:t xml:space="preserve"> </w:t>
      </w:r>
      <w:r w:rsidRPr="00C809F8">
        <w:rPr>
          <w:lang w:val="en"/>
        </w:rPr>
        <w:t>it intends to adopt in the market.</w:t>
      </w:r>
      <w:r w:rsidRPr="00C809F8">
        <w:rPr>
          <w:vertAlign w:val="superscript"/>
          <w:lang w:val="en"/>
        </w:rPr>
        <w:footnoteReference w:id="2"/>
      </w:r>
    </w:p>
    <w:p w:rsidR="001166BA" w:rsidRDefault="001166BA" w:rsidP="006938B3">
      <w:pPr>
        <w:pStyle w:val="Heading1"/>
        <w:keepNext/>
      </w:pPr>
      <w:r>
        <w:t>What is a concerted practice?</w:t>
      </w:r>
    </w:p>
    <w:p w:rsidR="001166BA" w:rsidRPr="00AA75A7" w:rsidRDefault="00B82C83" w:rsidP="00DC5053">
      <w:r w:rsidRPr="00AA75A7">
        <w:t>Section 45 of the CCA currently prohibits corporations from making or giving effect to contracts, arrangements and understandings that have the purpose, effect or likely effect of substantially lessening competition.</w:t>
      </w:r>
    </w:p>
    <w:p w:rsidR="00B82C83" w:rsidRPr="00AA75A7" w:rsidRDefault="00B82C83" w:rsidP="00DC5053">
      <w:r w:rsidRPr="00AA75A7">
        <w:t xml:space="preserve">If the Bill is enacted, section 45 will also prohibit corporations from engaging in </w:t>
      </w:r>
      <w:r w:rsidRPr="00DC5053">
        <w:rPr>
          <w:rStyle w:val="Strong"/>
        </w:rPr>
        <w:t>a concerted practice</w:t>
      </w:r>
      <w:r w:rsidRPr="00AA75A7">
        <w:t xml:space="preserve"> that has the </w:t>
      </w:r>
      <w:r w:rsidRPr="00DC5053">
        <w:rPr>
          <w:rStyle w:val="Strong"/>
        </w:rPr>
        <w:t xml:space="preserve">purpose, effect or likely </w:t>
      </w:r>
      <w:r w:rsidR="00F7747F" w:rsidRPr="00DC5053">
        <w:rPr>
          <w:rStyle w:val="Strong"/>
        </w:rPr>
        <w:t>effect of substantially lessening competition</w:t>
      </w:r>
      <w:r w:rsidR="00F7747F" w:rsidRPr="00AA75A7">
        <w:t>.</w:t>
      </w:r>
    </w:p>
    <w:p w:rsidR="003A38AD" w:rsidRDefault="000A6875" w:rsidP="00DC5053">
      <w:pPr>
        <w:pStyle w:val="Boxedtext"/>
      </w:pPr>
      <w:r>
        <w:t xml:space="preserve">A </w:t>
      </w:r>
      <w:r w:rsidR="003A38AD" w:rsidRPr="003A38AD">
        <w:t xml:space="preserve">concerted practice </w:t>
      </w:r>
      <w:r>
        <w:t>is</w:t>
      </w:r>
      <w:r w:rsidR="003A38AD" w:rsidRPr="003A38AD">
        <w:t xml:space="preserve"> a form of coordination between </w:t>
      </w:r>
      <w:r w:rsidR="00381BC4">
        <w:t xml:space="preserve">competing </w:t>
      </w:r>
      <w:r w:rsidR="003A38AD">
        <w:t>businesses</w:t>
      </w:r>
      <w:r w:rsidR="003A38AD" w:rsidRPr="003A38AD">
        <w:t xml:space="preserve"> by which, without </w:t>
      </w:r>
      <w:r w:rsidR="003A38AD">
        <w:t>them</w:t>
      </w:r>
      <w:r>
        <w:t xml:space="preserve"> having entered a contract</w:t>
      </w:r>
      <w:r w:rsidR="003A38AD" w:rsidRPr="003A38AD">
        <w:t>,</w:t>
      </w:r>
      <w:r>
        <w:t xml:space="preserve"> arrangement or understanding,</w:t>
      </w:r>
      <w:r w:rsidR="003A38AD" w:rsidRPr="003A38AD">
        <w:t xml:space="preserve"> practical cooperation between them is substituted for the risks of competition</w:t>
      </w:r>
      <w:r>
        <w:t>.</w:t>
      </w:r>
    </w:p>
    <w:p w:rsidR="00A95ECF" w:rsidRPr="005E6B9F" w:rsidRDefault="00F358D0" w:rsidP="001166BA">
      <w:r w:rsidRPr="005E6B9F">
        <w:t xml:space="preserve">The following are examples of conduct that </w:t>
      </w:r>
      <w:r w:rsidR="005035AD" w:rsidRPr="005E6B9F">
        <w:t xml:space="preserve">is </w:t>
      </w:r>
      <w:r w:rsidRPr="005E6B9F">
        <w:rPr>
          <w:rStyle w:val="Strong"/>
        </w:rPr>
        <w:t>likely</w:t>
      </w:r>
      <w:r w:rsidRPr="005E6B9F">
        <w:t xml:space="preserve"> to amount to a concerted practice</w:t>
      </w:r>
      <w:r w:rsidR="002D27C6" w:rsidRPr="005E6B9F">
        <w:t>.</w:t>
      </w:r>
      <w:r w:rsidRPr="005E6B9F">
        <w:t xml:space="preserve"> </w:t>
      </w:r>
      <w:r w:rsidR="00253E26" w:rsidRPr="005E6B9F">
        <w:t>It is important to emphasise, though, that t</w:t>
      </w:r>
      <w:r w:rsidR="002D27C6" w:rsidRPr="005E6B9F">
        <w:t xml:space="preserve">he conduct will only be prohibited if it </w:t>
      </w:r>
      <w:r w:rsidR="00253E26" w:rsidRPr="005E6B9F">
        <w:t xml:space="preserve">also </w:t>
      </w:r>
      <w:r w:rsidRPr="005E6B9F">
        <w:t>has the purpose, effect or likely effect of substantially lessening competition</w:t>
      </w:r>
      <w:r w:rsidR="00253E26" w:rsidRPr="005E6B9F">
        <w:t xml:space="preserve"> (discussed further below)</w:t>
      </w:r>
      <w:r w:rsidR="002D27C6" w:rsidRPr="005E6B9F">
        <w:t>:</w:t>
      </w:r>
    </w:p>
    <w:p w:rsidR="000343EE" w:rsidRPr="00AA75A7" w:rsidRDefault="000343EE" w:rsidP="00DC5053">
      <w:pPr>
        <w:pStyle w:val="Bulletpoint"/>
      </w:pPr>
      <w:r w:rsidRPr="00AA75A7">
        <w:t xml:space="preserve">A number of pearl cultivators in a small geographic region regularly meet as part of the pearl cultivators’ industry association, usually to discuss general issues in the industry. </w:t>
      </w:r>
    </w:p>
    <w:p w:rsidR="000343EE" w:rsidRPr="00AA75A7" w:rsidRDefault="000343EE" w:rsidP="00DC5053">
      <w:pPr>
        <w:pStyle w:val="ListContinue"/>
      </w:pPr>
      <w:r w:rsidRPr="00AA75A7">
        <w:t xml:space="preserve">At one of these meetings some cultivators state that they will restrict their output to a certain number for the purpose of artificially increasing the </w:t>
      </w:r>
      <w:r w:rsidR="00253E26">
        <w:t>price</w:t>
      </w:r>
      <w:r w:rsidR="00253E26" w:rsidRPr="00AA75A7">
        <w:t xml:space="preserve"> </w:t>
      </w:r>
      <w:r w:rsidRPr="00AA75A7">
        <w:t xml:space="preserve">of Australian pearls and maximising profits for the pearl cultivators. </w:t>
      </w:r>
    </w:p>
    <w:p w:rsidR="000343EE" w:rsidRPr="00AA75A7" w:rsidRDefault="000343EE" w:rsidP="00DC5053">
      <w:pPr>
        <w:pStyle w:val="ListContinue"/>
      </w:pPr>
      <w:r w:rsidRPr="00AA75A7">
        <w:t xml:space="preserve">A practice develops where such intentions are flagged in the meetings and while no party to the conversations is bound to provide the information or </w:t>
      </w:r>
      <w:r w:rsidR="003E0AB5">
        <w:t xml:space="preserve">commits </w:t>
      </w:r>
      <w:r w:rsidRPr="00AA75A7">
        <w:t xml:space="preserve">to act upon it, some cultivators restrict their output of pearls. </w:t>
      </w:r>
    </w:p>
    <w:p w:rsidR="000343EE" w:rsidRPr="00AA75A7" w:rsidRDefault="005035AD" w:rsidP="00DC5053">
      <w:pPr>
        <w:pStyle w:val="ListContinue"/>
      </w:pPr>
      <w:r>
        <w:t xml:space="preserve">These exchanges of information about producers’ output intentions are likely to </w:t>
      </w:r>
      <w:r w:rsidR="000343EE" w:rsidRPr="00AA75A7">
        <w:t>amount to a concerted practice</w:t>
      </w:r>
      <w:r>
        <w:t>. They involve the deliberate, regular provision of commercially sensitive strategy information between competitors, absent any legitimate commercial need for such exchanges</w:t>
      </w:r>
      <w:r w:rsidR="003E0AB5">
        <w:t>.</w:t>
      </w:r>
      <w:r>
        <w:t xml:space="preserve"> </w:t>
      </w:r>
      <w:r w:rsidR="003E0AB5">
        <w:t>W</w:t>
      </w:r>
      <w:r w:rsidR="000343EE" w:rsidRPr="00AA75A7">
        <w:t>ithout such information sharing, producers who reduced their output would risk a competitor taking their market share and decreased profitability from lower sales volumes where the producer acted alone.</w:t>
      </w:r>
    </w:p>
    <w:p w:rsidR="000343EE" w:rsidRPr="00AA75A7" w:rsidRDefault="000343EE" w:rsidP="00DC5053">
      <w:pPr>
        <w:pStyle w:val="Bulletpoint"/>
      </w:pPr>
      <w:r w:rsidRPr="00AA75A7">
        <w:t>A potential customer approaches different brokers in order to find the most attractive exchange price for gold.</w:t>
      </w:r>
    </w:p>
    <w:p w:rsidR="000343EE" w:rsidRPr="00AA75A7" w:rsidRDefault="003E0AB5" w:rsidP="00DC5053">
      <w:pPr>
        <w:pStyle w:val="ListContinue"/>
      </w:pPr>
      <w:r>
        <w:t>T</w:t>
      </w:r>
      <w:r w:rsidR="000343EE" w:rsidRPr="00AA75A7">
        <w:t xml:space="preserve">he rival brokers participate in private online chat rooms where they communicate through coded </w:t>
      </w:r>
      <w:r w:rsidR="00AD1EB5">
        <w:t>or</w:t>
      </w:r>
      <w:r w:rsidR="000343EE" w:rsidRPr="00AA75A7">
        <w:t xml:space="preserve"> encrypted messages what they consider to be an appropriate spread </w:t>
      </w:r>
      <w:r w:rsidR="00AD1EB5">
        <w:t xml:space="preserve">of buy / sell prices </w:t>
      </w:r>
      <w:r w:rsidR="000343EE" w:rsidRPr="00AA75A7">
        <w:t xml:space="preserve">for </w:t>
      </w:r>
      <w:r w:rsidR="00AD1EB5">
        <w:t>different volumes of</w:t>
      </w:r>
      <w:r w:rsidR="000343EE" w:rsidRPr="00AA75A7">
        <w:t xml:space="preserve"> gold </w:t>
      </w:r>
      <w:r w:rsidR="00AD1EB5">
        <w:t>to be quoted to</w:t>
      </w:r>
      <w:r w:rsidR="000343EE" w:rsidRPr="00AA75A7">
        <w:t xml:space="preserve"> customer</w:t>
      </w:r>
      <w:r w:rsidR="006938B3">
        <w:t>s</w:t>
      </w:r>
      <w:r w:rsidR="000343EE" w:rsidRPr="00AA75A7">
        <w:t>.</w:t>
      </w:r>
    </w:p>
    <w:p w:rsidR="000343EE" w:rsidRPr="001F4C23" w:rsidRDefault="000343EE" w:rsidP="00DC5053">
      <w:pPr>
        <w:pStyle w:val="ListContinue"/>
      </w:pPr>
      <w:r w:rsidRPr="00AA75A7">
        <w:t xml:space="preserve">These exchanges </w:t>
      </w:r>
      <w:r w:rsidR="001F4C23">
        <w:t xml:space="preserve">of information about each broker’s view of appropriate spreads are likely to </w:t>
      </w:r>
      <w:r w:rsidRPr="00AA75A7">
        <w:t>amount to a concerted practice</w:t>
      </w:r>
      <w:r w:rsidR="00253E26">
        <w:t>.</w:t>
      </w:r>
      <w:r w:rsidR="001F4C23">
        <w:t xml:space="preserve"> They involve the deliberate, </w:t>
      </w:r>
      <w:r w:rsidR="00906AC0">
        <w:t xml:space="preserve">private exchange of commercially sensitive pricing information by competitors, absent any legitimate commercial justification for such exchanges. </w:t>
      </w:r>
      <w:r w:rsidRPr="001F4C23">
        <w:t xml:space="preserve">Although the brokers may not </w:t>
      </w:r>
      <w:r w:rsidR="003E0AB5">
        <w:t xml:space="preserve">reach an understanding or </w:t>
      </w:r>
      <w:r w:rsidRPr="001F4C23">
        <w:t xml:space="preserve">agree on any particular price they will each set, communicating this </w:t>
      </w:r>
      <w:r w:rsidRPr="00DC5053">
        <w:lastRenderedPageBreak/>
        <w:t>information</w:t>
      </w:r>
      <w:r w:rsidRPr="001F4C23">
        <w:t xml:space="preserve"> reduces the uncertainty of the range rival brokers are likely to offer the customer</w:t>
      </w:r>
      <w:r w:rsidR="00AD1EB5">
        <w:t xml:space="preserve"> and reduces the independent rivalry between the brokers</w:t>
      </w:r>
      <w:r w:rsidRPr="001F4C23">
        <w:t>.</w:t>
      </w:r>
    </w:p>
    <w:p w:rsidR="000343EE" w:rsidRPr="00AA75A7" w:rsidRDefault="000343EE" w:rsidP="00DC5053">
      <w:pPr>
        <w:pStyle w:val="Bulletpoint"/>
      </w:pPr>
      <w:r w:rsidRPr="00AA75A7">
        <w:t xml:space="preserve">A State Government puts an essential service project out to tender. Supplier A and Supplier B are the only suppliers capable of tendering for this project. </w:t>
      </w:r>
    </w:p>
    <w:p w:rsidR="000343EE" w:rsidRPr="00AA75A7" w:rsidRDefault="000343EE" w:rsidP="00DC5053">
      <w:pPr>
        <w:pStyle w:val="ListContinue"/>
      </w:pPr>
      <w:r w:rsidRPr="00AA75A7">
        <w:t xml:space="preserve">The </w:t>
      </w:r>
      <w:r w:rsidR="003E0AB5">
        <w:t xml:space="preserve">two </w:t>
      </w:r>
      <w:r w:rsidRPr="00AA75A7">
        <w:t xml:space="preserve">suppliers engage in a series of phone conversations where they share </w:t>
      </w:r>
      <w:r w:rsidR="006938B3">
        <w:t>details of their tender responses</w:t>
      </w:r>
      <w:r w:rsidRPr="00AA75A7">
        <w:t>. While neither supplier considers themselves obliged to disclose</w:t>
      </w:r>
      <w:r w:rsidR="006938B3">
        <w:t xml:space="preserve"> details of their tender responses</w:t>
      </w:r>
      <w:r w:rsidRPr="00AA75A7">
        <w:t xml:space="preserve"> </w:t>
      </w:r>
      <w:r w:rsidR="006938B3">
        <w:t xml:space="preserve">or amend their tender </w:t>
      </w:r>
      <w:r w:rsidRPr="00AA75A7">
        <w:t xml:space="preserve">in response to the other’s disclosure, both suppliers end up providing </w:t>
      </w:r>
      <w:r w:rsidR="00906AC0">
        <w:t>an</w:t>
      </w:r>
      <w:r w:rsidRPr="00AA75A7">
        <w:t xml:space="preserve"> </w:t>
      </w:r>
      <w:r w:rsidR="006938B3">
        <w:t>amended tender response because of the information exchange</w:t>
      </w:r>
      <w:r w:rsidRPr="00AA75A7">
        <w:t>.</w:t>
      </w:r>
    </w:p>
    <w:p w:rsidR="000343EE" w:rsidRPr="00AA75A7" w:rsidRDefault="00906AC0" w:rsidP="00DC5053">
      <w:pPr>
        <w:pStyle w:val="ListContinue"/>
      </w:pPr>
      <w:r>
        <w:t xml:space="preserve">The disclosure of </w:t>
      </w:r>
      <w:r w:rsidR="006938B3">
        <w:t xml:space="preserve">tender responses </w:t>
      </w:r>
      <w:r>
        <w:t xml:space="preserve">by rival suppliers is likely to amount to </w:t>
      </w:r>
      <w:r w:rsidR="000343EE" w:rsidRPr="00AA75A7">
        <w:t xml:space="preserve">a concerted </w:t>
      </w:r>
      <w:r w:rsidR="00E37B09">
        <w:t>practice</w:t>
      </w:r>
      <w:r>
        <w:t>. Such disclosures results in t</w:t>
      </w:r>
      <w:r w:rsidR="000343EE" w:rsidRPr="00AA75A7">
        <w:t xml:space="preserve">he pricing uncertainties present in a competitive market </w:t>
      </w:r>
      <w:r>
        <w:t>being</w:t>
      </w:r>
      <w:r w:rsidR="000343EE" w:rsidRPr="00AA75A7">
        <w:t xml:space="preserve"> substituted with </w:t>
      </w:r>
      <w:r w:rsidR="00253E26">
        <w:t>practical</w:t>
      </w:r>
      <w:r w:rsidR="00253E26" w:rsidRPr="00AA75A7">
        <w:t xml:space="preserve"> </w:t>
      </w:r>
      <w:r w:rsidR="000343EE" w:rsidRPr="00AA75A7">
        <w:t>cooperation.</w:t>
      </w:r>
    </w:p>
    <w:p w:rsidR="002A7FA9" w:rsidRPr="00AA75A7" w:rsidRDefault="002A7FA9" w:rsidP="00DC5053">
      <w:pPr>
        <w:pStyle w:val="Bulletpoint"/>
      </w:pPr>
      <w:r>
        <w:t xml:space="preserve">At an </w:t>
      </w:r>
      <w:r w:rsidRPr="00AA75A7">
        <w:t>industry event, Bank A discloses to its main competitor, Bank B, Bank A’s intention to increase its loan interest rate by 25 basis points. This disclosure is made prior to disclosure to the market.</w:t>
      </w:r>
    </w:p>
    <w:p w:rsidR="002A7FA9" w:rsidRPr="00AA75A7" w:rsidRDefault="002A7FA9" w:rsidP="00DC5053">
      <w:pPr>
        <w:pStyle w:val="ListContinue"/>
      </w:pPr>
      <w:r w:rsidRPr="00AA75A7">
        <w:t>Bank B does not provide its pricing information in return</w:t>
      </w:r>
      <w:r w:rsidR="00AD1EB5">
        <w:t>,</w:t>
      </w:r>
      <w:r w:rsidRPr="00AA75A7">
        <w:t xml:space="preserve"> but circulates Bank A’s pricing information internally and knows that there will be less competitive pressure on its loan product pricing</w:t>
      </w:r>
      <w:r>
        <w:t xml:space="preserve">. </w:t>
      </w:r>
      <w:r w:rsidR="00676A4B">
        <w:t>Bank B does not seek to undercut Bank A but moves its rate broadly in line with Bank A. Bank A notes Bank B’s reaction and this practice continues over time</w:t>
      </w:r>
      <w:r w:rsidRPr="00AA75A7">
        <w:t>.</w:t>
      </w:r>
      <w:r w:rsidR="00676A4B">
        <w:rPr>
          <w:rStyle w:val="FootnoteReference"/>
          <w:rFonts w:asciiTheme="minorHAnsi" w:hAnsiTheme="minorHAnsi" w:cstheme="minorHAnsi"/>
        </w:rPr>
        <w:footnoteReference w:id="3"/>
      </w:r>
    </w:p>
    <w:p w:rsidR="002D27C6" w:rsidRPr="00AA75A7" w:rsidRDefault="002D27C6" w:rsidP="00DC5053">
      <w:pPr>
        <w:pStyle w:val="Bulletpoint"/>
      </w:pPr>
      <w:r w:rsidRPr="00AA75A7">
        <w:t xml:space="preserve">A </w:t>
      </w:r>
      <w:r w:rsidR="00331776" w:rsidRPr="00AA75A7">
        <w:t xml:space="preserve">number of petrol retailers notify each other </w:t>
      </w:r>
      <w:r w:rsidRPr="00AA75A7">
        <w:t xml:space="preserve">of </w:t>
      </w:r>
      <w:r w:rsidR="00331776" w:rsidRPr="00AA75A7">
        <w:t xml:space="preserve">their </w:t>
      </w:r>
      <w:r w:rsidRPr="00AA75A7">
        <w:t xml:space="preserve">future pricing intentions. </w:t>
      </w:r>
      <w:r w:rsidR="00331776" w:rsidRPr="00AA75A7">
        <w:t xml:space="preserve">While they have not committed to do so, they begin to regularly </w:t>
      </w:r>
      <w:r w:rsidRPr="00AA75A7">
        <w:t xml:space="preserve">follow the price change </w:t>
      </w:r>
      <w:r w:rsidR="00331776" w:rsidRPr="00AA75A7">
        <w:t>foreshadowed by others</w:t>
      </w:r>
      <w:r w:rsidR="00E37B09">
        <w:t xml:space="preserve">. </w:t>
      </w:r>
      <w:r w:rsidR="002C0890">
        <w:t xml:space="preserve">Retailers find such information assists them and start making business decisions in expectation of calls from their competitor. </w:t>
      </w:r>
      <w:r w:rsidR="00F35153">
        <w:t>No attempt is made to</w:t>
      </w:r>
      <w:r w:rsidR="002C0890">
        <w:t xml:space="preserve"> reject the calls. </w:t>
      </w:r>
      <w:r w:rsidR="00E37B09">
        <w:t>Such disclosures results in t</w:t>
      </w:r>
      <w:r w:rsidR="00E37B09" w:rsidRPr="00AA75A7">
        <w:t xml:space="preserve">he pricing uncertainties present in a competitive market </w:t>
      </w:r>
      <w:r w:rsidR="00E37B09">
        <w:t>effectively being</w:t>
      </w:r>
      <w:r w:rsidR="00E37B09" w:rsidRPr="00AA75A7">
        <w:t xml:space="preserve"> substituted </w:t>
      </w:r>
      <w:r w:rsidR="00E37B09">
        <w:t xml:space="preserve">for </w:t>
      </w:r>
      <w:r w:rsidR="00E37B09" w:rsidRPr="00AA75A7">
        <w:t>cooperation</w:t>
      </w:r>
      <w:r w:rsidR="00676A4B">
        <w:t>.</w:t>
      </w:r>
      <w:r w:rsidR="00E37B09">
        <w:rPr>
          <w:rStyle w:val="FootnoteReference"/>
          <w:rFonts w:asciiTheme="minorHAnsi" w:hAnsiTheme="minorHAnsi" w:cstheme="minorHAnsi"/>
        </w:rPr>
        <w:footnoteReference w:id="4"/>
      </w:r>
    </w:p>
    <w:p w:rsidR="00C74602" w:rsidRDefault="002342C0" w:rsidP="00DC5053">
      <w:pPr>
        <w:pStyle w:val="Bulletpoint"/>
      </w:pPr>
      <w:r w:rsidRPr="00AA75A7">
        <w:t xml:space="preserve">The two manufacturers of electricity meters </w:t>
      </w:r>
      <w:r w:rsidR="00DA7D75" w:rsidRPr="00AA75A7">
        <w:t>issue identical price lists, submit identical tenders, adopt the identical price variation clauses and notif</w:t>
      </w:r>
      <w:r w:rsidR="0046681F">
        <w:t>y</w:t>
      </w:r>
      <w:r w:rsidR="00DA7D75" w:rsidRPr="00AA75A7">
        <w:t xml:space="preserve"> each other of any pricing or product range changes</w:t>
      </w:r>
      <w:r w:rsidR="00E37B09">
        <w:t>. Such disclosures results in t</w:t>
      </w:r>
      <w:r w:rsidR="00E37B09" w:rsidRPr="00AA75A7">
        <w:t xml:space="preserve">he pricing uncertainties present in a competitive market </w:t>
      </w:r>
      <w:r w:rsidR="00E37B09">
        <w:t>effectively being</w:t>
      </w:r>
      <w:r w:rsidR="00E37B09" w:rsidRPr="00AA75A7">
        <w:t xml:space="preserve"> substituted </w:t>
      </w:r>
      <w:r w:rsidR="00AD1EB5">
        <w:t>by</w:t>
      </w:r>
      <w:r w:rsidR="00E37B09">
        <w:t xml:space="preserve"> </w:t>
      </w:r>
      <w:r w:rsidR="00E37B09" w:rsidRPr="00AA75A7">
        <w:t>cooperation</w:t>
      </w:r>
      <w:r w:rsidR="00676A4B">
        <w:t>.</w:t>
      </w:r>
      <w:r w:rsidR="00E37B09">
        <w:rPr>
          <w:rStyle w:val="FootnoteReference"/>
          <w:rFonts w:asciiTheme="minorHAnsi" w:hAnsiTheme="minorHAnsi" w:cstheme="minorHAnsi"/>
        </w:rPr>
        <w:footnoteReference w:id="5"/>
      </w:r>
    </w:p>
    <w:p w:rsidR="00583D42" w:rsidRPr="00BE5871" w:rsidRDefault="00FD2C07" w:rsidP="00DC5053">
      <w:pPr>
        <w:pStyle w:val="Bulletpoint"/>
      </w:pPr>
      <w:r w:rsidRPr="004060FA">
        <w:t xml:space="preserve">Buyers </w:t>
      </w:r>
      <w:r w:rsidR="00AD1EB5">
        <w:t>for</w:t>
      </w:r>
      <w:r w:rsidRPr="004060FA">
        <w:t xml:space="preserve"> two </w:t>
      </w:r>
      <w:r w:rsidR="00AD1EB5">
        <w:t xml:space="preserve">of the </w:t>
      </w:r>
      <w:r w:rsidRPr="004060FA">
        <w:t xml:space="preserve">largest beef processors in Australia </w:t>
      </w:r>
      <w:r w:rsidR="00AD1EB5">
        <w:t xml:space="preserve">regularly </w:t>
      </w:r>
      <w:r w:rsidRPr="004060FA">
        <w:rPr>
          <w:rFonts w:cs="Arial"/>
        </w:rPr>
        <w:t xml:space="preserve">catch up over coffee </w:t>
      </w:r>
      <w:r w:rsidR="00AD1EB5">
        <w:rPr>
          <w:rFonts w:cs="Arial"/>
        </w:rPr>
        <w:t>before each auction</w:t>
      </w:r>
      <w:r w:rsidRPr="00BE5871">
        <w:rPr>
          <w:rFonts w:cs="Arial"/>
        </w:rPr>
        <w:t xml:space="preserve">. </w:t>
      </w:r>
      <w:r w:rsidR="00AD1EB5">
        <w:rPr>
          <w:rFonts w:cs="Arial"/>
        </w:rPr>
        <w:t xml:space="preserve">The buyers </w:t>
      </w:r>
      <w:r w:rsidRPr="004314B1">
        <w:rPr>
          <w:rFonts w:cs="Arial"/>
        </w:rPr>
        <w:t>giv</w:t>
      </w:r>
      <w:r w:rsidR="00AD1EB5">
        <w:rPr>
          <w:rFonts w:cs="Arial"/>
        </w:rPr>
        <w:t>e</w:t>
      </w:r>
      <w:r w:rsidRPr="004314B1">
        <w:rPr>
          <w:rFonts w:cs="Arial"/>
        </w:rPr>
        <w:t xml:space="preserve"> each other a heads up </w:t>
      </w:r>
      <w:r w:rsidR="00AD1EB5">
        <w:rPr>
          <w:rFonts w:cs="Arial"/>
        </w:rPr>
        <w:t>on which lots each is more interested in</w:t>
      </w:r>
      <w:r w:rsidR="00B62FF4">
        <w:rPr>
          <w:rFonts w:cs="Arial"/>
        </w:rPr>
        <w:t xml:space="preserve">, </w:t>
      </w:r>
      <w:r w:rsidR="004060FA" w:rsidRPr="00AC6FCE">
        <w:rPr>
          <w:rFonts w:cs="Arial"/>
        </w:rPr>
        <w:t xml:space="preserve">on the range of prices they are authorised </w:t>
      </w:r>
      <w:r w:rsidR="004060FA" w:rsidRPr="004060FA">
        <w:rPr>
          <w:rFonts w:cs="Arial"/>
        </w:rPr>
        <w:t>to bid for the lot</w:t>
      </w:r>
      <w:r w:rsidRPr="004060FA">
        <w:rPr>
          <w:rFonts w:cs="Arial"/>
        </w:rPr>
        <w:t>, but are never committed to giving the info</w:t>
      </w:r>
      <w:r w:rsidR="004060FA" w:rsidRPr="004060FA">
        <w:rPr>
          <w:rFonts w:cs="Arial"/>
        </w:rPr>
        <w:t>rmation and never agree</w:t>
      </w:r>
      <w:r w:rsidR="00B62FF4">
        <w:rPr>
          <w:rFonts w:cs="Arial"/>
        </w:rPr>
        <w:t xml:space="preserve"> not to bid on a lot</w:t>
      </w:r>
      <w:r w:rsidR="004060FA" w:rsidRPr="004060FA">
        <w:rPr>
          <w:rFonts w:cs="Arial"/>
        </w:rPr>
        <w:t>.</w:t>
      </w:r>
      <w:r w:rsidRPr="004060FA">
        <w:rPr>
          <w:rFonts w:cs="Arial"/>
        </w:rPr>
        <w:t xml:space="preserve"> </w:t>
      </w:r>
      <w:r w:rsidR="004060FA" w:rsidRPr="004060FA">
        <w:rPr>
          <w:rFonts w:cs="Arial"/>
        </w:rPr>
        <w:t>Neither is surprised when the bidding starts</w:t>
      </w:r>
      <w:r w:rsidR="004060FA" w:rsidRPr="00BE5871">
        <w:rPr>
          <w:rFonts w:cs="Arial"/>
        </w:rPr>
        <w:t xml:space="preserve">. This is likely to amount to a concerted practice, with the buyers </w:t>
      </w:r>
      <w:r w:rsidR="004060FA" w:rsidRPr="00BE5871">
        <w:t>substituting cooperation with each other for the uncertainties</w:t>
      </w:r>
      <w:r w:rsidR="00B62FF4">
        <w:t xml:space="preserve"> and independent rivalry</w:t>
      </w:r>
      <w:r w:rsidR="004060FA" w:rsidRPr="00BE5871">
        <w:t xml:space="preserve"> of competition. </w:t>
      </w:r>
    </w:p>
    <w:p w:rsidR="006F7752" w:rsidRPr="00AA75A7" w:rsidRDefault="006F7752" w:rsidP="00DC5053">
      <w:r w:rsidRPr="00AA75A7">
        <w:t xml:space="preserve">The following are examples of conduct that </w:t>
      </w:r>
      <w:r w:rsidR="0046681F">
        <w:t>is</w:t>
      </w:r>
      <w:r w:rsidRPr="00AA75A7">
        <w:t xml:space="preserve"> </w:t>
      </w:r>
      <w:r w:rsidRPr="00DC5053">
        <w:rPr>
          <w:rStyle w:val="Strong"/>
        </w:rPr>
        <w:t>unlikely</w:t>
      </w:r>
      <w:r w:rsidRPr="00AA75A7">
        <w:t xml:space="preserve"> to amount to a concerted practice:</w:t>
      </w:r>
    </w:p>
    <w:p w:rsidR="00A24F3A" w:rsidRPr="00AA75A7" w:rsidRDefault="00A24F3A" w:rsidP="00DC5053">
      <w:pPr>
        <w:pStyle w:val="Bulletpoint"/>
      </w:pPr>
      <w:r w:rsidRPr="00AA75A7">
        <w:t xml:space="preserve">At a trade expo, rival businesses talk amongst themselves about a new technology that will allow their businesses to operate more efficiently. As they are only sharing observations on general market </w:t>
      </w:r>
      <w:r w:rsidR="00B62FF4">
        <w:t xml:space="preserve">developments and innovations, </w:t>
      </w:r>
      <w:r w:rsidR="00F61905">
        <w:t xml:space="preserve">and </w:t>
      </w:r>
      <w:r w:rsidR="004E37C1">
        <w:t xml:space="preserve">it is </w:t>
      </w:r>
      <w:r w:rsidR="00F61905">
        <w:t xml:space="preserve">not </w:t>
      </w:r>
      <w:r w:rsidR="004E37C1">
        <w:t>likely to impact independent rivalry between the firms</w:t>
      </w:r>
      <w:r w:rsidRPr="00AA75A7">
        <w:t xml:space="preserve">, this would be unlikely to amount to a concerted practice. Sharing information and discussing industry issues with other </w:t>
      </w:r>
      <w:r w:rsidRPr="00AA75A7">
        <w:lastRenderedPageBreak/>
        <w:t>association members on topics unlikely to impact competition can be undertaken for legitimate reasons.</w:t>
      </w:r>
    </w:p>
    <w:p w:rsidR="00A24F3A" w:rsidRDefault="00A24F3A" w:rsidP="00DC5053">
      <w:pPr>
        <w:pStyle w:val="Bulletpoint"/>
      </w:pPr>
      <w:r w:rsidRPr="00AA75A7">
        <w:t>Airline A runs a promotion offering discounts on flights to a number of popular holiday destinations. Airline B monitors Airline A’s promotional offers in order to match Airline A’s prices as part of its own campaign. This is unlikely to amount to a concerted practice as Airline B is responding to Airline A’s publicly advertised pricing information without any coordination occurring between the two airlines.</w:t>
      </w:r>
    </w:p>
    <w:p w:rsidR="00F33CBA" w:rsidRDefault="008C240F" w:rsidP="00DC5053">
      <w:pPr>
        <w:pStyle w:val="Bulletpoint"/>
      </w:pPr>
      <w:r>
        <w:t>The ACCC</w:t>
      </w:r>
      <w:r w:rsidR="00E84F14">
        <w:t xml:space="preserve"> invites </w:t>
      </w:r>
      <w:r>
        <w:t xml:space="preserve">banks to a discussion on how to identify and take action on scams which are resulting in Australians losing their life savings. The ACCC asks the banks to self-initiate their own measures to identify when customers are being scammed. The banks, fully informed of their obligations, </w:t>
      </w:r>
      <w:r w:rsidR="00276588">
        <w:t>see the problem from scams and establish their own systems. Th</w:t>
      </w:r>
      <w:r w:rsidR="00F33CBA">
        <w:t xml:space="preserve">e banks do not substitute cooperation with </w:t>
      </w:r>
      <w:r w:rsidR="00B62FF4">
        <w:t xml:space="preserve">each </w:t>
      </w:r>
      <w:r w:rsidR="00F33CBA">
        <w:t>other for the uncertainties of competition.</w:t>
      </w:r>
    </w:p>
    <w:p w:rsidR="00452A05" w:rsidRDefault="00452A05" w:rsidP="00DC5053">
      <w:pPr>
        <w:shd w:val="clear" w:color="auto" w:fill="F2F2F2" w:themeFill="background1" w:themeFillShade="F2"/>
      </w:pPr>
      <w:r>
        <w:t>Questions</w:t>
      </w:r>
    </w:p>
    <w:p w:rsidR="00452A05" w:rsidRDefault="008F78EB" w:rsidP="00DC5053">
      <w:pPr>
        <w:pStyle w:val="ListNumber"/>
        <w:shd w:val="clear" w:color="auto" w:fill="F2F2F2" w:themeFill="background1" w:themeFillShade="F2"/>
      </w:pPr>
      <w:r>
        <w:t>Do you have any comments on our description of concerted practices?</w:t>
      </w:r>
    </w:p>
    <w:p w:rsidR="00452A05" w:rsidRDefault="008F78EB" w:rsidP="00DC5053">
      <w:pPr>
        <w:pStyle w:val="ListNumber"/>
        <w:shd w:val="clear" w:color="auto" w:fill="F2F2F2" w:themeFill="background1" w:themeFillShade="F2"/>
      </w:pPr>
      <w:r>
        <w:t>Do you have any comments on the examples used of conduct that is likely to amount to a concerted practice?</w:t>
      </w:r>
    </w:p>
    <w:p w:rsidR="008F78EB" w:rsidRDefault="008F78EB" w:rsidP="00DC5053">
      <w:pPr>
        <w:pStyle w:val="ListNumber"/>
        <w:shd w:val="clear" w:color="auto" w:fill="F2F2F2" w:themeFill="background1" w:themeFillShade="F2"/>
      </w:pPr>
      <w:r>
        <w:t>Do you have any comments on the examples used of conduct that is unlikely to amount to a concerted practice?</w:t>
      </w:r>
    </w:p>
    <w:p w:rsidR="00751BBC" w:rsidRPr="00C809F8" w:rsidRDefault="00751BBC" w:rsidP="00DC5053">
      <w:pPr>
        <w:pStyle w:val="ListNumber"/>
        <w:shd w:val="clear" w:color="auto" w:fill="F2F2F2" w:themeFill="background1" w:themeFillShade="F2"/>
        <w:rPr>
          <w:rFonts w:cs="Arial"/>
        </w:rPr>
      </w:pPr>
      <w:r>
        <w:rPr>
          <w:rFonts w:cs="Arial"/>
        </w:rPr>
        <w:t>What learnings should we draw from international experience to inform our guidance and enforcement activities?</w:t>
      </w:r>
    </w:p>
    <w:p w:rsidR="008F78EB" w:rsidRDefault="008F78EB" w:rsidP="00DC5053">
      <w:pPr>
        <w:pStyle w:val="ListNumber"/>
        <w:shd w:val="clear" w:color="auto" w:fill="F2F2F2" w:themeFill="background1" w:themeFillShade="F2"/>
      </w:pPr>
      <w:r>
        <w:t xml:space="preserve">Are there any other matters that you </w:t>
      </w:r>
      <w:r w:rsidR="00B62FF4">
        <w:t>suggest</w:t>
      </w:r>
      <w:r>
        <w:t xml:space="preserve"> we should address in this section?</w:t>
      </w:r>
    </w:p>
    <w:p w:rsidR="000343EE" w:rsidRDefault="008D30FC" w:rsidP="006938B3">
      <w:pPr>
        <w:pStyle w:val="Heading1"/>
        <w:keepNext/>
      </w:pPr>
      <w:r>
        <w:t>Does the conduct substantially lessen competition?</w:t>
      </w:r>
    </w:p>
    <w:p w:rsidR="006938B3" w:rsidRDefault="008D30FC" w:rsidP="005E6B9F">
      <w:r w:rsidRPr="00C809F8">
        <w:t>Concerted practices will only be prohibited if they have the purpose, effect or likely effect of substantially lessen</w:t>
      </w:r>
      <w:r w:rsidR="005035AD">
        <w:t>ing</w:t>
      </w:r>
      <w:r w:rsidRPr="00C809F8">
        <w:t xml:space="preserve"> competition.</w:t>
      </w:r>
      <w:r w:rsidR="00751BBC">
        <w:t xml:space="preserve"> The substantially lessening </w:t>
      </w:r>
      <w:r w:rsidR="00D217AC">
        <w:t xml:space="preserve">of </w:t>
      </w:r>
      <w:r w:rsidR="00751BBC">
        <w:t xml:space="preserve">competition </w:t>
      </w:r>
      <w:r w:rsidR="00D217AC">
        <w:t xml:space="preserve">test is well understood within Australia’s competition laws </w:t>
      </w:r>
      <w:r w:rsidR="00253E26">
        <w:t>and acts as a significant filter as to which concerted practices will amount to prohibited conduct</w:t>
      </w:r>
      <w:r w:rsidR="00751BBC">
        <w:t>.</w:t>
      </w:r>
    </w:p>
    <w:p w:rsidR="006938B3" w:rsidRPr="00AA75A7" w:rsidRDefault="006938B3" w:rsidP="00DC5053">
      <w:pPr>
        <w:pStyle w:val="Boxedtext"/>
      </w:pPr>
      <w:r w:rsidRPr="00AA75A7">
        <w:t xml:space="preserve">The threshold for whether there has been a contravention of section 45 </w:t>
      </w:r>
      <w:r w:rsidR="001E62AB">
        <w:t xml:space="preserve">of </w:t>
      </w:r>
      <w:r w:rsidRPr="00AA75A7">
        <w:t>the CCA will not change. To find a breach section 45</w:t>
      </w:r>
      <w:r w:rsidR="001E62AB">
        <w:t>,</w:t>
      </w:r>
      <w:r w:rsidR="00F61905">
        <w:t xml:space="preserve"> the C</w:t>
      </w:r>
      <w:r w:rsidRPr="00AA75A7">
        <w:t>ourt will still need to be satisfied that the conduct ha</w:t>
      </w:r>
      <w:r w:rsidR="001E62AB">
        <w:t>s</w:t>
      </w:r>
      <w:r w:rsidRPr="00AA75A7">
        <w:t xml:space="preserve"> the purpose, effect or likely effect of substantially lessening competition.</w:t>
      </w:r>
    </w:p>
    <w:p w:rsidR="006938B3" w:rsidRPr="00AA75A7" w:rsidRDefault="006938B3" w:rsidP="00DC5053">
      <w:pPr>
        <w:pStyle w:val="Boxedtext"/>
      </w:pPr>
      <w:r w:rsidRPr="00AA75A7">
        <w:t xml:space="preserve">The concerted practices prohibition </w:t>
      </w:r>
      <w:r w:rsidR="001E62AB">
        <w:t xml:space="preserve">enables </w:t>
      </w:r>
      <w:r w:rsidRPr="00AA75A7">
        <w:t xml:space="preserve">the competitive effect of a broader range of </w:t>
      </w:r>
      <w:r w:rsidR="001C22D0">
        <w:t xml:space="preserve">coordinated </w:t>
      </w:r>
      <w:r w:rsidRPr="00AA75A7">
        <w:t xml:space="preserve">conduct </w:t>
      </w:r>
      <w:r w:rsidR="001E62AB">
        <w:t xml:space="preserve">to be assessed </w:t>
      </w:r>
      <w:r w:rsidRPr="00AA75A7">
        <w:t>than before.</w:t>
      </w:r>
    </w:p>
    <w:p w:rsidR="008D30FC" w:rsidRPr="00C809F8" w:rsidRDefault="008D30FC" w:rsidP="005E6B9F">
      <w:r w:rsidRPr="005E6B9F">
        <w:t>“</w:t>
      </w:r>
      <w:r w:rsidRPr="00C809F8">
        <w:rPr>
          <w:b/>
        </w:rPr>
        <w:t>Substantially</w:t>
      </w:r>
      <w:r w:rsidRPr="00C809F8">
        <w:t>” in the context of section 45 has been defined in case law as meaningful or relevant to the competitive process. It is a relative concept and does not require an impact on the whole market.</w:t>
      </w:r>
    </w:p>
    <w:p w:rsidR="008D30FC" w:rsidRPr="005E6B9F" w:rsidRDefault="008D30FC" w:rsidP="005E6B9F">
      <w:r w:rsidRPr="00C809F8">
        <w:t xml:space="preserve">In </w:t>
      </w:r>
      <w:r w:rsidRPr="00DC5053">
        <w:rPr>
          <w:rStyle w:val="Emphasis"/>
        </w:rPr>
        <w:t>Rural Press v ACCC</w:t>
      </w:r>
      <w:r w:rsidRPr="005E6B9F">
        <w:t xml:space="preserve"> (2003) 216 CLR 53 at [41], the majority of the High Court of Australia </w:t>
      </w:r>
      <w:r w:rsidR="00A37D59" w:rsidRPr="005E6B9F">
        <w:t>assessed “substantially” in s</w:t>
      </w:r>
      <w:r w:rsidR="004E37C1" w:rsidRPr="005E6B9F">
        <w:t>ection</w:t>
      </w:r>
      <w:r w:rsidR="00A37D59" w:rsidRPr="005E6B9F">
        <w:t> 45 by asking</w:t>
      </w:r>
      <w:r w:rsidRPr="005E6B9F">
        <w:t>:</w:t>
      </w:r>
    </w:p>
    <w:p w:rsidR="008D30FC" w:rsidRPr="00C809F8" w:rsidRDefault="008D30FC" w:rsidP="005E6B9F">
      <w:pPr>
        <w:pStyle w:val="Boxedtext"/>
      </w:pPr>
      <w:r w:rsidRPr="00C809F8">
        <w:t>“…whether the effect of the arrangement was substantial in the sense of being meaningful or relevant to the competitive process</w:t>
      </w:r>
      <w:r w:rsidR="00A37D59">
        <w:t>, and whether the purpose of the arrangement was to achieve an effect of that kind</w:t>
      </w:r>
      <w:r w:rsidRPr="00C809F8">
        <w:t>”</w:t>
      </w:r>
      <w:r w:rsidR="00A37D59">
        <w:t>.</w:t>
      </w:r>
    </w:p>
    <w:p w:rsidR="006F7752" w:rsidRPr="00C809F8" w:rsidRDefault="006F7752" w:rsidP="005E6B9F">
      <w:r w:rsidRPr="005E6B9F">
        <w:t xml:space="preserve">See also </w:t>
      </w:r>
      <w:r w:rsidRPr="00DC5053">
        <w:rPr>
          <w:rStyle w:val="Emphasis"/>
        </w:rPr>
        <w:t>Universal Music Australia Pty Ltd v Australian Competition and Consumer Commission</w:t>
      </w:r>
      <w:r w:rsidRPr="005E6B9F">
        <w:t xml:space="preserve"> </w:t>
      </w:r>
      <w:hyperlink r:id="rId12" w:tooltip="View Case" w:history="1">
        <w:r w:rsidRPr="00C809F8">
          <w:rPr>
            <w:lang w:val="en"/>
          </w:rPr>
          <w:t>(2003)</w:t>
        </w:r>
      </w:hyperlink>
      <w:r w:rsidRPr="005E6B9F">
        <w:t xml:space="preserve"> </w:t>
      </w:r>
      <w:hyperlink r:id="rId13" w:tooltip="View LawCiteRecord" w:history="1">
        <w:r w:rsidRPr="00C809F8">
          <w:rPr>
            <w:lang w:val="en"/>
          </w:rPr>
          <w:t>131 FCR 529</w:t>
        </w:r>
      </w:hyperlink>
      <w:r w:rsidRPr="005E6B9F">
        <w:t xml:space="preserve"> at [242] and </w:t>
      </w:r>
      <w:r w:rsidRPr="00DC5053">
        <w:rPr>
          <w:rStyle w:val="Emphasis"/>
        </w:rPr>
        <w:t>Australian Competition and Consumer Commission v Cement Australia Pty Ltd</w:t>
      </w:r>
      <w:r w:rsidRPr="00C809F8">
        <w:rPr>
          <w:lang w:val="en"/>
        </w:rPr>
        <w:t xml:space="preserve"> (2013) 310 ALR 165 at [329].</w:t>
      </w:r>
    </w:p>
    <w:p w:rsidR="006F7752" w:rsidRPr="005E6B9F" w:rsidRDefault="006F7752" w:rsidP="005E6B9F">
      <w:r w:rsidRPr="00C809F8">
        <w:lastRenderedPageBreak/>
        <w:t>“</w:t>
      </w:r>
      <w:r w:rsidRPr="00C809F8">
        <w:rPr>
          <w:b/>
        </w:rPr>
        <w:t>Lessening</w:t>
      </w:r>
      <w:r w:rsidRPr="005E6B9F">
        <w:t xml:space="preserve"> competition” means that the field of rivalry is diminished or lessened, or the competitive process is compromised or impacted, and also extends to ‘preventing or hindering competition’ (CCA section 4G). </w:t>
      </w:r>
    </w:p>
    <w:p w:rsidR="006F7752" w:rsidRPr="00C809F8" w:rsidRDefault="006F7752" w:rsidP="006F7752">
      <w:pPr>
        <w:rPr>
          <w:rFonts w:cs="Arial"/>
          <w:lang w:val="en"/>
        </w:rPr>
      </w:pPr>
      <w:r w:rsidRPr="00C809F8">
        <w:rPr>
          <w:rFonts w:cs="Arial"/>
          <w:lang w:val="en"/>
        </w:rPr>
        <w:t>“</w:t>
      </w:r>
      <w:r w:rsidRPr="00DC5053">
        <w:rPr>
          <w:rStyle w:val="Strong"/>
        </w:rPr>
        <w:t>Competition</w:t>
      </w:r>
      <w:r w:rsidRPr="00C809F8">
        <w:rPr>
          <w:rFonts w:cs="Arial"/>
          <w:lang w:val="en"/>
        </w:rPr>
        <w:t>” is a process, rather than a situation and is expressed in the form of rivalrous behaviour. Importantly, it is a means of protecting the interests of consumers, rather than individual competitors. It is assessed looking at both market structure and strategic behaviour.</w:t>
      </w:r>
    </w:p>
    <w:p w:rsidR="006F7752" w:rsidRDefault="006F7752" w:rsidP="006F7752">
      <w:pPr>
        <w:rPr>
          <w:rFonts w:cs="Arial"/>
          <w:lang w:val="en"/>
        </w:rPr>
      </w:pPr>
      <w:r w:rsidRPr="00C809F8">
        <w:rPr>
          <w:rFonts w:cs="Arial"/>
          <w:lang w:val="en"/>
        </w:rPr>
        <w:t>Competition occurs within markets. Under the proposed prohibition, “competition” means competition in any market in which a corporation that is a party to the concerted practice, or any body corporate related to such a corporation, supplies or acquires, or is likely to supply or acquire, goods or services or would, but for the practice, supply or acquire, or b</w:t>
      </w:r>
      <w:r w:rsidR="00A37D59">
        <w:rPr>
          <w:rFonts w:cs="Arial"/>
          <w:lang w:val="en"/>
        </w:rPr>
        <w:t>e</w:t>
      </w:r>
      <w:r w:rsidRPr="00C809F8">
        <w:rPr>
          <w:rFonts w:cs="Arial"/>
          <w:lang w:val="en"/>
        </w:rPr>
        <w:t xml:space="preserve"> likely to supply or acquire, goods or services.</w:t>
      </w:r>
    </w:p>
    <w:p w:rsidR="00452A05" w:rsidRPr="00C809F8" w:rsidRDefault="00452A05" w:rsidP="005E6B9F">
      <w:pPr>
        <w:shd w:val="clear" w:color="auto" w:fill="F2F2F2" w:themeFill="background1" w:themeFillShade="F2"/>
      </w:pPr>
      <w:r w:rsidRPr="00C809F8">
        <w:t>Questions</w:t>
      </w:r>
    </w:p>
    <w:p w:rsidR="00452A05" w:rsidRPr="00C809F8" w:rsidRDefault="008F78EB" w:rsidP="005E6B9F">
      <w:pPr>
        <w:pStyle w:val="ListNumber"/>
        <w:shd w:val="clear" w:color="auto" w:fill="F2F2F2" w:themeFill="background1" w:themeFillShade="F2"/>
      </w:pPr>
      <w:r w:rsidRPr="00C809F8">
        <w:t xml:space="preserve">Are there any other matters that you </w:t>
      </w:r>
      <w:r w:rsidR="00D217AC">
        <w:t>suggest</w:t>
      </w:r>
      <w:r w:rsidRPr="00C809F8">
        <w:t xml:space="preserve"> we should address to provide greater clarity on what </w:t>
      </w:r>
      <w:r w:rsidR="00D217AC">
        <w:t>the substantial lessening of competition</w:t>
      </w:r>
      <w:r w:rsidRPr="00C809F8">
        <w:t xml:space="preserve"> test involves</w:t>
      </w:r>
      <w:r w:rsidR="00A37D59">
        <w:t xml:space="preserve"> in the context of concerted practices</w:t>
      </w:r>
      <w:r w:rsidRPr="00C809F8">
        <w:t>?</w:t>
      </w:r>
    </w:p>
    <w:p w:rsidR="00452A05" w:rsidRPr="00C809F8" w:rsidRDefault="008F78EB" w:rsidP="005E6B9F">
      <w:pPr>
        <w:pStyle w:val="ListNumber"/>
        <w:shd w:val="clear" w:color="auto" w:fill="F2F2F2" w:themeFill="background1" w:themeFillShade="F2"/>
      </w:pPr>
      <w:r w:rsidRPr="00C809F8">
        <w:t xml:space="preserve">Are there any other matters that you </w:t>
      </w:r>
      <w:r w:rsidR="00D217AC">
        <w:t>suggest</w:t>
      </w:r>
      <w:r w:rsidRPr="00C809F8">
        <w:t xml:space="preserve"> we should address in this section?</w:t>
      </w:r>
    </w:p>
    <w:p w:rsidR="008D30FC" w:rsidRDefault="00762B8E" w:rsidP="00762B8E">
      <w:pPr>
        <w:pStyle w:val="Heading1"/>
      </w:pPr>
      <w:r>
        <w:t>How the ACCC will approach enforcement of the prohibition</w:t>
      </w:r>
    </w:p>
    <w:p w:rsidR="00524B55" w:rsidRPr="00524B55" w:rsidRDefault="00524B55" w:rsidP="005E6B9F">
      <w:pPr>
        <w:rPr>
          <w:lang w:val="en"/>
        </w:rPr>
      </w:pPr>
      <w:r w:rsidRPr="00524B55">
        <w:rPr>
          <w:lang w:val="en"/>
        </w:rPr>
        <w:t xml:space="preserve">In deciding whether to take enforcement action, the ACCC focuses on the extent to which matters will, or have the potential to, harm the competitive process or result in widespread consumer detriment. The ACCC cannot pursue all the complaints it receives and will direct its resources to matters that provide the greatest overall benefit for competition and consumers. </w:t>
      </w:r>
    </w:p>
    <w:p w:rsidR="00524B55" w:rsidRPr="00524B55" w:rsidRDefault="00524B55" w:rsidP="005E6B9F">
      <w:pPr>
        <w:rPr>
          <w:lang w:val="en-GB"/>
        </w:rPr>
      </w:pPr>
      <w:r w:rsidRPr="00524B55">
        <w:rPr>
          <w:lang w:val="en-GB"/>
        </w:rPr>
        <w:t>To assist with this determination, the ACCC gives compliance and enforcement priority to matters that demonstrate one or more of the following factors:</w:t>
      </w:r>
    </w:p>
    <w:p w:rsidR="00524B55" w:rsidRPr="00524B55" w:rsidRDefault="00524B55" w:rsidP="005E6B9F">
      <w:pPr>
        <w:pStyle w:val="Bulletpoint"/>
        <w:rPr>
          <w:lang w:val="en-GB"/>
        </w:rPr>
      </w:pPr>
      <w:r w:rsidRPr="00524B55">
        <w:rPr>
          <w:lang w:val="en-GB"/>
        </w:rPr>
        <w:t>conduct resulting in a substantial consumer (including small business) detriment</w:t>
      </w:r>
    </w:p>
    <w:p w:rsidR="00524B55" w:rsidRPr="00524B55" w:rsidRDefault="00524B55" w:rsidP="005E6B9F">
      <w:pPr>
        <w:pStyle w:val="Bulletpoint"/>
        <w:rPr>
          <w:lang w:val="en-GB"/>
        </w:rPr>
      </w:pPr>
      <w:r w:rsidRPr="00524B55">
        <w:rPr>
          <w:lang w:val="en-GB"/>
        </w:rPr>
        <w:t>conduct demonstrating a blatant disregard for the law</w:t>
      </w:r>
    </w:p>
    <w:p w:rsidR="00524B55" w:rsidRPr="00524B55" w:rsidRDefault="00524B55" w:rsidP="005E6B9F">
      <w:pPr>
        <w:pStyle w:val="Bulletpoint"/>
        <w:rPr>
          <w:lang w:val="en-GB"/>
        </w:rPr>
      </w:pPr>
      <w:r w:rsidRPr="00524B55">
        <w:rPr>
          <w:lang w:val="en-GB"/>
        </w:rPr>
        <w:t>conduct involving issues of national or international significance</w:t>
      </w:r>
    </w:p>
    <w:p w:rsidR="00524B55" w:rsidRPr="00524B55" w:rsidRDefault="00524B55" w:rsidP="005E6B9F">
      <w:pPr>
        <w:pStyle w:val="Bulletpoint"/>
        <w:rPr>
          <w:lang w:val="en-GB"/>
        </w:rPr>
      </w:pPr>
      <w:r w:rsidRPr="00524B55">
        <w:rPr>
          <w:lang w:val="en-GB"/>
        </w:rPr>
        <w:t>conduct involving essential goods or services</w:t>
      </w:r>
    </w:p>
    <w:p w:rsidR="00524B55" w:rsidRPr="00524B55" w:rsidRDefault="00524B55" w:rsidP="005E6B9F">
      <w:pPr>
        <w:pStyle w:val="Bulletpoint"/>
        <w:rPr>
          <w:lang w:val="en-GB"/>
        </w:rPr>
      </w:pPr>
      <w:r w:rsidRPr="00524B55">
        <w:rPr>
          <w:lang w:val="en-GB"/>
        </w:rPr>
        <w:t>conduct detrimentally affecting disadvantaged or vulnerable consumer groups</w:t>
      </w:r>
    </w:p>
    <w:p w:rsidR="00524B55" w:rsidRPr="00524B55" w:rsidRDefault="00524B55" w:rsidP="005E6B9F">
      <w:pPr>
        <w:pStyle w:val="Bulletpoint"/>
        <w:rPr>
          <w:lang w:val="en-GB"/>
        </w:rPr>
      </w:pPr>
      <w:r w:rsidRPr="00524B55">
        <w:rPr>
          <w:lang w:val="en-GB"/>
        </w:rPr>
        <w:t>conduct in concentrated markets which impacts on small businesses or suppliers</w:t>
      </w:r>
    </w:p>
    <w:p w:rsidR="00524B55" w:rsidRPr="00524B55" w:rsidRDefault="00524B55" w:rsidP="005E6B9F">
      <w:pPr>
        <w:pStyle w:val="Bulletpoint"/>
        <w:rPr>
          <w:lang w:val="en-GB"/>
        </w:rPr>
      </w:pPr>
      <w:r w:rsidRPr="00524B55">
        <w:rPr>
          <w:lang w:val="en-GB"/>
        </w:rPr>
        <w:t>conduct that is industry-wide or is likely to become widespread if the ACCC does not intervene</w:t>
      </w:r>
    </w:p>
    <w:p w:rsidR="00524B55" w:rsidRPr="00524B55" w:rsidRDefault="00524B55" w:rsidP="005E6B9F">
      <w:pPr>
        <w:pStyle w:val="Bulletpoint"/>
        <w:rPr>
          <w:lang w:val="en-GB"/>
        </w:rPr>
      </w:pPr>
      <w:r w:rsidRPr="00524B55">
        <w:rPr>
          <w:lang w:val="en-GB"/>
        </w:rPr>
        <w:t>where ACCC action is likely to have a worthwhile educative or deterrent effect, and/or</w:t>
      </w:r>
    </w:p>
    <w:p w:rsidR="00524B55" w:rsidRPr="00524B55" w:rsidRDefault="00524B55" w:rsidP="005E6B9F">
      <w:pPr>
        <w:pStyle w:val="Bulletpoint"/>
        <w:rPr>
          <w:lang w:val="en-GB"/>
        </w:rPr>
      </w:pPr>
      <w:proofErr w:type="gramStart"/>
      <w:r w:rsidRPr="00524B55">
        <w:rPr>
          <w:lang w:val="en-GB"/>
        </w:rPr>
        <w:t>where</w:t>
      </w:r>
      <w:proofErr w:type="gramEnd"/>
      <w:r w:rsidRPr="00524B55">
        <w:rPr>
          <w:lang w:val="en-GB"/>
        </w:rPr>
        <w:t xml:space="preserve"> the person, business or industry has a history of previous contraventions of competition, consumer protection or fair trading laws.</w:t>
      </w:r>
    </w:p>
    <w:p w:rsidR="00CC7A55" w:rsidRDefault="00CC7A55" w:rsidP="005E6B9F">
      <w:pPr>
        <w:tabs>
          <w:tab w:val="left" w:pos="8039"/>
        </w:tabs>
        <w:rPr>
          <w:lang w:val="en-GB"/>
        </w:rPr>
      </w:pPr>
      <w:r w:rsidRPr="005E6B9F">
        <w:t xml:space="preserve">For more information refer to the </w:t>
      </w:r>
      <w:hyperlink r:id="rId14" w:history="1">
        <w:r w:rsidRPr="005E6B9F">
          <w:rPr>
            <w:rStyle w:val="Hyperlink"/>
          </w:rPr>
          <w:t>ACCC’s compliance and enforcement policy</w:t>
        </w:r>
      </w:hyperlink>
      <w:r w:rsidRPr="005E6B9F">
        <w:t>.</w:t>
      </w:r>
      <w:r w:rsidR="005E6B9F">
        <w:tab/>
      </w:r>
    </w:p>
    <w:p w:rsidR="005E6B9F" w:rsidRPr="005E6B9F" w:rsidRDefault="005E6B9F" w:rsidP="005E6B9F">
      <w:r>
        <w:rPr>
          <w:lang w:val="en" w:eastAsia="en-AU"/>
        </w:rPr>
        <w:br w:type="page"/>
      </w:r>
    </w:p>
    <w:p w:rsidR="00762B8E" w:rsidRPr="00257B9C" w:rsidRDefault="00762B8E" w:rsidP="005E6B9F">
      <w:pPr>
        <w:pStyle w:val="Heading1"/>
        <w:rPr>
          <w:lang w:val="en" w:eastAsia="en-AU"/>
        </w:rPr>
      </w:pPr>
      <w:proofErr w:type="spellStart"/>
      <w:r w:rsidRPr="00257B9C">
        <w:rPr>
          <w:lang w:val="en" w:eastAsia="en-AU"/>
        </w:rPr>
        <w:lastRenderedPageBreak/>
        <w:t>Authorisation</w:t>
      </w:r>
      <w:proofErr w:type="spellEnd"/>
    </w:p>
    <w:p w:rsidR="004314B1" w:rsidRPr="004314B1" w:rsidRDefault="004314B1" w:rsidP="005E6B9F">
      <w:r w:rsidRPr="004314B1">
        <w:t>Authorisation provides protection against legal action for conduct or arrangements that might breach the competition provisions of the CCA. Parties apply for authorisation where they believe that there is some risk that the conduct they propose to engage in would or may breach the competition provisions of the CCA and they require the certainty provided by an authorisation to undertake the activity. Authorisation is a formal and public process.</w:t>
      </w:r>
    </w:p>
    <w:p w:rsidR="004314B1" w:rsidRDefault="004314B1" w:rsidP="005E6B9F">
      <w:r w:rsidRPr="004314B1">
        <w:t xml:space="preserve">In general, the ACCC may grant authorisation if it is satisfied that the likely public benefits flowing from the proposed conduct for which authorisation is sought outweigh the likely public detriments flowing from that conduct. </w:t>
      </w:r>
    </w:p>
    <w:p w:rsidR="004314B1" w:rsidRPr="00DC5053" w:rsidRDefault="004314B1" w:rsidP="00D24766">
      <w:pPr>
        <w:rPr>
          <w:rStyle w:val="Emphasis"/>
        </w:rPr>
      </w:pPr>
      <w:r w:rsidRPr="00DC5053">
        <w:rPr>
          <w:rStyle w:val="Emphasis"/>
        </w:rPr>
        <w:t>Industry associations seeking authorisation to engage in conduct on behalf of their members</w:t>
      </w:r>
    </w:p>
    <w:p w:rsidR="00CF376E" w:rsidRPr="00D24766" w:rsidRDefault="004314B1" w:rsidP="005E6B9F">
      <w:pPr>
        <w:pStyle w:val="Bulletpoint"/>
      </w:pPr>
      <w:r w:rsidRPr="00CF376E">
        <w:rPr>
          <w:lang w:val="en"/>
        </w:rPr>
        <w:t>Industry associations can provide valuable services for their members, advocating on behalf of their members to government and providing advisory services. In general, the day to day activities of an industry association will not give rise to matters that are likely to substantially lessen competition and concerns will not arise under section 45.</w:t>
      </w:r>
      <w:r w:rsidR="00CF376E">
        <w:rPr>
          <w:lang w:val="en"/>
        </w:rPr>
        <w:t xml:space="preserve"> </w:t>
      </w:r>
    </w:p>
    <w:p w:rsidR="00D53EED" w:rsidRPr="00CF376E" w:rsidRDefault="00D53EED" w:rsidP="005E6B9F">
      <w:pPr>
        <w:pStyle w:val="Bulletpoint"/>
      </w:pPr>
      <w:r w:rsidRPr="00CF376E">
        <w:rPr>
          <w:lang w:val="en"/>
        </w:rPr>
        <w:t>Where there is a risk of breaching the CCA, industry associations have sought authorisation,</w:t>
      </w:r>
      <w:r w:rsidR="00583D42">
        <w:rPr>
          <w:lang w:val="en"/>
        </w:rPr>
        <w:t xml:space="preserve"> for example</w:t>
      </w:r>
      <w:r w:rsidRPr="00CF376E">
        <w:rPr>
          <w:lang w:val="en"/>
        </w:rPr>
        <w:t xml:space="preserve"> </w:t>
      </w:r>
      <w:hyperlink r:id="rId15" w:history="1">
        <w:r w:rsidR="00CF376E" w:rsidRPr="00583D42">
          <w:rPr>
            <w:rStyle w:val="Hyperlink"/>
            <w:rFonts w:cs="Arial"/>
            <w:lang w:val="en"/>
          </w:rPr>
          <w:t xml:space="preserve">to </w:t>
        </w:r>
        <w:r w:rsidR="00CF376E" w:rsidRPr="00CF376E">
          <w:rPr>
            <w:rStyle w:val="Hyperlink"/>
            <w:rFonts w:cs="Arial"/>
          </w:rPr>
          <w:t>collectively negotiate</w:t>
        </w:r>
      </w:hyperlink>
      <w:r w:rsidR="00CF376E" w:rsidRPr="00D24766">
        <w:t xml:space="preserve"> on behalf of current and future members</w:t>
      </w:r>
      <w:r w:rsidR="00CF376E">
        <w:t xml:space="preserve">, </w:t>
      </w:r>
      <w:hyperlink r:id="rId16" w:history="1">
        <w:r w:rsidR="00CF376E" w:rsidRPr="00CF376E">
          <w:rPr>
            <w:rStyle w:val="Hyperlink"/>
            <w:rFonts w:cs="Arial"/>
          </w:rPr>
          <w:t>to create a levy</w:t>
        </w:r>
      </w:hyperlink>
      <w:r w:rsidR="00CF376E">
        <w:t xml:space="preserve"> and </w:t>
      </w:r>
      <w:r w:rsidR="00CF376E" w:rsidRPr="00CF376E">
        <w:t>provide a nationally co-ordinated approach to the collection and disposal of waste</w:t>
      </w:r>
      <w:r w:rsidR="00F44385">
        <w:t xml:space="preserve">, and </w:t>
      </w:r>
      <w:hyperlink r:id="rId17" w:history="1">
        <w:r w:rsidR="00F44385" w:rsidRPr="00F44385">
          <w:rPr>
            <w:rStyle w:val="Hyperlink"/>
            <w:rFonts w:cs="Arial"/>
          </w:rPr>
          <w:t>creating a database of de-identified strategic and pricing information</w:t>
        </w:r>
      </w:hyperlink>
      <w:r w:rsidR="00F44385">
        <w:t xml:space="preserve"> for use of members</w:t>
      </w:r>
      <w:r w:rsidR="00CF376E">
        <w:t xml:space="preserve">. </w:t>
      </w:r>
      <w:r w:rsidR="00CF376E" w:rsidRPr="00CF376E">
        <w:t xml:space="preserve">This will not change. </w:t>
      </w:r>
      <w:r w:rsidRPr="00CF376E">
        <w:t xml:space="preserve"> </w:t>
      </w:r>
    </w:p>
    <w:p w:rsidR="004314B1" w:rsidRPr="004314B1" w:rsidRDefault="004314B1" w:rsidP="005E6B9F">
      <w:r>
        <w:t>With</w:t>
      </w:r>
      <w:r w:rsidRPr="004314B1">
        <w:t xml:space="preserve"> the </w:t>
      </w:r>
      <w:r>
        <w:t>changes to</w:t>
      </w:r>
      <w:r w:rsidRPr="004314B1">
        <w:t xml:space="preserve"> section 4</w:t>
      </w:r>
      <w:r>
        <w:t>5</w:t>
      </w:r>
      <w:r w:rsidRPr="004314B1">
        <w:t>, authorisation is now available under a revised authorisation test whereby the ACCC may grant authorisation if it is satisfied either that the proposed conduct is unlikely to substantially lessen competition (SLC limb) or is likely to result in a net public benefit (net public benefit limb).</w:t>
      </w:r>
    </w:p>
    <w:p w:rsidR="004314B1" w:rsidRPr="004314B1" w:rsidRDefault="004314B1" w:rsidP="005E6B9F">
      <w:r w:rsidRPr="004314B1">
        <w:t>Under the revised authorisation test, in order to grant authorisation to section 4</w:t>
      </w:r>
      <w:r>
        <w:t>5</w:t>
      </w:r>
      <w:r w:rsidRPr="004314B1">
        <w:t xml:space="preserve"> </w:t>
      </w:r>
      <w:proofErr w:type="gramStart"/>
      <w:r w:rsidRPr="004314B1">
        <w:t>conduct</w:t>
      </w:r>
      <w:proofErr w:type="gramEnd"/>
      <w:r w:rsidRPr="004314B1">
        <w:t>, the ACCC must be satisfied that the conduct meets at least one limb of the test; but for the ACCC to deny authorisation</w:t>
      </w:r>
      <w:r w:rsidR="00D217AC">
        <w:t>,</w:t>
      </w:r>
      <w:r w:rsidRPr="004314B1">
        <w:t xml:space="preserve"> the conduct must fail both limbs of the test. </w:t>
      </w:r>
    </w:p>
    <w:p w:rsidR="004314B1" w:rsidRPr="004314B1" w:rsidRDefault="004314B1" w:rsidP="005E6B9F">
      <w:r w:rsidRPr="004314B1">
        <w:t>Guidance on the implementation of the revised authorisation test will be provided in the final section 4</w:t>
      </w:r>
      <w:r>
        <w:t>5</w:t>
      </w:r>
      <w:r w:rsidRPr="004314B1">
        <w:t xml:space="preserve"> guidelines. Further detailed information on the authorisation process is available in the ACCC’s authorisation guidelines.</w:t>
      </w:r>
    </w:p>
    <w:p w:rsidR="00452A05" w:rsidRPr="00C809F8" w:rsidRDefault="00452A05" w:rsidP="005E6B9F">
      <w:pPr>
        <w:shd w:val="clear" w:color="auto" w:fill="F2F2F2" w:themeFill="background1" w:themeFillShade="F2"/>
      </w:pPr>
      <w:r w:rsidRPr="00C809F8">
        <w:t>Questions</w:t>
      </w:r>
    </w:p>
    <w:p w:rsidR="00452A05" w:rsidRPr="00C809F8" w:rsidRDefault="008F78EB" w:rsidP="005E6B9F">
      <w:pPr>
        <w:pStyle w:val="ListNumber"/>
        <w:shd w:val="clear" w:color="auto" w:fill="F2F2F2" w:themeFill="background1" w:themeFillShade="F2"/>
      </w:pPr>
      <w:r w:rsidRPr="00C809F8">
        <w:t xml:space="preserve">Are there any other matters that you </w:t>
      </w:r>
      <w:r w:rsidR="00D217AC">
        <w:t>suggest</w:t>
      </w:r>
      <w:r w:rsidRPr="00C809F8">
        <w:t xml:space="preserve"> we should address in this section?</w:t>
      </w:r>
    </w:p>
    <w:p w:rsidR="00452A05" w:rsidRPr="00C809F8" w:rsidRDefault="008F78EB" w:rsidP="005E6B9F">
      <w:pPr>
        <w:pStyle w:val="ListNumber"/>
        <w:shd w:val="clear" w:color="auto" w:fill="F2F2F2" w:themeFill="background1" w:themeFillShade="F2"/>
      </w:pPr>
      <w:r w:rsidRPr="00C809F8">
        <w:t>Do you have any other comments?</w:t>
      </w:r>
    </w:p>
    <w:p w:rsidR="00BB0424" w:rsidRPr="005E6B9F" w:rsidRDefault="00BB0424" w:rsidP="005E6B9F">
      <w:pPr>
        <w:pStyle w:val="Heading1"/>
      </w:pPr>
      <w:r w:rsidRPr="005E6B9F">
        <w:t>Consultation on proposed guidelines</w:t>
      </w:r>
    </w:p>
    <w:p w:rsidR="00BB0424" w:rsidRPr="002C05A7" w:rsidRDefault="00BB0424" w:rsidP="005E6B9F">
      <w:r w:rsidRPr="008F2922">
        <w:rPr>
          <w:lang w:val="en"/>
        </w:rPr>
        <w:t xml:space="preserve">The ACCC is interested in receiving comments or suggestions from interested parties regarding </w:t>
      </w:r>
      <w:r w:rsidRPr="009D4F1E">
        <w:t>the proposed content of the guidelines outlined in this framework.</w:t>
      </w:r>
    </w:p>
    <w:p w:rsidR="00BB0424" w:rsidRPr="009D4F1E" w:rsidRDefault="00BB0424" w:rsidP="005E6B9F">
      <w:r w:rsidRPr="009D4F1E">
        <w:t xml:space="preserve">In particular, the ACCC is inviting feedback from consumers, businesses and other stakeholders about the issues and topics the ACCC can provide guidance on to assist them understand how the proposed </w:t>
      </w:r>
      <w:r>
        <w:t>concerted practices</w:t>
      </w:r>
      <w:r w:rsidRPr="009D4F1E">
        <w:t xml:space="preserve"> </w:t>
      </w:r>
      <w:r>
        <w:t xml:space="preserve">prohibition </w:t>
      </w:r>
      <w:r w:rsidRPr="009D4F1E">
        <w:t>will operate and how the ACCC will approach potential breaches of the provision.</w:t>
      </w:r>
    </w:p>
    <w:p w:rsidR="00BB0424" w:rsidRPr="005E6B9F" w:rsidRDefault="00BB0424" w:rsidP="005E6B9F">
      <w:r w:rsidRPr="009D4F1E">
        <w:t xml:space="preserve">Consultation regarding the draft guidelines is a public process. Submissions will be published online in accordance with the </w:t>
      </w:r>
      <w:r w:rsidRPr="009D4F1E">
        <w:rPr>
          <w:rStyle w:val="Emphasis"/>
        </w:rPr>
        <w:t xml:space="preserve">ACCC &amp; AER information policy: collection and </w:t>
      </w:r>
      <w:r w:rsidRPr="009D4F1E">
        <w:rPr>
          <w:rStyle w:val="Emphasis"/>
        </w:rPr>
        <w:lastRenderedPageBreak/>
        <w:t>disclosure of information.</w:t>
      </w:r>
      <w:r w:rsidRPr="00216967">
        <w:rPr>
          <w:rStyle w:val="FootnoteReference"/>
          <w:rFonts w:asciiTheme="minorHAnsi" w:hAnsiTheme="minorHAnsi" w:cstheme="minorHAnsi"/>
        </w:rPr>
        <w:footnoteReference w:id="6"/>
      </w:r>
      <w:r w:rsidRPr="00216967">
        <w:t xml:space="preserve"> </w:t>
      </w:r>
      <w:r w:rsidRPr="009D4F1E">
        <w:t>We request that submissions be made online and in PDF format, if possible. Information of a confidential nature, or which is submitted in confidence, can be treated as such by the ACCC, provided cause for such treatment is shown.</w:t>
      </w:r>
    </w:p>
    <w:sectPr w:rsidR="00BB0424" w:rsidRPr="005E6B9F" w:rsidSect="00DC5053">
      <w:footerReference w:type="default" r:id="rId18"/>
      <w:footerReference w:type="first" r:id="rId19"/>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E3" w:rsidRDefault="00412CE3" w:rsidP="004B4412">
      <w:pPr>
        <w:spacing w:before="0"/>
      </w:pPr>
      <w:r>
        <w:separator/>
      </w:r>
    </w:p>
  </w:endnote>
  <w:endnote w:type="continuationSeparator" w:id="0">
    <w:p w:rsidR="00412CE3" w:rsidRDefault="00412CE3"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52158"/>
      <w:docPartObj>
        <w:docPartGallery w:val="Page Numbers (Bottom of Page)"/>
        <w:docPartUnique/>
      </w:docPartObj>
    </w:sdtPr>
    <w:sdtEndPr>
      <w:rPr>
        <w:noProof/>
      </w:rPr>
    </w:sdtEndPr>
    <w:sdtContent>
      <w:p w:rsidR="005E6B9F" w:rsidRDefault="005E6B9F">
        <w:pPr>
          <w:pStyle w:val="Footer"/>
          <w:jc w:val="right"/>
        </w:pPr>
        <w:r>
          <w:fldChar w:fldCharType="begin"/>
        </w:r>
        <w:r>
          <w:instrText xml:space="preserve"> PAGE   \* MERGEFORMAT </w:instrText>
        </w:r>
        <w:r>
          <w:fldChar w:fldCharType="separate"/>
        </w:r>
        <w:r w:rsidR="00AD33DB">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sidR="00AD33DB">
          <w:rPr>
            <w:noProof/>
          </w:rPr>
          <w:t>0</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E3" w:rsidRDefault="00412CE3" w:rsidP="004B4412">
      <w:pPr>
        <w:spacing w:before="0"/>
      </w:pPr>
      <w:r>
        <w:separator/>
      </w:r>
    </w:p>
  </w:footnote>
  <w:footnote w:type="continuationSeparator" w:id="0">
    <w:p w:rsidR="00412CE3" w:rsidRDefault="00412CE3" w:rsidP="004B4412">
      <w:pPr>
        <w:spacing w:before="0"/>
      </w:pPr>
      <w:r>
        <w:continuationSeparator/>
      </w:r>
    </w:p>
  </w:footnote>
  <w:footnote w:id="1">
    <w:p w:rsidR="00A37D59" w:rsidRPr="000021CE" w:rsidRDefault="00A37D59" w:rsidP="00A37D59">
      <w:pPr>
        <w:tabs>
          <w:tab w:val="left" w:pos="284"/>
        </w:tabs>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i/>
          <w:sz w:val="18"/>
          <w:szCs w:val="18"/>
        </w:rPr>
        <w:t>ICI v Commission</w:t>
      </w:r>
      <w:r w:rsidRPr="000021CE">
        <w:rPr>
          <w:rFonts w:cs="Arial"/>
          <w:sz w:val="18"/>
          <w:szCs w:val="18"/>
        </w:rPr>
        <w:t xml:space="preserve"> [1972] ECR 619 (“Dyestuffs”) at paragraph 64; Office of Fair Trading, </w:t>
      </w:r>
      <w:r w:rsidRPr="00C742CF">
        <w:rPr>
          <w:rFonts w:cs="Arial"/>
          <w:i/>
          <w:sz w:val="18"/>
          <w:szCs w:val="18"/>
        </w:rPr>
        <w:t>A</w:t>
      </w:r>
      <w:r w:rsidRPr="000021CE">
        <w:rPr>
          <w:rFonts w:cs="Arial"/>
          <w:i/>
          <w:sz w:val="18"/>
          <w:szCs w:val="18"/>
        </w:rPr>
        <w:t>greements and concerted practices: Understanding competition law</w:t>
      </w:r>
      <w:r w:rsidRPr="000021CE">
        <w:rPr>
          <w:rFonts w:cs="Arial"/>
          <w:sz w:val="18"/>
          <w:szCs w:val="18"/>
        </w:rPr>
        <w:t xml:space="preserve">, 2004, para 2.12; Guidelines on the applicability of Article 101 of the Treaty on the Functioning of the European Union to horizontal co-operation agreements (European Guidelines), para 60. </w:t>
      </w:r>
    </w:p>
  </w:footnote>
  <w:footnote w:id="2">
    <w:p w:rsidR="00A37D59" w:rsidRPr="000021CE" w:rsidRDefault="00A37D59" w:rsidP="00A37D59">
      <w:pPr>
        <w:tabs>
          <w:tab w:val="left" w:pos="284"/>
        </w:tabs>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proofErr w:type="spellStart"/>
      <w:r w:rsidRPr="000021CE">
        <w:rPr>
          <w:rFonts w:cs="Arial"/>
          <w:i/>
          <w:sz w:val="18"/>
          <w:szCs w:val="18"/>
        </w:rPr>
        <w:t>Suiker</w:t>
      </w:r>
      <w:proofErr w:type="spellEnd"/>
      <w:r w:rsidRPr="000021CE">
        <w:rPr>
          <w:rFonts w:cs="Arial"/>
          <w:i/>
          <w:sz w:val="18"/>
          <w:szCs w:val="18"/>
        </w:rPr>
        <w:t xml:space="preserve"> </w:t>
      </w:r>
      <w:proofErr w:type="spellStart"/>
      <w:r w:rsidRPr="000021CE">
        <w:rPr>
          <w:rFonts w:cs="Arial"/>
          <w:i/>
          <w:sz w:val="18"/>
          <w:szCs w:val="18"/>
        </w:rPr>
        <w:t>Unie</w:t>
      </w:r>
      <w:proofErr w:type="spellEnd"/>
      <w:r w:rsidRPr="000021CE">
        <w:rPr>
          <w:rFonts w:cs="Arial"/>
          <w:i/>
          <w:sz w:val="18"/>
          <w:szCs w:val="18"/>
        </w:rPr>
        <w:t xml:space="preserve"> v Commission </w:t>
      </w:r>
      <w:r w:rsidRPr="008E629A">
        <w:rPr>
          <w:rFonts w:cs="Arial"/>
          <w:sz w:val="18"/>
          <w:szCs w:val="18"/>
        </w:rPr>
        <w:t xml:space="preserve">[1975] ECR 1663 </w:t>
      </w:r>
      <w:r w:rsidRPr="000021CE">
        <w:rPr>
          <w:rFonts w:cs="Arial"/>
          <w:sz w:val="18"/>
          <w:szCs w:val="18"/>
        </w:rPr>
        <w:t>at paragraph 173.</w:t>
      </w:r>
    </w:p>
  </w:footnote>
  <w:footnote w:id="3">
    <w:p w:rsidR="00676A4B" w:rsidRPr="0041655D" w:rsidRDefault="00676A4B" w:rsidP="0041655D">
      <w:pPr>
        <w:tabs>
          <w:tab w:val="left" w:pos="284"/>
        </w:tabs>
        <w:ind w:left="284" w:hanging="284"/>
        <w:rPr>
          <w:rFonts w:cs="Arial"/>
          <w:sz w:val="18"/>
          <w:szCs w:val="18"/>
        </w:rPr>
      </w:pPr>
      <w:r w:rsidRPr="0041655D">
        <w:rPr>
          <w:rStyle w:val="FootnoteReference"/>
        </w:rPr>
        <w:footnoteRef/>
      </w:r>
      <w:r w:rsidRPr="0041655D">
        <w:rPr>
          <w:rFonts w:cs="Arial"/>
          <w:sz w:val="18"/>
          <w:szCs w:val="18"/>
        </w:rPr>
        <w:t xml:space="preserve"> </w:t>
      </w:r>
      <w:r w:rsidR="00DC5053" w:rsidRPr="0041655D">
        <w:rPr>
          <w:rFonts w:cs="Arial"/>
          <w:sz w:val="18"/>
          <w:szCs w:val="18"/>
        </w:rPr>
        <w:tab/>
      </w:r>
      <w:r w:rsidRPr="0041655D">
        <w:rPr>
          <w:rFonts w:cs="Arial"/>
          <w:sz w:val="18"/>
          <w:szCs w:val="18"/>
        </w:rPr>
        <w:t>This is similar to the factual scenario of UK Office of Fair Trading (now Competition and Markets Authority) matter involving Royal Bank of Scotland and Barclays.</w:t>
      </w:r>
    </w:p>
  </w:footnote>
  <w:footnote w:id="4">
    <w:p w:rsidR="00E37B09" w:rsidRPr="0041655D" w:rsidRDefault="00E37B09" w:rsidP="0041655D">
      <w:pPr>
        <w:tabs>
          <w:tab w:val="left" w:pos="284"/>
        </w:tabs>
        <w:ind w:left="284" w:hanging="284"/>
        <w:rPr>
          <w:rFonts w:cs="Arial"/>
          <w:sz w:val="18"/>
          <w:szCs w:val="18"/>
        </w:rPr>
      </w:pPr>
      <w:r w:rsidRPr="0041655D">
        <w:rPr>
          <w:rStyle w:val="FootnoteReference"/>
        </w:rPr>
        <w:footnoteRef/>
      </w:r>
      <w:r w:rsidRPr="0041655D">
        <w:rPr>
          <w:rFonts w:cs="Arial"/>
          <w:sz w:val="18"/>
          <w:szCs w:val="18"/>
        </w:rPr>
        <w:t xml:space="preserve"> </w:t>
      </w:r>
      <w:r w:rsidR="00DC5053" w:rsidRPr="0041655D">
        <w:rPr>
          <w:rFonts w:cs="Arial"/>
          <w:sz w:val="18"/>
          <w:szCs w:val="18"/>
        </w:rPr>
        <w:tab/>
      </w:r>
      <w:r w:rsidRPr="0041655D">
        <w:rPr>
          <w:rFonts w:cs="Arial"/>
          <w:sz w:val="18"/>
          <w:szCs w:val="18"/>
        </w:rPr>
        <w:t xml:space="preserve">This is similar to the factual scenario of </w:t>
      </w:r>
      <w:proofErr w:type="spellStart"/>
      <w:r w:rsidRPr="0041655D">
        <w:rPr>
          <w:rFonts w:cs="Arial"/>
          <w:i/>
          <w:sz w:val="18"/>
          <w:szCs w:val="18"/>
        </w:rPr>
        <w:t>Apco</w:t>
      </w:r>
      <w:proofErr w:type="spellEnd"/>
      <w:r w:rsidRPr="0041655D">
        <w:rPr>
          <w:rFonts w:cs="Arial"/>
          <w:i/>
          <w:sz w:val="18"/>
          <w:szCs w:val="18"/>
        </w:rPr>
        <w:t xml:space="preserve"> Stations v ACCC</w:t>
      </w:r>
      <w:r w:rsidRPr="0041655D">
        <w:rPr>
          <w:rFonts w:cs="Arial"/>
          <w:sz w:val="18"/>
          <w:szCs w:val="18"/>
        </w:rPr>
        <w:t xml:space="preserve"> [2005] FCAFC 161</w:t>
      </w:r>
      <w:r w:rsidR="0041655D">
        <w:rPr>
          <w:rFonts w:cs="Arial"/>
          <w:sz w:val="18"/>
          <w:szCs w:val="18"/>
        </w:rPr>
        <w:t>.</w:t>
      </w:r>
    </w:p>
  </w:footnote>
  <w:footnote w:id="5">
    <w:p w:rsidR="00E37B09" w:rsidRPr="0041655D" w:rsidRDefault="00E37B09" w:rsidP="0041655D">
      <w:pPr>
        <w:tabs>
          <w:tab w:val="left" w:pos="284"/>
        </w:tabs>
        <w:ind w:left="284" w:hanging="284"/>
        <w:rPr>
          <w:rFonts w:cs="Arial"/>
          <w:sz w:val="18"/>
          <w:szCs w:val="18"/>
        </w:rPr>
      </w:pPr>
      <w:r w:rsidRPr="0041655D">
        <w:rPr>
          <w:rStyle w:val="FootnoteReference"/>
        </w:rPr>
        <w:footnoteRef/>
      </w:r>
      <w:r w:rsidRPr="0041655D">
        <w:rPr>
          <w:rFonts w:cs="Arial"/>
          <w:sz w:val="18"/>
          <w:szCs w:val="18"/>
        </w:rPr>
        <w:t xml:space="preserve"> </w:t>
      </w:r>
      <w:r w:rsidR="00DC5053" w:rsidRPr="0041655D">
        <w:rPr>
          <w:rFonts w:cs="Arial"/>
          <w:sz w:val="18"/>
          <w:szCs w:val="18"/>
        </w:rPr>
        <w:tab/>
      </w:r>
      <w:r w:rsidRPr="0041655D">
        <w:rPr>
          <w:rFonts w:cs="Arial"/>
          <w:sz w:val="18"/>
          <w:szCs w:val="18"/>
        </w:rPr>
        <w:t xml:space="preserve">This is similar to the factual scenario of </w:t>
      </w:r>
      <w:r w:rsidRPr="0041655D">
        <w:rPr>
          <w:rFonts w:cs="Arial"/>
          <w:i/>
          <w:sz w:val="18"/>
          <w:szCs w:val="18"/>
        </w:rPr>
        <w:t xml:space="preserve">Trade Practices Commission v Email and </w:t>
      </w:r>
      <w:proofErr w:type="spellStart"/>
      <w:r w:rsidRPr="0041655D">
        <w:rPr>
          <w:rFonts w:cs="Arial"/>
          <w:i/>
          <w:sz w:val="18"/>
          <w:szCs w:val="18"/>
        </w:rPr>
        <w:t>Ors</w:t>
      </w:r>
      <w:proofErr w:type="spellEnd"/>
      <w:r w:rsidRPr="0041655D">
        <w:rPr>
          <w:rFonts w:cs="Arial"/>
          <w:i/>
          <w:sz w:val="18"/>
          <w:szCs w:val="18"/>
        </w:rPr>
        <w:t>.</w:t>
      </w:r>
      <w:r w:rsidRPr="0041655D">
        <w:rPr>
          <w:rFonts w:cs="Arial"/>
          <w:sz w:val="18"/>
          <w:szCs w:val="18"/>
        </w:rPr>
        <w:t xml:space="preserve"> (1980) ATPR 40-172</w:t>
      </w:r>
      <w:r w:rsidR="0041655D">
        <w:rPr>
          <w:rFonts w:cs="Arial"/>
          <w:sz w:val="18"/>
          <w:szCs w:val="18"/>
        </w:rPr>
        <w:t>.</w:t>
      </w:r>
    </w:p>
  </w:footnote>
  <w:footnote w:id="6">
    <w:p w:rsidR="00BB0424" w:rsidRDefault="00BB0424" w:rsidP="00BB0424">
      <w:r>
        <w:rPr>
          <w:rStyle w:val="FootnoteReference"/>
        </w:rPr>
        <w:footnoteRef/>
      </w:r>
      <w:r>
        <w:t xml:space="preserve"> </w:t>
      </w:r>
      <w:r>
        <w:tab/>
      </w:r>
      <w:hyperlink r:id="rId1" w:history="1">
        <w:r w:rsidRPr="00814938">
          <w:rPr>
            <w:rStyle w:val="Hyperlink"/>
            <w:sz w:val="16"/>
          </w:rPr>
          <w:t>https://www.accc.gov.au/publications/accc-aer-information-policy-collection-and-disclosure-of-information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70689FBA"/>
    <w:lvl w:ilvl="0">
      <w:start w:val="1"/>
      <w:numFmt w:val="decimal"/>
      <w:pStyle w:val="ListNumber2"/>
      <w:lvlText w:val="(%1)"/>
      <w:lvlJc w:val="left"/>
      <w:pPr>
        <w:ind w:left="700" w:hanging="36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6701C06"/>
    <w:multiLevelType w:val="hybridMultilevel"/>
    <w:tmpl w:val="9AF2D4D8"/>
    <w:lvl w:ilvl="0" w:tplc="276E1656">
      <w:numFmt w:val="bullet"/>
      <w:lvlText w:val="-"/>
      <w:lvlJc w:val="left"/>
      <w:pPr>
        <w:ind w:left="720" w:hanging="360"/>
      </w:pPr>
      <w:rPr>
        <w:rFonts w:ascii="Helvetica" w:eastAsia="Times New Roma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AE35D81"/>
    <w:multiLevelType w:val="hybridMultilevel"/>
    <w:tmpl w:val="C57CB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B2093B"/>
    <w:multiLevelType w:val="hybridMultilevel"/>
    <w:tmpl w:val="A7B67FE4"/>
    <w:lvl w:ilvl="0" w:tplc="562E7D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0E550218"/>
    <w:multiLevelType w:val="hybridMultilevel"/>
    <w:tmpl w:val="93ACC7C4"/>
    <w:lvl w:ilvl="0" w:tplc="06FA08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2C8337E"/>
    <w:multiLevelType w:val="hybridMultilevel"/>
    <w:tmpl w:val="4E4E6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8">
    <w:nsid w:val="34B82394"/>
    <w:multiLevelType w:val="hybridMultilevel"/>
    <w:tmpl w:val="605ACCA0"/>
    <w:lvl w:ilvl="0" w:tplc="8EF4B8D6">
      <w:start w:val="3"/>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2">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4">
    <w:nsid w:val="5F0A43C3"/>
    <w:multiLevelType w:val="hybridMultilevel"/>
    <w:tmpl w:val="9C8644F6"/>
    <w:lvl w:ilvl="0" w:tplc="0C09000F">
      <w:start w:val="1"/>
      <w:numFmt w:val="decimal"/>
      <w:lvlText w:val="%1."/>
      <w:lvlJc w:val="left"/>
      <w:pPr>
        <w:ind w:left="774" w:hanging="360"/>
      </w:pPr>
      <w:rPr>
        <w:rFont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5">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8">
    <w:nsid w:val="68CD3F28"/>
    <w:multiLevelType w:val="hybridMultilevel"/>
    <w:tmpl w:val="430CA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F5D22DC"/>
    <w:multiLevelType w:val="hybridMultilevel"/>
    <w:tmpl w:val="3ABEE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1">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2">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3">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4">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4"/>
  </w:num>
  <w:num w:numId="3">
    <w:abstractNumId w:val="7"/>
  </w:num>
  <w:num w:numId="4">
    <w:abstractNumId w:val="6"/>
  </w:num>
  <w:num w:numId="5">
    <w:abstractNumId w:val="5"/>
  </w:num>
  <w:num w:numId="6">
    <w:abstractNumId w:val="4"/>
  </w:num>
  <w:num w:numId="7">
    <w:abstractNumId w:val="1"/>
  </w:num>
  <w:num w:numId="8">
    <w:abstractNumId w:val="0"/>
  </w:num>
  <w:num w:numId="9">
    <w:abstractNumId w:val="27"/>
  </w:num>
  <w:num w:numId="10">
    <w:abstractNumId w:val="20"/>
  </w:num>
  <w:num w:numId="11">
    <w:abstractNumId w:val="12"/>
  </w:num>
  <w:num w:numId="12">
    <w:abstractNumId w:val="17"/>
  </w:num>
  <w:num w:numId="13">
    <w:abstractNumId w:val="19"/>
  </w:num>
  <w:num w:numId="14">
    <w:abstractNumId w:val="2"/>
  </w:num>
  <w:num w:numId="15">
    <w:abstractNumId w:val="30"/>
  </w:num>
  <w:num w:numId="16">
    <w:abstractNumId w:val="33"/>
  </w:num>
  <w:num w:numId="17">
    <w:abstractNumId w:val="32"/>
  </w:num>
  <w:num w:numId="18">
    <w:abstractNumId w:val="23"/>
  </w:num>
  <w:num w:numId="19">
    <w:abstractNumId w:val="18"/>
  </w:num>
  <w:num w:numId="20">
    <w:abstractNumId w:val="21"/>
  </w:num>
  <w:num w:numId="21">
    <w:abstractNumId w:val="31"/>
  </w:num>
  <w:num w:numId="22">
    <w:abstractNumId w:val="25"/>
  </w:num>
  <w:num w:numId="23">
    <w:abstractNumId w:val="8"/>
  </w:num>
  <w:num w:numId="24">
    <w:abstractNumId w:val="3"/>
  </w:num>
  <w:num w:numId="25">
    <w:abstractNumId w:val="22"/>
  </w:num>
  <w:num w:numId="26">
    <w:abstractNumId w:val="16"/>
  </w:num>
  <w:num w:numId="27">
    <w:abstractNumId w:val="26"/>
  </w:num>
  <w:num w:numId="28">
    <w:abstractNumId w:val="10"/>
  </w:num>
  <w:num w:numId="29">
    <w:abstractNumId w:val="12"/>
  </w:num>
  <w:num w:numId="30">
    <w:abstractNumId w:val="12"/>
  </w:num>
  <w:num w:numId="31">
    <w:abstractNumId w:val="12"/>
  </w:num>
  <w:num w:numId="32">
    <w:abstractNumId w:val="14"/>
  </w:num>
  <w:num w:numId="33">
    <w:abstractNumId w:val="12"/>
  </w:num>
  <w:num w:numId="34">
    <w:abstractNumId w:val="12"/>
  </w:num>
  <w:num w:numId="35">
    <w:abstractNumId w:val="12"/>
  </w:num>
  <w:num w:numId="36">
    <w:abstractNumId w:val="13"/>
  </w:num>
  <w:num w:numId="37">
    <w:abstractNumId w:val="11"/>
  </w:num>
  <w:num w:numId="38">
    <w:abstractNumId w:val="24"/>
  </w:num>
  <w:num w:numId="39">
    <w:abstractNumId w:val="9"/>
  </w:num>
  <w:num w:numId="40">
    <w:abstractNumId w:val="12"/>
  </w:num>
  <w:num w:numId="41">
    <w:abstractNumId w:val="28"/>
  </w:num>
  <w:num w:numId="4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tovid\AppData\Local\Microsoft\Windows\Temporary Internet Files\Content.Outlook\B9DAN4HD\Framework for concerted practices guidelines 18 August 2016.docx"/>
  </w:docVars>
  <w:rsids>
    <w:rsidRoot w:val="00866B36"/>
    <w:rsid w:val="0002115F"/>
    <w:rsid w:val="00021202"/>
    <w:rsid w:val="000225C4"/>
    <w:rsid w:val="000343EE"/>
    <w:rsid w:val="0003578C"/>
    <w:rsid w:val="0003642B"/>
    <w:rsid w:val="00063247"/>
    <w:rsid w:val="00070F9F"/>
    <w:rsid w:val="0007137B"/>
    <w:rsid w:val="00072F84"/>
    <w:rsid w:val="00085663"/>
    <w:rsid w:val="00085EBF"/>
    <w:rsid w:val="000A6875"/>
    <w:rsid w:val="000D122C"/>
    <w:rsid w:val="000E1819"/>
    <w:rsid w:val="000E6C72"/>
    <w:rsid w:val="000F2368"/>
    <w:rsid w:val="001166BA"/>
    <w:rsid w:val="00116EB2"/>
    <w:rsid w:val="00124609"/>
    <w:rsid w:val="00145725"/>
    <w:rsid w:val="00152692"/>
    <w:rsid w:val="001573E4"/>
    <w:rsid w:val="001602E2"/>
    <w:rsid w:val="00160756"/>
    <w:rsid w:val="0017232E"/>
    <w:rsid w:val="00174102"/>
    <w:rsid w:val="00180157"/>
    <w:rsid w:val="00181223"/>
    <w:rsid w:val="00186F77"/>
    <w:rsid w:val="001926A4"/>
    <w:rsid w:val="001A3A19"/>
    <w:rsid w:val="001B246B"/>
    <w:rsid w:val="001B45A0"/>
    <w:rsid w:val="001C18EE"/>
    <w:rsid w:val="001C22D0"/>
    <w:rsid w:val="001D055E"/>
    <w:rsid w:val="001D6B38"/>
    <w:rsid w:val="001E62AB"/>
    <w:rsid w:val="001F492E"/>
    <w:rsid w:val="001F4C23"/>
    <w:rsid w:val="001F6DA3"/>
    <w:rsid w:val="001F7AAC"/>
    <w:rsid w:val="002008D7"/>
    <w:rsid w:val="00212737"/>
    <w:rsid w:val="00224DB9"/>
    <w:rsid w:val="002342C0"/>
    <w:rsid w:val="00251745"/>
    <w:rsid w:val="00253E26"/>
    <w:rsid w:val="00263AC0"/>
    <w:rsid w:val="0026772D"/>
    <w:rsid w:val="00276588"/>
    <w:rsid w:val="00286874"/>
    <w:rsid w:val="00296B65"/>
    <w:rsid w:val="002A7DEF"/>
    <w:rsid w:val="002A7FA9"/>
    <w:rsid w:val="002B69F2"/>
    <w:rsid w:val="002C0890"/>
    <w:rsid w:val="002D27C6"/>
    <w:rsid w:val="002F7986"/>
    <w:rsid w:val="00303C4A"/>
    <w:rsid w:val="00307F6D"/>
    <w:rsid w:val="003177A2"/>
    <w:rsid w:val="003271B5"/>
    <w:rsid w:val="003301BA"/>
    <w:rsid w:val="00330CA0"/>
    <w:rsid w:val="00331264"/>
    <w:rsid w:val="00331776"/>
    <w:rsid w:val="00334C8D"/>
    <w:rsid w:val="00340655"/>
    <w:rsid w:val="003459E6"/>
    <w:rsid w:val="003518B3"/>
    <w:rsid w:val="00366AF3"/>
    <w:rsid w:val="00371641"/>
    <w:rsid w:val="00381BC4"/>
    <w:rsid w:val="003846F1"/>
    <w:rsid w:val="003A38AD"/>
    <w:rsid w:val="003A673F"/>
    <w:rsid w:val="003B5A70"/>
    <w:rsid w:val="003C0D8F"/>
    <w:rsid w:val="003E0AB5"/>
    <w:rsid w:val="004060FA"/>
    <w:rsid w:val="00412CE3"/>
    <w:rsid w:val="0041655D"/>
    <w:rsid w:val="004314B1"/>
    <w:rsid w:val="00452A05"/>
    <w:rsid w:val="004654DF"/>
    <w:rsid w:val="0046681F"/>
    <w:rsid w:val="00466C2A"/>
    <w:rsid w:val="00475DDE"/>
    <w:rsid w:val="00480B4B"/>
    <w:rsid w:val="00485DC4"/>
    <w:rsid w:val="004B4412"/>
    <w:rsid w:val="004C348C"/>
    <w:rsid w:val="004D55BA"/>
    <w:rsid w:val="004E37C1"/>
    <w:rsid w:val="005035AD"/>
    <w:rsid w:val="005038DB"/>
    <w:rsid w:val="0052379B"/>
    <w:rsid w:val="00524B55"/>
    <w:rsid w:val="00530128"/>
    <w:rsid w:val="00532467"/>
    <w:rsid w:val="00547BA2"/>
    <w:rsid w:val="00547CCF"/>
    <w:rsid w:val="00564A4D"/>
    <w:rsid w:val="00571B35"/>
    <w:rsid w:val="00571C9F"/>
    <w:rsid w:val="00577A09"/>
    <w:rsid w:val="00580B78"/>
    <w:rsid w:val="00583D42"/>
    <w:rsid w:val="00584D8F"/>
    <w:rsid w:val="005957F8"/>
    <w:rsid w:val="00596D42"/>
    <w:rsid w:val="005A404D"/>
    <w:rsid w:val="005B1E3C"/>
    <w:rsid w:val="005B5A30"/>
    <w:rsid w:val="005C24AC"/>
    <w:rsid w:val="005C26CC"/>
    <w:rsid w:val="005D146F"/>
    <w:rsid w:val="005E6B9F"/>
    <w:rsid w:val="005E6C0E"/>
    <w:rsid w:val="005F7D7F"/>
    <w:rsid w:val="00615C6B"/>
    <w:rsid w:val="00632D6D"/>
    <w:rsid w:val="00642C3E"/>
    <w:rsid w:val="00646025"/>
    <w:rsid w:val="00663DAD"/>
    <w:rsid w:val="00676679"/>
    <w:rsid w:val="00676A4B"/>
    <w:rsid w:val="00691616"/>
    <w:rsid w:val="006938B3"/>
    <w:rsid w:val="006A4AD2"/>
    <w:rsid w:val="006B4CF9"/>
    <w:rsid w:val="006B7AC8"/>
    <w:rsid w:val="006D550F"/>
    <w:rsid w:val="006D77F3"/>
    <w:rsid w:val="006F7752"/>
    <w:rsid w:val="00701CAB"/>
    <w:rsid w:val="00707563"/>
    <w:rsid w:val="0072348C"/>
    <w:rsid w:val="00724A37"/>
    <w:rsid w:val="007303C3"/>
    <w:rsid w:val="00735734"/>
    <w:rsid w:val="00743223"/>
    <w:rsid w:val="00746E01"/>
    <w:rsid w:val="007517A2"/>
    <w:rsid w:val="00751BBC"/>
    <w:rsid w:val="00762B8E"/>
    <w:rsid w:val="00763E5D"/>
    <w:rsid w:val="00767740"/>
    <w:rsid w:val="00777EE6"/>
    <w:rsid w:val="00782EEA"/>
    <w:rsid w:val="007B2C72"/>
    <w:rsid w:val="007C1C53"/>
    <w:rsid w:val="007E26A9"/>
    <w:rsid w:val="007E4904"/>
    <w:rsid w:val="007E4CB5"/>
    <w:rsid w:val="007F066B"/>
    <w:rsid w:val="008033C4"/>
    <w:rsid w:val="00806C88"/>
    <w:rsid w:val="0081034E"/>
    <w:rsid w:val="008318CC"/>
    <w:rsid w:val="008344F6"/>
    <w:rsid w:val="0083510F"/>
    <w:rsid w:val="00851209"/>
    <w:rsid w:val="00866B36"/>
    <w:rsid w:val="0088007E"/>
    <w:rsid w:val="008837AC"/>
    <w:rsid w:val="00884F86"/>
    <w:rsid w:val="008945B4"/>
    <w:rsid w:val="008A587D"/>
    <w:rsid w:val="008C240F"/>
    <w:rsid w:val="008C41E9"/>
    <w:rsid w:val="008C5486"/>
    <w:rsid w:val="008D30FC"/>
    <w:rsid w:val="008E7031"/>
    <w:rsid w:val="008F78EB"/>
    <w:rsid w:val="00906AC0"/>
    <w:rsid w:val="00922C95"/>
    <w:rsid w:val="009233EE"/>
    <w:rsid w:val="00963E2A"/>
    <w:rsid w:val="009661DE"/>
    <w:rsid w:val="009856B7"/>
    <w:rsid w:val="0098602B"/>
    <w:rsid w:val="00991B3B"/>
    <w:rsid w:val="009962BA"/>
    <w:rsid w:val="009A2CB7"/>
    <w:rsid w:val="009B74B0"/>
    <w:rsid w:val="009D4414"/>
    <w:rsid w:val="009D6B46"/>
    <w:rsid w:val="009F4940"/>
    <w:rsid w:val="00A15815"/>
    <w:rsid w:val="00A1665B"/>
    <w:rsid w:val="00A24F3A"/>
    <w:rsid w:val="00A37D59"/>
    <w:rsid w:val="00A4478A"/>
    <w:rsid w:val="00A44852"/>
    <w:rsid w:val="00A57D04"/>
    <w:rsid w:val="00A60A26"/>
    <w:rsid w:val="00A61598"/>
    <w:rsid w:val="00A66723"/>
    <w:rsid w:val="00A84F46"/>
    <w:rsid w:val="00A871F4"/>
    <w:rsid w:val="00A95ECF"/>
    <w:rsid w:val="00A9650F"/>
    <w:rsid w:val="00AA75A7"/>
    <w:rsid w:val="00AC1B2C"/>
    <w:rsid w:val="00AC3264"/>
    <w:rsid w:val="00AC6F01"/>
    <w:rsid w:val="00AC6FCE"/>
    <w:rsid w:val="00AD1EB5"/>
    <w:rsid w:val="00AD33DB"/>
    <w:rsid w:val="00AE0FE2"/>
    <w:rsid w:val="00AE1BF1"/>
    <w:rsid w:val="00AE2B45"/>
    <w:rsid w:val="00AF0DD2"/>
    <w:rsid w:val="00B00249"/>
    <w:rsid w:val="00B10314"/>
    <w:rsid w:val="00B13048"/>
    <w:rsid w:val="00B15998"/>
    <w:rsid w:val="00B1716D"/>
    <w:rsid w:val="00B17A1D"/>
    <w:rsid w:val="00B207A0"/>
    <w:rsid w:val="00B26A2B"/>
    <w:rsid w:val="00B56E03"/>
    <w:rsid w:val="00B60F5D"/>
    <w:rsid w:val="00B62FF4"/>
    <w:rsid w:val="00B67E91"/>
    <w:rsid w:val="00B8080B"/>
    <w:rsid w:val="00B82C83"/>
    <w:rsid w:val="00B87C39"/>
    <w:rsid w:val="00BA4665"/>
    <w:rsid w:val="00BB0424"/>
    <w:rsid w:val="00BB2FB2"/>
    <w:rsid w:val="00BB3304"/>
    <w:rsid w:val="00BB535A"/>
    <w:rsid w:val="00BD3446"/>
    <w:rsid w:val="00BE1F1B"/>
    <w:rsid w:val="00BE47B5"/>
    <w:rsid w:val="00BE4C99"/>
    <w:rsid w:val="00BE5871"/>
    <w:rsid w:val="00BF07E3"/>
    <w:rsid w:val="00C058AB"/>
    <w:rsid w:val="00C06739"/>
    <w:rsid w:val="00C26EB1"/>
    <w:rsid w:val="00C51CC3"/>
    <w:rsid w:val="00C53557"/>
    <w:rsid w:val="00C538A9"/>
    <w:rsid w:val="00C53B5A"/>
    <w:rsid w:val="00C54F5A"/>
    <w:rsid w:val="00C74602"/>
    <w:rsid w:val="00C755AD"/>
    <w:rsid w:val="00C809F8"/>
    <w:rsid w:val="00C86679"/>
    <w:rsid w:val="00CB666B"/>
    <w:rsid w:val="00CC4235"/>
    <w:rsid w:val="00CC7A55"/>
    <w:rsid w:val="00CD0333"/>
    <w:rsid w:val="00CE1813"/>
    <w:rsid w:val="00CF376E"/>
    <w:rsid w:val="00CF6DBE"/>
    <w:rsid w:val="00CF799E"/>
    <w:rsid w:val="00D01CF0"/>
    <w:rsid w:val="00D0442A"/>
    <w:rsid w:val="00D15407"/>
    <w:rsid w:val="00D203E1"/>
    <w:rsid w:val="00D217AC"/>
    <w:rsid w:val="00D24766"/>
    <w:rsid w:val="00D272F8"/>
    <w:rsid w:val="00D53EED"/>
    <w:rsid w:val="00D544B8"/>
    <w:rsid w:val="00D61388"/>
    <w:rsid w:val="00D61A54"/>
    <w:rsid w:val="00D64DEA"/>
    <w:rsid w:val="00D80893"/>
    <w:rsid w:val="00D92CF1"/>
    <w:rsid w:val="00D92D38"/>
    <w:rsid w:val="00D950F5"/>
    <w:rsid w:val="00DA7D75"/>
    <w:rsid w:val="00DB0F93"/>
    <w:rsid w:val="00DC5053"/>
    <w:rsid w:val="00DC542F"/>
    <w:rsid w:val="00DC7981"/>
    <w:rsid w:val="00DE4EFA"/>
    <w:rsid w:val="00DE5520"/>
    <w:rsid w:val="00E04818"/>
    <w:rsid w:val="00E06442"/>
    <w:rsid w:val="00E1705E"/>
    <w:rsid w:val="00E23993"/>
    <w:rsid w:val="00E25B8C"/>
    <w:rsid w:val="00E3224D"/>
    <w:rsid w:val="00E37B09"/>
    <w:rsid w:val="00E4674F"/>
    <w:rsid w:val="00E55394"/>
    <w:rsid w:val="00E65C85"/>
    <w:rsid w:val="00E66199"/>
    <w:rsid w:val="00E755EC"/>
    <w:rsid w:val="00E7624D"/>
    <w:rsid w:val="00E84F14"/>
    <w:rsid w:val="00E87B23"/>
    <w:rsid w:val="00E97818"/>
    <w:rsid w:val="00EA3D42"/>
    <w:rsid w:val="00EA4FD7"/>
    <w:rsid w:val="00EA6B1B"/>
    <w:rsid w:val="00EC6A3D"/>
    <w:rsid w:val="00EE28F3"/>
    <w:rsid w:val="00EF5110"/>
    <w:rsid w:val="00F15882"/>
    <w:rsid w:val="00F20BD3"/>
    <w:rsid w:val="00F33CBA"/>
    <w:rsid w:val="00F35153"/>
    <w:rsid w:val="00F358D0"/>
    <w:rsid w:val="00F373A5"/>
    <w:rsid w:val="00F44385"/>
    <w:rsid w:val="00F47559"/>
    <w:rsid w:val="00F60BE4"/>
    <w:rsid w:val="00F61905"/>
    <w:rsid w:val="00F61B84"/>
    <w:rsid w:val="00F64C7B"/>
    <w:rsid w:val="00F676DD"/>
    <w:rsid w:val="00F75A26"/>
    <w:rsid w:val="00F7747F"/>
    <w:rsid w:val="00F82B1A"/>
    <w:rsid w:val="00F83FAD"/>
    <w:rsid w:val="00F91DC6"/>
    <w:rsid w:val="00F952A0"/>
    <w:rsid w:val="00FA3C7F"/>
    <w:rsid w:val="00FB52D7"/>
    <w:rsid w:val="00FB74E2"/>
    <w:rsid w:val="00FD2C07"/>
    <w:rsid w:val="00FD5614"/>
    <w:rsid w:val="00FD7C06"/>
    <w:rsid w:val="00FE0BE1"/>
    <w:rsid w:val="00FE1DE9"/>
    <w:rsid w:val="00FE39C2"/>
    <w:rsid w:val="00FE64AE"/>
    <w:rsid w:val="00FF1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Normal"/>
    <w:link w:val="FootnotesChar"/>
    <w:uiPriority w:val="4"/>
    <w:semiHidden/>
    <w:qFormat/>
    <w:rsid w:val="005E6B9F"/>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DC5053"/>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E55394"/>
    <w:rPr>
      <w:sz w:val="16"/>
      <w:szCs w:val="16"/>
    </w:rPr>
  </w:style>
  <w:style w:type="paragraph" w:styleId="CommentText">
    <w:name w:val="annotation text"/>
    <w:basedOn w:val="Normal"/>
    <w:link w:val="CommentTextChar"/>
    <w:uiPriority w:val="99"/>
    <w:unhideWhenUsed/>
    <w:rsid w:val="00E55394"/>
    <w:rPr>
      <w:sz w:val="20"/>
      <w:szCs w:val="20"/>
    </w:rPr>
  </w:style>
  <w:style w:type="character" w:customStyle="1" w:styleId="CommentTextChar">
    <w:name w:val="Comment Text Char"/>
    <w:basedOn w:val="DefaultParagraphFont"/>
    <w:link w:val="CommentText"/>
    <w:uiPriority w:val="99"/>
    <w:rsid w:val="00E553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55394"/>
    <w:rPr>
      <w:b/>
      <w:bCs/>
    </w:rPr>
  </w:style>
  <w:style w:type="character" w:customStyle="1" w:styleId="CommentSubjectChar">
    <w:name w:val="Comment Subject Char"/>
    <w:basedOn w:val="CommentTextChar"/>
    <w:link w:val="CommentSubject"/>
    <w:uiPriority w:val="99"/>
    <w:semiHidden/>
    <w:rsid w:val="00E55394"/>
    <w:rPr>
      <w:rFonts w:ascii="Arial" w:hAnsi="Arial"/>
      <w:b/>
      <w:bCs/>
      <w:sz w:val="20"/>
      <w:szCs w:val="20"/>
    </w:rPr>
  </w:style>
  <w:style w:type="character" w:styleId="FollowedHyperlink">
    <w:name w:val="FollowedHyperlink"/>
    <w:basedOn w:val="DefaultParagraphFont"/>
    <w:uiPriority w:val="99"/>
    <w:semiHidden/>
    <w:unhideWhenUsed/>
    <w:rsid w:val="00906AC0"/>
    <w:rPr>
      <w:color w:val="800080" w:themeColor="followedHyperlink"/>
      <w:u w:val="single"/>
    </w:rPr>
  </w:style>
  <w:style w:type="character" w:customStyle="1" w:styleId="bold1">
    <w:name w:val="bold1"/>
    <w:basedOn w:val="DefaultParagraphFont"/>
    <w:rsid w:val="00A37D59"/>
    <w:rPr>
      <w:b/>
      <w:bCs/>
    </w:rPr>
  </w:style>
  <w:style w:type="character" w:customStyle="1" w:styleId="italic1">
    <w:name w:val="italic1"/>
    <w:basedOn w:val="DefaultParagraphFont"/>
    <w:rsid w:val="00A37D59"/>
    <w:rPr>
      <w:i/>
      <w:iCs/>
    </w:rPr>
  </w:style>
  <w:style w:type="character" w:customStyle="1" w:styleId="blue1">
    <w:name w:val="blue1"/>
    <w:basedOn w:val="DefaultParagraphFont"/>
    <w:rsid w:val="00A37D59"/>
    <w:rPr>
      <w:color w:val="004B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Normal"/>
    <w:link w:val="FootnotesChar"/>
    <w:uiPriority w:val="4"/>
    <w:semiHidden/>
    <w:qFormat/>
    <w:rsid w:val="005E6B9F"/>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DC5053"/>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E55394"/>
    <w:rPr>
      <w:sz w:val="16"/>
      <w:szCs w:val="16"/>
    </w:rPr>
  </w:style>
  <w:style w:type="paragraph" w:styleId="CommentText">
    <w:name w:val="annotation text"/>
    <w:basedOn w:val="Normal"/>
    <w:link w:val="CommentTextChar"/>
    <w:uiPriority w:val="99"/>
    <w:unhideWhenUsed/>
    <w:rsid w:val="00E55394"/>
    <w:rPr>
      <w:sz w:val="20"/>
      <w:szCs w:val="20"/>
    </w:rPr>
  </w:style>
  <w:style w:type="character" w:customStyle="1" w:styleId="CommentTextChar">
    <w:name w:val="Comment Text Char"/>
    <w:basedOn w:val="DefaultParagraphFont"/>
    <w:link w:val="CommentText"/>
    <w:uiPriority w:val="99"/>
    <w:rsid w:val="00E553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55394"/>
    <w:rPr>
      <w:b/>
      <w:bCs/>
    </w:rPr>
  </w:style>
  <w:style w:type="character" w:customStyle="1" w:styleId="CommentSubjectChar">
    <w:name w:val="Comment Subject Char"/>
    <w:basedOn w:val="CommentTextChar"/>
    <w:link w:val="CommentSubject"/>
    <w:uiPriority w:val="99"/>
    <w:semiHidden/>
    <w:rsid w:val="00E55394"/>
    <w:rPr>
      <w:rFonts w:ascii="Arial" w:hAnsi="Arial"/>
      <w:b/>
      <w:bCs/>
      <w:sz w:val="20"/>
      <w:szCs w:val="20"/>
    </w:rPr>
  </w:style>
  <w:style w:type="character" w:styleId="FollowedHyperlink">
    <w:name w:val="FollowedHyperlink"/>
    <w:basedOn w:val="DefaultParagraphFont"/>
    <w:uiPriority w:val="99"/>
    <w:semiHidden/>
    <w:unhideWhenUsed/>
    <w:rsid w:val="00906AC0"/>
    <w:rPr>
      <w:color w:val="800080" w:themeColor="followedHyperlink"/>
      <w:u w:val="single"/>
    </w:rPr>
  </w:style>
  <w:style w:type="character" w:customStyle="1" w:styleId="bold1">
    <w:name w:val="bold1"/>
    <w:basedOn w:val="DefaultParagraphFont"/>
    <w:rsid w:val="00A37D59"/>
    <w:rPr>
      <w:b/>
      <w:bCs/>
    </w:rPr>
  </w:style>
  <w:style w:type="character" w:customStyle="1" w:styleId="italic1">
    <w:name w:val="italic1"/>
    <w:basedOn w:val="DefaultParagraphFont"/>
    <w:rsid w:val="00A37D59"/>
    <w:rPr>
      <w:i/>
      <w:iCs/>
    </w:rPr>
  </w:style>
  <w:style w:type="character" w:customStyle="1" w:styleId="blue1">
    <w:name w:val="blue1"/>
    <w:basedOn w:val="DefaultParagraphFont"/>
    <w:rsid w:val="00A37D59"/>
    <w:rPr>
      <w:color w:val="004B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0626">
      <w:bodyDiv w:val="1"/>
      <w:marLeft w:val="0"/>
      <w:marRight w:val="0"/>
      <w:marTop w:val="0"/>
      <w:marBottom w:val="0"/>
      <w:divBdr>
        <w:top w:val="none" w:sz="0" w:space="0" w:color="auto"/>
        <w:left w:val="none" w:sz="0" w:space="0" w:color="auto"/>
        <w:bottom w:val="none" w:sz="0" w:space="0" w:color="auto"/>
        <w:right w:val="none" w:sz="0" w:space="0" w:color="auto"/>
      </w:divBdr>
    </w:div>
    <w:div w:id="35627927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95974713">
      <w:bodyDiv w:val="1"/>
      <w:marLeft w:val="0"/>
      <w:marRight w:val="0"/>
      <w:marTop w:val="0"/>
      <w:marBottom w:val="0"/>
      <w:divBdr>
        <w:top w:val="none" w:sz="0" w:space="0" w:color="auto"/>
        <w:left w:val="none" w:sz="0" w:space="0" w:color="auto"/>
        <w:bottom w:val="none" w:sz="0" w:space="0" w:color="auto"/>
        <w:right w:val="none" w:sz="0" w:space="0" w:color="auto"/>
      </w:divBdr>
    </w:div>
    <w:div w:id="1811433030">
      <w:bodyDiv w:val="1"/>
      <w:marLeft w:val="0"/>
      <w:marRight w:val="0"/>
      <w:marTop w:val="0"/>
      <w:marBottom w:val="0"/>
      <w:divBdr>
        <w:top w:val="none" w:sz="0" w:space="0" w:color="auto"/>
        <w:left w:val="none" w:sz="0" w:space="0" w:color="auto"/>
        <w:bottom w:val="none" w:sz="0" w:space="0" w:color="auto"/>
        <w:right w:val="none" w:sz="0" w:space="0" w:color="auto"/>
      </w:divBdr>
    </w:div>
    <w:div w:id="1846283541">
      <w:bodyDiv w:val="1"/>
      <w:marLeft w:val="0"/>
      <w:marRight w:val="0"/>
      <w:marTop w:val="0"/>
      <w:marBottom w:val="0"/>
      <w:divBdr>
        <w:top w:val="none" w:sz="0" w:space="0" w:color="auto"/>
        <w:left w:val="none" w:sz="0" w:space="0" w:color="auto"/>
        <w:bottom w:val="none" w:sz="0" w:space="0" w:color="auto"/>
        <w:right w:val="none" w:sz="0" w:space="0" w:color="auto"/>
      </w:divBdr>
    </w:div>
    <w:div w:id="18867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stlii.edu.au/cgi-bin/LawCite?cit=%282003%29%20131%20FCR%20529"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ustlii.edu.au/au/cases/cth/FCAFC/2003/193.html" TargetMode="External"/><Relationship Id="rId17" Type="http://schemas.openxmlformats.org/officeDocument/2006/relationships/hyperlink" Target="http://registers.accc.gov.au/content/index.phtml/itemId/1179486/fromItemId/401858" TargetMode="External"/><Relationship Id="rId2" Type="http://schemas.openxmlformats.org/officeDocument/2006/relationships/customXml" Target="../customXml/item2.xml"/><Relationship Id="rId16" Type="http://schemas.openxmlformats.org/officeDocument/2006/relationships/hyperlink" Target="http://registers.accc.gov.au/content/index.phtml/itemId/1187728/fromItemId/4018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sultation.accc.gov.au/legal-economic/draft-framework-for-concerted-practices-guidelines/" TargetMode="External"/><Relationship Id="rId5" Type="http://schemas.microsoft.com/office/2007/relationships/stylesWithEffects" Target="stylesWithEffects.xml"/><Relationship Id="rId15" Type="http://schemas.openxmlformats.org/officeDocument/2006/relationships/hyperlink" Target="http://registers.accc.gov.au/content/index.phtml/itemId/1130021/fromItemId/401858"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ccc.gov.au/publications/compliance-and-enforcement-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cc.gov.au/publications/accc-aer-information-policy-collection-and-disclosure-of-information"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044340-D7B9-481B-8EB2-BD2C2D4C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2896</Words>
  <Characters>16508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Parnos Munyard</dc:creator>
  <cp:lastModifiedBy>Ovidi, Teresa</cp:lastModifiedBy>
  <cp:revision>2</cp:revision>
  <cp:lastPrinted>2016-08-11T06:27:00Z</cp:lastPrinted>
  <dcterms:created xsi:type="dcterms:W3CDTF">2016-09-02T05:35:00Z</dcterms:created>
  <dcterms:modified xsi:type="dcterms:W3CDTF">2016-09-02T05:35:00Z</dcterms:modified>
</cp:coreProperties>
</file>