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08C6" w:rsidRPr="00D94E3F" w:rsidRDefault="00F908C6" w:rsidP="008945B4">
      <w:r w:rsidRPr="00BE0037">
        <w:rPr>
          <w:noProof/>
          <w:lang w:eastAsia="en-AU"/>
        </w:rPr>
        <mc:AlternateContent>
          <mc:Choice Requires="wps">
            <w:drawing>
              <wp:anchor distT="0" distB="0" distL="114300" distR="114300" simplePos="0" relativeHeight="251659264" behindDoc="1" locked="0" layoutInCell="1" allowOverlap="1" wp14:anchorId="2EF9C915" wp14:editId="3FA3E719">
                <wp:simplePos x="0" y="0"/>
                <wp:positionH relativeFrom="column">
                  <wp:posOffset>-561975</wp:posOffset>
                </wp:positionH>
                <wp:positionV relativeFrom="paragraph">
                  <wp:posOffset>-778510</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4.25pt;margin-top:-61.3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" fillcolor="#d5d6d2 [3214]" stroked="f" strokeweight="2pt"/>
            </w:pict>
          </mc:Fallback>
        </mc:AlternateContent>
      </w:r>
      <w:r w:rsidRPr="00BE0037">
        <w:rPr>
          <w:noProof/>
          <w:lang w:eastAsia="en-AU"/>
        </w:rPr>
        <w:drawing>
          <wp:inline distT="0" distB="0" distL="0" distR="0" wp14:anchorId="0DE573F7" wp14:editId="369E81F4">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F908C6" w:rsidRPr="00D94E3F" w:rsidRDefault="00F908C6"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F908C6" w:rsidRPr="00D94E3F" w:rsidTr="00C755AD">
        <w:trPr>
          <w:trHeight w:val="3135"/>
        </w:trPr>
        <w:tc>
          <w:tcPr>
            <w:tcW w:w="9242" w:type="dxa"/>
          </w:tcPr>
          <w:p w:rsidR="00F908C6" w:rsidRPr="00D94E3F" w:rsidRDefault="00F908C6"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F908C6" w:rsidRPr="00D94E3F" w:rsidTr="00C755AD">
        <w:tc>
          <w:tcPr>
            <w:tcW w:w="9242" w:type="dxa"/>
          </w:tcPr>
          <w:p w:rsidR="00F908C6" w:rsidRPr="00D94E3F" w:rsidRDefault="00F908C6" w:rsidP="001937D1">
            <w:pPr>
              <w:pStyle w:val="Subtitle"/>
              <w:rPr>
                <w:szCs w:val="72"/>
              </w:rPr>
            </w:pPr>
            <w:r w:rsidRPr="001937D1">
              <w:rPr>
                <w:sz w:val="72"/>
                <w:szCs w:val="72"/>
              </w:rPr>
              <w:t>Media Merger</w:t>
            </w:r>
            <w:r w:rsidR="009C351A">
              <w:rPr>
                <w:sz w:val="72"/>
                <w:szCs w:val="72"/>
              </w:rPr>
              <w:t xml:space="preserve"> Guidelines</w:t>
            </w:r>
          </w:p>
        </w:tc>
      </w:tr>
      <w:tr w:rsidR="00F908C6" w:rsidRPr="00D94E3F" w:rsidTr="00C755AD">
        <w:tc>
          <w:tcPr>
            <w:tcW w:w="9242" w:type="dxa"/>
          </w:tcPr>
          <w:p w:rsidR="00F908C6" w:rsidRPr="00D94E3F" w:rsidRDefault="00F908C6" w:rsidP="00303C4A"/>
          <w:p w:rsidR="00F908C6" w:rsidRPr="00D94E3F" w:rsidRDefault="00874410" w:rsidP="00060F13">
            <w:pPr>
              <w:pStyle w:val="CoverDate"/>
            </w:pPr>
            <w:r w:rsidRPr="00926CD5">
              <w:t>August</w:t>
            </w:r>
            <w:r w:rsidR="002B61D4" w:rsidRPr="00D94E3F">
              <w:t xml:space="preserve"> </w:t>
            </w:r>
            <w:r w:rsidR="00F908C6" w:rsidRPr="00D94E3F">
              <w:t>20</w:t>
            </w:r>
            <w:r w:rsidR="002B61D4" w:rsidRPr="00D94E3F">
              <w:t>16</w:t>
            </w:r>
            <w:r w:rsidR="00912657">
              <w:t xml:space="preserve"> – DRAFT </w:t>
            </w:r>
            <w:r w:rsidR="00060F13">
              <w:t>for public consultation</w:t>
            </w:r>
          </w:p>
        </w:tc>
      </w:tr>
    </w:tbl>
    <w:p w:rsidR="00F908C6" w:rsidRPr="00D94E3F" w:rsidRDefault="00F908C6" w:rsidP="005E6C0E">
      <w:pPr>
        <w:tabs>
          <w:tab w:val="left" w:pos="340"/>
          <w:tab w:val="left" w:pos="680"/>
          <w:tab w:val="left" w:pos="1021"/>
          <w:tab w:val="left" w:pos="1361"/>
        </w:tabs>
      </w:pPr>
    </w:p>
    <w:p w:rsidR="00F908C6" w:rsidRPr="00D94E3F" w:rsidRDefault="00F908C6">
      <w:r w:rsidRPr="00D94E3F">
        <w:br w:type="page"/>
      </w:r>
    </w:p>
    <w:p w:rsidR="00E922DC" w:rsidRPr="00EF60CA" w:rsidRDefault="00E922DC" w:rsidP="00100BC0"/>
    <w:sdt>
      <w:sdtPr>
        <w:rPr>
          <w:rFonts w:ascii="Arial" w:eastAsiaTheme="minorHAnsi" w:hAnsi="Arial" w:cstheme="minorBidi"/>
          <w:bCs w:val="0"/>
          <w:color w:val="auto"/>
          <w:sz w:val="22"/>
          <w:szCs w:val="22"/>
          <w:lang w:val="en-AU" w:eastAsia="en-US"/>
        </w:rPr>
        <w:id w:val="1750614818"/>
        <w:docPartObj>
          <w:docPartGallery w:val="Table of Contents"/>
          <w:docPartUnique/>
        </w:docPartObj>
      </w:sdtPr>
      <w:sdtEndPr/>
      <w:sdtContent>
        <w:p w:rsidR="00FB23A3" w:rsidRPr="009F6C04" w:rsidRDefault="00FB23A3" w:rsidP="009F6C04">
          <w:pPr>
            <w:pStyle w:val="TOCHeading"/>
          </w:pPr>
          <w:r w:rsidRPr="009F6C04">
            <w:t>Contents</w:t>
          </w:r>
        </w:p>
        <w:p w:rsidR="00224723" w:rsidRDefault="00FB23A3">
          <w:pPr>
            <w:pStyle w:val="TOC1"/>
            <w:rPr>
              <w:rFonts w:asciiTheme="minorHAnsi" w:eastAsiaTheme="minorEastAsia" w:hAnsiTheme="minorHAnsi"/>
              <w:lang w:val="en-AU" w:eastAsia="en-AU"/>
            </w:rPr>
          </w:pPr>
          <w:r w:rsidRPr="001937D1">
            <w:rPr>
              <w:noProof w:val="0"/>
              <w:lang w:val="en-AU"/>
            </w:rPr>
            <w:fldChar w:fldCharType="begin"/>
          </w:r>
          <w:r w:rsidRPr="001937D1">
            <w:rPr>
              <w:noProof w:val="0"/>
              <w:lang w:val="en-AU"/>
            </w:rPr>
            <w:instrText xml:space="preserve"> TOC \o "1-3" \h \z \u </w:instrText>
          </w:r>
          <w:r w:rsidRPr="001937D1">
            <w:rPr>
              <w:noProof w:val="0"/>
              <w:lang w:val="en-AU"/>
            </w:rPr>
            <w:fldChar w:fldCharType="separate"/>
          </w:r>
          <w:hyperlink w:anchor="_Toc459884739" w:history="1">
            <w:r w:rsidR="00224723" w:rsidRPr="007B1C3F">
              <w:rPr>
                <w:rStyle w:val="Hyperlink"/>
                <w:rFonts w:eastAsia="Times New Roman"/>
              </w:rPr>
              <w:t>Foreword</w:t>
            </w:r>
            <w:r w:rsidR="00224723">
              <w:rPr>
                <w:webHidden/>
              </w:rPr>
              <w:tab/>
            </w:r>
            <w:r w:rsidR="00224723">
              <w:rPr>
                <w:webHidden/>
              </w:rPr>
              <w:fldChar w:fldCharType="begin"/>
            </w:r>
            <w:r w:rsidR="00224723">
              <w:rPr>
                <w:webHidden/>
              </w:rPr>
              <w:instrText xml:space="preserve"> PAGEREF _Toc459884739 \h </w:instrText>
            </w:r>
            <w:r w:rsidR="00224723">
              <w:rPr>
                <w:webHidden/>
              </w:rPr>
            </w:r>
            <w:r w:rsidR="00224723">
              <w:rPr>
                <w:webHidden/>
              </w:rPr>
              <w:fldChar w:fldCharType="separate"/>
            </w:r>
            <w:r w:rsidR="00AE4856">
              <w:rPr>
                <w:webHidden/>
              </w:rPr>
              <w:t>2</w:t>
            </w:r>
            <w:r w:rsidR="00224723">
              <w:rPr>
                <w:webHidden/>
              </w:rPr>
              <w:fldChar w:fldCharType="end"/>
            </w:r>
          </w:hyperlink>
        </w:p>
        <w:p w:rsidR="00224723" w:rsidRDefault="006A1F9A">
          <w:pPr>
            <w:pStyle w:val="TOC1"/>
            <w:rPr>
              <w:rFonts w:asciiTheme="minorHAnsi" w:eastAsiaTheme="minorEastAsia" w:hAnsiTheme="minorHAnsi"/>
              <w:lang w:val="en-AU" w:eastAsia="en-AU"/>
            </w:rPr>
          </w:pPr>
          <w:hyperlink w:anchor="_Toc459884740" w:history="1">
            <w:r w:rsidR="00224723" w:rsidRPr="007B1C3F">
              <w:rPr>
                <w:rStyle w:val="Hyperlink"/>
                <w:rFonts w:eastAsia="Times New Roman"/>
              </w:rPr>
              <w:t>Purpose of the Guidelines</w:t>
            </w:r>
            <w:r w:rsidR="00224723">
              <w:rPr>
                <w:webHidden/>
              </w:rPr>
              <w:tab/>
            </w:r>
            <w:r w:rsidR="00224723">
              <w:rPr>
                <w:webHidden/>
              </w:rPr>
              <w:fldChar w:fldCharType="begin"/>
            </w:r>
            <w:r w:rsidR="00224723">
              <w:rPr>
                <w:webHidden/>
              </w:rPr>
              <w:instrText xml:space="preserve"> PAGEREF _Toc459884740 \h </w:instrText>
            </w:r>
            <w:r w:rsidR="00224723">
              <w:rPr>
                <w:webHidden/>
              </w:rPr>
            </w:r>
            <w:r w:rsidR="00224723">
              <w:rPr>
                <w:webHidden/>
              </w:rPr>
              <w:fldChar w:fldCharType="separate"/>
            </w:r>
            <w:r w:rsidR="00AE4856">
              <w:rPr>
                <w:webHidden/>
              </w:rPr>
              <w:t>3</w:t>
            </w:r>
            <w:r w:rsidR="00224723">
              <w:rPr>
                <w:webHidden/>
              </w:rPr>
              <w:fldChar w:fldCharType="end"/>
            </w:r>
          </w:hyperlink>
        </w:p>
        <w:p w:rsidR="00224723" w:rsidRDefault="006A1F9A">
          <w:pPr>
            <w:pStyle w:val="TOC1"/>
            <w:rPr>
              <w:rFonts w:asciiTheme="minorHAnsi" w:eastAsiaTheme="minorEastAsia" w:hAnsiTheme="minorHAnsi"/>
              <w:lang w:val="en-AU" w:eastAsia="en-AU"/>
            </w:rPr>
          </w:pPr>
          <w:hyperlink w:anchor="_Toc459884741" w:history="1">
            <w:r w:rsidR="00224723" w:rsidRPr="007B1C3F">
              <w:rPr>
                <w:rStyle w:val="Hyperlink"/>
                <w:rFonts w:eastAsia="Times New Roman"/>
              </w:rPr>
              <w:t>Role of the ACCC – how do we assess mergers?</w:t>
            </w:r>
            <w:r w:rsidR="00224723">
              <w:rPr>
                <w:webHidden/>
              </w:rPr>
              <w:tab/>
            </w:r>
            <w:r w:rsidR="00224723">
              <w:rPr>
                <w:webHidden/>
              </w:rPr>
              <w:fldChar w:fldCharType="begin"/>
            </w:r>
            <w:r w:rsidR="00224723">
              <w:rPr>
                <w:webHidden/>
              </w:rPr>
              <w:instrText xml:space="preserve"> PAGEREF _Toc459884741 \h </w:instrText>
            </w:r>
            <w:r w:rsidR="00224723">
              <w:rPr>
                <w:webHidden/>
              </w:rPr>
            </w:r>
            <w:r w:rsidR="00224723">
              <w:rPr>
                <w:webHidden/>
              </w:rPr>
              <w:fldChar w:fldCharType="separate"/>
            </w:r>
            <w:r w:rsidR="00AE4856">
              <w:rPr>
                <w:webHidden/>
              </w:rPr>
              <w:t>3</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42" w:history="1">
            <w:r w:rsidR="00224723" w:rsidRPr="007B1C3F">
              <w:rPr>
                <w:rStyle w:val="Hyperlink"/>
                <w:rFonts w:eastAsia="Times New Roman"/>
              </w:rPr>
              <w:t>The forward looking nature of the competition test for mergers</w:t>
            </w:r>
            <w:r w:rsidR="00224723">
              <w:rPr>
                <w:webHidden/>
              </w:rPr>
              <w:tab/>
            </w:r>
            <w:r w:rsidR="00224723">
              <w:rPr>
                <w:webHidden/>
              </w:rPr>
              <w:fldChar w:fldCharType="begin"/>
            </w:r>
            <w:r w:rsidR="00224723">
              <w:rPr>
                <w:webHidden/>
              </w:rPr>
              <w:instrText xml:space="preserve"> PAGEREF _Toc459884742 \h </w:instrText>
            </w:r>
            <w:r w:rsidR="00224723">
              <w:rPr>
                <w:webHidden/>
              </w:rPr>
            </w:r>
            <w:r w:rsidR="00224723">
              <w:rPr>
                <w:webHidden/>
              </w:rPr>
              <w:fldChar w:fldCharType="separate"/>
            </w:r>
            <w:r w:rsidR="00AE4856">
              <w:rPr>
                <w:webHidden/>
              </w:rPr>
              <w:t>3</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43" w:history="1">
            <w:r w:rsidR="00224723" w:rsidRPr="007B1C3F">
              <w:rPr>
                <w:rStyle w:val="Hyperlink"/>
                <w:rFonts w:eastAsia="Times New Roman"/>
              </w:rPr>
              <w:t>Markets likely to be affected</w:t>
            </w:r>
            <w:r w:rsidR="00224723">
              <w:rPr>
                <w:webHidden/>
              </w:rPr>
              <w:tab/>
            </w:r>
            <w:r w:rsidR="00224723">
              <w:rPr>
                <w:webHidden/>
              </w:rPr>
              <w:fldChar w:fldCharType="begin"/>
            </w:r>
            <w:r w:rsidR="00224723">
              <w:rPr>
                <w:webHidden/>
              </w:rPr>
              <w:instrText xml:space="preserve"> PAGEREF _Toc459884743 \h </w:instrText>
            </w:r>
            <w:r w:rsidR="00224723">
              <w:rPr>
                <w:webHidden/>
              </w:rPr>
            </w:r>
            <w:r w:rsidR="00224723">
              <w:rPr>
                <w:webHidden/>
              </w:rPr>
              <w:fldChar w:fldCharType="separate"/>
            </w:r>
            <w:r w:rsidR="00AE4856">
              <w:rPr>
                <w:webHidden/>
              </w:rPr>
              <w:t>4</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44" w:history="1">
            <w:r w:rsidR="00224723" w:rsidRPr="007B1C3F">
              <w:rPr>
                <w:rStyle w:val="Hyperlink"/>
                <w:rFonts w:eastAsia="Times New Roman"/>
              </w:rPr>
              <w:t>Types of mergers that may harm competition</w:t>
            </w:r>
            <w:r w:rsidR="00224723">
              <w:rPr>
                <w:webHidden/>
              </w:rPr>
              <w:tab/>
            </w:r>
            <w:r w:rsidR="00224723">
              <w:rPr>
                <w:webHidden/>
              </w:rPr>
              <w:fldChar w:fldCharType="begin"/>
            </w:r>
            <w:r w:rsidR="00224723">
              <w:rPr>
                <w:webHidden/>
              </w:rPr>
              <w:instrText xml:space="preserve"> PAGEREF _Toc459884744 \h </w:instrText>
            </w:r>
            <w:r w:rsidR="00224723">
              <w:rPr>
                <w:webHidden/>
              </w:rPr>
            </w:r>
            <w:r w:rsidR="00224723">
              <w:rPr>
                <w:webHidden/>
              </w:rPr>
              <w:fldChar w:fldCharType="separate"/>
            </w:r>
            <w:r w:rsidR="00AE4856">
              <w:rPr>
                <w:webHidden/>
              </w:rPr>
              <w:t>5</w:t>
            </w:r>
            <w:r w:rsidR="00224723">
              <w:rPr>
                <w:webHidden/>
              </w:rPr>
              <w:fldChar w:fldCharType="end"/>
            </w:r>
          </w:hyperlink>
        </w:p>
        <w:p w:rsidR="00224723" w:rsidRDefault="006A1F9A">
          <w:pPr>
            <w:pStyle w:val="TOC1"/>
            <w:rPr>
              <w:rFonts w:asciiTheme="minorHAnsi" w:eastAsiaTheme="minorEastAsia" w:hAnsiTheme="minorHAnsi"/>
              <w:lang w:val="en-AU" w:eastAsia="en-AU"/>
            </w:rPr>
          </w:pPr>
          <w:hyperlink w:anchor="_Toc459884745" w:history="1">
            <w:r w:rsidR="00224723" w:rsidRPr="007B1C3F">
              <w:rPr>
                <w:rStyle w:val="Hyperlink"/>
                <w:rFonts w:eastAsia="Times New Roman"/>
              </w:rPr>
              <w:t>Possible issues in the competition assessment of media mergers</w:t>
            </w:r>
            <w:r w:rsidR="00224723">
              <w:rPr>
                <w:webHidden/>
              </w:rPr>
              <w:tab/>
            </w:r>
            <w:r w:rsidR="00224723">
              <w:rPr>
                <w:webHidden/>
              </w:rPr>
              <w:fldChar w:fldCharType="begin"/>
            </w:r>
            <w:r w:rsidR="00224723">
              <w:rPr>
                <w:webHidden/>
              </w:rPr>
              <w:instrText xml:space="preserve"> PAGEREF _Toc459884745 \h </w:instrText>
            </w:r>
            <w:r w:rsidR="00224723">
              <w:rPr>
                <w:webHidden/>
              </w:rPr>
            </w:r>
            <w:r w:rsidR="00224723">
              <w:rPr>
                <w:webHidden/>
              </w:rPr>
              <w:fldChar w:fldCharType="separate"/>
            </w:r>
            <w:r w:rsidR="00AE4856">
              <w:rPr>
                <w:webHidden/>
              </w:rPr>
              <w:t>7</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46" w:history="1">
            <w:r w:rsidR="00224723" w:rsidRPr="007B1C3F">
              <w:rPr>
                <w:rStyle w:val="Hyperlink"/>
                <w:rFonts w:eastAsia="Times New Roman"/>
              </w:rPr>
              <w:t>Competition and media diversity</w:t>
            </w:r>
            <w:r w:rsidR="00224723">
              <w:rPr>
                <w:webHidden/>
              </w:rPr>
              <w:tab/>
            </w:r>
            <w:r w:rsidR="00224723">
              <w:rPr>
                <w:webHidden/>
              </w:rPr>
              <w:fldChar w:fldCharType="begin"/>
            </w:r>
            <w:r w:rsidR="00224723">
              <w:rPr>
                <w:webHidden/>
              </w:rPr>
              <w:instrText xml:space="preserve"> PAGEREF _Toc459884746 \h </w:instrText>
            </w:r>
            <w:r w:rsidR="00224723">
              <w:rPr>
                <w:webHidden/>
              </w:rPr>
            </w:r>
            <w:r w:rsidR="00224723">
              <w:rPr>
                <w:webHidden/>
              </w:rPr>
              <w:fldChar w:fldCharType="separate"/>
            </w:r>
            <w:r w:rsidR="00AE4856">
              <w:rPr>
                <w:webHidden/>
              </w:rPr>
              <w:t>7</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47" w:history="1">
            <w:r w:rsidR="00224723" w:rsidRPr="007B1C3F">
              <w:rPr>
                <w:rStyle w:val="Hyperlink"/>
                <w:rFonts w:eastAsia="Times New Roman"/>
              </w:rPr>
              <w:t>Impact of technological change and future developments in the market</w:t>
            </w:r>
            <w:r w:rsidR="00224723">
              <w:rPr>
                <w:webHidden/>
              </w:rPr>
              <w:tab/>
            </w:r>
            <w:r w:rsidR="00224723">
              <w:rPr>
                <w:webHidden/>
              </w:rPr>
              <w:fldChar w:fldCharType="begin"/>
            </w:r>
            <w:r w:rsidR="00224723">
              <w:rPr>
                <w:webHidden/>
              </w:rPr>
              <w:instrText xml:space="preserve"> PAGEREF _Toc459884747 \h </w:instrText>
            </w:r>
            <w:r w:rsidR="00224723">
              <w:rPr>
                <w:webHidden/>
              </w:rPr>
            </w:r>
            <w:r w:rsidR="00224723">
              <w:rPr>
                <w:webHidden/>
              </w:rPr>
              <w:fldChar w:fldCharType="separate"/>
            </w:r>
            <w:r w:rsidR="00AE4856">
              <w:rPr>
                <w:webHidden/>
              </w:rPr>
              <w:t>9</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48" w:history="1">
            <w:r w:rsidR="00224723" w:rsidRPr="007B1C3F">
              <w:rPr>
                <w:rStyle w:val="Hyperlink"/>
                <w:rFonts w:eastAsia="Times New Roman"/>
              </w:rPr>
              <w:t>Access to key content</w:t>
            </w:r>
            <w:r w:rsidR="00224723">
              <w:rPr>
                <w:webHidden/>
              </w:rPr>
              <w:tab/>
            </w:r>
            <w:r w:rsidR="00224723">
              <w:rPr>
                <w:webHidden/>
              </w:rPr>
              <w:fldChar w:fldCharType="begin"/>
            </w:r>
            <w:r w:rsidR="00224723">
              <w:rPr>
                <w:webHidden/>
              </w:rPr>
              <w:instrText xml:space="preserve"> PAGEREF _Toc459884748 \h </w:instrText>
            </w:r>
            <w:r w:rsidR="00224723">
              <w:rPr>
                <w:webHidden/>
              </w:rPr>
            </w:r>
            <w:r w:rsidR="00224723">
              <w:rPr>
                <w:webHidden/>
              </w:rPr>
              <w:fldChar w:fldCharType="separate"/>
            </w:r>
            <w:r w:rsidR="00AE4856">
              <w:rPr>
                <w:webHidden/>
              </w:rPr>
              <w:t>11</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49" w:history="1">
            <w:r w:rsidR="00224723" w:rsidRPr="007B1C3F">
              <w:rPr>
                <w:rStyle w:val="Hyperlink"/>
                <w:rFonts w:eastAsia="Times New Roman"/>
              </w:rPr>
              <w:t>Two-sided markets and network effects</w:t>
            </w:r>
            <w:r w:rsidR="00224723">
              <w:rPr>
                <w:webHidden/>
              </w:rPr>
              <w:tab/>
            </w:r>
            <w:r w:rsidR="00224723">
              <w:rPr>
                <w:webHidden/>
              </w:rPr>
              <w:fldChar w:fldCharType="begin"/>
            </w:r>
            <w:r w:rsidR="00224723">
              <w:rPr>
                <w:webHidden/>
              </w:rPr>
              <w:instrText xml:space="preserve"> PAGEREF _Toc459884749 \h </w:instrText>
            </w:r>
            <w:r w:rsidR="00224723">
              <w:rPr>
                <w:webHidden/>
              </w:rPr>
            </w:r>
            <w:r w:rsidR="00224723">
              <w:rPr>
                <w:webHidden/>
              </w:rPr>
              <w:fldChar w:fldCharType="separate"/>
            </w:r>
            <w:r w:rsidR="00AE4856">
              <w:rPr>
                <w:webHidden/>
              </w:rPr>
              <w:t>12</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50" w:history="1">
            <w:r w:rsidR="00224723" w:rsidRPr="007B1C3F">
              <w:rPr>
                <w:rStyle w:val="Hyperlink"/>
                <w:rFonts w:eastAsia="Times New Roman"/>
              </w:rPr>
              <w:t>Bundling and foreclosure</w:t>
            </w:r>
            <w:r w:rsidR="00224723">
              <w:rPr>
                <w:webHidden/>
              </w:rPr>
              <w:tab/>
            </w:r>
            <w:r w:rsidR="00224723">
              <w:rPr>
                <w:webHidden/>
              </w:rPr>
              <w:fldChar w:fldCharType="begin"/>
            </w:r>
            <w:r w:rsidR="00224723">
              <w:rPr>
                <w:webHidden/>
              </w:rPr>
              <w:instrText xml:space="preserve"> PAGEREF _Toc459884750 \h </w:instrText>
            </w:r>
            <w:r w:rsidR="00224723">
              <w:rPr>
                <w:webHidden/>
              </w:rPr>
            </w:r>
            <w:r w:rsidR="00224723">
              <w:rPr>
                <w:webHidden/>
              </w:rPr>
              <w:fldChar w:fldCharType="separate"/>
            </w:r>
            <w:r w:rsidR="00AE4856">
              <w:rPr>
                <w:webHidden/>
              </w:rPr>
              <w:t>13</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51" w:history="1">
            <w:r w:rsidR="00224723" w:rsidRPr="007B1C3F">
              <w:rPr>
                <w:rStyle w:val="Hyperlink"/>
                <w:rFonts w:eastAsia="Times New Roman"/>
              </w:rPr>
              <w:t>Minority shareholdings</w:t>
            </w:r>
            <w:r w:rsidR="00224723">
              <w:rPr>
                <w:webHidden/>
              </w:rPr>
              <w:tab/>
            </w:r>
            <w:r w:rsidR="00224723">
              <w:rPr>
                <w:webHidden/>
              </w:rPr>
              <w:fldChar w:fldCharType="begin"/>
            </w:r>
            <w:r w:rsidR="00224723">
              <w:rPr>
                <w:webHidden/>
              </w:rPr>
              <w:instrText xml:space="preserve"> PAGEREF _Toc459884751 \h </w:instrText>
            </w:r>
            <w:r w:rsidR="00224723">
              <w:rPr>
                <w:webHidden/>
              </w:rPr>
            </w:r>
            <w:r w:rsidR="00224723">
              <w:rPr>
                <w:webHidden/>
              </w:rPr>
              <w:fldChar w:fldCharType="separate"/>
            </w:r>
            <w:r w:rsidR="00AE4856">
              <w:rPr>
                <w:webHidden/>
              </w:rPr>
              <w:t>14</w:t>
            </w:r>
            <w:r w:rsidR="00224723">
              <w:rPr>
                <w:webHidden/>
              </w:rPr>
              <w:fldChar w:fldCharType="end"/>
            </w:r>
          </w:hyperlink>
        </w:p>
        <w:p w:rsidR="00224723" w:rsidRDefault="006A1F9A">
          <w:pPr>
            <w:pStyle w:val="TOC1"/>
            <w:rPr>
              <w:rFonts w:asciiTheme="minorHAnsi" w:eastAsiaTheme="minorEastAsia" w:hAnsiTheme="minorHAnsi"/>
              <w:lang w:val="en-AU" w:eastAsia="en-AU"/>
            </w:rPr>
          </w:pPr>
          <w:hyperlink w:anchor="_Toc459884752" w:history="1">
            <w:r w:rsidR="00224723" w:rsidRPr="007B1C3F">
              <w:rPr>
                <w:rStyle w:val="Hyperlink"/>
                <w:rFonts w:eastAsia="Times New Roman"/>
              </w:rPr>
              <w:t>Engaging with the ACCC</w:t>
            </w:r>
            <w:r w:rsidR="00224723">
              <w:rPr>
                <w:webHidden/>
              </w:rPr>
              <w:tab/>
            </w:r>
            <w:r w:rsidR="00224723">
              <w:rPr>
                <w:webHidden/>
              </w:rPr>
              <w:fldChar w:fldCharType="begin"/>
            </w:r>
            <w:r w:rsidR="00224723">
              <w:rPr>
                <w:webHidden/>
              </w:rPr>
              <w:instrText xml:space="preserve"> PAGEREF _Toc459884752 \h </w:instrText>
            </w:r>
            <w:r w:rsidR="00224723">
              <w:rPr>
                <w:webHidden/>
              </w:rPr>
            </w:r>
            <w:r w:rsidR="00224723">
              <w:rPr>
                <w:webHidden/>
              </w:rPr>
              <w:fldChar w:fldCharType="separate"/>
            </w:r>
            <w:r w:rsidR="00AE4856">
              <w:rPr>
                <w:webHidden/>
              </w:rPr>
              <w:t>16</w:t>
            </w:r>
            <w:r w:rsidR="00224723">
              <w:rPr>
                <w:webHidden/>
              </w:rPr>
              <w:fldChar w:fldCharType="end"/>
            </w:r>
          </w:hyperlink>
        </w:p>
        <w:p w:rsidR="00224723" w:rsidRDefault="006A1F9A">
          <w:pPr>
            <w:pStyle w:val="TOC2"/>
            <w:rPr>
              <w:rFonts w:asciiTheme="minorHAnsi" w:eastAsiaTheme="minorEastAsia" w:hAnsiTheme="minorHAnsi"/>
              <w:lang w:eastAsia="en-AU"/>
            </w:rPr>
          </w:pPr>
          <w:hyperlink w:anchor="_Toc459884753" w:history="1">
            <w:r w:rsidR="00224723" w:rsidRPr="007B1C3F">
              <w:rPr>
                <w:rStyle w:val="Hyperlink"/>
              </w:rPr>
              <w:t>Potential for remedies</w:t>
            </w:r>
            <w:r w:rsidR="00224723">
              <w:rPr>
                <w:webHidden/>
              </w:rPr>
              <w:tab/>
            </w:r>
            <w:r w:rsidR="00224723">
              <w:rPr>
                <w:webHidden/>
              </w:rPr>
              <w:fldChar w:fldCharType="begin"/>
            </w:r>
            <w:r w:rsidR="00224723">
              <w:rPr>
                <w:webHidden/>
              </w:rPr>
              <w:instrText xml:space="preserve"> PAGEREF _Toc459884753 \h </w:instrText>
            </w:r>
            <w:r w:rsidR="00224723">
              <w:rPr>
                <w:webHidden/>
              </w:rPr>
            </w:r>
            <w:r w:rsidR="00224723">
              <w:rPr>
                <w:webHidden/>
              </w:rPr>
              <w:fldChar w:fldCharType="separate"/>
            </w:r>
            <w:r w:rsidR="00AE4856">
              <w:rPr>
                <w:webHidden/>
              </w:rPr>
              <w:t>16</w:t>
            </w:r>
            <w:r w:rsidR="00224723">
              <w:rPr>
                <w:webHidden/>
              </w:rPr>
              <w:fldChar w:fldCharType="end"/>
            </w:r>
          </w:hyperlink>
        </w:p>
        <w:p w:rsidR="00FB23A3" w:rsidRPr="00320021" w:rsidRDefault="00FB23A3">
          <w:r w:rsidRPr="001937D1">
            <w:rPr>
              <w:b/>
              <w:bCs/>
            </w:rPr>
            <w:fldChar w:fldCharType="end"/>
          </w:r>
          <w:r w:rsidR="00E508A9" w:rsidRPr="00926CD5" w:rsidDel="00E508A9">
            <w:rPr>
              <w:bCs/>
            </w:rPr>
            <w:t xml:space="preserve"> </w:t>
          </w:r>
        </w:p>
      </w:sdtContent>
    </w:sdt>
    <w:p w:rsidR="00B74422" w:rsidRDefault="00B74422" w:rsidP="001937D1"/>
    <w:p w:rsidR="00B74422" w:rsidRDefault="00B74422" w:rsidP="001937D1"/>
    <w:p w:rsidR="00752390" w:rsidRPr="00D94E3F" w:rsidRDefault="00752390" w:rsidP="001937D1"/>
    <w:p w:rsidR="00B74422" w:rsidRPr="009F6C04" w:rsidRDefault="00B74422" w:rsidP="009F6C04">
      <w:pPr>
        <w:shd w:val="clear" w:color="auto" w:fill="F2F2F2" w:themeFill="background1" w:themeFillShade="F2"/>
      </w:pPr>
      <w:r w:rsidRPr="00D94E3F">
        <w:rPr>
          <w:rStyle w:val="Strong"/>
        </w:rPr>
        <w:t>Note on terminology</w:t>
      </w:r>
    </w:p>
    <w:p w:rsidR="00B74422" w:rsidRPr="00D94E3F" w:rsidRDefault="00B74422" w:rsidP="009F6C04">
      <w:pPr>
        <w:shd w:val="clear" w:color="auto" w:fill="F2F2F2" w:themeFill="background1" w:themeFillShade="F2"/>
      </w:pPr>
      <w:r w:rsidRPr="00D94E3F">
        <w:t xml:space="preserve">Section 50 applies </w:t>
      </w:r>
      <w:proofErr w:type="gramStart"/>
      <w:r w:rsidRPr="00D94E3F">
        <w:t>to</w:t>
      </w:r>
      <w:proofErr w:type="gramEnd"/>
      <w:r w:rsidRPr="00D94E3F">
        <w:t>:</w:t>
      </w:r>
    </w:p>
    <w:p w:rsidR="00B74422" w:rsidRPr="00867970" w:rsidRDefault="00B74422" w:rsidP="009F6C04">
      <w:pPr>
        <w:pStyle w:val="Bulletpoint"/>
        <w:shd w:val="clear" w:color="auto" w:fill="F2F2F2" w:themeFill="background1" w:themeFillShade="F2"/>
      </w:pPr>
      <w:r w:rsidRPr="00867970">
        <w:t>mergers, where typically the shareholders of two companies (the merger parties) become the shareholders of the new merged company; and</w:t>
      </w:r>
    </w:p>
    <w:p w:rsidR="00B74422" w:rsidRPr="00867970" w:rsidRDefault="00B74422" w:rsidP="009F6C04">
      <w:pPr>
        <w:pStyle w:val="Bulletpoint"/>
        <w:shd w:val="clear" w:color="auto" w:fill="F2F2F2" w:themeFill="background1" w:themeFillShade="F2"/>
      </w:pPr>
      <w:proofErr w:type="gramStart"/>
      <w:r w:rsidRPr="00867970">
        <w:t>acquisitions</w:t>
      </w:r>
      <w:proofErr w:type="gramEnd"/>
      <w:r w:rsidRPr="00867970">
        <w:t>, where a company (the acquirer) acquires the shareholding or assets of another company (the target).</w:t>
      </w:r>
    </w:p>
    <w:p w:rsidR="00B74422" w:rsidRPr="00D94E3F" w:rsidRDefault="00B74422" w:rsidP="009F6C04">
      <w:pPr>
        <w:shd w:val="clear" w:color="auto" w:fill="F2F2F2" w:themeFill="background1" w:themeFillShade="F2"/>
      </w:pPr>
      <w:r w:rsidRPr="00D94E3F">
        <w:t xml:space="preserve">For convenience, this paper </w:t>
      </w:r>
      <w:r w:rsidR="00396C3B">
        <w:t xml:space="preserve">uses the terms </w:t>
      </w:r>
      <w:r w:rsidRPr="00D94E3F">
        <w:t>‘mergers’ and ‘merger parties’</w:t>
      </w:r>
      <w:r w:rsidR="00396C3B">
        <w:t xml:space="preserve"> when referring to either mergers or acquisitions</w:t>
      </w:r>
      <w:r w:rsidRPr="00D94E3F">
        <w:t>.</w:t>
      </w:r>
    </w:p>
    <w:p w:rsidR="00B74422" w:rsidRPr="00867970" w:rsidRDefault="00B74422" w:rsidP="00867970"/>
    <w:p w:rsidR="00060F13" w:rsidRDefault="00060F13">
      <w:pPr>
        <w:rPr>
          <w:rFonts w:ascii="Lucida Fax" w:eastAsia="Times New Roman" w:hAnsi="Lucida Fax" w:cstheme="majorBidi"/>
          <w:bCs/>
          <w:color w:val="51626F"/>
          <w:sz w:val="32"/>
          <w:szCs w:val="28"/>
        </w:rPr>
      </w:pPr>
      <w:bookmarkStart w:id="1" w:name="_Toc459884739"/>
      <w:r>
        <w:rPr>
          <w:rFonts w:eastAsia="Times New Roman"/>
        </w:rPr>
        <w:br w:type="page"/>
      </w:r>
    </w:p>
    <w:p w:rsidR="00B0789E" w:rsidRPr="00D94E3F" w:rsidRDefault="00566C6C">
      <w:pPr>
        <w:pStyle w:val="Heading1"/>
        <w:rPr>
          <w:rFonts w:eastAsia="Times New Roman"/>
        </w:rPr>
      </w:pPr>
      <w:r>
        <w:rPr>
          <w:rFonts w:eastAsia="Times New Roman"/>
        </w:rPr>
        <w:lastRenderedPageBreak/>
        <w:t>Foreword</w:t>
      </w:r>
      <w:bookmarkEnd w:id="1"/>
      <w:r w:rsidR="00F63E8D">
        <w:rPr>
          <w:rFonts w:eastAsia="Times New Roman"/>
        </w:rPr>
        <w:t xml:space="preserve"> </w:t>
      </w:r>
    </w:p>
    <w:p w:rsidR="00D60668" w:rsidRPr="00D94E3F" w:rsidRDefault="00D60668" w:rsidP="00867970">
      <w:r>
        <w:t xml:space="preserve">The Australian Competition and Consumer Commission (the </w:t>
      </w:r>
      <w:r w:rsidRPr="00867970">
        <w:rPr>
          <w:rStyle w:val="Strong"/>
        </w:rPr>
        <w:t>ACCC</w:t>
      </w:r>
      <w:r>
        <w:t xml:space="preserve">) is the </w:t>
      </w:r>
      <w:r w:rsidR="00DA44F4">
        <w:t xml:space="preserve">independent statutory authority </w:t>
      </w:r>
      <w:r>
        <w:t xml:space="preserve">responsible for administering the </w:t>
      </w:r>
      <w:r w:rsidRPr="00867970">
        <w:rPr>
          <w:rStyle w:val="Emphasis"/>
        </w:rPr>
        <w:t xml:space="preserve">Competition and Consumer Act 2010 </w:t>
      </w:r>
      <w:r>
        <w:t xml:space="preserve">(the </w:t>
      </w:r>
      <w:r w:rsidRPr="00867970">
        <w:rPr>
          <w:rStyle w:val="Strong"/>
        </w:rPr>
        <w:t>Act</w:t>
      </w:r>
      <w:r>
        <w:t>)</w:t>
      </w:r>
      <w:r w:rsidR="00E508A9">
        <w:t>, including the merger provisions in section 50</w:t>
      </w:r>
      <w:r>
        <w:t xml:space="preserve">. </w:t>
      </w:r>
    </w:p>
    <w:p w:rsidR="00E73A02" w:rsidRPr="00D94E3F" w:rsidRDefault="00D60668" w:rsidP="00867970">
      <w:r>
        <w:t>The</w:t>
      </w:r>
      <w:r w:rsidR="00E73A02" w:rsidRPr="00D94E3F">
        <w:t xml:space="preserve"> ACCC released the first version of </w:t>
      </w:r>
      <w:r w:rsidR="009A367F">
        <w:t xml:space="preserve">its </w:t>
      </w:r>
      <w:r w:rsidR="009A367F" w:rsidRPr="00867970">
        <w:rPr>
          <w:rStyle w:val="Emphasis"/>
        </w:rPr>
        <w:t>Media Merger Guidelines</w:t>
      </w:r>
      <w:r w:rsidR="00E73A02" w:rsidRPr="00D94E3F">
        <w:t xml:space="preserve"> in August 2006</w:t>
      </w:r>
      <w:r>
        <w:t>. In 2016, the</w:t>
      </w:r>
      <w:r w:rsidR="00E73A02" w:rsidRPr="00D94E3F">
        <w:t xml:space="preserve"> ACCC </w:t>
      </w:r>
      <w:r>
        <w:t>undertook</w:t>
      </w:r>
      <w:r w:rsidR="00E73A02" w:rsidRPr="00D94E3F">
        <w:t xml:space="preserve"> to update </w:t>
      </w:r>
      <w:r>
        <w:t xml:space="preserve">these guidelines. </w:t>
      </w:r>
      <w:r w:rsidR="00E73A02" w:rsidRPr="00D94E3F">
        <w:t>This update is timely for two reasons.</w:t>
      </w:r>
    </w:p>
    <w:p w:rsidR="00E73A02" w:rsidRPr="00D94E3F" w:rsidRDefault="00E73A02" w:rsidP="00867970">
      <w:r w:rsidRPr="00D94E3F">
        <w:t xml:space="preserve">First, there have been </w:t>
      </w:r>
      <w:r w:rsidR="009A367F">
        <w:t>significant</w:t>
      </w:r>
      <w:r w:rsidR="009A367F" w:rsidRPr="00D94E3F">
        <w:t xml:space="preserve"> </w:t>
      </w:r>
      <w:r w:rsidRPr="00D94E3F">
        <w:t xml:space="preserve">changes to the way media </w:t>
      </w:r>
      <w:proofErr w:type="gramStart"/>
      <w:r w:rsidRPr="00D94E3F">
        <w:t xml:space="preserve">is delivered and consumed </w:t>
      </w:r>
      <w:r w:rsidR="00366F60">
        <w:t>over</w:t>
      </w:r>
      <w:r w:rsidR="00304BE1">
        <w:t xml:space="preserve"> the past ten years</w:t>
      </w:r>
      <w:proofErr w:type="gramEnd"/>
      <w:r w:rsidR="007A51A9">
        <w:t xml:space="preserve"> and </w:t>
      </w:r>
      <w:r w:rsidRPr="00D94E3F">
        <w:t>these changes are altering the nature of competition in media markets.</w:t>
      </w:r>
    </w:p>
    <w:p w:rsidR="00E73A02" w:rsidRPr="00D94E3F" w:rsidRDefault="00E73A02" w:rsidP="00867970">
      <w:r w:rsidRPr="00D94E3F">
        <w:t xml:space="preserve">Second, the </w:t>
      </w:r>
      <w:r w:rsidR="007A51A9">
        <w:t>g</w:t>
      </w:r>
      <w:r w:rsidRPr="00D94E3F">
        <w:t xml:space="preserve">overnment has proposed changes to Australia’s media </w:t>
      </w:r>
      <w:r w:rsidR="0052367D">
        <w:t xml:space="preserve">control and </w:t>
      </w:r>
      <w:r w:rsidRPr="00D94E3F">
        <w:t>ownership laws</w:t>
      </w:r>
      <w:r w:rsidR="0052367D">
        <w:t xml:space="preserve"> established under the </w:t>
      </w:r>
      <w:r w:rsidR="0052367D" w:rsidRPr="00867970">
        <w:rPr>
          <w:rStyle w:val="Emphasis"/>
        </w:rPr>
        <w:t>Broadcasting Services Act 1992</w:t>
      </w:r>
      <w:r w:rsidRPr="00D94E3F">
        <w:t>. These changes would remove restrictions that prevent one person (or company) controlling:</w:t>
      </w:r>
    </w:p>
    <w:p w:rsidR="00E73A02" w:rsidRPr="00867970" w:rsidRDefault="0052367D" w:rsidP="00867970">
      <w:pPr>
        <w:pStyle w:val="Bulletpoint"/>
      </w:pPr>
      <w:r w:rsidRPr="00867970">
        <w:t xml:space="preserve">commercial </w:t>
      </w:r>
      <w:r w:rsidR="00E73A02" w:rsidRPr="00867970">
        <w:t>television</w:t>
      </w:r>
      <w:r w:rsidRPr="00867970">
        <w:t xml:space="preserve"> broadcasting</w:t>
      </w:r>
      <w:r w:rsidR="00E73A02" w:rsidRPr="00867970">
        <w:t xml:space="preserve"> licences that collectively reach more than 75 per cent of the Australian population (</w:t>
      </w:r>
      <w:r w:rsidR="00B9784E" w:rsidRPr="00867970">
        <w:t>“</w:t>
      </w:r>
      <w:r w:rsidR="00E73A02" w:rsidRPr="00867970">
        <w:t>reach rule</w:t>
      </w:r>
      <w:r w:rsidR="00B9784E" w:rsidRPr="00867970">
        <w:t>”</w:t>
      </w:r>
      <w:r w:rsidR="00E73A02" w:rsidRPr="00867970">
        <w:t>); and</w:t>
      </w:r>
    </w:p>
    <w:p w:rsidR="00E73A02" w:rsidRPr="00867970" w:rsidRDefault="0052367D" w:rsidP="00867970">
      <w:pPr>
        <w:pStyle w:val="Bulletpoint"/>
      </w:pPr>
      <w:r w:rsidRPr="00867970">
        <w:t xml:space="preserve">more than two of the three regulated media platforms – </w:t>
      </w:r>
      <w:r w:rsidR="00E73A02" w:rsidRPr="00867970">
        <w:t xml:space="preserve">a commercial radio </w:t>
      </w:r>
      <w:r w:rsidRPr="00867970">
        <w:t xml:space="preserve">broadcasting </w:t>
      </w:r>
      <w:r w:rsidR="00E73A02" w:rsidRPr="00867970">
        <w:t xml:space="preserve">licence, </w:t>
      </w:r>
      <w:r w:rsidRPr="00867970">
        <w:t xml:space="preserve">a </w:t>
      </w:r>
      <w:r w:rsidR="00E73A02" w:rsidRPr="00867970">
        <w:t xml:space="preserve">commercial television </w:t>
      </w:r>
      <w:r w:rsidRPr="00867970">
        <w:t xml:space="preserve">broadcasting licence or </w:t>
      </w:r>
      <w:r w:rsidR="00E73A02" w:rsidRPr="00867970">
        <w:t>an</w:t>
      </w:r>
      <w:r w:rsidRPr="00867970">
        <w:t xml:space="preserve"> associated</w:t>
      </w:r>
      <w:r w:rsidR="00E73A02" w:rsidRPr="00867970">
        <w:t xml:space="preserve"> newspaper</w:t>
      </w:r>
      <w:r w:rsidRPr="00867970">
        <w:footnoteReference w:id="1"/>
      </w:r>
      <w:r w:rsidRPr="00867970">
        <w:t xml:space="preserve"> –</w:t>
      </w:r>
      <w:r w:rsidR="00E73A02" w:rsidRPr="00867970">
        <w:t xml:space="preserve"> in </w:t>
      </w:r>
      <w:r w:rsidRPr="00867970">
        <w:t>any commercial radio licence area</w:t>
      </w:r>
      <w:r w:rsidR="00E73A02" w:rsidRPr="00867970">
        <w:t xml:space="preserve"> (</w:t>
      </w:r>
      <w:r w:rsidR="00B9784E" w:rsidRPr="00867970">
        <w:t>“</w:t>
      </w:r>
      <w:r w:rsidR="00E73A02" w:rsidRPr="00867970">
        <w:t>2 out of 3 rule</w:t>
      </w:r>
      <w:r w:rsidR="00B9784E" w:rsidRPr="00867970">
        <w:t>”</w:t>
      </w:r>
      <w:r w:rsidR="00E73A02" w:rsidRPr="00867970">
        <w:t>).</w:t>
      </w:r>
    </w:p>
    <w:p w:rsidR="00DB38A9" w:rsidRDefault="009A367F" w:rsidP="00E73A02">
      <w:r>
        <w:t xml:space="preserve">The removal of these restrictions </w:t>
      </w:r>
      <w:r w:rsidR="00872DCB">
        <w:t xml:space="preserve">would </w:t>
      </w:r>
      <w:r>
        <w:t xml:space="preserve">create the potential for mergers in the </w:t>
      </w:r>
      <w:r w:rsidR="007430C9">
        <w:t xml:space="preserve">Australian </w:t>
      </w:r>
      <w:r>
        <w:t>media sector</w:t>
      </w:r>
      <w:r w:rsidR="007430C9">
        <w:t>, all of which will be subject to section 50 of the Act</w:t>
      </w:r>
      <w:r w:rsidR="00DB38A9">
        <w:t xml:space="preserve">. </w:t>
      </w:r>
    </w:p>
    <w:p w:rsidR="00DB38A9" w:rsidRDefault="00DB38A9" w:rsidP="00E73A02">
      <w:r>
        <w:t>S</w:t>
      </w:r>
      <w:r w:rsidRPr="00D94E3F">
        <w:t xml:space="preserve">ection 50 prohibits mergers that are likely </w:t>
      </w:r>
      <w:proofErr w:type="gramStart"/>
      <w:r w:rsidRPr="00D94E3F">
        <w:t>to substantially lessen</w:t>
      </w:r>
      <w:proofErr w:type="gramEnd"/>
      <w:r w:rsidRPr="00D94E3F">
        <w:t xml:space="preserve"> competition in a</w:t>
      </w:r>
      <w:r w:rsidR="00CA7CAB">
        <w:t>ny</w:t>
      </w:r>
      <w:r w:rsidRPr="00D94E3F">
        <w:t xml:space="preserve"> market. </w:t>
      </w:r>
      <w:r>
        <w:t xml:space="preserve">The ACCC’s </w:t>
      </w:r>
      <w:r w:rsidRPr="00867970">
        <w:rPr>
          <w:rStyle w:val="Emphasis"/>
        </w:rPr>
        <w:t>Merger Guidelines</w:t>
      </w:r>
      <w:r>
        <w:t xml:space="preserve"> set out the ACCC’s analytical approach to assessing mergers. The ACCC’s </w:t>
      </w:r>
      <w:r w:rsidRPr="00867970">
        <w:rPr>
          <w:rStyle w:val="Emphasis"/>
        </w:rPr>
        <w:t>Media Merger Guidelines</w:t>
      </w:r>
      <w:r w:rsidR="00CA7CAB">
        <w:t xml:space="preserve"> </w:t>
      </w:r>
      <w:r w:rsidR="00566C6C">
        <w:t xml:space="preserve">supplement the </w:t>
      </w:r>
      <w:r w:rsidR="00F63E8D">
        <w:t>analytical</w:t>
      </w:r>
      <w:r w:rsidR="00566C6C">
        <w:t xml:space="preserve"> guidelines by drawing out key areas of focus </w:t>
      </w:r>
      <w:r w:rsidR="00F63E8D">
        <w:t xml:space="preserve">for </w:t>
      </w:r>
      <w:r w:rsidR="00566C6C">
        <w:t xml:space="preserve">the ACCC when assessing mergers in the media sector. These will vary from merger to merger, but might include issues such as </w:t>
      </w:r>
      <w:r w:rsidR="009352E7">
        <w:t xml:space="preserve">diversity of media voices, </w:t>
      </w:r>
      <w:r w:rsidR="00B9784E">
        <w:t>the impact of technological change</w:t>
      </w:r>
      <w:r w:rsidR="00224723">
        <w:t>, and access to content</w:t>
      </w:r>
      <w:r w:rsidR="009352E7">
        <w:t xml:space="preserve">. </w:t>
      </w:r>
    </w:p>
    <w:p w:rsidR="009352E7" w:rsidRDefault="00566C6C" w:rsidP="00E73A02">
      <w:r w:rsidRPr="00AA2657">
        <w:t xml:space="preserve">The </w:t>
      </w:r>
      <w:r w:rsidR="00DB38A9" w:rsidRPr="00867970">
        <w:rPr>
          <w:rStyle w:val="Emphasis"/>
        </w:rPr>
        <w:t xml:space="preserve">Media </w:t>
      </w:r>
      <w:r w:rsidRPr="00867970">
        <w:rPr>
          <w:rStyle w:val="Emphasis"/>
        </w:rPr>
        <w:t>Merger Guidelines</w:t>
      </w:r>
      <w:r>
        <w:t xml:space="preserve"> include a number of case studies to illustrate the ACCC’s approach. </w:t>
      </w:r>
      <w:r w:rsidR="00B74422">
        <w:t xml:space="preserve">These </w:t>
      </w:r>
      <w:proofErr w:type="gramStart"/>
      <w:r w:rsidR="00B74422">
        <w:t>may be updated</w:t>
      </w:r>
      <w:proofErr w:type="gramEnd"/>
      <w:r w:rsidR="00B74422">
        <w:t xml:space="preserve"> from time to time to include more recent matters as they arise.</w:t>
      </w:r>
    </w:p>
    <w:p w:rsidR="009352E7" w:rsidRDefault="009352E7" w:rsidP="009352E7">
      <w:r w:rsidRPr="00D94E3F">
        <w:t xml:space="preserve">As markets continue to evolve, the ACCC’s </w:t>
      </w:r>
      <w:r w:rsidR="007A51A9">
        <w:t xml:space="preserve">merger </w:t>
      </w:r>
      <w:r w:rsidRPr="00D94E3F">
        <w:t xml:space="preserve">analysis </w:t>
      </w:r>
      <w:r w:rsidR="007A51A9">
        <w:t xml:space="preserve">will </w:t>
      </w:r>
      <w:proofErr w:type="gramStart"/>
      <w:r w:rsidR="007A51A9">
        <w:t>take these developments into account</w:t>
      </w:r>
      <w:proofErr w:type="gramEnd"/>
      <w:r w:rsidRPr="00D94E3F">
        <w:t xml:space="preserve">. </w:t>
      </w:r>
      <w:r w:rsidR="007430C9">
        <w:t xml:space="preserve">It is not possible to indicate in </w:t>
      </w:r>
      <w:proofErr w:type="gramStart"/>
      <w:r w:rsidR="007430C9">
        <w:t>advance</w:t>
      </w:r>
      <w:proofErr w:type="gramEnd"/>
      <w:r w:rsidR="007430C9">
        <w:t xml:space="preserve"> what the outcomes of any </w:t>
      </w:r>
      <w:r w:rsidR="003F3B4A">
        <w:t>proposed</w:t>
      </w:r>
      <w:r w:rsidR="007430C9">
        <w:t xml:space="preserve"> merger might be, as each case will turn on its unique set of facts. </w:t>
      </w:r>
      <w:r w:rsidRPr="00D94E3F">
        <w:t>The ultimate test however will remain</w:t>
      </w:r>
      <w:r>
        <w:t xml:space="preserve"> the same</w:t>
      </w:r>
      <w:r w:rsidRPr="00D94E3F">
        <w:t xml:space="preserve">: whether a merger is likely </w:t>
      </w:r>
      <w:proofErr w:type="gramStart"/>
      <w:r w:rsidRPr="00D94E3F">
        <w:t>to substantial</w:t>
      </w:r>
      <w:r w:rsidR="00DA44F4">
        <w:t>ly</w:t>
      </w:r>
      <w:r w:rsidRPr="00D94E3F">
        <w:t xml:space="preserve"> lessen</w:t>
      </w:r>
      <w:proofErr w:type="gramEnd"/>
      <w:r w:rsidRPr="00D94E3F">
        <w:t xml:space="preserve"> competition</w:t>
      </w:r>
      <w:r>
        <w:t xml:space="preserve"> in any market</w:t>
      </w:r>
      <w:r w:rsidR="00E508A9">
        <w:t xml:space="preserve"> in Australia</w:t>
      </w:r>
      <w:r w:rsidRPr="00D94E3F">
        <w:t>.</w:t>
      </w:r>
    </w:p>
    <w:p w:rsidR="00B74422" w:rsidRPr="00867970" w:rsidRDefault="00B74422" w:rsidP="00867970">
      <w:r>
        <w:br w:type="page"/>
      </w:r>
    </w:p>
    <w:p w:rsidR="00B0789E" w:rsidRPr="00D94E3F" w:rsidRDefault="00B0789E" w:rsidP="00AA2657">
      <w:pPr>
        <w:pStyle w:val="Heading1"/>
        <w:rPr>
          <w:rFonts w:eastAsia="Times New Roman"/>
        </w:rPr>
      </w:pPr>
      <w:bookmarkStart w:id="2" w:name="_Toc459884740"/>
      <w:r w:rsidRPr="00D94E3F">
        <w:rPr>
          <w:rFonts w:eastAsia="Times New Roman"/>
        </w:rPr>
        <w:lastRenderedPageBreak/>
        <w:t xml:space="preserve">Purpose of the </w:t>
      </w:r>
      <w:r w:rsidR="00B351BF" w:rsidRPr="00D94E3F">
        <w:rPr>
          <w:rFonts w:eastAsia="Times New Roman"/>
        </w:rPr>
        <w:t>Guidelines</w:t>
      </w:r>
      <w:bookmarkEnd w:id="2"/>
    </w:p>
    <w:p w:rsidR="00B74422" w:rsidRDefault="00B351BF" w:rsidP="0019186D">
      <w:pPr>
        <w:pStyle w:val="Numberedparagraph"/>
      </w:pPr>
      <w:r w:rsidRPr="00D94E3F">
        <w:t xml:space="preserve">The purpose </w:t>
      </w:r>
      <w:r w:rsidR="00CF4717">
        <w:t xml:space="preserve">of the </w:t>
      </w:r>
      <w:r w:rsidR="007A51A9" w:rsidRPr="00296BC8">
        <w:t>guidelines</w:t>
      </w:r>
      <w:r w:rsidR="00CF4717">
        <w:t xml:space="preserve"> </w:t>
      </w:r>
      <w:r w:rsidRPr="00D94E3F">
        <w:t xml:space="preserve">is to </w:t>
      </w:r>
      <w:r w:rsidR="00E508A9" w:rsidRPr="00D94E3F">
        <w:t>highlight particular issues likely to be relevant to the ACCC’s assessment of a media merger</w:t>
      </w:r>
      <w:r w:rsidR="00E508A9" w:rsidRPr="00D94E3F" w:rsidDel="00E508A9">
        <w:t xml:space="preserve"> </w:t>
      </w:r>
      <w:r w:rsidR="00E508A9">
        <w:t xml:space="preserve">under </w:t>
      </w:r>
      <w:r w:rsidRPr="00D94E3F">
        <w:t xml:space="preserve">section 50 of the </w:t>
      </w:r>
      <w:r w:rsidR="00CF4717">
        <w:t xml:space="preserve">Act. </w:t>
      </w:r>
      <w:r w:rsidR="00BE0037">
        <w:t xml:space="preserve">In doing so, the guidelines complement the ACCC’s general </w:t>
      </w:r>
      <w:hyperlink r:id="rId11" w:history="1">
        <w:r w:rsidR="00BE0037" w:rsidRPr="0019186D">
          <w:rPr>
            <w:rStyle w:val="Hyperlink"/>
            <w:i/>
          </w:rPr>
          <w:t>Merger Guidelines</w:t>
        </w:r>
      </w:hyperlink>
      <w:r w:rsidR="0019186D">
        <w:rPr>
          <w:rStyle w:val="Emphasis"/>
        </w:rPr>
        <w:t xml:space="preserve">. </w:t>
      </w:r>
      <w:r w:rsidR="00B9784E">
        <w:t>A</w:t>
      </w:r>
      <w:r w:rsidR="00BE0037">
        <w:t>ccordingly</w:t>
      </w:r>
      <w:r w:rsidR="00B9784E">
        <w:t>,</w:t>
      </w:r>
      <w:r w:rsidR="00BE0037">
        <w:t xml:space="preserve"> a media company contemplating a merger should </w:t>
      </w:r>
      <w:r w:rsidR="00654871">
        <w:t xml:space="preserve">refer to </w:t>
      </w:r>
      <w:r w:rsidR="00BE0037">
        <w:t>both guidelines.</w:t>
      </w:r>
      <w:r w:rsidR="00B74422">
        <w:t xml:space="preserve"> </w:t>
      </w:r>
    </w:p>
    <w:p w:rsidR="009E7A6C" w:rsidRDefault="00E508A9" w:rsidP="0019186D">
      <w:pPr>
        <w:pStyle w:val="Numberedparagraph"/>
      </w:pPr>
      <w:r w:rsidRPr="00E508A9">
        <w:t xml:space="preserve">The </w:t>
      </w:r>
      <w:r w:rsidRPr="0019186D">
        <w:rPr>
          <w:rStyle w:val="Emphasis"/>
        </w:rPr>
        <w:t xml:space="preserve">Media Merger Guidelines </w:t>
      </w:r>
      <w:proofErr w:type="gramStart"/>
      <w:r>
        <w:t>are</w:t>
      </w:r>
      <w:r w:rsidR="00654871">
        <w:t xml:space="preserve"> </w:t>
      </w:r>
      <w:r w:rsidR="00B351BF" w:rsidRPr="00D94E3F">
        <w:t>intended</w:t>
      </w:r>
      <w:proofErr w:type="gramEnd"/>
      <w:r w:rsidR="00B351BF" w:rsidRPr="00D94E3F">
        <w:t xml:space="preserve"> to </w:t>
      </w:r>
      <w:r w:rsidR="00A45ABA" w:rsidRPr="00D94E3F">
        <w:t>help</w:t>
      </w:r>
      <w:r w:rsidR="00B351BF" w:rsidRPr="00D94E3F">
        <w:t xml:space="preserve"> prospective merger parties </w:t>
      </w:r>
      <w:r w:rsidR="009E7A6C" w:rsidRPr="00D94E3F">
        <w:t>develop a greater awareness</w:t>
      </w:r>
      <w:r w:rsidR="00B351BF" w:rsidRPr="00D94E3F">
        <w:t xml:space="preserve"> of the </w:t>
      </w:r>
      <w:r w:rsidR="009E7A6C" w:rsidRPr="00D94E3F">
        <w:t xml:space="preserve">general </w:t>
      </w:r>
      <w:r w:rsidR="00B351BF" w:rsidRPr="00D94E3F">
        <w:t>issues likely to be of interest to the ACCC when assessing a media merger</w:t>
      </w:r>
      <w:r w:rsidR="009E7A6C" w:rsidRPr="00D94E3F">
        <w:t xml:space="preserve">. This will assist merger parties and third parties to provide the ACCC with more relevant and </w:t>
      </w:r>
      <w:r w:rsidR="000F50B6" w:rsidRPr="00D94E3F">
        <w:t>targeted</w:t>
      </w:r>
      <w:r w:rsidR="009E7A6C" w:rsidRPr="00D94E3F">
        <w:t xml:space="preserve"> submissions</w:t>
      </w:r>
      <w:r w:rsidR="000F50B6" w:rsidRPr="00D94E3F">
        <w:t>,</w:t>
      </w:r>
      <w:r w:rsidR="009E7A6C" w:rsidRPr="00D94E3F">
        <w:t xml:space="preserve"> and enable merger</w:t>
      </w:r>
      <w:r w:rsidR="00B351BF" w:rsidRPr="00D94E3F">
        <w:t xml:space="preserve"> parties</w:t>
      </w:r>
      <w:r w:rsidR="009E7A6C" w:rsidRPr="00D94E3F">
        <w:t xml:space="preserve"> to</w:t>
      </w:r>
      <w:r w:rsidR="00B351BF" w:rsidRPr="00D94E3F">
        <w:t xml:space="preserve"> </w:t>
      </w:r>
      <w:r w:rsidR="00FA5C61">
        <w:t>anticipate the</w:t>
      </w:r>
      <w:r w:rsidR="00CA7CAB">
        <w:t xml:space="preserve"> ACCC’s</w:t>
      </w:r>
      <w:r w:rsidR="00FA5C61">
        <w:t xml:space="preserve"> likely areas of inquiry</w:t>
      </w:r>
      <w:r w:rsidR="00610579">
        <w:t>.</w:t>
      </w:r>
      <w:r w:rsidR="00A45ABA" w:rsidRPr="00D94E3F">
        <w:t xml:space="preserve"> </w:t>
      </w:r>
      <w:r w:rsidR="00CA7CAB">
        <w:t>The guidelines do not constitute legal advice.</w:t>
      </w:r>
    </w:p>
    <w:p w:rsidR="009E7A6C" w:rsidRDefault="009E7A6C" w:rsidP="0019186D">
      <w:pPr>
        <w:pStyle w:val="Numberedparagraph"/>
      </w:pPr>
      <w:r w:rsidRPr="00D94E3F">
        <w:t xml:space="preserve">The </w:t>
      </w:r>
      <w:r w:rsidR="00DA44F4">
        <w:t>g</w:t>
      </w:r>
      <w:r w:rsidRPr="00D94E3F">
        <w:t xml:space="preserve">uidelines </w:t>
      </w:r>
      <w:r w:rsidR="00E508A9">
        <w:t xml:space="preserve">also </w:t>
      </w:r>
      <w:r w:rsidRPr="00D94E3F">
        <w:t xml:space="preserve">do </w:t>
      </w:r>
      <w:r w:rsidR="00B351BF" w:rsidRPr="00D94E3F">
        <w:t>not</w:t>
      </w:r>
      <w:r w:rsidR="005E0FA3" w:rsidRPr="00D94E3F">
        <w:t xml:space="preserve"> </w:t>
      </w:r>
      <w:r w:rsidR="00B351BF" w:rsidRPr="00D94E3F">
        <w:t xml:space="preserve">indicate whether </w:t>
      </w:r>
      <w:r w:rsidR="00B9784E">
        <w:t xml:space="preserve">a </w:t>
      </w:r>
      <w:r w:rsidR="00B351BF" w:rsidRPr="00D94E3F">
        <w:t>particular hypothetical media merger might substantially lessen competition</w:t>
      </w:r>
      <w:r w:rsidRPr="00D94E3F">
        <w:t xml:space="preserve">, and they cannot </w:t>
      </w:r>
      <w:r w:rsidR="00B351BF" w:rsidRPr="00D94E3F">
        <w:t>be definitive about market definition.</w:t>
      </w:r>
      <w:r w:rsidRPr="00D94E3F">
        <w:t xml:space="preserve"> </w:t>
      </w:r>
      <w:r w:rsidR="005E0FA3" w:rsidRPr="00D94E3F">
        <w:t xml:space="preserve">In practice, individual mergers involve a great variety of facts and situations, and the </w:t>
      </w:r>
      <w:r w:rsidR="007A51A9">
        <w:t xml:space="preserve">competition </w:t>
      </w:r>
      <w:r w:rsidR="005E0FA3" w:rsidRPr="00D94E3F">
        <w:t xml:space="preserve">analysis of particular issues needs to </w:t>
      </w:r>
      <w:proofErr w:type="gramStart"/>
      <w:r w:rsidR="005E0FA3" w:rsidRPr="00D94E3F">
        <w:t>be tailored</w:t>
      </w:r>
      <w:proofErr w:type="gramEnd"/>
      <w:r w:rsidR="005E0FA3" w:rsidRPr="00D94E3F">
        <w:t xml:space="preserve"> to the specific </w:t>
      </w:r>
      <w:r w:rsidR="004E418C" w:rsidRPr="00D94E3F">
        <w:t>circumstances</w:t>
      </w:r>
      <w:r w:rsidR="005E0FA3" w:rsidRPr="00D94E3F">
        <w:t xml:space="preserve"> of </w:t>
      </w:r>
      <w:r w:rsidR="007A51A9">
        <w:t>each</w:t>
      </w:r>
      <w:r w:rsidR="005E0FA3" w:rsidRPr="00D94E3F">
        <w:t xml:space="preserve"> merger. </w:t>
      </w:r>
    </w:p>
    <w:p w:rsidR="00B0789E" w:rsidRPr="00D94E3F" w:rsidRDefault="00B0789E" w:rsidP="00AA2657">
      <w:pPr>
        <w:pStyle w:val="Heading1"/>
        <w:rPr>
          <w:rFonts w:eastAsia="Times New Roman"/>
        </w:rPr>
      </w:pPr>
      <w:bookmarkStart w:id="3" w:name="_Toc459884741"/>
      <w:r w:rsidRPr="00D94E3F">
        <w:rPr>
          <w:rFonts w:eastAsia="Times New Roman"/>
        </w:rPr>
        <w:t xml:space="preserve">Role of </w:t>
      </w:r>
      <w:r w:rsidR="008943D4">
        <w:rPr>
          <w:rFonts w:eastAsia="Times New Roman"/>
        </w:rPr>
        <w:t xml:space="preserve">the </w:t>
      </w:r>
      <w:r w:rsidRPr="00D94E3F">
        <w:rPr>
          <w:rFonts w:eastAsia="Times New Roman"/>
        </w:rPr>
        <w:t>ACCC</w:t>
      </w:r>
      <w:r w:rsidR="00752390" w:rsidRPr="00D94E3F">
        <w:rPr>
          <w:rFonts w:eastAsia="Times New Roman"/>
        </w:rPr>
        <w:t xml:space="preserve"> – how do we assess mergers?</w:t>
      </w:r>
      <w:bookmarkEnd w:id="3"/>
    </w:p>
    <w:p w:rsidR="008A24C3" w:rsidRDefault="00A45ABA" w:rsidP="0019186D">
      <w:pPr>
        <w:pStyle w:val="Numberedparagraph"/>
      </w:pPr>
      <w:r w:rsidRPr="001937D1">
        <w:t xml:space="preserve">Section 50 of the Act prohibits acquisitions of shares or assets that would have the effect, or be likely to have the effect, of substantially lessening competition in </w:t>
      </w:r>
      <w:r w:rsidR="00B87848" w:rsidRPr="00D94E3F">
        <w:t>any market in</w:t>
      </w:r>
      <w:r w:rsidRPr="001937D1">
        <w:t xml:space="preserve"> Australia.</w:t>
      </w:r>
      <w:r w:rsidR="00034C06" w:rsidRPr="00D94E3F">
        <w:t xml:space="preserve"> </w:t>
      </w:r>
      <w:r w:rsidR="00FA5C61">
        <w:t xml:space="preserve">The ACCC’s analytical framework </w:t>
      </w:r>
      <w:r w:rsidR="00E508A9">
        <w:t xml:space="preserve">for assessing mergers under section 50 </w:t>
      </w:r>
      <w:r w:rsidR="00FA5C61">
        <w:t xml:space="preserve">is set out in its </w:t>
      </w:r>
      <w:r w:rsidR="00FA5C61" w:rsidRPr="0019186D">
        <w:rPr>
          <w:rStyle w:val="Emphasis"/>
        </w:rPr>
        <w:t>Merger Guidelines</w:t>
      </w:r>
      <w:r w:rsidR="00FA5C61">
        <w:t>.</w:t>
      </w:r>
    </w:p>
    <w:p w:rsidR="000134C8" w:rsidRDefault="00D6360F" w:rsidP="0019186D">
      <w:pPr>
        <w:pStyle w:val="Numberedparagraph"/>
      </w:pPr>
      <w:r>
        <w:t>T</w:t>
      </w:r>
      <w:r w:rsidR="000134C8" w:rsidRPr="00D94E3F">
        <w:t>he</w:t>
      </w:r>
      <w:r w:rsidR="00DD4A85" w:rsidRPr="00D94E3F">
        <w:t xml:space="preserve"> ACCC</w:t>
      </w:r>
      <w:r w:rsidR="00ED3D48">
        <w:t xml:space="preserve"> also provides written guidance on the </w:t>
      </w:r>
      <w:r w:rsidR="00ED3D48" w:rsidRPr="0019186D">
        <w:rPr>
          <w:rStyle w:val="Emphasis"/>
        </w:rPr>
        <w:t>process</w:t>
      </w:r>
      <w:r w:rsidR="00ED3D48">
        <w:t xml:space="preserve"> it follows in assessing mergers </w:t>
      </w:r>
      <w:r w:rsidR="000134C8" w:rsidRPr="00D94E3F">
        <w:t xml:space="preserve">in the ACCC’s </w:t>
      </w:r>
      <w:hyperlink r:id="rId12" w:history="1">
        <w:r w:rsidR="000134C8" w:rsidRPr="0019186D">
          <w:rPr>
            <w:rStyle w:val="Hyperlink"/>
            <w:i/>
          </w:rPr>
          <w:t>Informal Merger Review Process Guidelines</w:t>
        </w:r>
      </w:hyperlink>
      <w:r w:rsidR="0019186D">
        <w:rPr>
          <w:rStyle w:val="Emphasis"/>
          <w:i w:val="0"/>
        </w:rPr>
        <w:t>.</w:t>
      </w:r>
      <w:r w:rsidR="000134C8" w:rsidRPr="00D94E3F">
        <w:t xml:space="preserve"> </w:t>
      </w:r>
    </w:p>
    <w:p w:rsidR="000A7495" w:rsidRDefault="000A7495" w:rsidP="0019186D">
      <w:pPr>
        <w:pStyle w:val="Numberedparagraph"/>
      </w:pPr>
      <w:r>
        <w:t xml:space="preserve">In determining whether a merger is likely </w:t>
      </w:r>
      <w:proofErr w:type="gramStart"/>
      <w:r>
        <w:t>to substantially lessen</w:t>
      </w:r>
      <w:proofErr w:type="gramEnd"/>
      <w:r>
        <w:t xml:space="preserve"> competition, the ACCC will consider ways in which a merger may result in competitive harm, and seek input from the merger parties and market participants on these issues. The ACCC also considers each of the merger factors in section 50(3) of the Act, as well as any other relevant factors. The merger factors provide insight as to the likely competitive constraints the merged firm will face following the merger and the possible competitive effects of the merger.</w:t>
      </w:r>
    </w:p>
    <w:p w:rsidR="005D2845" w:rsidRPr="00867970" w:rsidRDefault="005D2845" w:rsidP="00867970">
      <w:pPr>
        <w:pStyle w:val="Heading2"/>
      </w:pPr>
      <w:bookmarkStart w:id="4" w:name="_Toc459884742"/>
      <w:r w:rsidRPr="00867970">
        <w:t>The forward looking nature of the competition test</w:t>
      </w:r>
      <w:r w:rsidR="00ED3D48" w:rsidRPr="00867970">
        <w:t xml:space="preserve"> for mergers</w:t>
      </w:r>
      <w:bookmarkEnd w:id="4"/>
    </w:p>
    <w:p w:rsidR="007A7A67" w:rsidRPr="00D94E3F" w:rsidRDefault="00760A8A" w:rsidP="0019186D">
      <w:pPr>
        <w:pStyle w:val="Numberedparagraph"/>
      </w:pPr>
      <w:r w:rsidRPr="00D94E3F">
        <w:t xml:space="preserve">When considering a merger, the ACCC </w:t>
      </w:r>
      <w:r w:rsidR="007D5AE2" w:rsidRPr="00D94E3F">
        <w:t xml:space="preserve">adopts a forward-looking analysis into the effects or likely effects of a merger, applying </w:t>
      </w:r>
      <w:r w:rsidRPr="00D94E3F">
        <w:t xml:space="preserve">the </w:t>
      </w:r>
      <w:r w:rsidR="006428AB">
        <w:t xml:space="preserve">future </w:t>
      </w:r>
      <w:r w:rsidR="005E0FA3" w:rsidRPr="00D94E3F">
        <w:t>“</w:t>
      </w:r>
      <w:r w:rsidRPr="00D94E3F">
        <w:t>with-or-without</w:t>
      </w:r>
      <w:r w:rsidR="005E0FA3" w:rsidRPr="00D94E3F">
        <w:t>”</w:t>
      </w:r>
      <w:r w:rsidRPr="00D94E3F">
        <w:t xml:space="preserve"> test. </w:t>
      </w:r>
      <w:r w:rsidR="007D5AE2" w:rsidRPr="00D94E3F">
        <w:t>In other words, t</w:t>
      </w:r>
      <w:r w:rsidRPr="00D94E3F">
        <w:t>he ACCC consider</w:t>
      </w:r>
      <w:r w:rsidR="00DA44F4">
        <w:t>s</w:t>
      </w:r>
      <w:r w:rsidRPr="00D94E3F">
        <w:t xml:space="preserve"> the likely future </w:t>
      </w:r>
      <w:r w:rsidR="007A7A67" w:rsidRPr="007A7A67">
        <w:t xml:space="preserve">competitive environment if the </w:t>
      </w:r>
      <w:r w:rsidR="00DA44F4">
        <w:t>merger</w:t>
      </w:r>
      <w:r w:rsidR="00DA44F4" w:rsidRPr="007A7A67">
        <w:t xml:space="preserve"> </w:t>
      </w:r>
      <w:r w:rsidR="007A7A67" w:rsidRPr="007A7A67">
        <w:t xml:space="preserve">proceeds (the “with” position) to the likely future competitive environment if the </w:t>
      </w:r>
      <w:r w:rsidR="00DA44F4">
        <w:t>merger</w:t>
      </w:r>
      <w:r w:rsidR="00DA44F4" w:rsidRPr="007A7A67">
        <w:t xml:space="preserve"> </w:t>
      </w:r>
      <w:r w:rsidR="007A7A67" w:rsidRPr="007A7A67">
        <w:t xml:space="preserve">does not proceed (the “without” position) to determine whether the proposed acquisition is likely to substantially lessen competition in any relevant market. </w:t>
      </w:r>
    </w:p>
    <w:p w:rsidR="001B29D0" w:rsidRDefault="00D6360F" w:rsidP="0019186D">
      <w:pPr>
        <w:pStyle w:val="Numberedparagraph"/>
      </w:pPr>
      <w:r>
        <w:t>T</w:t>
      </w:r>
      <w:r w:rsidR="001B29D0" w:rsidRPr="00D94E3F">
        <w:t xml:space="preserve">he ACCC </w:t>
      </w:r>
      <w:r w:rsidR="001B29D0">
        <w:t>will also</w:t>
      </w:r>
      <w:r w:rsidR="001B29D0" w:rsidRPr="00D94E3F">
        <w:t xml:space="preserve"> take into account the changing nature of media technology and the competitive impacts of this technology</w:t>
      </w:r>
      <w:r w:rsidR="005C5FB9">
        <w:t>,</w:t>
      </w:r>
      <w:r w:rsidR="001B29D0">
        <w:t xml:space="preserve"> where</w:t>
      </w:r>
      <w:r w:rsidR="007A083D">
        <w:t xml:space="preserve"> there is</w:t>
      </w:r>
      <w:r>
        <w:t xml:space="preserve"> sufficient</w:t>
      </w:r>
      <w:r w:rsidR="007A083D">
        <w:t xml:space="preserve"> evidence that </w:t>
      </w:r>
      <w:r w:rsidR="00DA44F4">
        <w:t>the changes are likely to occur</w:t>
      </w:r>
      <w:r w:rsidR="007A083D">
        <w:t>.</w:t>
      </w:r>
    </w:p>
    <w:p w:rsidR="00E508A9" w:rsidRDefault="00E508A9" w:rsidP="0019186D">
      <w:pPr>
        <w:pStyle w:val="Numberedparagraph"/>
      </w:pPr>
      <w:r w:rsidRPr="00D94E3F">
        <w:t xml:space="preserve">In undertaking </w:t>
      </w:r>
      <w:r>
        <w:t>its competition</w:t>
      </w:r>
      <w:r w:rsidRPr="00D94E3F">
        <w:t xml:space="preserve"> analysis, the ACCC focuses on the </w:t>
      </w:r>
      <w:proofErr w:type="gramStart"/>
      <w:r w:rsidRPr="00D94E3F">
        <w:t>foreseeable</w:t>
      </w:r>
      <w:proofErr w:type="gramEnd"/>
      <w:r w:rsidRPr="00D94E3F">
        <w:t xml:space="preserve"> future</w:t>
      </w:r>
      <w:r>
        <w:t xml:space="preserve"> (</w:t>
      </w:r>
      <w:r w:rsidRPr="00D94E3F">
        <w:t>generally one to two years</w:t>
      </w:r>
      <w:r>
        <w:t>, but longer in some cases)</w:t>
      </w:r>
      <w:r w:rsidRPr="00D94E3F">
        <w:t>.</w:t>
      </w:r>
    </w:p>
    <w:p w:rsidR="000A7495" w:rsidRPr="00D94E3F" w:rsidRDefault="00E508A9" w:rsidP="0019186D">
      <w:pPr>
        <w:pStyle w:val="Numberedparagraph"/>
      </w:pPr>
      <w:r>
        <w:t>T</w:t>
      </w:r>
      <w:r w:rsidR="00C76465">
        <w:t xml:space="preserve">he ACCC will not base its </w:t>
      </w:r>
      <w:r w:rsidR="007D5AE2" w:rsidRPr="00D94E3F">
        <w:t>merger</w:t>
      </w:r>
      <w:r w:rsidR="00C76465">
        <w:t xml:space="preserve"> </w:t>
      </w:r>
      <w:r w:rsidR="000A651D">
        <w:t xml:space="preserve">analysis </w:t>
      </w:r>
      <w:r w:rsidR="00C76465">
        <w:t>on</w:t>
      </w:r>
      <w:r w:rsidR="004E418C" w:rsidRPr="00D94E3F">
        <w:t xml:space="preserve"> </w:t>
      </w:r>
      <w:r w:rsidR="007D5AE2" w:rsidRPr="00D94E3F">
        <w:t xml:space="preserve">predictions </w:t>
      </w:r>
      <w:r w:rsidR="004E418C" w:rsidRPr="00D94E3F">
        <w:t xml:space="preserve">or speculation </w:t>
      </w:r>
      <w:r w:rsidR="007D5AE2" w:rsidRPr="00D94E3F">
        <w:t>about hypothetical technological changes</w:t>
      </w:r>
      <w:r w:rsidR="00FF11B4">
        <w:t xml:space="preserve"> outside its usual </w:t>
      </w:r>
      <w:proofErr w:type="gramStart"/>
      <w:r w:rsidR="00FF11B4">
        <w:t>time frame</w:t>
      </w:r>
      <w:proofErr w:type="gramEnd"/>
      <w:r w:rsidR="00FF11B4">
        <w:t xml:space="preserve"> for consideration</w:t>
      </w:r>
      <w:r w:rsidR="007D5AE2" w:rsidRPr="00D94E3F">
        <w:t xml:space="preserve">. </w:t>
      </w:r>
      <w:r w:rsidR="004E418C" w:rsidRPr="00D94E3F">
        <w:lastRenderedPageBreak/>
        <w:t>Consistent with its assessment of mergers in all other sectors, t</w:t>
      </w:r>
      <w:r w:rsidR="007D5AE2" w:rsidRPr="00D94E3F">
        <w:t>he ACCC base</w:t>
      </w:r>
      <w:r w:rsidR="00DA44F4">
        <w:t>s</w:t>
      </w:r>
      <w:r w:rsidR="007D5AE2" w:rsidRPr="00D94E3F">
        <w:t xml:space="preserve"> its decisions on </w:t>
      </w:r>
      <w:r w:rsidR="00C76465">
        <w:t>the best available</w:t>
      </w:r>
      <w:r w:rsidR="007D5AE2" w:rsidRPr="00D94E3F">
        <w:t xml:space="preserve"> evidence</w:t>
      </w:r>
      <w:r w:rsidR="004E418C" w:rsidRPr="00D94E3F">
        <w:t xml:space="preserve"> </w:t>
      </w:r>
      <w:r w:rsidR="00C76465">
        <w:t xml:space="preserve">about current and </w:t>
      </w:r>
      <w:r w:rsidR="00FF11B4">
        <w:t xml:space="preserve">likely </w:t>
      </w:r>
      <w:r w:rsidR="00C76465">
        <w:t xml:space="preserve">future competition in the market. </w:t>
      </w:r>
    </w:p>
    <w:p w:rsidR="00B334EF" w:rsidRPr="00867970" w:rsidRDefault="00B334EF" w:rsidP="00867970">
      <w:pPr>
        <w:pStyle w:val="Heading2"/>
      </w:pPr>
      <w:bookmarkStart w:id="5" w:name="_Toc459884743"/>
      <w:r w:rsidRPr="00867970">
        <w:t>Markets likely to be affected</w:t>
      </w:r>
      <w:bookmarkEnd w:id="5"/>
    </w:p>
    <w:p w:rsidR="00E73A02" w:rsidRPr="005C5FB9" w:rsidRDefault="0083600F" w:rsidP="0019186D">
      <w:pPr>
        <w:pStyle w:val="Numberedparagraph"/>
      </w:pPr>
      <w:r>
        <w:t>As a starting point, t</w:t>
      </w:r>
      <w:r w:rsidRPr="00D94E3F">
        <w:t>he ACCC considers</w:t>
      </w:r>
      <w:r>
        <w:t xml:space="preserve"> the</w:t>
      </w:r>
      <w:r w:rsidR="00E73A02">
        <w:t xml:space="preserve"> activities of the parties to a merger, including the products or services </w:t>
      </w:r>
      <w:r w:rsidR="00DA5201">
        <w:t>each party supplies</w:t>
      </w:r>
      <w:r w:rsidR="00271794">
        <w:t xml:space="preserve"> and </w:t>
      </w:r>
      <w:r w:rsidR="00DA5201">
        <w:t xml:space="preserve">acquires, </w:t>
      </w:r>
      <w:r w:rsidR="00E73A02">
        <w:t>and</w:t>
      </w:r>
      <w:r w:rsidR="00271794">
        <w:t xml:space="preserve"> then</w:t>
      </w:r>
      <w:r w:rsidR="00E73A02">
        <w:t xml:space="preserve"> </w:t>
      </w:r>
      <w:r w:rsidR="00271794">
        <w:t>focuses on any</w:t>
      </w:r>
      <w:r w:rsidR="00E73A02">
        <w:t xml:space="preserve"> areas of </w:t>
      </w:r>
      <w:r w:rsidR="00E73A02" w:rsidRPr="00867970">
        <w:rPr>
          <w:rStyle w:val="Strong"/>
        </w:rPr>
        <w:t>overlap</w:t>
      </w:r>
      <w:r w:rsidR="00271794" w:rsidRPr="00867970">
        <w:rPr>
          <w:rStyle w:val="Strong"/>
        </w:rPr>
        <w:t xml:space="preserve"> </w:t>
      </w:r>
      <w:r w:rsidR="00271794">
        <w:t>between the parties</w:t>
      </w:r>
      <w:r w:rsidR="00E73A02" w:rsidRPr="005C5FB9">
        <w:t>.</w:t>
      </w:r>
      <w:r w:rsidR="00FA5C61" w:rsidRPr="005C5FB9">
        <w:t xml:space="preserve"> That overlap might be horizontal</w:t>
      </w:r>
      <w:r w:rsidR="00E508A9">
        <w:t>, where</w:t>
      </w:r>
      <w:r w:rsidR="005C5FB9" w:rsidRPr="00C17688">
        <w:t xml:space="preserve"> the firms opera</w:t>
      </w:r>
      <w:r w:rsidR="00E508A9" w:rsidRPr="00E508A9">
        <w:t xml:space="preserve">te </w:t>
      </w:r>
      <w:r w:rsidR="00DA44F4">
        <w:t>at the same level of the supply chain</w:t>
      </w:r>
      <w:r w:rsidR="00E508A9">
        <w:t>,</w:t>
      </w:r>
      <w:r w:rsidR="005C5FB9" w:rsidRPr="00C17688">
        <w:t xml:space="preserve"> </w:t>
      </w:r>
      <w:r w:rsidR="00FA5C61" w:rsidRPr="005C5FB9">
        <w:t>or vertical</w:t>
      </w:r>
      <w:r w:rsidR="00E508A9">
        <w:t xml:space="preserve">, where </w:t>
      </w:r>
      <w:r w:rsidR="005C5FB9" w:rsidRPr="00C17688">
        <w:t xml:space="preserve">the firms operate at different </w:t>
      </w:r>
      <w:r w:rsidR="00DA44F4">
        <w:t xml:space="preserve">levels </w:t>
      </w:r>
      <w:r w:rsidR="005C5FB9">
        <w:t xml:space="preserve">of </w:t>
      </w:r>
      <w:r w:rsidR="00E508A9">
        <w:t xml:space="preserve">a </w:t>
      </w:r>
      <w:r w:rsidR="005C5FB9">
        <w:t>single vertical supply chain.</w:t>
      </w:r>
      <w:r w:rsidR="00FA5C61" w:rsidRPr="005C5FB9">
        <w:t xml:space="preserve"> </w:t>
      </w:r>
      <w:r w:rsidR="003F3B4A">
        <w:t>The ACCC will also consider the extent of any geographic overlap.</w:t>
      </w:r>
    </w:p>
    <w:p w:rsidR="0083600F" w:rsidRPr="00D94E3F" w:rsidRDefault="00E73A02" w:rsidP="0019186D">
      <w:pPr>
        <w:pStyle w:val="Numberedparagraph"/>
      </w:pPr>
      <w:r>
        <w:t xml:space="preserve">Media outlets typically generate revenue from advertising and/or subscription fees. In many cases, </w:t>
      </w:r>
      <w:r w:rsidR="00271794">
        <w:t xml:space="preserve">parties to </w:t>
      </w:r>
      <w:r w:rsidR="0083600F">
        <w:t xml:space="preserve">a media merger </w:t>
      </w:r>
      <w:r w:rsidR="0052367D">
        <w:t>may</w:t>
      </w:r>
      <w:r w:rsidR="00271794">
        <w:t xml:space="preserve"> overlap in</w:t>
      </w:r>
      <w:r w:rsidR="0052367D">
        <w:t xml:space="preserve"> one or more of</w:t>
      </w:r>
      <w:r w:rsidR="00271794">
        <w:t xml:space="preserve"> the following a</w:t>
      </w:r>
      <w:r w:rsidR="005A0E5B">
        <w:t>ctivities</w:t>
      </w:r>
      <w:r w:rsidR="0083600F" w:rsidRPr="00D94E3F">
        <w:t>:</w:t>
      </w:r>
    </w:p>
    <w:p w:rsidR="00CA7CAB" w:rsidRDefault="00CA7CAB" w:rsidP="00867970">
      <w:pPr>
        <w:pStyle w:val="ListBullet3"/>
      </w:pPr>
      <w:r w:rsidRPr="00D94E3F">
        <w:t>the supply of content to consumers</w:t>
      </w:r>
      <w:r>
        <w:t xml:space="preserve">, either directly or via a firm </w:t>
      </w:r>
      <w:r w:rsidR="00BE18F3">
        <w:t>which acquires and aggregates content for supply to consumers,</w:t>
      </w:r>
      <w:r w:rsidRPr="00D94E3F">
        <w:t xml:space="preserve"> </w:t>
      </w:r>
    </w:p>
    <w:p w:rsidR="0083600F" w:rsidRPr="00D94E3F" w:rsidRDefault="0083600F" w:rsidP="00867970">
      <w:pPr>
        <w:pStyle w:val="ListBullet3"/>
      </w:pPr>
      <w:r w:rsidRPr="00D94E3F">
        <w:t>the supply of advertising opportunities to advertisers</w:t>
      </w:r>
      <w:r w:rsidR="00FF11B4">
        <w:t>,</w:t>
      </w:r>
      <w:r w:rsidR="00BB44F9">
        <w:t xml:space="preserve"> and</w:t>
      </w:r>
    </w:p>
    <w:p w:rsidR="0083600F" w:rsidRPr="00D94E3F" w:rsidRDefault="0083600F" w:rsidP="00867970">
      <w:pPr>
        <w:pStyle w:val="ListBullet3"/>
      </w:pPr>
      <w:proofErr w:type="gramStart"/>
      <w:r w:rsidRPr="00D94E3F">
        <w:t>the</w:t>
      </w:r>
      <w:proofErr w:type="gramEnd"/>
      <w:r w:rsidRPr="00D94E3F">
        <w:t xml:space="preserve"> acquisition of content from content providers. </w:t>
      </w:r>
    </w:p>
    <w:p w:rsidR="00271794" w:rsidRDefault="00271794" w:rsidP="0019186D">
      <w:pPr>
        <w:pStyle w:val="Numberedparagraph"/>
      </w:pPr>
      <w:r>
        <w:t>These are likely to form the basis for the ACCC’s consideration of the relevant markets in which to assess the likely competition effects arising from the proposed media merger.</w:t>
      </w:r>
    </w:p>
    <w:p w:rsidR="00271794" w:rsidRDefault="00271794" w:rsidP="0019186D">
      <w:pPr>
        <w:pStyle w:val="Numberedparagraph"/>
      </w:pPr>
      <w:r>
        <w:t>The ACCC will then examine what substitutes are available to consumers and suppliers</w:t>
      </w:r>
      <w:r w:rsidR="00856B21">
        <w:t xml:space="preserve"> in</w:t>
      </w:r>
      <w:r>
        <w:t xml:space="preserve"> </w:t>
      </w:r>
      <w:r w:rsidR="00856B21">
        <w:t xml:space="preserve">each area of overlap arising from the merger, </w:t>
      </w:r>
      <w:r>
        <w:t>and whether these alternatives represent close substitutes. For this reason, the relevant markets for the purposes of the Act are not necessarily the same for every</w:t>
      </w:r>
      <w:r w:rsidR="005A0E5B">
        <w:t xml:space="preserve"> possible merger in an industry,</w:t>
      </w:r>
      <w:r>
        <w:t xml:space="preserve"> even if a merger concerns the same products the ACCC has considered previously. </w:t>
      </w:r>
      <w:r w:rsidR="00734C64">
        <w:t>Due to</w:t>
      </w:r>
      <w:r>
        <w:t xml:space="preserve"> factors such as the</w:t>
      </w:r>
      <w:r w:rsidR="00734C64">
        <w:t xml:space="preserve"> specific</w:t>
      </w:r>
      <w:r>
        <w:t xml:space="preserve"> operations of the </w:t>
      </w:r>
      <w:r w:rsidR="00BE18F3">
        <w:t>merger parties</w:t>
      </w:r>
      <w:r w:rsidR="00734C64">
        <w:t>,</w:t>
      </w:r>
      <w:r w:rsidR="005A0E5B">
        <w:t xml:space="preserve"> or the emergence of new technologies</w:t>
      </w:r>
      <w:r w:rsidR="00734C64">
        <w:t>,</w:t>
      </w:r>
      <w:r>
        <w:t xml:space="preserve"> the relevant market(s) </w:t>
      </w:r>
      <w:proofErr w:type="gramStart"/>
      <w:r w:rsidR="00A05F83">
        <w:t xml:space="preserve">will </w:t>
      </w:r>
      <w:r>
        <w:t>be defined</w:t>
      </w:r>
      <w:proofErr w:type="gramEnd"/>
      <w:r>
        <w:t xml:space="preserve"> </w:t>
      </w:r>
      <w:r w:rsidR="00BE200E">
        <w:t xml:space="preserve">according to the facts arising from each </w:t>
      </w:r>
      <w:r w:rsidR="00100BC0">
        <w:t xml:space="preserve">distinct </w:t>
      </w:r>
      <w:r>
        <w:t>merger</w:t>
      </w:r>
      <w:r w:rsidR="00100BC0">
        <w:t xml:space="preserve"> propo</w:t>
      </w:r>
      <w:r>
        <w:t>s</w:t>
      </w:r>
      <w:r w:rsidR="00100BC0">
        <w:t>al</w:t>
      </w:r>
      <w:r>
        <w:t>.</w:t>
      </w:r>
    </w:p>
    <w:p w:rsidR="00E7319A" w:rsidRDefault="00271794" w:rsidP="0019186D">
      <w:pPr>
        <w:pStyle w:val="Numberedparagraph"/>
      </w:pPr>
      <w:r>
        <w:t xml:space="preserve">The ACCC will also consider the </w:t>
      </w:r>
      <w:r w:rsidR="00BE200E" w:rsidRPr="00867970">
        <w:rPr>
          <w:rStyle w:val="Strong"/>
        </w:rPr>
        <w:t xml:space="preserve">extent of substitution </w:t>
      </w:r>
      <w:r>
        <w:t xml:space="preserve">between the parties to the merger. In doing so, the ACCC may look at the </w:t>
      </w:r>
      <w:r w:rsidRPr="00867970">
        <w:rPr>
          <w:rStyle w:val="Strong"/>
        </w:rPr>
        <w:t>mode of delivery</w:t>
      </w:r>
      <w:r>
        <w:t xml:space="preserve">. Media services using the same mode of delivery are likely to be closer </w:t>
      </w:r>
      <w:r w:rsidR="00BE200E">
        <w:t xml:space="preserve">substitutes </w:t>
      </w:r>
      <w:r>
        <w:t xml:space="preserve">than those operating via different platforms. In some cases, however, different modes of delivery have converged such that </w:t>
      </w:r>
      <w:r w:rsidR="00100BC0">
        <w:t xml:space="preserve">the supply of content or advertising across different </w:t>
      </w:r>
      <w:r w:rsidR="00E508A9">
        <w:t>platforms</w:t>
      </w:r>
      <w:r w:rsidR="00100BC0">
        <w:t xml:space="preserve"> may compete more closely</w:t>
      </w:r>
      <w:r>
        <w:t xml:space="preserve">. </w:t>
      </w:r>
      <w:r w:rsidR="00E7319A">
        <w:t xml:space="preserve">Alternatively, some modes of delivery may be complementary rather than competitive. </w:t>
      </w:r>
    </w:p>
    <w:p w:rsidR="00AA2657" w:rsidRPr="00867970" w:rsidRDefault="00AA2657" w:rsidP="00867970">
      <w:r w:rsidRPr="00867970">
        <w:br w:type="page"/>
      </w:r>
    </w:p>
    <w:p w:rsidR="00867970" w:rsidRPr="009F6C04" w:rsidRDefault="00867970" w:rsidP="009F6C04">
      <w:pPr>
        <w:pStyle w:val="ListContinue2"/>
        <w:shd w:val="clear" w:color="auto" w:fill="F2F2F2" w:themeFill="background1" w:themeFillShade="F2"/>
        <w:rPr>
          <w:rStyle w:val="Strong"/>
        </w:rPr>
      </w:pPr>
      <w:r w:rsidRPr="009F6C04">
        <w:rPr>
          <w:rStyle w:val="Strong"/>
        </w:rPr>
        <w:lastRenderedPageBreak/>
        <w:t>Examples of modes of delivery include:</w:t>
      </w:r>
    </w:p>
    <w:p w:rsidR="00867970" w:rsidRDefault="00867970" w:rsidP="009F6C04">
      <w:pPr>
        <w:pStyle w:val="ListBullet3"/>
        <w:shd w:val="clear" w:color="auto" w:fill="F2F2F2" w:themeFill="background1" w:themeFillShade="F2"/>
      </w:pPr>
      <w:r w:rsidRPr="00D94E3F">
        <w:t xml:space="preserve">free-to-air </w:t>
      </w:r>
      <w:r>
        <w:t>television broadcasting, accessed in home or via mobile devices</w:t>
      </w:r>
    </w:p>
    <w:p w:rsidR="00867970" w:rsidRDefault="00867970" w:rsidP="009F6C04">
      <w:pPr>
        <w:pStyle w:val="ListBullet3"/>
        <w:shd w:val="clear" w:color="auto" w:fill="F2F2F2" w:themeFill="background1" w:themeFillShade="F2"/>
      </w:pPr>
      <w:r>
        <w:t>subscription or pay television via cable or satellite (</w:t>
      </w:r>
      <w:proofErr w:type="spellStart"/>
      <w:r w:rsidRPr="00296BC8">
        <w:rPr>
          <w:b/>
        </w:rPr>
        <w:t>pay-TV</w:t>
      </w:r>
      <w:proofErr w:type="spellEnd"/>
      <w:r>
        <w:t>), accessed in home or via mobile devices</w:t>
      </w:r>
    </w:p>
    <w:p w:rsidR="00867970" w:rsidRDefault="00867970" w:rsidP="009F6C04">
      <w:pPr>
        <w:pStyle w:val="ListBullet3"/>
        <w:shd w:val="clear" w:color="auto" w:fill="F2F2F2" w:themeFill="background1" w:themeFillShade="F2"/>
      </w:pPr>
      <w:r>
        <w:t>over-the-top (</w:t>
      </w:r>
      <w:r w:rsidRPr="00296BC8">
        <w:rPr>
          <w:b/>
        </w:rPr>
        <w:t>OTT</w:t>
      </w:r>
      <w:r>
        <w:t>) video or audio on demand services accessed via the internet</w:t>
      </w:r>
    </w:p>
    <w:p w:rsidR="00867970" w:rsidRDefault="00867970" w:rsidP="009F6C04">
      <w:pPr>
        <w:pStyle w:val="ListBullet3"/>
        <w:shd w:val="clear" w:color="auto" w:fill="F2F2F2" w:themeFill="background1" w:themeFillShade="F2"/>
      </w:pPr>
      <w:r w:rsidRPr="00296BC8">
        <w:rPr>
          <w:b/>
        </w:rPr>
        <w:t>OTT</w:t>
      </w:r>
      <w:r>
        <w:t xml:space="preserve"> video and audio streaming services accessed via the internet, whether free or in exchange for payment </w:t>
      </w:r>
    </w:p>
    <w:p w:rsidR="00867970" w:rsidRDefault="00867970" w:rsidP="009F6C04">
      <w:pPr>
        <w:pStyle w:val="ListBullet3"/>
        <w:shd w:val="clear" w:color="auto" w:fill="F2F2F2" w:themeFill="background1" w:themeFillShade="F2"/>
      </w:pPr>
      <w:r>
        <w:t>Internet Protocol Television (</w:t>
      </w:r>
      <w:r w:rsidRPr="00296BC8">
        <w:rPr>
          <w:b/>
        </w:rPr>
        <w:t>IPTV</w:t>
      </w:r>
      <w:r>
        <w:t>) services</w:t>
      </w:r>
    </w:p>
    <w:p w:rsidR="00867970" w:rsidRDefault="00867970" w:rsidP="009F6C04">
      <w:pPr>
        <w:pStyle w:val="ListBullet3"/>
        <w:shd w:val="clear" w:color="auto" w:fill="F2F2F2" w:themeFill="background1" w:themeFillShade="F2"/>
      </w:pPr>
      <w:r>
        <w:t>other digital</w:t>
      </w:r>
      <w:r w:rsidRPr="00D94E3F">
        <w:t xml:space="preserve"> media </w:t>
      </w:r>
      <w:r>
        <w:t xml:space="preserve">platforms including online sites and social media </w:t>
      </w:r>
    </w:p>
    <w:p w:rsidR="00271794" w:rsidRDefault="0038230D" w:rsidP="0019186D">
      <w:pPr>
        <w:pStyle w:val="Numberedparagraph"/>
      </w:pPr>
      <w:r>
        <w:t xml:space="preserve">Substitution </w:t>
      </w:r>
      <w:r w:rsidR="00E266C0">
        <w:t xml:space="preserve">may be asymmetric. For example, </w:t>
      </w:r>
      <w:r>
        <w:t xml:space="preserve">for some consumers </w:t>
      </w:r>
      <w:proofErr w:type="gramStart"/>
      <w:r w:rsidR="00E266C0">
        <w:t>it is possible that free-to-air television may</w:t>
      </w:r>
      <w:proofErr w:type="gramEnd"/>
      <w:r w:rsidR="00E266C0">
        <w:t xml:space="preserve"> provide a close </w:t>
      </w:r>
      <w:r>
        <w:t>substitute</w:t>
      </w:r>
      <w:r w:rsidR="00E266C0">
        <w:t xml:space="preserve"> </w:t>
      </w:r>
      <w:r>
        <w:t>for</w:t>
      </w:r>
      <w:r w:rsidR="00E266C0">
        <w:t xml:space="preserve"> </w:t>
      </w:r>
      <w:proofErr w:type="spellStart"/>
      <w:r w:rsidR="00734C64">
        <w:t>pay-TV</w:t>
      </w:r>
      <w:proofErr w:type="spellEnd"/>
      <w:r w:rsidR="0052367D">
        <w:t>,</w:t>
      </w:r>
      <w:r w:rsidR="00E266C0">
        <w:t xml:space="preserve"> but not vice versa. </w:t>
      </w:r>
    </w:p>
    <w:p w:rsidR="00824E9E" w:rsidRDefault="00E73A02" w:rsidP="0019186D">
      <w:pPr>
        <w:pStyle w:val="Numberedparagraph"/>
      </w:pPr>
      <w:r>
        <w:t xml:space="preserve">In assessing the </w:t>
      </w:r>
      <w:r w:rsidR="00734C64">
        <w:t>extent of substitution</w:t>
      </w:r>
      <w:r>
        <w:t xml:space="preserve"> between the merger parties, the ACCC </w:t>
      </w:r>
      <w:proofErr w:type="gramStart"/>
      <w:r>
        <w:t>may</w:t>
      </w:r>
      <w:r w:rsidR="00D74C1D">
        <w:t>, depending on the circumstances of the matter,</w:t>
      </w:r>
      <w:r>
        <w:t xml:space="preserve"> also consider</w:t>
      </w:r>
      <w:proofErr w:type="gramEnd"/>
      <w:r>
        <w:t xml:space="preserve"> the</w:t>
      </w:r>
      <w:r w:rsidR="00824E9E">
        <w:t xml:space="preserve"> </w:t>
      </w:r>
      <w:r w:rsidR="00824E9E" w:rsidRPr="00867970">
        <w:rPr>
          <w:rStyle w:val="Strong"/>
        </w:rPr>
        <w:t>type of content</w:t>
      </w:r>
      <w:r w:rsidRPr="00867970">
        <w:rPr>
          <w:rStyle w:val="Strong"/>
        </w:rPr>
        <w:t xml:space="preserve"> </w:t>
      </w:r>
      <w:r w:rsidR="005A0E5B">
        <w:t>supplied by each party</w:t>
      </w:r>
      <w:r w:rsidR="0083600F">
        <w:t xml:space="preserve">, </w:t>
      </w:r>
      <w:r w:rsidR="00872DCB">
        <w:t>such as</w:t>
      </w:r>
      <w:r w:rsidR="0083600F">
        <w:t xml:space="preserve"> sport, </w:t>
      </w:r>
      <w:r w:rsidR="00BE18F3">
        <w:t>entertainment,</w:t>
      </w:r>
      <w:r w:rsidR="00872DCB">
        <w:t xml:space="preserve"> or</w:t>
      </w:r>
      <w:r w:rsidR="00BE18F3">
        <w:t xml:space="preserve"> </w:t>
      </w:r>
      <w:r w:rsidR="0083600F">
        <w:t xml:space="preserve">local </w:t>
      </w:r>
      <w:r w:rsidR="00BE18F3">
        <w:t>news</w:t>
      </w:r>
      <w:r w:rsidR="0083600F">
        <w:t xml:space="preserve"> content</w:t>
      </w:r>
      <w:r w:rsidR="0083600F" w:rsidRPr="00D94E3F">
        <w:t>.</w:t>
      </w:r>
      <w:r w:rsidR="0083600F" w:rsidRPr="00CB5BA9">
        <w:t xml:space="preserve"> </w:t>
      </w:r>
      <w:r w:rsidR="00734C64">
        <w:t>For example, a channel providing only sports content might not be a close substitute for a news channel.</w:t>
      </w:r>
    </w:p>
    <w:p w:rsidR="00AA2657" w:rsidRDefault="00DA5201" w:rsidP="0019186D">
      <w:pPr>
        <w:pStyle w:val="Numberedparagraph"/>
      </w:pPr>
      <w:r>
        <w:t xml:space="preserve">Market definition is </w:t>
      </w:r>
      <w:r w:rsidR="005A0E5B">
        <w:t>a</w:t>
      </w:r>
      <w:r>
        <w:t xml:space="preserve"> starting point in</w:t>
      </w:r>
      <w:r w:rsidR="005A0E5B">
        <w:t xml:space="preserve"> assessing the likely</w:t>
      </w:r>
      <w:r>
        <w:t xml:space="preserve"> competition </w:t>
      </w:r>
      <w:r w:rsidR="005A0E5B">
        <w:t>effects of</w:t>
      </w:r>
      <w:r>
        <w:t xml:space="preserve"> </w:t>
      </w:r>
      <w:r w:rsidR="005A0E5B">
        <w:t>a merger</w:t>
      </w:r>
      <w:r w:rsidR="00873EE5">
        <w:t xml:space="preserve">. In </w:t>
      </w:r>
      <w:r w:rsidR="00FF11B4">
        <w:t xml:space="preserve">many </w:t>
      </w:r>
      <w:r w:rsidR="00873EE5">
        <w:t>cas</w:t>
      </w:r>
      <w:r>
        <w:t>es, the ACCC will not need to identify the precise parameters of the market in order to assess the likely effects o</w:t>
      </w:r>
      <w:r w:rsidR="00023781">
        <w:t>n</w:t>
      </w:r>
      <w:r>
        <w:t xml:space="preserve"> competition. It may be sufficient for the ACCC to consider the areas of overlap and to identify any close substitutes in those areas, before proceeding to consider the likely competition effects arising from the merger.</w:t>
      </w:r>
    </w:p>
    <w:p w:rsidR="009B5174" w:rsidRPr="00867970" w:rsidRDefault="00476D7A" w:rsidP="00867970">
      <w:pPr>
        <w:pStyle w:val="Heading2"/>
      </w:pPr>
      <w:bookmarkStart w:id="6" w:name="_Toc459884744"/>
      <w:r w:rsidRPr="00867970">
        <w:t>Types of mergers that may harm competition</w:t>
      </w:r>
      <w:bookmarkEnd w:id="6"/>
    </w:p>
    <w:p w:rsidR="0056326B" w:rsidRDefault="0056326B" w:rsidP="0019186D">
      <w:pPr>
        <w:pStyle w:val="Numberedparagraph"/>
      </w:pPr>
      <w:r>
        <w:t xml:space="preserve">Mergers </w:t>
      </w:r>
      <w:proofErr w:type="gramStart"/>
      <w:r>
        <w:t>can be classified</w:t>
      </w:r>
      <w:proofErr w:type="gramEnd"/>
      <w:r>
        <w:t xml:space="preserve"> as</w:t>
      </w:r>
      <w:r w:rsidR="006D2271">
        <w:t xml:space="preserve"> </w:t>
      </w:r>
      <w:r>
        <w:t>horiz</w:t>
      </w:r>
      <w:r w:rsidR="006D2271">
        <w:t>ontal, vertical or conglomerate</w:t>
      </w:r>
      <w:r w:rsidR="00E16822">
        <w:t xml:space="preserve">, and </w:t>
      </w:r>
      <w:r w:rsidR="006D2271">
        <w:t>may involve firms that are either actual or potential competitors.</w:t>
      </w:r>
      <w:r>
        <w:t xml:space="preserve"> </w:t>
      </w:r>
    </w:p>
    <w:p w:rsidR="0056326B" w:rsidRDefault="0056326B" w:rsidP="0019186D">
      <w:pPr>
        <w:pStyle w:val="Numberedparagraph"/>
      </w:pPr>
      <w:r>
        <w:t xml:space="preserve">Horizontal mergers </w:t>
      </w:r>
      <w:r w:rsidR="00A01C26">
        <w:t>involve</w:t>
      </w:r>
      <w:r>
        <w:t xml:space="preserve"> firms </w:t>
      </w:r>
      <w:r w:rsidR="00A05F83">
        <w:t xml:space="preserve">that </w:t>
      </w:r>
      <w:r>
        <w:t>compete at the same level in the</w:t>
      </w:r>
      <w:r w:rsidR="006D2271">
        <w:t xml:space="preserve"> supply</w:t>
      </w:r>
      <w:r w:rsidR="00E16822">
        <w:t xml:space="preserve"> chain</w:t>
      </w:r>
      <w:r w:rsidR="006D2271">
        <w:t>, for example,</w:t>
      </w:r>
      <w:r>
        <w:t xml:space="preserve"> two newspaper publishers</w:t>
      </w:r>
      <w:r w:rsidR="003F3B4A">
        <w:t xml:space="preserve"> in the same city</w:t>
      </w:r>
      <w:r>
        <w:t xml:space="preserve">. </w:t>
      </w:r>
    </w:p>
    <w:p w:rsidR="0056326B" w:rsidRDefault="0056326B" w:rsidP="0019186D">
      <w:pPr>
        <w:pStyle w:val="Numberedparagraph"/>
      </w:pPr>
      <w:r>
        <w:t xml:space="preserve">Vertical mergers involve parties that operate at different levels of the supply chain, for example, a merger between a content provider and a </w:t>
      </w:r>
      <w:r w:rsidR="00A01C26">
        <w:t>network provider that bundles and delivers content to consumers</w:t>
      </w:r>
      <w:r>
        <w:t xml:space="preserve">. </w:t>
      </w:r>
    </w:p>
    <w:p w:rsidR="0056326B" w:rsidRDefault="0056326B" w:rsidP="0019186D">
      <w:pPr>
        <w:pStyle w:val="Numberedparagraph"/>
      </w:pPr>
      <w:r>
        <w:t xml:space="preserve">Conglomerate mergers involve parties that are present in multiple markets and supply products that are typically related to each other in some way, such as </w:t>
      </w:r>
      <w:proofErr w:type="gramStart"/>
      <w:r>
        <w:t>products which</w:t>
      </w:r>
      <w:proofErr w:type="gramEnd"/>
      <w:r>
        <w:t xml:space="preserve"> are complementary in demand or supply.</w:t>
      </w:r>
      <w:r w:rsidR="006D2271">
        <w:t xml:space="preserve"> </w:t>
      </w:r>
      <w:r w:rsidR="0047559A">
        <w:t>Mergers that will result in cross-platform media ownership, for example between a television network and a newspaper publisher, are typically a form of conglomerate merger.</w:t>
      </w:r>
    </w:p>
    <w:p w:rsidR="0056326B" w:rsidRDefault="0056326B" w:rsidP="0019186D">
      <w:pPr>
        <w:pStyle w:val="Numberedparagraph"/>
      </w:pPr>
      <w:r>
        <w:t xml:space="preserve">In most </w:t>
      </w:r>
      <w:r w:rsidR="00A01C26">
        <w:t>cases</w:t>
      </w:r>
      <w:r>
        <w:t>, the ACCC</w:t>
      </w:r>
      <w:r w:rsidR="00A01C26">
        <w:t xml:space="preserve">‘s primary focus will be </w:t>
      </w:r>
      <w:r>
        <w:t>the likely unilateral effects</w:t>
      </w:r>
      <w:r w:rsidR="00A01C26">
        <w:t xml:space="preserve"> on competition</w:t>
      </w:r>
      <w:r>
        <w:t xml:space="preserve">, as discussed below. Where appropriate, the ACCC might also need to consider the likelihood of coordinated effects arising from a media merger. </w:t>
      </w:r>
    </w:p>
    <w:p w:rsidR="0056326B" w:rsidRPr="00926CD5" w:rsidRDefault="0056326B" w:rsidP="00867970">
      <w:pPr>
        <w:pStyle w:val="Heading3"/>
      </w:pPr>
      <w:r>
        <w:t>Unilateral effects</w:t>
      </w:r>
    </w:p>
    <w:p w:rsidR="00930EB1" w:rsidRDefault="00F20457" w:rsidP="0019186D">
      <w:pPr>
        <w:pStyle w:val="Numberedparagraph"/>
      </w:pPr>
      <w:r>
        <w:t xml:space="preserve">Unilateral effects </w:t>
      </w:r>
      <w:r w:rsidR="00930EB1">
        <w:t xml:space="preserve">may </w:t>
      </w:r>
      <w:r>
        <w:t xml:space="preserve">arise where, as a result of a </w:t>
      </w:r>
      <w:r w:rsidR="00930EB1">
        <w:t xml:space="preserve">horizontal </w:t>
      </w:r>
      <w:r>
        <w:t xml:space="preserve">merger, competition between the merging firms </w:t>
      </w:r>
      <w:proofErr w:type="gramStart"/>
      <w:r>
        <w:t>is eliminated</w:t>
      </w:r>
      <w:proofErr w:type="gramEnd"/>
      <w:r>
        <w:t xml:space="preserve">. </w:t>
      </w:r>
    </w:p>
    <w:p w:rsidR="00F20457" w:rsidRDefault="00F20457" w:rsidP="0019186D">
      <w:pPr>
        <w:pStyle w:val="Numberedparagraph"/>
      </w:pPr>
      <w:r>
        <w:lastRenderedPageBreak/>
        <w:t>The removal of an important source of competiti</w:t>
      </w:r>
      <w:r w:rsidR="00873EE5">
        <w:t>ve</w:t>
      </w:r>
      <w:r>
        <w:t xml:space="preserve"> constraint that the merger parties exerted on each other before the merger may provide the merged entity with the ability to exercise market power, which can result in a significant and sustained: </w:t>
      </w:r>
    </w:p>
    <w:p w:rsidR="00F20457" w:rsidRDefault="00F20457" w:rsidP="00867970">
      <w:pPr>
        <w:pStyle w:val="Listalphabet3"/>
      </w:pPr>
      <w:r w:rsidRPr="00867970">
        <w:rPr>
          <w:rStyle w:val="Strong"/>
        </w:rPr>
        <w:t>increase in prices</w:t>
      </w:r>
      <w:r>
        <w:t xml:space="preserve"> – in the media context, this </w:t>
      </w:r>
      <w:r w:rsidR="00A01C26">
        <w:t xml:space="preserve">could be </w:t>
      </w:r>
      <w:r>
        <w:t>an increase</w:t>
      </w:r>
      <w:r w:rsidR="00023781">
        <w:t xml:space="preserve"> in</w:t>
      </w:r>
      <w:r>
        <w:t xml:space="preserve"> the price of listing an ad</w:t>
      </w:r>
      <w:r w:rsidR="00734C64">
        <w:t>vertisement</w:t>
      </w:r>
      <w:r>
        <w:t xml:space="preserve"> </w:t>
      </w:r>
      <w:r w:rsidR="00A01C26">
        <w:t>for advertisers</w:t>
      </w:r>
      <w:r w:rsidR="00872DCB">
        <w:t xml:space="preserve"> </w:t>
      </w:r>
      <w:r w:rsidR="00A01C26">
        <w:t>or an increase in subscription or cover prices</w:t>
      </w:r>
      <w:r>
        <w:t>;</w:t>
      </w:r>
    </w:p>
    <w:p w:rsidR="00F20457" w:rsidRDefault="00F20457" w:rsidP="00867970">
      <w:pPr>
        <w:pStyle w:val="Listalphabet3"/>
      </w:pPr>
      <w:proofErr w:type="gramStart"/>
      <w:r w:rsidRPr="00867970">
        <w:rPr>
          <w:rStyle w:val="Strong"/>
        </w:rPr>
        <w:t>reduction</w:t>
      </w:r>
      <w:proofErr w:type="gramEnd"/>
      <w:r w:rsidRPr="00867970">
        <w:rPr>
          <w:rStyle w:val="Strong"/>
        </w:rPr>
        <w:t xml:space="preserve"> in</w:t>
      </w:r>
      <w:r w:rsidR="00AB4610" w:rsidRPr="00867970">
        <w:rPr>
          <w:rStyle w:val="Strong"/>
        </w:rPr>
        <w:t xml:space="preserve"> service</w:t>
      </w:r>
      <w:r>
        <w:t xml:space="preserve"> –</w:t>
      </w:r>
      <w:r w:rsidR="00AB4610">
        <w:t xml:space="preserve"> </w:t>
      </w:r>
      <w:r w:rsidR="00EF3601">
        <w:t>in</w:t>
      </w:r>
      <w:r w:rsidR="00AB4610">
        <w:t xml:space="preserve"> the media context</w:t>
      </w:r>
      <w:r w:rsidR="00EF3601">
        <w:t xml:space="preserve">, this could be </w:t>
      </w:r>
      <w:r w:rsidR="00AB4610">
        <w:t xml:space="preserve">a reduction in the quality or variety of the service </w:t>
      </w:r>
      <w:r w:rsidR="00EF3601">
        <w:t>or content</w:t>
      </w:r>
      <w:r w:rsidR="00872DCB">
        <w:t>, or an increase in the number or length of advertisements</w:t>
      </w:r>
      <w:r w:rsidR="00EF3601">
        <w:t>. This</w:t>
      </w:r>
      <w:r w:rsidR="00AB4610">
        <w:t xml:space="preserve"> can result in</w:t>
      </w:r>
      <w:r>
        <w:t xml:space="preserve"> a loss of choice </w:t>
      </w:r>
      <w:r w:rsidR="00AB4610">
        <w:t>for consumers</w:t>
      </w:r>
      <w:r w:rsidR="00004BDE">
        <w:t>, a reduction in a type of content which consumers value,</w:t>
      </w:r>
      <w:r w:rsidR="00AB4610">
        <w:t xml:space="preserve"> or a loss of a significant voice, for example through </w:t>
      </w:r>
      <w:r>
        <w:t>removing a publisher of local news;</w:t>
      </w:r>
    </w:p>
    <w:p w:rsidR="00F20457" w:rsidRPr="00100BC0" w:rsidRDefault="00F20457" w:rsidP="00867970">
      <w:pPr>
        <w:pStyle w:val="Listalphabet3"/>
      </w:pPr>
      <w:proofErr w:type="gramStart"/>
      <w:r w:rsidRPr="00867970">
        <w:rPr>
          <w:rStyle w:val="Strong"/>
        </w:rPr>
        <w:t>reduction</w:t>
      </w:r>
      <w:proofErr w:type="gramEnd"/>
      <w:r w:rsidRPr="00867970">
        <w:rPr>
          <w:rStyle w:val="Strong"/>
        </w:rPr>
        <w:t xml:space="preserve"> in incentive to innovate</w:t>
      </w:r>
      <w:r>
        <w:t xml:space="preserve"> – suppliers may have less incentive to invest in improving their products as they have less fear of losing customers to rivals. </w:t>
      </w:r>
    </w:p>
    <w:p w:rsidR="00ED24AD" w:rsidRPr="00CA13D3" w:rsidRDefault="0047559A" w:rsidP="0019186D">
      <w:pPr>
        <w:pStyle w:val="Numberedparagraph"/>
      </w:pPr>
      <w:r w:rsidRPr="00926CD5">
        <w:t>In</w:t>
      </w:r>
      <w:r w:rsidR="00B32058" w:rsidRPr="00CA13D3">
        <w:t xml:space="preserve"> vertical merger</w:t>
      </w:r>
      <w:r w:rsidRPr="00926CD5">
        <w:t>s, unilateral effects</w:t>
      </w:r>
      <w:r w:rsidR="00ED24AD" w:rsidRPr="00CA13D3">
        <w:t xml:space="preserve"> may </w:t>
      </w:r>
      <w:r w:rsidRPr="00926CD5">
        <w:t xml:space="preserve">arise if the merger </w:t>
      </w:r>
      <w:r w:rsidR="00ED24AD" w:rsidRPr="00CA13D3">
        <w:t>enable</w:t>
      </w:r>
      <w:r w:rsidRPr="00926CD5">
        <w:t>s</w:t>
      </w:r>
      <w:r w:rsidR="00ED24AD" w:rsidRPr="00CA13D3">
        <w:t xml:space="preserve"> the merged firm to </w:t>
      </w:r>
      <w:r w:rsidR="00E16822">
        <w:t>leverage its</w:t>
      </w:r>
      <w:r w:rsidR="00ED24AD" w:rsidRPr="00CA13D3">
        <w:t xml:space="preserve"> market power in one market to</w:t>
      </w:r>
      <w:r w:rsidR="00E16822">
        <w:t xml:space="preserve"> </w:t>
      </w:r>
      <w:r w:rsidRPr="00CA13D3">
        <w:t>foreclose its competitors</w:t>
      </w:r>
      <w:r w:rsidR="00ED24AD" w:rsidRPr="00CA13D3">
        <w:t xml:space="preserve"> in another market</w:t>
      </w:r>
      <w:r w:rsidRPr="00CA13D3">
        <w:t xml:space="preserve">. </w:t>
      </w:r>
      <w:r w:rsidR="00CA13D3" w:rsidRPr="00926CD5">
        <w:t xml:space="preserve">For example, </w:t>
      </w:r>
      <w:r w:rsidR="00CD681D">
        <w:t xml:space="preserve">the ACCC may be concerned where </w:t>
      </w:r>
      <w:r w:rsidR="00CA13D3" w:rsidRPr="00926CD5">
        <w:t xml:space="preserve">a merger between a </w:t>
      </w:r>
      <w:r w:rsidRPr="00CA13D3">
        <w:t>content supplier</w:t>
      </w:r>
      <w:r w:rsidR="00CA13D3" w:rsidRPr="00926CD5">
        <w:t xml:space="preserve"> and a </w:t>
      </w:r>
      <w:r w:rsidR="00CD681D">
        <w:t>television</w:t>
      </w:r>
      <w:r w:rsidR="00CA13D3" w:rsidRPr="00926CD5">
        <w:t xml:space="preserve"> network give</w:t>
      </w:r>
      <w:r w:rsidR="00CD681D">
        <w:t>s</w:t>
      </w:r>
      <w:r w:rsidR="00CA13D3" w:rsidRPr="00926CD5">
        <w:t xml:space="preserve"> the merged entity both the ability and incentive to restrict</w:t>
      </w:r>
      <w:r w:rsidR="00ED24AD" w:rsidRPr="00CA13D3">
        <w:t xml:space="preserve"> other networks </w:t>
      </w:r>
      <w:r w:rsidR="00CA13D3" w:rsidRPr="00926CD5">
        <w:t xml:space="preserve">from </w:t>
      </w:r>
      <w:r w:rsidR="00ED24AD" w:rsidRPr="00CA13D3">
        <w:t>access</w:t>
      </w:r>
      <w:r w:rsidR="00CA13D3" w:rsidRPr="00926CD5">
        <w:t>ing</w:t>
      </w:r>
      <w:r w:rsidR="00ED24AD" w:rsidRPr="00CA13D3">
        <w:t xml:space="preserve"> </w:t>
      </w:r>
      <w:r w:rsidR="00CA13D3" w:rsidRPr="00926CD5">
        <w:t>compelling</w:t>
      </w:r>
      <w:r w:rsidR="00ED24AD" w:rsidRPr="00CA13D3">
        <w:t xml:space="preserve"> content</w:t>
      </w:r>
      <w:r w:rsidR="00CD681D">
        <w:t>, and</w:t>
      </w:r>
      <w:r w:rsidR="00734C64">
        <w:t xml:space="preserve"> this</w:t>
      </w:r>
      <w:r w:rsidR="00CD681D">
        <w:t xml:space="preserve"> has the likely effect of substantially lessening competition</w:t>
      </w:r>
      <w:r w:rsidR="00ED24AD" w:rsidRPr="00CA13D3">
        <w:t>.</w:t>
      </w:r>
      <w:r w:rsidR="00CD681D">
        <w:t xml:space="preserve"> </w:t>
      </w:r>
    </w:p>
    <w:p w:rsidR="009B5174" w:rsidRDefault="00A076A3" w:rsidP="0019186D">
      <w:pPr>
        <w:pStyle w:val="Numberedparagraph"/>
      </w:pPr>
      <w:r>
        <w:t xml:space="preserve">The ACCC will </w:t>
      </w:r>
      <w:r w:rsidR="0047559A">
        <w:t xml:space="preserve">also </w:t>
      </w:r>
      <w:r>
        <w:t>consider whether</w:t>
      </w:r>
      <w:r w:rsidR="0047559A">
        <w:t>, post-acquisition,</w:t>
      </w:r>
      <w:r>
        <w:t xml:space="preserve"> </w:t>
      </w:r>
      <w:r w:rsidR="0047559A">
        <w:t xml:space="preserve">a </w:t>
      </w:r>
      <w:r>
        <w:t xml:space="preserve">merged firm </w:t>
      </w:r>
      <w:r w:rsidR="0047559A">
        <w:t xml:space="preserve">would be </w:t>
      </w:r>
      <w:r>
        <w:t>able to exercise unilateral market power</w:t>
      </w:r>
      <w:r w:rsidR="0047559A">
        <w:t xml:space="preserve"> in a conglomerate merger</w:t>
      </w:r>
      <w:r>
        <w:t xml:space="preserve">. In some </w:t>
      </w:r>
      <w:proofErr w:type="gramStart"/>
      <w:r>
        <w:t>cases</w:t>
      </w:r>
      <w:proofErr w:type="gramEnd"/>
      <w:r>
        <w:t xml:space="preserve"> conglomerate mergers can raise competition concerns where the</w:t>
      </w:r>
      <w:r w:rsidR="00E06FC0">
        <w:t xml:space="preserve">y enable </w:t>
      </w:r>
      <w:r>
        <w:t xml:space="preserve">the merged firm to bundle products and services in a way that forecloses the merged firm’s rivals </w:t>
      </w:r>
      <w:r w:rsidR="007A0FFE">
        <w:t xml:space="preserve">and potential rivals, </w:t>
      </w:r>
      <w:r>
        <w:t>and reduces the competitive constraint th</w:t>
      </w:r>
      <w:r w:rsidR="00BE18F3">
        <w:t>ose rivals</w:t>
      </w:r>
      <w:r>
        <w:t xml:space="preserve"> provide.</w:t>
      </w:r>
    </w:p>
    <w:p w:rsidR="0047559A" w:rsidRDefault="0047559A" w:rsidP="0019186D">
      <w:pPr>
        <w:pStyle w:val="Numberedparagraph"/>
      </w:pPr>
      <w:r>
        <w:t>Other unilateral effects that may arise from mergers include raising structural and/or strategic barriers to entry and</w:t>
      </w:r>
      <w:r w:rsidR="00734C64">
        <w:t xml:space="preserve"> facilitating</w:t>
      </w:r>
      <w:r>
        <w:t xml:space="preserve"> access to commercially sensitive information. </w:t>
      </w:r>
    </w:p>
    <w:p w:rsidR="0056326B" w:rsidRPr="00926CD5" w:rsidRDefault="0056326B" w:rsidP="00867970">
      <w:pPr>
        <w:pStyle w:val="Heading3"/>
      </w:pPr>
      <w:r>
        <w:t>Coordinated effects</w:t>
      </w:r>
    </w:p>
    <w:p w:rsidR="00C76A45" w:rsidRDefault="00C76A45" w:rsidP="0019186D">
      <w:pPr>
        <w:pStyle w:val="Numberedparagraph"/>
      </w:pPr>
      <w:r>
        <w:t xml:space="preserve">The ACCC may also be concerned about </w:t>
      </w:r>
      <w:proofErr w:type="gramStart"/>
      <w:r>
        <w:t>mergers which</w:t>
      </w:r>
      <w:proofErr w:type="gramEnd"/>
      <w:r>
        <w:t xml:space="preserve"> increase the likelihood of coordinated conduct, </w:t>
      </w:r>
      <w:r w:rsidR="00734C64">
        <w:t xml:space="preserve">which might range </w:t>
      </w:r>
      <w:r>
        <w:t>from muted competition through to tacit</w:t>
      </w:r>
      <w:r w:rsidR="00172293">
        <w:t xml:space="preserve"> coordination</w:t>
      </w:r>
      <w:r>
        <w:t xml:space="preserve"> or explicit agreement between firms not to compete.</w:t>
      </w:r>
    </w:p>
    <w:p w:rsidR="00C76A45" w:rsidRDefault="00711E8D" w:rsidP="0019186D">
      <w:pPr>
        <w:pStyle w:val="Numberedparagraph"/>
      </w:pPr>
      <w:r>
        <w:t xml:space="preserve">Coordinated effects can arise when a merger </w:t>
      </w:r>
      <w:r w:rsidR="00C76A45">
        <w:t xml:space="preserve">alters the nature of interdependence between rivals such that coordinated conduct is more likely, more complete or more sustainable. For instance, a merger might assist firms in the market </w:t>
      </w:r>
      <w:proofErr w:type="gramStart"/>
      <w:r w:rsidR="00C76A45">
        <w:t>to implicitly or explicitly coordinate</w:t>
      </w:r>
      <w:proofErr w:type="gramEnd"/>
      <w:r w:rsidR="00C76A45">
        <w:t xml:space="preserve"> their pricing, output or related commercial decisions. </w:t>
      </w:r>
    </w:p>
    <w:p w:rsidR="00C76A45" w:rsidRDefault="00734C64" w:rsidP="0019186D">
      <w:pPr>
        <w:pStyle w:val="Numberedparagraph"/>
      </w:pPr>
      <w:r>
        <w:t>Coordinated effects are</w:t>
      </w:r>
      <w:r w:rsidR="00C76A45">
        <w:t xml:space="preserve"> more likely to </w:t>
      </w:r>
      <w:r>
        <w:t>occur</w:t>
      </w:r>
      <w:r w:rsidR="00C76A45">
        <w:t xml:space="preserve"> in markets characterised by a small number of firms </w:t>
      </w:r>
      <w:r>
        <w:t xml:space="preserve">and </w:t>
      </w:r>
      <w:r w:rsidR="00C76A45">
        <w:t>high barriers to entry and expansion shielding the incumbents from new competitors.</w:t>
      </w:r>
    </w:p>
    <w:p w:rsidR="007A0FFE" w:rsidRDefault="00711E8D" w:rsidP="0019186D">
      <w:pPr>
        <w:pStyle w:val="Numberedparagraph"/>
      </w:pPr>
      <w:r>
        <w:t xml:space="preserve">In considering whether a merger </w:t>
      </w:r>
      <w:r w:rsidR="00D02E29">
        <w:t>may give rise to coordinated effects</w:t>
      </w:r>
      <w:r w:rsidR="00C76A45">
        <w:t xml:space="preserve">, </w:t>
      </w:r>
      <w:r>
        <w:t xml:space="preserve">the ACCC will also consider </w:t>
      </w:r>
      <w:proofErr w:type="gramStart"/>
      <w:r>
        <w:t xml:space="preserve">minority shareholdings and whether </w:t>
      </w:r>
      <w:r w:rsidR="007A51A9">
        <w:t xml:space="preserve">a </w:t>
      </w:r>
      <w:r>
        <w:t xml:space="preserve">partial acquisition will lead to a greater alignment of interests and increased </w:t>
      </w:r>
      <w:r w:rsidR="000A651D">
        <w:t>interdependence</w:t>
      </w:r>
      <w:r w:rsidR="00172293">
        <w:t xml:space="preserve"> and coordination</w:t>
      </w:r>
      <w:r w:rsidR="000A651D">
        <w:t xml:space="preserve"> </w:t>
      </w:r>
      <w:r>
        <w:t>between parties</w:t>
      </w:r>
      <w:proofErr w:type="gramEnd"/>
      <w:r>
        <w:t>.</w:t>
      </w:r>
      <w:r w:rsidR="00D02E29">
        <w:t xml:space="preserve"> The issue of minority shareholdings </w:t>
      </w:r>
      <w:proofErr w:type="gramStart"/>
      <w:r w:rsidR="00D02E29">
        <w:t>is discussed</w:t>
      </w:r>
      <w:proofErr w:type="gramEnd"/>
      <w:r w:rsidR="00D02E29">
        <w:t xml:space="preserve"> further below.</w:t>
      </w:r>
    </w:p>
    <w:p w:rsidR="00867970" w:rsidRDefault="00867970">
      <w:pPr>
        <w:rPr>
          <w:rFonts w:ascii="Lucida Fax" w:eastAsia="Times New Roman" w:hAnsi="Lucida Fax" w:cstheme="majorBidi"/>
          <w:bCs/>
          <w:color w:val="51626F"/>
          <w:sz w:val="32"/>
          <w:szCs w:val="28"/>
        </w:rPr>
      </w:pPr>
      <w:bookmarkStart w:id="7" w:name="_Toc459884745"/>
      <w:r>
        <w:rPr>
          <w:rFonts w:eastAsia="Times New Roman"/>
        </w:rPr>
        <w:br w:type="page"/>
      </w:r>
    </w:p>
    <w:p w:rsidR="00E922DC" w:rsidRDefault="00DA5201" w:rsidP="00A176F6">
      <w:pPr>
        <w:pStyle w:val="Heading1"/>
        <w:rPr>
          <w:rFonts w:eastAsia="Times New Roman"/>
        </w:rPr>
      </w:pPr>
      <w:r>
        <w:rPr>
          <w:rFonts w:eastAsia="Times New Roman"/>
        </w:rPr>
        <w:lastRenderedPageBreak/>
        <w:t xml:space="preserve">Possible </w:t>
      </w:r>
      <w:r w:rsidR="00D6360F">
        <w:rPr>
          <w:rFonts w:eastAsia="Times New Roman"/>
        </w:rPr>
        <w:t>issues</w:t>
      </w:r>
      <w:r>
        <w:rPr>
          <w:rFonts w:eastAsia="Times New Roman"/>
        </w:rPr>
        <w:t xml:space="preserve"> </w:t>
      </w:r>
      <w:r w:rsidR="00D6360F">
        <w:rPr>
          <w:rFonts w:eastAsia="Times New Roman"/>
        </w:rPr>
        <w:t>in the competition assessment of</w:t>
      </w:r>
      <w:r w:rsidR="00E922DC">
        <w:rPr>
          <w:rFonts w:eastAsia="Times New Roman"/>
        </w:rPr>
        <w:t xml:space="preserve"> media mergers</w:t>
      </w:r>
      <w:bookmarkEnd w:id="7"/>
    </w:p>
    <w:p w:rsidR="00DA5201" w:rsidRPr="0019186D" w:rsidRDefault="00DA5201" w:rsidP="0019186D">
      <w:pPr>
        <w:pStyle w:val="Numberedparagraph"/>
      </w:pPr>
      <w:r w:rsidRPr="0019186D">
        <w:t>Th</w:t>
      </w:r>
      <w:r w:rsidR="00E508A9" w:rsidRPr="0019186D">
        <w:t>is</w:t>
      </w:r>
      <w:r w:rsidRPr="0019186D">
        <w:t xml:space="preserve"> </w:t>
      </w:r>
      <w:r w:rsidR="00F737A1" w:rsidRPr="0019186D">
        <w:t>section provide</w:t>
      </w:r>
      <w:r w:rsidR="00D40800" w:rsidRPr="0019186D">
        <w:t xml:space="preserve">s </w:t>
      </w:r>
      <w:r w:rsidRPr="0019186D">
        <w:t xml:space="preserve">a guide as to how the ACCC will consider particular </w:t>
      </w:r>
      <w:r w:rsidR="00097ED5" w:rsidRPr="0019186D">
        <w:t>issues arising in</w:t>
      </w:r>
      <w:r w:rsidRPr="0019186D">
        <w:t xml:space="preserve"> </w:t>
      </w:r>
      <w:r w:rsidR="00BE18F3" w:rsidRPr="0019186D">
        <w:t>media merger assessments</w:t>
      </w:r>
      <w:r w:rsidR="007A51A9" w:rsidRPr="0019186D">
        <w:t>. These include:</w:t>
      </w:r>
    </w:p>
    <w:p w:rsidR="00E06FC0" w:rsidRPr="00867970" w:rsidRDefault="007A51A9" w:rsidP="00867970">
      <w:pPr>
        <w:pStyle w:val="ListBullet3"/>
      </w:pPr>
      <w:r w:rsidRPr="00867970">
        <w:t>c</w:t>
      </w:r>
      <w:r w:rsidR="00E06FC0" w:rsidRPr="00867970">
        <w:t>ompetition and</w:t>
      </w:r>
      <w:r w:rsidR="00AC531B" w:rsidRPr="00867970">
        <w:t xml:space="preserve"> media</w:t>
      </w:r>
      <w:r w:rsidR="00E06FC0" w:rsidRPr="00867970">
        <w:t xml:space="preserve"> diversity </w:t>
      </w:r>
    </w:p>
    <w:p w:rsidR="007A51A9" w:rsidRPr="00867970" w:rsidRDefault="007A51A9" w:rsidP="00867970">
      <w:pPr>
        <w:pStyle w:val="ListBullet3"/>
      </w:pPr>
      <w:r w:rsidRPr="00867970">
        <w:t>impact of technological change</w:t>
      </w:r>
    </w:p>
    <w:p w:rsidR="00DA5201" w:rsidRPr="00867970" w:rsidRDefault="007A51A9" w:rsidP="00867970">
      <w:pPr>
        <w:pStyle w:val="ListBullet3"/>
      </w:pPr>
      <w:r w:rsidRPr="00867970">
        <w:t>a</w:t>
      </w:r>
      <w:r w:rsidR="00DA5201" w:rsidRPr="00867970">
        <w:t xml:space="preserve">ccess to </w:t>
      </w:r>
      <w:r w:rsidR="00E06FC0" w:rsidRPr="00867970">
        <w:t xml:space="preserve">key </w:t>
      </w:r>
      <w:r w:rsidR="00DA5201" w:rsidRPr="00867970">
        <w:t>content</w:t>
      </w:r>
    </w:p>
    <w:p w:rsidR="00DA5201" w:rsidRPr="00867970" w:rsidRDefault="007A51A9" w:rsidP="00867970">
      <w:pPr>
        <w:pStyle w:val="ListBullet3"/>
      </w:pPr>
      <w:r w:rsidRPr="00867970">
        <w:t>t</w:t>
      </w:r>
      <w:r w:rsidR="00DA5201" w:rsidRPr="00867970">
        <w:t xml:space="preserve">wo-sided markets and network effects </w:t>
      </w:r>
    </w:p>
    <w:p w:rsidR="00AC531B" w:rsidRPr="00867970" w:rsidRDefault="007A51A9" w:rsidP="00867970">
      <w:pPr>
        <w:pStyle w:val="ListBullet3"/>
      </w:pPr>
      <w:r w:rsidRPr="00867970">
        <w:t>b</w:t>
      </w:r>
      <w:r w:rsidR="00E233BC" w:rsidRPr="00867970">
        <w:t>undling</w:t>
      </w:r>
      <w:r w:rsidR="00D40800" w:rsidRPr="00867970">
        <w:t xml:space="preserve"> and foreclosure</w:t>
      </w:r>
      <w:r w:rsidRPr="00867970">
        <w:t>, and</w:t>
      </w:r>
    </w:p>
    <w:p w:rsidR="00E233BC" w:rsidRPr="00867970" w:rsidRDefault="007A51A9" w:rsidP="00867970">
      <w:pPr>
        <w:pStyle w:val="ListBullet3"/>
      </w:pPr>
      <w:proofErr w:type="gramStart"/>
      <w:r w:rsidRPr="00867970">
        <w:t>m</w:t>
      </w:r>
      <w:r w:rsidR="007A0FFE" w:rsidRPr="00867970">
        <w:t>inority</w:t>
      </w:r>
      <w:proofErr w:type="gramEnd"/>
      <w:r w:rsidR="007A0FFE" w:rsidRPr="00867970">
        <w:t xml:space="preserve"> shareholdings.</w:t>
      </w:r>
    </w:p>
    <w:p w:rsidR="000A7495" w:rsidRDefault="007A51A9" w:rsidP="0019186D">
      <w:pPr>
        <w:pStyle w:val="Numberedparagraph"/>
      </w:pPr>
      <w:r>
        <w:t>Other</w:t>
      </w:r>
      <w:r w:rsidR="00F737A1">
        <w:t xml:space="preserve"> competition </w:t>
      </w:r>
      <w:r w:rsidR="00BE18F3">
        <w:t xml:space="preserve">issues </w:t>
      </w:r>
      <w:r>
        <w:t>may also</w:t>
      </w:r>
      <w:r w:rsidR="00BE18F3">
        <w:t xml:space="preserve"> arise </w:t>
      </w:r>
      <w:r w:rsidR="00F737A1">
        <w:t>in media mergers.</w:t>
      </w:r>
    </w:p>
    <w:p w:rsidR="00E06FC0" w:rsidRPr="00867970" w:rsidRDefault="00E06FC0" w:rsidP="00867970">
      <w:pPr>
        <w:pStyle w:val="Heading2"/>
      </w:pPr>
      <w:bookmarkStart w:id="8" w:name="_Toc459884746"/>
      <w:r w:rsidRPr="00867970">
        <w:t>Competition and media diversity</w:t>
      </w:r>
      <w:bookmarkEnd w:id="8"/>
      <w:r w:rsidR="001D5138" w:rsidRPr="00867970">
        <w:t xml:space="preserve"> </w:t>
      </w:r>
    </w:p>
    <w:p w:rsidR="00E06FC0" w:rsidRPr="00C17688" w:rsidRDefault="00E06FC0" w:rsidP="0019186D">
      <w:pPr>
        <w:pStyle w:val="Numberedparagraph"/>
      </w:pPr>
      <w:r w:rsidRPr="00521939">
        <w:t xml:space="preserve">‘Diversity’ in a media context broadly refers to the </w:t>
      </w:r>
      <w:r w:rsidR="00D71C66">
        <w:t>range</w:t>
      </w:r>
      <w:r w:rsidRPr="00521939">
        <w:t xml:space="preserve"> of media </w:t>
      </w:r>
      <w:r w:rsidR="007A51A9">
        <w:t>‘</w:t>
      </w:r>
      <w:r w:rsidRPr="00521939">
        <w:t>voices</w:t>
      </w:r>
      <w:r w:rsidR="007A51A9">
        <w:t>’</w:t>
      </w:r>
      <w:r w:rsidRPr="00521939">
        <w:t xml:space="preserve"> </w:t>
      </w:r>
      <w:r w:rsidR="00D71C66">
        <w:t>available to consumers</w:t>
      </w:r>
      <w:r w:rsidRPr="00521939">
        <w:t xml:space="preserve">. </w:t>
      </w:r>
      <w:r w:rsidR="00521939">
        <w:t xml:space="preserve">While </w:t>
      </w:r>
      <w:r w:rsidR="004F7EA1">
        <w:t>media</w:t>
      </w:r>
      <w:r w:rsidR="00521939">
        <w:t xml:space="preserve"> diversity</w:t>
      </w:r>
      <w:r w:rsidR="004F7EA1">
        <w:t xml:space="preserve"> may manifest in a variety of ways</w:t>
      </w:r>
      <w:r w:rsidR="00521939">
        <w:t>,</w:t>
      </w:r>
      <w:r w:rsidR="004F7EA1">
        <w:t xml:space="preserve"> </w:t>
      </w:r>
      <w:r w:rsidR="007A51A9">
        <w:t>one</w:t>
      </w:r>
      <w:r w:rsidR="004F7EA1">
        <w:t xml:space="preserve"> example of </w:t>
      </w:r>
      <w:r w:rsidR="00521939">
        <w:t xml:space="preserve">a loss of diversity </w:t>
      </w:r>
      <w:r w:rsidR="004F7EA1">
        <w:t xml:space="preserve">is where a transaction would result in </w:t>
      </w:r>
      <w:r w:rsidR="00444ECB">
        <w:t>a reduced number of voices and the potential for a consequential</w:t>
      </w:r>
      <w:r w:rsidR="004F7EA1">
        <w:t xml:space="preserve"> loss of</w:t>
      </w:r>
      <w:r w:rsidR="00444ECB">
        <w:t>,</w:t>
      </w:r>
      <w:r w:rsidR="004F7EA1">
        <w:t xml:space="preserve"> or reduction </w:t>
      </w:r>
      <w:r w:rsidR="00521939">
        <w:t>in</w:t>
      </w:r>
      <w:r w:rsidR="00444ECB">
        <w:t>,</w:t>
      </w:r>
      <w:r w:rsidR="00521939">
        <w:t xml:space="preserve"> news or local </w:t>
      </w:r>
      <w:r w:rsidR="006452D0">
        <w:t xml:space="preserve">and regional </w:t>
      </w:r>
      <w:r w:rsidR="00521939">
        <w:t xml:space="preserve">content.  </w:t>
      </w:r>
    </w:p>
    <w:p w:rsidR="00B33FC9" w:rsidRPr="00BB44F9" w:rsidRDefault="004F7EA1" w:rsidP="0019186D">
      <w:pPr>
        <w:pStyle w:val="Numberedparagraph"/>
      </w:pPr>
      <w:r w:rsidRPr="00BB44F9">
        <w:t>The</w:t>
      </w:r>
      <w:r w:rsidR="00444ECB">
        <w:t xml:space="preserve"> control and ownership framework within the</w:t>
      </w:r>
      <w:r w:rsidRPr="00BB44F9">
        <w:t xml:space="preserve"> </w:t>
      </w:r>
      <w:r w:rsidRPr="0019186D">
        <w:rPr>
          <w:rStyle w:val="Emphasis"/>
        </w:rPr>
        <w:t xml:space="preserve">Broadcasting Services Act 1992 </w:t>
      </w:r>
      <w:r w:rsidR="00444ECB">
        <w:t xml:space="preserve">is essentially comprised of five </w:t>
      </w:r>
      <w:proofErr w:type="gramStart"/>
      <w:r w:rsidR="00444ECB">
        <w:t>rules which</w:t>
      </w:r>
      <w:proofErr w:type="gramEnd"/>
      <w:r w:rsidR="00444ECB">
        <w:t xml:space="preserve"> limit the ‘control’ of commercial television and radio broadcasting licences and associated newspapers</w:t>
      </w:r>
      <w:r w:rsidRPr="00BB44F9">
        <w:t xml:space="preserve">. As discussed earlier, the </w:t>
      </w:r>
      <w:r w:rsidR="00E60EA2">
        <w:t>g</w:t>
      </w:r>
      <w:r w:rsidRPr="00BB44F9">
        <w:t>overnment is proposing to remove two of these, the “reach rule”, and the “</w:t>
      </w:r>
      <w:r w:rsidR="00444ECB">
        <w:t>2</w:t>
      </w:r>
      <w:r w:rsidRPr="00BB44F9">
        <w:t xml:space="preserve"> out of </w:t>
      </w:r>
      <w:r w:rsidR="00444ECB">
        <w:t>3</w:t>
      </w:r>
      <w:r w:rsidRPr="00BB44F9">
        <w:t xml:space="preserve"> rule”. Three other rules would remain:</w:t>
      </w:r>
    </w:p>
    <w:p w:rsidR="004F7EA1" w:rsidRPr="00BB44F9" w:rsidRDefault="00224723" w:rsidP="00867970">
      <w:pPr>
        <w:pStyle w:val="ListBullet3"/>
      </w:pPr>
      <w:r>
        <w:t>a</w:t>
      </w:r>
      <w:r w:rsidR="004F7EA1" w:rsidRPr="00BB44F9">
        <w:t>t least five independent media voices must be present in metropolitan commercial radio licence areas (the mainland state capital cities), and at least four in regional commercial radio licence areas (the “5/4 rule”)</w:t>
      </w:r>
      <w:r>
        <w:t>;</w:t>
      </w:r>
    </w:p>
    <w:p w:rsidR="004F7EA1" w:rsidRDefault="00224723" w:rsidP="00867970">
      <w:pPr>
        <w:pStyle w:val="ListBullet3"/>
      </w:pPr>
      <w:r>
        <w:t>a</w:t>
      </w:r>
      <w:r w:rsidR="004F7EA1" w:rsidRPr="00BB44F9">
        <w:t xml:space="preserve"> person</w:t>
      </w:r>
      <w:r w:rsidR="004F7EA1">
        <w:t>, either in their own right or as a director of one or more companies, must not be able to exercise control of more than one commercial television broadcasting licence in a licence area (the “one to a market rule”)</w:t>
      </w:r>
      <w:r>
        <w:t>; and</w:t>
      </w:r>
    </w:p>
    <w:p w:rsidR="004F7EA1" w:rsidRPr="00BB44F9" w:rsidRDefault="00224723" w:rsidP="00867970">
      <w:pPr>
        <w:pStyle w:val="ListBullet3"/>
      </w:pPr>
      <w:proofErr w:type="gramStart"/>
      <w:r>
        <w:t>a</w:t>
      </w:r>
      <w:proofErr w:type="gramEnd"/>
      <w:r w:rsidR="004F7EA1">
        <w:t xml:space="preserve"> person, either in their own right or </w:t>
      </w:r>
      <w:r w:rsidR="00396C3B">
        <w:t xml:space="preserve">as </w:t>
      </w:r>
      <w:r w:rsidR="004F7EA1">
        <w:t>a director of one or more companies, must not be able to exercise control of more than two commercial radio broadcasting licences in the same licence area (the “two to a market rule”).</w:t>
      </w:r>
    </w:p>
    <w:p w:rsidR="00B33FC9" w:rsidRDefault="004F7EA1" w:rsidP="0019186D">
      <w:pPr>
        <w:pStyle w:val="Numberedparagraph"/>
      </w:pPr>
      <w:r>
        <w:t xml:space="preserve">These rules </w:t>
      </w:r>
      <w:proofErr w:type="gramStart"/>
      <w:r>
        <w:t>are directed</w:t>
      </w:r>
      <w:proofErr w:type="gramEnd"/>
      <w:r>
        <w:t xml:space="preserve"> at preserving diversity in media markets. </w:t>
      </w:r>
      <w:r w:rsidR="00E06FC0" w:rsidRPr="004F7EA1">
        <w:t>By comparison, the key</w:t>
      </w:r>
      <w:r w:rsidR="00E06FC0">
        <w:t xml:space="preserve"> purpose of the merger provisions of </w:t>
      </w:r>
      <w:r w:rsidR="00E06FC0" w:rsidRPr="00D94E3F">
        <w:t xml:space="preserve">the </w:t>
      </w:r>
      <w:r w:rsidR="00E06FC0" w:rsidRPr="0019186D">
        <w:rPr>
          <w:rStyle w:val="Emphasis"/>
        </w:rPr>
        <w:t>Competition and Consumer Act</w:t>
      </w:r>
      <w:r w:rsidR="00224723" w:rsidRPr="0019186D">
        <w:rPr>
          <w:rStyle w:val="Emphasis"/>
        </w:rPr>
        <w:t xml:space="preserve"> 2010</w:t>
      </w:r>
      <w:r w:rsidR="00737A62" w:rsidRPr="0019186D">
        <w:rPr>
          <w:rStyle w:val="Emphasis"/>
        </w:rPr>
        <w:t xml:space="preserve"> </w:t>
      </w:r>
      <w:r w:rsidR="00E06FC0" w:rsidRPr="00D94E3F">
        <w:t xml:space="preserve">is to protect </w:t>
      </w:r>
      <w:r w:rsidR="00E06FC0" w:rsidRPr="0019186D">
        <w:rPr>
          <w:rStyle w:val="Emphasis"/>
        </w:rPr>
        <w:t>competition</w:t>
      </w:r>
      <w:r w:rsidR="00E06FC0" w:rsidRPr="00D94E3F">
        <w:t xml:space="preserve"> in markets in Australia, including media markets</w:t>
      </w:r>
      <w:r w:rsidR="00B33FC9">
        <w:t>, by prohibiting</w:t>
      </w:r>
      <w:r w:rsidR="00E06FC0" w:rsidRPr="00D94E3F">
        <w:t xml:space="preserve"> mergers that </w:t>
      </w:r>
      <w:r w:rsidR="00E06FC0">
        <w:t xml:space="preserve">are likely </w:t>
      </w:r>
      <w:proofErr w:type="gramStart"/>
      <w:r w:rsidR="00E06FC0">
        <w:t>to</w:t>
      </w:r>
      <w:r w:rsidR="00E06FC0" w:rsidRPr="00D94E3F">
        <w:t xml:space="preserve"> substantial</w:t>
      </w:r>
      <w:r w:rsidR="00B33FC9">
        <w:t>ly</w:t>
      </w:r>
      <w:r w:rsidR="00E06FC0" w:rsidRPr="00D94E3F">
        <w:t xml:space="preserve"> lessen</w:t>
      </w:r>
      <w:proofErr w:type="gramEnd"/>
      <w:r w:rsidR="00B33FC9">
        <w:t xml:space="preserve"> </w:t>
      </w:r>
      <w:r w:rsidR="00E06FC0" w:rsidRPr="00D94E3F">
        <w:t>competition</w:t>
      </w:r>
      <w:r w:rsidR="00E06FC0">
        <w:t xml:space="preserve"> in a</w:t>
      </w:r>
      <w:r w:rsidR="003F3B4A">
        <w:t>ny</w:t>
      </w:r>
      <w:r w:rsidR="00E06FC0">
        <w:t xml:space="preserve"> market</w:t>
      </w:r>
      <w:r w:rsidR="00E06FC0" w:rsidRPr="00D94E3F">
        <w:t>.</w:t>
      </w:r>
      <w:r w:rsidR="001D5138">
        <w:t xml:space="preserve"> </w:t>
      </w:r>
    </w:p>
    <w:p w:rsidR="00E06FC0" w:rsidRPr="00D94E3F" w:rsidRDefault="00E508A9" w:rsidP="0019186D">
      <w:pPr>
        <w:pStyle w:val="Numberedparagraph"/>
      </w:pPr>
      <w:r>
        <w:t>T</w:t>
      </w:r>
      <w:r w:rsidR="001D5138">
        <w:t xml:space="preserve">he diversity of media voices </w:t>
      </w:r>
      <w:proofErr w:type="gramStart"/>
      <w:r w:rsidR="001D5138">
        <w:t>is interlinked</w:t>
      </w:r>
      <w:proofErr w:type="gramEnd"/>
      <w:r w:rsidR="001D5138">
        <w:t xml:space="preserve"> with a</w:t>
      </w:r>
      <w:r w:rsidR="00B33FC9">
        <w:t xml:space="preserve"> number of issues</w:t>
      </w:r>
      <w:r w:rsidR="00352E85">
        <w:t xml:space="preserve"> the ACCC considers in its competition assessment</w:t>
      </w:r>
      <w:r w:rsidR="006452D0">
        <w:t xml:space="preserve"> under section 50 of the Act</w:t>
      </w:r>
      <w:r w:rsidR="001D5138">
        <w:t xml:space="preserve">.  </w:t>
      </w:r>
    </w:p>
    <w:p w:rsidR="00E06FC0" w:rsidRDefault="001D5138" w:rsidP="0019186D">
      <w:pPr>
        <w:pStyle w:val="Numberedparagraph"/>
      </w:pPr>
      <w:r>
        <w:t>O</w:t>
      </w:r>
      <w:r w:rsidR="00E06FC0" w:rsidRPr="005A67E1">
        <w:t xml:space="preserve">ne </w:t>
      </w:r>
      <w:r w:rsidR="00E06FC0">
        <w:t xml:space="preserve">important </w:t>
      </w:r>
      <w:r w:rsidR="00E06FC0" w:rsidRPr="005A67E1">
        <w:t>factor the ACCC take</w:t>
      </w:r>
      <w:r w:rsidR="00DF5C58">
        <w:t>s</w:t>
      </w:r>
      <w:r w:rsidR="00E06FC0" w:rsidRPr="005A67E1">
        <w:t xml:space="preserve"> into account </w:t>
      </w:r>
      <w:r w:rsidR="00B33FC9">
        <w:t xml:space="preserve">is the </w:t>
      </w:r>
      <w:r w:rsidR="00B33FC9" w:rsidRPr="00100BC0">
        <w:t>level of</w:t>
      </w:r>
      <w:r w:rsidR="00B33FC9">
        <w:t xml:space="preserve"> </w:t>
      </w:r>
      <w:r w:rsidR="00B33FC9" w:rsidRPr="00867970">
        <w:rPr>
          <w:rStyle w:val="Strong"/>
        </w:rPr>
        <w:t>concentration</w:t>
      </w:r>
      <w:r w:rsidR="00B33FC9">
        <w:t xml:space="preserve"> in a market. A key input in determining concentration is the</w:t>
      </w:r>
      <w:r w:rsidR="00E06FC0" w:rsidRPr="005A67E1">
        <w:t xml:space="preserve"> market share of media outlets in a market both before and after the merger. </w:t>
      </w:r>
      <w:r w:rsidR="00B33FC9">
        <w:t xml:space="preserve">A horizontal merger between media </w:t>
      </w:r>
      <w:proofErr w:type="gramStart"/>
      <w:r w:rsidR="00B33FC9">
        <w:t>outlets which increases</w:t>
      </w:r>
      <w:r w:rsidR="00E3538F">
        <w:t xml:space="preserve"> </w:t>
      </w:r>
      <w:r w:rsidR="00B33FC9">
        <w:t>the merged entity’</w:t>
      </w:r>
      <w:r w:rsidR="002A2771">
        <w:t>s market share</w:t>
      </w:r>
      <w:proofErr w:type="gramEnd"/>
      <w:r w:rsidR="00D71C66">
        <w:t xml:space="preserve"> </w:t>
      </w:r>
      <w:r w:rsidR="00B33FC9">
        <w:t xml:space="preserve">will increase </w:t>
      </w:r>
      <w:r w:rsidR="00141FAE">
        <w:t xml:space="preserve">the </w:t>
      </w:r>
      <w:r w:rsidR="00B33FC9">
        <w:t xml:space="preserve">level of </w:t>
      </w:r>
      <w:r w:rsidR="00737A62">
        <w:t xml:space="preserve">market </w:t>
      </w:r>
      <w:r w:rsidR="00E3538F">
        <w:lastRenderedPageBreak/>
        <w:t xml:space="preserve">concentration. </w:t>
      </w:r>
      <w:r w:rsidR="00B33FC9">
        <w:t xml:space="preserve">At the same time, </w:t>
      </w:r>
      <w:r w:rsidR="002A2771">
        <w:t>the merger will lead to a reduction in the number of independent media outlets</w:t>
      </w:r>
      <w:r w:rsidR="00B33FC9">
        <w:t xml:space="preserve"> </w:t>
      </w:r>
      <w:r w:rsidR="002A2771">
        <w:t>and potentially</w:t>
      </w:r>
      <w:r w:rsidR="00B33FC9">
        <w:t xml:space="preserve"> </w:t>
      </w:r>
      <w:r w:rsidR="002A2771">
        <w:t xml:space="preserve">a reduction in </w:t>
      </w:r>
      <w:r w:rsidR="00B33FC9">
        <w:t xml:space="preserve">the level of </w:t>
      </w:r>
      <w:r w:rsidR="002A2771">
        <w:t>media diversity.</w:t>
      </w:r>
    </w:p>
    <w:p w:rsidR="00E06FC0" w:rsidRDefault="00E06FC0" w:rsidP="0019186D">
      <w:pPr>
        <w:pStyle w:val="Numberedparagraph"/>
      </w:pPr>
      <w:r w:rsidRPr="005A67E1">
        <w:t xml:space="preserve">The level of </w:t>
      </w:r>
      <w:r w:rsidRPr="00C714F0">
        <w:t xml:space="preserve">concentration </w:t>
      </w:r>
      <w:r w:rsidRPr="005A67E1">
        <w:t xml:space="preserve">in a market can </w:t>
      </w:r>
      <w:r w:rsidR="00E3538F">
        <w:t xml:space="preserve">often </w:t>
      </w:r>
      <w:r w:rsidRPr="005A67E1">
        <w:t>provide an initial indication of whether the merge</w:t>
      </w:r>
      <w:r w:rsidR="00EA3FEB">
        <w:t>r</w:t>
      </w:r>
      <w:r w:rsidRPr="005A67E1">
        <w:t xml:space="preserve"> is likely to </w:t>
      </w:r>
      <w:r w:rsidR="00EA3FEB">
        <w:t>increase the</w:t>
      </w:r>
      <w:r w:rsidR="00EA3FEB" w:rsidRPr="005A67E1">
        <w:t xml:space="preserve"> </w:t>
      </w:r>
      <w:r w:rsidRPr="005A67E1">
        <w:t>market power</w:t>
      </w:r>
      <w:r w:rsidR="00EA3FEB">
        <w:t xml:space="preserve"> of the acquirer</w:t>
      </w:r>
      <w:r w:rsidRPr="005A67E1">
        <w:t xml:space="preserve">, </w:t>
      </w:r>
      <w:proofErr w:type="gramStart"/>
      <w:r w:rsidRPr="005A67E1">
        <w:t>and also</w:t>
      </w:r>
      <w:proofErr w:type="gramEnd"/>
      <w:r w:rsidRPr="005A67E1">
        <w:t xml:space="preserve"> whether competitors would be likely to constrain the merger parties post-merger. While market concentration needs to be considered alongside a number of other factors (particularly height of barriers to entry and expansion), as a starting point, a reduction in the number of suppliers of a media product or service in a concentrated market </w:t>
      </w:r>
      <w:r w:rsidR="00EA3FEB">
        <w:t xml:space="preserve">may facilitate </w:t>
      </w:r>
      <w:r w:rsidRPr="005A67E1">
        <w:t xml:space="preserve">the merged entity to exercise market power. </w:t>
      </w:r>
    </w:p>
    <w:p w:rsidR="001D5138" w:rsidRDefault="008601C6" w:rsidP="0019186D">
      <w:pPr>
        <w:pStyle w:val="Numberedparagraph"/>
      </w:pPr>
      <w:r>
        <w:t>M</w:t>
      </w:r>
      <w:r w:rsidR="000323BE">
        <w:t>edia outlets can produce content in-house (retail content) or source content from third parties (wholesale content).</w:t>
      </w:r>
      <w:r w:rsidR="000A651D">
        <w:t xml:space="preserve"> Different groups of consumers will place value on different types of content. </w:t>
      </w:r>
      <w:r w:rsidR="00E3538F">
        <w:t>If</w:t>
      </w:r>
      <w:r w:rsidR="00E3538F" w:rsidRPr="001937D1">
        <w:t xml:space="preserve"> a particular </w:t>
      </w:r>
      <w:r w:rsidR="00E3538F">
        <w:t>company</w:t>
      </w:r>
      <w:r w:rsidR="00E3538F" w:rsidRPr="001937D1">
        <w:t xml:space="preserve"> has a history of</w:t>
      </w:r>
      <w:r w:rsidR="00E3538F">
        <w:t xml:space="preserve"> </w:t>
      </w:r>
      <w:r>
        <w:t xml:space="preserve">supplying </w:t>
      </w:r>
      <w:r w:rsidR="000323BE">
        <w:t>its own distinctive or differentiated</w:t>
      </w:r>
      <w:r w:rsidR="00E3538F">
        <w:t xml:space="preserve"> content</w:t>
      </w:r>
      <w:r w:rsidR="000323BE">
        <w:t xml:space="preserve"> in order to attract consumers</w:t>
      </w:r>
      <w:r w:rsidR="00352E85">
        <w:t xml:space="preserve">, </w:t>
      </w:r>
      <w:r w:rsidR="00E3538F">
        <w:t xml:space="preserve">its acquisition might give the acquirer the ability </w:t>
      </w:r>
      <w:r w:rsidR="000A651D">
        <w:t xml:space="preserve">and incentive </w:t>
      </w:r>
      <w:r w:rsidR="00E3538F">
        <w:t xml:space="preserve">to reduce </w:t>
      </w:r>
      <w:r w:rsidR="000A651D">
        <w:t xml:space="preserve">or cease </w:t>
      </w:r>
      <w:r w:rsidR="00E3538F">
        <w:t>the supply of this content without risking a significant loss of sales</w:t>
      </w:r>
      <w:r w:rsidR="00352E85">
        <w:t>. Th</w:t>
      </w:r>
      <w:r w:rsidR="00930EB1">
        <w:t>e</w:t>
      </w:r>
      <w:r w:rsidR="00352E85">
        <w:t xml:space="preserve"> </w:t>
      </w:r>
      <w:r w:rsidR="00930EB1" w:rsidRPr="00867970">
        <w:rPr>
          <w:rStyle w:val="Strong"/>
        </w:rPr>
        <w:t>reduction of choice</w:t>
      </w:r>
      <w:r w:rsidR="00930EB1">
        <w:t xml:space="preserve"> available to </w:t>
      </w:r>
      <w:proofErr w:type="gramStart"/>
      <w:r w:rsidR="00930EB1">
        <w:t>consumers</w:t>
      </w:r>
      <w:proofErr w:type="gramEnd"/>
      <w:r w:rsidR="00930EB1">
        <w:t xml:space="preserve"> post-merger, among other factors, </w:t>
      </w:r>
      <w:r w:rsidR="00141FAE">
        <w:t>may</w:t>
      </w:r>
      <w:r w:rsidR="00E3538F">
        <w:t xml:space="preserve"> have the effect of substantially lessening competition</w:t>
      </w:r>
      <w:r w:rsidR="00737A62">
        <w:t xml:space="preserve">, </w:t>
      </w:r>
      <w:r w:rsidR="00141FAE">
        <w:t>while also</w:t>
      </w:r>
      <w:r w:rsidR="00737A62">
        <w:t xml:space="preserve"> reducing media diversity</w:t>
      </w:r>
      <w:r w:rsidR="00E3538F" w:rsidRPr="001937D1">
        <w:t xml:space="preserve">.  </w:t>
      </w:r>
    </w:p>
    <w:p w:rsidR="00463C8F" w:rsidRDefault="006452D0" w:rsidP="0019186D">
      <w:pPr>
        <w:pStyle w:val="Numberedparagraph"/>
      </w:pPr>
      <w:r>
        <w:t>I</w:t>
      </w:r>
      <w:r w:rsidR="001D5138">
        <w:t xml:space="preserve">n assessing the likely competition effects in the market, </w:t>
      </w:r>
      <w:r w:rsidR="001D5138" w:rsidRPr="005A67E1">
        <w:t xml:space="preserve">the ACCC will consider not only the impact of a particular merger on the price of a product or service post-acquisition, but also whether the merger is likely to lead to </w:t>
      </w:r>
      <w:r w:rsidR="002A2771">
        <w:t xml:space="preserve">an </w:t>
      </w:r>
      <w:r w:rsidR="00E3538F" w:rsidRPr="00C17688">
        <w:t xml:space="preserve">exercise </w:t>
      </w:r>
      <w:r w:rsidR="00141FAE" w:rsidRPr="00C17688">
        <w:t xml:space="preserve">of </w:t>
      </w:r>
      <w:r w:rsidR="00E3538F" w:rsidRPr="00C17688">
        <w:t>market power</w:t>
      </w:r>
      <w:r w:rsidR="00E3538F" w:rsidRPr="002A2771">
        <w:t xml:space="preserve"> in non-price ways </w:t>
      </w:r>
      <w:r w:rsidR="00E3538F">
        <w:t xml:space="preserve">such as through </w:t>
      </w:r>
      <w:r w:rsidR="001D5138" w:rsidRPr="005A67E1">
        <w:t xml:space="preserve">a </w:t>
      </w:r>
      <w:r w:rsidR="001D5138" w:rsidRPr="00867970">
        <w:rPr>
          <w:rStyle w:val="Strong"/>
        </w:rPr>
        <w:t>reduction in quality</w:t>
      </w:r>
      <w:r w:rsidR="001D5138" w:rsidRPr="005A67E1">
        <w:t>.</w:t>
      </w:r>
      <w:r w:rsidR="001D5138">
        <w:t xml:space="preserve"> In the context of media mergers, this </w:t>
      </w:r>
      <w:r w:rsidR="00E508A9">
        <w:t>c</w:t>
      </w:r>
      <w:r w:rsidR="001D5138">
        <w:t xml:space="preserve">ould include </w:t>
      </w:r>
      <w:proofErr w:type="gramStart"/>
      <w:r w:rsidR="001D5138" w:rsidRPr="005A67E1">
        <w:t xml:space="preserve">whether a merged media business could exercise market </w:t>
      </w:r>
      <w:r w:rsidR="001D5138">
        <w:t xml:space="preserve">power by </w:t>
      </w:r>
      <w:r w:rsidR="001D5138" w:rsidRPr="00C17688">
        <w:t>reducing the quality or range of content</w:t>
      </w:r>
      <w:r w:rsidR="001D5138" w:rsidRPr="006452D0">
        <w:t xml:space="preserve"> </w:t>
      </w:r>
      <w:r w:rsidR="001D5138" w:rsidRPr="005A67E1">
        <w:t>it provides</w:t>
      </w:r>
      <w:r w:rsidR="00737A62">
        <w:t xml:space="preserve">, or whether it will continue to be </w:t>
      </w:r>
      <w:r w:rsidR="008561AB">
        <w:t>subject to</w:t>
      </w:r>
      <w:r w:rsidR="00737A62">
        <w:t xml:space="preserve"> other competitive </w:t>
      </w:r>
      <w:r w:rsidR="003F3B4A">
        <w:t>constraints, for example,</w:t>
      </w:r>
      <w:r w:rsidR="00F24DE4">
        <w:t xml:space="preserve"> other content or other delivery modes</w:t>
      </w:r>
      <w:proofErr w:type="gramEnd"/>
      <w:r w:rsidR="00E3538F">
        <w:t>.</w:t>
      </w:r>
    </w:p>
    <w:p w:rsidR="00463C8F" w:rsidRPr="00A176F6" w:rsidRDefault="00463C8F" w:rsidP="0019186D">
      <w:pPr>
        <w:pStyle w:val="ListContinue2"/>
        <w:shd w:val="clear" w:color="auto" w:fill="F2F2F2" w:themeFill="background1" w:themeFillShade="F2"/>
        <w:rPr>
          <w:b/>
        </w:rPr>
      </w:pPr>
      <w:r w:rsidRPr="00A176F6">
        <w:rPr>
          <w:b/>
        </w:rPr>
        <w:t>Example – News Limited’s proposed acquisition of Federal Publishing Company Community Media Group (FPC) (2007)</w:t>
      </w:r>
    </w:p>
    <w:p w:rsidR="00463C8F" w:rsidRDefault="00463C8F" w:rsidP="0019186D">
      <w:pPr>
        <w:pStyle w:val="ListContinue2"/>
        <w:shd w:val="clear" w:color="auto" w:fill="F2F2F2" w:themeFill="background1" w:themeFillShade="F2"/>
      </w:pPr>
      <w:r>
        <w:t xml:space="preserve">News Limited, a major publisher of both paid and free newspapers across Australia, proposed to acquire FPC, which published and distributed a number of free community newspapers and magazines in Sydney, the Illawarra, the Gold Coast and the Sunshine Coast. </w:t>
      </w:r>
    </w:p>
    <w:p w:rsidR="00463C8F" w:rsidRDefault="00463C8F" w:rsidP="0019186D">
      <w:pPr>
        <w:pStyle w:val="ListContinue2"/>
        <w:shd w:val="clear" w:color="auto" w:fill="F2F2F2" w:themeFill="background1" w:themeFillShade="F2"/>
      </w:pPr>
      <w:r>
        <w:t xml:space="preserve">In its Public Competition Assessment, the ACCC noted that an acquisition </w:t>
      </w:r>
      <w:proofErr w:type="gramStart"/>
      <w:r>
        <w:t>may</w:t>
      </w:r>
      <w:proofErr w:type="gramEnd"/>
      <w:r>
        <w:t xml:space="preserve"> substantially lessen competition if it results in a substantial reduction in the quality of the relevant newspapers through a reduction in the diversity and coverage of content provided to readers. The ACCC considered whether sufficient competitive constraints would remain post-acquisition such that a reduction in the quality of the relevant newspapers, through a significant reduction in the diversity of views or the range of stories covered by those newspapers, would result in a loss of readership and a reduction in the attractiveness of the newspapers to advertisers. </w:t>
      </w:r>
    </w:p>
    <w:p w:rsidR="00463C8F" w:rsidRDefault="00DE4B1B" w:rsidP="0019186D">
      <w:pPr>
        <w:pStyle w:val="ListContinue2"/>
        <w:shd w:val="clear" w:color="auto" w:fill="F2F2F2" w:themeFill="background1" w:themeFillShade="F2"/>
      </w:pPr>
      <w:r>
        <w:t>T</w:t>
      </w:r>
      <w:r w:rsidR="00463C8F">
        <w:t xml:space="preserve">he ACCC found that while the acquisition might lessen the number of publishers in the community newspaper sector in northern and inner western Sydney, a range of other media voices would remain in those areas. The ACCC concluded that, given the existence of competitive constraints post-acquisition, it was likely that News Limited would continue to cover a wide range of local news stories </w:t>
      </w:r>
      <w:proofErr w:type="gramStart"/>
      <w:r w:rsidR="00463C8F">
        <w:t>so as to</w:t>
      </w:r>
      <w:proofErr w:type="gramEnd"/>
      <w:r w:rsidR="00463C8F">
        <w:t xml:space="preserve"> attract the widest possible range of readers, and therefore advertisers.</w:t>
      </w:r>
    </w:p>
    <w:p w:rsidR="00872DCB" w:rsidRDefault="00872DCB" w:rsidP="0019186D">
      <w:pPr>
        <w:pStyle w:val="ListContinue2"/>
        <w:shd w:val="clear" w:color="auto" w:fill="F2F2F2" w:themeFill="background1" w:themeFillShade="F2"/>
      </w:pPr>
      <w:r>
        <w:t>The ACCC</w:t>
      </w:r>
      <w:r w:rsidR="00DE4B1B">
        <w:t xml:space="preserve"> </w:t>
      </w:r>
      <w:r>
        <w:t>did not oppose the proposed acquisition.</w:t>
      </w:r>
    </w:p>
    <w:p w:rsidR="009F6C04" w:rsidRDefault="009F6C04">
      <w:pPr>
        <w:rPr>
          <w:rFonts w:eastAsiaTheme="majorEastAsia" w:cstheme="majorBidi"/>
          <w:b/>
          <w:bCs/>
          <w:color w:val="51626F"/>
          <w:sz w:val="28"/>
          <w:szCs w:val="26"/>
        </w:rPr>
      </w:pPr>
      <w:bookmarkStart w:id="9" w:name="_Toc453920044"/>
      <w:bookmarkStart w:id="10" w:name="_Toc459884747"/>
      <w:r>
        <w:br w:type="page"/>
      </w:r>
    </w:p>
    <w:p w:rsidR="00E06FC0" w:rsidRPr="00867970" w:rsidRDefault="00E06FC0" w:rsidP="00867970">
      <w:pPr>
        <w:pStyle w:val="Heading2"/>
      </w:pPr>
      <w:r w:rsidRPr="00867970">
        <w:lastRenderedPageBreak/>
        <w:t>Impact of technological change and future developments in the market</w:t>
      </w:r>
      <w:bookmarkEnd w:id="9"/>
      <w:bookmarkEnd w:id="10"/>
    </w:p>
    <w:p w:rsidR="0098625C" w:rsidRPr="00BB44F9" w:rsidRDefault="00D40800" w:rsidP="0019186D">
      <w:pPr>
        <w:pStyle w:val="Numberedparagraph"/>
      </w:pPr>
      <w:r w:rsidRPr="001937D1">
        <w:t xml:space="preserve">Technology plays a significant role in the delivery of products and services in media and related markets, and it can have a significant influence on the competitive landscape. Similarly, changes in technology – and changes in how technology </w:t>
      </w:r>
      <w:proofErr w:type="gramStart"/>
      <w:r w:rsidRPr="001937D1">
        <w:t>is used and applied by consumers and business</w:t>
      </w:r>
      <w:proofErr w:type="gramEnd"/>
      <w:r w:rsidRPr="001937D1">
        <w:t xml:space="preserve"> – can shift the competitive dynamics of media markets, sometimes dra</w:t>
      </w:r>
      <w:r w:rsidR="00DE4B1B">
        <w:t>matic</w:t>
      </w:r>
      <w:r w:rsidRPr="001937D1">
        <w:t xml:space="preserve">ally. </w:t>
      </w:r>
      <w:r w:rsidR="000A651D" w:rsidRPr="000A651D">
        <w:t>For example, i</w:t>
      </w:r>
      <w:r w:rsidR="0098625C" w:rsidRPr="000A651D">
        <w:t xml:space="preserve">n the past ten years, the rise of digital media, including social media, has led to significant changes in how media content and advertisements </w:t>
      </w:r>
      <w:proofErr w:type="gramStart"/>
      <w:r w:rsidR="0098625C" w:rsidRPr="000A651D">
        <w:t>are consumed and supplied</w:t>
      </w:r>
      <w:proofErr w:type="gramEnd"/>
      <w:r w:rsidR="0098625C" w:rsidRPr="000A651D">
        <w:t xml:space="preserve">. </w:t>
      </w:r>
    </w:p>
    <w:p w:rsidR="00D40800" w:rsidRDefault="00D40800" w:rsidP="0019186D">
      <w:pPr>
        <w:pStyle w:val="Numberedparagraph"/>
      </w:pPr>
      <w:r>
        <w:t xml:space="preserve">Dynamic changes in a market may result from a range of factors including market growth, innovation, product differentiation and technological changes. </w:t>
      </w:r>
      <w:r w:rsidR="009E6E9A" w:rsidRPr="00C03A20">
        <w:t>T</w:t>
      </w:r>
      <w:r w:rsidR="009E6E9A">
        <w:t>hese</w:t>
      </w:r>
      <w:r w:rsidR="009E6E9A" w:rsidRPr="00C03A20">
        <w:t xml:space="preserve"> </w:t>
      </w:r>
      <w:r w:rsidRPr="00C03A20">
        <w:t>change</w:t>
      </w:r>
      <w:r w:rsidR="009E6E9A">
        <w:t>s</w:t>
      </w:r>
      <w:r w:rsidRPr="00C03A20">
        <w:t xml:space="preserve"> can </w:t>
      </w:r>
      <w:proofErr w:type="gramStart"/>
      <w:r w:rsidRPr="00C03A20">
        <w:t>impact</w:t>
      </w:r>
      <w:proofErr w:type="gramEnd"/>
      <w:r w:rsidRPr="00C03A20">
        <w:t xml:space="preserve"> market definition, the ACCC’s competition assessment</w:t>
      </w:r>
      <w:r w:rsidR="009E6E9A">
        <w:t xml:space="preserve"> and the likely </w:t>
      </w:r>
      <w:r w:rsidR="00826528">
        <w:t>future without the proposed acquisition</w:t>
      </w:r>
      <w:r w:rsidRPr="00C03A20">
        <w:t xml:space="preserve">. </w:t>
      </w:r>
      <w:r w:rsidRPr="00B4063C">
        <w:t xml:space="preserve">How technology </w:t>
      </w:r>
      <w:proofErr w:type="gramStart"/>
      <w:r w:rsidRPr="00B4063C">
        <w:t>impacts</w:t>
      </w:r>
      <w:proofErr w:type="gramEnd"/>
      <w:r w:rsidRPr="00B4063C">
        <w:t xml:space="preserve"> a particular market or a particular transaction will depend on the circumstances </w:t>
      </w:r>
      <w:r w:rsidR="00DE4B1B">
        <w:t>of</w:t>
      </w:r>
      <w:r w:rsidRPr="00B4063C">
        <w:t xml:space="preserve"> </w:t>
      </w:r>
      <w:r w:rsidR="00826528">
        <w:t>each</w:t>
      </w:r>
      <w:r w:rsidR="00826528" w:rsidRPr="00B4063C">
        <w:t xml:space="preserve"> </w:t>
      </w:r>
      <w:r w:rsidRPr="00B4063C">
        <w:t xml:space="preserve">case.  </w:t>
      </w:r>
    </w:p>
    <w:p w:rsidR="009E6E9A" w:rsidRPr="00B4063C" w:rsidRDefault="009E6E9A" w:rsidP="0019186D">
      <w:pPr>
        <w:pStyle w:val="Numberedparagraph"/>
      </w:pPr>
      <w:r>
        <w:t>Consistent with the forward-looking nature of section 50, the ACCC will consider the current state of competition in the market</w:t>
      </w:r>
      <w:r w:rsidR="007B7722">
        <w:t xml:space="preserve"> </w:t>
      </w:r>
      <w:r>
        <w:t xml:space="preserve">and the potential for competition to change in the </w:t>
      </w:r>
      <w:proofErr w:type="gramStart"/>
      <w:r>
        <w:t>foreseeable</w:t>
      </w:r>
      <w:proofErr w:type="gramEnd"/>
      <w:r>
        <w:t xml:space="preserve"> future.</w:t>
      </w:r>
    </w:p>
    <w:p w:rsidR="00D40800" w:rsidRDefault="00E508A9" w:rsidP="0019186D">
      <w:pPr>
        <w:pStyle w:val="Numberedparagraph"/>
      </w:pPr>
      <w:r>
        <w:t>A</w:t>
      </w:r>
      <w:r w:rsidR="00D40800">
        <w:t>dvances</w:t>
      </w:r>
      <w:r w:rsidR="00D40800" w:rsidRPr="001937D1">
        <w:t xml:space="preserve"> in technology may have the effect of introducing entirely new products and services into existing markets, </w:t>
      </w:r>
      <w:r w:rsidR="00046AEF">
        <w:t xml:space="preserve">exposing traditional business models to challenges from new or different forms of competition. These changes may have the effect of </w:t>
      </w:r>
      <w:r w:rsidR="00D40800" w:rsidRPr="001937D1">
        <w:t xml:space="preserve">increasing the </w:t>
      </w:r>
      <w:r w:rsidR="00D40800" w:rsidRPr="00867970">
        <w:rPr>
          <w:rStyle w:val="Strong"/>
        </w:rPr>
        <w:t>closeness of competition</w:t>
      </w:r>
      <w:r w:rsidR="00D40800" w:rsidRPr="001937D1">
        <w:t xml:space="preserve"> between products or services that were previously less direct competitors. </w:t>
      </w:r>
    </w:p>
    <w:p w:rsidR="00046AEF" w:rsidRDefault="00D40800" w:rsidP="0019186D">
      <w:pPr>
        <w:pStyle w:val="Numberedparagraph"/>
      </w:pPr>
      <w:r w:rsidRPr="001937D1">
        <w:t xml:space="preserve">New technology may also </w:t>
      </w:r>
      <w:r>
        <w:t>have an effect on</w:t>
      </w:r>
      <w:r w:rsidRPr="001937D1">
        <w:t xml:space="preserve"> </w:t>
      </w:r>
      <w:r w:rsidRPr="00867970">
        <w:rPr>
          <w:rStyle w:val="Strong"/>
        </w:rPr>
        <w:t>barriers to entry</w:t>
      </w:r>
      <w:r w:rsidRPr="001937D1">
        <w:t>.</w:t>
      </w:r>
      <w:r w:rsidR="00046AEF">
        <w:t xml:space="preserve"> Where markets are growing rapidly, this may facilitate new entry or expansion and erode the market shares of established incumbents.</w:t>
      </w:r>
      <w:r w:rsidRPr="001937D1">
        <w:t xml:space="preserve"> </w:t>
      </w:r>
      <w:r w:rsidR="009E6E9A">
        <w:t>Similarly, markets that are characterised by rapid product innovation may be unstable such that increased market power gained through a merger is only transitory in nature.</w:t>
      </w:r>
    </w:p>
    <w:p w:rsidR="00D40800" w:rsidRPr="00C17688" w:rsidRDefault="00D40800" w:rsidP="0019186D">
      <w:pPr>
        <w:pStyle w:val="Numberedparagraph"/>
      </w:pPr>
      <w:r>
        <w:t xml:space="preserve">A supplier that has a history of innovation or introducing disruptive new products may be a ‘maverick’ or a </w:t>
      </w:r>
      <w:r w:rsidRPr="00867970">
        <w:rPr>
          <w:rStyle w:val="Strong"/>
        </w:rPr>
        <w:t>vigorous and effective competitor</w:t>
      </w:r>
      <w:r>
        <w:t xml:space="preserve">. While it may have a comparatively small market share, it could have a disproportionately large impact on the level and form of competition in a market. This may be of particular relevance in media markets or </w:t>
      </w:r>
      <w:proofErr w:type="gramStart"/>
      <w:r>
        <w:t>markets which</w:t>
      </w:r>
      <w:proofErr w:type="gramEnd"/>
      <w:r>
        <w:t xml:space="preserve"> are developing quickly. As new </w:t>
      </w:r>
      <w:r w:rsidR="00046AEF">
        <w:t xml:space="preserve">products </w:t>
      </w:r>
      <w:proofErr w:type="gramStart"/>
      <w:r w:rsidR="00046AEF">
        <w:t>are introduced</w:t>
      </w:r>
      <w:proofErr w:type="gramEnd"/>
      <w:r w:rsidR="00046AEF">
        <w:t xml:space="preserve"> to</w:t>
      </w:r>
      <w:r>
        <w:t xml:space="preserve"> compete in these markets, incumbent firms may wish to neutralise this threat by acquiring the maverick.  </w:t>
      </w:r>
    </w:p>
    <w:p w:rsidR="009E6E9A" w:rsidRPr="0019186D" w:rsidRDefault="009E6E9A" w:rsidP="0019186D">
      <w:pPr>
        <w:pStyle w:val="Numberedparagraph"/>
      </w:pPr>
      <w:r w:rsidRPr="001937D1">
        <w:t xml:space="preserve">Not </w:t>
      </w:r>
      <w:proofErr w:type="gramStart"/>
      <w:r w:rsidRPr="001937D1">
        <w:t>all technological</w:t>
      </w:r>
      <w:proofErr w:type="gramEnd"/>
      <w:r w:rsidRPr="001937D1">
        <w:t xml:space="preserve"> change is necessarily pro-competitive – some changes may have little impact on competition</w:t>
      </w:r>
      <w:r w:rsidRPr="0019186D">
        <w:t>, while others may introduce new sources of market power that could raise competition concerns. Alternatively, new technology may be complementary to, rather than competitive with, existing products or services.</w:t>
      </w:r>
    </w:p>
    <w:p w:rsidR="00AA2657" w:rsidRPr="0019186D" w:rsidRDefault="009E6E9A" w:rsidP="0019186D">
      <w:pPr>
        <w:pStyle w:val="Numberedparagraph"/>
      </w:pPr>
      <w:r w:rsidRPr="0019186D">
        <w:t>E</w:t>
      </w:r>
      <w:r w:rsidR="00D40800" w:rsidRPr="0019186D">
        <w:t xml:space="preserve">ven if a market is dynamic and experiencing rapid technological innovation, if there are barriers that limit the ability of other suppliers to grow, the dynamic nature of </w:t>
      </w:r>
      <w:r w:rsidR="00DE4B1B" w:rsidRPr="0019186D">
        <w:t xml:space="preserve">the </w:t>
      </w:r>
      <w:r w:rsidR="00D40800" w:rsidRPr="0019186D">
        <w:t>market will not necessarily</w:t>
      </w:r>
      <w:r w:rsidR="002252DF" w:rsidRPr="0019186D">
        <w:t xml:space="preserve"> overcome</w:t>
      </w:r>
      <w:r w:rsidR="00D40800" w:rsidRPr="0019186D">
        <w:t xml:space="preserve"> the competition concerns</w:t>
      </w:r>
      <w:r w:rsidR="002252DF" w:rsidRPr="0019186D">
        <w:t xml:space="preserve"> raised</w:t>
      </w:r>
      <w:r w:rsidR="00D40800" w:rsidRPr="0019186D">
        <w:t>. In particular, network effects may mean that the first supplier in that market that is able to attract a large number of customers gains a significa</w:t>
      </w:r>
      <w:r w:rsidR="008F258D" w:rsidRPr="0019186D">
        <w:t xml:space="preserve">nt and stable market position. This </w:t>
      </w:r>
      <w:proofErr w:type="gramStart"/>
      <w:r w:rsidR="008F258D" w:rsidRPr="0019186D">
        <w:t>is discussed</w:t>
      </w:r>
      <w:proofErr w:type="gramEnd"/>
      <w:r w:rsidR="008F258D" w:rsidRPr="0019186D">
        <w:t xml:space="preserve"> further below.</w:t>
      </w:r>
    </w:p>
    <w:p w:rsidR="00D40800" w:rsidRDefault="00D40800" w:rsidP="0019186D">
      <w:pPr>
        <w:pStyle w:val="Numberedparagraph"/>
        <w:spacing w:after="240"/>
      </w:pPr>
      <w:r>
        <w:t xml:space="preserve">In each case, the ACCC will critically examine the extent to which current market dynamics are likely </w:t>
      </w:r>
      <w:proofErr w:type="gramStart"/>
      <w:r>
        <w:t>to accurately reflect</w:t>
      </w:r>
      <w:proofErr w:type="gramEnd"/>
      <w:r>
        <w:t xml:space="preserve"> future patterns. Where credible evidence </w:t>
      </w:r>
      <w:r w:rsidR="00C4624A">
        <w:t>supports the position that</w:t>
      </w:r>
      <w:r>
        <w:t xml:space="preserve"> changes in a market </w:t>
      </w:r>
      <w:r w:rsidR="00C4624A">
        <w:t xml:space="preserve">are likely </w:t>
      </w:r>
      <w:r>
        <w:t xml:space="preserve">in the </w:t>
      </w:r>
      <w:proofErr w:type="gramStart"/>
      <w:r>
        <w:t>foreseeable</w:t>
      </w:r>
      <w:proofErr w:type="gramEnd"/>
      <w:r>
        <w:t xml:space="preserve"> future</w:t>
      </w:r>
      <w:r w:rsidR="00C4624A">
        <w:t xml:space="preserve"> </w:t>
      </w:r>
      <w:r w:rsidR="00C4624A">
        <w:lastRenderedPageBreak/>
        <w:t>(generally within one to two years)</w:t>
      </w:r>
      <w:r>
        <w:t xml:space="preserve">, the ACCC will </w:t>
      </w:r>
      <w:r w:rsidR="00C4624A">
        <w:t>take these into account. L</w:t>
      </w:r>
      <w:r w:rsidR="00046AEF">
        <w:t xml:space="preserve">ittle weight </w:t>
      </w:r>
      <w:proofErr w:type="gramStart"/>
      <w:r w:rsidR="00046AEF">
        <w:t>will be given</w:t>
      </w:r>
      <w:proofErr w:type="gramEnd"/>
      <w:r w:rsidR="00046AEF">
        <w:t xml:space="preserve"> to speculation about future technological developments.  </w:t>
      </w:r>
    </w:p>
    <w:p w:rsidR="00A176F6" w:rsidRDefault="00A176F6" w:rsidP="0019186D">
      <w:pPr>
        <w:pStyle w:val="ListContinue2"/>
        <w:shd w:val="clear" w:color="auto" w:fill="F2F2F2" w:themeFill="background1" w:themeFillShade="F2"/>
        <w:rPr>
          <w:b/>
        </w:rPr>
      </w:pPr>
      <w:r w:rsidRPr="00926CD5">
        <w:rPr>
          <w:b/>
        </w:rPr>
        <w:t>Example</w:t>
      </w:r>
      <w:r w:rsidRPr="00405A6A">
        <w:rPr>
          <w:b/>
        </w:rPr>
        <w:t xml:space="preserve"> – </w:t>
      </w:r>
      <w:r>
        <w:rPr>
          <w:b/>
        </w:rPr>
        <w:t>Channel 7 and Foxtel proposed joint venture (2015</w:t>
      </w:r>
      <w:r w:rsidR="002D4E8C">
        <w:rPr>
          <w:b/>
        </w:rPr>
        <w:t>)</w:t>
      </w:r>
    </w:p>
    <w:p w:rsidR="00A176F6" w:rsidRPr="00A176F6" w:rsidRDefault="00A176F6" w:rsidP="0019186D">
      <w:pPr>
        <w:pStyle w:val="ListContinue2"/>
        <w:shd w:val="clear" w:color="auto" w:fill="F2F2F2" w:themeFill="background1" w:themeFillShade="F2"/>
      </w:pPr>
      <w:r w:rsidRPr="00A176F6">
        <w:t xml:space="preserve">Seven and Foxtel proposed to enter into a joint venture to collectively produce and supply a standalone subscription video on demand (SVOD) service, marked as “Presto Entertainment”. </w:t>
      </w:r>
    </w:p>
    <w:p w:rsidR="00A176F6" w:rsidRPr="00A176F6" w:rsidRDefault="00A176F6" w:rsidP="0019186D">
      <w:pPr>
        <w:pStyle w:val="ListContinue2"/>
        <w:shd w:val="clear" w:color="auto" w:fill="F2F2F2" w:themeFill="background1" w:themeFillShade="F2"/>
      </w:pPr>
      <w:r w:rsidRPr="00A176F6">
        <w:t>The ACCC considered the proposed acquisition in the context of a national market for the acquisition of broadcast rights to general audio-visual content (excluding sporting rights), and a national market for the supply of paid general audio-visual content services to consumers.</w:t>
      </w:r>
      <w:r w:rsidRPr="00A176F6" w:rsidDel="005654B7">
        <w:t xml:space="preserve"> </w:t>
      </w:r>
    </w:p>
    <w:p w:rsidR="00A176F6" w:rsidRDefault="00DE4B1B" w:rsidP="0019186D">
      <w:pPr>
        <w:pStyle w:val="ListContinue2"/>
        <w:shd w:val="clear" w:color="auto" w:fill="F2F2F2" w:themeFill="background1" w:themeFillShade="F2"/>
      </w:pPr>
      <w:r>
        <w:t>T</w:t>
      </w:r>
      <w:r w:rsidR="00A176F6" w:rsidRPr="00A176F6">
        <w:t xml:space="preserve">he ACCC found that SVOD providers competed with a range of other providers, including traditional subscription and free-to-air TV providers, in the market for the acquisition of broadcast rights. The ACCC also found that SVOD and transactional video on demand (TVOD) services were likely to compete with traditional subscription television services in the supply of paid general audio-visual content services. </w:t>
      </w:r>
    </w:p>
    <w:p w:rsidR="00872DCB" w:rsidRPr="00A176F6" w:rsidRDefault="00872DCB" w:rsidP="0019186D">
      <w:pPr>
        <w:pStyle w:val="ListContinue2"/>
        <w:shd w:val="clear" w:color="auto" w:fill="F2F2F2" w:themeFill="background1" w:themeFillShade="F2"/>
      </w:pPr>
      <w:r>
        <w:t xml:space="preserve">The ACCC did not oppose the proposed acquisition. </w:t>
      </w:r>
    </w:p>
    <w:p w:rsidR="00A176F6" w:rsidRPr="00867970" w:rsidRDefault="00A176F6" w:rsidP="00867970">
      <w:pPr>
        <w:rPr>
          <w:rStyle w:val="Strong"/>
        </w:rPr>
      </w:pPr>
      <w:r w:rsidRPr="00867970">
        <w:rPr>
          <w:rStyle w:val="Strong"/>
        </w:rPr>
        <w:br w:type="page"/>
      </w:r>
    </w:p>
    <w:p w:rsidR="00B334EF" w:rsidRPr="00867970" w:rsidRDefault="00413AE5" w:rsidP="00867970">
      <w:pPr>
        <w:pStyle w:val="Heading2"/>
      </w:pPr>
      <w:bookmarkStart w:id="11" w:name="_Toc459884748"/>
      <w:r w:rsidRPr="00867970">
        <w:lastRenderedPageBreak/>
        <w:t>A</w:t>
      </w:r>
      <w:r w:rsidR="00B334EF" w:rsidRPr="00867970">
        <w:t>ccess to</w:t>
      </w:r>
      <w:r w:rsidR="009A5059" w:rsidRPr="00867970">
        <w:t xml:space="preserve"> key</w:t>
      </w:r>
      <w:r w:rsidR="00B334EF" w:rsidRPr="00867970">
        <w:t xml:space="preserve"> content</w:t>
      </w:r>
      <w:bookmarkEnd w:id="11"/>
    </w:p>
    <w:p w:rsidR="00E508A9" w:rsidRDefault="00E508A9" w:rsidP="0019186D">
      <w:pPr>
        <w:pStyle w:val="Numberedparagraph"/>
      </w:pPr>
      <w:r>
        <w:t>C</w:t>
      </w:r>
      <w:r w:rsidR="00A12B05">
        <w:t>ompelling</w:t>
      </w:r>
      <w:r>
        <w:t>, premium or</w:t>
      </w:r>
      <w:r w:rsidR="00A12B05">
        <w:t xml:space="preserve"> </w:t>
      </w:r>
      <w:r>
        <w:t>key</w:t>
      </w:r>
      <w:r w:rsidR="00A12B05">
        <w:t xml:space="preserve"> content </w:t>
      </w:r>
      <w:r>
        <w:t xml:space="preserve">is content that </w:t>
      </w:r>
      <w:r w:rsidR="00A12B05">
        <w:t>is likely to attract significant numbers of consumers</w:t>
      </w:r>
      <w:r>
        <w:t>. Premium content can allow providers to implement cross promotions and ‘lead-in’ strategies, leading to a ratings ‘halo’ effect that increases the provider’s ratings overall.</w:t>
      </w:r>
    </w:p>
    <w:p w:rsidR="00A12B05" w:rsidRDefault="00E508A9" w:rsidP="0019186D">
      <w:pPr>
        <w:pStyle w:val="Numberedparagraph"/>
      </w:pPr>
      <w:r>
        <w:t>T</w:t>
      </w:r>
      <w:r w:rsidR="00A12B05">
        <w:t xml:space="preserve">he ACCC’s past reviews have found that live sports content, in particular premium sports, is an extremely important part of a free-to-air network and a </w:t>
      </w:r>
      <w:proofErr w:type="spellStart"/>
      <w:r w:rsidR="004A537D">
        <w:t>pay-TV</w:t>
      </w:r>
      <w:proofErr w:type="spellEnd"/>
      <w:r w:rsidR="00A12B05">
        <w:t xml:space="preserve"> provider’s program offering due to the higher ratings it achieves, and the fact that viewer interest in major sports is generally focused on live content. </w:t>
      </w:r>
    </w:p>
    <w:p w:rsidR="009E6E9A" w:rsidRDefault="009A5059" w:rsidP="0019186D">
      <w:pPr>
        <w:pStyle w:val="Numberedparagraph"/>
      </w:pPr>
      <w:r>
        <w:t>‘Water-cooler</w:t>
      </w:r>
      <w:r w:rsidR="00995942">
        <w:t xml:space="preserve"> programming</w:t>
      </w:r>
      <w:r>
        <w:t xml:space="preserve">’ </w:t>
      </w:r>
      <w:r w:rsidR="009F7070">
        <w:t xml:space="preserve">or ‘appointment viewing’ refers to content which consumers prefer to watch live and </w:t>
      </w:r>
      <w:r w:rsidR="00995942">
        <w:t>which viewers</w:t>
      </w:r>
      <w:r w:rsidR="009F7070">
        <w:t xml:space="preserve"> like to</w:t>
      </w:r>
      <w:r w:rsidR="00995942">
        <w:t xml:space="preserve"> discuss </w:t>
      </w:r>
      <w:r w:rsidR="00941CB6">
        <w:t>shortly after</w:t>
      </w:r>
      <w:r w:rsidR="009F7070">
        <w:t xml:space="preserve">. </w:t>
      </w:r>
      <w:r>
        <w:t xml:space="preserve"> </w:t>
      </w:r>
      <w:r w:rsidR="009F7070">
        <w:t>This can include live sport, reality TV shows and news. As consumers prefer to watch this type of programming live, water-cooler programming may be of particular importan</w:t>
      </w:r>
      <w:r w:rsidR="00023781">
        <w:t>ce</w:t>
      </w:r>
      <w:r w:rsidR="009F7070">
        <w:t xml:space="preserve"> to broadcasters as it can help them to maintain their audience share and advertising revenue.  </w:t>
      </w:r>
      <w:r>
        <w:t xml:space="preserve"> </w:t>
      </w:r>
    </w:p>
    <w:p w:rsidR="00E233BC" w:rsidRPr="00C17688" w:rsidRDefault="00E508A9" w:rsidP="0019186D">
      <w:pPr>
        <w:pStyle w:val="Numberedparagraph"/>
      </w:pPr>
      <w:r>
        <w:t>In past matters, the</w:t>
      </w:r>
      <w:r w:rsidR="009E6E9A" w:rsidRPr="00C17688">
        <w:t xml:space="preserve"> ACCC </w:t>
      </w:r>
      <w:r>
        <w:t xml:space="preserve">has found that the </w:t>
      </w:r>
      <w:r w:rsidR="00D6045A">
        <w:t xml:space="preserve">difficulty of obtaining </w:t>
      </w:r>
      <w:r>
        <w:t xml:space="preserve">supply of </w:t>
      </w:r>
      <w:r w:rsidR="003F3B4A">
        <w:t>premium or compelling content can be</w:t>
      </w:r>
      <w:r w:rsidR="00D6045A">
        <w:t xml:space="preserve"> </w:t>
      </w:r>
      <w:r>
        <w:t xml:space="preserve">a barrier to entry. </w:t>
      </w:r>
      <w:r w:rsidR="00A12B05" w:rsidRPr="004A537D">
        <w:t xml:space="preserve">While the precise nature of what is regarded as premium or compelling content may change over time, </w:t>
      </w:r>
      <w:r w:rsidR="009F7070" w:rsidRPr="004A537D">
        <w:t xml:space="preserve">as consumers’ viewing patterns and preferences change, </w:t>
      </w:r>
      <w:r w:rsidR="00A12B05" w:rsidRPr="004A537D">
        <w:t xml:space="preserve">the ACCC considers that the benefits to </w:t>
      </w:r>
      <w:r w:rsidR="00D6045A">
        <w:t>incumbents</w:t>
      </w:r>
      <w:r w:rsidR="00D6045A" w:rsidRPr="004A537D">
        <w:t xml:space="preserve"> </w:t>
      </w:r>
      <w:r w:rsidR="00A12B05" w:rsidRPr="004A537D">
        <w:t xml:space="preserve">of having the </w:t>
      </w:r>
      <w:r w:rsidR="00941CB6" w:rsidRPr="004A537D">
        <w:t xml:space="preserve">exclusive </w:t>
      </w:r>
      <w:r w:rsidR="00A12B05" w:rsidRPr="004A537D">
        <w:t>right</w:t>
      </w:r>
      <w:r w:rsidR="00941CB6" w:rsidRPr="004A537D">
        <w:t>s</w:t>
      </w:r>
      <w:r w:rsidR="00A12B05" w:rsidRPr="004A537D">
        <w:t xml:space="preserve"> to premium content is unlikely to decrease in the foreseeable future.</w:t>
      </w:r>
      <w:r w:rsidR="00FB2965" w:rsidRPr="004A537D">
        <w:t xml:space="preserve"> </w:t>
      </w:r>
    </w:p>
    <w:p w:rsidR="004A537D" w:rsidRDefault="009E6E9A" w:rsidP="0019186D">
      <w:pPr>
        <w:pStyle w:val="Numberedparagraph"/>
      </w:pPr>
      <w:r>
        <w:t xml:space="preserve">With </w:t>
      </w:r>
      <w:r w:rsidRPr="001937D1">
        <w:t>technological</w:t>
      </w:r>
      <w:r>
        <w:t xml:space="preserve"> advances facilitating a range of new delivery modes, a firm’s ability to provide compelling content across both traditional and online media is likely to be of continuing importance. The availability of new platforms provides more opportunities for providers to cater to consumer demand. </w:t>
      </w:r>
    </w:p>
    <w:p w:rsidR="004A537D" w:rsidRDefault="004A537D" w:rsidP="0019186D">
      <w:pPr>
        <w:pStyle w:val="Numberedparagraph"/>
      </w:pPr>
      <w:r>
        <w:t>C</w:t>
      </w:r>
      <w:r w:rsidR="009E6E9A">
        <w:t xml:space="preserve">ompetition concerns from a merger may arise if the merger significantly increases the holdings of exclusive content or significantly increases the ability of the merged firm to acquire such content, for instance through vertical integration. </w:t>
      </w:r>
    </w:p>
    <w:p w:rsidR="004A537D" w:rsidRDefault="004A537D" w:rsidP="0019186D">
      <w:pPr>
        <w:pStyle w:val="Numberedparagraph"/>
      </w:pPr>
      <w:r>
        <w:t xml:space="preserve">The ability of existing suppliers to control access to compelling content can create a barrier to entry and expansion, as it can hinder the ability of suppliers that do not have access to this content to grow and compete. </w:t>
      </w:r>
    </w:p>
    <w:p w:rsidR="004A537D" w:rsidRDefault="00E508A9" w:rsidP="0019186D">
      <w:pPr>
        <w:pStyle w:val="Numberedparagraph"/>
      </w:pPr>
      <w:r>
        <w:t xml:space="preserve">In its assessment, the ACCC </w:t>
      </w:r>
      <w:r w:rsidRPr="00E20746">
        <w:t>will consider the temporal element of programming content, including how frequently these contracts come up for renewal and how consumer preferences might change over time.</w:t>
      </w:r>
      <w:r>
        <w:t xml:space="preserve"> </w:t>
      </w:r>
      <w:r w:rsidR="004A537D">
        <w:t xml:space="preserve">The ACCC will </w:t>
      </w:r>
      <w:r>
        <w:t xml:space="preserve">also </w:t>
      </w:r>
      <w:r w:rsidR="004A537D">
        <w:t xml:space="preserve">consider whether a media merger will result in the merged firm having market power in the acquisition of key content, or an increased ability to influence or control the release windows for key content, in such a way that it inhibits competition with its rivals or inhibits the development of competition on other </w:t>
      </w:r>
      <w:r w:rsidR="00D6045A">
        <w:t>modes of delivery</w:t>
      </w:r>
      <w:r w:rsidR="004A537D">
        <w:t>.</w:t>
      </w:r>
    </w:p>
    <w:p w:rsidR="009A5059" w:rsidRDefault="009A5059" w:rsidP="0019186D">
      <w:pPr>
        <w:pStyle w:val="Numberedparagraph"/>
      </w:pPr>
      <w:r>
        <w:t xml:space="preserve">The ACCC might also be concerned in situations where content holders prefer to sell their rights to key content in a single package, making it commercially unattractive or unviable for smaller participants in the market to acquire that content. </w:t>
      </w:r>
    </w:p>
    <w:p w:rsidR="0019186D" w:rsidRDefault="0019186D">
      <w:pPr>
        <w:rPr>
          <w:rStyle w:val="Strong"/>
        </w:rPr>
      </w:pPr>
      <w:r>
        <w:rPr>
          <w:rStyle w:val="Strong"/>
        </w:rPr>
        <w:br w:type="page"/>
      </w:r>
    </w:p>
    <w:p w:rsidR="00A12B05" w:rsidRPr="0019186D" w:rsidRDefault="00A12B05" w:rsidP="0019186D">
      <w:pPr>
        <w:pStyle w:val="ListContinue2"/>
        <w:shd w:val="clear" w:color="auto" w:fill="F2F2F2" w:themeFill="background1" w:themeFillShade="F2"/>
        <w:rPr>
          <w:rStyle w:val="Strong"/>
        </w:rPr>
      </w:pPr>
      <w:r w:rsidRPr="0019186D">
        <w:rPr>
          <w:rStyle w:val="Strong"/>
        </w:rPr>
        <w:lastRenderedPageBreak/>
        <w:t>Example – Foxtel’s proposed acquisition of Austar</w:t>
      </w:r>
      <w:r w:rsidR="00B518AF" w:rsidRPr="0019186D">
        <w:rPr>
          <w:rStyle w:val="Strong"/>
        </w:rPr>
        <w:t xml:space="preserve"> (2011-2012</w:t>
      </w:r>
      <w:r w:rsidR="00293CA3" w:rsidRPr="0019186D">
        <w:rPr>
          <w:rStyle w:val="Strong"/>
        </w:rPr>
        <w:t>)</w:t>
      </w:r>
    </w:p>
    <w:p w:rsidR="00A12B05" w:rsidRDefault="00A12B05" w:rsidP="00867970">
      <w:pPr>
        <w:pStyle w:val="ListContinue2"/>
        <w:shd w:val="clear" w:color="auto" w:fill="F2F2F2" w:themeFill="background1" w:themeFillShade="F2"/>
      </w:pPr>
      <w:r>
        <w:t xml:space="preserve">Foxtel and Austar were both providers of subscription television services, with Foxtel being the largest provider in Australia and primarily focussed on subscribers in metropolitan areas while Austar’s coverage areas were primarily in regional and rural Australia. </w:t>
      </w:r>
    </w:p>
    <w:p w:rsidR="00A12B05" w:rsidRDefault="00A12B05" w:rsidP="00867970">
      <w:pPr>
        <w:pStyle w:val="ListContinue2"/>
        <w:shd w:val="clear" w:color="auto" w:fill="F2F2F2" w:themeFill="background1" w:themeFillShade="F2"/>
      </w:pPr>
      <w:r>
        <w:t xml:space="preserve">The ACCC consulted widely with market participants to understand the nature and extent of the barriers to entry and expansion arising from content exclusivity. Market participants identified an inability to access compelling content as the most significant barrier to entry in the market for the supply of subscription television. </w:t>
      </w:r>
      <w:r w:rsidR="00B518AF">
        <w:t>By acquiring</w:t>
      </w:r>
      <w:r>
        <w:t xml:space="preserve"> content on an exclusive basis, Foxtel and Austar had been able to attract large numbers of end consumers. In </w:t>
      </w:r>
      <w:proofErr w:type="gramStart"/>
      <w:r>
        <w:t>turn</w:t>
      </w:r>
      <w:proofErr w:type="gramEnd"/>
      <w:r>
        <w:t xml:space="preserve"> this increased the attractiveness of their platforms to content rights holders and enhanced their ability to obtain content on an exclusive basis and attract additional subscribers. </w:t>
      </w:r>
    </w:p>
    <w:p w:rsidR="00A12B05" w:rsidRDefault="00A12B05" w:rsidP="00867970">
      <w:pPr>
        <w:pStyle w:val="ListContinue2"/>
        <w:shd w:val="clear" w:color="auto" w:fill="F2F2F2" w:themeFill="background1" w:themeFillShade="F2"/>
      </w:pPr>
      <w:r>
        <w:t>The ACCC considered that the most significant barrier to entry in the market for the supply of subscription television to consumers was the acquisition of certain audio</w:t>
      </w:r>
      <w:r w:rsidR="004E4632">
        <w:t>-</w:t>
      </w:r>
      <w:r>
        <w:t xml:space="preserve">visual content, sometimes exclusively. The ACCC was particularly concerned that the increased scale of the merged firm would further increase its ability to obtain some content on an exclusive basis, particularly content for which Foxtel and Austar previously bid independently, and that this may further increase the already high barriers to entry. </w:t>
      </w:r>
    </w:p>
    <w:p w:rsidR="004A537D" w:rsidRDefault="00FF1776" w:rsidP="00867970">
      <w:pPr>
        <w:pStyle w:val="ListContinue2"/>
        <w:shd w:val="clear" w:color="auto" w:fill="F2F2F2" w:themeFill="background1" w:themeFillShade="F2"/>
      </w:pPr>
      <w:r>
        <w:t>The ACCC considered that IPTV (an “over the top</w:t>
      </w:r>
      <w:r w:rsidR="004A537D">
        <w:t>” digital</w:t>
      </w:r>
      <w:r>
        <w:t xml:space="preserve"> service) was likely to emerge as an important platform for the delivery of subscription television services, and had the potential to lower the existing infrastructure barriers to the supply of subscription television services. </w:t>
      </w:r>
    </w:p>
    <w:p w:rsidR="00A12B05" w:rsidRDefault="004B3858" w:rsidP="00867970">
      <w:pPr>
        <w:pStyle w:val="ListContinue2"/>
        <w:shd w:val="clear" w:color="auto" w:fill="F2F2F2" w:themeFill="background1" w:themeFillShade="F2"/>
      </w:pPr>
      <w:r>
        <w:t xml:space="preserve">One of the </w:t>
      </w:r>
      <w:r w:rsidR="00FF1776">
        <w:t xml:space="preserve">ACCC’s </w:t>
      </w:r>
      <w:r>
        <w:t xml:space="preserve">key </w:t>
      </w:r>
      <w:r w:rsidR="00FF1776">
        <w:t>concern</w:t>
      </w:r>
      <w:r>
        <w:t>s</w:t>
      </w:r>
      <w:r w:rsidR="00FF1776">
        <w:t xml:space="preserve"> was that the merger would allow the merged entity to leverage its substantial customer base in the national market for the retail supply of subscription television services to acquire IPTV rights on an exclusive basis and consequently constrain competitive entry or expansion by other parties on this emerging platform.</w:t>
      </w:r>
      <w:r w:rsidR="004A537D" w:rsidDel="004A537D">
        <w:t xml:space="preserve"> </w:t>
      </w:r>
    </w:p>
    <w:p w:rsidR="000F4947" w:rsidRDefault="000F4947" w:rsidP="0019186D">
      <w:pPr>
        <w:pStyle w:val="ListContinue2"/>
        <w:shd w:val="clear" w:color="auto" w:fill="F2F2F2" w:themeFill="background1" w:themeFillShade="F2"/>
        <w:spacing w:after="240"/>
      </w:pPr>
      <w:r>
        <w:t xml:space="preserve">The ACCC did not oppose the proposed acquisition, subject to an undertaking. </w:t>
      </w:r>
    </w:p>
    <w:p w:rsidR="00E922DC" w:rsidRPr="00867970" w:rsidRDefault="00E922DC" w:rsidP="00867970">
      <w:pPr>
        <w:pStyle w:val="Heading2"/>
      </w:pPr>
      <w:bookmarkStart w:id="12" w:name="_Toc459884749"/>
      <w:r w:rsidRPr="00867970">
        <w:t>Two-sided markets and network effects</w:t>
      </w:r>
      <w:bookmarkEnd w:id="12"/>
    </w:p>
    <w:p w:rsidR="004B3858" w:rsidRDefault="004B3858" w:rsidP="0019186D">
      <w:pPr>
        <w:pStyle w:val="Numberedparagraph"/>
      </w:pPr>
      <w:r>
        <w:t xml:space="preserve">A two-sided market is one in which a platform or intermediary brings together two distinct groups of users which interact with each other. Two-sided markets often arise in the context of </w:t>
      </w:r>
      <w:proofErr w:type="gramStart"/>
      <w:r>
        <w:t>services which</w:t>
      </w:r>
      <w:proofErr w:type="gramEnd"/>
      <w:r>
        <w:t xml:space="preserve"> generate revenue through advertising.</w:t>
      </w:r>
    </w:p>
    <w:p w:rsidR="00E922DC" w:rsidRDefault="00E922DC" w:rsidP="0019186D">
      <w:pPr>
        <w:pStyle w:val="Numberedparagraph"/>
      </w:pPr>
      <w:r>
        <w:t xml:space="preserve">Network effects are present in a market if the value a </w:t>
      </w:r>
      <w:r w:rsidR="004B3858">
        <w:t xml:space="preserve">user </w:t>
      </w:r>
      <w:r>
        <w:t xml:space="preserve">places on a product or service increases if there are more overall users of that product or service. For example, the benefit to an individual user from using a social networking site increases if all their friends also use that site. </w:t>
      </w:r>
    </w:p>
    <w:p w:rsidR="00E922DC" w:rsidRDefault="00E922DC" w:rsidP="0019186D">
      <w:pPr>
        <w:pStyle w:val="Numberedparagraph"/>
      </w:pPr>
      <w:r>
        <w:t xml:space="preserve">Some two-sided markets may experience strong network effects. For example, </w:t>
      </w:r>
      <w:r w:rsidR="00DE3C69">
        <w:t xml:space="preserve">readers </w:t>
      </w:r>
      <w:r>
        <w:t xml:space="preserve">will be more likely to </w:t>
      </w:r>
      <w:r w:rsidR="00DE3C69">
        <w:t xml:space="preserve">use a classified service if they consider it comprehensive and </w:t>
      </w:r>
      <w:proofErr w:type="gramStart"/>
      <w:r w:rsidR="00DE3C69">
        <w:t>has</w:t>
      </w:r>
      <w:proofErr w:type="gramEnd"/>
      <w:r w:rsidR="00DE3C69">
        <w:t xml:space="preserve"> the most classified </w:t>
      </w:r>
      <w:r>
        <w:t>ad</w:t>
      </w:r>
      <w:r w:rsidR="001B7297">
        <w:t>vertisement</w:t>
      </w:r>
      <w:r>
        <w:t>s</w:t>
      </w:r>
      <w:r w:rsidR="00DE3C69">
        <w:t>. If it obtains a high readership, this in turn attracts more advertisers.</w:t>
      </w:r>
      <w:r>
        <w:t xml:space="preserve"> </w:t>
      </w:r>
    </w:p>
    <w:p w:rsidR="00E922DC" w:rsidRDefault="00E922DC" w:rsidP="0019186D">
      <w:pPr>
        <w:pStyle w:val="Numberedparagraph"/>
      </w:pPr>
      <w:r>
        <w:t>Network effects can raise the barriers to entry and expansion and impede effective competition from developing.</w:t>
      </w:r>
      <w:r w:rsidRPr="00827CD4">
        <w:t xml:space="preserve"> </w:t>
      </w:r>
      <w:r>
        <w:t>In a market in which network effects are important, established suppliers may enjoy a first mover advantage and occupy a dominant position in a market that is enduring and difficult for new entrants to disrupt. This may result in highly concentrated markets and dominant firms with market power.</w:t>
      </w:r>
    </w:p>
    <w:p w:rsidR="00CB72E9" w:rsidRDefault="00CB72E9" w:rsidP="0019186D">
      <w:pPr>
        <w:pStyle w:val="Numberedparagraph"/>
      </w:pPr>
      <w:r>
        <w:lastRenderedPageBreak/>
        <w:t>By raising barriers to entry, network effects can be</w:t>
      </w:r>
      <w:r w:rsidR="00C46672">
        <w:t xml:space="preserve"> an</w:t>
      </w:r>
      <w:r>
        <w:t xml:space="preserve"> important</w:t>
      </w:r>
      <w:r w:rsidR="00C46672">
        <w:t xml:space="preserve"> factor</w:t>
      </w:r>
      <w:r>
        <w:t xml:space="preserve"> in assessing</w:t>
      </w:r>
      <w:r w:rsidR="004A537D">
        <w:t xml:space="preserve"> the likely competition effects of</w:t>
      </w:r>
      <w:r>
        <w:t xml:space="preserve"> media mergers. </w:t>
      </w:r>
    </w:p>
    <w:p w:rsidR="00324941" w:rsidRPr="0019186D" w:rsidRDefault="00293CA3" w:rsidP="0019186D">
      <w:pPr>
        <w:pStyle w:val="ListContinue2"/>
        <w:shd w:val="clear" w:color="auto" w:fill="F2F2F2" w:themeFill="background1" w:themeFillShade="F2"/>
        <w:rPr>
          <w:b/>
          <w:bCs/>
        </w:rPr>
      </w:pPr>
      <w:r w:rsidRPr="0019186D">
        <w:rPr>
          <w:b/>
          <w:bCs/>
        </w:rPr>
        <w:t>Example – Carsales.com Limited’s</w:t>
      </w:r>
      <w:r w:rsidR="00324941" w:rsidRPr="0019186D">
        <w:rPr>
          <w:b/>
          <w:bCs/>
        </w:rPr>
        <w:t xml:space="preserve"> proposed acquisition of interests associated with the Trading Post brand (2013)</w:t>
      </w:r>
    </w:p>
    <w:p w:rsidR="00324941" w:rsidRDefault="00324941" w:rsidP="0019186D">
      <w:pPr>
        <w:pStyle w:val="ListContinue2"/>
        <w:shd w:val="clear" w:color="auto" w:fill="F2F2F2" w:themeFill="background1" w:themeFillShade="F2"/>
      </w:pPr>
      <w:r>
        <w:t>Carsales and Trading Post both supplied online general merchandise and automotive classified advertising. Under the proposed transaction, Carsales would license the TradingPost.com.au brand and operate the website for a period, and then have the ability to acquire the brand at the end of that period.</w:t>
      </w:r>
    </w:p>
    <w:p w:rsidR="00C33C51" w:rsidRDefault="00C33C51" w:rsidP="0019186D">
      <w:pPr>
        <w:pStyle w:val="ListContinue2"/>
        <w:shd w:val="clear" w:color="auto" w:fill="F2F2F2" w:themeFill="background1" w:themeFillShade="F2"/>
      </w:pPr>
      <w:r>
        <w:t>Carsales was the largest online automotive classifieds business in Australia</w:t>
      </w:r>
      <w:r w:rsidR="00146A6F">
        <w:t xml:space="preserve">, based on audience share, inventory share and revenue share. Taking into account these measures, along with other confidential information available to the ACCC, the ACCC considered Trading Post to be one of Carsales’ closest and most effective competitors. </w:t>
      </w:r>
    </w:p>
    <w:p w:rsidR="00146A6F" w:rsidRDefault="00146A6F" w:rsidP="0019186D">
      <w:pPr>
        <w:pStyle w:val="ListContinue2"/>
        <w:shd w:val="clear" w:color="auto" w:fill="F2F2F2" w:themeFill="background1" w:themeFillShade="F2"/>
      </w:pPr>
      <w:r>
        <w:t xml:space="preserve">The ACCC found high barriers to entry and expansion into the relevant markets for the supply of classified advertising. In particular, the two sided nature of the markets and the associated network effects had important implications for the nature of competition within the markets, as well as ease of entry and expansion. In markets with network effects, new entrants face difficulties in achieving the necessary ‘critical </w:t>
      </w:r>
      <w:proofErr w:type="gramStart"/>
      <w:r>
        <w:t>mass’</w:t>
      </w:r>
      <w:proofErr w:type="gramEnd"/>
      <w:r>
        <w:t xml:space="preserve">. To overcome barriers arising from network effects, a new entrant would need to spend large amounts on marketing and brand awareness to attract both advertisers and consumers, and even this would not guarantee success. </w:t>
      </w:r>
    </w:p>
    <w:p w:rsidR="00324941" w:rsidRPr="00324941" w:rsidRDefault="00C33C51" w:rsidP="0019186D">
      <w:pPr>
        <w:pStyle w:val="ListContinue2"/>
        <w:shd w:val="clear" w:color="auto" w:fill="F2F2F2" w:themeFill="background1" w:themeFillShade="F2"/>
      </w:pPr>
      <w:r>
        <w:t xml:space="preserve">The ACCC opposed the acquisition, concluding that it would increase the already high barriers to entry for the supply of online automotive classified advertising. By adding significant inventory and audience to its websites, the acquisition would also reinforce the network effects or ‘virtuous cycle’ that Carsales enjoyed through having the largest inventory and audience in the market. </w:t>
      </w:r>
    </w:p>
    <w:p w:rsidR="00B334EF" w:rsidRDefault="00B4063C" w:rsidP="00100BC0">
      <w:pPr>
        <w:pStyle w:val="Heading2"/>
      </w:pPr>
      <w:bookmarkStart w:id="13" w:name="_Toc459884750"/>
      <w:r>
        <w:rPr>
          <w:rFonts w:eastAsia="Times New Roman"/>
        </w:rPr>
        <w:t>Bundling and foreclosure</w:t>
      </w:r>
      <w:bookmarkEnd w:id="13"/>
    </w:p>
    <w:p w:rsidR="004A537D" w:rsidRDefault="004A537D" w:rsidP="0019186D">
      <w:pPr>
        <w:pStyle w:val="Numberedparagraph"/>
      </w:pPr>
      <w:r w:rsidRPr="00867970">
        <w:rPr>
          <w:rStyle w:val="Strong"/>
        </w:rPr>
        <w:t xml:space="preserve">Bundling </w:t>
      </w:r>
      <w:r w:rsidR="0053567C">
        <w:t xml:space="preserve">(or </w:t>
      </w:r>
      <w:r w:rsidR="0053567C" w:rsidRPr="00867970">
        <w:rPr>
          <w:rStyle w:val="Strong"/>
        </w:rPr>
        <w:t>tying</w:t>
      </w:r>
      <w:r w:rsidR="0053567C">
        <w:t xml:space="preserve">) </w:t>
      </w:r>
      <w:r>
        <w:t xml:space="preserve">refers to </w:t>
      </w:r>
      <w:r w:rsidR="0053567C">
        <w:t xml:space="preserve">the practice of supplying or offering to supply complementary products as a package. </w:t>
      </w:r>
    </w:p>
    <w:p w:rsidR="004A537D" w:rsidRDefault="004A537D" w:rsidP="0019186D">
      <w:pPr>
        <w:pStyle w:val="Numberedparagraph"/>
      </w:pPr>
      <w:r w:rsidRPr="00867970">
        <w:rPr>
          <w:rStyle w:val="Strong"/>
        </w:rPr>
        <w:t>Foreclosure</w:t>
      </w:r>
      <w:r>
        <w:t xml:space="preserve"> refers to </w:t>
      </w:r>
      <w:r w:rsidR="0053567C">
        <w:t>strategies a vertically integrated firm might adopt by which it uses its position in one market to foreclose rivals in another market. For example, it may raise prices or limit access for downstream competitors to an important input</w:t>
      </w:r>
      <w:r w:rsidR="00E508A9">
        <w:t xml:space="preserve">, or </w:t>
      </w:r>
      <w:r w:rsidR="0053567C">
        <w:t xml:space="preserve">raise the cost or limit access to a sufficient customer base for upstream competitors. </w:t>
      </w:r>
    </w:p>
    <w:p w:rsidR="00F20457" w:rsidRDefault="00F20457" w:rsidP="0019186D">
      <w:pPr>
        <w:pStyle w:val="Numberedparagraph"/>
      </w:pPr>
      <w:r>
        <w:t xml:space="preserve">The ACCC will closely examine any </w:t>
      </w:r>
      <w:r w:rsidR="00E266C0">
        <w:t xml:space="preserve">media </w:t>
      </w:r>
      <w:r>
        <w:t xml:space="preserve">merger that enables the merged entity to leverage its market power in one market </w:t>
      </w:r>
      <w:proofErr w:type="gramStart"/>
      <w:r>
        <w:t>to substantially lessen</w:t>
      </w:r>
      <w:proofErr w:type="gramEnd"/>
      <w:r>
        <w:t xml:space="preserve"> competition in another market. For example, a </w:t>
      </w:r>
      <w:r w:rsidR="0053567C">
        <w:t xml:space="preserve">vertical </w:t>
      </w:r>
      <w:r>
        <w:t>merger between a content</w:t>
      </w:r>
      <w:r w:rsidR="0053567C">
        <w:t xml:space="preserve"> </w:t>
      </w:r>
      <w:r>
        <w:t xml:space="preserve">supplier that produces premium content </w:t>
      </w:r>
      <w:r w:rsidR="0053567C">
        <w:t xml:space="preserve">and </w:t>
      </w:r>
      <w:r>
        <w:t>a free-to-air network may raise competition concerns if rival networks or competitors on other platforms need access to th</w:t>
      </w:r>
      <w:r w:rsidR="0038230D">
        <w:t>e</w:t>
      </w:r>
      <w:r>
        <w:t xml:space="preserve"> premium content in order to compete effectively. </w:t>
      </w:r>
      <w:r w:rsidR="00202761">
        <w:t>The ACCC is only concerned where these strategies are likely to have the effect of substantially lessening competition.</w:t>
      </w:r>
    </w:p>
    <w:p w:rsidR="00D56B96" w:rsidRDefault="006C27CE" w:rsidP="0019186D">
      <w:pPr>
        <w:pStyle w:val="Numberedparagraph"/>
      </w:pPr>
      <w:r>
        <w:t xml:space="preserve">Cross-platform media mergers may provide the merged entity with the opportunity to bundle </w:t>
      </w:r>
      <w:r w:rsidR="00D56B96">
        <w:t xml:space="preserve">or tie </w:t>
      </w:r>
      <w:r>
        <w:t xml:space="preserve">the supply of products and services across multiple platforms. </w:t>
      </w:r>
    </w:p>
    <w:p w:rsidR="00D56B96" w:rsidRDefault="006C27CE" w:rsidP="0019186D">
      <w:pPr>
        <w:pStyle w:val="Numberedparagraph"/>
      </w:pPr>
      <w:r>
        <w:t xml:space="preserve">In some cases, competition concerns can arise where </w:t>
      </w:r>
      <w:r w:rsidR="00D56B96">
        <w:t>a merger facilit</w:t>
      </w:r>
      <w:r w:rsidR="00023781">
        <w:t>ates</w:t>
      </w:r>
      <w:r w:rsidR="00D56B96">
        <w:t xml:space="preserve"> bundling or tying of </w:t>
      </w:r>
      <w:proofErr w:type="gramStart"/>
      <w:r w:rsidR="00D56B96">
        <w:t>products which</w:t>
      </w:r>
      <w:proofErr w:type="gramEnd"/>
      <w:r w:rsidR="00D56B96">
        <w:t xml:space="preserve"> </w:t>
      </w:r>
      <w:r>
        <w:t>results in the foreclosure of the merged firm’s rivals. For example</w:t>
      </w:r>
      <w:r w:rsidR="00D56B96">
        <w:t>, where a bundle contains a product (</w:t>
      </w:r>
      <w:r w:rsidR="00C46672">
        <w:t>such as</w:t>
      </w:r>
      <w:r w:rsidR="00D56B96">
        <w:t xml:space="preserve"> key content) which </w:t>
      </w:r>
      <w:proofErr w:type="gramStart"/>
      <w:r w:rsidR="00D56B96">
        <w:t>cannot be purchased or used separately,</w:t>
      </w:r>
      <w:proofErr w:type="gramEnd"/>
      <w:r w:rsidR="00D56B96">
        <w:t xml:space="preserve"> the access of rivals to a sufficient customer base may be hindered or in some cases denied altogether.</w:t>
      </w:r>
    </w:p>
    <w:p w:rsidR="0053567C" w:rsidRDefault="0053567C" w:rsidP="0019186D">
      <w:pPr>
        <w:pStyle w:val="Numberedparagraph"/>
        <w:spacing w:after="240"/>
      </w:pPr>
      <w:r>
        <w:lastRenderedPageBreak/>
        <w:t xml:space="preserve">Bundling and foreclosure may also raise competition concerns under other provisions of the </w:t>
      </w:r>
      <w:r w:rsidR="007B7722" w:rsidRPr="0019186D">
        <w:rPr>
          <w:rStyle w:val="Emphasis"/>
        </w:rPr>
        <w:t>Competition and Consumer Act 2010</w:t>
      </w:r>
      <w:r>
        <w:t>.</w:t>
      </w:r>
    </w:p>
    <w:p w:rsidR="009352E7" w:rsidRPr="0019186D" w:rsidRDefault="00023781" w:rsidP="0019186D">
      <w:pPr>
        <w:pStyle w:val="ListContinue2"/>
        <w:shd w:val="clear" w:color="auto" w:fill="F2F2F2" w:themeFill="background1" w:themeFillShade="F2"/>
        <w:rPr>
          <w:rStyle w:val="Strong"/>
        </w:rPr>
      </w:pPr>
      <w:r w:rsidRPr="0019186D">
        <w:rPr>
          <w:rStyle w:val="Strong"/>
        </w:rPr>
        <w:t xml:space="preserve">Example – </w:t>
      </w:r>
      <w:r w:rsidR="00A4284E" w:rsidRPr="0019186D">
        <w:rPr>
          <w:rStyle w:val="Strong"/>
        </w:rPr>
        <w:t>Foxtel’s prop</w:t>
      </w:r>
      <w:r w:rsidR="00602D27" w:rsidRPr="0019186D">
        <w:rPr>
          <w:rStyle w:val="Strong"/>
        </w:rPr>
        <w:t>osed acquisition of Austar (2012</w:t>
      </w:r>
      <w:r w:rsidR="00A4284E" w:rsidRPr="0019186D">
        <w:rPr>
          <w:rStyle w:val="Strong"/>
        </w:rPr>
        <w:t>)</w:t>
      </w:r>
      <w:r w:rsidR="00202761" w:rsidRPr="0019186D">
        <w:rPr>
          <w:rStyle w:val="Strong"/>
        </w:rPr>
        <w:t xml:space="preserve"> </w:t>
      </w:r>
    </w:p>
    <w:p w:rsidR="00602D27" w:rsidRDefault="00602D27" w:rsidP="0019186D">
      <w:pPr>
        <w:pStyle w:val="ListContinue2"/>
        <w:shd w:val="clear" w:color="auto" w:fill="F2F2F2" w:themeFill="background1" w:themeFillShade="F2"/>
      </w:pPr>
      <w:r w:rsidRPr="00C17688">
        <w:t xml:space="preserve">In assessing the likely competition effects of the proposed acquisition, the ACCC looked closely at the position of Telstra Corporation, which owned a 50% shareholding in Foxtel. Telstra was also a major wholesale and retail supplier of </w:t>
      </w:r>
      <w:r w:rsidR="006B036A">
        <w:t xml:space="preserve">fixed and mobile </w:t>
      </w:r>
      <w:r w:rsidRPr="00C17688">
        <w:t>tele</w:t>
      </w:r>
      <w:r w:rsidR="006B036A">
        <w:t>phony, data and internet</w:t>
      </w:r>
      <w:r w:rsidRPr="00C17688">
        <w:t xml:space="preserve"> services</w:t>
      </w:r>
      <w:r w:rsidR="006B036A">
        <w:t xml:space="preserve">. </w:t>
      </w:r>
      <w:r>
        <w:t xml:space="preserve">In addition, Foxtel and Telstra had </w:t>
      </w:r>
      <w:r w:rsidR="006B036A">
        <w:t xml:space="preserve">an agreement for Foxtel </w:t>
      </w:r>
      <w:r>
        <w:t xml:space="preserve">to provide </w:t>
      </w:r>
      <w:r w:rsidR="006B036A">
        <w:t xml:space="preserve">its </w:t>
      </w:r>
      <w:r>
        <w:t xml:space="preserve">content on the Telstra T-Box (a digital set top box) by way of IPTV </w:t>
      </w:r>
      <w:r w:rsidR="006B036A">
        <w:t>to end consumers.</w:t>
      </w:r>
      <w:r>
        <w:t xml:space="preserve"> </w:t>
      </w:r>
    </w:p>
    <w:p w:rsidR="00AA683B" w:rsidRDefault="00AA683B" w:rsidP="0019186D">
      <w:pPr>
        <w:pStyle w:val="ListContinue2"/>
        <w:shd w:val="clear" w:color="auto" w:fill="F2F2F2" w:themeFill="background1" w:themeFillShade="F2"/>
      </w:pPr>
      <w:r>
        <w:t xml:space="preserve">The ACCC investigated whether Telstra was likely to be able to leverage its relationship with Foxtel to provide a bundle of services including telecommunications services and subscription television, to the detriment of competition in telecommunications markets. The ACCC considered that as telecommunications networks and IPTV continued to develop, it </w:t>
      </w:r>
      <w:r w:rsidR="004B3858">
        <w:t>was</w:t>
      </w:r>
      <w:r>
        <w:t xml:space="preserve"> likely that it would become increasingly important for </w:t>
      </w:r>
      <w:proofErr w:type="gramStart"/>
      <w:r>
        <w:t>retail telecommunications service providers</w:t>
      </w:r>
      <w:proofErr w:type="gramEnd"/>
      <w:r>
        <w:t xml:space="preserve"> to be able to offer consumers bundles comprised of subscription television content with fixed voice and broadband services.</w:t>
      </w:r>
    </w:p>
    <w:p w:rsidR="00602D27" w:rsidRDefault="00602D27" w:rsidP="0019186D">
      <w:pPr>
        <w:pStyle w:val="ListContinue2"/>
        <w:shd w:val="clear" w:color="auto" w:fill="F2F2F2" w:themeFill="background1" w:themeFillShade="F2"/>
      </w:pPr>
      <w:r>
        <w:t xml:space="preserve">The ACCC considered that if the proposed acquisition proceeded, Telstra’s </w:t>
      </w:r>
      <w:r w:rsidR="0053567C">
        <w:t>interest in a</w:t>
      </w:r>
      <w:r>
        <w:t xml:space="preserve"> combined Foxtel-Austar would be likely to limit the development of competition in </w:t>
      </w:r>
      <w:r w:rsidR="00AA683B">
        <w:t xml:space="preserve">telecommunications </w:t>
      </w:r>
      <w:r>
        <w:t>markets for the supply of fixed broadband and fixed voice services; and Telstra, by virtue of its shareholding in Foxtel</w:t>
      </w:r>
      <w:r w:rsidR="0053567C">
        <w:t>-Austar</w:t>
      </w:r>
      <w:r>
        <w:t xml:space="preserve">, would be likely to obtain preferential access to audio-visual content from the merged entity. </w:t>
      </w:r>
    </w:p>
    <w:p w:rsidR="006B036A" w:rsidRDefault="006B036A" w:rsidP="0019186D">
      <w:pPr>
        <w:pStyle w:val="ListContinue2"/>
        <w:shd w:val="clear" w:color="auto" w:fill="F2F2F2" w:themeFill="background1" w:themeFillShade="F2"/>
      </w:pPr>
      <w:proofErr w:type="gramStart"/>
      <w:r>
        <w:t xml:space="preserve">The ACCC was </w:t>
      </w:r>
      <w:r w:rsidR="00AA683B">
        <w:t xml:space="preserve">also </w:t>
      </w:r>
      <w:r>
        <w:t xml:space="preserve">concerned that the merged entity might be able to leverage its substantial customer base in the national market for the retail supply of </w:t>
      </w:r>
      <w:proofErr w:type="spellStart"/>
      <w:r>
        <w:t>pay-TV</w:t>
      </w:r>
      <w:proofErr w:type="spellEnd"/>
      <w:r>
        <w:t xml:space="preserve"> services to acquire content rights on an exclusive basis, and consequently constrain competitive entry or expansion by other parties on other emerging platforms</w:t>
      </w:r>
      <w:proofErr w:type="gramEnd"/>
      <w:r>
        <w:t>.</w:t>
      </w:r>
    </w:p>
    <w:p w:rsidR="000F4947" w:rsidRDefault="000F4947" w:rsidP="0019186D">
      <w:pPr>
        <w:pStyle w:val="ListContinue2"/>
        <w:shd w:val="clear" w:color="auto" w:fill="F2F2F2" w:themeFill="background1" w:themeFillShade="F2"/>
      </w:pPr>
      <w:r>
        <w:t xml:space="preserve">The ACCC did not oppose the proposed acquisition, subject to an undertaking. </w:t>
      </w:r>
    </w:p>
    <w:p w:rsidR="007A0FFE" w:rsidRPr="00867970" w:rsidRDefault="007A0FFE" w:rsidP="00867970">
      <w:pPr>
        <w:pStyle w:val="Heading2"/>
      </w:pPr>
      <w:bookmarkStart w:id="14" w:name="_Toc459884751"/>
      <w:r w:rsidRPr="00867970">
        <w:t>Minority shareholdings</w:t>
      </w:r>
      <w:bookmarkEnd w:id="14"/>
    </w:p>
    <w:p w:rsidR="007A0FFE" w:rsidRDefault="008D1569" w:rsidP="0019186D">
      <w:pPr>
        <w:pStyle w:val="Numberedparagraph"/>
      </w:pPr>
      <w:r w:rsidRPr="00C17688">
        <w:t xml:space="preserve">The ACCC approaches its competition assessment of mergers involving </w:t>
      </w:r>
      <w:r w:rsidR="006B036A">
        <w:t xml:space="preserve">the acquisition </w:t>
      </w:r>
      <w:r w:rsidR="0038230D">
        <w:t xml:space="preserve">by one party </w:t>
      </w:r>
      <w:r w:rsidR="006B036A">
        <w:t xml:space="preserve">of a controlling interest in another company in the same way as an acquisition of all the shares of the target company. While a majority shareholding </w:t>
      </w:r>
      <w:proofErr w:type="gramStart"/>
      <w:r w:rsidR="006B036A">
        <w:t>would in many cases ensure</w:t>
      </w:r>
      <w:proofErr w:type="gramEnd"/>
      <w:r w:rsidR="006B036A">
        <w:t xml:space="preserve"> control, much lower shareholdings might also be sufficient. In some circumstances, a </w:t>
      </w:r>
      <w:r w:rsidR="00AA683B">
        <w:t>minority shareholding that does not reach the level of control</w:t>
      </w:r>
      <w:r w:rsidR="006B036A">
        <w:t xml:space="preserve"> may</w:t>
      </w:r>
      <w:r w:rsidR="00B60383">
        <w:t xml:space="preserve"> also be</w:t>
      </w:r>
      <w:r w:rsidR="006B036A">
        <w:t xml:space="preserve"> of concern.</w:t>
      </w:r>
    </w:p>
    <w:p w:rsidR="00504DCE" w:rsidRDefault="006B036A" w:rsidP="0019186D">
      <w:pPr>
        <w:pStyle w:val="Numberedparagraph"/>
      </w:pPr>
      <w:r>
        <w:t>The</w:t>
      </w:r>
      <w:r w:rsidR="008D1569" w:rsidRPr="00C17688">
        <w:t xml:space="preserve"> ACCC</w:t>
      </w:r>
      <w:r>
        <w:t xml:space="preserve">’s </w:t>
      </w:r>
      <w:r w:rsidRPr="0019186D">
        <w:rPr>
          <w:rStyle w:val="Emphasis"/>
        </w:rPr>
        <w:t>Merger Guidelines</w:t>
      </w:r>
      <w:r>
        <w:t xml:space="preserve"> provide more details on </w:t>
      </w:r>
      <w:r w:rsidR="008D1569" w:rsidRPr="00C17688">
        <w:t xml:space="preserve">factors </w:t>
      </w:r>
      <w:r>
        <w:t xml:space="preserve">the ACCC may consider in determining whether a </w:t>
      </w:r>
      <w:r w:rsidR="00AA683B">
        <w:t xml:space="preserve">minority </w:t>
      </w:r>
      <w:r>
        <w:t xml:space="preserve">acquisition may give rise to a contravention of section 50 of the Act. These </w:t>
      </w:r>
      <w:r w:rsidRPr="006B036A">
        <w:t>includ</w:t>
      </w:r>
      <w:r>
        <w:t>e</w:t>
      </w:r>
      <w:r w:rsidR="008D1569" w:rsidRPr="00C17688">
        <w:t xml:space="preserve"> the size and significance of the proposed shareholding and the </w:t>
      </w:r>
      <w:r>
        <w:t>appointment of</w:t>
      </w:r>
      <w:r w:rsidR="008D1569" w:rsidRPr="00C17688">
        <w:t xml:space="preserve"> directors to the target</w:t>
      </w:r>
      <w:r w:rsidR="008D1569">
        <w:t xml:space="preserve"> firm</w:t>
      </w:r>
      <w:r w:rsidR="008D1569" w:rsidRPr="00C17688">
        <w:t xml:space="preserve">’s board. </w:t>
      </w:r>
    </w:p>
    <w:p w:rsidR="0019186D" w:rsidRDefault="0019186D">
      <w:pPr>
        <w:rPr>
          <w:rStyle w:val="Strong"/>
          <w:rFonts w:eastAsia="Times New Roman" w:cs="Times New Roman"/>
          <w:szCs w:val="20"/>
        </w:rPr>
      </w:pPr>
      <w:r>
        <w:rPr>
          <w:rStyle w:val="Strong"/>
        </w:rPr>
        <w:br w:type="page"/>
      </w:r>
    </w:p>
    <w:p w:rsidR="007A0FFE" w:rsidRPr="009F6C04" w:rsidRDefault="007A0FFE" w:rsidP="009F6C04">
      <w:pPr>
        <w:pStyle w:val="ListContinue2"/>
        <w:shd w:val="clear" w:color="auto" w:fill="F2F2F2" w:themeFill="background1" w:themeFillShade="F2"/>
        <w:rPr>
          <w:rStyle w:val="Strong"/>
        </w:rPr>
      </w:pPr>
      <w:r w:rsidRPr="009F6C04">
        <w:rPr>
          <w:rStyle w:val="Strong"/>
        </w:rPr>
        <w:lastRenderedPageBreak/>
        <w:t>Example – Foxtel and Ten</w:t>
      </w:r>
      <w:r w:rsidR="00374A83" w:rsidRPr="009F6C04">
        <w:rPr>
          <w:rStyle w:val="Strong"/>
        </w:rPr>
        <w:t xml:space="preserve"> Network</w:t>
      </w:r>
      <w:r w:rsidRPr="009F6C04">
        <w:rPr>
          <w:rStyle w:val="Strong"/>
        </w:rPr>
        <w:t>’s proposed minority acquisitions of Ten, MCN and Presto (2015)</w:t>
      </w:r>
    </w:p>
    <w:p w:rsidR="007A0FFE" w:rsidRPr="00B06ED4" w:rsidRDefault="007A0FFE" w:rsidP="009F6C04">
      <w:pPr>
        <w:pStyle w:val="ListContinue2"/>
        <w:shd w:val="clear" w:color="auto" w:fill="F2F2F2" w:themeFill="background1" w:themeFillShade="F2"/>
      </w:pPr>
      <w:r w:rsidRPr="00B06ED4">
        <w:t xml:space="preserve">Foxtel proposed to acquire up to 15% of </w:t>
      </w:r>
      <w:proofErr w:type="gramStart"/>
      <w:r w:rsidRPr="00B06ED4">
        <w:t>Ten</w:t>
      </w:r>
      <w:proofErr w:type="gramEnd"/>
      <w:r w:rsidRPr="00B06ED4">
        <w:t xml:space="preserve"> while Ten proposed to acquire a 24.99% stake in MCN, a supplier of advertising opportunities on subscription television channels. Ten also had an option to acquire 10% of Presto TV, a joint venture between Foxtel and Seven West Media.</w:t>
      </w:r>
    </w:p>
    <w:p w:rsidR="007A0FFE" w:rsidRPr="00B06ED4" w:rsidRDefault="00A02C2E" w:rsidP="009F6C04">
      <w:pPr>
        <w:pStyle w:val="ListContinue2"/>
        <w:shd w:val="clear" w:color="auto" w:fill="F2F2F2" w:themeFill="background1" w:themeFillShade="F2"/>
      </w:pPr>
      <w:r>
        <w:t>The ACCC</w:t>
      </w:r>
      <w:r w:rsidR="007A0FFE" w:rsidRPr="00B06ED4">
        <w:t xml:space="preserve"> considered</w:t>
      </w:r>
      <w:r>
        <w:t xml:space="preserve">, </w:t>
      </w:r>
      <w:r w:rsidR="007A0FFE" w:rsidRPr="00B06ED4">
        <w:t>among other issues</w:t>
      </w:r>
      <w:r>
        <w:t>,</w:t>
      </w:r>
      <w:r w:rsidR="007A0FFE" w:rsidRPr="00B06ED4">
        <w:t xml:space="preserve"> the extent to which the proposed acquisitions would result </w:t>
      </w:r>
      <w:r w:rsidR="00B60383">
        <w:t xml:space="preserve">in </w:t>
      </w:r>
      <w:r w:rsidR="007A0FFE" w:rsidRPr="00B06ED4">
        <w:t>Foxtel</w:t>
      </w:r>
      <w:r>
        <w:t xml:space="preserve"> being able</w:t>
      </w:r>
      <w:r w:rsidR="007A0FFE" w:rsidRPr="00B06ED4">
        <w:t xml:space="preserve"> to influence Ten’s </w:t>
      </w:r>
      <w:proofErr w:type="gramStart"/>
      <w:r w:rsidR="007A0FFE" w:rsidRPr="00B06ED4">
        <w:t>decision making</w:t>
      </w:r>
      <w:proofErr w:type="gramEnd"/>
      <w:r>
        <w:t>,</w:t>
      </w:r>
      <w:r w:rsidR="007A0FFE" w:rsidRPr="00B06ED4">
        <w:t xml:space="preserve"> or in an alignment of incentives between Foxtel, Ten, MCN and Presto.</w:t>
      </w:r>
    </w:p>
    <w:p w:rsidR="00A02C2E" w:rsidRDefault="00A02C2E" w:rsidP="009F6C04">
      <w:pPr>
        <w:pStyle w:val="ListContinue2"/>
        <w:shd w:val="clear" w:color="auto" w:fill="F2F2F2" w:themeFill="background1" w:themeFillShade="F2"/>
      </w:pPr>
      <w:r>
        <w:t>In considering</w:t>
      </w:r>
      <w:r w:rsidR="007A0FFE" w:rsidRPr="00B06ED4">
        <w:t xml:space="preserve"> </w:t>
      </w:r>
      <w:r>
        <w:t>whether</w:t>
      </w:r>
      <w:r w:rsidR="007A0FFE" w:rsidRPr="00B06ED4">
        <w:t xml:space="preserve"> Foxtel’s acquisition of </w:t>
      </w:r>
      <w:r w:rsidR="00B60383">
        <w:t>a minority shareholding</w:t>
      </w:r>
      <w:r w:rsidR="007A0FFE" w:rsidRPr="00B06ED4">
        <w:t xml:space="preserve"> would enable </w:t>
      </w:r>
      <w:r w:rsidR="00B60383">
        <w:t xml:space="preserve">it </w:t>
      </w:r>
      <w:r w:rsidR="007A0FFE" w:rsidRPr="00B06ED4">
        <w:t>to exercise an increased degree of influence over Ten</w:t>
      </w:r>
      <w:r>
        <w:t xml:space="preserve">, the ACCC looked at </w:t>
      </w:r>
      <w:r w:rsidR="007A0FFE" w:rsidRPr="00B06ED4">
        <w:t>a range of factors including</w:t>
      </w:r>
      <w:r>
        <w:t xml:space="preserve"> the significance of the size of Foxtel’s investment, Foxtel’s right to appoint </w:t>
      </w:r>
      <w:r w:rsidR="004B3858">
        <w:t xml:space="preserve">directors </w:t>
      </w:r>
      <w:r>
        <w:t xml:space="preserve">to the Ten board, </w:t>
      </w:r>
      <w:r w:rsidR="000F4947">
        <w:t xml:space="preserve">and </w:t>
      </w:r>
      <w:r>
        <w:t>the composition of the rest of the board</w:t>
      </w:r>
      <w:r w:rsidR="000F4947">
        <w:t>.</w:t>
      </w:r>
    </w:p>
    <w:p w:rsidR="007A0FFE" w:rsidRDefault="007A0FFE" w:rsidP="009F6C04">
      <w:pPr>
        <w:pStyle w:val="ListContinue2"/>
        <w:shd w:val="clear" w:color="auto" w:fill="F2F2F2" w:themeFill="background1" w:themeFillShade="F2"/>
      </w:pPr>
      <w:r w:rsidRPr="00B06ED4">
        <w:t>The ACCC</w:t>
      </w:r>
      <w:r w:rsidR="00A02C2E">
        <w:t xml:space="preserve"> also looked at whether </w:t>
      </w:r>
      <w:r w:rsidRPr="00B06ED4">
        <w:t>the proposed acquisitions would lead to a greater alignment of the interests of Foxtel and Ten</w:t>
      </w:r>
      <w:r w:rsidR="00B60383">
        <w:t>, thereby altering their incentives</w:t>
      </w:r>
      <w:r w:rsidRPr="00B06ED4">
        <w:t xml:space="preserve">, </w:t>
      </w:r>
      <w:r w:rsidR="00A02C2E">
        <w:t>but concluded that</w:t>
      </w:r>
      <w:r w:rsidRPr="00B06ED4">
        <w:t xml:space="preserve"> the proposed acquisitions</w:t>
      </w:r>
      <w:r w:rsidR="00B60383">
        <w:t xml:space="preserve"> </w:t>
      </w:r>
      <w:r w:rsidRPr="00B06ED4">
        <w:t xml:space="preserve">were unlikely to result in a substantial lessening of competition. </w:t>
      </w:r>
    </w:p>
    <w:p w:rsidR="000F4947" w:rsidRPr="00B06ED4" w:rsidRDefault="000F4947" w:rsidP="009F6C04">
      <w:pPr>
        <w:pStyle w:val="ListContinue2"/>
        <w:shd w:val="clear" w:color="auto" w:fill="F2F2F2" w:themeFill="background1" w:themeFillShade="F2"/>
      </w:pPr>
      <w:r>
        <w:t xml:space="preserve">The ACCC did not oppose the proposed acquisition. </w:t>
      </w:r>
    </w:p>
    <w:p w:rsidR="00504DCE" w:rsidRPr="001428AF" w:rsidRDefault="00504DCE" w:rsidP="001428AF">
      <w:r w:rsidRPr="001428AF">
        <w:br w:type="page"/>
      </w:r>
    </w:p>
    <w:p w:rsidR="00A4284E" w:rsidRPr="00A176F6" w:rsidRDefault="00A4284E" w:rsidP="00A176F6">
      <w:pPr>
        <w:pStyle w:val="Heading1"/>
        <w:rPr>
          <w:rFonts w:eastAsia="Times New Roman"/>
        </w:rPr>
      </w:pPr>
      <w:bookmarkStart w:id="15" w:name="_Toc459884752"/>
      <w:r w:rsidRPr="00A176F6">
        <w:rPr>
          <w:rFonts w:eastAsia="Times New Roman"/>
        </w:rPr>
        <w:lastRenderedPageBreak/>
        <w:t>Engaging with the ACCC</w:t>
      </w:r>
      <w:bookmarkEnd w:id="15"/>
    </w:p>
    <w:p w:rsidR="00146587" w:rsidRDefault="00A4284E" w:rsidP="0019186D">
      <w:pPr>
        <w:pStyle w:val="Numberedparagraph"/>
      </w:pPr>
      <w:r>
        <w:t>M</w:t>
      </w:r>
      <w:r w:rsidR="00146587">
        <w:t xml:space="preserve">erger parties are encouraged to consult with the ACCC well before completing a </w:t>
      </w:r>
      <w:proofErr w:type="gramStart"/>
      <w:r w:rsidR="00146587">
        <w:t>merger which</w:t>
      </w:r>
      <w:proofErr w:type="gramEnd"/>
      <w:r w:rsidR="00146587">
        <w:t xml:space="preserve"> is likely to fall within the notification threshold set out in the ACCC’s </w:t>
      </w:r>
      <w:r w:rsidR="00B60383" w:rsidRPr="0019186D">
        <w:rPr>
          <w:rStyle w:val="Emphasis"/>
        </w:rPr>
        <w:t xml:space="preserve">Informal </w:t>
      </w:r>
      <w:r w:rsidR="00146587" w:rsidRPr="0019186D">
        <w:rPr>
          <w:rStyle w:val="Emphasis"/>
        </w:rPr>
        <w:t>Merger Review Process Guidelines</w:t>
      </w:r>
      <w:r w:rsidR="00146587">
        <w:t xml:space="preserve">.  </w:t>
      </w:r>
    </w:p>
    <w:p w:rsidR="00A4284E" w:rsidRDefault="00146587" w:rsidP="0019186D">
      <w:pPr>
        <w:pStyle w:val="Numberedparagraph"/>
      </w:pPr>
      <w:r>
        <w:t xml:space="preserve">Where a proposed merger </w:t>
      </w:r>
      <w:proofErr w:type="gramStart"/>
      <w:r>
        <w:t>is notified</w:t>
      </w:r>
      <w:proofErr w:type="gramEnd"/>
      <w:r>
        <w:t xml:space="preserve"> to the Foreign Investment Review Board (FIRB) and competition concerns may be relevant to that proposal, FIRB will con</w:t>
      </w:r>
      <w:r w:rsidR="00B60383">
        <w:t xml:space="preserve">sult with the ACCC. </w:t>
      </w:r>
    </w:p>
    <w:p w:rsidR="00A4284E" w:rsidRDefault="00146587" w:rsidP="0019186D">
      <w:pPr>
        <w:pStyle w:val="Numberedparagraph"/>
      </w:pPr>
      <w:r>
        <w:t xml:space="preserve">The ACCC may also liaise with other relevant government agencies. In the case of media mergers, this may include the Australian Communications and Media Authority (ACMA). </w:t>
      </w:r>
    </w:p>
    <w:p w:rsidR="007C34CB" w:rsidRPr="00926CD5" w:rsidRDefault="00320021" w:rsidP="00A4284E">
      <w:pPr>
        <w:pStyle w:val="Heading2"/>
      </w:pPr>
      <w:bookmarkStart w:id="16" w:name="_Toc459884753"/>
      <w:r w:rsidRPr="00926CD5">
        <w:t>Potential for remedies</w:t>
      </w:r>
      <w:bookmarkEnd w:id="16"/>
    </w:p>
    <w:p w:rsidR="00C9488C" w:rsidRDefault="00874410" w:rsidP="0019186D">
      <w:pPr>
        <w:pStyle w:val="Numberedparagraph"/>
      </w:pPr>
      <w:r w:rsidRPr="00926CD5">
        <w:t xml:space="preserve">In some cases, merger parties can </w:t>
      </w:r>
      <w:r w:rsidR="00CF3462">
        <w:t>offer</w:t>
      </w:r>
      <w:r w:rsidR="00CF3462" w:rsidRPr="00926CD5">
        <w:t xml:space="preserve"> </w:t>
      </w:r>
      <w:r w:rsidRPr="00926CD5">
        <w:t>the ACCC a court enforceable undertaking under s</w:t>
      </w:r>
      <w:r w:rsidR="00C46672">
        <w:t>ection</w:t>
      </w:r>
      <w:r w:rsidRPr="00926CD5">
        <w:t xml:space="preserve"> 87B of the Act to implement structural, behavioural or other measures that </w:t>
      </w:r>
      <w:r w:rsidR="00122ED3">
        <w:t>address</w:t>
      </w:r>
      <w:r w:rsidR="00122ED3" w:rsidRPr="00926CD5">
        <w:t xml:space="preserve"> </w:t>
      </w:r>
      <w:r w:rsidRPr="00926CD5">
        <w:t xml:space="preserve">the competition concerns identified by the ACCC. Undertakings of this type </w:t>
      </w:r>
      <w:proofErr w:type="gramStart"/>
      <w:r w:rsidRPr="00926CD5">
        <w:t>are also referred</w:t>
      </w:r>
      <w:proofErr w:type="gramEnd"/>
      <w:r w:rsidRPr="00926CD5">
        <w:t xml:space="preserve"> to as ‘remedies.’ </w:t>
      </w:r>
    </w:p>
    <w:p w:rsidR="00CF3462" w:rsidRDefault="00CF3462" w:rsidP="0019186D">
      <w:pPr>
        <w:pStyle w:val="Numberedparagraph"/>
      </w:pPr>
      <w:r>
        <w:t xml:space="preserve">Merger parties are encouraged to discuss the form and content of an undertaking with the ACCC before the document is prepared. The </w:t>
      </w:r>
      <w:r w:rsidRPr="0019186D">
        <w:rPr>
          <w:rStyle w:val="Emphasis"/>
        </w:rPr>
        <w:t>Merger Guidelines</w:t>
      </w:r>
      <w:r>
        <w:t xml:space="preserve"> provide guidance on the types of undertakings the ACCC accepts, but as a general </w:t>
      </w:r>
      <w:proofErr w:type="gramStart"/>
      <w:r>
        <w:t>principle</w:t>
      </w:r>
      <w:proofErr w:type="gramEnd"/>
      <w:r>
        <w:t xml:space="preserve"> the ACCC </w:t>
      </w:r>
      <w:r w:rsidR="000F4947">
        <w:t xml:space="preserve">is more likely to accept </w:t>
      </w:r>
      <w:r>
        <w:t xml:space="preserve">structural </w:t>
      </w:r>
      <w:r w:rsidR="00146587">
        <w:t>remedies</w:t>
      </w:r>
      <w:r>
        <w:t xml:space="preserve"> over behavioural </w:t>
      </w:r>
      <w:r w:rsidR="00146587">
        <w:t>remedies</w:t>
      </w:r>
      <w:r w:rsidR="00DE4B1B">
        <w:t xml:space="preserve"> to resolve its competition concerns</w:t>
      </w:r>
      <w:r>
        <w:t xml:space="preserve">. </w:t>
      </w:r>
    </w:p>
    <w:p w:rsidR="00A4284E" w:rsidRDefault="00A4284E" w:rsidP="009F6C04">
      <w:pPr>
        <w:pStyle w:val="Numberedparagraph"/>
        <w:spacing w:after="240"/>
      </w:pPr>
      <w:r>
        <w:t xml:space="preserve">The </w:t>
      </w:r>
      <w:r w:rsidR="00CF3462">
        <w:t>process by</w:t>
      </w:r>
      <w:r w:rsidR="005F62F4">
        <w:t xml:space="preserve"> which</w:t>
      </w:r>
      <w:r w:rsidR="00CF3462">
        <w:t xml:space="preserve"> </w:t>
      </w:r>
      <w:r w:rsidR="005F62F4">
        <w:t xml:space="preserve">the ACCC will consider proposed </w:t>
      </w:r>
      <w:r w:rsidR="00CF3462">
        <w:t xml:space="preserve">undertakings </w:t>
      </w:r>
      <w:r w:rsidR="005F62F4">
        <w:t xml:space="preserve">is </w:t>
      </w:r>
      <w:r w:rsidR="00CF3462">
        <w:t xml:space="preserve">set out in the ACCC’s </w:t>
      </w:r>
      <w:r w:rsidR="00166552" w:rsidRPr="0019186D">
        <w:rPr>
          <w:rStyle w:val="Emphasis"/>
        </w:rPr>
        <w:t xml:space="preserve">Informal </w:t>
      </w:r>
      <w:r w:rsidR="00CF3462" w:rsidRPr="0019186D">
        <w:rPr>
          <w:rStyle w:val="Emphasis"/>
        </w:rPr>
        <w:t xml:space="preserve">Merger </w:t>
      </w:r>
      <w:r w:rsidR="00166552" w:rsidRPr="0019186D">
        <w:rPr>
          <w:rStyle w:val="Emphasis"/>
        </w:rPr>
        <w:t xml:space="preserve">Review </w:t>
      </w:r>
      <w:r w:rsidR="00CF3462" w:rsidRPr="0019186D">
        <w:rPr>
          <w:rStyle w:val="Emphasis"/>
        </w:rPr>
        <w:t>Process Guidelines</w:t>
      </w:r>
      <w:r w:rsidR="00CF3462">
        <w:t>.</w:t>
      </w:r>
      <w:r>
        <w:t xml:space="preserve"> </w:t>
      </w:r>
    </w:p>
    <w:p w:rsidR="00923309" w:rsidRPr="009F6C04" w:rsidRDefault="00293CA3" w:rsidP="009F6C04">
      <w:pPr>
        <w:pStyle w:val="ListContinue2"/>
        <w:shd w:val="clear" w:color="auto" w:fill="F2F2F2" w:themeFill="background1" w:themeFillShade="F2"/>
        <w:rPr>
          <w:b/>
          <w:bCs/>
        </w:rPr>
      </w:pPr>
      <w:r w:rsidRPr="009F6C04">
        <w:rPr>
          <w:b/>
          <w:bCs/>
        </w:rPr>
        <w:t xml:space="preserve">Example – </w:t>
      </w:r>
      <w:r w:rsidR="00923309" w:rsidRPr="009F6C04">
        <w:rPr>
          <w:b/>
          <w:bCs/>
        </w:rPr>
        <w:t>Foxtel</w:t>
      </w:r>
      <w:r w:rsidRPr="009F6C04">
        <w:rPr>
          <w:b/>
          <w:bCs/>
        </w:rPr>
        <w:t>’s</w:t>
      </w:r>
      <w:r w:rsidR="00923309" w:rsidRPr="009F6C04">
        <w:rPr>
          <w:b/>
          <w:bCs/>
        </w:rPr>
        <w:t xml:space="preserve"> proposed acquisition of Austar (2011-2012)</w:t>
      </w:r>
    </w:p>
    <w:p w:rsidR="00332AF6" w:rsidRDefault="00923309" w:rsidP="009F6C04">
      <w:pPr>
        <w:pStyle w:val="ListContinue2"/>
        <w:shd w:val="clear" w:color="auto" w:fill="F2F2F2" w:themeFill="background1" w:themeFillShade="F2"/>
      </w:pPr>
      <w:r>
        <w:t>Foxtel provided a court enforceable undertaking to address the ACCC’s concerns that the merger</w:t>
      </w:r>
      <w:r w:rsidR="00332AF6">
        <w:t xml:space="preserve"> would increase the merged firm’s ability to obtain exclusive content.</w:t>
      </w:r>
      <w:r w:rsidR="00797774">
        <w:t xml:space="preserve"> The core element of the undertaking was an obligation on Foxtel not to acquire certain distribution rights to certain independent content on an exclusive basis.</w:t>
      </w:r>
    </w:p>
    <w:p w:rsidR="00923309" w:rsidRDefault="00332AF6" w:rsidP="009F6C04">
      <w:pPr>
        <w:pStyle w:val="ListContinue2"/>
        <w:shd w:val="clear" w:color="auto" w:fill="F2F2F2" w:themeFill="background1" w:themeFillShade="F2"/>
      </w:pPr>
      <w:r>
        <w:t>As</w:t>
      </w:r>
      <w:r w:rsidR="00923309">
        <w:t xml:space="preserve"> a result, the ACCC did not oppose the merger. The objective of the undertaking was to lower barriers to entry in telecommunications and subscription television markets. It aimed to make available sufficient</w:t>
      </w:r>
      <w:r w:rsidR="00CE41B4">
        <w:t>ly</w:t>
      </w:r>
      <w:r w:rsidR="00923309">
        <w:t xml:space="preserve"> attractive content to emerging competitors to enable them to develop competitive and sustainable offers</w:t>
      </w:r>
      <w:r w:rsidR="00CE41B4">
        <w:t>. It also</w:t>
      </w:r>
      <w:r w:rsidR="00923309">
        <w:t xml:space="preserve"> s</w:t>
      </w:r>
      <w:r w:rsidR="00166552">
        <w:t>ought</w:t>
      </w:r>
      <w:r w:rsidR="00923309">
        <w:t xml:space="preserve"> to limit the ability of the merged entity to take advantage of its increased subscriber base to achieve favourable contract terms. </w:t>
      </w:r>
    </w:p>
    <w:sectPr w:rsidR="00923309" w:rsidSect="00AE4856">
      <w:headerReference w:type="even" r:id="rId13"/>
      <w:headerReference w:type="default" r:id="rId14"/>
      <w:footerReference w:type="even" r:id="rId15"/>
      <w:footerReference w:type="default" r:id="rId16"/>
      <w:headerReference w:type="first" r:id="rId17"/>
      <w:footerReference w:type="first" r:id="rId18"/>
      <w:pgSz w:w="11907" w:h="16839" w:code="9"/>
      <w:pgMar w:top="1580" w:right="1240" w:bottom="960" w:left="1260" w:header="0" w:footer="769"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15" w:rsidRDefault="00554D15" w:rsidP="004B4412">
      <w:pPr>
        <w:spacing w:before="0"/>
      </w:pPr>
      <w:r>
        <w:separator/>
      </w:r>
    </w:p>
  </w:endnote>
  <w:endnote w:type="continuationSeparator" w:id="0">
    <w:p w:rsidR="00554D15" w:rsidRDefault="00554D15"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9A" w:rsidRDefault="006A1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96569"/>
      <w:docPartObj>
        <w:docPartGallery w:val="Page Numbers (Bottom of Page)"/>
        <w:docPartUnique/>
      </w:docPartObj>
    </w:sdtPr>
    <w:sdtEndPr>
      <w:rPr>
        <w:noProof/>
      </w:rPr>
    </w:sdtEndPr>
    <w:sdtContent>
      <w:p w:rsidR="000A651D" w:rsidRDefault="000A651D">
        <w:pPr>
          <w:pStyle w:val="Footer"/>
          <w:jc w:val="center"/>
        </w:pPr>
        <w:r>
          <w:fldChar w:fldCharType="begin"/>
        </w:r>
        <w:r>
          <w:instrText xml:space="preserve"> PAGE   \* MERGEFORMAT </w:instrText>
        </w:r>
        <w:r>
          <w:fldChar w:fldCharType="separate"/>
        </w:r>
        <w:r w:rsidR="006A1F9A">
          <w:rPr>
            <w:noProof/>
          </w:rPr>
          <w:t>16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0A651D" w:rsidRDefault="000A651D">
        <w:pPr>
          <w:pStyle w:val="Footer"/>
        </w:pPr>
        <w:r>
          <w:fldChar w:fldCharType="begin"/>
        </w:r>
        <w:r>
          <w:instrText xml:space="preserve"> PAGE   \* MERGEFORMAT </w:instrText>
        </w:r>
        <w:r>
          <w:fldChar w:fldCharType="separate"/>
        </w:r>
        <w:r>
          <w:rPr>
            <w:noProof/>
          </w:rPr>
          <w:t>0</w:t>
        </w:r>
        <w:r>
          <w:rPr>
            <w:noProof/>
          </w:rPr>
          <w:fldChar w:fldCharType="end"/>
        </w:r>
      </w:p>
    </w:sdtContent>
  </w:sdt>
  <w:p w:rsidR="000A651D" w:rsidRDefault="000A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15" w:rsidRDefault="00554D15" w:rsidP="004B4412">
      <w:pPr>
        <w:spacing w:before="0"/>
      </w:pPr>
      <w:r>
        <w:separator/>
      </w:r>
    </w:p>
  </w:footnote>
  <w:footnote w:type="continuationSeparator" w:id="0">
    <w:p w:rsidR="00554D15" w:rsidRDefault="00554D15" w:rsidP="004B4412">
      <w:pPr>
        <w:spacing w:before="0"/>
      </w:pPr>
      <w:r>
        <w:continuationSeparator/>
      </w:r>
    </w:p>
  </w:footnote>
  <w:footnote w:id="1">
    <w:p w:rsidR="0052367D" w:rsidRPr="0052367D" w:rsidRDefault="0052367D">
      <w:pPr>
        <w:pStyle w:val="FootnoteText"/>
      </w:pPr>
      <w:r>
        <w:rPr>
          <w:rStyle w:val="FootnoteReference"/>
        </w:rPr>
        <w:footnoteRef/>
      </w:r>
      <w:r>
        <w:t xml:space="preserve"> </w:t>
      </w:r>
      <w:r w:rsidR="00AA2657">
        <w:tab/>
      </w:r>
      <w:r>
        <w:t xml:space="preserve">A newspaper is associated with a television broadcasting licence if more than 50 per cent of its circulation is within the relevant licence area. A newspaper is associated with a commercial radio broadcasting licence if more than 50 per cent of its circulation is within the relevant licence area and the newspaper’s circulation covers at least 2 per cent of the licence area’s population. Most small, community newspapers do not meet the threshold and, significantly, the </w:t>
      </w:r>
      <w:proofErr w:type="gramStart"/>
      <w:r>
        <w:t>definition also</w:t>
      </w:r>
      <w:proofErr w:type="gramEnd"/>
      <w:r>
        <w:t xml:space="preserve"> excludes major national newspapers </w:t>
      </w:r>
      <w:r>
        <w:rPr>
          <w:i/>
        </w:rPr>
        <w:t>The Australian</w:t>
      </w:r>
      <w:r>
        <w:t xml:space="preserve"> and the </w:t>
      </w:r>
      <w:r>
        <w:rPr>
          <w:i/>
        </w:rPr>
        <w:t>Australian Financial Review</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9A" w:rsidRDefault="006A1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70" w:rsidRDefault="00867970" w:rsidP="005258AB">
    <w:pPr>
      <w:pStyle w:val="Header"/>
      <w:jc w:val="center"/>
    </w:pPr>
  </w:p>
  <w:p w:rsidR="00D26A2B" w:rsidRDefault="00D26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9A" w:rsidRDefault="006A1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0A4C717E"/>
    <w:lvl w:ilvl="0" w:tplc="5D5E55B6">
      <w:start w:val="1"/>
      <w:numFmt w:val="decimal"/>
      <w:pStyle w:val="Numberedparagraph"/>
      <w:lvlText w:val="%1."/>
      <w:lvlJc w:val="left"/>
      <w:pPr>
        <w:ind w:left="700" w:hanging="360"/>
      </w:pPr>
      <w:rPr>
        <w:rFonts w:hint="default"/>
      </w:rPr>
    </w:lvl>
    <w:lvl w:ilvl="1" w:tplc="A5728FDE">
      <w:start w:val="1"/>
      <w:numFmt w:val="bullet"/>
      <w:lvlText w:val="o"/>
      <w:lvlJc w:val="left"/>
      <w:pPr>
        <w:ind w:left="2860" w:hanging="360"/>
      </w:pPr>
      <w:rPr>
        <w:rFonts w:ascii="Courier New" w:hAnsi="Courier New" w:cs="Courier New" w:hint="default"/>
      </w:rPr>
    </w:lvl>
    <w:lvl w:ilvl="2" w:tplc="B6B8266A" w:tentative="1">
      <w:start w:val="1"/>
      <w:numFmt w:val="bullet"/>
      <w:lvlText w:val=""/>
      <w:lvlJc w:val="left"/>
      <w:pPr>
        <w:ind w:left="3580" w:hanging="360"/>
      </w:pPr>
      <w:rPr>
        <w:rFonts w:ascii="Wingdings" w:hAnsi="Wingdings" w:hint="default"/>
      </w:rPr>
    </w:lvl>
    <w:lvl w:ilvl="3" w:tplc="0E067E3E" w:tentative="1">
      <w:start w:val="1"/>
      <w:numFmt w:val="bullet"/>
      <w:lvlText w:val=""/>
      <w:lvlJc w:val="left"/>
      <w:pPr>
        <w:ind w:left="4300" w:hanging="360"/>
      </w:pPr>
      <w:rPr>
        <w:rFonts w:ascii="Symbol" w:hAnsi="Symbol" w:hint="default"/>
      </w:rPr>
    </w:lvl>
    <w:lvl w:ilvl="4" w:tplc="9D8444DE" w:tentative="1">
      <w:start w:val="1"/>
      <w:numFmt w:val="bullet"/>
      <w:lvlText w:val="o"/>
      <w:lvlJc w:val="left"/>
      <w:pPr>
        <w:ind w:left="5020" w:hanging="360"/>
      </w:pPr>
      <w:rPr>
        <w:rFonts w:ascii="Courier New" w:hAnsi="Courier New" w:cs="Courier New" w:hint="default"/>
      </w:rPr>
    </w:lvl>
    <w:lvl w:ilvl="5" w:tplc="47DE7D34" w:tentative="1">
      <w:start w:val="1"/>
      <w:numFmt w:val="bullet"/>
      <w:lvlText w:val=""/>
      <w:lvlJc w:val="left"/>
      <w:pPr>
        <w:ind w:left="5740" w:hanging="360"/>
      </w:pPr>
      <w:rPr>
        <w:rFonts w:ascii="Wingdings" w:hAnsi="Wingdings" w:hint="default"/>
      </w:rPr>
    </w:lvl>
    <w:lvl w:ilvl="6" w:tplc="9D0AFFEA" w:tentative="1">
      <w:start w:val="1"/>
      <w:numFmt w:val="bullet"/>
      <w:lvlText w:val=""/>
      <w:lvlJc w:val="left"/>
      <w:pPr>
        <w:ind w:left="6460" w:hanging="360"/>
      </w:pPr>
      <w:rPr>
        <w:rFonts w:ascii="Symbol" w:hAnsi="Symbol" w:hint="default"/>
      </w:rPr>
    </w:lvl>
    <w:lvl w:ilvl="7" w:tplc="663EE25A" w:tentative="1">
      <w:start w:val="1"/>
      <w:numFmt w:val="bullet"/>
      <w:lvlText w:val="o"/>
      <w:lvlJc w:val="left"/>
      <w:pPr>
        <w:ind w:left="7180" w:hanging="360"/>
      </w:pPr>
      <w:rPr>
        <w:rFonts w:ascii="Courier New" w:hAnsi="Courier New" w:cs="Courier New" w:hint="default"/>
      </w:rPr>
    </w:lvl>
    <w:lvl w:ilvl="8" w:tplc="2DD24F62" w:tentative="1">
      <w:start w:val="1"/>
      <w:numFmt w:val="bullet"/>
      <w:lvlText w:val=""/>
      <w:lvlJc w:val="left"/>
      <w:pPr>
        <w:ind w:left="790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267F168F"/>
    <w:multiLevelType w:val="hybridMultilevel"/>
    <w:tmpl w:val="AB9881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131C6D56">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nsid w:val="44E305FB"/>
    <w:multiLevelType w:val="multilevel"/>
    <w:tmpl w:val="8CFE9806"/>
    <w:lvl w:ilvl="0">
      <w:start w:val="1"/>
      <w:numFmt w:val="decimal"/>
      <w:pStyle w:val="NormalParagraph"/>
      <w:lvlText w:val="%1."/>
      <w:lvlJc w:val="left"/>
      <w:pPr>
        <w:tabs>
          <w:tab w:val="num" w:pos="3621"/>
        </w:tabs>
        <w:ind w:left="3621" w:hanging="360"/>
      </w:pPr>
      <w:rPr>
        <w:sz w:val="24"/>
      </w:rPr>
    </w:lvl>
    <w:lvl w:ilvl="1">
      <w:start w:val="1"/>
      <w:numFmt w:val="bullet"/>
      <w:lvlText w:val=""/>
      <w:lvlJc w:val="left"/>
      <w:pPr>
        <w:tabs>
          <w:tab w:val="num" w:pos="720"/>
        </w:tabs>
        <w:ind w:left="720" w:hanging="360"/>
      </w:pPr>
      <w:rPr>
        <w:rFonts w:ascii="Wingdings" w:hAnsi="Wingdings" w:hint="default"/>
        <w:sz w:val="12"/>
      </w:r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26588A"/>
    <w:multiLevelType w:val="hybridMultilevel"/>
    <w:tmpl w:val="CC927964"/>
    <w:lvl w:ilvl="0" w:tplc="0C09000F">
      <w:start w:val="1"/>
      <w:numFmt w:val="bullet"/>
      <w:pStyle w:val="Bulletpoint2"/>
      <w:lvlText w:val="o"/>
      <w:lvlJc w:val="left"/>
      <w:pPr>
        <w:ind w:left="1343" w:hanging="360"/>
      </w:pPr>
      <w:rPr>
        <w:rFonts w:ascii="Courier New" w:hAnsi="Courier New" w:cs="Courier New" w:hint="default"/>
      </w:rPr>
    </w:lvl>
    <w:lvl w:ilvl="1" w:tplc="0C090019" w:tentative="1">
      <w:start w:val="1"/>
      <w:numFmt w:val="bullet"/>
      <w:lvlText w:val="o"/>
      <w:lvlJc w:val="left"/>
      <w:pPr>
        <w:ind w:left="2063" w:hanging="360"/>
      </w:pPr>
      <w:rPr>
        <w:rFonts w:ascii="Courier New" w:hAnsi="Courier New" w:cs="Courier New" w:hint="default"/>
      </w:rPr>
    </w:lvl>
    <w:lvl w:ilvl="2" w:tplc="0C09001B" w:tentative="1">
      <w:start w:val="1"/>
      <w:numFmt w:val="bullet"/>
      <w:lvlText w:val=""/>
      <w:lvlJc w:val="left"/>
      <w:pPr>
        <w:ind w:left="2783" w:hanging="360"/>
      </w:pPr>
      <w:rPr>
        <w:rFonts w:ascii="Wingdings" w:hAnsi="Wingdings" w:hint="default"/>
      </w:rPr>
    </w:lvl>
    <w:lvl w:ilvl="3" w:tplc="0C09000F" w:tentative="1">
      <w:start w:val="1"/>
      <w:numFmt w:val="bullet"/>
      <w:lvlText w:val=""/>
      <w:lvlJc w:val="left"/>
      <w:pPr>
        <w:ind w:left="3503" w:hanging="360"/>
      </w:pPr>
      <w:rPr>
        <w:rFonts w:ascii="Symbol" w:hAnsi="Symbol" w:hint="default"/>
      </w:rPr>
    </w:lvl>
    <w:lvl w:ilvl="4" w:tplc="0C090019" w:tentative="1">
      <w:start w:val="1"/>
      <w:numFmt w:val="bullet"/>
      <w:lvlText w:val="o"/>
      <w:lvlJc w:val="left"/>
      <w:pPr>
        <w:ind w:left="4223" w:hanging="360"/>
      </w:pPr>
      <w:rPr>
        <w:rFonts w:ascii="Courier New" w:hAnsi="Courier New" w:cs="Courier New" w:hint="default"/>
      </w:rPr>
    </w:lvl>
    <w:lvl w:ilvl="5" w:tplc="0C09001B" w:tentative="1">
      <w:start w:val="1"/>
      <w:numFmt w:val="bullet"/>
      <w:lvlText w:val=""/>
      <w:lvlJc w:val="left"/>
      <w:pPr>
        <w:ind w:left="4943" w:hanging="360"/>
      </w:pPr>
      <w:rPr>
        <w:rFonts w:ascii="Wingdings" w:hAnsi="Wingdings" w:hint="default"/>
      </w:rPr>
    </w:lvl>
    <w:lvl w:ilvl="6" w:tplc="0C09000F" w:tentative="1">
      <w:start w:val="1"/>
      <w:numFmt w:val="bullet"/>
      <w:lvlText w:val=""/>
      <w:lvlJc w:val="left"/>
      <w:pPr>
        <w:ind w:left="5663" w:hanging="360"/>
      </w:pPr>
      <w:rPr>
        <w:rFonts w:ascii="Symbol" w:hAnsi="Symbol" w:hint="default"/>
      </w:rPr>
    </w:lvl>
    <w:lvl w:ilvl="7" w:tplc="0C090019" w:tentative="1">
      <w:start w:val="1"/>
      <w:numFmt w:val="bullet"/>
      <w:lvlText w:val="o"/>
      <w:lvlJc w:val="left"/>
      <w:pPr>
        <w:ind w:left="6383" w:hanging="360"/>
      </w:pPr>
      <w:rPr>
        <w:rFonts w:ascii="Courier New" w:hAnsi="Courier New" w:cs="Courier New" w:hint="default"/>
      </w:rPr>
    </w:lvl>
    <w:lvl w:ilvl="8" w:tplc="0C09001B" w:tentative="1">
      <w:start w:val="1"/>
      <w:numFmt w:val="bullet"/>
      <w:lvlText w:val=""/>
      <w:lvlJc w:val="left"/>
      <w:pPr>
        <w:ind w:left="7103" w:hanging="360"/>
      </w:pPr>
      <w:rPr>
        <w:rFonts w:ascii="Wingdings" w:hAnsi="Wingdings" w:hint="default"/>
      </w:rPr>
    </w:lvl>
  </w:abstractNum>
  <w:abstractNum w:abstractNumId="2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nsid w:val="7E2819EC"/>
    <w:multiLevelType w:val="multilevel"/>
    <w:tmpl w:val="1250F310"/>
    <w:lvl w:ilvl="0">
      <w:start w:val="1"/>
      <w:numFmt w:val="bullet"/>
      <w:pStyle w:val="Bulletpoint"/>
      <w:lvlText w:val=""/>
      <w:lvlJc w:val="left"/>
      <w:pPr>
        <w:ind w:left="6456" w:hanging="360"/>
      </w:pPr>
      <w:rPr>
        <w:rFonts w:ascii="Symbol" w:hAnsi="Symbol" w:hint="default"/>
      </w:rPr>
    </w:lvl>
    <w:lvl w:ilvl="1">
      <w:start w:val="1"/>
      <w:numFmt w:val="decimal"/>
      <w:lvlText w:val="%1.%2."/>
      <w:lvlJc w:val="left"/>
      <w:pPr>
        <w:ind w:left="6888" w:hanging="432"/>
      </w:pPr>
      <w:rPr>
        <w:rFonts w:hint="default"/>
      </w:rPr>
    </w:lvl>
    <w:lvl w:ilvl="2">
      <w:start w:val="1"/>
      <w:numFmt w:val="decimal"/>
      <w:lvlText w:val="%1.%2.%3."/>
      <w:lvlJc w:val="left"/>
      <w:pPr>
        <w:ind w:left="7320" w:hanging="504"/>
      </w:pPr>
      <w:rPr>
        <w:rFonts w:hint="default"/>
      </w:rPr>
    </w:lvl>
    <w:lvl w:ilvl="3">
      <w:start w:val="1"/>
      <w:numFmt w:val="decimal"/>
      <w:lvlText w:val="%1.%2.%3.%4."/>
      <w:lvlJc w:val="left"/>
      <w:pPr>
        <w:ind w:left="7824" w:hanging="648"/>
      </w:pPr>
      <w:rPr>
        <w:rFonts w:hint="default"/>
      </w:rPr>
    </w:lvl>
    <w:lvl w:ilvl="4">
      <w:start w:val="1"/>
      <w:numFmt w:val="decimal"/>
      <w:lvlText w:val="%1.%2.%3.%4.%5."/>
      <w:lvlJc w:val="left"/>
      <w:pPr>
        <w:ind w:left="8328" w:hanging="792"/>
      </w:pPr>
      <w:rPr>
        <w:rFonts w:hint="default"/>
      </w:rPr>
    </w:lvl>
    <w:lvl w:ilvl="5">
      <w:start w:val="1"/>
      <w:numFmt w:val="decimal"/>
      <w:lvlText w:val="%1.%2.%3.%4.%5.%6."/>
      <w:lvlJc w:val="left"/>
      <w:pPr>
        <w:ind w:left="8832" w:hanging="936"/>
      </w:pPr>
      <w:rPr>
        <w:rFonts w:hint="default"/>
      </w:rPr>
    </w:lvl>
    <w:lvl w:ilvl="6">
      <w:start w:val="1"/>
      <w:numFmt w:val="decimal"/>
      <w:lvlText w:val="%1.%2.%3.%4.%5.%6.%7."/>
      <w:lvlJc w:val="left"/>
      <w:pPr>
        <w:ind w:left="9336" w:hanging="1080"/>
      </w:pPr>
      <w:rPr>
        <w:rFonts w:hint="default"/>
      </w:rPr>
    </w:lvl>
    <w:lvl w:ilvl="7">
      <w:start w:val="1"/>
      <w:numFmt w:val="decimal"/>
      <w:lvlText w:val="%1.%2.%3.%4.%5.%6.%7.%8."/>
      <w:lvlJc w:val="left"/>
      <w:pPr>
        <w:ind w:left="9840" w:hanging="1224"/>
      </w:pPr>
      <w:rPr>
        <w:rFonts w:hint="default"/>
      </w:rPr>
    </w:lvl>
    <w:lvl w:ilvl="8">
      <w:start w:val="1"/>
      <w:numFmt w:val="decimal"/>
      <w:lvlText w:val="%1.%2.%3.%4.%5.%6.%7.%8.%9."/>
      <w:lvlJc w:val="left"/>
      <w:pPr>
        <w:ind w:left="10416" w:hanging="1440"/>
      </w:pPr>
      <w:rPr>
        <w:rFonts w:hint="default"/>
      </w:rPr>
    </w:lvl>
  </w:abstractNum>
  <w:num w:numId="1">
    <w:abstractNumId w:val="10"/>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6"/>
  </w:num>
  <w:num w:numId="11">
    <w:abstractNumId w:val="9"/>
  </w:num>
  <w:num w:numId="12">
    <w:abstractNumId w:val="12"/>
  </w:num>
  <w:num w:numId="13">
    <w:abstractNumId w:val="15"/>
  </w:num>
  <w:num w:numId="14">
    <w:abstractNumId w:val="2"/>
  </w:num>
  <w:num w:numId="15">
    <w:abstractNumId w:val="24"/>
  </w:num>
  <w:num w:numId="16">
    <w:abstractNumId w:val="27"/>
  </w:num>
  <w:num w:numId="17">
    <w:abstractNumId w:val="26"/>
  </w:num>
  <w:num w:numId="18">
    <w:abstractNumId w:val="20"/>
  </w:num>
  <w:num w:numId="19">
    <w:abstractNumId w:val="14"/>
  </w:num>
  <w:num w:numId="20">
    <w:abstractNumId w:val="17"/>
  </w:num>
  <w:num w:numId="21">
    <w:abstractNumId w:val="25"/>
  </w:num>
  <w:num w:numId="22">
    <w:abstractNumId w:val="21"/>
  </w:num>
  <w:num w:numId="23">
    <w:abstractNumId w:val="8"/>
  </w:num>
  <w:num w:numId="24">
    <w:abstractNumId w:val="3"/>
  </w:num>
  <w:num w:numId="25">
    <w:abstractNumId w:val="19"/>
  </w:num>
  <w:num w:numId="26">
    <w:abstractNumId w:val="11"/>
  </w:num>
  <w:num w:numId="27">
    <w:abstractNumId w:val="22"/>
  </w:num>
  <w:num w:numId="28">
    <w:abstractNumId w:val="13"/>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RNEIL\AppData\Local\Microsoft\Windows\Temporary Internet Files\Content.Outlook\1J7MK830\ACCC Revised Media Merger Guidelines - draft for public consultation 26 August 2016.docx"/>
  </w:docVars>
  <w:rsids>
    <w:rsidRoot w:val="00F908C6"/>
    <w:rsid w:val="00002403"/>
    <w:rsid w:val="00004BDE"/>
    <w:rsid w:val="000134C8"/>
    <w:rsid w:val="00015BE2"/>
    <w:rsid w:val="0002115F"/>
    <w:rsid w:val="00021202"/>
    <w:rsid w:val="000225C4"/>
    <w:rsid w:val="00023781"/>
    <w:rsid w:val="00024236"/>
    <w:rsid w:val="0003094F"/>
    <w:rsid w:val="000323BE"/>
    <w:rsid w:val="0003459A"/>
    <w:rsid w:val="000349BC"/>
    <w:rsid w:val="00034C06"/>
    <w:rsid w:val="0003578C"/>
    <w:rsid w:val="00040B4D"/>
    <w:rsid w:val="00046AEF"/>
    <w:rsid w:val="00047618"/>
    <w:rsid w:val="00060F13"/>
    <w:rsid w:val="00063247"/>
    <w:rsid w:val="0006500F"/>
    <w:rsid w:val="0006554D"/>
    <w:rsid w:val="00070491"/>
    <w:rsid w:val="000709D6"/>
    <w:rsid w:val="00070F9F"/>
    <w:rsid w:val="0007137B"/>
    <w:rsid w:val="00072920"/>
    <w:rsid w:val="00085663"/>
    <w:rsid w:val="00085EBF"/>
    <w:rsid w:val="0009398F"/>
    <w:rsid w:val="00094987"/>
    <w:rsid w:val="00097ED5"/>
    <w:rsid w:val="000A0AAB"/>
    <w:rsid w:val="000A1792"/>
    <w:rsid w:val="000A3425"/>
    <w:rsid w:val="000A651D"/>
    <w:rsid w:val="000A7495"/>
    <w:rsid w:val="000B63CA"/>
    <w:rsid w:val="000B7208"/>
    <w:rsid w:val="000C0588"/>
    <w:rsid w:val="000C1D61"/>
    <w:rsid w:val="000C44C5"/>
    <w:rsid w:val="000D122C"/>
    <w:rsid w:val="000D56CD"/>
    <w:rsid w:val="000E16D6"/>
    <w:rsid w:val="000E1819"/>
    <w:rsid w:val="000E6C00"/>
    <w:rsid w:val="000E6C72"/>
    <w:rsid w:val="000F0423"/>
    <w:rsid w:val="000F135D"/>
    <w:rsid w:val="000F2368"/>
    <w:rsid w:val="000F32A5"/>
    <w:rsid w:val="000F4947"/>
    <w:rsid w:val="000F50B6"/>
    <w:rsid w:val="00100BC0"/>
    <w:rsid w:val="00110CB6"/>
    <w:rsid w:val="00116EB2"/>
    <w:rsid w:val="00122ED3"/>
    <w:rsid w:val="00124609"/>
    <w:rsid w:val="00141FAE"/>
    <w:rsid w:val="001428AF"/>
    <w:rsid w:val="00146587"/>
    <w:rsid w:val="00146A6F"/>
    <w:rsid w:val="00150315"/>
    <w:rsid w:val="00152B03"/>
    <w:rsid w:val="001573E4"/>
    <w:rsid w:val="00160756"/>
    <w:rsid w:val="00166552"/>
    <w:rsid w:val="00172293"/>
    <w:rsid w:val="0017232E"/>
    <w:rsid w:val="00172B3E"/>
    <w:rsid w:val="00173E4C"/>
    <w:rsid w:val="00174102"/>
    <w:rsid w:val="00176094"/>
    <w:rsid w:val="00180157"/>
    <w:rsid w:val="00181223"/>
    <w:rsid w:val="00186F77"/>
    <w:rsid w:val="0019186D"/>
    <w:rsid w:val="001926A4"/>
    <w:rsid w:val="001937D1"/>
    <w:rsid w:val="001A021A"/>
    <w:rsid w:val="001A3A19"/>
    <w:rsid w:val="001A64AE"/>
    <w:rsid w:val="001B246B"/>
    <w:rsid w:val="001B29D0"/>
    <w:rsid w:val="001B45A0"/>
    <w:rsid w:val="001B4FAE"/>
    <w:rsid w:val="001B7297"/>
    <w:rsid w:val="001C032F"/>
    <w:rsid w:val="001C18EE"/>
    <w:rsid w:val="001C6EC4"/>
    <w:rsid w:val="001C76C5"/>
    <w:rsid w:val="001D055E"/>
    <w:rsid w:val="001D283A"/>
    <w:rsid w:val="001D5138"/>
    <w:rsid w:val="001F1352"/>
    <w:rsid w:val="001F492E"/>
    <w:rsid w:val="001F6DA3"/>
    <w:rsid w:val="00202761"/>
    <w:rsid w:val="00203FE3"/>
    <w:rsid w:val="00205D51"/>
    <w:rsid w:val="00211D35"/>
    <w:rsid w:val="00212737"/>
    <w:rsid w:val="0021493D"/>
    <w:rsid w:val="00221526"/>
    <w:rsid w:val="002219C6"/>
    <w:rsid w:val="00224723"/>
    <w:rsid w:val="00224DB9"/>
    <w:rsid w:val="002252DF"/>
    <w:rsid w:val="00231ACF"/>
    <w:rsid w:val="00237DD9"/>
    <w:rsid w:val="00251745"/>
    <w:rsid w:val="00254CAC"/>
    <w:rsid w:val="0026001F"/>
    <w:rsid w:val="002617E6"/>
    <w:rsid w:val="00262F14"/>
    <w:rsid w:val="00263AC0"/>
    <w:rsid w:val="002645B2"/>
    <w:rsid w:val="0026772D"/>
    <w:rsid w:val="00271794"/>
    <w:rsid w:val="00286874"/>
    <w:rsid w:val="00293CA3"/>
    <w:rsid w:val="00296B65"/>
    <w:rsid w:val="00296BC8"/>
    <w:rsid w:val="002A2273"/>
    <w:rsid w:val="002A2771"/>
    <w:rsid w:val="002A7DEF"/>
    <w:rsid w:val="002B0428"/>
    <w:rsid w:val="002B3041"/>
    <w:rsid w:val="002B61D4"/>
    <w:rsid w:val="002D04CB"/>
    <w:rsid w:val="002D10F2"/>
    <w:rsid w:val="002D42C9"/>
    <w:rsid w:val="002D4E8C"/>
    <w:rsid w:val="002D5245"/>
    <w:rsid w:val="002F7986"/>
    <w:rsid w:val="00302917"/>
    <w:rsid w:val="00303C4A"/>
    <w:rsid w:val="00304628"/>
    <w:rsid w:val="00304BE1"/>
    <w:rsid w:val="00307856"/>
    <w:rsid w:val="00307F6D"/>
    <w:rsid w:val="00310BD2"/>
    <w:rsid w:val="003114C9"/>
    <w:rsid w:val="0031726E"/>
    <w:rsid w:val="003177A2"/>
    <w:rsid w:val="00320021"/>
    <w:rsid w:val="00320BA9"/>
    <w:rsid w:val="003213D9"/>
    <w:rsid w:val="0032261C"/>
    <w:rsid w:val="00324941"/>
    <w:rsid w:val="003271B5"/>
    <w:rsid w:val="003301BA"/>
    <w:rsid w:val="00330BCD"/>
    <w:rsid w:val="00330CA0"/>
    <w:rsid w:val="00331264"/>
    <w:rsid w:val="00332AF6"/>
    <w:rsid w:val="00334C8D"/>
    <w:rsid w:val="00337344"/>
    <w:rsid w:val="00340655"/>
    <w:rsid w:val="00343BBC"/>
    <w:rsid w:val="003459E6"/>
    <w:rsid w:val="003518B3"/>
    <w:rsid w:val="00352E85"/>
    <w:rsid w:val="0035634B"/>
    <w:rsid w:val="003574E4"/>
    <w:rsid w:val="00366F60"/>
    <w:rsid w:val="00371641"/>
    <w:rsid w:val="00374A83"/>
    <w:rsid w:val="00381F34"/>
    <w:rsid w:val="0038230D"/>
    <w:rsid w:val="003846F1"/>
    <w:rsid w:val="00384F8D"/>
    <w:rsid w:val="003923DF"/>
    <w:rsid w:val="00396C3B"/>
    <w:rsid w:val="003A0D2B"/>
    <w:rsid w:val="003A2D7E"/>
    <w:rsid w:val="003A34E0"/>
    <w:rsid w:val="003A3B6B"/>
    <w:rsid w:val="003A673F"/>
    <w:rsid w:val="003B2B19"/>
    <w:rsid w:val="003B5A70"/>
    <w:rsid w:val="003C1146"/>
    <w:rsid w:val="003C3C84"/>
    <w:rsid w:val="003D2845"/>
    <w:rsid w:val="003D369C"/>
    <w:rsid w:val="003D527C"/>
    <w:rsid w:val="003D5466"/>
    <w:rsid w:val="003D6D11"/>
    <w:rsid w:val="003D75AB"/>
    <w:rsid w:val="003F1000"/>
    <w:rsid w:val="003F3B4A"/>
    <w:rsid w:val="00405A6A"/>
    <w:rsid w:val="004103F5"/>
    <w:rsid w:val="00413AE5"/>
    <w:rsid w:val="00417AC7"/>
    <w:rsid w:val="00423C41"/>
    <w:rsid w:val="00424DBD"/>
    <w:rsid w:val="0043064A"/>
    <w:rsid w:val="004337B8"/>
    <w:rsid w:val="0043728C"/>
    <w:rsid w:val="00441DF8"/>
    <w:rsid w:val="00444C06"/>
    <w:rsid w:val="00444ECB"/>
    <w:rsid w:val="00446369"/>
    <w:rsid w:val="00450464"/>
    <w:rsid w:val="004527BE"/>
    <w:rsid w:val="00460784"/>
    <w:rsid w:val="00463C8F"/>
    <w:rsid w:val="00466FCB"/>
    <w:rsid w:val="0047318F"/>
    <w:rsid w:val="0047559A"/>
    <w:rsid w:val="00475DDE"/>
    <w:rsid w:val="00476D7A"/>
    <w:rsid w:val="0048001F"/>
    <w:rsid w:val="00480B4B"/>
    <w:rsid w:val="00480F07"/>
    <w:rsid w:val="00485DC4"/>
    <w:rsid w:val="004A181F"/>
    <w:rsid w:val="004A537D"/>
    <w:rsid w:val="004A7D4E"/>
    <w:rsid w:val="004B3858"/>
    <w:rsid w:val="004B4412"/>
    <w:rsid w:val="004C3034"/>
    <w:rsid w:val="004C348C"/>
    <w:rsid w:val="004D280E"/>
    <w:rsid w:val="004D4641"/>
    <w:rsid w:val="004D54CD"/>
    <w:rsid w:val="004D55BA"/>
    <w:rsid w:val="004E0EEA"/>
    <w:rsid w:val="004E418C"/>
    <w:rsid w:val="004E4632"/>
    <w:rsid w:val="004F48D9"/>
    <w:rsid w:val="004F7E5E"/>
    <w:rsid w:val="004F7EA1"/>
    <w:rsid w:val="00503608"/>
    <w:rsid w:val="005038DB"/>
    <w:rsid w:val="00504DCE"/>
    <w:rsid w:val="00510490"/>
    <w:rsid w:val="00510498"/>
    <w:rsid w:val="005106F0"/>
    <w:rsid w:val="00516721"/>
    <w:rsid w:val="00521939"/>
    <w:rsid w:val="00522392"/>
    <w:rsid w:val="0052367D"/>
    <w:rsid w:val="0052379B"/>
    <w:rsid w:val="005258AB"/>
    <w:rsid w:val="00530128"/>
    <w:rsid w:val="00532467"/>
    <w:rsid w:val="0053567C"/>
    <w:rsid w:val="005409C4"/>
    <w:rsid w:val="00542FFE"/>
    <w:rsid w:val="00547BA2"/>
    <w:rsid w:val="00547CCF"/>
    <w:rsid w:val="00551A99"/>
    <w:rsid w:val="0055384F"/>
    <w:rsid w:val="00554D15"/>
    <w:rsid w:val="00556FD5"/>
    <w:rsid w:val="00561FA4"/>
    <w:rsid w:val="0056326B"/>
    <w:rsid w:val="00564A4D"/>
    <w:rsid w:val="005654B7"/>
    <w:rsid w:val="00566C6C"/>
    <w:rsid w:val="00571B35"/>
    <w:rsid w:val="00571C9F"/>
    <w:rsid w:val="00575BF3"/>
    <w:rsid w:val="00577A09"/>
    <w:rsid w:val="00580B78"/>
    <w:rsid w:val="005810EA"/>
    <w:rsid w:val="00581BF2"/>
    <w:rsid w:val="00582AF5"/>
    <w:rsid w:val="00584D8F"/>
    <w:rsid w:val="00585D31"/>
    <w:rsid w:val="00590057"/>
    <w:rsid w:val="00596D42"/>
    <w:rsid w:val="00597131"/>
    <w:rsid w:val="0059791D"/>
    <w:rsid w:val="005A0E5B"/>
    <w:rsid w:val="005A404D"/>
    <w:rsid w:val="005A67E1"/>
    <w:rsid w:val="005A6F20"/>
    <w:rsid w:val="005B1369"/>
    <w:rsid w:val="005B1E3C"/>
    <w:rsid w:val="005B3EA1"/>
    <w:rsid w:val="005B45EE"/>
    <w:rsid w:val="005C1AA2"/>
    <w:rsid w:val="005C24AC"/>
    <w:rsid w:val="005C26CC"/>
    <w:rsid w:val="005C5FB9"/>
    <w:rsid w:val="005D0ECA"/>
    <w:rsid w:val="005D2845"/>
    <w:rsid w:val="005E0FA3"/>
    <w:rsid w:val="005E6C0E"/>
    <w:rsid w:val="005E7112"/>
    <w:rsid w:val="005F2D98"/>
    <w:rsid w:val="005F43CB"/>
    <w:rsid w:val="005F4A0F"/>
    <w:rsid w:val="005F62F4"/>
    <w:rsid w:val="005F730E"/>
    <w:rsid w:val="005F769A"/>
    <w:rsid w:val="00602757"/>
    <w:rsid w:val="00602D27"/>
    <w:rsid w:val="0060441B"/>
    <w:rsid w:val="006069AE"/>
    <w:rsid w:val="0060791A"/>
    <w:rsid w:val="00610579"/>
    <w:rsid w:val="00612846"/>
    <w:rsid w:val="00615C6B"/>
    <w:rsid w:val="00616BB6"/>
    <w:rsid w:val="00625E4D"/>
    <w:rsid w:val="0063019A"/>
    <w:rsid w:val="00632000"/>
    <w:rsid w:val="00632D6D"/>
    <w:rsid w:val="00635C11"/>
    <w:rsid w:val="006428AB"/>
    <w:rsid w:val="00642C3E"/>
    <w:rsid w:val="006452D0"/>
    <w:rsid w:val="00646025"/>
    <w:rsid w:val="0064642E"/>
    <w:rsid w:val="00654871"/>
    <w:rsid w:val="00663DAD"/>
    <w:rsid w:val="00670539"/>
    <w:rsid w:val="006725CB"/>
    <w:rsid w:val="00673CA9"/>
    <w:rsid w:val="00676679"/>
    <w:rsid w:val="00691616"/>
    <w:rsid w:val="0069770C"/>
    <w:rsid w:val="006A1F9A"/>
    <w:rsid w:val="006A3195"/>
    <w:rsid w:val="006B036A"/>
    <w:rsid w:val="006B13A9"/>
    <w:rsid w:val="006B2F09"/>
    <w:rsid w:val="006B4CF9"/>
    <w:rsid w:val="006B5B65"/>
    <w:rsid w:val="006B7AC8"/>
    <w:rsid w:val="006C1F41"/>
    <w:rsid w:val="006C27CE"/>
    <w:rsid w:val="006C7673"/>
    <w:rsid w:val="006D2271"/>
    <w:rsid w:val="006D4074"/>
    <w:rsid w:val="006D550F"/>
    <w:rsid w:val="006D77F3"/>
    <w:rsid w:val="006F4BFB"/>
    <w:rsid w:val="00701CAB"/>
    <w:rsid w:val="00707563"/>
    <w:rsid w:val="00711E8D"/>
    <w:rsid w:val="0072348C"/>
    <w:rsid w:val="00724A37"/>
    <w:rsid w:val="007303C3"/>
    <w:rsid w:val="007325EB"/>
    <w:rsid w:val="00734C64"/>
    <w:rsid w:val="00737A62"/>
    <w:rsid w:val="007430C9"/>
    <w:rsid w:val="00743223"/>
    <w:rsid w:val="00746774"/>
    <w:rsid w:val="00746E01"/>
    <w:rsid w:val="00752390"/>
    <w:rsid w:val="007554A0"/>
    <w:rsid w:val="00760A8A"/>
    <w:rsid w:val="00762B45"/>
    <w:rsid w:val="00762D17"/>
    <w:rsid w:val="007637E9"/>
    <w:rsid w:val="00763E5D"/>
    <w:rsid w:val="00766FE0"/>
    <w:rsid w:val="00767740"/>
    <w:rsid w:val="00771629"/>
    <w:rsid w:val="00771D4F"/>
    <w:rsid w:val="00774EDC"/>
    <w:rsid w:val="0077525A"/>
    <w:rsid w:val="00776C5C"/>
    <w:rsid w:val="00777EE6"/>
    <w:rsid w:val="00782EEA"/>
    <w:rsid w:val="00784D01"/>
    <w:rsid w:val="00785977"/>
    <w:rsid w:val="0079276F"/>
    <w:rsid w:val="00793951"/>
    <w:rsid w:val="00794D10"/>
    <w:rsid w:val="007963D7"/>
    <w:rsid w:val="00797774"/>
    <w:rsid w:val="007A083D"/>
    <w:rsid w:val="007A0FFE"/>
    <w:rsid w:val="007A100F"/>
    <w:rsid w:val="007A19BC"/>
    <w:rsid w:val="007A3D8D"/>
    <w:rsid w:val="007A4006"/>
    <w:rsid w:val="007A51A9"/>
    <w:rsid w:val="007A64AC"/>
    <w:rsid w:val="007A7A67"/>
    <w:rsid w:val="007B0840"/>
    <w:rsid w:val="007B1104"/>
    <w:rsid w:val="007B25FB"/>
    <w:rsid w:val="007B2C72"/>
    <w:rsid w:val="007B555B"/>
    <w:rsid w:val="007B7722"/>
    <w:rsid w:val="007C1C53"/>
    <w:rsid w:val="007C34CB"/>
    <w:rsid w:val="007C5C4F"/>
    <w:rsid w:val="007D5AE2"/>
    <w:rsid w:val="007D774D"/>
    <w:rsid w:val="007D7D72"/>
    <w:rsid w:val="007E26A9"/>
    <w:rsid w:val="007E443F"/>
    <w:rsid w:val="007E4904"/>
    <w:rsid w:val="007E4CB5"/>
    <w:rsid w:val="007F066B"/>
    <w:rsid w:val="007F6758"/>
    <w:rsid w:val="007F7CA7"/>
    <w:rsid w:val="00802694"/>
    <w:rsid w:val="008033C4"/>
    <w:rsid w:val="00806C88"/>
    <w:rsid w:val="0081034E"/>
    <w:rsid w:val="008171BC"/>
    <w:rsid w:val="00817C01"/>
    <w:rsid w:val="00820B0B"/>
    <w:rsid w:val="00824E9E"/>
    <w:rsid w:val="00826528"/>
    <w:rsid w:val="00827CD4"/>
    <w:rsid w:val="008344F6"/>
    <w:rsid w:val="0083510F"/>
    <w:rsid w:val="0083600F"/>
    <w:rsid w:val="0084567A"/>
    <w:rsid w:val="00847A4D"/>
    <w:rsid w:val="00851209"/>
    <w:rsid w:val="00852660"/>
    <w:rsid w:val="008561AB"/>
    <w:rsid w:val="00856B21"/>
    <w:rsid w:val="00856F95"/>
    <w:rsid w:val="008601C6"/>
    <w:rsid w:val="0086052B"/>
    <w:rsid w:val="008607CB"/>
    <w:rsid w:val="00860FDA"/>
    <w:rsid w:val="00867970"/>
    <w:rsid w:val="00872DCB"/>
    <w:rsid w:val="0087377F"/>
    <w:rsid w:val="00873E26"/>
    <w:rsid w:val="00873EE5"/>
    <w:rsid w:val="00874410"/>
    <w:rsid w:val="008771C0"/>
    <w:rsid w:val="0088007E"/>
    <w:rsid w:val="008837AC"/>
    <w:rsid w:val="008937FD"/>
    <w:rsid w:val="00893808"/>
    <w:rsid w:val="008943D4"/>
    <w:rsid w:val="008945B4"/>
    <w:rsid w:val="00894A5C"/>
    <w:rsid w:val="00897414"/>
    <w:rsid w:val="008A24C3"/>
    <w:rsid w:val="008A587D"/>
    <w:rsid w:val="008B0275"/>
    <w:rsid w:val="008B1411"/>
    <w:rsid w:val="008B3749"/>
    <w:rsid w:val="008B4870"/>
    <w:rsid w:val="008C030F"/>
    <w:rsid w:val="008C16DA"/>
    <w:rsid w:val="008C39D6"/>
    <w:rsid w:val="008C409B"/>
    <w:rsid w:val="008C5486"/>
    <w:rsid w:val="008C6732"/>
    <w:rsid w:val="008D1569"/>
    <w:rsid w:val="008E10E1"/>
    <w:rsid w:val="008E3C08"/>
    <w:rsid w:val="008E7031"/>
    <w:rsid w:val="008F0D15"/>
    <w:rsid w:val="008F258D"/>
    <w:rsid w:val="0090280E"/>
    <w:rsid w:val="00902DE4"/>
    <w:rsid w:val="00910B58"/>
    <w:rsid w:val="00910F20"/>
    <w:rsid w:val="00912657"/>
    <w:rsid w:val="00916ED7"/>
    <w:rsid w:val="00922C95"/>
    <w:rsid w:val="00923309"/>
    <w:rsid w:val="009233EE"/>
    <w:rsid w:val="00925C09"/>
    <w:rsid w:val="00926CD5"/>
    <w:rsid w:val="00930EB1"/>
    <w:rsid w:val="009352E7"/>
    <w:rsid w:val="00941CB6"/>
    <w:rsid w:val="009431FC"/>
    <w:rsid w:val="00946EA8"/>
    <w:rsid w:val="00966166"/>
    <w:rsid w:val="009661DE"/>
    <w:rsid w:val="0096712A"/>
    <w:rsid w:val="00967620"/>
    <w:rsid w:val="00974620"/>
    <w:rsid w:val="0097723E"/>
    <w:rsid w:val="009820CE"/>
    <w:rsid w:val="009856B7"/>
    <w:rsid w:val="0098602B"/>
    <w:rsid w:val="0098625C"/>
    <w:rsid w:val="00991258"/>
    <w:rsid w:val="00991B3B"/>
    <w:rsid w:val="00992154"/>
    <w:rsid w:val="00992531"/>
    <w:rsid w:val="00995942"/>
    <w:rsid w:val="009962BA"/>
    <w:rsid w:val="009967F2"/>
    <w:rsid w:val="009972FE"/>
    <w:rsid w:val="009A367F"/>
    <w:rsid w:val="009A5059"/>
    <w:rsid w:val="009B2261"/>
    <w:rsid w:val="009B5174"/>
    <w:rsid w:val="009B74B0"/>
    <w:rsid w:val="009B78E3"/>
    <w:rsid w:val="009C24C3"/>
    <w:rsid w:val="009C2A90"/>
    <w:rsid w:val="009C351A"/>
    <w:rsid w:val="009C3DCA"/>
    <w:rsid w:val="009C5C0A"/>
    <w:rsid w:val="009D2E06"/>
    <w:rsid w:val="009D4414"/>
    <w:rsid w:val="009D61CC"/>
    <w:rsid w:val="009D6B46"/>
    <w:rsid w:val="009E27BE"/>
    <w:rsid w:val="009E6E9A"/>
    <w:rsid w:val="009E7A6C"/>
    <w:rsid w:val="009E7B26"/>
    <w:rsid w:val="009F4940"/>
    <w:rsid w:val="009F6C04"/>
    <w:rsid w:val="009F6CF1"/>
    <w:rsid w:val="009F7070"/>
    <w:rsid w:val="00A01B07"/>
    <w:rsid w:val="00A01C26"/>
    <w:rsid w:val="00A02C2E"/>
    <w:rsid w:val="00A03D17"/>
    <w:rsid w:val="00A05F83"/>
    <w:rsid w:val="00A06F49"/>
    <w:rsid w:val="00A076A3"/>
    <w:rsid w:val="00A12B05"/>
    <w:rsid w:val="00A12E58"/>
    <w:rsid w:val="00A144F7"/>
    <w:rsid w:val="00A151B4"/>
    <w:rsid w:val="00A1665B"/>
    <w:rsid w:val="00A176F6"/>
    <w:rsid w:val="00A217D9"/>
    <w:rsid w:val="00A23C3A"/>
    <w:rsid w:val="00A2661A"/>
    <w:rsid w:val="00A333CA"/>
    <w:rsid w:val="00A427CB"/>
    <w:rsid w:val="00A4284E"/>
    <w:rsid w:val="00A4478A"/>
    <w:rsid w:val="00A44852"/>
    <w:rsid w:val="00A45ABA"/>
    <w:rsid w:val="00A47554"/>
    <w:rsid w:val="00A50657"/>
    <w:rsid w:val="00A54C38"/>
    <w:rsid w:val="00A57D04"/>
    <w:rsid w:val="00A60A26"/>
    <w:rsid w:val="00A61334"/>
    <w:rsid w:val="00A61598"/>
    <w:rsid w:val="00A63630"/>
    <w:rsid w:val="00A71B3B"/>
    <w:rsid w:val="00A848CA"/>
    <w:rsid w:val="00A84F46"/>
    <w:rsid w:val="00A871F4"/>
    <w:rsid w:val="00A921F9"/>
    <w:rsid w:val="00A95D56"/>
    <w:rsid w:val="00A9720E"/>
    <w:rsid w:val="00AA2657"/>
    <w:rsid w:val="00AA2FD0"/>
    <w:rsid w:val="00AA683B"/>
    <w:rsid w:val="00AA6C0F"/>
    <w:rsid w:val="00AB4610"/>
    <w:rsid w:val="00AB715D"/>
    <w:rsid w:val="00AC1B2C"/>
    <w:rsid w:val="00AC3264"/>
    <w:rsid w:val="00AC531B"/>
    <w:rsid w:val="00AC6F01"/>
    <w:rsid w:val="00AD0484"/>
    <w:rsid w:val="00AD64A2"/>
    <w:rsid w:val="00AE0FE2"/>
    <w:rsid w:val="00AE1254"/>
    <w:rsid w:val="00AE1BF1"/>
    <w:rsid w:val="00AE47C8"/>
    <w:rsid w:val="00AE4856"/>
    <w:rsid w:val="00AE4A9E"/>
    <w:rsid w:val="00AE66A2"/>
    <w:rsid w:val="00AE6FF7"/>
    <w:rsid w:val="00AF0DD2"/>
    <w:rsid w:val="00AF74D5"/>
    <w:rsid w:val="00B0507A"/>
    <w:rsid w:val="00B06ED4"/>
    <w:rsid w:val="00B0789E"/>
    <w:rsid w:val="00B10314"/>
    <w:rsid w:val="00B1187D"/>
    <w:rsid w:val="00B13048"/>
    <w:rsid w:val="00B139D9"/>
    <w:rsid w:val="00B1442D"/>
    <w:rsid w:val="00B15998"/>
    <w:rsid w:val="00B1716D"/>
    <w:rsid w:val="00B17A1D"/>
    <w:rsid w:val="00B207A0"/>
    <w:rsid w:val="00B3003C"/>
    <w:rsid w:val="00B32058"/>
    <w:rsid w:val="00B334EF"/>
    <w:rsid w:val="00B33FC9"/>
    <w:rsid w:val="00B351BF"/>
    <w:rsid w:val="00B4063C"/>
    <w:rsid w:val="00B414EF"/>
    <w:rsid w:val="00B518AF"/>
    <w:rsid w:val="00B5309F"/>
    <w:rsid w:val="00B56E03"/>
    <w:rsid w:val="00B60381"/>
    <w:rsid w:val="00B60383"/>
    <w:rsid w:val="00B60F5D"/>
    <w:rsid w:val="00B67E91"/>
    <w:rsid w:val="00B74422"/>
    <w:rsid w:val="00B74D72"/>
    <w:rsid w:val="00B77949"/>
    <w:rsid w:val="00B8080B"/>
    <w:rsid w:val="00B820F6"/>
    <w:rsid w:val="00B84426"/>
    <w:rsid w:val="00B87848"/>
    <w:rsid w:val="00B87C39"/>
    <w:rsid w:val="00B950A3"/>
    <w:rsid w:val="00B9784E"/>
    <w:rsid w:val="00BA00E2"/>
    <w:rsid w:val="00BA4665"/>
    <w:rsid w:val="00BA5A88"/>
    <w:rsid w:val="00BA68FB"/>
    <w:rsid w:val="00BA7737"/>
    <w:rsid w:val="00BB0031"/>
    <w:rsid w:val="00BB2FB2"/>
    <w:rsid w:val="00BB3304"/>
    <w:rsid w:val="00BB3A91"/>
    <w:rsid w:val="00BB44F9"/>
    <w:rsid w:val="00BB7073"/>
    <w:rsid w:val="00BC225E"/>
    <w:rsid w:val="00BC4C2E"/>
    <w:rsid w:val="00BD256C"/>
    <w:rsid w:val="00BD2B50"/>
    <w:rsid w:val="00BD3446"/>
    <w:rsid w:val="00BD698D"/>
    <w:rsid w:val="00BD78F4"/>
    <w:rsid w:val="00BE0037"/>
    <w:rsid w:val="00BE18F3"/>
    <w:rsid w:val="00BE1F1B"/>
    <w:rsid w:val="00BE200E"/>
    <w:rsid w:val="00BE3DBD"/>
    <w:rsid w:val="00BE42BD"/>
    <w:rsid w:val="00BE47B5"/>
    <w:rsid w:val="00BE4C99"/>
    <w:rsid w:val="00BF0C44"/>
    <w:rsid w:val="00C03A20"/>
    <w:rsid w:val="00C0423C"/>
    <w:rsid w:val="00C058AB"/>
    <w:rsid w:val="00C06739"/>
    <w:rsid w:val="00C0732B"/>
    <w:rsid w:val="00C12D30"/>
    <w:rsid w:val="00C12E11"/>
    <w:rsid w:val="00C17688"/>
    <w:rsid w:val="00C17A3D"/>
    <w:rsid w:val="00C20F73"/>
    <w:rsid w:val="00C214FD"/>
    <w:rsid w:val="00C2242D"/>
    <w:rsid w:val="00C24E62"/>
    <w:rsid w:val="00C302B9"/>
    <w:rsid w:val="00C33C51"/>
    <w:rsid w:val="00C4624A"/>
    <w:rsid w:val="00C46672"/>
    <w:rsid w:val="00C538A9"/>
    <w:rsid w:val="00C53B5A"/>
    <w:rsid w:val="00C54F5A"/>
    <w:rsid w:val="00C61263"/>
    <w:rsid w:val="00C677F9"/>
    <w:rsid w:val="00C714F0"/>
    <w:rsid w:val="00C755AD"/>
    <w:rsid w:val="00C76465"/>
    <w:rsid w:val="00C76A45"/>
    <w:rsid w:val="00C77DD2"/>
    <w:rsid w:val="00C809D2"/>
    <w:rsid w:val="00C86679"/>
    <w:rsid w:val="00C87BDD"/>
    <w:rsid w:val="00C93163"/>
    <w:rsid w:val="00C9488C"/>
    <w:rsid w:val="00CA13D3"/>
    <w:rsid w:val="00CA4FD1"/>
    <w:rsid w:val="00CA7CAB"/>
    <w:rsid w:val="00CB5BA9"/>
    <w:rsid w:val="00CB666B"/>
    <w:rsid w:val="00CB72E9"/>
    <w:rsid w:val="00CD681D"/>
    <w:rsid w:val="00CE3A56"/>
    <w:rsid w:val="00CE3E15"/>
    <w:rsid w:val="00CE41B4"/>
    <w:rsid w:val="00CE768F"/>
    <w:rsid w:val="00CF3462"/>
    <w:rsid w:val="00CF4717"/>
    <w:rsid w:val="00CF799E"/>
    <w:rsid w:val="00D01CF0"/>
    <w:rsid w:val="00D02E29"/>
    <w:rsid w:val="00D0442A"/>
    <w:rsid w:val="00D047F6"/>
    <w:rsid w:val="00D06DBC"/>
    <w:rsid w:val="00D14BB5"/>
    <w:rsid w:val="00D14EF8"/>
    <w:rsid w:val="00D15F81"/>
    <w:rsid w:val="00D16EA3"/>
    <w:rsid w:val="00D203E1"/>
    <w:rsid w:val="00D26A2B"/>
    <w:rsid w:val="00D40800"/>
    <w:rsid w:val="00D44C46"/>
    <w:rsid w:val="00D47057"/>
    <w:rsid w:val="00D5115C"/>
    <w:rsid w:val="00D544B8"/>
    <w:rsid w:val="00D55797"/>
    <w:rsid w:val="00D56B96"/>
    <w:rsid w:val="00D6045A"/>
    <w:rsid w:val="00D60668"/>
    <w:rsid w:val="00D61388"/>
    <w:rsid w:val="00D61A54"/>
    <w:rsid w:val="00D62E8E"/>
    <w:rsid w:val="00D6360F"/>
    <w:rsid w:val="00D64DEA"/>
    <w:rsid w:val="00D656D2"/>
    <w:rsid w:val="00D71697"/>
    <w:rsid w:val="00D71C66"/>
    <w:rsid w:val="00D744BC"/>
    <w:rsid w:val="00D74C1D"/>
    <w:rsid w:val="00D80893"/>
    <w:rsid w:val="00D836E3"/>
    <w:rsid w:val="00D912A0"/>
    <w:rsid w:val="00D92CF1"/>
    <w:rsid w:val="00D92D38"/>
    <w:rsid w:val="00D92D9B"/>
    <w:rsid w:val="00D94E3F"/>
    <w:rsid w:val="00D950F5"/>
    <w:rsid w:val="00D96A38"/>
    <w:rsid w:val="00DA44F4"/>
    <w:rsid w:val="00DA5201"/>
    <w:rsid w:val="00DB0F93"/>
    <w:rsid w:val="00DB1A93"/>
    <w:rsid w:val="00DB38A9"/>
    <w:rsid w:val="00DC542F"/>
    <w:rsid w:val="00DC7981"/>
    <w:rsid w:val="00DD2F1B"/>
    <w:rsid w:val="00DD3B9F"/>
    <w:rsid w:val="00DD4A85"/>
    <w:rsid w:val="00DE3C69"/>
    <w:rsid w:val="00DE4640"/>
    <w:rsid w:val="00DE4960"/>
    <w:rsid w:val="00DE4B1B"/>
    <w:rsid w:val="00DE4EFA"/>
    <w:rsid w:val="00DE5520"/>
    <w:rsid w:val="00DF15AF"/>
    <w:rsid w:val="00DF5C58"/>
    <w:rsid w:val="00DF6273"/>
    <w:rsid w:val="00E00803"/>
    <w:rsid w:val="00E040B7"/>
    <w:rsid w:val="00E04818"/>
    <w:rsid w:val="00E06442"/>
    <w:rsid w:val="00E06BAE"/>
    <w:rsid w:val="00E06FC0"/>
    <w:rsid w:val="00E15E32"/>
    <w:rsid w:val="00E15F6B"/>
    <w:rsid w:val="00E16822"/>
    <w:rsid w:val="00E233BC"/>
    <w:rsid w:val="00E23993"/>
    <w:rsid w:val="00E25B8C"/>
    <w:rsid w:val="00E266C0"/>
    <w:rsid w:val="00E335B0"/>
    <w:rsid w:val="00E3538F"/>
    <w:rsid w:val="00E43AF2"/>
    <w:rsid w:val="00E4674F"/>
    <w:rsid w:val="00E508A9"/>
    <w:rsid w:val="00E5679B"/>
    <w:rsid w:val="00E60EA2"/>
    <w:rsid w:val="00E620D1"/>
    <w:rsid w:val="00E65C85"/>
    <w:rsid w:val="00E66199"/>
    <w:rsid w:val="00E7319A"/>
    <w:rsid w:val="00E73A02"/>
    <w:rsid w:val="00E755EC"/>
    <w:rsid w:val="00E7624D"/>
    <w:rsid w:val="00E810E7"/>
    <w:rsid w:val="00E8167F"/>
    <w:rsid w:val="00E84185"/>
    <w:rsid w:val="00E87275"/>
    <w:rsid w:val="00E922DC"/>
    <w:rsid w:val="00E968AE"/>
    <w:rsid w:val="00E96CAD"/>
    <w:rsid w:val="00EA3D42"/>
    <w:rsid w:val="00EA3F9E"/>
    <w:rsid w:val="00EA3FEB"/>
    <w:rsid w:val="00EA6B1B"/>
    <w:rsid w:val="00EC1673"/>
    <w:rsid w:val="00ED24AD"/>
    <w:rsid w:val="00ED3D48"/>
    <w:rsid w:val="00ED612B"/>
    <w:rsid w:val="00EE1B32"/>
    <w:rsid w:val="00EE28F3"/>
    <w:rsid w:val="00EE382A"/>
    <w:rsid w:val="00EE42E8"/>
    <w:rsid w:val="00EF3601"/>
    <w:rsid w:val="00EF5110"/>
    <w:rsid w:val="00EF57AB"/>
    <w:rsid w:val="00EF60CA"/>
    <w:rsid w:val="00F02BF0"/>
    <w:rsid w:val="00F0459F"/>
    <w:rsid w:val="00F06F8D"/>
    <w:rsid w:val="00F15882"/>
    <w:rsid w:val="00F16749"/>
    <w:rsid w:val="00F17511"/>
    <w:rsid w:val="00F20457"/>
    <w:rsid w:val="00F209B4"/>
    <w:rsid w:val="00F20BD3"/>
    <w:rsid w:val="00F24DE4"/>
    <w:rsid w:val="00F31667"/>
    <w:rsid w:val="00F31931"/>
    <w:rsid w:val="00F373A5"/>
    <w:rsid w:val="00F426F7"/>
    <w:rsid w:val="00F42761"/>
    <w:rsid w:val="00F47559"/>
    <w:rsid w:val="00F55D3C"/>
    <w:rsid w:val="00F60BE4"/>
    <w:rsid w:val="00F61597"/>
    <w:rsid w:val="00F61B84"/>
    <w:rsid w:val="00F63E8D"/>
    <w:rsid w:val="00F64C7B"/>
    <w:rsid w:val="00F676DD"/>
    <w:rsid w:val="00F737A1"/>
    <w:rsid w:val="00F7440D"/>
    <w:rsid w:val="00F75A26"/>
    <w:rsid w:val="00F83FAD"/>
    <w:rsid w:val="00F849AB"/>
    <w:rsid w:val="00F84AF3"/>
    <w:rsid w:val="00F864BF"/>
    <w:rsid w:val="00F908C6"/>
    <w:rsid w:val="00F91DC6"/>
    <w:rsid w:val="00F94689"/>
    <w:rsid w:val="00F952A0"/>
    <w:rsid w:val="00FA3C7F"/>
    <w:rsid w:val="00FA48CC"/>
    <w:rsid w:val="00FA5C61"/>
    <w:rsid w:val="00FB23A3"/>
    <w:rsid w:val="00FB2965"/>
    <w:rsid w:val="00FB37CC"/>
    <w:rsid w:val="00FB52D7"/>
    <w:rsid w:val="00FB74E2"/>
    <w:rsid w:val="00FC3607"/>
    <w:rsid w:val="00FC4EF5"/>
    <w:rsid w:val="00FC6DC5"/>
    <w:rsid w:val="00FD05C1"/>
    <w:rsid w:val="00FD0FEE"/>
    <w:rsid w:val="00FD2A99"/>
    <w:rsid w:val="00FD3E51"/>
    <w:rsid w:val="00FD5614"/>
    <w:rsid w:val="00FE0BE1"/>
    <w:rsid w:val="00FE0EE5"/>
    <w:rsid w:val="00FE1DE9"/>
    <w:rsid w:val="00FE3022"/>
    <w:rsid w:val="00FE39C2"/>
    <w:rsid w:val="00FE4357"/>
    <w:rsid w:val="00FE5CCD"/>
    <w:rsid w:val="00FE6220"/>
    <w:rsid w:val="00FE64AE"/>
    <w:rsid w:val="00FF11B4"/>
    <w:rsid w:val="00FF1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679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867970"/>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19186D"/>
    <w:pPr>
      <w:numPr>
        <w:numId w:val="1"/>
      </w:numPr>
      <w:ind w:left="680" w:hanging="680"/>
    </w:pPr>
    <w:rPr>
      <w:rFonts w:eastAsia="Times New Roman" w:cs="Times New Roman"/>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441DF8"/>
    <w:rPr>
      <w:sz w:val="16"/>
      <w:szCs w:val="16"/>
    </w:rPr>
  </w:style>
  <w:style w:type="paragraph" w:styleId="CommentText">
    <w:name w:val="annotation text"/>
    <w:basedOn w:val="Normal"/>
    <w:link w:val="CommentTextChar"/>
    <w:uiPriority w:val="99"/>
    <w:unhideWhenUsed/>
    <w:rsid w:val="00441DF8"/>
    <w:rPr>
      <w:sz w:val="20"/>
      <w:szCs w:val="20"/>
    </w:rPr>
  </w:style>
  <w:style w:type="character" w:customStyle="1" w:styleId="CommentTextChar">
    <w:name w:val="Comment Text Char"/>
    <w:basedOn w:val="DefaultParagraphFont"/>
    <w:link w:val="CommentText"/>
    <w:uiPriority w:val="99"/>
    <w:rsid w:val="00441D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1DF8"/>
    <w:rPr>
      <w:b/>
      <w:bCs/>
    </w:rPr>
  </w:style>
  <w:style w:type="character" w:customStyle="1" w:styleId="CommentSubjectChar">
    <w:name w:val="Comment Subject Char"/>
    <w:basedOn w:val="CommentTextChar"/>
    <w:link w:val="CommentSubject"/>
    <w:uiPriority w:val="99"/>
    <w:semiHidden/>
    <w:rsid w:val="00441DF8"/>
    <w:rPr>
      <w:rFonts w:ascii="Arial" w:hAnsi="Arial"/>
      <w:b/>
      <w:bCs/>
      <w:sz w:val="20"/>
      <w:szCs w:val="20"/>
    </w:rPr>
  </w:style>
  <w:style w:type="paragraph" w:styleId="Revision">
    <w:name w:val="Revision"/>
    <w:hidden/>
    <w:uiPriority w:val="99"/>
    <w:semiHidden/>
    <w:rsid w:val="00C677F9"/>
    <w:pPr>
      <w:spacing w:before="0"/>
    </w:pPr>
    <w:rPr>
      <w:rFonts w:ascii="Arial" w:hAnsi="Arial"/>
    </w:rPr>
  </w:style>
  <w:style w:type="paragraph" w:customStyle="1" w:styleId="Default">
    <w:name w:val="Default"/>
    <w:rsid w:val="00BE3DBD"/>
    <w:pPr>
      <w:autoSpaceDE w:val="0"/>
      <w:autoSpaceDN w:val="0"/>
      <w:adjustRightInd w:val="0"/>
      <w:spacing w:before="0"/>
    </w:pPr>
    <w:rPr>
      <w:rFonts w:ascii="Arial" w:hAnsi="Arial" w:cs="Arial"/>
      <w:color w:val="000000"/>
      <w:sz w:val="24"/>
      <w:szCs w:val="24"/>
    </w:rPr>
  </w:style>
  <w:style w:type="character" w:styleId="FollowedHyperlink">
    <w:name w:val="FollowedHyperlink"/>
    <w:basedOn w:val="DefaultParagraphFont"/>
    <w:uiPriority w:val="99"/>
    <w:semiHidden/>
    <w:unhideWhenUsed/>
    <w:rsid w:val="009F6C04"/>
    <w:rPr>
      <w:color w:val="800080" w:themeColor="followedHyperlink"/>
      <w:u w:val="single"/>
    </w:rPr>
  </w:style>
  <w:style w:type="character" w:customStyle="1" w:styleId="NormalParagraphChar">
    <w:name w:val="Normal Paragraph Char"/>
    <w:basedOn w:val="DefaultParagraphFont"/>
    <w:link w:val="NormalParagraph"/>
    <w:uiPriority w:val="99"/>
    <w:locked/>
    <w:rsid w:val="0035634B"/>
    <w:rPr>
      <w:rFonts w:ascii="Arial" w:hAnsi="Arial" w:cs="Arial"/>
    </w:rPr>
  </w:style>
  <w:style w:type="paragraph" w:customStyle="1" w:styleId="NormalParagraph">
    <w:name w:val="Normal Paragraph"/>
    <w:basedOn w:val="Normal"/>
    <w:link w:val="NormalParagraphChar"/>
    <w:uiPriority w:val="99"/>
    <w:rsid w:val="0035634B"/>
    <w:pPr>
      <w:numPr>
        <w:numId w:val="29"/>
      </w:numPr>
      <w:spacing w:before="120" w:after="12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679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867970"/>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19186D"/>
    <w:pPr>
      <w:numPr>
        <w:numId w:val="1"/>
      </w:numPr>
      <w:ind w:left="680" w:hanging="680"/>
    </w:pPr>
    <w:rPr>
      <w:rFonts w:eastAsia="Times New Roman" w:cs="Times New Roman"/>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441DF8"/>
    <w:rPr>
      <w:sz w:val="16"/>
      <w:szCs w:val="16"/>
    </w:rPr>
  </w:style>
  <w:style w:type="paragraph" w:styleId="CommentText">
    <w:name w:val="annotation text"/>
    <w:basedOn w:val="Normal"/>
    <w:link w:val="CommentTextChar"/>
    <w:uiPriority w:val="99"/>
    <w:unhideWhenUsed/>
    <w:rsid w:val="00441DF8"/>
    <w:rPr>
      <w:sz w:val="20"/>
      <w:szCs w:val="20"/>
    </w:rPr>
  </w:style>
  <w:style w:type="character" w:customStyle="1" w:styleId="CommentTextChar">
    <w:name w:val="Comment Text Char"/>
    <w:basedOn w:val="DefaultParagraphFont"/>
    <w:link w:val="CommentText"/>
    <w:uiPriority w:val="99"/>
    <w:rsid w:val="00441D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1DF8"/>
    <w:rPr>
      <w:b/>
      <w:bCs/>
    </w:rPr>
  </w:style>
  <w:style w:type="character" w:customStyle="1" w:styleId="CommentSubjectChar">
    <w:name w:val="Comment Subject Char"/>
    <w:basedOn w:val="CommentTextChar"/>
    <w:link w:val="CommentSubject"/>
    <w:uiPriority w:val="99"/>
    <w:semiHidden/>
    <w:rsid w:val="00441DF8"/>
    <w:rPr>
      <w:rFonts w:ascii="Arial" w:hAnsi="Arial"/>
      <w:b/>
      <w:bCs/>
      <w:sz w:val="20"/>
      <w:szCs w:val="20"/>
    </w:rPr>
  </w:style>
  <w:style w:type="paragraph" w:styleId="Revision">
    <w:name w:val="Revision"/>
    <w:hidden/>
    <w:uiPriority w:val="99"/>
    <w:semiHidden/>
    <w:rsid w:val="00C677F9"/>
    <w:pPr>
      <w:spacing w:before="0"/>
    </w:pPr>
    <w:rPr>
      <w:rFonts w:ascii="Arial" w:hAnsi="Arial"/>
    </w:rPr>
  </w:style>
  <w:style w:type="paragraph" w:customStyle="1" w:styleId="Default">
    <w:name w:val="Default"/>
    <w:rsid w:val="00BE3DBD"/>
    <w:pPr>
      <w:autoSpaceDE w:val="0"/>
      <w:autoSpaceDN w:val="0"/>
      <w:adjustRightInd w:val="0"/>
      <w:spacing w:before="0"/>
    </w:pPr>
    <w:rPr>
      <w:rFonts w:ascii="Arial" w:hAnsi="Arial" w:cs="Arial"/>
      <w:color w:val="000000"/>
      <w:sz w:val="24"/>
      <w:szCs w:val="24"/>
    </w:rPr>
  </w:style>
  <w:style w:type="character" w:styleId="FollowedHyperlink">
    <w:name w:val="FollowedHyperlink"/>
    <w:basedOn w:val="DefaultParagraphFont"/>
    <w:uiPriority w:val="99"/>
    <w:semiHidden/>
    <w:unhideWhenUsed/>
    <w:rsid w:val="009F6C04"/>
    <w:rPr>
      <w:color w:val="800080" w:themeColor="followedHyperlink"/>
      <w:u w:val="single"/>
    </w:rPr>
  </w:style>
  <w:style w:type="character" w:customStyle="1" w:styleId="NormalParagraphChar">
    <w:name w:val="Normal Paragraph Char"/>
    <w:basedOn w:val="DefaultParagraphFont"/>
    <w:link w:val="NormalParagraph"/>
    <w:uiPriority w:val="99"/>
    <w:locked/>
    <w:rsid w:val="0035634B"/>
    <w:rPr>
      <w:rFonts w:ascii="Arial" w:hAnsi="Arial" w:cs="Arial"/>
    </w:rPr>
  </w:style>
  <w:style w:type="paragraph" w:customStyle="1" w:styleId="NormalParagraph">
    <w:name w:val="Normal Paragraph"/>
    <w:basedOn w:val="Normal"/>
    <w:link w:val="NormalParagraphChar"/>
    <w:uiPriority w:val="99"/>
    <w:rsid w:val="0035634B"/>
    <w:pPr>
      <w:numPr>
        <w:numId w:val="29"/>
      </w:numPr>
      <w:spacing w:before="120" w:after="1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9643">
      <w:bodyDiv w:val="1"/>
      <w:marLeft w:val="0"/>
      <w:marRight w:val="0"/>
      <w:marTop w:val="0"/>
      <w:marBottom w:val="0"/>
      <w:divBdr>
        <w:top w:val="none" w:sz="0" w:space="0" w:color="auto"/>
        <w:left w:val="none" w:sz="0" w:space="0" w:color="auto"/>
        <w:bottom w:val="none" w:sz="0" w:space="0" w:color="auto"/>
        <w:right w:val="none" w:sz="0" w:space="0" w:color="auto"/>
      </w:divBdr>
    </w:div>
    <w:div w:id="170919799">
      <w:bodyDiv w:val="1"/>
      <w:marLeft w:val="0"/>
      <w:marRight w:val="0"/>
      <w:marTop w:val="0"/>
      <w:marBottom w:val="0"/>
      <w:divBdr>
        <w:top w:val="none" w:sz="0" w:space="0" w:color="auto"/>
        <w:left w:val="none" w:sz="0" w:space="0" w:color="auto"/>
        <w:bottom w:val="none" w:sz="0" w:space="0" w:color="auto"/>
        <w:right w:val="none" w:sz="0" w:space="0" w:color="auto"/>
      </w:divBdr>
    </w:div>
    <w:div w:id="250898161">
      <w:bodyDiv w:val="1"/>
      <w:marLeft w:val="0"/>
      <w:marRight w:val="0"/>
      <w:marTop w:val="0"/>
      <w:marBottom w:val="0"/>
      <w:divBdr>
        <w:top w:val="none" w:sz="0" w:space="0" w:color="auto"/>
        <w:left w:val="none" w:sz="0" w:space="0" w:color="auto"/>
        <w:bottom w:val="none" w:sz="0" w:space="0" w:color="auto"/>
        <w:right w:val="none" w:sz="0" w:space="0" w:color="auto"/>
      </w:divBdr>
    </w:div>
    <w:div w:id="306666268">
      <w:bodyDiv w:val="1"/>
      <w:marLeft w:val="0"/>
      <w:marRight w:val="0"/>
      <w:marTop w:val="0"/>
      <w:marBottom w:val="0"/>
      <w:divBdr>
        <w:top w:val="none" w:sz="0" w:space="0" w:color="auto"/>
        <w:left w:val="none" w:sz="0" w:space="0" w:color="auto"/>
        <w:bottom w:val="none" w:sz="0" w:space="0" w:color="auto"/>
        <w:right w:val="none" w:sz="0" w:space="0" w:color="auto"/>
      </w:divBdr>
    </w:div>
    <w:div w:id="40646420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23962603">
      <w:bodyDiv w:val="1"/>
      <w:marLeft w:val="0"/>
      <w:marRight w:val="0"/>
      <w:marTop w:val="0"/>
      <w:marBottom w:val="0"/>
      <w:divBdr>
        <w:top w:val="none" w:sz="0" w:space="0" w:color="auto"/>
        <w:left w:val="none" w:sz="0" w:space="0" w:color="auto"/>
        <w:bottom w:val="none" w:sz="0" w:space="0" w:color="auto"/>
        <w:right w:val="none" w:sz="0" w:space="0" w:color="auto"/>
      </w:divBdr>
    </w:div>
    <w:div w:id="1225988563">
      <w:bodyDiv w:val="1"/>
      <w:marLeft w:val="0"/>
      <w:marRight w:val="0"/>
      <w:marTop w:val="0"/>
      <w:marBottom w:val="0"/>
      <w:divBdr>
        <w:top w:val="none" w:sz="0" w:space="0" w:color="auto"/>
        <w:left w:val="none" w:sz="0" w:space="0" w:color="auto"/>
        <w:bottom w:val="none" w:sz="0" w:space="0" w:color="auto"/>
        <w:right w:val="none" w:sz="0" w:space="0" w:color="auto"/>
      </w:divBdr>
    </w:div>
    <w:div w:id="1959333617">
      <w:bodyDiv w:val="1"/>
      <w:marLeft w:val="0"/>
      <w:marRight w:val="0"/>
      <w:marTop w:val="0"/>
      <w:marBottom w:val="0"/>
      <w:divBdr>
        <w:top w:val="none" w:sz="0" w:space="0" w:color="auto"/>
        <w:left w:val="none" w:sz="0" w:space="0" w:color="auto"/>
        <w:bottom w:val="none" w:sz="0" w:space="0" w:color="auto"/>
        <w:right w:val="none" w:sz="0" w:space="0" w:color="auto"/>
      </w:divBdr>
    </w:div>
    <w:div w:id="2128696727">
      <w:bodyDiv w:val="1"/>
      <w:marLeft w:val="0"/>
      <w:marRight w:val="0"/>
      <w:marTop w:val="0"/>
      <w:marBottom w:val="0"/>
      <w:divBdr>
        <w:top w:val="none" w:sz="0" w:space="0" w:color="auto"/>
        <w:left w:val="none" w:sz="0" w:space="0" w:color="auto"/>
        <w:bottom w:val="none" w:sz="0" w:space="0" w:color="auto"/>
        <w:right w:val="none" w:sz="0" w:space="0" w:color="auto"/>
      </w:divBdr>
    </w:div>
    <w:div w:id="21402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ccc.gov.au/publications/informal-merger-review-process-guidelines-20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mergerguideline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C9ADED-9EE6-4128-A6C4-CB9A6B97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7EB9B9BA</Template>
  <TotalTime>0</TotalTime>
  <Pages>17</Pages>
  <Words>6499</Words>
  <Characters>37047</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2016-08-26T00:25:00Z</dcterms:created>
  <dcterms:modified xsi:type="dcterms:W3CDTF">2016-08-26T00:25:00Z</dcterms:modified>
</cp:coreProperties>
</file>