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1A" w:rsidRPr="00EF7BF0" w:rsidRDefault="004429CE" w:rsidP="00BE521A">
      <w:pPr>
        <w:rPr>
          <w:rFonts w:cs="Arial"/>
        </w:rPr>
      </w:pPr>
      <w:bookmarkStart w:id="0" w:name="_GoBack"/>
      <w:bookmarkEnd w:id="0"/>
      <w:r>
        <w:rPr>
          <w:rFonts w:cs="Arial"/>
        </w:rPr>
        <w:softHyphen/>
      </w:r>
      <w:r>
        <w:rPr>
          <w:rFonts w:cs="Arial"/>
        </w:rPr>
        <w:softHyphen/>
      </w:r>
    </w:p>
    <w:p w:rsidR="003B4963" w:rsidRPr="00EF7BF0" w:rsidRDefault="003B4963" w:rsidP="00BE521A">
      <w:pPr>
        <w:rPr>
          <w:rFonts w:cs="Arial"/>
        </w:rPr>
      </w:pPr>
    </w:p>
    <w:p w:rsidR="00BE521A" w:rsidRPr="00EF7BF0" w:rsidRDefault="00BE521A" w:rsidP="00BE521A">
      <w:pPr>
        <w:rPr>
          <w:rFonts w:cs="Arial"/>
        </w:rPr>
      </w:pPr>
    </w:p>
    <w:p w:rsidR="00BE521A" w:rsidRPr="00EF7BF0" w:rsidRDefault="00BE521A" w:rsidP="00BE521A">
      <w:pPr>
        <w:rPr>
          <w:rFonts w:cs="Arial"/>
        </w:rPr>
      </w:pPr>
    </w:p>
    <w:p w:rsidR="00BE521A" w:rsidRPr="00EF7BF0" w:rsidRDefault="00BE521A" w:rsidP="00BE521A">
      <w:pPr>
        <w:rPr>
          <w:rFonts w:cs="Arial"/>
        </w:rPr>
      </w:pPr>
    </w:p>
    <w:p w:rsidR="00BE521A" w:rsidRPr="00EF7BF0" w:rsidRDefault="00EF7BF0" w:rsidP="00BE521A">
      <w:pPr>
        <w:jc w:val="right"/>
        <w:rPr>
          <w:rFonts w:cs="Arial"/>
          <w:b/>
          <w:sz w:val="72"/>
          <w:szCs w:val="72"/>
        </w:rPr>
      </w:pPr>
      <w:r w:rsidRPr="00EF7BF0">
        <w:rPr>
          <w:rFonts w:cs="Arial"/>
          <w:b/>
          <w:sz w:val="72"/>
          <w:szCs w:val="72"/>
        </w:rPr>
        <w:t>Statement of Reasons</w:t>
      </w:r>
    </w:p>
    <w:p w:rsidR="00BE521A" w:rsidRPr="00EF7BF0" w:rsidRDefault="00BE521A" w:rsidP="00BE521A">
      <w:pPr>
        <w:jc w:val="right"/>
        <w:rPr>
          <w:rFonts w:cs="Arial"/>
          <w:b/>
          <w:sz w:val="48"/>
          <w:szCs w:val="48"/>
        </w:rPr>
      </w:pPr>
    </w:p>
    <w:p w:rsidR="00BE521A" w:rsidRPr="00EF7BF0" w:rsidRDefault="00BE521A" w:rsidP="00D1473B">
      <w:pPr>
        <w:jc w:val="right"/>
        <w:rPr>
          <w:rFonts w:cs="Arial"/>
          <w:b/>
          <w:sz w:val="48"/>
          <w:szCs w:val="48"/>
        </w:rPr>
      </w:pPr>
    </w:p>
    <w:p w:rsidR="00BE521A" w:rsidRPr="00EF7BF0" w:rsidRDefault="00BE521A" w:rsidP="00BE521A">
      <w:pPr>
        <w:jc w:val="right"/>
        <w:rPr>
          <w:rFonts w:cs="Arial"/>
          <w:sz w:val="48"/>
          <w:szCs w:val="48"/>
        </w:rPr>
      </w:pPr>
      <w:r w:rsidRPr="00EF7BF0">
        <w:rPr>
          <w:rFonts w:cs="Arial"/>
          <w:sz w:val="48"/>
          <w:szCs w:val="48"/>
        </w:rPr>
        <w:t>in respect of a</w:t>
      </w:r>
      <w:r w:rsidR="001001BB">
        <w:rPr>
          <w:rFonts w:cs="Arial"/>
          <w:sz w:val="48"/>
          <w:szCs w:val="48"/>
        </w:rPr>
        <w:t>n exclusive dealing</w:t>
      </w:r>
      <w:r w:rsidRPr="00EF7BF0">
        <w:rPr>
          <w:rFonts w:cs="Arial"/>
          <w:sz w:val="48"/>
          <w:szCs w:val="48"/>
        </w:rPr>
        <w:t xml:space="preserve"> notification lodged by</w:t>
      </w:r>
    </w:p>
    <w:p w:rsidR="00BE521A" w:rsidRPr="00EF7BF0" w:rsidRDefault="00BE521A" w:rsidP="00BE521A">
      <w:pPr>
        <w:jc w:val="right"/>
        <w:rPr>
          <w:rFonts w:cs="Arial"/>
          <w:sz w:val="48"/>
          <w:szCs w:val="48"/>
        </w:rPr>
      </w:pPr>
    </w:p>
    <w:p w:rsidR="00BE521A" w:rsidRPr="00EF7BF0" w:rsidRDefault="00BE521A" w:rsidP="00D1473B">
      <w:pPr>
        <w:jc w:val="right"/>
        <w:rPr>
          <w:rFonts w:cs="Arial"/>
          <w:sz w:val="48"/>
          <w:szCs w:val="48"/>
        </w:rPr>
      </w:pPr>
    </w:p>
    <w:p w:rsidR="00BE521A" w:rsidRPr="00EF7BF0" w:rsidRDefault="00863835" w:rsidP="00BE521A">
      <w:pPr>
        <w:jc w:val="right"/>
        <w:rPr>
          <w:rFonts w:cs="Arial"/>
          <w:b/>
          <w:sz w:val="48"/>
          <w:szCs w:val="48"/>
        </w:rPr>
      </w:pPr>
      <w:r>
        <w:rPr>
          <w:rFonts w:cs="Arial"/>
          <w:b/>
          <w:sz w:val="48"/>
          <w:szCs w:val="48"/>
        </w:rPr>
        <w:t>Equestrian Australia</w:t>
      </w:r>
    </w:p>
    <w:p w:rsidR="001D1959" w:rsidRPr="00EF7BF0" w:rsidRDefault="001D1959" w:rsidP="00BE521A">
      <w:pPr>
        <w:jc w:val="right"/>
        <w:rPr>
          <w:rFonts w:cs="Arial"/>
          <w:b/>
          <w:sz w:val="48"/>
          <w:szCs w:val="48"/>
        </w:rPr>
      </w:pPr>
    </w:p>
    <w:p w:rsidR="00BE521A" w:rsidRPr="00EF7BF0" w:rsidRDefault="00BE521A" w:rsidP="00BE521A">
      <w:pPr>
        <w:jc w:val="right"/>
        <w:rPr>
          <w:rFonts w:cs="Arial"/>
          <w:b/>
          <w:sz w:val="48"/>
          <w:szCs w:val="48"/>
        </w:rPr>
      </w:pPr>
    </w:p>
    <w:p w:rsidR="008A0875" w:rsidRDefault="001001BB" w:rsidP="00BE521A">
      <w:pPr>
        <w:jc w:val="right"/>
        <w:rPr>
          <w:rFonts w:cs="Arial"/>
          <w:sz w:val="28"/>
          <w:szCs w:val="28"/>
        </w:rPr>
      </w:pPr>
      <w:r>
        <w:rPr>
          <w:rFonts w:cs="Arial"/>
          <w:sz w:val="28"/>
          <w:szCs w:val="28"/>
        </w:rPr>
        <w:t xml:space="preserve">in relation to </w:t>
      </w:r>
      <w:r w:rsidR="00863835">
        <w:rPr>
          <w:rFonts w:cs="Arial"/>
          <w:sz w:val="28"/>
          <w:szCs w:val="28"/>
        </w:rPr>
        <w:t xml:space="preserve">the supply of equestrian event services </w:t>
      </w:r>
    </w:p>
    <w:p w:rsidR="00BE521A" w:rsidRPr="00EF7BF0" w:rsidRDefault="00863835" w:rsidP="00BE521A">
      <w:pPr>
        <w:jc w:val="right"/>
        <w:rPr>
          <w:rFonts w:cs="Arial"/>
          <w:sz w:val="28"/>
          <w:szCs w:val="28"/>
        </w:rPr>
      </w:pPr>
      <w:r>
        <w:rPr>
          <w:rFonts w:cs="Arial"/>
          <w:sz w:val="28"/>
          <w:szCs w:val="28"/>
        </w:rPr>
        <w:t>on condition that horses are vaccinated against the Hendra virus</w:t>
      </w:r>
    </w:p>
    <w:p w:rsidR="00B0029B" w:rsidRPr="00EF7BF0" w:rsidRDefault="00B0029B" w:rsidP="00BE521A">
      <w:pPr>
        <w:jc w:val="right"/>
        <w:rPr>
          <w:rFonts w:cs="Arial"/>
          <w:b/>
          <w:sz w:val="48"/>
          <w:szCs w:val="48"/>
        </w:rPr>
      </w:pPr>
    </w:p>
    <w:p w:rsidR="00B0029B" w:rsidRPr="00EF7BF0" w:rsidRDefault="00B0029B" w:rsidP="00BE521A">
      <w:pPr>
        <w:jc w:val="right"/>
        <w:rPr>
          <w:rFonts w:cs="Arial"/>
          <w:b/>
          <w:sz w:val="48"/>
          <w:szCs w:val="48"/>
        </w:rPr>
      </w:pPr>
    </w:p>
    <w:p w:rsidR="00BE521A" w:rsidRPr="00EF7BF0" w:rsidRDefault="00BE521A" w:rsidP="00BE521A">
      <w:pPr>
        <w:jc w:val="right"/>
        <w:rPr>
          <w:rFonts w:cs="Arial"/>
          <w:b/>
          <w:sz w:val="48"/>
          <w:szCs w:val="48"/>
        </w:rPr>
      </w:pPr>
    </w:p>
    <w:p w:rsidR="00BE521A" w:rsidRPr="00EF7BF0" w:rsidRDefault="00EF7BF0" w:rsidP="00BE521A">
      <w:pPr>
        <w:jc w:val="right"/>
        <w:rPr>
          <w:rFonts w:cs="Arial"/>
          <w:b/>
          <w:sz w:val="32"/>
          <w:szCs w:val="32"/>
        </w:rPr>
      </w:pPr>
      <w:r w:rsidRPr="00EF7BF0">
        <w:rPr>
          <w:rFonts w:cs="Arial"/>
          <w:b/>
          <w:sz w:val="32"/>
          <w:szCs w:val="32"/>
        </w:rPr>
        <w:t>Date:</w:t>
      </w:r>
      <w:r w:rsidRPr="00EF7BF0">
        <w:rPr>
          <w:rFonts w:cs="Arial"/>
          <w:b/>
          <w:sz w:val="32"/>
          <w:szCs w:val="32"/>
        </w:rPr>
        <w:tab/>
      </w:r>
      <w:r w:rsidR="00A15463">
        <w:rPr>
          <w:rFonts w:cs="Arial"/>
          <w:b/>
          <w:sz w:val="32"/>
          <w:szCs w:val="32"/>
        </w:rPr>
        <w:t xml:space="preserve">18 </w:t>
      </w:r>
      <w:r w:rsidR="00DD6E5A">
        <w:rPr>
          <w:rFonts w:cs="Arial"/>
          <w:b/>
          <w:sz w:val="32"/>
          <w:szCs w:val="32"/>
        </w:rPr>
        <w:t>Dec</w:t>
      </w:r>
      <w:r w:rsidR="00863835">
        <w:rPr>
          <w:rFonts w:cs="Arial"/>
          <w:b/>
          <w:sz w:val="32"/>
          <w:szCs w:val="32"/>
        </w:rPr>
        <w:t>ember</w:t>
      </w:r>
      <w:r w:rsidRPr="00EF7BF0">
        <w:rPr>
          <w:rFonts w:cs="Arial"/>
          <w:b/>
          <w:sz w:val="32"/>
          <w:szCs w:val="32"/>
        </w:rPr>
        <w:t xml:space="preserve"> 2015</w:t>
      </w:r>
    </w:p>
    <w:p w:rsidR="00BE521A" w:rsidRPr="00EF7BF0" w:rsidRDefault="00BE521A" w:rsidP="00BE521A">
      <w:pPr>
        <w:jc w:val="right"/>
        <w:rPr>
          <w:rFonts w:cs="Arial"/>
          <w:b/>
          <w:sz w:val="28"/>
          <w:szCs w:val="28"/>
        </w:rPr>
      </w:pPr>
    </w:p>
    <w:p w:rsidR="00BE521A" w:rsidRPr="00EF7BF0" w:rsidRDefault="00BE521A" w:rsidP="00BE521A">
      <w:pPr>
        <w:jc w:val="right"/>
        <w:rPr>
          <w:rFonts w:cs="Arial"/>
          <w:b/>
          <w:sz w:val="28"/>
          <w:szCs w:val="28"/>
        </w:rPr>
      </w:pPr>
    </w:p>
    <w:p w:rsidR="00BE521A" w:rsidRPr="00EF7BF0" w:rsidRDefault="00BE521A" w:rsidP="00BE521A">
      <w:pPr>
        <w:jc w:val="right"/>
        <w:rPr>
          <w:rFonts w:cs="Arial"/>
          <w:b/>
          <w:sz w:val="28"/>
          <w:szCs w:val="28"/>
        </w:rPr>
      </w:pPr>
    </w:p>
    <w:p w:rsidR="00BE521A" w:rsidRPr="00EF7BF0" w:rsidRDefault="00BE521A" w:rsidP="00BE521A">
      <w:pPr>
        <w:jc w:val="right"/>
        <w:rPr>
          <w:rFonts w:cs="Arial"/>
          <w:b/>
          <w:sz w:val="28"/>
          <w:szCs w:val="28"/>
        </w:rPr>
      </w:pPr>
    </w:p>
    <w:p w:rsidR="00D1473B" w:rsidRPr="00EF7BF0" w:rsidRDefault="00D1473B" w:rsidP="00BE521A">
      <w:pPr>
        <w:jc w:val="right"/>
        <w:rPr>
          <w:rFonts w:cs="Arial"/>
          <w:b/>
          <w:sz w:val="28"/>
          <w:szCs w:val="28"/>
        </w:rPr>
      </w:pPr>
    </w:p>
    <w:tbl>
      <w:tblPr>
        <w:tblW w:w="0" w:type="auto"/>
        <w:tblInd w:w="465" w:type="dxa"/>
        <w:tblLayout w:type="fixed"/>
        <w:tblLook w:val="0000" w:firstRow="0" w:lastRow="0" w:firstColumn="0" w:lastColumn="0" w:noHBand="0" w:noVBand="0"/>
      </w:tblPr>
      <w:tblGrid>
        <w:gridCol w:w="3963"/>
        <w:gridCol w:w="2160"/>
        <w:gridCol w:w="1904"/>
      </w:tblGrid>
      <w:tr w:rsidR="00BE521A" w:rsidRPr="00EF7BF0">
        <w:trPr>
          <w:cantSplit/>
          <w:trHeight w:val="546"/>
        </w:trPr>
        <w:tc>
          <w:tcPr>
            <w:tcW w:w="3963" w:type="dxa"/>
          </w:tcPr>
          <w:p w:rsidR="00BE521A" w:rsidRPr="00EF7BF0" w:rsidRDefault="00BE521A" w:rsidP="00BE521A">
            <w:pPr>
              <w:rPr>
                <w:rFonts w:cs="Arial"/>
                <w:b/>
              </w:rPr>
            </w:pPr>
            <w:r w:rsidRPr="00EF7BF0">
              <w:rPr>
                <w:rFonts w:cs="Arial"/>
                <w:b/>
              </w:rPr>
              <w:t>Notification no. N</w:t>
            </w:r>
            <w:r w:rsidR="00EF7BF0" w:rsidRPr="00EF7BF0">
              <w:rPr>
                <w:rFonts w:cs="Arial"/>
                <w:b/>
              </w:rPr>
              <w:t>9</w:t>
            </w:r>
            <w:r w:rsidR="00863835">
              <w:rPr>
                <w:rFonts w:cs="Arial"/>
                <w:b/>
              </w:rPr>
              <w:t>8410</w:t>
            </w:r>
          </w:p>
          <w:p w:rsidR="00D1473B" w:rsidRPr="00EF7BF0" w:rsidRDefault="00D1473B" w:rsidP="00BE521A">
            <w:pPr>
              <w:rPr>
                <w:rFonts w:cs="Arial"/>
                <w:b/>
              </w:rPr>
            </w:pPr>
          </w:p>
        </w:tc>
        <w:tc>
          <w:tcPr>
            <w:tcW w:w="2160" w:type="dxa"/>
            <w:vMerge w:val="restart"/>
          </w:tcPr>
          <w:p w:rsidR="00BE521A" w:rsidRPr="00EF7BF0" w:rsidRDefault="00BE521A" w:rsidP="00BE521A">
            <w:pPr>
              <w:jc w:val="right"/>
              <w:rPr>
                <w:rFonts w:cs="Arial"/>
                <w:b/>
              </w:rPr>
            </w:pPr>
          </w:p>
        </w:tc>
        <w:tc>
          <w:tcPr>
            <w:tcW w:w="1904" w:type="dxa"/>
            <w:vMerge w:val="restart"/>
          </w:tcPr>
          <w:p w:rsidR="00D1473B" w:rsidRPr="00EF7BF0" w:rsidRDefault="00D1473B" w:rsidP="00BE521A">
            <w:pPr>
              <w:jc w:val="right"/>
              <w:rPr>
                <w:rFonts w:cs="Arial"/>
                <w:b/>
              </w:rPr>
            </w:pPr>
          </w:p>
        </w:tc>
      </w:tr>
      <w:tr w:rsidR="00BE521A" w:rsidRPr="00EF7BF0">
        <w:trPr>
          <w:cantSplit/>
          <w:trHeight w:val="563"/>
        </w:trPr>
        <w:tc>
          <w:tcPr>
            <w:tcW w:w="3963" w:type="dxa"/>
          </w:tcPr>
          <w:p w:rsidR="00BE521A" w:rsidRPr="00EF7BF0" w:rsidRDefault="00BE521A" w:rsidP="00EF7BF0">
            <w:pPr>
              <w:rPr>
                <w:rFonts w:cs="Arial"/>
                <w:b/>
              </w:rPr>
            </w:pPr>
          </w:p>
        </w:tc>
        <w:tc>
          <w:tcPr>
            <w:tcW w:w="2160" w:type="dxa"/>
            <w:vMerge/>
          </w:tcPr>
          <w:p w:rsidR="00BE521A" w:rsidRPr="00EF7BF0" w:rsidRDefault="00BE521A" w:rsidP="003C72A0">
            <w:pPr>
              <w:numPr>
                <w:ilvl w:val="0"/>
                <w:numId w:val="2"/>
              </w:numPr>
              <w:jc w:val="right"/>
              <w:rPr>
                <w:rFonts w:cs="Arial"/>
                <w:b/>
              </w:rPr>
            </w:pPr>
          </w:p>
        </w:tc>
        <w:tc>
          <w:tcPr>
            <w:tcW w:w="1904" w:type="dxa"/>
            <w:vMerge/>
          </w:tcPr>
          <w:p w:rsidR="00BE521A" w:rsidRPr="00EF7BF0" w:rsidRDefault="00BE521A" w:rsidP="003C72A0">
            <w:pPr>
              <w:numPr>
                <w:ilvl w:val="0"/>
                <w:numId w:val="2"/>
              </w:numPr>
              <w:jc w:val="right"/>
              <w:rPr>
                <w:rFonts w:cs="Arial"/>
                <w:b/>
              </w:rPr>
            </w:pPr>
          </w:p>
        </w:tc>
      </w:tr>
    </w:tbl>
    <w:p w:rsidR="00093F2B" w:rsidRPr="00EF7BF0" w:rsidRDefault="00093F2B" w:rsidP="00EF7BF0">
      <w:pPr>
        <w:rPr>
          <w:rFonts w:cs="Arial"/>
          <w:b/>
          <w:sz w:val="28"/>
          <w:szCs w:val="28"/>
        </w:rPr>
      </w:pPr>
    </w:p>
    <w:p w:rsidR="00BE521A" w:rsidRPr="00EF7BF0" w:rsidRDefault="00BE521A" w:rsidP="00BE521A">
      <w:pPr>
        <w:rPr>
          <w:rFonts w:cs="Arial"/>
        </w:rPr>
        <w:sectPr w:rsidR="00BE521A" w:rsidRPr="00EF7BF0" w:rsidSect="00093F2B">
          <w:headerReference w:type="default" r:id="rId9"/>
          <w:footerReference w:type="even" r:id="rId10"/>
          <w:footerReference w:type="default" r:id="rId11"/>
          <w:pgSz w:w="11909" w:h="16834"/>
          <w:pgMar w:top="1440" w:right="1440" w:bottom="1440" w:left="1440" w:header="1440" w:footer="1440" w:gutter="0"/>
          <w:cols w:space="720"/>
          <w:titlePg/>
        </w:sectPr>
      </w:pPr>
    </w:p>
    <w:p w:rsidR="00F16CCE" w:rsidRPr="00F16CCE" w:rsidRDefault="00DA78E6" w:rsidP="00F16CCE">
      <w:pPr>
        <w:pStyle w:val="Heading1"/>
        <w:spacing w:after="240"/>
        <w:rPr>
          <w:rFonts w:cs="Arial"/>
          <w:sz w:val="28"/>
          <w:szCs w:val="28"/>
          <w:u w:val="none"/>
        </w:rPr>
      </w:pPr>
      <w:bookmarkStart w:id="1" w:name="_Toc75163617"/>
      <w:bookmarkStart w:id="2" w:name="_Toc96920223"/>
      <w:r>
        <w:rPr>
          <w:rFonts w:cs="Arial"/>
          <w:sz w:val="28"/>
          <w:szCs w:val="28"/>
          <w:u w:val="none"/>
        </w:rPr>
        <w:lastRenderedPageBreak/>
        <w:t>Summary</w:t>
      </w:r>
    </w:p>
    <w:p w:rsidR="004C7241" w:rsidRPr="002444BE" w:rsidRDefault="004C7241" w:rsidP="00B85EA8">
      <w:pPr>
        <w:pStyle w:val="Summarytextbox"/>
        <w:shd w:val="clear" w:color="auto" w:fill="auto"/>
        <w:rPr>
          <w:b w:val="0"/>
        </w:rPr>
      </w:pPr>
      <w:r w:rsidRPr="002444BE">
        <w:rPr>
          <w:b w:val="0"/>
        </w:rPr>
        <w:t xml:space="preserve">Equestrian Australia (EA) lodged a notification </w:t>
      </w:r>
      <w:r w:rsidR="006D79F3">
        <w:rPr>
          <w:b w:val="0"/>
        </w:rPr>
        <w:t>on 30 July 2015</w:t>
      </w:r>
      <w:r>
        <w:rPr>
          <w:b w:val="0"/>
        </w:rPr>
        <w:t xml:space="preserve"> </w:t>
      </w:r>
      <w:r w:rsidRPr="002444BE">
        <w:rPr>
          <w:b w:val="0"/>
        </w:rPr>
        <w:t xml:space="preserve">seeking to address the risks that may arise from horses from Hendra </w:t>
      </w:r>
      <w:r w:rsidR="006D79F3">
        <w:rPr>
          <w:b w:val="0"/>
        </w:rPr>
        <w:t xml:space="preserve">virus </w:t>
      </w:r>
      <w:r w:rsidRPr="002444BE">
        <w:rPr>
          <w:b w:val="0"/>
        </w:rPr>
        <w:t>affected areas attending equestrian events.</w:t>
      </w:r>
    </w:p>
    <w:p w:rsidR="00244658" w:rsidRPr="002444BE" w:rsidRDefault="004C7241" w:rsidP="00B85EA8">
      <w:pPr>
        <w:pStyle w:val="Summarytextbox"/>
        <w:shd w:val="clear" w:color="auto" w:fill="auto"/>
        <w:rPr>
          <w:b w:val="0"/>
        </w:rPr>
      </w:pPr>
      <w:r>
        <w:rPr>
          <w:b w:val="0"/>
        </w:rPr>
        <w:t xml:space="preserve">The notification is intended </w:t>
      </w:r>
      <w:r w:rsidR="00244658" w:rsidRPr="002444BE">
        <w:rPr>
          <w:b w:val="0"/>
        </w:rPr>
        <w:t xml:space="preserve">to enable </w:t>
      </w:r>
      <w:r w:rsidR="00F64AA9">
        <w:rPr>
          <w:b w:val="0"/>
        </w:rPr>
        <w:t>EA</w:t>
      </w:r>
      <w:r w:rsidR="00244658" w:rsidRPr="002444BE">
        <w:rPr>
          <w:b w:val="0"/>
        </w:rPr>
        <w:t xml:space="preserve">, </w:t>
      </w:r>
      <w:r w:rsidR="009C47C2">
        <w:rPr>
          <w:b w:val="0"/>
        </w:rPr>
        <w:t>or</w:t>
      </w:r>
      <w:r w:rsidR="00244658" w:rsidRPr="002444BE">
        <w:rPr>
          <w:b w:val="0"/>
        </w:rPr>
        <w:t xml:space="preserve"> event Organising Committee</w:t>
      </w:r>
      <w:r w:rsidR="009C47C2">
        <w:rPr>
          <w:b w:val="0"/>
        </w:rPr>
        <w:t>s</w:t>
      </w:r>
      <w:r w:rsidR="00244658" w:rsidRPr="002444BE">
        <w:rPr>
          <w:b w:val="0"/>
        </w:rPr>
        <w:t xml:space="preserve"> acting as its agent</w:t>
      </w:r>
      <w:r w:rsidR="000B5B1B">
        <w:rPr>
          <w:b w:val="0"/>
        </w:rPr>
        <w:t>s</w:t>
      </w:r>
      <w:r w:rsidR="00244658" w:rsidRPr="002444BE">
        <w:rPr>
          <w:b w:val="0"/>
        </w:rPr>
        <w:t xml:space="preserve">, to require </w:t>
      </w:r>
      <w:r w:rsidR="00D35F53" w:rsidRPr="002444BE">
        <w:rPr>
          <w:b w:val="0"/>
        </w:rPr>
        <w:t xml:space="preserve">that horses are </w:t>
      </w:r>
      <w:r w:rsidR="00244658" w:rsidRPr="002444BE">
        <w:rPr>
          <w:b w:val="0"/>
        </w:rPr>
        <w:t>vaccinat</w:t>
      </w:r>
      <w:r w:rsidR="00D35F53" w:rsidRPr="002444BE">
        <w:rPr>
          <w:b w:val="0"/>
        </w:rPr>
        <w:t>ed</w:t>
      </w:r>
      <w:r w:rsidR="00244658" w:rsidRPr="002444BE">
        <w:rPr>
          <w:b w:val="0"/>
        </w:rPr>
        <w:t xml:space="preserve"> against the Hendra virus as a condition of entry into particular events</w:t>
      </w:r>
      <w:r w:rsidR="00D35F53" w:rsidRPr="002444BE">
        <w:rPr>
          <w:b w:val="0"/>
        </w:rPr>
        <w:t xml:space="preserve"> (the </w:t>
      </w:r>
      <w:r w:rsidR="00084159" w:rsidRPr="002444BE">
        <w:rPr>
          <w:b w:val="0"/>
        </w:rPr>
        <w:t>Entry</w:t>
      </w:r>
      <w:r w:rsidR="00D35F53" w:rsidRPr="002444BE">
        <w:rPr>
          <w:b w:val="0"/>
        </w:rPr>
        <w:t xml:space="preserve"> Condition)</w:t>
      </w:r>
      <w:r w:rsidR="00244658" w:rsidRPr="002444BE">
        <w:rPr>
          <w:b w:val="0"/>
        </w:rPr>
        <w:t xml:space="preserve">. </w:t>
      </w:r>
      <w:r w:rsidR="00DF7F62" w:rsidRPr="002444BE">
        <w:rPr>
          <w:b w:val="0"/>
        </w:rPr>
        <w:t>In accordance with the notification, s</w:t>
      </w:r>
      <w:r w:rsidR="00244658" w:rsidRPr="002444BE">
        <w:rPr>
          <w:b w:val="0"/>
        </w:rPr>
        <w:t xml:space="preserve">uch a condition of entry would only be imposed when an event specific biosecurity risk assessment has been undertaken </w:t>
      </w:r>
      <w:r w:rsidR="00F55A90" w:rsidRPr="002444BE">
        <w:rPr>
          <w:b w:val="0"/>
        </w:rPr>
        <w:t xml:space="preserve">that </w:t>
      </w:r>
      <w:r w:rsidR="00E73846">
        <w:rPr>
          <w:b w:val="0"/>
        </w:rPr>
        <w:t>indicate</w:t>
      </w:r>
      <w:r w:rsidR="00E73846" w:rsidRPr="002444BE">
        <w:rPr>
          <w:b w:val="0"/>
        </w:rPr>
        <w:t xml:space="preserve">s </w:t>
      </w:r>
      <w:r w:rsidR="00244658" w:rsidRPr="002444BE">
        <w:rPr>
          <w:b w:val="0"/>
        </w:rPr>
        <w:t>it is appropriate.</w:t>
      </w:r>
      <w:r w:rsidR="00245C0F" w:rsidRPr="002444BE">
        <w:rPr>
          <w:b w:val="0"/>
        </w:rPr>
        <w:t xml:space="preserve"> </w:t>
      </w:r>
      <w:r w:rsidR="00084159" w:rsidRPr="002444BE">
        <w:rPr>
          <w:b w:val="0"/>
        </w:rPr>
        <w:t>L</w:t>
      </w:r>
      <w:r w:rsidR="00DF7F62" w:rsidRPr="002444BE">
        <w:rPr>
          <w:b w:val="0"/>
        </w:rPr>
        <w:t xml:space="preserve">egal protection </w:t>
      </w:r>
      <w:r w:rsidR="00245C0F" w:rsidRPr="002444BE">
        <w:rPr>
          <w:b w:val="0"/>
        </w:rPr>
        <w:t xml:space="preserve">under the </w:t>
      </w:r>
      <w:r w:rsidR="00245C0F" w:rsidRPr="002444BE">
        <w:rPr>
          <w:b w:val="0"/>
          <w:i/>
        </w:rPr>
        <w:t>Competition and Consumer Act</w:t>
      </w:r>
      <w:r w:rsidR="00D35F53" w:rsidRPr="002444BE">
        <w:rPr>
          <w:b w:val="0"/>
        </w:rPr>
        <w:t xml:space="preserve"> 2010 (the CCA)</w:t>
      </w:r>
      <w:r w:rsidR="00DF7F62" w:rsidRPr="002444BE">
        <w:rPr>
          <w:b w:val="0"/>
        </w:rPr>
        <w:t xml:space="preserve"> conferred by the notification </w:t>
      </w:r>
      <w:r w:rsidR="00245C0F" w:rsidRPr="002444BE">
        <w:rPr>
          <w:b w:val="0"/>
        </w:rPr>
        <w:t>commenced automatically on 13 August 2015.</w:t>
      </w:r>
    </w:p>
    <w:p w:rsidR="00245C0F" w:rsidRPr="002444BE" w:rsidRDefault="0012426F" w:rsidP="00245C0F">
      <w:pPr>
        <w:pStyle w:val="Summarytextbox"/>
        <w:shd w:val="clear" w:color="auto" w:fill="auto"/>
        <w:rPr>
          <w:b w:val="0"/>
        </w:rPr>
      </w:pPr>
      <w:r w:rsidRPr="002444BE">
        <w:rPr>
          <w:b w:val="0"/>
        </w:rPr>
        <w:t>The notification does not impose a general requirement that participants in equestrian events vaccinate their horses against</w:t>
      </w:r>
      <w:r w:rsidR="005A28A6" w:rsidRPr="002444BE">
        <w:rPr>
          <w:b w:val="0"/>
        </w:rPr>
        <w:t xml:space="preserve"> the</w:t>
      </w:r>
      <w:r w:rsidRPr="002444BE">
        <w:rPr>
          <w:b w:val="0"/>
        </w:rPr>
        <w:t xml:space="preserve"> Hendra virus. Nor does it oblige </w:t>
      </w:r>
      <w:r w:rsidR="005A28A6" w:rsidRPr="002444BE">
        <w:rPr>
          <w:b w:val="0"/>
        </w:rPr>
        <w:t>O</w:t>
      </w:r>
      <w:r w:rsidRPr="002444BE">
        <w:rPr>
          <w:b w:val="0"/>
        </w:rPr>
        <w:t xml:space="preserve">rganising </w:t>
      </w:r>
      <w:r w:rsidR="005A28A6" w:rsidRPr="002444BE">
        <w:rPr>
          <w:b w:val="0"/>
        </w:rPr>
        <w:t>C</w:t>
      </w:r>
      <w:r w:rsidRPr="002444BE">
        <w:rPr>
          <w:b w:val="0"/>
        </w:rPr>
        <w:t xml:space="preserve">ommittees of particular events to impose such a requirement. </w:t>
      </w:r>
      <w:r w:rsidR="00245C0F" w:rsidRPr="002444BE">
        <w:rPr>
          <w:b w:val="0"/>
        </w:rPr>
        <w:t xml:space="preserve">Similarly, </w:t>
      </w:r>
      <w:r w:rsidR="006D79F3">
        <w:rPr>
          <w:b w:val="0"/>
        </w:rPr>
        <w:t>the</w:t>
      </w:r>
      <w:r w:rsidR="00245C0F" w:rsidRPr="002444BE">
        <w:rPr>
          <w:b w:val="0"/>
        </w:rPr>
        <w:t xml:space="preserve"> notification does not affect any</w:t>
      </w:r>
      <w:r w:rsidR="006D79F3">
        <w:rPr>
          <w:b w:val="0"/>
        </w:rPr>
        <w:t xml:space="preserve"> </w:t>
      </w:r>
      <w:r w:rsidR="00245C0F" w:rsidRPr="002444BE">
        <w:rPr>
          <w:b w:val="0"/>
        </w:rPr>
        <w:t>existing legal rights, other than removing the ability for</w:t>
      </w:r>
      <w:r w:rsidR="006D79F3">
        <w:rPr>
          <w:b w:val="0"/>
        </w:rPr>
        <w:t xml:space="preserve"> EA to be challenged under the competition l</w:t>
      </w:r>
      <w:r w:rsidR="00245C0F" w:rsidRPr="002444BE">
        <w:rPr>
          <w:b w:val="0"/>
        </w:rPr>
        <w:t xml:space="preserve">aw for third line forcing. </w:t>
      </w:r>
    </w:p>
    <w:p w:rsidR="004C6BB4" w:rsidRDefault="004C6BB4" w:rsidP="004C6BB4">
      <w:pPr>
        <w:pStyle w:val="Summarytextbox"/>
        <w:shd w:val="clear" w:color="auto" w:fill="auto"/>
        <w:spacing w:before="240"/>
        <w:rPr>
          <w:rFonts w:cs="Arial"/>
          <w:b w:val="0"/>
        </w:rPr>
      </w:pPr>
      <w:r>
        <w:rPr>
          <w:b w:val="0"/>
        </w:rPr>
        <w:t>T</w:t>
      </w:r>
      <w:r w:rsidRPr="00B40619">
        <w:rPr>
          <w:rFonts w:cs="Arial"/>
          <w:b w:val="0"/>
        </w:rPr>
        <w:t xml:space="preserve">he Australian Pesticide and Veterinary Medicines Authority (the APVMA), </w:t>
      </w:r>
      <w:r>
        <w:rPr>
          <w:rFonts w:cs="Arial"/>
          <w:b w:val="0"/>
        </w:rPr>
        <w:t xml:space="preserve">which is </w:t>
      </w:r>
      <w:r w:rsidRPr="00B40619">
        <w:rPr>
          <w:rFonts w:cs="Arial"/>
          <w:b w:val="0"/>
        </w:rPr>
        <w:t>the government authority responsible for the assessment and registration of pesticides and veterinary medicines</w:t>
      </w:r>
      <w:r>
        <w:rPr>
          <w:rFonts w:cs="Arial"/>
          <w:b w:val="0"/>
        </w:rPr>
        <w:t>,</w:t>
      </w:r>
      <w:r w:rsidRPr="00B40619">
        <w:rPr>
          <w:rFonts w:cs="Arial"/>
          <w:b w:val="0"/>
        </w:rPr>
        <w:t xml:space="preserve"> has </w:t>
      </w:r>
      <w:r>
        <w:rPr>
          <w:rFonts w:cs="Arial"/>
          <w:b w:val="0"/>
        </w:rPr>
        <w:t xml:space="preserve">recently </w:t>
      </w:r>
      <w:r w:rsidRPr="00B40619">
        <w:rPr>
          <w:rFonts w:cs="Arial"/>
          <w:b w:val="0"/>
        </w:rPr>
        <w:t>approved registration of the Hendra vaccine. The ACCC understands that before granting registration the APVMA was satisfied that the vaccine—used in accordance with the approved instructions on the label—would:</w:t>
      </w:r>
    </w:p>
    <w:p w:rsidR="004C6BB4" w:rsidRPr="002444BE" w:rsidRDefault="004C6BB4" w:rsidP="004C6BB4">
      <w:pPr>
        <w:numPr>
          <w:ilvl w:val="1"/>
          <w:numId w:val="61"/>
        </w:numPr>
        <w:tabs>
          <w:tab w:val="left" w:pos="426"/>
        </w:tabs>
        <w:spacing w:before="120" w:after="120"/>
        <w:ind w:left="425" w:hanging="425"/>
        <w:rPr>
          <w:rFonts w:eastAsia="Arial"/>
          <w:sz w:val="22"/>
          <w:szCs w:val="22"/>
          <w:lang w:val="en-AU" w:eastAsia="en-US"/>
        </w:rPr>
      </w:pPr>
      <w:r w:rsidRPr="00B40619">
        <w:rPr>
          <w:rFonts w:cs="Arial"/>
          <w:color w:val="000000"/>
          <w:sz w:val="21"/>
          <w:szCs w:val="21"/>
        </w:rPr>
        <w:t>not be an undue hazard to the safety of people exposed to it during its handling or people using anything containing its residues</w:t>
      </w:r>
    </w:p>
    <w:p w:rsidR="004C6BB4" w:rsidRPr="002444BE" w:rsidRDefault="004C6BB4" w:rsidP="004C6BB4">
      <w:pPr>
        <w:numPr>
          <w:ilvl w:val="1"/>
          <w:numId w:val="61"/>
        </w:numPr>
        <w:tabs>
          <w:tab w:val="left" w:pos="426"/>
        </w:tabs>
        <w:spacing w:before="120" w:after="120"/>
        <w:ind w:left="425" w:hanging="425"/>
        <w:rPr>
          <w:rFonts w:eastAsia="Arial"/>
          <w:sz w:val="22"/>
          <w:szCs w:val="22"/>
          <w:lang w:val="en-AU" w:eastAsia="en-US"/>
        </w:rPr>
      </w:pPr>
      <w:r w:rsidRPr="00B40619">
        <w:rPr>
          <w:rFonts w:cs="Arial"/>
          <w:color w:val="000000"/>
          <w:sz w:val="21"/>
          <w:szCs w:val="21"/>
        </w:rPr>
        <w:t>not be likely to have an effect that is harmful to human beings</w:t>
      </w:r>
    </w:p>
    <w:p w:rsidR="004C6BB4" w:rsidRPr="002444BE" w:rsidRDefault="004C6BB4" w:rsidP="004C6BB4">
      <w:pPr>
        <w:numPr>
          <w:ilvl w:val="1"/>
          <w:numId w:val="61"/>
        </w:numPr>
        <w:tabs>
          <w:tab w:val="left" w:pos="426"/>
        </w:tabs>
        <w:spacing w:before="120" w:after="120"/>
        <w:ind w:left="425" w:hanging="425"/>
        <w:rPr>
          <w:rFonts w:eastAsia="Arial"/>
          <w:sz w:val="22"/>
          <w:szCs w:val="22"/>
          <w:lang w:val="en-AU" w:eastAsia="en-US"/>
        </w:rPr>
      </w:pPr>
      <w:r w:rsidRPr="00B40619">
        <w:rPr>
          <w:rFonts w:cs="Arial"/>
          <w:color w:val="000000"/>
          <w:sz w:val="21"/>
          <w:szCs w:val="21"/>
        </w:rPr>
        <w:t>not be likely to have an unintended effect that is harmful to animals, plants or things or to the environment</w:t>
      </w:r>
    </w:p>
    <w:p w:rsidR="004C6BB4" w:rsidRDefault="004C6BB4" w:rsidP="004C6BB4">
      <w:pPr>
        <w:numPr>
          <w:ilvl w:val="1"/>
          <w:numId w:val="61"/>
        </w:numPr>
        <w:tabs>
          <w:tab w:val="left" w:pos="426"/>
        </w:tabs>
        <w:spacing w:before="120" w:after="120"/>
        <w:ind w:left="425" w:hanging="425"/>
        <w:rPr>
          <w:rFonts w:eastAsia="Arial"/>
          <w:sz w:val="22"/>
          <w:szCs w:val="22"/>
          <w:lang w:val="en-AU" w:eastAsia="en-US"/>
        </w:rPr>
      </w:pPr>
      <w:r w:rsidRPr="00B40619">
        <w:rPr>
          <w:rFonts w:cs="Arial"/>
          <w:color w:val="000000"/>
          <w:sz w:val="21"/>
          <w:szCs w:val="21"/>
        </w:rPr>
        <w:t>be effective.</w:t>
      </w:r>
      <w:r w:rsidRPr="00B40619">
        <w:rPr>
          <w:rFonts w:eastAsia="Arial"/>
          <w:sz w:val="22"/>
          <w:szCs w:val="22"/>
          <w:lang w:val="en-AU" w:eastAsia="en-US"/>
        </w:rPr>
        <w:t xml:space="preserve"> </w:t>
      </w:r>
    </w:p>
    <w:p w:rsidR="0022489D" w:rsidRPr="002444BE" w:rsidRDefault="004C6BB4" w:rsidP="00B85EA8">
      <w:pPr>
        <w:pStyle w:val="Summarytextbox"/>
        <w:shd w:val="clear" w:color="auto" w:fill="auto"/>
        <w:rPr>
          <w:b w:val="0"/>
        </w:rPr>
      </w:pPr>
      <w:r>
        <w:rPr>
          <w:b w:val="0"/>
        </w:rPr>
        <w:t>Nevertheless, a</w:t>
      </w:r>
      <w:r w:rsidR="0022489D" w:rsidRPr="002444BE">
        <w:rPr>
          <w:b w:val="0"/>
        </w:rPr>
        <w:t xml:space="preserve"> large number of people have expressed significant concerns </w:t>
      </w:r>
      <w:r w:rsidR="000B5B1B">
        <w:rPr>
          <w:b w:val="0"/>
        </w:rPr>
        <w:t>about</w:t>
      </w:r>
      <w:r w:rsidR="000B5B1B" w:rsidRPr="002444BE">
        <w:rPr>
          <w:b w:val="0"/>
        </w:rPr>
        <w:t xml:space="preserve"> </w:t>
      </w:r>
      <w:r w:rsidR="0022489D" w:rsidRPr="002444BE">
        <w:rPr>
          <w:b w:val="0"/>
        </w:rPr>
        <w:t xml:space="preserve">the </w:t>
      </w:r>
      <w:r w:rsidR="000B5B1B">
        <w:rPr>
          <w:b w:val="0"/>
        </w:rPr>
        <w:t>notified</w:t>
      </w:r>
      <w:r w:rsidR="000B5B1B" w:rsidRPr="002444BE">
        <w:rPr>
          <w:b w:val="0"/>
        </w:rPr>
        <w:t xml:space="preserve"> </w:t>
      </w:r>
      <w:r w:rsidR="0022489D" w:rsidRPr="002444BE">
        <w:rPr>
          <w:b w:val="0"/>
        </w:rPr>
        <w:t>conduct, including:</w:t>
      </w:r>
    </w:p>
    <w:p w:rsidR="0066024B" w:rsidRPr="002444BE" w:rsidRDefault="007A5E65" w:rsidP="00461B1D">
      <w:pPr>
        <w:numPr>
          <w:ilvl w:val="1"/>
          <w:numId w:val="61"/>
        </w:numPr>
        <w:tabs>
          <w:tab w:val="left" w:pos="426"/>
        </w:tabs>
        <w:spacing w:before="120" w:after="120"/>
        <w:ind w:left="425" w:hanging="425"/>
        <w:rPr>
          <w:rFonts w:eastAsia="Arial"/>
          <w:sz w:val="22"/>
          <w:szCs w:val="22"/>
          <w:lang w:val="en-AU" w:eastAsia="en-US"/>
        </w:rPr>
      </w:pPr>
      <w:r>
        <w:rPr>
          <w:rFonts w:eastAsia="Arial"/>
          <w:sz w:val="22"/>
          <w:szCs w:val="22"/>
          <w:lang w:val="en-AU" w:eastAsia="en-US"/>
        </w:rPr>
        <w:t xml:space="preserve">that </w:t>
      </w:r>
      <w:r w:rsidR="0066024B" w:rsidRPr="002444BE">
        <w:rPr>
          <w:rFonts w:eastAsia="Arial"/>
          <w:sz w:val="22"/>
          <w:szCs w:val="22"/>
          <w:lang w:val="en-AU" w:eastAsia="en-US"/>
        </w:rPr>
        <w:t>there have been a large number of adverse reactions to the vaccine and boosters</w:t>
      </w:r>
      <w:r w:rsidR="000B5B1B">
        <w:rPr>
          <w:rFonts w:eastAsia="Arial"/>
          <w:sz w:val="22"/>
          <w:szCs w:val="22"/>
          <w:lang w:val="en-AU" w:eastAsia="en-US"/>
        </w:rPr>
        <w:t>,</w:t>
      </w:r>
      <w:r w:rsidR="0066024B" w:rsidRPr="002444BE">
        <w:rPr>
          <w:rFonts w:eastAsia="Arial"/>
          <w:sz w:val="22"/>
          <w:szCs w:val="22"/>
          <w:lang w:val="en-AU" w:eastAsia="en-US"/>
        </w:rPr>
        <w:t xml:space="preserve"> with people not wanting to continue to vaccinate their horses and </w:t>
      </w:r>
      <w:r w:rsidR="00245C0F" w:rsidRPr="002444BE">
        <w:rPr>
          <w:rFonts w:eastAsia="Arial"/>
          <w:sz w:val="22"/>
          <w:szCs w:val="22"/>
          <w:lang w:val="en-AU" w:eastAsia="en-US"/>
        </w:rPr>
        <w:t>those</w:t>
      </w:r>
      <w:r w:rsidR="0066024B" w:rsidRPr="002444BE">
        <w:rPr>
          <w:rFonts w:eastAsia="Arial"/>
          <w:sz w:val="22"/>
          <w:szCs w:val="22"/>
          <w:lang w:val="en-AU" w:eastAsia="en-US"/>
        </w:rPr>
        <w:t xml:space="preserve"> horses being excluded from </w:t>
      </w:r>
      <w:r w:rsidR="00245C0F" w:rsidRPr="002444BE">
        <w:rPr>
          <w:rFonts w:eastAsia="Arial"/>
          <w:sz w:val="22"/>
          <w:szCs w:val="22"/>
          <w:lang w:val="en-AU" w:eastAsia="en-US"/>
        </w:rPr>
        <w:t xml:space="preserve">participating in </w:t>
      </w:r>
      <w:r w:rsidR="0066024B" w:rsidRPr="002444BE">
        <w:rPr>
          <w:rFonts w:eastAsia="Arial"/>
          <w:sz w:val="22"/>
          <w:szCs w:val="22"/>
          <w:lang w:val="en-AU" w:eastAsia="en-US"/>
        </w:rPr>
        <w:t>equestrian events</w:t>
      </w:r>
    </w:p>
    <w:p w:rsidR="00DD6E5A" w:rsidRPr="002444BE" w:rsidRDefault="00DD6E5A" w:rsidP="00461B1D">
      <w:pPr>
        <w:numPr>
          <w:ilvl w:val="1"/>
          <w:numId w:val="61"/>
        </w:numPr>
        <w:tabs>
          <w:tab w:val="left" w:pos="426"/>
        </w:tabs>
        <w:spacing w:before="120" w:after="120"/>
        <w:ind w:left="425" w:hanging="425"/>
        <w:rPr>
          <w:rFonts w:eastAsia="Arial"/>
          <w:sz w:val="22"/>
          <w:szCs w:val="22"/>
          <w:lang w:val="en-AU" w:eastAsia="en-US"/>
        </w:rPr>
      </w:pPr>
      <w:r w:rsidRPr="002444BE">
        <w:rPr>
          <w:rFonts w:eastAsia="Arial"/>
          <w:sz w:val="22"/>
          <w:szCs w:val="22"/>
          <w:lang w:val="en-AU" w:eastAsia="en-US"/>
        </w:rPr>
        <w:t>the impact on the value of elite competition and breeding horses</w:t>
      </w:r>
      <w:r w:rsidR="000B5B1B">
        <w:rPr>
          <w:rFonts w:eastAsia="Arial"/>
          <w:sz w:val="22"/>
          <w:szCs w:val="22"/>
          <w:lang w:val="en-AU" w:eastAsia="en-US"/>
        </w:rPr>
        <w:t xml:space="preserve"> </w:t>
      </w:r>
      <w:r w:rsidRPr="002444BE">
        <w:rPr>
          <w:rFonts w:eastAsia="Arial"/>
          <w:sz w:val="22"/>
          <w:szCs w:val="22"/>
          <w:lang w:val="en-AU" w:eastAsia="en-US"/>
        </w:rPr>
        <w:t xml:space="preserve"> from not being able to compete, either because of an adverse reaction to the vaccine or because the horse cannot </w:t>
      </w:r>
      <w:r w:rsidR="00E73846">
        <w:rPr>
          <w:rFonts w:eastAsia="Arial"/>
          <w:sz w:val="22"/>
          <w:szCs w:val="22"/>
          <w:lang w:val="en-AU" w:eastAsia="en-US"/>
        </w:rPr>
        <w:t xml:space="preserve">or will not </w:t>
      </w:r>
      <w:r w:rsidRPr="002444BE">
        <w:rPr>
          <w:rFonts w:eastAsia="Arial"/>
          <w:sz w:val="22"/>
          <w:szCs w:val="22"/>
          <w:lang w:val="en-AU" w:eastAsia="en-US"/>
        </w:rPr>
        <w:t>be vaccinated</w:t>
      </w:r>
    </w:p>
    <w:p w:rsidR="0066024B" w:rsidRPr="002444BE" w:rsidRDefault="007A5E65" w:rsidP="00461B1D">
      <w:pPr>
        <w:numPr>
          <w:ilvl w:val="1"/>
          <w:numId w:val="61"/>
        </w:numPr>
        <w:tabs>
          <w:tab w:val="left" w:pos="426"/>
        </w:tabs>
        <w:spacing w:before="120" w:after="120"/>
        <w:ind w:left="425" w:hanging="425"/>
        <w:rPr>
          <w:rFonts w:eastAsia="Arial"/>
          <w:sz w:val="22"/>
          <w:szCs w:val="22"/>
          <w:lang w:val="en-AU" w:eastAsia="en-US"/>
        </w:rPr>
      </w:pPr>
      <w:r>
        <w:rPr>
          <w:rFonts w:eastAsia="Arial"/>
          <w:sz w:val="22"/>
          <w:szCs w:val="22"/>
          <w:lang w:val="en-AU" w:eastAsia="en-US"/>
        </w:rPr>
        <w:t xml:space="preserve">that </w:t>
      </w:r>
      <w:r w:rsidR="0066024B" w:rsidRPr="002444BE">
        <w:rPr>
          <w:rFonts w:eastAsia="Arial"/>
          <w:sz w:val="22"/>
          <w:szCs w:val="22"/>
          <w:lang w:val="en-AU" w:eastAsia="en-US"/>
        </w:rPr>
        <w:t>there is negligible risk of Hendra transmission at equestrian events</w:t>
      </w:r>
    </w:p>
    <w:p w:rsidR="0066024B" w:rsidRPr="002444BE" w:rsidRDefault="007A5E65" w:rsidP="00461B1D">
      <w:pPr>
        <w:numPr>
          <w:ilvl w:val="1"/>
          <w:numId w:val="61"/>
        </w:numPr>
        <w:tabs>
          <w:tab w:val="left" w:pos="426"/>
        </w:tabs>
        <w:spacing w:before="120" w:after="120"/>
        <w:ind w:left="425" w:hanging="425"/>
        <w:rPr>
          <w:rFonts w:eastAsia="Arial"/>
          <w:sz w:val="22"/>
          <w:szCs w:val="22"/>
          <w:lang w:val="en-AU" w:eastAsia="en-US"/>
        </w:rPr>
      </w:pPr>
      <w:r>
        <w:rPr>
          <w:rFonts w:eastAsia="Arial"/>
          <w:sz w:val="22"/>
          <w:szCs w:val="22"/>
          <w:lang w:val="en-AU" w:eastAsia="en-US"/>
        </w:rPr>
        <w:t xml:space="preserve">that </w:t>
      </w:r>
      <w:r w:rsidR="0066024B" w:rsidRPr="002444BE">
        <w:rPr>
          <w:rFonts w:eastAsia="Arial"/>
          <w:sz w:val="22"/>
          <w:szCs w:val="22"/>
          <w:lang w:val="en-AU" w:eastAsia="en-US"/>
        </w:rPr>
        <w:t xml:space="preserve">there are less intrusive methods available that would equally reduce the spread of the </w:t>
      </w:r>
      <w:r w:rsidR="00DD6E5A" w:rsidRPr="002444BE">
        <w:rPr>
          <w:rFonts w:eastAsia="Arial"/>
          <w:sz w:val="22"/>
          <w:szCs w:val="22"/>
          <w:lang w:val="en-AU" w:eastAsia="en-US"/>
        </w:rPr>
        <w:t xml:space="preserve">Hendra </w:t>
      </w:r>
      <w:r w:rsidR="0066024B" w:rsidRPr="002444BE">
        <w:rPr>
          <w:rFonts w:eastAsia="Arial"/>
          <w:sz w:val="22"/>
          <w:szCs w:val="22"/>
          <w:lang w:val="en-AU" w:eastAsia="en-US"/>
        </w:rPr>
        <w:t>virus</w:t>
      </w:r>
    </w:p>
    <w:p w:rsidR="0066024B" w:rsidRPr="002444BE" w:rsidRDefault="007A5E65" w:rsidP="00461B1D">
      <w:pPr>
        <w:numPr>
          <w:ilvl w:val="1"/>
          <w:numId w:val="61"/>
        </w:numPr>
        <w:tabs>
          <w:tab w:val="left" w:pos="426"/>
        </w:tabs>
        <w:spacing w:before="120" w:after="120"/>
        <w:ind w:left="425" w:hanging="425"/>
        <w:rPr>
          <w:rFonts w:eastAsia="Arial"/>
          <w:sz w:val="22"/>
          <w:szCs w:val="22"/>
          <w:lang w:val="en-AU" w:eastAsia="en-US"/>
        </w:rPr>
      </w:pPr>
      <w:r>
        <w:rPr>
          <w:rFonts w:eastAsia="Arial"/>
          <w:sz w:val="22"/>
          <w:szCs w:val="22"/>
          <w:lang w:val="en-AU" w:eastAsia="en-US"/>
        </w:rPr>
        <w:t xml:space="preserve">that </w:t>
      </w:r>
      <w:r w:rsidR="0066024B" w:rsidRPr="002444BE">
        <w:rPr>
          <w:rFonts w:eastAsia="Arial"/>
          <w:sz w:val="22"/>
          <w:szCs w:val="22"/>
          <w:lang w:val="en-AU" w:eastAsia="en-US"/>
        </w:rPr>
        <w:t xml:space="preserve">other equestrian organisations do not require horses to be vaccinated against </w:t>
      </w:r>
      <w:r w:rsidR="005A28A6" w:rsidRPr="002444BE">
        <w:rPr>
          <w:rFonts w:eastAsia="Arial"/>
          <w:sz w:val="22"/>
          <w:szCs w:val="22"/>
          <w:lang w:val="en-AU" w:eastAsia="en-US"/>
        </w:rPr>
        <w:t xml:space="preserve">the </w:t>
      </w:r>
      <w:r w:rsidR="0066024B" w:rsidRPr="002444BE">
        <w:rPr>
          <w:rFonts w:eastAsia="Arial"/>
          <w:sz w:val="22"/>
          <w:szCs w:val="22"/>
          <w:lang w:val="en-AU" w:eastAsia="en-US"/>
        </w:rPr>
        <w:t>Hendra</w:t>
      </w:r>
      <w:r w:rsidR="005A28A6" w:rsidRPr="002444BE">
        <w:rPr>
          <w:rFonts w:eastAsia="Arial"/>
          <w:sz w:val="22"/>
          <w:szCs w:val="22"/>
          <w:lang w:val="en-AU" w:eastAsia="en-US"/>
        </w:rPr>
        <w:t xml:space="preserve"> virus</w:t>
      </w:r>
    </w:p>
    <w:p w:rsidR="0066024B" w:rsidRPr="002444BE" w:rsidRDefault="0066024B" w:rsidP="00461B1D">
      <w:pPr>
        <w:numPr>
          <w:ilvl w:val="1"/>
          <w:numId w:val="61"/>
        </w:numPr>
        <w:tabs>
          <w:tab w:val="left" w:pos="426"/>
        </w:tabs>
        <w:spacing w:before="120" w:after="120"/>
        <w:ind w:left="425" w:hanging="425"/>
        <w:rPr>
          <w:rFonts w:eastAsia="Arial"/>
          <w:sz w:val="22"/>
          <w:szCs w:val="22"/>
          <w:lang w:val="en-AU" w:eastAsia="en-US"/>
        </w:rPr>
      </w:pPr>
      <w:r w:rsidRPr="002444BE">
        <w:rPr>
          <w:rFonts w:eastAsia="Arial"/>
          <w:sz w:val="22"/>
          <w:szCs w:val="22"/>
          <w:lang w:val="en-AU" w:eastAsia="en-US"/>
        </w:rPr>
        <w:t>the practical impact/imposition of six monthly boosters</w:t>
      </w:r>
      <w:r w:rsidR="00D32419" w:rsidRPr="002444BE">
        <w:rPr>
          <w:rFonts w:eastAsia="Arial"/>
          <w:sz w:val="22"/>
          <w:szCs w:val="22"/>
          <w:lang w:val="en-AU" w:eastAsia="en-US"/>
        </w:rPr>
        <w:t xml:space="preserve"> and the view that adverse reactions increase in severity with ongoing boosters</w:t>
      </w:r>
    </w:p>
    <w:p w:rsidR="00DD6E5A" w:rsidRPr="002444BE" w:rsidRDefault="00DD6E5A" w:rsidP="00461B1D">
      <w:pPr>
        <w:numPr>
          <w:ilvl w:val="1"/>
          <w:numId w:val="61"/>
        </w:numPr>
        <w:tabs>
          <w:tab w:val="left" w:pos="426"/>
        </w:tabs>
        <w:spacing w:before="120" w:after="120"/>
        <w:ind w:left="425" w:hanging="425"/>
        <w:rPr>
          <w:rFonts w:eastAsia="Arial"/>
          <w:sz w:val="22"/>
          <w:szCs w:val="22"/>
          <w:lang w:val="en-AU" w:eastAsia="en-US"/>
        </w:rPr>
      </w:pPr>
      <w:r w:rsidRPr="002444BE">
        <w:rPr>
          <w:rFonts w:eastAsia="Arial"/>
          <w:sz w:val="22"/>
          <w:szCs w:val="22"/>
          <w:lang w:val="en-AU" w:eastAsia="en-US"/>
        </w:rPr>
        <w:t>the cost of the vaccine and boosters</w:t>
      </w:r>
    </w:p>
    <w:p w:rsidR="00DD6E5A" w:rsidRPr="002444BE" w:rsidRDefault="0066024B" w:rsidP="00461B1D">
      <w:pPr>
        <w:numPr>
          <w:ilvl w:val="1"/>
          <w:numId w:val="61"/>
        </w:numPr>
        <w:tabs>
          <w:tab w:val="left" w:pos="426"/>
        </w:tabs>
        <w:spacing w:before="120" w:after="120"/>
        <w:ind w:left="425" w:hanging="425"/>
        <w:rPr>
          <w:rFonts w:eastAsia="Arial"/>
          <w:sz w:val="22"/>
          <w:szCs w:val="22"/>
          <w:lang w:val="en-AU" w:eastAsia="en-US"/>
        </w:rPr>
      </w:pPr>
      <w:r w:rsidRPr="002444BE">
        <w:rPr>
          <w:rFonts w:eastAsia="Arial"/>
          <w:sz w:val="22"/>
          <w:szCs w:val="22"/>
          <w:lang w:val="en-AU" w:eastAsia="en-US"/>
        </w:rPr>
        <w:lastRenderedPageBreak/>
        <w:t xml:space="preserve">a range of allegations including alleged conflicts of interest involving </w:t>
      </w:r>
      <w:r w:rsidR="00DD6E5A" w:rsidRPr="002444BE">
        <w:rPr>
          <w:rFonts w:eastAsia="Arial"/>
          <w:sz w:val="22"/>
          <w:szCs w:val="22"/>
          <w:lang w:val="en-AU" w:eastAsia="en-US"/>
        </w:rPr>
        <w:t>veterinarians</w:t>
      </w:r>
      <w:r w:rsidRPr="002444BE">
        <w:rPr>
          <w:rFonts w:eastAsia="Arial"/>
          <w:sz w:val="22"/>
          <w:szCs w:val="22"/>
          <w:lang w:val="en-AU" w:eastAsia="en-US"/>
        </w:rPr>
        <w:t>, EA and Zoetis</w:t>
      </w:r>
      <w:r w:rsidR="00DD6E5A" w:rsidRPr="002444BE">
        <w:rPr>
          <w:rFonts w:eastAsia="Arial"/>
          <w:sz w:val="22"/>
          <w:szCs w:val="22"/>
          <w:lang w:val="en-AU" w:eastAsia="en-US"/>
        </w:rPr>
        <w:t>.</w:t>
      </w:r>
    </w:p>
    <w:p w:rsidR="00B40619" w:rsidRPr="00B40619" w:rsidRDefault="00B40619" w:rsidP="00B40619">
      <w:pPr>
        <w:pStyle w:val="Summarytextbox"/>
        <w:shd w:val="clear" w:color="auto" w:fill="auto"/>
        <w:rPr>
          <w:rFonts w:cs="Arial"/>
          <w:b w:val="0"/>
        </w:rPr>
      </w:pPr>
      <w:r w:rsidRPr="00B40619">
        <w:rPr>
          <w:rFonts w:cs="Arial"/>
          <w:b w:val="0"/>
        </w:rPr>
        <w:t xml:space="preserve">The ACCC understands that the APVMA </w:t>
      </w:r>
      <w:r w:rsidR="004C6BB4">
        <w:rPr>
          <w:rFonts w:cs="Arial"/>
          <w:b w:val="0"/>
        </w:rPr>
        <w:t xml:space="preserve">is aware of these concerns and </w:t>
      </w:r>
      <w:r w:rsidRPr="00B40619">
        <w:rPr>
          <w:rFonts w:cs="Arial"/>
          <w:b w:val="0"/>
        </w:rPr>
        <w:t>presently remains satisfied with the vaccine’s registration and that the level of “probable” and “possible” adverse reactions remains within a normal range for a relatively new vaccine.</w:t>
      </w:r>
    </w:p>
    <w:p w:rsidR="00B40619" w:rsidRPr="002444BE" w:rsidRDefault="004429CE" w:rsidP="00B40619">
      <w:pPr>
        <w:pStyle w:val="Summarytextbox"/>
        <w:shd w:val="clear" w:color="auto" w:fill="auto"/>
        <w:rPr>
          <w:b w:val="0"/>
        </w:rPr>
      </w:pPr>
      <w:r>
        <w:rPr>
          <w:b w:val="0"/>
        </w:rPr>
        <w:t>Further,</w:t>
      </w:r>
      <w:r w:rsidR="00B40619" w:rsidRPr="002444BE">
        <w:rPr>
          <w:b w:val="0"/>
        </w:rPr>
        <w:t xml:space="preserve"> Biosecurity Queensland, the Queensland Department of Health and Queensland Workplace Health &amp; Safety </w:t>
      </w:r>
      <w:r w:rsidR="00A15463">
        <w:rPr>
          <w:b w:val="0"/>
        </w:rPr>
        <w:t xml:space="preserve">advise </w:t>
      </w:r>
      <w:r w:rsidR="00B40619" w:rsidRPr="002444BE">
        <w:rPr>
          <w:b w:val="0"/>
        </w:rPr>
        <w:t>that vaccination is the single most effective way to address the risk of Hendra infection.</w:t>
      </w:r>
      <w:r w:rsidR="00A15463">
        <w:rPr>
          <w:b w:val="0"/>
        </w:rPr>
        <w:t xml:space="preserve"> </w:t>
      </w:r>
      <w:r w:rsidR="00A15463" w:rsidRPr="00A15463">
        <w:rPr>
          <w:b w:val="0"/>
        </w:rPr>
        <w:t>These agencies support individual equestrian Organising Committees being able to decide, based on an informed risk assessment, to only allow horses to compete if vaccinated.</w:t>
      </w:r>
    </w:p>
    <w:p w:rsidR="00B40619" w:rsidRPr="002444BE" w:rsidRDefault="00B40619" w:rsidP="00B40619">
      <w:pPr>
        <w:pStyle w:val="ListParagraph"/>
        <w:tabs>
          <w:tab w:val="left" w:pos="340"/>
        </w:tabs>
        <w:autoSpaceDE w:val="0"/>
        <w:autoSpaceDN w:val="0"/>
        <w:adjustRightInd w:val="0"/>
        <w:spacing w:before="120" w:after="120"/>
        <w:ind w:left="0"/>
        <w:rPr>
          <w:rFonts w:cs="Arial"/>
          <w:color w:val="000000"/>
          <w:sz w:val="22"/>
          <w:szCs w:val="22"/>
        </w:rPr>
      </w:pPr>
      <w:r w:rsidRPr="002444BE">
        <w:rPr>
          <w:rFonts w:cs="Arial"/>
          <w:sz w:val="22"/>
          <w:szCs w:val="22"/>
        </w:rPr>
        <w:t xml:space="preserve">The ACCC also received </w:t>
      </w:r>
      <w:r>
        <w:rPr>
          <w:rFonts w:cs="Arial"/>
          <w:sz w:val="22"/>
          <w:szCs w:val="22"/>
        </w:rPr>
        <w:t xml:space="preserve">a number of </w:t>
      </w:r>
      <w:r w:rsidRPr="002444BE">
        <w:rPr>
          <w:rFonts w:cs="Arial"/>
          <w:sz w:val="22"/>
          <w:szCs w:val="22"/>
        </w:rPr>
        <w:t>submissions in support of the Notification, including from Equestrian clu</w:t>
      </w:r>
      <w:r w:rsidR="009C47C2">
        <w:rPr>
          <w:rFonts w:cs="Arial"/>
          <w:sz w:val="22"/>
          <w:szCs w:val="22"/>
        </w:rPr>
        <w:t>bs, veterinarians and equestrian e</w:t>
      </w:r>
      <w:r w:rsidRPr="002444BE">
        <w:rPr>
          <w:rFonts w:cs="Arial"/>
          <w:sz w:val="22"/>
          <w:szCs w:val="22"/>
        </w:rPr>
        <w:t xml:space="preserve">vent organisers. In general terms, these submissions </w:t>
      </w:r>
      <w:r w:rsidR="004C6BB4">
        <w:rPr>
          <w:rFonts w:cs="Arial"/>
          <w:sz w:val="22"/>
          <w:szCs w:val="22"/>
        </w:rPr>
        <w:t>suggest</w:t>
      </w:r>
      <w:r w:rsidRPr="002444BE">
        <w:rPr>
          <w:rFonts w:cs="Arial"/>
          <w:sz w:val="22"/>
          <w:szCs w:val="22"/>
        </w:rPr>
        <w:t xml:space="preserve"> the notified conduct </w:t>
      </w:r>
      <w:r w:rsidR="004C6BB4">
        <w:rPr>
          <w:rFonts w:cs="Arial"/>
          <w:sz w:val="22"/>
          <w:szCs w:val="22"/>
        </w:rPr>
        <w:t>will result in</w:t>
      </w:r>
      <w:r w:rsidRPr="002444BE">
        <w:rPr>
          <w:rFonts w:cs="Arial"/>
          <w:sz w:val="22"/>
          <w:szCs w:val="22"/>
        </w:rPr>
        <w:t xml:space="preserve"> public benefits, including </w:t>
      </w:r>
      <w:r w:rsidR="004C6BB4">
        <w:rPr>
          <w:rFonts w:cs="Arial"/>
          <w:sz w:val="22"/>
          <w:szCs w:val="22"/>
        </w:rPr>
        <w:t xml:space="preserve">by </w:t>
      </w:r>
      <w:r>
        <w:rPr>
          <w:rFonts w:cs="Arial"/>
          <w:sz w:val="22"/>
          <w:szCs w:val="22"/>
        </w:rPr>
        <w:t>reduc</w:t>
      </w:r>
      <w:r w:rsidR="004C6BB4">
        <w:rPr>
          <w:rFonts w:cs="Arial"/>
          <w:sz w:val="22"/>
          <w:szCs w:val="22"/>
        </w:rPr>
        <w:t>ing</w:t>
      </w:r>
      <w:r>
        <w:rPr>
          <w:rFonts w:cs="Arial"/>
          <w:sz w:val="22"/>
          <w:szCs w:val="22"/>
        </w:rPr>
        <w:t xml:space="preserve"> </w:t>
      </w:r>
      <w:r w:rsidR="004C6BB4">
        <w:rPr>
          <w:rFonts w:cs="Arial"/>
          <w:sz w:val="22"/>
          <w:szCs w:val="22"/>
        </w:rPr>
        <w:t xml:space="preserve">the </w:t>
      </w:r>
      <w:r>
        <w:rPr>
          <w:rFonts w:cs="Arial"/>
          <w:sz w:val="22"/>
          <w:szCs w:val="22"/>
        </w:rPr>
        <w:t xml:space="preserve">risk of </w:t>
      </w:r>
      <w:r w:rsidRPr="002444BE">
        <w:rPr>
          <w:rFonts w:cs="Arial"/>
          <w:color w:val="000000"/>
          <w:sz w:val="22"/>
          <w:szCs w:val="22"/>
        </w:rPr>
        <w:t>people or horses contract</w:t>
      </w:r>
      <w:r>
        <w:rPr>
          <w:rFonts w:cs="Arial"/>
          <w:color w:val="000000"/>
          <w:sz w:val="22"/>
          <w:szCs w:val="22"/>
        </w:rPr>
        <w:t>ing</w:t>
      </w:r>
      <w:r w:rsidRPr="002444BE">
        <w:rPr>
          <w:rFonts w:cs="Arial"/>
          <w:color w:val="000000"/>
          <w:sz w:val="22"/>
          <w:szCs w:val="22"/>
        </w:rPr>
        <w:t xml:space="preserve"> the virus</w:t>
      </w:r>
      <w:r>
        <w:rPr>
          <w:rFonts w:cs="Arial"/>
          <w:color w:val="000000"/>
          <w:sz w:val="22"/>
          <w:szCs w:val="22"/>
        </w:rPr>
        <w:t xml:space="preserve">, the risk of exposure </w:t>
      </w:r>
      <w:r w:rsidR="004C6BB4">
        <w:rPr>
          <w:rFonts w:cs="Arial"/>
          <w:color w:val="000000"/>
          <w:sz w:val="22"/>
          <w:szCs w:val="22"/>
        </w:rPr>
        <w:t xml:space="preserve">for </w:t>
      </w:r>
      <w:r>
        <w:rPr>
          <w:rFonts w:cs="Arial"/>
          <w:color w:val="000000"/>
          <w:sz w:val="22"/>
          <w:szCs w:val="22"/>
        </w:rPr>
        <w:t>e</w:t>
      </w:r>
      <w:r w:rsidRPr="002444BE">
        <w:rPr>
          <w:rFonts w:cs="Arial"/>
          <w:color w:val="000000"/>
          <w:sz w:val="22"/>
          <w:szCs w:val="22"/>
        </w:rPr>
        <w:t>quine veterinarian</w:t>
      </w:r>
      <w:r w:rsidR="009C47C2">
        <w:rPr>
          <w:rFonts w:cs="Arial"/>
          <w:color w:val="000000"/>
          <w:sz w:val="22"/>
          <w:szCs w:val="22"/>
        </w:rPr>
        <w:t>s at equestrian e</w:t>
      </w:r>
      <w:r>
        <w:rPr>
          <w:rFonts w:cs="Arial"/>
          <w:color w:val="000000"/>
          <w:sz w:val="22"/>
          <w:szCs w:val="22"/>
        </w:rPr>
        <w:t xml:space="preserve">vents and concerns about </w:t>
      </w:r>
      <w:r w:rsidRPr="002444BE">
        <w:rPr>
          <w:rFonts w:cs="Arial"/>
          <w:color w:val="000000"/>
          <w:sz w:val="22"/>
          <w:szCs w:val="22"/>
        </w:rPr>
        <w:t xml:space="preserve">the liability, cost and welfare implications </w:t>
      </w:r>
      <w:r>
        <w:rPr>
          <w:rFonts w:cs="Arial"/>
          <w:color w:val="000000"/>
          <w:sz w:val="22"/>
          <w:szCs w:val="22"/>
        </w:rPr>
        <w:t xml:space="preserve">for Organising Committees </w:t>
      </w:r>
      <w:r w:rsidRPr="002444BE">
        <w:rPr>
          <w:rFonts w:cs="Arial"/>
          <w:color w:val="000000"/>
          <w:sz w:val="22"/>
          <w:szCs w:val="22"/>
        </w:rPr>
        <w:t>associated with a suspected case of Hendra at an event</w:t>
      </w:r>
      <w:r>
        <w:rPr>
          <w:rFonts w:cs="Arial"/>
          <w:color w:val="000000"/>
          <w:sz w:val="22"/>
          <w:szCs w:val="22"/>
        </w:rPr>
        <w:t>.</w:t>
      </w:r>
    </w:p>
    <w:p w:rsidR="007B4057" w:rsidRPr="002444BE" w:rsidRDefault="00B40619" w:rsidP="007B4057">
      <w:pPr>
        <w:pStyle w:val="Summarytextbox"/>
        <w:shd w:val="clear" w:color="auto" w:fill="auto"/>
        <w:rPr>
          <w:b w:val="0"/>
        </w:rPr>
      </w:pPr>
      <w:r>
        <w:rPr>
          <w:b w:val="0"/>
        </w:rPr>
        <w:t xml:space="preserve">After carefully considering the large number of submissions in this matter, and for the reasons outlined in this </w:t>
      </w:r>
      <w:r w:rsidR="00A15463">
        <w:rPr>
          <w:b w:val="0"/>
        </w:rPr>
        <w:t>document</w:t>
      </w:r>
      <w:r>
        <w:rPr>
          <w:b w:val="0"/>
        </w:rPr>
        <w:t xml:space="preserve">, </w:t>
      </w:r>
      <w:r w:rsidR="007B4057" w:rsidRPr="002444BE">
        <w:rPr>
          <w:b w:val="0"/>
        </w:rPr>
        <w:t>the ACCC considers</w:t>
      </w:r>
      <w:r w:rsidR="001E6002" w:rsidRPr="002444BE">
        <w:rPr>
          <w:b w:val="0"/>
        </w:rPr>
        <w:t xml:space="preserve"> that having </w:t>
      </w:r>
      <w:r w:rsidR="000F4B3A">
        <w:rPr>
          <w:b w:val="0"/>
        </w:rPr>
        <w:t>the Hendra vaccination required</w:t>
      </w:r>
      <w:r w:rsidR="001E6002" w:rsidRPr="002444BE">
        <w:rPr>
          <w:b w:val="0"/>
        </w:rPr>
        <w:t xml:space="preserve"> as a condition of entry to particular equestrian events</w:t>
      </w:r>
      <w:r>
        <w:rPr>
          <w:b w:val="0"/>
        </w:rPr>
        <w:t xml:space="preserve"> (after an </w:t>
      </w:r>
      <w:r w:rsidRPr="002444BE">
        <w:rPr>
          <w:b w:val="0"/>
        </w:rPr>
        <w:t>event specific biosecurity risk</w:t>
      </w:r>
      <w:r>
        <w:rPr>
          <w:b w:val="0"/>
        </w:rPr>
        <w:t xml:space="preserve"> assessment has been undertaken) </w:t>
      </w:r>
      <w:r w:rsidR="001E6002" w:rsidRPr="002444BE">
        <w:rPr>
          <w:b w:val="0"/>
        </w:rPr>
        <w:t xml:space="preserve">is likely to result in public benefits by reducing the risk of </w:t>
      </w:r>
      <w:r w:rsidR="005152E5" w:rsidRPr="002444BE">
        <w:rPr>
          <w:b w:val="0"/>
        </w:rPr>
        <w:t>transmission of</w:t>
      </w:r>
      <w:r w:rsidR="00D32419" w:rsidRPr="002444BE">
        <w:rPr>
          <w:b w:val="0"/>
        </w:rPr>
        <w:t xml:space="preserve"> the </w:t>
      </w:r>
      <w:r w:rsidR="001E6002" w:rsidRPr="002444BE">
        <w:rPr>
          <w:b w:val="0"/>
        </w:rPr>
        <w:t xml:space="preserve">Hendra </w:t>
      </w:r>
      <w:r w:rsidR="00D32419" w:rsidRPr="002444BE">
        <w:rPr>
          <w:b w:val="0"/>
        </w:rPr>
        <w:t>virus</w:t>
      </w:r>
      <w:r w:rsidR="001E6002" w:rsidRPr="002444BE">
        <w:rPr>
          <w:b w:val="0"/>
        </w:rPr>
        <w:t xml:space="preserve"> to other horses or to humans.</w:t>
      </w:r>
      <w:r w:rsidR="00F64AA9">
        <w:rPr>
          <w:b w:val="0"/>
        </w:rPr>
        <w:t xml:space="preserve"> This is particularly so</w:t>
      </w:r>
      <w:r w:rsidR="00F64AA9" w:rsidRPr="002444BE">
        <w:rPr>
          <w:b w:val="0"/>
        </w:rPr>
        <w:t xml:space="preserve"> in circumstances where the appropriate Government veterinary medicine regulatory approval body has recently completed a detailed assessment of the Hendra vaccine and found it to be generally safe to use and effective against the Hendra virus</w:t>
      </w:r>
      <w:r w:rsidR="00F64AA9">
        <w:rPr>
          <w:b w:val="0"/>
        </w:rPr>
        <w:t>.</w:t>
      </w:r>
    </w:p>
    <w:p w:rsidR="001E6002" w:rsidRPr="000F4B3A" w:rsidRDefault="001E6002" w:rsidP="002C6F1E">
      <w:pPr>
        <w:pStyle w:val="Summarytextbox"/>
        <w:shd w:val="clear" w:color="auto" w:fill="auto"/>
        <w:spacing w:before="240"/>
        <w:rPr>
          <w:b w:val="0"/>
        </w:rPr>
      </w:pPr>
      <w:r w:rsidRPr="000F4B3A">
        <w:rPr>
          <w:b w:val="0"/>
        </w:rPr>
        <w:t xml:space="preserve">The ACCC </w:t>
      </w:r>
      <w:r w:rsidR="00B40619" w:rsidRPr="000F4B3A">
        <w:rPr>
          <w:b w:val="0"/>
        </w:rPr>
        <w:t xml:space="preserve">accepts that there are </w:t>
      </w:r>
      <w:r w:rsidR="000F4B3A">
        <w:rPr>
          <w:b w:val="0"/>
        </w:rPr>
        <w:t>strong concerns from m</w:t>
      </w:r>
      <w:r w:rsidR="009C47C2">
        <w:rPr>
          <w:b w:val="0"/>
        </w:rPr>
        <w:t>any parties in relation to the n</w:t>
      </w:r>
      <w:r w:rsidR="000F4B3A">
        <w:rPr>
          <w:b w:val="0"/>
        </w:rPr>
        <w:t xml:space="preserve">otification, and that there are </w:t>
      </w:r>
      <w:r w:rsidR="00B40619" w:rsidRPr="000F4B3A">
        <w:rPr>
          <w:b w:val="0"/>
        </w:rPr>
        <w:t xml:space="preserve">detriments associated with </w:t>
      </w:r>
      <w:r w:rsidR="004C6BB4">
        <w:rPr>
          <w:b w:val="0"/>
        </w:rPr>
        <w:t xml:space="preserve">only allowing vaccinated horses to compete in particular events </w:t>
      </w:r>
      <w:r w:rsidR="00B40619" w:rsidRPr="000F4B3A">
        <w:rPr>
          <w:b w:val="0"/>
        </w:rPr>
        <w:t xml:space="preserve">including </w:t>
      </w:r>
      <w:r w:rsidR="007A5E65">
        <w:rPr>
          <w:b w:val="0"/>
        </w:rPr>
        <w:t xml:space="preserve">as a result of any </w:t>
      </w:r>
      <w:r w:rsidR="00B40619" w:rsidRPr="000F4B3A">
        <w:rPr>
          <w:rFonts w:eastAsia="Arial"/>
          <w:b w:val="0"/>
        </w:rPr>
        <w:t xml:space="preserve">adverse reactions </w:t>
      </w:r>
      <w:r w:rsidR="004C6BB4">
        <w:rPr>
          <w:rFonts w:eastAsia="Arial"/>
          <w:b w:val="0"/>
        </w:rPr>
        <w:t xml:space="preserve">to the vaccine </w:t>
      </w:r>
      <w:r w:rsidR="000F4B3A" w:rsidRPr="000F4B3A">
        <w:rPr>
          <w:rFonts w:eastAsia="Arial"/>
          <w:b w:val="0"/>
        </w:rPr>
        <w:t xml:space="preserve">and </w:t>
      </w:r>
      <w:r w:rsidR="00A15463">
        <w:rPr>
          <w:rFonts w:eastAsia="Arial"/>
          <w:b w:val="0"/>
        </w:rPr>
        <w:t xml:space="preserve">associated </w:t>
      </w:r>
      <w:r w:rsidR="000F4B3A" w:rsidRPr="000F4B3A">
        <w:rPr>
          <w:rFonts w:eastAsia="Arial"/>
          <w:b w:val="0"/>
        </w:rPr>
        <w:t xml:space="preserve">financial </w:t>
      </w:r>
      <w:r w:rsidR="004429CE">
        <w:rPr>
          <w:rFonts w:eastAsia="Arial"/>
          <w:b w:val="0"/>
        </w:rPr>
        <w:t>implications</w:t>
      </w:r>
      <w:r w:rsidR="000F4B3A">
        <w:rPr>
          <w:rFonts w:eastAsia="Arial"/>
          <w:b w:val="0"/>
        </w:rPr>
        <w:t>. However, the ACCC does not consider that these</w:t>
      </w:r>
      <w:r w:rsidRPr="000F4B3A">
        <w:rPr>
          <w:b w:val="0"/>
        </w:rPr>
        <w:t xml:space="preserve"> detriments outweigh the benefits</w:t>
      </w:r>
      <w:r w:rsidR="000F4B3A" w:rsidRPr="000F4B3A">
        <w:rPr>
          <w:b w:val="0"/>
        </w:rPr>
        <w:t xml:space="preserve">. Accordingly the ACCC </w:t>
      </w:r>
      <w:r w:rsidRPr="000F4B3A">
        <w:rPr>
          <w:b w:val="0"/>
        </w:rPr>
        <w:t>does not intend to take any further action o</w:t>
      </w:r>
      <w:r w:rsidR="002444BE" w:rsidRPr="000F4B3A">
        <w:rPr>
          <w:b w:val="0"/>
        </w:rPr>
        <w:t>n this notification</w:t>
      </w:r>
      <w:r w:rsidRPr="000F4B3A">
        <w:rPr>
          <w:b w:val="0"/>
        </w:rPr>
        <w:t xml:space="preserve">.  As a result, the statutory protection </w:t>
      </w:r>
      <w:r w:rsidR="009C47C2">
        <w:rPr>
          <w:b w:val="0"/>
        </w:rPr>
        <w:t>afforded to EA by the n</w:t>
      </w:r>
      <w:r w:rsidRPr="000F4B3A">
        <w:rPr>
          <w:b w:val="0"/>
        </w:rPr>
        <w:t>otification continues.</w:t>
      </w:r>
    </w:p>
    <w:p w:rsidR="00F613ED" w:rsidRPr="00EF7BF0" w:rsidRDefault="00245C0F" w:rsidP="00F613ED">
      <w:pPr>
        <w:pStyle w:val="Heading1"/>
        <w:numPr>
          <w:ilvl w:val="0"/>
          <w:numId w:val="1"/>
        </w:numPr>
        <w:tabs>
          <w:tab w:val="clear" w:pos="1211"/>
          <w:tab w:val="num" w:pos="851"/>
        </w:tabs>
        <w:ind w:hanging="1211"/>
        <w:rPr>
          <w:rFonts w:cs="Arial"/>
          <w:sz w:val="28"/>
          <w:szCs w:val="28"/>
          <w:u w:val="none"/>
        </w:rPr>
      </w:pPr>
      <w:r>
        <w:rPr>
          <w:b w:val="0"/>
        </w:rPr>
        <w:br w:type="page"/>
      </w:r>
      <w:bookmarkEnd w:id="1"/>
      <w:bookmarkEnd w:id="2"/>
      <w:r w:rsidR="00F613ED">
        <w:rPr>
          <w:rFonts w:cs="Arial"/>
          <w:sz w:val="28"/>
          <w:szCs w:val="28"/>
          <w:u w:val="none"/>
        </w:rPr>
        <w:lastRenderedPageBreak/>
        <w:t>Background</w:t>
      </w:r>
    </w:p>
    <w:p w:rsidR="00F613ED" w:rsidRPr="00EF7BF0" w:rsidRDefault="00F613ED" w:rsidP="00F613ED">
      <w:pPr>
        <w:rPr>
          <w:rFonts w:cs="Arial"/>
        </w:rPr>
      </w:pPr>
    </w:p>
    <w:p w:rsidR="00092F44" w:rsidRPr="002444BE" w:rsidRDefault="00AD021B" w:rsidP="00855B1A">
      <w:pPr>
        <w:numPr>
          <w:ilvl w:val="1"/>
          <w:numId w:val="3"/>
        </w:numPr>
        <w:tabs>
          <w:tab w:val="clear" w:pos="720"/>
          <w:tab w:val="num" w:pos="851"/>
        </w:tabs>
        <w:spacing w:after="240"/>
        <w:ind w:left="851" w:hanging="851"/>
        <w:rPr>
          <w:rFonts w:cs="Arial"/>
          <w:sz w:val="22"/>
          <w:szCs w:val="22"/>
        </w:rPr>
      </w:pPr>
      <w:r w:rsidRPr="002444BE">
        <w:rPr>
          <w:rFonts w:cs="Arial"/>
          <w:sz w:val="22"/>
          <w:szCs w:val="22"/>
        </w:rPr>
        <w:t xml:space="preserve">The ACCC is the Commonwealth agency responsible for administering the </w:t>
      </w:r>
      <w:r w:rsidRPr="002444BE">
        <w:rPr>
          <w:rFonts w:cs="Arial"/>
          <w:i/>
          <w:sz w:val="22"/>
          <w:szCs w:val="22"/>
        </w:rPr>
        <w:t>Competition and Consumer Act 2010</w:t>
      </w:r>
      <w:r w:rsidRPr="002444BE">
        <w:rPr>
          <w:rFonts w:cs="Arial"/>
          <w:sz w:val="22"/>
          <w:szCs w:val="22"/>
        </w:rPr>
        <w:t xml:space="preserve"> (C</w:t>
      </w:r>
      <w:r w:rsidR="00D32419" w:rsidRPr="002444BE">
        <w:rPr>
          <w:rFonts w:cs="Arial"/>
          <w:sz w:val="22"/>
          <w:szCs w:val="22"/>
        </w:rPr>
        <w:t>CA</w:t>
      </w:r>
      <w:r w:rsidRPr="002444BE">
        <w:rPr>
          <w:rFonts w:cs="Arial"/>
          <w:sz w:val="22"/>
          <w:szCs w:val="22"/>
        </w:rPr>
        <w:t xml:space="preserve">). The object of the </w:t>
      </w:r>
      <w:r w:rsidR="00D32419" w:rsidRPr="002444BE">
        <w:rPr>
          <w:rFonts w:cs="Arial"/>
          <w:sz w:val="22"/>
          <w:szCs w:val="22"/>
        </w:rPr>
        <w:t xml:space="preserve">CCA </w:t>
      </w:r>
      <w:r w:rsidRPr="002444BE">
        <w:rPr>
          <w:rFonts w:cs="Arial"/>
          <w:sz w:val="22"/>
          <w:szCs w:val="22"/>
        </w:rPr>
        <w:t>is to enhance the welfare of Australians</w:t>
      </w:r>
      <w:r w:rsidR="00045DE7" w:rsidRPr="002444BE">
        <w:rPr>
          <w:rFonts w:cs="Arial"/>
          <w:sz w:val="22"/>
          <w:szCs w:val="22"/>
        </w:rPr>
        <w:t>, including</w:t>
      </w:r>
      <w:r w:rsidRPr="002444BE">
        <w:rPr>
          <w:rFonts w:cs="Arial"/>
          <w:sz w:val="22"/>
          <w:szCs w:val="22"/>
        </w:rPr>
        <w:t xml:space="preserve"> through the promotion of competition and fair trading.</w:t>
      </w:r>
    </w:p>
    <w:p w:rsidR="00404804" w:rsidRPr="002444BE" w:rsidRDefault="00404804" w:rsidP="00404804">
      <w:pPr>
        <w:numPr>
          <w:ilvl w:val="1"/>
          <w:numId w:val="3"/>
        </w:numPr>
        <w:tabs>
          <w:tab w:val="clear" w:pos="720"/>
          <w:tab w:val="num" w:pos="851"/>
        </w:tabs>
        <w:spacing w:after="240"/>
        <w:ind w:left="851" w:hanging="851"/>
        <w:rPr>
          <w:rFonts w:cs="Arial"/>
          <w:sz w:val="22"/>
          <w:szCs w:val="22"/>
          <w:lang w:val="en-AU"/>
        </w:rPr>
      </w:pPr>
      <w:r w:rsidRPr="002444BE">
        <w:rPr>
          <w:rFonts w:cs="Arial"/>
          <w:sz w:val="22"/>
          <w:szCs w:val="22"/>
          <w:lang w:val="en-AU"/>
        </w:rPr>
        <w:t xml:space="preserve">Section 47 of the </w:t>
      </w:r>
      <w:r w:rsidR="00D32419" w:rsidRPr="002444BE">
        <w:rPr>
          <w:rFonts w:cs="Arial"/>
          <w:sz w:val="22"/>
          <w:szCs w:val="22"/>
          <w:lang w:val="en-AU"/>
        </w:rPr>
        <w:t xml:space="preserve">CCA </w:t>
      </w:r>
      <w:r w:rsidRPr="002444BE">
        <w:rPr>
          <w:rFonts w:cs="Arial"/>
          <w:sz w:val="22"/>
          <w:szCs w:val="22"/>
          <w:lang w:val="en-AU"/>
        </w:rPr>
        <w:t>prohibits exclusive dealing conduct, including conduct commonly referred to as ‘third line forcing’. Broadly speaking, third line forcing</w:t>
      </w:r>
      <w:r w:rsidRPr="002444BE">
        <w:rPr>
          <w:rFonts w:cs="Arial"/>
          <w:sz w:val="22"/>
          <w:szCs w:val="22"/>
        </w:rPr>
        <w:t xml:space="preserve"> </w:t>
      </w:r>
      <w:r w:rsidR="00045DE7" w:rsidRPr="002444BE">
        <w:rPr>
          <w:rFonts w:cs="Arial"/>
          <w:sz w:val="22"/>
          <w:szCs w:val="22"/>
        </w:rPr>
        <w:t xml:space="preserve">involves the supply of goods or services on condition that a buyer acquires other goods or services from another person, or a refusal to supply because the buyer will not agree to that condition. </w:t>
      </w:r>
    </w:p>
    <w:p w:rsidR="00404804" w:rsidRPr="002444BE" w:rsidRDefault="00404804" w:rsidP="00404804">
      <w:pPr>
        <w:numPr>
          <w:ilvl w:val="1"/>
          <w:numId w:val="3"/>
        </w:numPr>
        <w:tabs>
          <w:tab w:val="clear" w:pos="720"/>
          <w:tab w:val="num" w:pos="851"/>
        </w:tabs>
        <w:spacing w:after="240"/>
        <w:ind w:left="851" w:hanging="851"/>
        <w:rPr>
          <w:rFonts w:cs="Arial"/>
          <w:sz w:val="22"/>
          <w:szCs w:val="22"/>
          <w:lang w:val="en-AU"/>
        </w:rPr>
      </w:pPr>
      <w:r w:rsidRPr="002444BE">
        <w:rPr>
          <w:rFonts w:cs="Arial"/>
          <w:sz w:val="22"/>
          <w:szCs w:val="22"/>
          <w:lang w:val="en-AU"/>
        </w:rPr>
        <w:t xml:space="preserve">Businesses may obtain protection from legal action to engage in exclusive dealing conduct by lodging a ‘notification’ with the ACCC. The protection from legal action that is provided by a notification for third line forcing commences </w:t>
      </w:r>
      <w:r w:rsidR="00B0371E" w:rsidRPr="002444BE">
        <w:rPr>
          <w:rFonts w:cs="Arial"/>
          <w:sz w:val="22"/>
          <w:szCs w:val="22"/>
          <w:lang w:val="en-AU"/>
        </w:rPr>
        <w:t xml:space="preserve">automatically </w:t>
      </w:r>
      <w:r w:rsidRPr="002444BE">
        <w:rPr>
          <w:rFonts w:cs="Arial"/>
          <w:sz w:val="22"/>
          <w:szCs w:val="22"/>
          <w:lang w:val="en-AU"/>
        </w:rPr>
        <w:t xml:space="preserve">14 days after the day </w:t>
      </w:r>
      <w:r w:rsidR="007A5E65">
        <w:rPr>
          <w:rFonts w:cs="Arial"/>
          <w:sz w:val="22"/>
          <w:szCs w:val="22"/>
          <w:lang w:val="en-AU"/>
        </w:rPr>
        <w:t xml:space="preserve">on which </w:t>
      </w:r>
      <w:r w:rsidRPr="002444BE">
        <w:rPr>
          <w:rFonts w:cs="Arial"/>
          <w:sz w:val="22"/>
          <w:szCs w:val="22"/>
          <w:lang w:val="en-AU"/>
        </w:rPr>
        <w:t>the notification is lodged.</w:t>
      </w:r>
    </w:p>
    <w:p w:rsidR="00AD021B" w:rsidRPr="002444BE" w:rsidRDefault="00404804" w:rsidP="00855B1A">
      <w:pPr>
        <w:numPr>
          <w:ilvl w:val="1"/>
          <w:numId w:val="3"/>
        </w:numPr>
        <w:tabs>
          <w:tab w:val="clear" w:pos="720"/>
          <w:tab w:val="num" w:pos="851"/>
        </w:tabs>
        <w:spacing w:after="240"/>
        <w:ind w:left="851" w:hanging="851"/>
        <w:rPr>
          <w:rFonts w:cs="Arial"/>
          <w:sz w:val="22"/>
          <w:szCs w:val="22"/>
        </w:rPr>
      </w:pPr>
      <w:r w:rsidRPr="002444BE">
        <w:rPr>
          <w:rFonts w:cs="Arial"/>
          <w:sz w:val="22"/>
          <w:szCs w:val="22"/>
        </w:rPr>
        <w:t>The ACCC may issue a notice which has the effect of revoking</w:t>
      </w:r>
      <w:r w:rsidR="00AD021B" w:rsidRPr="002444BE">
        <w:rPr>
          <w:rFonts w:cs="Arial"/>
          <w:sz w:val="22"/>
          <w:szCs w:val="22"/>
        </w:rPr>
        <w:t xml:space="preserve"> a third line forcing notification at any time if it is satisfied that the likely benefit to the public from the notified conduct will not outweigh the </w:t>
      </w:r>
      <w:r w:rsidRPr="002444BE">
        <w:rPr>
          <w:rFonts w:cs="Arial"/>
          <w:sz w:val="22"/>
          <w:szCs w:val="22"/>
        </w:rPr>
        <w:t>detriment to the public from the notified conduct.</w:t>
      </w:r>
      <w:r w:rsidRPr="002444BE">
        <w:rPr>
          <w:rStyle w:val="FootnoteReference"/>
          <w:rFonts w:cs="Arial"/>
          <w:sz w:val="22"/>
          <w:szCs w:val="22"/>
        </w:rPr>
        <w:footnoteReference w:id="2"/>
      </w:r>
    </w:p>
    <w:p w:rsidR="00404804" w:rsidRPr="002444BE" w:rsidRDefault="00404804" w:rsidP="007358E1">
      <w:pPr>
        <w:numPr>
          <w:ilvl w:val="1"/>
          <w:numId w:val="3"/>
        </w:numPr>
        <w:tabs>
          <w:tab w:val="clear" w:pos="720"/>
          <w:tab w:val="num" w:pos="851"/>
        </w:tabs>
        <w:spacing w:after="240"/>
        <w:ind w:left="851" w:hanging="851"/>
        <w:rPr>
          <w:rFonts w:cs="Arial"/>
          <w:sz w:val="22"/>
          <w:szCs w:val="22"/>
        </w:rPr>
      </w:pPr>
      <w:r w:rsidRPr="002444BE">
        <w:rPr>
          <w:rFonts w:cs="Arial"/>
          <w:sz w:val="22"/>
          <w:szCs w:val="22"/>
        </w:rPr>
        <w:t>The ACCC is not required to provide a statement of reasons where it has decided to take no further action in relation to a notification. However, where, as in this case, significant consultation has occurred the ACCC will prepare a statement of reasons to provide greater transparency in respect of its decision.</w:t>
      </w:r>
    </w:p>
    <w:p w:rsidR="004930FC" w:rsidRPr="002444BE" w:rsidRDefault="00045DE7" w:rsidP="007358E1">
      <w:pPr>
        <w:numPr>
          <w:ilvl w:val="1"/>
          <w:numId w:val="3"/>
        </w:numPr>
        <w:tabs>
          <w:tab w:val="clear" w:pos="720"/>
          <w:tab w:val="num" w:pos="851"/>
        </w:tabs>
        <w:spacing w:after="240"/>
        <w:ind w:left="851" w:hanging="851"/>
        <w:rPr>
          <w:rFonts w:cs="Arial"/>
          <w:sz w:val="22"/>
          <w:szCs w:val="22"/>
        </w:rPr>
      </w:pPr>
      <w:r w:rsidRPr="002444BE">
        <w:rPr>
          <w:rFonts w:cs="Arial"/>
          <w:sz w:val="22"/>
          <w:szCs w:val="22"/>
        </w:rPr>
        <w:t>T</w:t>
      </w:r>
      <w:r w:rsidR="00DA78E6" w:rsidRPr="002444BE">
        <w:rPr>
          <w:rFonts w:cs="Arial"/>
          <w:sz w:val="22"/>
          <w:szCs w:val="22"/>
        </w:rPr>
        <w:t xml:space="preserve">his </w:t>
      </w:r>
      <w:r w:rsidRPr="002444BE">
        <w:rPr>
          <w:rFonts w:cs="Arial"/>
          <w:sz w:val="22"/>
          <w:szCs w:val="22"/>
        </w:rPr>
        <w:t>st</w:t>
      </w:r>
      <w:r w:rsidR="00DA78E6" w:rsidRPr="002444BE">
        <w:rPr>
          <w:rFonts w:cs="Arial"/>
          <w:sz w:val="22"/>
          <w:szCs w:val="22"/>
        </w:rPr>
        <w:t xml:space="preserve">atement of </w:t>
      </w:r>
      <w:r w:rsidRPr="002444BE">
        <w:rPr>
          <w:rFonts w:cs="Arial"/>
          <w:sz w:val="22"/>
          <w:szCs w:val="22"/>
        </w:rPr>
        <w:t>r</w:t>
      </w:r>
      <w:r w:rsidR="00DA78E6" w:rsidRPr="002444BE">
        <w:rPr>
          <w:rFonts w:cs="Arial"/>
          <w:sz w:val="22"/>
          <w:szCs w:val="22"/>
        </w:rPr>
        <w:t>easons outlines the basis on which t</w:t>
      </w:r>
      <w:r w:rsidR="004A6D88" w:rsidRPr="002444BE">
        <w:rPr>
          <w:rFonts w:cs="Arial"/>
          <w:sz w:val="22"/>
          <w:szCs w:val="22"/>
        </w:rPr>
        <w:t xml:space="preserve">he </w:t>
      </w:r>
      <w:r w:rsidR="00404804" w:rsidRPr="002444BE">
        <w:rPr>
          <w:rFonts w:cs="Arial"/>
          <w:sz w:val="22"/>
          <w:szCs w:val="22"/>
        </w:rPr>
        <w:t>ACCC</w:t>
      </w:r>
      <w:r w:rsidR="00DA78E6" w:rsidRPr="002444BE">
        <w:rPr>
          <w:rFonts w:cs="Arial"/>
          <w:sz w:val="22"/>
          <w:szCs w:val="22"/>
        </w:rPr>
        <w:t xml:space="preserve"> has </w:t>
      </w:r>
      <w:r w:rsidRPr="002444BE">
        <w:rPr>
          <w:rFonts w:cs="Arial"/>
          <w:sz w:val="22"/>
          <w:szCs w:val="22"/>
        </w:rPr>
        <w:t xml:space="preserve">decided not to take any further action in relation to the </w:t>
      </w:r>
      <w:r w:rsidR="00E73846">
        <w:rPr>
          <w:rFonts w:cs="Arial"/>
          <w:sz w:val="22"/>
          <w:szCs w:val="22"/>
        </w:rPr>
        <w:t>n</w:t>
      </w:r>
      <w:r w:rsidRPr="002444BE">
        <w:rPr>
          <w:rFonts w:cs="Arial"/>
          <w:sz w:val="22"/>
          <w:szCs w:val="22"/>
        </w:rPr>
        <w:t>otification</w:t>
      </w:r>
      <w:r w:rsidR="00E73846">
        <w:rPr>
          <w:rFonts w:cs="Arial"/>
          <w:sz w:val="22"/>
          <w:szCs w:val="22"/>
        </w:rPr>
        <w:t xml:space="preserve"> lodged by Equestrian Australia Limited (EA)</w:t>
      </w:r>
      <w:r w:rsidRPr="002444BE">
        <w:rPr>
          <w:rFonts w:cs="Arial"/>
          <w:sz w:val="22"/>
          <w:szCs w:val="22"/>
        </w:rPr>
        <w:t xml:space="preserve">. </w:t>
      </w:r>
    </w:p>
    <w:p w:rsidR="009D4D45" w:rsidRDefault="003E610D" w:rsidP="00F613ED">
      <w:pPr>
        <w:pStyle w:val="Heading1"/>
        <w:numPr>
          <w:ilvl w:val="0"/>
          <w:numId w:val="1"/>
        </w:numPr>
        <w:tabs>
          <w:tab w:val="clear" w:pos="1211"/>
          <w:tab w:val="num" w:pos="851"/>
        </w:tabs>
        <w:ind w:hanging="1211"/>
        <w:rPr>
          <w:rFonts w:cs="Arial"/>
          <w:sz w:val="28"/>
          <w:szCs w:val="28"/>
          <w:u w:val="none"/>
        </w:rPr>
      </w:pPr>
      <w:bookmarkStart w:id="3" w:name="_Toc75163618"/>
      <w:bookmarkStart w:id="4" w:name="_Toc96920224"/>
      <w:r>
        <w:rPr>
          <w:rFonts w:cs="Arial"/>
          <w:sz w:val="28"/>
          <w:szCs w:val="28"/>
          <w:u w:val="none"/>
        </w:rPr>
        <w:t>The notified c</w:t>
      </w:r>
      <w:r w:rsidR="00045DE7">
        <w:rPr>
          <w:rFonts w:cs="Arial"/>
          <w:sz w:val="28"/>
          <w:szCs w:val="28"/>
          <w:u w:val="none"/>
        </w:rPr>
        <w:t>onduct</w:t>
      </w:r>
    </w:p>
    <w:p w:rsidR="00045DE7" w:rsidRPr="00855B1A" w:rsidRDefault="00045DE7" w:rsidP="00F613ED">
      <w:pPr>
        <w:widowControl w:val="0"/>
      </w:pPr>
    </w:p>
    <w:p w:rsidR="00C34760" w:rsidRPr="00F613ED" w:rsidRDefault="00C34760" w:rsidP="00F613ED">
      <w:pPr>
        <w:numPr>
          <w:ilvl w:val="1"/>
          <w:numId w:val="67"/>
        </w:numPr>
        <w:tabs>
          <w:tab w:val="left" w:pos="851"/>
        </w:tabs>
        <w:spacing w:after="240"/>
        <w:ind w:left="851" w:hanging="851"/>
        <w:rPr>
          <w:sz w:val="22"/>
          <w:szCs w:val="22"/>
        </w:rPr>
      </w:pPr>
      <w:r w:rsidRPr="00F613ED">
        <w:rPr>
          <w:sz w:val="22"/>
          <w:szCs w:val="22"/>
        </w:rPr>
        <w:t xml:space="preserve">On 30 July 2015, EA lodged third line forcing notification N98410 (the Notification) with the Australian Competition and Consumer Commission (ACCC). </w:t>
      </w:r>
    </w:p>
    <w:p w:rsidR="00E822DC" w:rsidRPr="00F613ED" w:rsidRDefault="00045DE7" w:rsidP="00F613ED">
      <w:pPr>
        <w:numPr>
          <w:ilvl w:val="1"/>
          <w:numId w:val="67"/>
        </w:numPr>
        <w:tabs>
          <w:tab w:val="left" w:pos="851"/>
        </w:tabs>
        <w:spacing w:after="240"/>
        <w:ind w:left="851" w:hanging="851"/>
        <w:rPr>
          <w:sz w:val="22"/>
          <w:szCs w:val="22"/>
        </w:rPr>
      </w:pPr>
      <w:r w:rsidRPr="00F613ED">
        <w:rPr>
          <w:sz w:val="22"/>
          <w:szCs w:val="22"/>
        </w:rPr>
        <w:t xml:space="preserve">The Notification relates to </w:t>
      </w:r>
      <w:r w:rsidR="003E610D" w:rsidRPr="00F613ED">
        <w:rPr>
          <w:sz w:val="22"/>
          <w:szCs w:val="22"/>
        </w:rPr>
        <w:t xml:space="preserve">third line forcing conduct under sections 47(6) and (7) of the </w:t>
      </w:r>
      <w:r w:rsidR="00D32419" w:rsidRPr="00F613ED">
        <w:rPr>
          <w:sz w:val="22"/>
          <w:szCs w:val="22"/>
        </w:rPr>
        <w:t>CCA</w:t>
      </w:r>
      <w:r w:rsidR="003E610D" w:rsidRPr="00F613ED">
        <w:rPr>
          <w:sz w:val="22"/>
          <w:szCs w:val="22"/>
        </w:rPr>
        <w:t xml:space="preserve">. </w:t>
      </w:r>
    </w:p>
    <w:p w:rsidR="003E610D" w:rsidRPr="00F613ED" w:rsidRDefault="003E610D" w:rsidP="00F613ED">
      <w:pPr>
        <w:numPr>
          <w:ilvl w:val="1"/>
          <w:numId w:val="67"/>
        </w:numPr>
        <w:tabs>
          <w:tab w:val="left" w:pos="851"/>
        </w:tabs>
        <w:spacing w:after="240"/>
        <w:rPr>
          <w:sz w:val="22"/>
          <w:szCs w:val="22"/>
        </w:rPr>
      </w:pPr>
      <w:r w:rsidRPr="00F613ED">
        <w:rPr>
          <w:sz w:val="22"/>
          <w:szCs w:val="22"/>
        </w:rPr>
        <w:t xml:space="preserve">The legal protection from the Notification took effect on 13 August 2015. </w:t>
      </w:r>
    </w:p>
    <w:p w:rsidR="00BC772C" w:rsidRPr="002444BE" w:rsidRDefault="00BC772C" w:rsidP="00F613ED">
      <w:pPr>
        <w:numPr>
          <w:ilvl w:val="1"/>
          <w:numId w:val="67"/>
        </w:numPr>
        <w:tabs>
          <w:tab w:val="left" w:pos="851"/>
        </w:tabs>
        <w:spacing w:after="240"/>
        <w:ind w:left="851" w:hanging="851"/>
        <w:rPr>
          <w:rFonts w:cs="Arial"/>
          <w:sz w:val="22"/>
          <w:szCs w:val="22"/>
        </w:rPr>
      </w:pPr>
      <w:r w:rsidRPr="00F613ED">
        <w:rPr>
          <w:sz w:val="22"/>
          <w:szCs w:val="22"/>
        </w:rPr>
        <w:t>Amongst other things, the ACCC understands that EA administers equestrian sports in Australia</w:t>
      </w:r>
      <w:r w:rsidRPr="002444BE">
        <w:rPr>
          <w:rFonts w:cs="Arial"/>
          <w:sz w:val="22"/>
          <w:szCs w:val="22"/>
        </w:rPr>
        <w:t xml:space="preserve"> in relation to eight internationally reco</w:t>
      </w:r>
      <w:r w:rsidR="00F651B3" w:rsidRPr="002444BE">
        <w:rPr>
          <w:rFonts w:cs="Arial"/>
          <w:sz w:val="22"/>
          <w:szCs w:val="22"/>
        </w:rPr>
        <w:t xml:space="preserve">gnised equestrian disciplines, </w:t>
      </w:r>
      <w:r w:rsidR="00C34760" w:rsidRPr="002444BE">
        <w:rPr>
          <w:rFonts w:cs="Arial"/>
          <w:sz w:val="22"/>
          <w:szCs w:val="22"/>
        </w:rPr>
        <w:t>E</w:t>
      </w:r>
      <w:r w:rsidR="00F651B3" w:rsidRPr="002444BE">
        <w:rPr>
          <w:rFonts w:cs="Arial"/>
          <w:sz w:val="22"/>
          <w:szCs w:val="22"/>
        </w:rPr>
        <w:t xml:space="preserve">venting, </w:t>
      </w:r>
      <w:r w:rsidR="00C34760" w:rsidRPr="002444BE">
        <w:rPr>
          <w:rFonts w:cs="Arial"/>
          <w:sz w:val="22"/>
          <w:szCs w:val="22"/>
        </w:rPr>
        <w:t>S</w:t>
      </w:r>
      <w:r w:rsidR="00F651B3" w:rsidRPr="002444BE">
        <w:rPr>
          <w:rFonts w:cs="Arial"/>
          <w:sz w:val="22"/>
          <w:szCs w:val="22"/>
        </w:rPr>
        <w:t xml:space="preserve">how-jumping, </w:t>
      </w:r>
      <w:r w:rsidR="00C34760" w:rsidRPr="002444BE">
        <w:rPr>
          <w:rFonts w:cs="Arial"/>
          <w:sz w:val="22"/>
          <w:szCs w:val="22"/>
        </w:rPr>
        <w:t>D</w:t>
      </w:r>
      <w:r w:rsidR="00F651B3" w:rsidRPr="002444BE">
        <w:rPr>
          <w:rFonts w:cs="Arial"/>
          <w:sz w:val="22"/>
          <w:szCs w:val="22"/>
        </w:rPr>
        <w:t xml:space="preserve">ressage, </w:t>
      </w:r>
      <w:r w:rsidR="00C34760" w:rsidRPr="002444BE">
        <w:rPr>
          <w:rFonts w:cs="Arial"/>
          <w:sz w:val="22"/>
          <w:szCs w:val="22"/>
        </w:rPr>
        <w:t>C</w:t>
      </w:r>
      <w:r w:rsidRPr="002444BE">
        <w:rPr>
          <w:rFonts w:cs="Arial"/>
          <w:sz w:val="22"/>
          <w:szCs w:val="22"/>
        </w:rPr>
        <w:t>arriage Driving, Show Horse, Vaulting, Endurance and Para-equestrian, and one national discipline, Show Horse.</w:t>
      </w:r>
    </w:p>
    <w:p w:rsidR="00FE3551" w:rsidRPr="002444BE" w:rsidRDefault="003E610D" w:rsidP="00F613ED">
      <w:pPr>
        <w:numPr>
          <w:ilvl w:val="1"/>
          <w:numId w:val="67"/>
        </w:numPr>
        <w:tabs>
          <w:tab w:val="left" w:pos="851"/>
        </w:tabs>
        <w:spacing w:after="240"/>
        <w:ind w:left="851" w:hanging="851"/>
        <w:rPr>
          <w:sz w:val="22"/>
          <w:szCs w:val="22"/>
        </w:rPr>
      </w:pPr>
      <w:r w:rsidRPr="002444BE">
        <w:rPr>
          <w:rFonts w:cs="Arial"/>
          <w:sz w:val="22"/>
          <w:szCs w:val="22"/>
        </w:rPr>
        <w:lastRenderedPageBreak/>
        <w:t xml:space="preserve">The Notification </w:t>
      </w:r>
      <w:r w:rsidR="00FE3551" w:rsidRPr="002444BE">
        <w:rPr>
          <w:rFonts w:cs="Arial"/>
          <w:sz w:val="22"/>
          <w:szCs w:val="22"/>
        </w:rPr>
        <w:t>is stated to relate to:</w:t>
      </w:r>
    </w:p>
    <w:p w:rsidR="003E610D" w:rsidRPr="002444BE" w:rsidRDefault="003E610D" w:rsidP="00461B1D">
      <w:pPr>
        <w:numPr>
          <w:ilvl w:val="0"/>
          <w:numId w:val="52"/>
        </w:numPr>
        <w:spacing w:before="120" w:after="120"/>
        <w:ind w:left="1208" w:hanging="357"/>
        <w:rPr>
          <w:sz w:val="22"/>
          <w:szCs w:val="22"/>
        </w:rPr>
      </w:pPr>
      <w:r w:rsidRPr="002444BE">
        <w:rPr>
          <w:rFonts w:cs="Arial"/>
          <w:sz w:val="22"/>
          <w:szCs w:val="22"/>
        </w:rPr>
        <w:t>equestrian sports events services (</w:t>
      </w:r>
      <w:r w:rsidRPr="002444BE">
        <w:rPr>
          <w:rFonts w:cs="Arial"/>
          <w:b/>
          <w:sz w:val="22"/>
          <w:szCs w:val="22"/>
        </w:rPr>
        <w:t>Event Services</w:t>
      </w:r>
      <w:r w:rsidRPr="002444BE">
        <w:rPr>
          <w:rFonts w:cs="Arial"/>
          <w:sz w:val="22"/>
          <w:szCs w:val="22"/>
        </w:rPr>
        <w:t>), including the control, management, conduct and official recognition of equestrian sports competitions, exhibitions, events, demonstrations and displays (</w:t>
      </w:r>
      <w:r w:rsidRPr="002444BE">
        <w:rPr>
          <w:rFonts w:cs="Arial"/>
          <w:b/>
          <w:sz w:val="22"/>
          <w:szCs w:val="22"/>
        </w:rPr>
        <w:t>Events</w:t>
      </w:r>
      <w:r w:rsidRPr="002444BE">
        <w:rPr>
          <w:rFonts w:cs="Arial"/>
          <w:sz w:val="22"/>
          <w:szCs w:val="22"/>
        </w:rPr>
        <w:t>) to owners and/or riders of equestrian sports horses (</w:t>
      </w:r>
      <w:r w:rsidRPr="002444BE">
        <w:rPr>
          <w:rFonts w:cs="Arial"/>
          <w:b/>
          <w:sz w:val="22"/>
          <w:szCs w:val="22"/>
        </w:rPr>
        <w:t>Entrants</w:t>
      </w:r>
      <w:r w:rsidRPr="002444BE">
        <w:rPr>
          <w:rFonts w:cs="Arial"/>
          <w:sz w:val="22"/>
          <w:szCs w:val="22"/>
        </w:rPr>
        <w:t>) who are members of EA</w:t>
      </w:r>
      <w:r w:rsidR="00FE3551" w:rsidRPr="002444BE">
        <w:rPr>
          <w:rFonts w:cs="Arial"/>
          <w:sz w:val="22"/>
          <w:szCs w:val="22"/>
        </w:rPr>
        <w:t xml:space="preserve"> and</w:t>
      </w:r>
    </w:p>
    <w:p w:rsidR="00FE3551" w:rsidRPr="002444BE" w:rsidRDefault="00FE3551" w:rsidP="00461B1D">
      <w:pPr>
        <w:numPr>
          <w:ilvl w:val="0"/>
          <w:numId w:val="52"/>
        </w:numPr>
        <w:spacing w:before="120" w:after="120"/>
        <w:ind w:left="1208" w:hanging="357"/>
        <w:rPr>
          <w:sz w:val="22"/>
          <w:szCs w:val="22"/>
        </w:rPr>
      </w:pPr>
      <w:r w:rsidRPr="002444BE">
        <w:rPr>
          <w:rFonts w:cs="Arial"/>
          <w:sz w:val="22"/>
          <w:szCs w:val="22"/>
        </w:rPr>
        <w:t>the supply and administration to horses of a vaccine against Hendra virus (</w:t>
      </w:r>
      <w:r w:rsidRPr="002444BE">
        <w:rPr>
          <w:rFonts w:cs="Arial"/>
          <w:b/>
          <w:sz w:val="22"/>
          <w:szCs w:val="22"/>
        </w:rPr>
        <w:t>HeV</w:t>
      </w:r>
      <w:r w:rsidRPr="002444BE">
        <w:rPr>
          <w:rFonts w:cs="Arial"/>
          <w:sz w:val="22"/>
          <w:szCs w:val="22"/>
        </w:rPr>
        <w:t>), a zoonotic (i.e. transmittable to humans) paramyxovirus that causes serious illness and death to horses and humans.</w:t>
      </w:r>
    </w:p>
    <w:p w:rsidR="00FE3551" w:rsidRPr="002444BE" w:rsidRDefault="00FE3551" w:rsidP="00F613ED">
      <w:pPr>
        <w:numPr>
          <w:ilvl w:val="1"/>
          <w:numId w:val="67"/>
        </w:numPr>
        <w:tabs>
          <w:tab w:val="left" w:pos="851"/>
        </w:tabs>
        <w:spacing w:after="240"/>
        <w:ind w:left="851" w:hanging="851"/>
        <w:rPr>
          <w:sz w:val="22"/>
          <w:szCs w:val="22"/>
        </w:rPr>
      </w:pPr>
      <w:r w:rsidRPr="002444BE">
        <w:rPr>
          <w:rFonts w:cs="Arial"/>
          <w:sz w:val="22"/>
          <w:szCs w:val="22"/>
        </w:rPr>
        <w:t>The notifi</w:t>
      </w:r>
      <w:r w:rsidR="000923B9" w:rsidRPr="002444BE">
        <w:rPr>
          <w:rFonts w:cs="Arial"/>
          <w:sz w:val="22"/>
          <w:szCs w:val="22"/>
        </w:rPr>
        <w:t>ed conduct is</w:t>
      </w:r>
      <w:r w:rsidR="00F651B3" w:rsidRPr="002444BE">
        <w:rPr>
          <w:rFonts w:cs="Arial"/>
          <w:sz w:val="22"/>
          <w:szCs w:val="22"/>
        </w:rPr>
        <w:t xml:space="preserve"> </w:t>
      </w:r>
      <w:r w:rsidRPr="002444BE">
        <w:rPr>
          <w:rFonts w:cs="Arial"/>
          <w:sz w:val="22"/>
          <w:szCs w:val="22"/>
        </w:rPr>
        <w:t>described in the Notification as follows:</w:t>
      </w:r>
    </w:p>
    <w:p w:rsidR="00FE3551" w:rsidRPr="002444BE" w:rsidRDefault="00FE3551" w:rsidP="00461B1D">
      <w:pPr>
        <w:numPr>
          <w:ilvl w:val="0"/>
          <w:numId w:val="55"/>
        </w:numPr>
        <w:spacing w:before="120" w:after="120"/>
        <w:ind w:left="1418" w:hanging="567"/>
        <w:rPr>
          <w:sz w:val="22"/>
          <w:szCs w:val="22"/>
        </w:rPr>
      </w:pPr>
      <w:r w:rsidRPr="002444BE">
        <w:rPr>
          <w:rFonts w:cs="Arial"/>
          <w:sz w:val="22"/>
          <w:szCs w:val="22"/>
        </w:rPr>
        <w:t>EA supplies and/or offers, through local and state based organising commit</w:t>
      </w:r>
      <w:r w:rsidR="00F651B3" w:rsidRPr="002444BE">
        <w:rPr>
          <w:rFonts w:cs="Arial"/>
          <w:sz w:val="22"/>
          <w:szCs w:val="22"/>
        </w:rPr>
        <w:t>tees, to supply Events Services</w:t>
      </w:r>
      <w:r w:rsidRPr="002444BE">
        <w:rPr>
          <w:rFonts w:cs="Arial"/>
          <w:sz w:val="22"/>
          <w:szCs w:val="22"/>
        </w:rPr>
        <w:t xml:space="preserve"> to Entrants, on the condition that Entrants comply with and/or satisfy certain conditions (</w:t>
      </w:r>
      <w:r w:rsidRPr="002444BE">
        <w:rPr>
          <w:rFonts w:cs="Arial"/>
          <w:b/>
          <w:sz w:val="22"/>
          <w:szCs w:val="22"/>
        </w:rPr>
        <w:t>Entry Conditions</w:t>
      </w:r>
      <w:r w:rsidRPr="002444BE">
        <w:rPr>
          <w:rFonts w:cs="Arial"/>
          <w:sz w:val="22"/>
          <w:szCs w:val="22"/>
        </w:rPr>
        <w:t>)</w:t>
      </w:r>
    </w:p>
    <w:p w:rsidR="00FE3551" w:rsidRPr="002444BE" w:rsidRDefault="00FE3551" w:rsidP="00461B1D">
      <w:pPr>
        <w:numPr>
          <w:ilvl w:val="0"/>
          <w:numId w:val="55"/>
        </w:numPr>
        <w:spacing w:before="120" w:after="120"/>
        <w:ind w:left="1418" w:hanging="567"/>
        <w:rPr>
          <w:rFonts w:cs="Arial"/>
          <w:sz w:val="22"/>
          <w:szCs w:val="22"/>
        </w:rPr>
      </w:pPr>
      <w:r w:rsidRPr="002444BE">
        <w:rPr>
          <w:rFonts w:cs="Arial"/>
          <w:sz w:val="22"/>
          <w:szCs w:val="22"/>
        </w:rPr>
        <w:t>EA may refuse to supply Events Services to a person for the reason that the person has not complied with or does not satisfy relevant Entry Conditions</w:t>
      </w:r>
    </w:p>
    <w:p w:rsidR="00FE3551" w:rsidRPr="002444BE" w:rsidRDefault="000923B9" w:rsidP="00461B1D">
      <w:pPr>
        <w:numPr>
          <w:ilvl w:val="0"/>
          <w:numId w:val="55"/>
        </w:numPr>
        <w:spacing w:before="120" w:after="120"/>
        <w:ind w:left="1418" w:hanging="567"/>
        <w:rPr>
          <w:rFonts w:cs="Arial"/>
          <w:sz w:val="22"/>
          <w:szCs w:val="22"/>
        </w:rPr>
      </w:pPr>
      <w:r w:rsidRPr="002444BE">
        <w:rPr>
          <w:rFonts w:cs="Arial"/>
          <w:sz w:val="22"/>
          <w:szCs w:val="22"/>
        </w:rPr>
        <w:t xml:space="preserve">EA does not have a general rule or policy that relates to the vaccination status of horses in relation to </w:t>
      </w:r>
      <w:r w:rsidR="00791C22" w:rsidRPr="002444BE">
        <w:rPr>
          <w:rFonts w:cs="Arial"/>
          <w:sz w:val="22"/>
          <w:szCs w:val="22"/>
        </w:rPr>
        <w:t xml:space="preserve">the </w:t>
      </w:r>
      <w:r w:rsidRPr="002444BE">
        <w:rPr>
          <w:rFonts w:cs="Arial"/>
          <w:sz w:val="22"/>
          <w:szCs w:val="22"/>
        </w:rPr>
        <w:t>HeV. EA does, however, encourage the bodies responsible for organising Events on behalf of EA (</w:t>
      </w:r>
      <w:r w:rsidRPr="002444BE">
        <w:rPr>
          <w:rFonts w:cs="Arial"/>
          <w:b/>
          <w:sz w:val="22"/>
          <w:szCs w:val="22"/>
        </w:rPr>
        <w:t>Organising Committees</w:t>
      </w:r>
      <w:r w:rsidRPr="002444BE">
        <w:rPr>
          <w:rFonts w:cs="Arial"/>
          <w:sz w:val="22"/>
          <w:szCs w:val="22"/>
        </w:rPr>
        <w:t>) to take measures to manage biosecurity risks in accordance with the “Horse Venue Biosecurity Workbook” published by Animal Health Australia</w:t>
      </w:r>
    </w:p>
    <w:p w:rsidR="00FE3551" w:rsidRPr="002444BE" w:rsidRDefault="00FE3551" w:rsidP="00461B1D">
      <w:pPr>
        <w:numPr>
          <w:ilvl w:val="0"/>
          <w:numId w:val="55"/>
        </w:numPr>
        <w:spacing w:before="120" w:after="120"/>
        <w:ind w:left="1418" w:hanging="567"/>
        <w:rPr>
          <w:sz w:val="22"/>
          <w:szCs w:val="22"/>
        </w:rPr>
      </w:pPr>
      <w:r w:rsidRPr="002444BE">
        <w:rPr>
          <w:sz w:val="22"/>
          <w:szCs w:val="22"/>
        </w:rPr>
        <w:t>Where an Organising Committee so determines in its discretion (having regard to its assessment of the biosecurity risks of the specific Event), the Entry Conditions for an Event may include that all horses or any horse that has lived or been in or transited through one or more specified geographic areas (</w:t>
      </w:r>
      <w:r w:rsidRPr="002444BE">
        <w:rPr>
          <w:b/>
          <w:sz w:val="22"/>
          <w:szCs w:val="22"/>
        </w:rPr>
        <w:t>Endemic Regions</w:t>
      </w:r>
      <w:r w:rsidRPr="002444BE">
        <w:rPr>
          <w:sz w:val="22"/>
          <w:szCs w:val="22"/>
        </w:rPr>
        <w:t>) within a specified period must have a current vaccination against HeV (</w:t>
      </w:r>
      <w:r w:rsidRPr="002444BE">
        <w:rPr>
          <w:b/>
          <w:sz w:val="22"/>
          <w:szCs w:val="22"/>
        </w:rPr>
        <w:t>Vaccination Condition</w:t>
      </w:r>
      <w:r w:rsidRPr="002444BE">
        <w:rPr>
          <w:sz w:val="22"/>
          <w:szCs w:val="22"/>
        </w:rPr>
        <w:t>)</w:t>
      </w:r>
    </w:p>
    <w:p w:rsidR="00FE3551" w:rsidRPr="002444BE" w:rsidRDefault="000923B9" w:rsidP="00461B1D">
      <w:pPr>
        <w:numPr>
          <w:ilvl w:val="0"/>
          <w:numId w:val="55"/>
        </w:numPr>
        <w:spacing w:before="120" w:after="120"/>
        <w:ind w:left="1418" w:hanging="567"/>
        <w:rPr>
          <w:sz w:val="22"/>
          <w:szCs w:val="22"/>
        </w:rPr>
      </w:pPr>
      <w:r w:rsidRPr="002444BE">
        <w:rPr>
          <w:sz w:val="22"/>
          <w:szCs w:val="22"/>
        </w:rPr>
        <w:t>Although the necessary HeV vaccine may be acquired from and administered by any suitably qualified veterinarian, there is currently only one supplier of a HeV vaccine: Equivac HeV is manufactured and supplied through an Australian subsidiary of Zoetis, Inc (</w:t>
      </w:r>
      <w:r w:rsidRPr="002444BE">
        <w:rPr>
          <w:b/>
          <w:sz w:val="22"/>
          <w:szCs w:val="22"/>
        </w:rPr>
        <w:t>Zoetis</w:t>
      </w:r>
      <w:r w:rsidRPr="002444BE">
        <w:rPr>
          <w:sz w:val="22"/>
          <w:szCs w:val="22"/>
        </w:rPr>
        <w:t>).</w:t>
      </w:r>
    </w:p>
    <w:p w:rsidR="00BC772C" w:rsidRPr="002444BE" w:rsidRDefault="00BC772C" w:rsidP="00F613ED">
      <w:pPr>
        <w:numPr>
          <w:ilvl w:val="1"/>
          <w:numId w:val="67"/>
        </w:numPr>
        <w:tabs>
          <w:tab w:val="left" w:pos="851"/>
        </w:tabs>
        <w:spacing w:after="240"/>
        <w:ind w:left="851" w:hanging="851"/>
        <w:rPr>
          <w:rFonts w:cs="Arial"/>
          <w:sz w:val="22"/>
          <w:szCs w:val="22"/>
        </w:rPr>
      </w:pPr>
      <w:r w:rsidRPr="002444BE">
        <w:rPr>
          <w:rFonts w:cs="Arial"/>
          <w:sz w:val="22"/>
          <w:szCs w:val="22"/>
        </w:rPr>
        <w:t>A copy of the Notification and the EA’s supporting submissions are available on the ACCC website and are also discussed in the ACCC’s assessment below.</w:t>
      </w:r>
    </w:p>
    <w:p w:rsidR="00E7426C" w:rsidRDefault="00E7426C" w:rsidP="003C72A0">
      <w:pPr>
        <w:pStyle w:val="Heading1"/>
        <w:numPr>
          <w:ilvl w:val="0"/>
          <w:numId w:val="1"/>
        </w:numPr>
        <w:tabs>
          <w:tab w:val="clear" w:pos="1211"/>
          <w:tab w:val="num" w:pos="851"/>
        </w:tabs>
        <w:ind w:hanging="1211"/>
        <w:rPr>
          <w:rFonts w:cs="Arial"/>
          <w:sz w:val="28"/>
          <w:szCs w:val="28"/>
          <w:u w:val="none"/>
        </w:rPr>
      </w:pPr>
      <w:bookmarkStart w:id="5" w:name="_Toc75163621"/>
      <w:bookmarkStart w:id="6" w:name="_Toc96920226"/>
      <w:bookmarkEnd w:id="3"/>
      <w:bookmarkEnd w:id="4"/>
      <w:r>
        <w:rPr>
          <w:rFonts w:cs="Arial"/>
          <w:sz w:val="28"/>
          <w:szCs w:val="28"/>
          <w:u w:val="none"/>
        </w:rPr>
        <w:t>Validity</w:t>
      </w:r>
    </w:p>
    <w:p w:rsidR="00E7426C" w:rsidRPr="00E7426C" w:rsidRDefault="00E7426C" w:rsidP="00E7426C"/>
    <w:p w:rsidR="00E7426C" w:rsidRPr="002444BE" w:rsidRDefault="00E7426C" w:rsidP="00F613ED">
      <w:pPr>
        <w:numPr>
          <w:ilvl w:val="1"/>
          <w:numId w:val="68"/>
        </w:numPr>
        <w:tabs>
          <w:tab w:val="left" w:pos="851"/>
        </w:tabs>
        <w:spacing w:after="240"/>
        <w:ind w:left="851" w:hanging="851"/>
        <w:rPr>
          <w:rFonts w:cs="Arial"/>
          <w:sz w:val="22"/>
          <w:szCs w:val="22"/>
        </w:rPr>
      </w:pPr>
      <w:r w:rsidRPr="002444BE">
        <w:rPr>
          <w:rFonts w:cs="Arial"/>
          <w:sz w:val="22"/>
          <w:szCs w:val="22"/>
        </w:rPr>
        <w:t>Some interested parties have questioned</w:t>
      </w:r>
      <w:r w:rsidR="00E9330F" w:rsidRPr="002444BE">
        <w:rPr>
          <w:rFonts w:cs="Arial"/>
          <w:sz w:val="22"/>
          <w:szCs w:val="22"/>
        </w:rPr>
        <w:t xml:space="preserve"> the validity of the Notification.</w:t>
      </w:r>
      <w:r w:rsidRPr="002444BE">
        <w:rPr>
          <w:rFonts w:cs="Arial"/>
          <w:sz w:val="22"/>
          <w:szCs w:val="22"/>
        </w:rPr>
        <w:t xml:space="preserve"> </w:t>
      </w:r>
      <w:r w:rsidR="003D4744" w:rsidRPr="002444BE">
        <w:rPr>
          <w:rFonts w:cs="Arial"/>
          <w:sz w:val="22"/>
          <w:szCs w:val="22"/>
        </w:rPr>
        <w:t>In particular</w:t>
      </w:r>
      <w:r w:rsidR="00C11E22" w:rsidRPr="002444BE">
        <w:rPr>
          <w:rFonts w:cs="Arial"/>
          <w:sz w:val="22"/>
          <w:szCs w:val="22"/>
        </w:rPr>
        <w:t xml:space="preserve"> </w:t>
      </w:r>
      <w:r w:rsidRPr="002444BE">
        <w:rPr>
          <w:rFonts w:cs="Arial"/>
          <w:sz w:val="22"/>
          <w:szCs w:val="22"/>
        </w:rPr>
        <w:t xml:space="preserve">two potential grounds raised are whether the conduct can properly be considered to be third line forcing and whether it is in fact </w:t>
      </w:r>
      <w:r w:rsidR="00B0371E" w:rsidRPr="002444BE">
        <w:rPr>
          <w:rFonts w:cs="Arial"/>
          <w:sz w:val="22"/>
          <w:szCs w:val="22"/>
        </w:rPr>
        <w:t>O</w:t>
      </w:r>
      <w:r w:rsidRPr="002444BE">
        <w:rPr>
          <w:rFonts w:cs="Arial"/>
          <w:sz w:val="22"/>
          <w:szCs w:val="22"/>
        </w:rPr>
        <w:t xml:space="preserve">rganising </w:t>
      </w:r>
      <w:r w:rsidR="00B0371E" w:rsidRPr="002444BE">
        <w:rPr>
          <w:rFonts w:cs="Arial"/>
          <w:sz w:val="22"/>
          <w:szCs w:val="22"/>
        </w:rPr>
        <w:t>C</w:t>
      </w:r>
      <w:r w:rsidRPr="002444BE">
        <w:rPr>
          <w:rFonts w:cs="Arial"/>
          <w:sz w:val="22"/>
          <w:szCs w:val="22"/>
        </w:rPr>
        <w:t>ommittees rather than EA that will be the parties engaging in the conduct notified.</w:t>
      </w:r>
    </w:p>
    <w:p w:rsidR="00E7426C" w:rsidRPr="002444BE" w:rsidRDefault="00E7426C" w:rsidP="00F613ED">
      <w:pPr>
        <w:numPr>
          <w:ilvl w:val="1"/>
          <w:numId w:val="68"/>
        </w:numPr>
        <w:tabs>
          <w:tab w:val="left" w:pos="851"/>
        </w:tabs>
        <w:spacing w:after="240"/>
        <w:ind w:left="851" w:hanging="851"/>
        <w:rPr>
          <w:rFonts w:cs="Arial"/>
          <w:sz w:val="22"/>
          <w:szCs w:val="22"/>
        </w:rPr>
      </w:pPr>
      <w:r w:rsidRPr="002444BE">
        <w:rPr>
          <w:rFonts w:cs="Arial"/>
          <w:sz w:val="22"/>
          <w:szCs w:val="22"/>
        </w:rPr>
        <w:t xml:space="preserve">After careful consideration, the ACCC has confirmed its view that the </w:t>
      </w:r>
      <w:r w:rsidR="00E73846">
        <w:rPr>
          <w:rFonts w:cs="Arial"/>
          <w:sz w:val="22"/>
          <w:szCs w:val="22"/>
        </w:rPr>
        <w:t>N</w:t>
      </w:r>
      <w:r w:rsidRPr="002444BE">
        <w:rPr>
          <w:rFonts w:cs="Arial"/>
          <w:sz w:val="22"/>
          <w:szCs w:val="22"/>
        </w:rPr>
        <w:t xml:space="preserve">otification is valid. However, the ACCC notes that the question of the validity of a notification is </w:t>
      </w:r>
      <w:r w:rsidR="00E9330F" w:rsidRPr="002444BE">
        <w:rPr>
          <w:rFonts w:cs="Arial"/>
          <w:sz w:val="22"/>
          <w:szCs w:val="22"/>
        </w:rPr>
        <w:t>ultimately</w:t>
      </w:r>
      <w:r w:rsidRPr="002444BE">
        <w:rPr>
          <w:rFonts w:cs="Arial"/>
          <w:sz w:val="22"/>
          <w:szCs w:val="22"/>
        </w:rPr>
        <w:t xml:space="preserve"> </w:t>
      </w:r>
      <w:r w:rsidR="00EE5B52" w:rsidRPr="002444BE">
        <w:rPr>
          <w:rFonts w:cs="Arial"/>
          <w:sz w:val="22"/>
          <w:szCs w:val="22"/>
        </w:rPr>
        <w:t xml:space="preserve">a </w:t>
      </w:r>
      <w:r w:rsidRPr="002444BE">
        <w:rPr>
          <w:rFonts w:cs="Arial"/>
          <w:sz w:val="22"/>
          <w:szCs w:val="22"/>
        </w:rPr>
        <w:t>matter to be determined by a Court.</w:t>
      </w:r>
    </w:p>
    <w:p w:rsidR="00E7426C" w:rsidRPr="00204BE5" w:rsidRDefault="00E7426C" w:rsidP="00E7426C">
      <w:pPr>
        <w:pStyle w:val="Heading2"/>
      </w:pPr>
      <w:r w:rsidRPr="00204BE5">
        <w:t>Framework for assessment of validity</w:t>
      </w:r>
    </w:p>
    <w:p w:rsidR="00E7426C" w:rsidRPr="002444BE" w:rsidRDefault="00E7426C" w:rsidP="00461B1D">
      <w:pPr>
        <w:numPr>
          <w:ilvl w:val="1"/>
          <w:numId w:val="68"/>
        </w:numPr>
        <w:tabs>
          <w:tab w:val="left" w:pos="851"/>
        </w:tabs>
        <w:spacing w:after="240"/>
        <w:ind w:left="851" w:hanging="851"/>
        <w:rPr>
          <w:sz w:val="22"/>
          <w:szCs w:val="22"/>
        </w:rPr>
      </w:pPr>
      <w:r w:rsidRPr="002444BE">
        <w:rPr>
          <w:sz w:val="22"/>
          <w:szCs w:val="22"/>
        </w:rPr>
        <w:t xml:space="preserve">In order to be valid, a notification under s 93(1) of the </w:t>
      </w:r>
      <w:r w:rsidR="00791C22" w:rsidRPr="002444BE">
        <w:rPr>
          <w:sz w:val="22"/>
          <w:szCs w:val="22"/>
        </w:rPr>
        <w:t>CCA</w:t>
      </w:r>
      <w:r w:rsidRPr="002444BE">
        <w:rPr>
          <w:sz w:val="22"/>
          <w:szCs w:val="22"/>
        </w:rPr>
        <w:t xml:space="preserve"> must, amongst other things, relate to conduct or proposed conduct which</w:t>
      </w:r>
      <w:r w:rsidR="00E9330F" w:rsidRPr="002444BE">
        <w:rPr>
          <w:sz w:val="22"/>
          <w:szCs w:val="22"/>
        </w:rPr>
        <w:t xml:space="preserve"> is</w:t>
      </w:r>
      <w:r w:rsidRPr="002444BE">
        <w:rPr>
          <w:sz w:val="22"/>
          <w:szCs w:val="22"/>
        </w:rPr>
        <w:t>:</w:t>
      </w:r>
    </w:p>
    <w:p w:rsidR="00E7426C" w:rsidRPr="002C6F1E" w:rsidRDefault="00E7426C" w:rsidP="00461B1D">
      <w:pPr>
        <w:numPr>
          <w:ilvl w:val="0"/>
          <w:numId w:val="52"/>
        </w:numPr>
        <w:spacing w:before="120" w:after="120"/>
        <w:ind w:left="1208" w:hanging="357"/>
        <w:rPr>
          <w:rFonts w:cs="Arial"/>
          <w:sz w:val="22"/>
          <w:szCs w:val="22"/>
        </w:rPr>
      </w:pPr>
      <w:r w:rsidRPr="002C6F1E">
        <w:rPr>
          <w:rFonts w:cs="Arial"/>
          <w:sz w:val="22"/>
          <w:szCs w:val="22"/>
        </w:rPr>
        <w:lastRenderedPageBreak/>
        <w:t>to be engaged in by the corporation giving the notification, and</w:t>
      </w:r>
    </w:p>
    <w:p w:rsidR="00E7426C" w:rsidRPr="002444BE" w:rsidRDefault="00E7426C" w:rsidP="00461B1D">
      <w:pPr>
        <w:numPr>
          <w:ilvl w:val="0"/>
          <w:numId w:val="52"/>
        </w:numPr>
        <w:spacing w:before="120" w:after="120"/>
        <w:ind w:left="1208" w:hanging="357"/>
        <w:rPr>
          <w:sz w:val="22"/>
          <w:szCs w:val="22"/>
        </w:rPr>
      </w:pPr>
      <w:r w:rsidRPr="002C6F1E">
        <w:rPr>
          <w:rFonts w:cs="Arial"/>
          <w:sz w:val="22"/>
          <w:szCs w:val="22"/>
        </w:rPr>
        <w:t>of a kind referred to in s 47(2) to (9) of the CCA – i.e. is exclusive dealing conduct</w:t>
      </w:r>
      <w:r w:rsidRPr="002444BE">
        <w:rPr>
          <w:sz w:val="22"/>
          <w:szCs w:val="22"/>
        </w:rPr>
        <w:t xml:space="preserve">. </w:t>
      </w:r>
    </w:p>
    <w:p w:rsidR="00E7426C" w:rsidRPr="002444BE" w:rsidRDefault="00E7426C" w:rsidP="00461B1D">
      <w:pPr>
        <w:numPr>
          <w:ilvl w:val="1"/>
          <w:numId w:val="68"/>
        </w:numPr>
        <w:tabs>
          <w:tab w:val="left" w:pos="851"/>
        </w:tabs>
        <w:spacing w:after="240"/>
        <w:ind w:left="851" w:hanging="851"/>
        <w:rPr>
          <w:rFonts w:cs="Arial"/>
          <w:sz w:val="22"/>
          <w:szCs w:val="22"/>
        </w:rPr>
      </w:pPr>
      <w:r w:rsidRPr="00461B1D">
        <w:rPr>
          <w:sz w:val="22"/>
          <w:szCs w:val="22"/>
        </w:rPr>
        <w:t>The ACCC does not take a narrow or restrictive approach when considering whether a notification is valid. That is, in</w:t>
      </w:r>
      <w:r w:rsidR="00E9330F" w:rsidRPr="00461B1D">
        <w:rPr>
          <w:sz w:val="22"/>
          <w:szCs w:val="22"/>
        </w:rPr>
        <w:t xml:space="preserve"> making this assessment</w:t>
      </w:r>
      <w:r w:rsidRPr="00461B1D">
        <w:rPr>
          <w:sz w:val="22"/>
          <w:szCs w:val="22"/>
        </w:rPr>
        <w:t xml:space="preserve"> the ACCC takes the view that if there is any risk that conduct proposed to be entered into by an entity could be found to be third line forcing, that entity is entitled to seek to address that risk by lodging</w:t>
      </w:r>
      <w:r w:rsidRPr="002444BE">
        <w:rPr>
          <w:rFonts w:cs="Arial"/>
          <w:sz w:val="22"/>
          <w:szCs w:val="22"/>
        </w:rPr>
        <w:t xml:space="preserve"> a notification. </w:t>
      </w:r>
    </w:p>
    <w:p w:rsidR="00E20E1E" w:rsidRPr="009B667D" w:rsidRDefault="00E20E1E" w:rsidP="004C7241">
      <w:pPr>
        <w:pStyle w:val="Heading3"/>
        <w:rPr>
          <w:rFonts w:ascii="Arial" w:hAnsi="Arial"/>
        </w:rPr>
      </w:pPr>
      <w:r w:rsidRPr="009B667D">
        <w:rPr>
          <w:rFonts w:ascii="Arial" w:hAnsi="Arial"/>
        </w:rPr>
        <w:t xml:space="preserve">Is </w:t>
      </w:r>
      <w:r w:rsidR="002F14D3" w:rsidRPr="009B667D">
        <w:rPr>
          <w:rFonts w:ascii="Arial" w:hAnsi="Arial"/>
        </w:rPr>
        <w:t xml:space="preserve">EA engaging in </w:t>
      </w:r>
      <w:r w:rsidRPr="009B667D">
        <w:rPr>
          <w:rFonts w:ascii="Arial" w:hAnsi="Arial"/>
        </w:rPr>
        <w:t>the notified conduct?</w:t>
      </w:r>
    </w:p>
    <w:p w:rsidR="00E7426C" w:rsidRPr="002444BE" w:rsidRDefault="00E20E1E" w:rsidP="00461B1D">
      <w:pPr>
        <w:numPr>
          <w:ilvl w:val="1"/>
          <w:numId w:val="68"/>
        </w:numPr>
        <w:tabs>
          <w:tab w:val="left" w:pos="851"/>
        </w:tabs>
        <w:spacing w:after="240"/>
        <w:ind w:left="851" w:hanging="851"/>
        <w:rPr>
          <w:rFonts w:cs="Arial"/>
          <w:sz w:val="22"/>
          <w:szCs w:val="22"/>
        </w:rPr>
      </w:pPr>
      <w:r w:rsidRPr="002444BE">
        <w:rPr>
          <w:rFonts w:cs="Arial"/>
          <w:sz w:val="22"/>
          <w:szCs w:val="22"/>
        </w:rPr>
        <w:t xml:space="preserve">EA is the corporation which lodged the </w:t>
      </w:r>
      <w:r w:rsidR="00791C22" w:rsidRPr="002444BE">
        <w:rPr>
          <w:rFonts w:cs="Arial"/>
          <w:sz w:val="22"/>
          <w:szCs w:val="22"/>
        </w:rPr>
        <w:t>N</w:t>
      </w:r>
      <w:r w:rsidRPr="002444BE">
        <w:rPr>
          <w:rFonts w:cs="Arial"/>
          <w:sz w:val="22"/>
          <w:szCs w:val="22"/>
        </w:rPr>
        <w:t>otification. However, i</w:t>
      </w:r>
      <w:r w:rsidR="00E7426C" w:rsidRPr="002444BE">
        <w:rPr>
          <w:rFonts w:cs="Arial"/>
          <w:sz w:val="22"/>
          <w:szCs w:val="22"/>
        </w:rPr>
        <w:t xml:space="preserve">t is not clear to the ACCC, having regard to the nature of EA’s relationship with EA state branches, </w:t>
      </w:r>
      <w:r w:rsidR="000850DA" w:rsidRPr="002444BE">
        <w:rPr>
          <w:rFonts w:cs="Arial"/>
          <w:sz w:val="22"/>
          <w:szCs w:val="22"/>
        </w:rPr>
        <w:t>O</w:t>
      </w:r>
      <w:r w:rsidR="00E7426C" w:rsidRPr="002444BE">
        <w:rPr>
          <w:rFonts w:cs="Arial"/>
          <w:sz w:val="22"/>
          <w:szCs w:val="22"/>
        </w:rPr>
        <w:t xml:space="preserve">rganising </w:t>
      </w:r>
      <w:r w:rsidR="000850DA" w:rsidRPr="002444BE">
        <w:rPr>
          <w:rFonts w:cs="Arial"/>
          <w:sz w:val="22"/>
          <w:szCs w:val="22"/>
        </w:rPr>
        <w:t>C</w:t>
      </w:r>
      <w:r w:rsidR="00E7426C" w:rsidRPr="002444BE">
        <w:rPr>
          <w:rFonts w:cs="Arial"/>
          <w:sz w:val="22"/>
          <w:szCs w:val="22"/>
        </w:rPr>
        <w:t xml:space="preserve">ommittees and Entrants, that EA is the only supplier of Event Services to Entrants. </w:t>
      </w:r>
      <w:r w:rsidR="00C767D2" w:rsidRPr="002444BE">
        <w:rPr>
          <w:rFonts w:cs="Arial"/>
          <w:sz w:val="22"/>
          <w:szCs w:val="22"/>
        </w:rPr>
        <w:t xml:space="preserve">For example, it appears possible that </w:t>
      </w:r>
      <w:r w:rsidR="00791C22" w:rsidRPr="002444BE">
        <w:rPr>
          <w:rFonts w:cs="Arial"/>
          <w:sz w:val="22"/>
          <w:szCs w:val="22"/>
        </w:rPr>
        <w:t>O</w:t>
      </w:r>
      <w:r w:rsidR="00C767D2" w:rsidRPr="002444BE">
        <w:rPr>
          <w:rFonts w:cs="Arial"/>
          <w:sz w:val="22"/>
          <w:szCs w:val="22"/>
        </w:rPr>
        <w:t xml:space="preserve">rganising </w:t>
      </w:r>
      <w:r w:rsidR="00791C22" w:rsidRPr="002444BE">
        <w:rPr>
          <w:rFonts w:cs="Arial"/>
          <w:sz w:val="22"/>
          <w:szCs w:val="22"/>
        </w:rPr>
        <w:t>C</w:t>
      </w:r>
      <w:r w:rsidR="00C767D2" w:rsidRPr="002444BE">
        <w:rPr>
          <w:rFonts w:cs="Arial"/>
          <w:sz w:val="22"/>
          <w:szCs w:val="22"/>
        </w:rPr>
        <w:t xml:space="preserve">ommittees may supply Event Services other than as EA’s agents. </w:t>
      </w:r>
      <w:r w:rsidR="00E7426C" w:rsidRPr="002444BE">
        <w:rPr>
          <w:rFonts w:cs="Arial"/>
          <w:sz w:val="22"/>
          <w:szCs w:val="22"/>
        </w:rPr>
        <w:t xml:space="preserve">However, it appears </w:t>
      </w:r>
      <w:r w:rsidR="00D3549E" w:rsidRPr="002444BE">
        <w:rPr>
          <w:rFonts w:cs="Arial"/>
          <w:sz w:val="22"/>
          <w:szCs w:val="22"/>
        </w:rPr>
        <w:t xml:space="preserve">likely </w:t>
      </w:r>
      <w:r w:rsidR="00E7426C" w:rsidRPr="002444BE">
        <w:rPr>
          <w:rFonts w:cs="Arial"/>
          <w:sz w:val="22"/>
          <w:szCs w:val="22"/>
        </w:rPr>
        <w:t>that EA</w:t>
      </w:r>
      <w:r w:rsidR="00C767D2" w:rsidRPr="002444BE">
        <w:rPr>
          <w:rFonts w:cs="Arial"/>
          <w:sz w:val="22"/>
          <w:szCs w:val="22"/>
        </w:rPr>
        <w:t xml:space="preserve">, </w:t>
      </w:r>
      <w:r w:rsidR="00E4187A" w:rsidRPr="002444BE">
        <w:rPr>
          <w:rFonts w:cs="Arial"/>
          <w:sz w:val="22"/>
          <w:szCs w:val="22"/>
        </w:rPr>
        <w:t xml:space="preserve">including </w:t>
      </w:r>
      <w:r w:rsidR="00C767D2" w:rsidRPr="002444BE">
        <w:rPr>
          <w:rFonts w:cs="Arial"/>
          <w:sz w:val="22"/>
          <w:szCs w:val="22"/>
        </w:rPr>
        <w:t xml:space="preserve">through </w:t>
      </w:r>
      <w:r w:rsidR="00B0371E" w:rsidRPr="002444BE">
        <w:rPr>
          <w:rFonts w:cs="Arial"/>
          <w:sz w:val="22"/>
          <w:szCs w:val="22"/>
        </w:rPr>
        <w:t>O</w:t>
      </w:r>
      <w:r w:rsidR="00C767D2" w:rsidRPr="002444BE">
        <w:rPr>
          <w:rFonts w:cs="Arial"/>
          <w:sz w:val="22"/>
          <w:szCs w:val="22"/>
        </w:rPr>
        <w:t xml:space="preserve">rganising </w:t>
      </w:r>
      <w:r w:rsidR="00B0371E" w:rsidRPr="002444BE">
        <w:rPr>
          <w:rFonts w:cs="Arial"/>
          <w:sz w:val="22"/>
          <w:szCs w:val="22"/>
        </w:rPr>
        <w:t>C</w:t>
      </w:r>
      <w:r w:rsidR="00C767D2" w:rsidRPr="002444BE">
        <w:rPr>
          <w:rFonts w:cs="Arial"/>
          <w:sz w:val="22"/>
          <w:szCs w:val="22"/>
        </w:rPr>
        <w:t>ommittees,</w:t>
      </w:r>
      <w:r w:rsidR="00E7426C" w:rsidRPr="002444BE">
        <w:rPr>
          <w:rFonts w:cs="Arial"/>
          <w:sz w:val="22"/>
          <w:szCs w:val="22"/>
        </w:rPr>
        <w:t xml:space="preserve"> supplies at least some Event Services, or may do so in the future. For example, as the only Australian entity with authority from the</w:t>
      </w:r>
      <w:r w:rsidR="00D32419" w:rsidRPr="002444BE">
        <w:rPr>
          <w:rFonts w:cs="Arial"/>
          <w:sz w:val="22"/>
          <w:szCs w:val="22"/>
        </w:rPr>
        <w:t xml:space="preserve"> </w:t>
      </w:r>
      <w:hyperlink r:id="rId12" w:history="1">
        <w:r w:rsidR="00D32419" w:rsidRPr="002444BE">
          <w:rPr>
            <w:rFonts w:cs="Arial"/>
            <w:sz w:val="22"/>
            <w:szCs w:val="22"/>
          </w:rPr>
          <w:t>Fédération Equestre Internationale</w:t>
        </w:r>
      </w:hyperlink>
      <w:r w:rsidR="00D32419" w:rsidRPr="002444BE">
        <w:rPr>
          <w:rFonts w:cs="Arial"/>
          <w:sz w:val="22"/>
          <w:szCs w:val="22"/>
        </w:rPr>
        <w:t xml:space="preserve"> </w:t>
      </w:r>
      <w:r w:rsidR="00E7426C" w:rsidRPr="002444BE">
        <w:rPr>
          <w:rFonts w:cs="Arial"/>
          <w:sz w:val="22"/>
          <w:szCs w:val="22"/>
        </w:rPr>
        <w:t>and A</w:t>
      </w:r>
      <w:r w:rsidR="00B27409">
        <w:rPr>
          <w:rFonts w:cs="Arial"/>
          <w:sz w:val="22"/>
          <w:szCs w:val="22"/>
        </w:rPr>
        <w:t>ustralian Olympic Committee</w:t>
      </w:r>
      <w:r w:rsidR="00E7426C" w:rsidRPr="002444BE">
        <w:rPr>
          <w:rFonts w:cs="Arial"/>
          <w:sz w:val="22"/>
          <w:szCs w:val="22"/>
        </w:rPr>
        <w:t xml:space="preserve"> to sanction events to allow the results to count towards international rankings and participation in Olympic and World Games, it appears arguable that EA </w:t>
      </w:r>
      <w:r w:rsidR="00C767D2" w:rsidRPr="002444BE">
        <w:rPr>
          <w:rFonts w:cs="Arial"/>
          <w:sz w:val="22"/>
          <w:szCs w:val="22"/>
        </w:rPr>
        <w:t>supplies</w:t>
      </w:r>
      <w:r w:rsidR="00E7426C" w:rsidRPr="002444BE">
        <w:rPr>
          <w:rFonts w:cs="Arial"/>
          <w:sz w:val="22"/>
          <w:szCs w:val="22"/>
        </w:rPr>
        <w:t xml:space="preserve"> the ‘official recognition of equestrian sports competitions’ services referred to in the </w:t>
      </w:r>
      <w:r w:rsidR="00C34760" w:rsidRPr="002444BE">
        <w:rPr>
          <w:rFonts w:cs="Arial"/>
          <w:sz w:val="22"/>
          <w:szCs w:val="22"/>
        </w:rPr>
        <w:t>N</w:t>
      </w:r>
      <w:r w:rsidR="00E7426C" w:rsidRPr="002444BE">
        <w:rPr>
          <w:rFonts w:cs="Arial"/>
          <w:sz w:val="22"/>
          <w:szCs w:val="22"/>
        </w:rPr>
        <w:t>otification.</w:t>
      </w:r>
    </w:p>
    <w:p w:rsidR="00E20E1E" w:rsidRPr="009B667D" w:rsidRDefault="00E20E1E" w:rsidP="004C7241">
      <w:pPr>
        <w:pStyle w:val="Heading3"/>
        <w:rPr>
          <w:rFonts w:ascii="Arial" w:hAnsi="Arial"/>
          <w:lang w:val="en-AU"/>
        </w:rPr>
      </w:pPr>
      <w:r w:rsidRPr="009B667D">
        <w:rPr>
          <w:rFonts w:ascii="Arial" w:hAnsi="Arial"/>
          <w:lang w:val="en-AU"/>
        </w:rPr>
        <w:t>Is the notified conduct exclusive dealing conduct?</w:t>
      </w:r>
    </w:p>
    <w:p w:rsidR="00743F1F" w:rsidRPr="002444BE" w:rsidRDefault="00E20E1E" w:rsidP="00461B1D">
      <w:pPr>
        <w:numPr>
          <w:ilvl w:val="1"/>
          <w:numId w:val="68"/>
        </w:numPr>
        <w:tabs>
          <w:tab w:val="left" w:pos="851"/>
        </w:tabs>
        <w:spacing w:after="240"/>
        <w:ind w:left="851" w:hanging="851"/>
        <w:rPr>
          <w:rFonts w:cs="Arial"/>
          <w:sz w:val="22"/>
          <w:szCs w:val="22"/>
          <w:lang w:val="en-AU"/>
        </w:rPr>
      </w:pPr>
      <w:r w:rsidRPr="002444BE">
        <w:rPr>
          <w:rFonts w:cs="Arial"/>
          <w:sz w:val="22"/>
          <w:szCs w:val="22"/>
        </w:rPr>
        <w:t>T</w:t>
      </w:r>
      <w:r w:rsidR="00C767D2" w:rsidRPr="002444BE">
        <w:rPr>
          <w:rFonts w:cs="Arial"/>
          <w:sz w:val="22"/>
          <w:szCs w:val="22"/>
        </w:rPr>
        <w:t xml:space="preserve">here is a real argument that the conduct </w:t>
      </w:r>
      <w:r w:rsidR="00D82342">
        <w:rPr>
          <w:rFonts w:cs="Arial"/>
          <w:sz w:val="22"/>
          <w:szCs w:val="22"/>
        </w:rPr>
        <w:t xml:space="preserve">proposed </w:t>
      </w:r>
      <w:r w:rsidR="00C767D2" w:rsidRPr="002444BE">
        <w:rPr>
          <w:rFonts w:cs="Arial"/>
          <w:sz w:val="22"/>
          <w:szCs w:val="22"/>
        </w:rPr>
        <w:t>to b</w:t>
      </w:r>
      <w:r w:rsidR="000850DA" w:rsidRPr="002444BE">
        <w:rPr>
          <w:rFonts w:cs="Arial"/>
          <w:sz w:val="22"/>
          <w:szCs w:val="22"/>
        </w:rPr>
        <w:t>e engaged in by EA through Organising C</w:t>
      </w:r>
      <w:r w:rsidR="00C767D2" w:rsidRPr="002444BE">
        <w:rPr>
          <w:rFonts w:cs="Arial"/>
          <w:sz w:val="22"/>
          <w:szCs w:val="22"/>
        </w:rPr>
        <w:t xml:space="preserve">ommittees as described in the Notification does not constitute </w:t>
      </w:r>
      <w:r w:rsidR="00B6091B" w:rsidRPr="002444BE">
        <w:rPr>
          <w:rFonts w:cs="Arial"/>
          <w:sz w:val="22"/>
          <w:szCs w:val="22"/>
        </w:rPr>
        <w:t xml:space="preserve">third line forcing or </w:t>
      </w:r>
      <w:r w:rsidR="00C767D2" w:rsidRPr="002444BE">
        <w:rPr>
          <w:rFonts w:cs="Arial"/>
          <w:sz w:val="22"/>
          <w:szCs w:val="22"/>
        </w:rPr>
        <w:t xml:space="preserve">exclusive dealing at all. </w:t>
      </w:r>
      <w:r w:rsidR="00B6091B" w:rsidRPr="002444BE">
        <w:rPr>
          <w:rFonts w:cs="Arial"/>
          <w:sz w:val="22"/>
          <w:szCs w:val="22"/>
        </w:rPr>
        <w:t xml:space="preserve">As noted above, </w:t>
      </w:r>
      <w:r w:rsidR="00B6091B" w:rsidRPr="002444BE">
        <w:rPr>
          <w:rFonts w:cs="Arial"/>
          <w:sz w:val="22"/>
          <w:szCs w:val="22"/>
          <w:lang w:val="en-AU"/>
        </w:rPr>
        <w:t>in general terms, third line forcing</w:t>
      </w:r>
      <w:r w:rsidR="00B6091B" w:rsidRPr="002444BE">
        <w:rPr>
          <w:rFonts w:cs="Arial"/>
          <w:sz w:val="22"/>
          <w:szCs w:val="22"/>
        </w:rPr>
        <w:t xml:space="preserve"> involves the supply of goods or services on condition that a buyer acquires other goods or services from another person. </w:t>
      </w:r>
    </w:p>
    <w:p w:rsidR="00743F1F" w:rsidRPr="002444BE" w:rsidRDefault="00B6091B" w:rsidP="00461B1D">
      <w:pPr>
        <w:numPr>
          <w:ilvl w:val="1"/>
          <w:numId w:val="68"/>
        </w:numPr>
        <w:tabs>
          <w:tab w:val="left" w:pos="851"/>
        </w:tabs>
        <w:spacing w:after="240"/>
        <w:ind w:left="851" w:hanging="851"/>
        <w:rPr>
          <w:rFonts w:cs="Arial"/>
          <w:sz w:val="22"/>
          <w:szCs w:val="22"/>
          <w:lang w:val="en-AU"/>
        </w:rPr>
      </w:pPr>
      <w:r w:rsidRPr="002444BE">
        <w:rPr>
          <w:rFonts w:cs="Arial"/>
          <w:sz w:val="22"/>
          <w:szCs w:val="22"/>
        </w:rPr>
        <w:t>In this case, the Notification relates to the supply of Event Services on condition that</w:t>
      </w:r>
      <w:r w:rsidR="000850DA" w:rsidRPr="002444BE">
        <w:rPr>
          <w:rFonts w:cs="Arial"/>
          <w:sz w:val="22"/>
          <w:szCs w:val="22"/>
        </w:rPr>
        <w:t xml:space="preserve"> relevant</w:t>
      </w:r>
      <w:r w:rsidRPr="002444BE">
        <w:rPr>
          <w:rFonts w:cs="Arial"/>
          <w:sz w:val="22"/>
          <w:szCs w:val="22"/>
        </w:rPr>
        <w:t xml:space="preserve"> horses have a current vaccination against </w:t>
      </w:r>
      <w:r w:rsidR="00A97476" w:rsidRPr="002444BE">
        <w:rPr>
          <w:rFonts w:cs="Arial"/>
          <w:sz w:val="22"/>
          <w:szCs w:val="22"/>
        </w:rPr>
        <w:t>the Hendra virus</w:t>
      </w:r>
      <w:r w:rsidRPr="002444BE">
        <w:rPr>
          <w:rFonts w:cs="Arial"/>
          <w:sz w:val="22"/>
          <w:szCs w:val="22"/>
        </w:rPr>
        <w:t xml:space="preserve">. </w:t>
      </w:r>
    </w:p>
    <w:p w:rsidR="004A6E8A" w:rsidRPr="002444BE" w:rsidRDefault="00387158" w:rsidP="00461B1D">
      <w:pPr>
        <w:numPr>
          <w:ilvl w:val="1"/>
          <w:numId w:val="68"/>
        </w:numPr>
        <w:tabs>
          <w:tab w:val="left" w:pos="851"/>
        </w:tabs>
        <w:spacing w:after="240"/>
        <w:ind w:left="851" w:hanging="851"/>
        <w:rPr>
          <w:rFonts w:cs="Arial"/>
          <w:sz w:val="22"/>
          <w:szCs w:val="22"/>
          <w:lang w:val="en-AU"/>
        </w:rPr>
      </w:pPr>
      <w:r>
        <w:rPr>
          <w:rFonts w:cs="Arial"/>
          <w:sz w:val="22"/>
          <w:szCs w:val="22"/>
        </w:rPr>
        <w:t>W</w:t>
      </w:r>
      <w:r w:rsidR="00D82342">
        <w:rPr>
          <w:rFonts w:cs="Arial"/>
          <w:sz w:val="22"/>
          <w:szCs w:val="22"/>
        </w:rPr>
        <w:t>hile it</w:t>
      </w:r>
      <w:r w:rsidR="00743F1F" w:rsidRPr="002444BE">
        <w:rPr>
          <w:rFonts w:cs="Arial"/>
          <w:sz w:val="22"/>
          <w:szCs w:val="22"/>
        </w:rPr>
        <w:t xml:space="preserve"> is the case that Zoetis is currently the only manufacturer and distributor of the He</w:t>
      </w:r>
      <w:r w:rsidR="00A97476" w:rsidRPr="002444BE">
        <w:rPr>
          <w:rFonts w:cs="Arial"/>
          <w:sz w:val="22"/>
          <w:szCs w:val="22"/>
        </w:rPr>
        <w:t>ndra virus</w:t>
      </w:r>
      <w:r w:rsidR="00743F1F" w:rsidRPr="002444BE">
        <w:rPr>
          <w:rFonts w:cs="Arial"/>
          <w:sz w:val="22"/>
          <w:szCs w:val="22"/>
        </w:rPr>
        <w:t xml:space="preserve"> vaccine</w:t>
      </w:r>
      <w:r w:rsidR="00D82342">
        <w:rPr>
          <w:rFonts w:cs="Arial"/>
          <w:sz w:val="22"/>
          <w:szCs w:val="22"/>
        </w:rPr>
        <w:t xml:space="preserve">, </w:t>
      </w:r>
      <w:r w:rsidR="00743F1F" w:rsidRPr="002444BE">
        <w:rPr>
          <w:rFonts w:cs="Arial"/>
          <w:sz w:val="22"/>
          <w:szCs w:val="22"/>
        </w:rPr>
        <w:t xml:space="preserve">as the ACCC understands it Entrants would not </w:t>
      </w:r>
      <w:r w:rsidR="000850DA" w:rsidRPr="002444BE">
        <w:rPr>
          <w:rFonts w:cs="Arial"/>
          <w:sz w:val="22"/>
          <w:szCs w:val="22"/>
        </w:rPr>
        <w:t xml:space="preserve">be required to </w:t>
      </w:r>
      <w:r w:rsidR="00743F1F" w:rsidRPr="002444BE">
        <w:rPr>
          <w:rFonts w:cs="Arial"/>
          <w:sz w:val="22"/>
          <w:szCs w:val="22"/>
        </w:rPr>
        <w:t>(and</w:t>
      </w:r>
      <w:r w:rsidR="000850DA" w:rsidRPr="002444BE">
        <w:rPr>
          <w:rFonts w:cs="Arial"/>
          <w:sz w:val="22"/>
          <w:szCs w:val="22"/>
        </w:rPr>
        <w:t xml:space="preserve">, indeed, </w:t>
      </w:r>
      <w:r w:rsidR="00743F1F" w:rsidRPr="002444BE">
        <w:rPr>
          <w:rFonts w:cs="Arial"/>
          <w:sz w:val="22"/>
          <w:szCs w:val="22"/>
        </w:rPr>
        <w:t xml:space="preserve">could not) acquire the vaccine </w:t>
      </w:r>
      <w:r w:rsidR="00D82342">
        <w:rPr>
          <w:rFonts w:cs="Arial"/>
          <w:sz w:val="22"/>
          <w:szCs w:val="22"/>
        </w:rPr>
        <w:t xml:space="preserve">directly </w:t>
      </w:r>
      <w:r w:rsidR="00743F1F" w:rsidRPr="002444BE">
        <w:rPr>
          <w:rFonts w:cs="Arial"/>
          <w:sz w:val="22"/>
          <w:szCs w:val="22"/>
        </w:rPr>
        <w:t>from Zoetis. Rather</w:t>
      </w:r>
      <w:r w:rsidR="0048461E" w:rsidRPr="002444BE">
        <w:rPr>
          <w:rFonts w:cs="Arial"/>
          <w:sz w:val="22"/>
          <w:szCs w:val="22"/>
        </w:rPr>
        <w:t>, it appears that</w:t>
      </w:r>
      <w:r w:rsidR="004A6E8A" w:rsidRPr="002444BE">
        <w:rPr>
          <w:rFonts w:cs="Arial"/>
          <w:sz w:val="22"/>
          <w:szCs w:val="22"/>
        </w:rPr>
        <w:t>:</w:t>
      </w:r>
      <w:r w:rsidR="00743F1F" w:rsidRPr="002444BE">
        <w:rPr>
          <w:rFonts w:cs="Arial"/>
          <w:sz w:val="22"/>
          <w:szCs w:val="22"/>
        </w:rPr>
        <w:t xml:space="preserve"> </w:t>
      </w:r>
    </w:p>
    <w:p w:rsidR="004A6E8A" w:rsidRPr="002444BE" w:rsidRDefault="000850DA" w:rsidP="00461B1D">
      <w:pPr>
        <w:numPr>
          <w:ilvl w:val="0"/>
          <w:numId w:val="56"/>
        </w:numPr>
        <w:spacing w:before="120" w:after="120"/>
        <w:ind w:left="1208" w:hanging="357"/>
        <w:rPr>
          <w:rFonts w:cs="Arial"/>
          <w:sz w:val="22"/>
          <w:szCs w:val="22"/>
          <w:lang w:val="en-AU"/>
        </w:rPr>
      </w:pPr>
      <w:r w:rsidRPr="002444BE">
        <w:rPr>
          <w:rFonts w:cs="Arial"/>
          <w:sz w:val="22"/>
          <w:szCs w:val="22"/>
        </w:rPr>
        <w:t xml:space="preserve">an unrestricted number of </w:t>
      </w:r>
      <w:r w:rsidR="004A6E8A" w:rsidRPr="002444BE">
        <w:rPr>
          <w:rFonts w:cs="Arial"/>
          <w:sz w:val="22"/>
          <w:szCs w:val="22"/>
        </w:rPr>
        <w:t>suitably qualified veterinarians would acquire the vaccine from Zoetis</w:t>
      </w:r>
      <w:r w:rsidR="00D82342">
        <w:rPr>
          <w:rFonts w:cs="Arial"/>
          <w:sz w:val="22"/>
          <w:szCs w:val="22"/>
        </w:rPr>
        <w:t>, and</w:t>
      </w:r>
    </w:p>
    <w:p w:rsidR="00B6091B" w:rsidRPr="002444BE" w:rsidRDefault="004A6E8A" w:rsidP="00E73846">
      <w:pPr>
        <w:numPr>
          <w:ilvl w:val="0"/>
          <w:numId w:val="56"/>
        </w:numPr>
        <w:spacing w:before="120" w:after="240"/>
        <w:ind w:left="1208" w:hanging="357"/>
        <w:rPr>
          <w:rFonts w:cs="Arial"/>
          <w:sz w:val="22"/>
          <w:szCs w:val="22"/>
          <w:lang w:val="en-AU"/>
        </w:rPr>
      </w:pPr>
      <w:r w:rsidRPr="002444BE">
        <w:rPr>
          <w:rFonts w:cs="Arial"/>
          <w:sz w:val="22"/>
          <w:szCs w:val="22"/>
        </w:rPr>
        <w:t>Entrants could choose any of those veterinarians to</w:t>
      </w:r>
      <w:r w:rsidR="000850DA" w:rsidRPr="002444BE">
        <w:rPr>
          <w:rFonts w:cs="Arial"/>
          <w:sz w:val="22"/>
          <w:szCs w:val="22"/>
        </w:rPr>
        <w:t xml:space="preserve"> </w:t>
      </w:r>
      <w:r w:rsidR="00E4187A" w:rsidRPr="002444BE">
        <w:rPr>
          <w:rFonts w:cs="Arial"/>
          <w:sz w:val="22"/>
          <w:szCs w:val="22"/>
        </w:rPr>
        <w:t>administer</w:t>
      </w:r>
      <w:r w:rsidR="000850DA" w:rsidRPr="002444BE">
        <w:rPr>
          <w:rFonts w:cs="Arial"/>
          <w:sz w:val="22"/>
          <w:szCs w:val="22"/>
        </w:rPr>
        <w:t xml:space="preserve"> the vaccine when vaccinating</w:t>
      </w:r>
      <w:r w:rsidRPr="002444BE">
        <w:rPr>
          <w:rFonts w:cs="Arial"/>
          <w:sz w:val="22"/>
          <w:szCs w:val="22"/>
        </w:rPr>
        <w:t xml:space="preserve"> their horse. </w:t>
      </w:r>
    </w:p>
    <w:p w:rsidR="000850DA" w:rsidRPr="002444BE" w:rsidRDefault="00D82342" w:rsidP="00461B1D">
      <w:pPr>
        <w:numPr>
          <w:ilvl w:val="1"/>
          <w:numId w:val="68"/>
        </w:numPr>
        <w:tabs>
          <w:tab w:val="left" w:pos="851"/>
        </w:tabs>
        <w:spacing w:after="240"/>
        <w:ind w:left="851" w:hanging="851"/>
        <w:rPr>
          <w:rFonts w:cs="Arial"/>
          <w:sz w:val="22"/>
          <w:szCs w:val="22"/>
        </w:rPr>
      </w:pPr>
      <w:r>
        <w:rPr>
          <w:rFonts w:cs="Arial"/>
          <w:sz w:val="22"/>
          <w:szCs w:val="22"/>
        </w:rPr>
        <w:t>In any event, n</w:t>
      </w:r>
      <w:r w:rsidR="000850DA" w:rsidRPr="002444BE">
        <w:rPr>
          <w:rFonts w:cs="Arial"/>
          <w:sz w:val="22"/>
          <w:szCs w:val="22"/>
        </w:rPr>
        <w:t xml:space="preserve">otwithstanding doubts as to whether the notified conduct would </w:t>
      </w:r>
      <w:r w:rsidR="00EE5B52" w:rsidRPr="002444BE">
        <w:rPr>
          <w:rFonts w:cs="Arial"/>
          <w:sz w:val="22"/>
          <w:szCs w:val="22"/>
        </w:rPr>
        <w:t xml:space="preserve">be found by a court to </w:t>
      </w:r>
      <w:r w:rsidR="000850DA" w:rsidRPr="002444BE">
        <w:rPr>
          <w:rFonts w:cs="Arial"/>
          <w:sz w:val="22"/>
          <w:szCs w:val="22"/>
        </w:rPr>
        <w:t>constitute third line forcing</w:t>
      </w:r>
      <w:r w:rsidR="004A6E8A" w:rsidRPr="002444BE">
        <w:rPr>
          <w:rFonts w:cs="Arial"/>
          <w:sz w:val="22"/>
          <w:szCs w:val="22"/>
        </w:rPr>
        <w:t>, t</w:t>
      </w:r>
      <w:r w:rsidR="00E7426C" w:rsidRPr="002444BE">
        <w:rPr>
          <w:rFonts w:cs="Arial"/>
          <w:sz w:val="22"/>
          <w:szCs w:val="22"/>
        </w:rPr>
        <w:t xml:space="preserve">he ACCC </w:t>
      </w:r>
      <w:r w:rsidR="00792838" w:rsidRPr="002444BE">
        <w:rPr>
          <w:rFonts w:cs="Arial"/>
          <w:sz w:val="22"/>
          <w:szCs w:val="22"/>
        </w:rPr>
        <w:t>is un</w:t>
      </w:r>
      <w:r w:rsidR="00D3549E" w:rsidRPr="002444BE">
        <w:rPr>
          <w:rFonts w:cs="Arial"/>
          <w:sz w:val="22"/>
          <w:szCs w:val="22"/>
        </w:rPr>
        <w:t>able to rule out the possibilit</w:t>
      </w:r>
      <w:r w:rsidR="000850DA" w:rsidRPr="002444BE">
        <w:rPr>
          <w:rFonts w:cs="Arial"/>
          <w:sz w:val="22"/>
          <w:szCs w:val="22"/>
        </w:rPr>
        <w:t>y that, absent the Notification:</w:t>
      </w:r>
    </w:p>
    <w:p w:rsidR="000850DA" w:rsidRPr="002444BE" w:rsidRDefault="000850DA" w:rsidP="00461B1D">
      <w:pPr>
        <w:numPr>
          <w:ilvl w:val="0"/>
          <w:numId w:val="57"/>
        </w:numPr>
        <w:spacing w:before="120" w:after="120"/>
        <w:ind w:left="1208" w:hanging="357"/>
        <w:rPr>
          <w:rFonts w:cs="Arial"/>
          <w:sz w:val="22"/>
          <w:szCs w:val="22"/>
        </w:rPr>
      </w:pPr>
      <w:r w:rsidRPr="002444BE">
        <w:rPr>
          <w:rFonts w:cs="Arial"/>
          <w:sz w:val="22"/>
          <w:szCs w:val="22"/>
        </w:rPr>
        <w:t xml:space="preserve">EA could </w:t>
      </w:r>
      <w:r w:rsidR="00D3549E" w:rsidRPr="002444BE">
        <w:rPr>
          <w:rFonts w:cs="Arial"/>
          <w:sz w:val="22"/>
          <w:szCs w:val="22"/>
        </w:rPr>
        <w:t>fac</w:t>
      </w:r>
      <w:r w:rsidRPr="002444BE">
        <w:rPr>
          <w:rFonts w:cs="Arial"/>
          <w:sz w:val="22"/>
          <w:szCs w:val="22"/>
        </w:rPr>
        <w:t xml:space="preserve">e </w:t>
      </w:r>
      <w:r w:rsidR="00D3549E" w:rsidRPr="002444BE">
        <w:rPr>
          <w:rFonts w:cs="Arial"/>
          <w:sz w:val="22"/>
          <w:szCs w:val="22"/>
        </w:rPr>
        <w:t>legal action in respect of the notified conduct</w:t>
      </w:r>
      <w:r w:rsidRPr="002444BE">
        <w:rPr>
          <w:rFonts w:cs="Arial"/>
          <w:sz w:val="22"/>
          <w:szCs w:val="22"/>
        </w:rPr>
        <w:t xml:space="preserve"> taken by a person other than the ACCC</w:t>
      </w:r>
      <w:r w:rsidR="00D82342">
        <w:rPr>
          <w:rFonts w:cs="Arial"/>
          <w:sz w:val="22"/>
          <w:szCs w:val="22"/>
        </w:rPr>
        <w:t>,</w:t>
      </w:r>
      <w:r w:rsidRPr="002444BE">
        <w:rPr>
          <w:rFonts w:cs="Arial"/>
          <w:sz w:val="22"/>
          <w:szCs w:val="22"/>
        </w:rPr>
        <w:t xml:space="preserve"> and</w:t>
      </w:r>
    </w:p>
    <w:p w:rsidR="00E7426C" w:rsidRPr="002444BE" w:rsidRDefault="000850DA" w:rsidP="00461B1D">
      <w:pPr>
        <w:numPr>
          <w:ilvl w:val="0"/>
          <w:numId w:val="57"/>
        </w:numPr>
        <w:spacing w:before="120" w:after="120"/>
        <w:ind w:left="1208" w:hanging="357"/>
        <w:rPr>
          <w:rFonts w:cs="Arial"/>
          <w:sz w:val="22"/>
          <w:szCs w:val="22"/>
        </w:rPr>
      </w:pPr>
      <w:r w:rsidRPr="002444BE">
        <w:rPr>
          <w:rFonts w:cs="Arial"/>
          <w:sz w:val="22"/>
          <w:szCs w:val="22"/>
        </w:rPr>
        <w:lastRenderedPageBreak/>
        <w:t>a court may ultimately decide that the conduct does constitute third line forcing in contravention of section 47 of the CCA</w:t>
      </w:r>
      <w:r w:rsidR="00E7426C" w:rsidRPr="002444BE">
        <w:rPr>
          <w:rFonts w:cs="Arial"/>
          <w:sz w:val="22"/>
          <w:szCs w:val="22"/>
        </w:rPr>
        <w:t xml:space="preserve">. </w:t>
      </w:r>
    </w:p>
    <w:p w:rsidR="00387158" w:rsidRDefault="00387158" w:rsidP="004C7241">
      <w:pPr>
        <w:numPr>
          <w:ilvl w:val="1"/>
          <w:numId w:val="68"/>
        </w:numPr>
        <w:tabs>
          <w:tab w:val="left" w:pos="851"/>
        </w:tabs>
        <w:spacing w:after="240"/>
        <w:ind w:left="851" w:hanging="851"/>
        <w:rPr>
          <w:rFonts w:cs="Arial"/>
          <w:sz w:val="22"/>
          <w:szCs w:val="22"/>
        </w:rPr>
      </w:pPr>
      <w:r>
        <w:rPr>
          <w:rFonts w:cs="Arial"/>
          <w:sz w:val="22"/>
          <w:szCs w:val="22"/>
        </w:rPr>
        <w:t>For example a person may seek to argue that the Vaccination Condition requires Entrants to indirectly acquire the vaccination from Zoetis, given that Zoetis is currently the only manufacturer and distributor of the Hendra virus vaccine.</w:t>
      </w:r>
    </w:p>
    <w:p w:rsidR="00E7426C" w:rsidRPr="002444BE" w:rsidRDefault="000850DA" w:rsidP="004C7241">
      <w:pPr>
        <w:numPr>
          <w:ilvl w:val="1"/>
          <w:numId w:val="68"/>
        </w:numPr>
        <w:tabs>
          <w:tab w:val="left" w:pos="851"/>
        </w:tabs>
        <w:spacing w:after="240"/>
        <w:ind w:left="851" w:hanging="851"/>
        <w:rPr>
          <w:rFonts w:cs="Arial"/>
          <w:sz w:val="22"/>
          <w:szCs w:val="22"/>
        </w:rPr>
      </w:pPr>
      <w:r w:rsidRPr="002444BE">
        <w:rPr>
          <w:rFonts w:cs="Arial"/>
          <w:sz w:val="22"/>
          <w:szCs w:val="22"/>
        </w:rPr>
        <w:t>For this reason</w:t>
      </w:r>
      <w:r w:rsidR="00E7426C" w:rsidRPr="002444BE">
        <w:rPr>
          <w:rFonts w:cs="Arial"/>
          <w:sz w:val="22"/>
          <w:szCs w:val="22"/>
        </w:rPr>
        <w:t xml:space="preserve">, the ACCC </w:t>
      </w:r>
      <w:r w:rsidR="00D3549E" w:rsidRPr="002444BE">
        <w:rPr>
          <w:rFonts w:cs="Arial"/>
          <w:sz w:val="22"/>
          <w:szCs w:val="22"/>
        </w:rPr>
        <w:t>confirms its view that the N</w:t>
      </w:r>
      <w:r w:rsidR="00E7426C" w:rsidRPr="002444BE">
        <w:rPr>
          <w:rFonts w:cs="Arial"/>
          <w:sz w:val="22"/>
          <w:szCs w:val="22"/>
        </w:rPr>
        <w:t xml:space="preserve">otification </w:t>
      </w:r>
      <w:r w:rsidR="00D3549E" w:rsidRPr="002444BE">
        <w:rPr>
          <w:rFonts w:cs="Arial"/>
          <w:sz w:val="22"/>
          <w:szCs w:val="22"/>
        </w:rPr>
        <w:t>was</w:t>
      </w:r>
      <w:r w:rsidR="00E7426C" w:rsidRPr="002444BE">
        <w:rPr>
          <w:rFonts w:cs="Arial"/>
          <w:sz w:val="22"/>
          <w:szCs w:val="22"/>
        </w:rPr>
        <w:t xml:space="preserve"> validly lodged. </w:t>
      </w:r>
    </w:p>
    <w:p w:rsidR="00D72B78" w:rsidRDefault="009F6919" w:rsidP="004C7241">
      <w:pPr>
        <w:pStyle w:val="Heading1"/>
        <w:numPr>
          <w:ilvl w:val="0"/>
          <w:numId w:val="1"/>
        </w:numPr>
        <w:tabs>
          <w:tab w:val="clear" w:pos="1211"/>
          <w:tab w:val="num" w:pos="851"/>
        </w:tabs>
        <w:ind w:hanging="1211"/>
        <w:rPr>
          <w:rFonts w:cs="Arial"/>
          <w:sz w:val="28"/>
          <w:szCs w:val="28"/>
          <w:u w:val="none"/>
        </w:rPr>
      </w:pPr>
      <w:r>
        <w:rPr>
          <w:rFonts w:cs="Arial"/>
          <w:sz w:val="28"/>
          <w:szCs w:val="28"/>
          <w:u w:val="none"/>
        </w:rPr>
        <w:t>Chronology</w:t>
      </w:r>
    </w:p>
    <w:p w:rsidR="00127BC1" w:rsidRDefault="00127BC1" w:rsidP="002444BE">
      <w:pPr>
        <w:pStyle w:val="ListNumber2"/>
        <w:numPr>
          <w:ilvl w:val="0"/>
          <w:numId w:val="0"/>
        </w:numPr>
        <w:tabs>
          <w:tab w:val="left" w:pos="851"/>
        </w:tabs>
      </w:pPr>
    </w:p>
    <w:tbl>
      <w:tblPr>
        <w:tblStyle w:val="TableContemporary"/>
        <w:tblW w:w="7212" w:type="dxa"/>
        <w:tblInd w:w="959" w:type="dxa"/>
        <w:tblLook w:val="0020" w:firstRow="1" w:lastRow="0" w:firstColumn="0" w:lastColumn="0" w:noHBand="0" w:noVBand="0"/>
      </w:tblPr>
      <w:tblGrid>
        <w:gridCol w:w="2274"/>
        <w:gridCol w:w="4938"/>
      </w:tblGrid>
      <w:tr w:rsidR="002444BE" w:rsidRPr="0083538E" w:rsidTr="00735287">
        <w:trPr>
          <w:cnfStyle w:val="100000000000" w:firstRow="1" w:lastRow="0" w:firstColumn="0" w:lastColumn="0" w:oddVBand="0" w:evenVBand="0" w:oddHBand="0" w:evenHBand="0" w:firstRowFirstColumn="0" w:firstRowLastColumn="0" w:lastRowFirstColumn="0" w:lastRowLastColumn="0"/>
          <w:trHeight w:val="367"/>
        </w:trPr>
        <w:tc>
          <w:tcPr>
            <w:tcW w:w="2274" w:type="dxa"/>
          </w:tcPr>
          <w:p w:rsidR="002444BE" w:rsidRPr="00461B1D" w:rsidRDefault="002444BE" w:rsidP="008219D2">
            <w:pPr>
              <w:rPr>
                <w:b w:val="0"/>
                <w:sz w:val="22"/>
                <w:szCs w:val="22"/>
              </w:rPr>
            </w:pPr>
            <w:r w:rsidRPr="00461B1D">
              <w:rPr>
                <w:sz w:val="22"/>
                <w:szCs w:val="22"/>
              </w:rPr>
              <w:t>Date</w:t>
            </w:r>
          </w:p>
        </w:tc>
        <w:tc>
          <w:tcPr>
            <w:tcW w:w="4938" w:type="dxa"/>
          </w:tcPr>
          <w:p w:rsidR="002444BE" w:rsidRPr="00461B1D" w:rsidRDefault="002444BE" w:rsidP="008219D2">
            <w:pPr>
              <w:rPr>
                <w:b w:val="0"/>
                <w:sz w:val="22"/>
                <w:szCs w:val="22"/>
              </w:rPr>
            </w:pPr>
            <w:r w:rsidRPr="00461B1D">
              <w:rPr>
                <w:sz w:val="22"/>
                <w:szCs w:val="22"/>
              </w:rPr>
              <w:t>Event</w:t>
            </w:r>
          </w:p>
        </w:tc>
      </w:tr>
      <w:tr w:rsidR="002444BE" w:rsidTr="00735287">
        <w:trPr>
          <w:cnfStyle w:val="000000100000" w:firstRow="0" w:lastRow="0" w:firstColumn="0" w:lastColumn="0" w:oddVBand="0" w:evenVBand="0" w:oddHBand="1" w:evenHBand="0" w:firstRowFirstColumn="0" w:firstRowLastColumn="0" w:lastRowFirstColumn="0" w:lastRowLastColumn="0"/>
          <w:trHeight w:val="369"/>
        </w:trPr>
        <w:tc>
          <w:tcPr>
            <w:tcW w:w="2274" w:type="dxa"/>
          </w:tcPr>
          <w:p w:rsidR="002444BE" w:rsidRPr="00461B1D" w:rsidRDefault="002444BE" w:rsidP="008219D2">
            <w:pPr>
              <w:rPr>
                <w:sz w:val="22"/>
                <w:szCs w:val="22"/>
              </w:rPr>
            </w:pPr>
            <w:r w:rsidRPr="00461B1D">
              <w:rPr>
                <w:sz w:val="22"/>
                <w:szCs w:val="22"/>
              </w:rPr>
              <w:t>30 July 2015</w:t>
            </w:r>
          </w:p>
        </w:tc>
        <w:tc>
          <w:tcPr>
            <w:tcW w:w="4938" w:type="dxa"/>
          </w:tcPr>
          <w:p w:rsidR="002444BE" w:rsidRPr="00461B1D" w:rsidRDefault="002444BE" w:rsidP="008219D2">
            <w:pPr>
              <w:rPr>
                <w:sz w:val="22"/>
                <w:szCs w:val="22"/>
              </w:rPr>
            </w:pPr>
            <w:r w:rsidRPr="00461B1D">
              <w:rPr>
                <w:sz w:val="22"/>
                <w:szCs w:val="22"/>
              </w:rPr>
              <w:t>Notification lodged.</w:t>
            </w:r>
          </w:p>
        </w:tc>
      </w:tr>
      <w:tr w:rsidR="002444BE" w:rsidTr="00735287">
        <w:trPr>
          <w:cnfStyle w:val="000000010000" w:firstRow="0" w:lastRow="0" w:firstColumn="0" w:lastColumn="0" w:oddVBand="0" w:evenVBand="0" w:oddHBand="0" w:evenHBand="1" w:firstRowFirstColumn="0" w:firstRowLastColumn="0" w:lastRowFirstColumn="0" w:lastRowLastColumn="0"/>
          <w:trHeight w:val="389"/>
        </w:trPr>
        <w:tc>
          <w:tcPr>
            <w:tcW w:w="2274" w:type="dxa"/>
          </w:tcPr>
          <w:p w:rsidR="002444BE" w:rsidRPr="00461B1D" w:rsidRDefault="002444BE" w:rsidP="008219D2">
            <w:pPr>
              <w:rPr>
                <w:sz w:val="22"/>
                <w:szCs w:val="22"/>
              </w:rPr>
            </w:pPr>
            <w:r w:rsidRPr="00461B1D">
              <w:rPr>
                <w:sz w:val="22"/>
                <w:szCs w:val="22"/>
              </w:rPr>
              <w:t>13 August 2015</w:t>
            </w:r>
          </w:p>
        </w:tc>
        <w:tc>
          <w:tcPr>
            <w:tcW w:w="4938" w:type="dxa"/>
          </w:tcPr>
          <w:p w:rsidR="002444BE" w:rsidRPr="00461B1D" w:rsidRDefault="002444BE" w:rsidP="008219D2">
            <w:pPr>
              <w:rPr>
                <w:sz w:val="22"/>
                <w:szCs w:val="22"/>
              </w:rPr>
            </w:pPr>
            <w:r w:rsidRPr="00461B1D">
              <w:rPr>
                <w:sz w:val="22"/>
                <w:szCs w:val="22"/>
              </w:rPr>
              <w:t>Public consultation process begins.</w:t>
            </w:r>
          </w:p>
        </w:tc>
      </w:tr>
      <w:tr w:rsidR="002444BE" w:rsidTr="00735287">
        <w:trPr>
          <w:cnfStyle w:val="000000100000" w:firstRow="0" w:lastRow="0" w:firstColumn="0" w:lastColumn="0" w:oddVBand="0" w:evenVBand="0" w:oddHBand="1" w:evenHBand="0" w:firstRowFirstColumn="0" w:firstRowLastColumn="0" w:lastRowFirstColumn="0" w:lastRowLastColumn="0"/>
          <w:trHeight w:val="382"/>
        </w:trPr>
        <w:tc>
          <w:tcPr>
            <w:tcW w:w="2274" w:type="dxa"/>
          </w:tcPr>
          <w:p w:rsidR="002444BE" w:rsidRPr="00461B1D" w:rsidRDefault="002444BE" w:rsidP="008219D2">
            <w:pPr>
              <w:rPr>
                <w:sz w:val="22"/>
                <w:szCs w:val="22"/>
              </w:rPr>
            </w:pPr>
            <w:r w:rsidRPr="00461B1D">
              <w:rPr>
                <w:sz w:val="22"/>
                <w:szCs w:val="22"/>
              </w:rPr>
              <w:t>13 August 2015</w:t>
            </w:r>
          </w:p>
        </w:tc>
        <w:tc>
          <w:tcPr>
            <w:tcW w:w="4938" w:type="dxa"/>
          </w:tcPr>
          <w:p w:rsidR="002444BE" w:rsidRPr="00461B1D" w:rsidRDefault="002444BE" w:rsidP="008219D2">
            <w:pPr>
              <w:rPr>
                <w:sz w:val="22"/>
                <w:szCs w:val="22"/>
              </w:rPr>
            </w:pPr>
            <w:r w:rsidRPr="00461B1D">
              <w:rPr>
                <w:sz w:val="22"/>
                <w:szCs w:val="22"/>
              </w:rPr>
              <w:t>Immunity commences.</w:t>
            </w:r>
          </w:p>
        </w:tc>
      </w:tr>
      <w:tr w:rsidR="002444BE" w:rsidTr="00735287">
        <w:trPr>
          <w:cnfStyle w:val="000000010000" w:firstRow="0" w:lastRow="0" w:firstColumn="0" w:lastColumn="0" w:oddVBand="0" w:evenVBand="0" w:oddHBand="0" w:evenHBand="1" w:firstRowFirstColumn="0" w:firstRowLastColumn="0" w:lastRowFirstColumn="0" w:lastRowLastColumn="0"/>
          <w:trHeight w:val="516"/>
        </w:trPr>
        <w:tc>
          <w:tcPr>
            <w:tcW w:w="2274" w:type="dxa"/>
          </w:tcPr>
          <w:p w:rsidR="002444BE" w:rsidRPr="00461B1D" w:rsidRDefault="002444BE" w:rsidP="008219D2">
            <w:pPr>
              <w:rPr>
                <w:sz w:val="22"/>
                <w:szCs w:val="22"/>
              </w:rPr>
            </w:pPr>
            <w:r w:rsidRPr="00461B1D">
              <w:rPr>
                <w:sz w:val="22"/>
                <w:szCs w:val="22"/>
              </w:rPr>
              <w:t>4 September 2015</w:t>
            </w:r>
          </w:p>
        </w:tc>
        <w:tc>
          <w:tcPr>
            <w:tcW w:w="4938" w:type="dxa"/>
          </w:tcPr>
          <w:p w:rsidR="002444BE" w:rsidRPr="00461B1D" w:rsidRDefault="002444BE" w:rsidP="008219D2">
            <w:pPr>
              <w:rPr>
                <w:sz w:val="22"/>
                <w:szCs w:val="22"/>
              </w:rPr>
            </w:pPr>
            <w:r w:rsidRPr="00461B1D">
              <w:rPr>
                <w:sz w:val="22"/>
                <w:szCs w:val="22"/>
              </w:rPr>
              <w:t>Closing date for submissions.</w:t>
            </w:r>
          </w:p>
        </w:tc>
      </w:tr>
      <w:tr w:rsidR="002444BE" w:rsidTr="00735287">
        <w:trPr>
          <w:cnfStyle w:val="000000100000" w:firstRow="0" w:lastRow="0" w:firstColumn="0" w:lastColumn="0" w:oddVBand="0" w:evenVBand="0" w:oddHBand="1" w:evenHBand="0" w:firstRowFirstColumn="0" w:firstRowLastColumn="0" w:lastRowFirstColumn="0" w:lastRowLastColumn="0"/>
          <w:trHeight w:val="396"/>
        </w:trPr>
        <w:tc>
          <w:tcPr>
            <w:tcW w:w="2274" w:type="dxa"/>
          </w:tcPr>
          <w:p w:rsidR="002444BE" w:rsidRPr="00461B1D" w:rsidRDefault="002444BE" w:rsidP="008219D2">
            <w:pPr>
              <w:rPr>
                <w:sz w:val="22"/>
                <w:szCs w:val="22"/>
              </w:rPr>
            </w:pPr>
            <w:r w:rsidRPr="00461B1D">
              <w:rPr>
                <w:sz w:val="22"/>
                <w:szCs w:val="22"/>
              </w:rPr>
              <w:t>14 October 2015</w:t>
            </w:r>
          </w:p>
        </w:tc>
        <w:tc>
          <w:tcPr>
            <w:tcW w:w="4938" w:type="dxa"/>
          </w:tcPr>
          <w:p w:rsidR="002444BE" w:rsidRPr="00461B1D" w:rsidRDefault="002444BE" w:rsidP="008219D2">
            <w:pPr>
              <w:rPr>
                <w:sz w:val="22"/>
                <w:szCs w:val="22"/>
              </w:rPr>
            </w:pPr>
            <w:r w:rsidRPr="00461B1D">
              <w:rPr>
                <w:sz w:val="22"/>
                <w:szCs w:val="22"/>
              </w:rPr>
              <w:t>Public Forum – Brisbane.</w:t>
            </w:r>
          </w:p>
        </w:tc>
      </w:tr>
      <w:tr w:rsidR="002444BE" w:rsidTr="00735287">
        <w:trPr>
          <w:cnfStyle w:val="000000010000" w:firstRow="0" w:lastRow="0" w:firstColumn="0" w:lastColumn="0" w:oddVBand="0" w:evenVBand="0" w:oddHBand="0" w:evenHBand="1" w:firstRowFirstColumn="0" w:firstRowLastColumn="0" w:lastRowFirstColumn="0" w:lastRowLastColumn="0"/>
          <w:trHeight w:val="373"/>
        </w:trPr>
        <w:tc>
          <w:tcPr>
            <w:tcW w:w="2274" w:type="dxa"/>
          </w:tcPr>
          <w:p w:rsidR="002444BE" w:rsidRPr="00461B1D" w:rsidRDefault="002444BE" w:rsidP="008219D2">
            <w:pPr>
              <w:rPr>
                <w:sz w:val="22"/>
                <w:szCs w:val="22"/>
              </w:rPr>
            </w:pPr>
            <w:r w:rsidRPr="00461B1D">
              <w:rPr>
                <w:sz w:val="22"/>
                <w:szCs w:val="22"/>
              </w:rPr>
              <w:t xml:space="preserve">21 October 2015 </w:t>
            </w:r>
          </w:p>
        </w:tc>
        <w:tc>
          <w:tcPr>
            <w:tcW w:w="4938" w:type="dxa"/>
          </w:tcPr>
          <w:p w:rsidR="002444BE" w:rsidRPr="00461B1D" w:rsidRDefault="002444BE" w:rsidP="00461B1D">
            <w:pPr>
              <w:rPr>
                <w:sz w:val="22"/>
                <w:szCs w:val="22"/>
              </w:rPr>
            </w:pPr>
            <w:r w:rsidRPr="00461B1D">
              <w:rPr>
                <w:sz w:val="22"/>
                <w:szCs w:val="22"/>
              </w:rPr>
              <w:t>Further submissions – closing date.</w:t>
            </w:r>
          </w:p>
        </w:tc>
      </w:tr>
      <w:tr w:rsidR="002444BE" w:rsidTr="00735287">
        <w:trPr>
          <w:cnfStyle w:val="000000100000" w:firstRow="0" w:lastRow="0" w:firstColumn="0" w:lastColumn="0" w:oddVBand="0" w:evenVBand="0" w:oddHBand="1" w:evenHBand="0" w:firstRowFirstColumn="0" w:firstRowLastColumn="0" w:lastRowFirstColumn="0" w:lastRowLastColumn="0"/>
          <w:trHeight w:val="467"/>
        </w:trPr>
        <w:tc>
          <w:tcPr>
            <w:tcW w:w="2274" w:type="dxa"/>
          </w:tcPr>
          <w:p w:rsidR="002444BE" w:rsidRPr="00461B1D" w:rsidRDefault="004429CE" w:rsidP="008219D2">
            <w:pPr>
              <w:rPr>
                <w:sz w:val="22"/>
                <w:szCs w:val="22"/>
              </w:rPr>
            </w:pPr>
            <w:r w:rsidRPr="00261D5E">
              <w:rPr>
                <w:sz w:val="22"/>
                <w:szCs w:val="22"/>
              </w:rPr>
              <w:t>18</w:t>
            </w:r>
            <w:r w:rsidR="002444BE" w:rsidRPr="00461B1D">
              <w:rPr>
                <w:sz w:val="22"/>
                <w:szCs w:val="22"/>
              </w:rPr>
              <w:t xml:space="preserve"> December 2015</w:t>
            </w:r>
          </w:p>
        </w:tc>
        <w:tc>
          <w:tcPr>
            <w:tcW w:w="4938" w:type="dxa"/>
          </w:tcPr>
          <w:p w:rsidR="002444BE" w:rsidRPr="00461B1D" w:rsidRDefault="002444BE" w:rsidP="00461B1D">
            <w:pPr>
              <w:rPr>
                <w:sz w:val="22"/>
                <w:szCs w:val="22"/>
              </w:rPr>
            </w:pPr>
            <w:r w:rsidRPr="00461B1D">
              <w:rPr>
                <w:sz w:val="22"/>
                <w:szCs w:val="22"/>
              </w:rPr>
              <w:t>Statement of Reasons Issued.</w:t>
            </w:r>
          </w:p>
        </w:tc>
      </w:tr>
    </w:tbl>
    <w:p w:rsidR="00BE521A" w:rsidRPr="00EF7BF0" w:rsidRDefault="009D4D45" w:rsidP="00461B1D">
      <w:pPr>
        <w:pStyle w:val="Heading1"/>
        <w:numPr>
          <w:ilvl w:val="0"/>
          <w:numId w:val="1"/>
        </w:numPr>
        <w:tabs>
          <w:tab w:val="clear" w:pos="1211"/>
          <w:tab w:val="num" w:pos="851"/>
        </w:tabs>
        <w:ind w:hanging="1211"/>
        <w:rPr>
          <w:rFonts w:cs="Arial"/>
          <w:sz w:val="28"/>
          <w:szCs w:val="28"/>
          <w:u w:val="none"/>
        </w:rPr>
      </w:pPr>
      <w:r>
        <w:rPr>
          <w:rFonts w:cs="Arial"/>
          <w:sz w:val="28"/>
          <w:szCs w:val="28"/>
          <w:u w:val="none"/>
        </w:rPr>
        <w:t>S</w:t>
      </w:r>
      <w:r w:rsidR="00BE521A" w:rsidRPr="00EF7BF0">
        <w:rPr>
          <w:rFonts w:cs="Arial"/>
          <w:sz w:val="28"/>
          <w:szCs w:val="28"/>
          <w:u w:val="none"/>
        </w:rPr>
        <w:t>ubmission</w:t>
      </w:r>
      <w:bookmarkEnd w:id="5"/>
      <w:bookmarkEnd w:id="6"/>
      <w:r>
        <w:rPr>
          <w:rFonts w:cs="Arial"/>
          <w:sz w:val="28"/>
          <w:szCs w:val="28"/>
          <w:u w:val="none"/>
        </w:rPr>
        <w:t>s</w:t>
      </w:r>
    </w:p>
    <w:p w:rsidR="00BE521A" w:rsidRPr="00EF7BF0" w:rsidRDefault="00BE521A" w:rsidP="00BE521A">
      <w:pPr>
        <w:rPr>
          <w:rFonts w:cs="Arial"/>
        </w:rPr>
      </w:pPr>
    </w:p>
    <w:p w:rsidR="003E7017" w:rsidRPr="00EF7BF0" w:rsidRDefault="0049737C" w:rsidP="00DB0327">
      <w:pPr>
        <w:pStyle w:val="Heading2"/>
      </w:pPr>
      <w:r>
        <w:t>Equestrian Australia</w:t>
      </w:r>
      <w:r w:rsidR="001059F4">
        <w:t xml:space="preserve"> submissions</w:t>
      </w:r>
    </w:p>
    <w:p w:rsidR="00DB0327" w:rsidRPr="002444BE" w:rsidRDefault="0048461E" w:rsidP="00DB0327">
      <w:pPr>
        <w:numPr>
          <w:ilvl w:val="1"/>
          <w:numId w:val="33"/>
        </w:numPr>
        <w:tabs>
          <w:tab w:val="left" w:pos="851"/>
        </w:tabs>
        <w:spacing w:after="240"/>
        <w:ind w:left="851" w:hanging="851"/>
        <w:rPr>
          <w:rFonts w:cs="Arial"/>
          <w:sz w:val="22"/>
          <w:szCs w:val="22"/>
        </w:rPr>
      </w:pPr>
      <w:r w:rsidRPr="002444BE">
        <w:rPr>
          <w:rFonts w:cs="Arial"/>
          <w:sz w:val="22"/>
          <w:szCs w:val="22"/>
        </w:rPr>
        <w:t>In support of the Notification,</w:t>
      </w:r>
      <w:r w:rsidR="00DB0327" w:rsidRPr="002444BE">
        <w:rPr>
          <w:rFonts w:cs="Arial"/>
          <w:sz w:val="22"/>
          <w:szCs w:val="22"/>
        </w:rPr>
        <w:t xml:space="preserve"> EA</w:t>
      </w:r>
      <w:r w:rsidRPr="002444BE">
        <w:rPr>
          <w:rFonts w:cs="Arial"/>
          <w:sz w:val="22"/>
          <w:szCs w:val="22"/>
        </w:rPr>
        <w:t xml:space="preserve"> submitted that</w:t>
      </w:r>
      <w:r w:rsidR="00DB0327" w:rsidRPr="002444BE">
        <w:rPr>
          <w:rFonts w:cs="Arial"/>
          <w:sz w:val="22"/>
          <w:szCs w:val="22"/>
        </w:rPr>
        <w:t xml:space="preserve"> the</w:t>
      </w:r>
      <w:r w:rsidRPr="002444BE">
        <w:rPr>
          <w:rFonts w:cs="Arial"/>
          <w:sz w:val="22"/>
          <w:szCs w:val="22"/>
        </w:rPr>
        <w:t xml:space="preserve"> notified</w:t>
      </w:r>
      <w:r w:rsidR="00DB0327" w:rsidRPr="002444BE">
        <w:rPr>
          <w:rFonts w:cs="Arial"/>
          <w:sz w:val="22"/>
          <w:szCs w:val="22"/>
        </w:rPr>
        <w:t xml:space="preserve"> conduct will result in the following public benefits:</w:t>
      </w:r>
    </w:p>
    <w:p w:rsidR="00DB0327" w:rsidRPr="002444BE" w:rsidRDefault="00E73846"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i</w:t>
      </w:r>
      <w:r w:rsidR="00DB0327" w:rsidRPr="002444BE">
        <w:rPr>
          <w:rFonts w:cs="Arial"/>
          <w:color w:val="000000"/>
          <w:sz w:val="22"/>
          <w:szCs w:val="22"/>
        </w:rPr>
        <w:t>mproved protection of public and occupational health and safety of persons attending e</w:t>
      </w:r>
      <w:r w:rsidR="009C47C2">
        <w:rPr>
          <w:rFonts w:cs="Arial"/>
          <w:color w:val="000000"/>
          <w:sz w:val="22"/>
          <w:szCs w:val="22"/>
        </w:rPr>
        <w:t>questrian e</w:t>
      </w:r>
      <w:r w:rsidR="00DB0327" w:rsidRPr="002444BE">
        <w:rPr>
          <w:rFonts w:cs="Arial"/>
          <w:color w:val="000000"/>
          <w:sz w:val="22"/>
          <w:szCs w:val="22"/>
        </w:rPr>
        <w:t>vents</w:t>
      </w:r>
    </w:p>
    <w:p w:rsidR="00DB0327" w:rsidRPr="002444BE" w:rsidRDefault="00E73846"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i</w:t>
      </w:r>
      <w:r w:rsidR="00DB0327" w:rsidRPr="002444BE">
        <w:rPr>
          <w:rFonts w:cs="Arial"/>
          <w:color w:val="000000"/>
          <w:sz w:val="22"/>
          <w:szCs w:val="22"/>
        </w:rPr>
        <w:t>mproved protection of the health and safety of horses</w:t>
      </w:r>
    </w:p>
    <w:p w:rsidR="00DB0327" w:rsidRPr="002444BE" w:rsidRDefault="00E73846"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i</w:t>
      </w:r>
      <w:r w:rsidR="00DB0327" w:rsidRPr="002444BE">
        <w:rPr>
          <w:rFonts w:cs="Arial"/>
          <w:color w:val="000000"/>
          <w:sz w:val="22"/>
          <w:szCs w:val="22"/>
        </w:rPr>
        <w:t>mproved control of the spread of the Hendra virus</w:t>
      </w:r>
    </w:p>
    <w:p w:rsidR="00DB0327" w:rsidRPr="002444BE" w:rsidRDefault="00E73846"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c</w:t>
      </w:r>
      <w:r w:rsidR="00DB0327" w:rsidRPr="002444BE">
        <w:rPr>
          <w:rFonts w:cs="Arial"/>
          <w:color w:val="000000"/>
          <w:sz w:val="22"/>
          <w:szCs w:val="22"/>
        </w:rPr>
        <w:t>ontribution to the preservation of Australia’s biosecurity</w:t>
      </w:r>
    </w:p>
    <w:p w:rsidR="00DB0327" w:rsidRPr="002444BE" w:rsidRDefault="00E73846"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p</w:t>
      </w:r>
      <w:r w:rsidR="00DB0327" w:rsidRPr="002444BE">
        <w:rPr>
          <w:rFonts w:cs="Arial"/>
          <w:color w:val="000000"/>
          <w:sz w:val="22"/>
          <w:szCs w:val="22"/>
        </w:rPr>
        <w:t>reservation of the integrity of the Australian equestrian sports system</w:t>
      </w:r>
    </w:p>
    <w:p w:rsidR="00DB0327" w:rsidRPr="002444BE" w:rsidRDefault="00E73846"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p</w:t>
      </w:r>
      <w:r w:rsidR="00DB0327" w:rsidRPr="002444BE">
        <w:rPr>
          <w:rFonts w:cs="Arial"/>
          <w:color w:val="000000"/>
          <w:sz w:val="22"/>
          <w:szCs w:val="22"/>
        </w:rPr>
        <w:t>reservation or enhancement of Australia’s international reputation with respect to equestrian sports and their administration and with respect to responsible control of infectious and fatal disease generally</w:t>
      </w:r>
    </w:p>
    <w:p w:rsidR="00DB0327" w:rsidRPr="002444BE" w:rsidRDefault="00E73846" w:rsidP="00261D5E">
      <w:pPr>
        <w:pStyle w:val="ListParagraph"/>
        <w:numPr>
          <w:ilvl w:val="0"/>
          <w:numId w:val="41"/>
        </w:numPr>
        <w:tabs>
          <w:tab w:val="left" w:pos="340"/>
        </w:tabs>
        <w:autoSpaceDE w:val="0"/>
        <w:autoSpaceDN w:val="0"/>
        <w:adjustRightInd w:val="0"/>
        <w:spacing w:before="120" w:after="240"/>
        <w:ind w:left="1208" w:hanging="357"/>
        <w:rPr>
          <w:rFonts w:cs="Arial"/>
          <w:color w:val="000000"/>
          <w:sz w:val="22"/>
          <w:szCs w:val="22"/>
        </w:rPr>
      </w:pPr>
      <w:r>
        <w:rPr>
          <w:rFonts w:cs="Arial"/>
          <w:color w:val="000000"/>
          <w:sz w:val="22"/>
          <w:szCs w:val="22"/>
        </w:rPr>
        <w:t>m</w:t>
      </w:r>
      <w:r w:rsidR="00DB0327" w:rsidRPr="002444BE">
        <w:rPr>
          <w:rFonts w:cs="Arial"/>
          <w:color w:val="000000"/>
          <w:sz w:val="22"/>
          <w:szCs w:val="22"/>
        </w:rPr>
        <w:t>itigation of upward pressure on costs of insurance for equestrian sports organisations, relevant veterinarians and owners of equestrian sports horses</w:t>
      </w:r>
    </w:p>
    <w:p w:rsidR="00DB0327" w:rsidRPr="002444BE" w:rsidRDefault="00E73846" w:rsidP="00261D5E">
      <w:pPr>
        <w:pStyle w:val="ListParagraph"/>
        <w:numPr>
          <w:ilvl w:val="0"/>
          <w:numId w:val="41"/>
        </w:numPr>
        <w:tabs>
          <w:tab w:val="left" w:pos="340"/>
        </w:tabs>
        <w:autoSpaceDE w:val="0"/>
        <w:autoSpaceDN w:val="0"/>
        <w:adjustRightInd w:val="0"/>
        <w:spacing w:before="120" w:after="240"/>
        <w:ind w:left="1208" w:hanging="357"/>
        <w:rPr>
          <w:rFonts w:cs="Arial"/>
          <w:color w:val="000000"/>
          <w:sz w:val="22"/>
          <w:szCs w:val="22"/>
        </w:rPr>
      </w:pPr>
      <w:r>
        <w:rPr>
          <w:rFonts w:cs="Arial"/>
          <w:color w:val="000000"/>
          <w:sz w:val="22"/>
          <w:szCs w:val="22"/>
        </w:rPr>
        <w:t>a</w:t>
      </w:r>
      <w:r w:rsidR="00DB0327" w:rsidRPr="002444BE">
        <w:rPr>
          <w:rFonts w:cs="Arial"/>
          <w:color w:val="000000"/>
          <w:sz w:val="22"/>
          <w:szCs w:val="22"/>
        </w:rPr>
        <w:t>voidance of a significant disincentive for individuals to participate on Organising Committees as a result of increased risk of uninsured liability</w:t>
      </w:r>
    </w:p>
    <w:p w:rsidR="00083D8E" w:rsidRPr="002444BE" w:rsidRDefault="00E73846" w:rsidP="00E73846">
      <w:pPr>
        <w:pStyle w:val="ListParagraph"/>
        <w:numPr>
          <w:ilvl w:val="0"/>
          <w:numId w:val="41"/>
        </w:numPr>
        <w:tabs>
          <w:tab w:val="left" w:pos="340"/>
        </w:tabs>
        <w:autoSpaceDE w:val="0"/>
        <w:autoSpaceDN w:val="0"/>
        <w:adjustRightInd w:val="0"/>
        <w:spacing w:before="120" w:after="240"/>
        <w:ind w:left="1208" w:hanging="357"/>
        <w:rPr>
          <w:rFonts w:cs="Arial"/>
          <w:color w:val="000000"/>
          <w:sz w:val="22"/>
          <w:szCs w:val="22"/>
        </w:rPr>
      </w:pPr>
      <w:r>
        <w:rPr>
          <w:rFonts w:cs="Arial"/>
          <w:color w:val="000000"/>
          <w:sz w:val="22"/>
          <w:szCs w:val="22"/>
        </w:rPr>
        <w:lastRenderedPageBreak/>
        <w:t>m</w:t>
      </w:r>
      <w:r w:rsidR="00DB0327" w:rsidRPr="002444BE">
        <w:rPr>
          <w:rFonts w:cs="Arial"/>
          <w:color w:val="000000"/>
          <w:sz w:val="22"/>
          <w:szCs w:val="22"/>
        </w:rPr>
        <w:t xml:space="preserve">itigation against a significant disincentive for equine veterinarians to provide professional services at </w:t>
      </w:r>
      <w:r w:rsidR="009C47C2">
        <w:rPr>
          <w:rFonts w:cs="Arial"/>
          <w:color w:val="000000"/>
          <w:sz w:val="22"/>
          <w:szCs w:val="22"/>
        </w:rPr>
        <w:t xml:space="preserve">equestrian </w:t>
      </w:r>
      <w:r w:rsidR="00DB0327" w:rsidRPr="002444BE">
        <w:rPr>
          <w:rFonts w:cs="Arial"/>
          <w:color w:val="000000"/>
          <w:sz w:val="22"/>
          <w:szCs w:val="22"/>
        </w:rPr>
        <w:t>events (at all or without indemnification against any legal liability).</w:t>
      </w:r>
    </w:p>
    <w:p w:rsidR="003D1F68" w:rsidRPr="000C1EB1" w:rsidRDefault="003D1F68" w:rsidP="000C1EB1">
      <w:pPr>
        <w:pStyle w:val="Heading2"/>
        <w:tabs>
          <w:tab w:val="left" w:pos="0"/>
        </w:tabs>
      </w:pPr>
      <w:r w:rsidRPr="000C1EB1">
        <w:t>Submissions raising concerns about the notified conduct</w:t>
      </w:r>
    </w:p>
    <w:p w:rsidR="002444BE" w:rsidRPr="002444BE" w:rsidRDefault="002444BE" w:rsidP="002444BE">
      <w:pPr>
        <w:numPr>
          <w:ilvl w:val="1"/>
          <w:numId w:val="33"/>
        </w:numPr>
        <w:tabs>
          <w:tab w:val="left" w:pos="851"/>
        </w:tabs>
        <w:spacing w:after="240"/>
        <w:ind w:left="851" w:hanging="851"/>
        <w:rPr>
          <w:rFonts w:cs="Arial"/>
          <w:sz w:val="22"/>
          <w:szCs w:val="22"/>
        </w:rPr>
      </w:pPr>
      <w:r w:rsidRPr="002444BE">
        <w:rPr>
          <w:rFonts w:cs="Arial"/>
          <w:sz w:val="22"/>
          <w:szCs w:val="22"/>
        </w:rPr>
        <w:t>The ACCC also received a large number of submissions from interested parties</w:t>
      </w:r>
      <w:r w:rsidR="00E73846">
        <w:rPr>
          <w:rFonts w:cs="Arial"/>
          <w:sz w:val="22"/>
          <w:szCs w:val="22"/>
        </w:rPr>
        <w:t xml:space="preserve"> (many of which are confidential)</w:t>
      </w:r>
      <w:r w:rsidR="00E73846" w:rsidRPr="002444BE">
        <w:rPr>
          <w:rFonts w:cs="Arial"/>
          <w:sz w:val="22"/>
          <w:szCs w:val="22"/>
        </w:rPr>
        <w:t xml:space="preserve">, </w:t>
      </w:r>
      <w:r w:rsidRPr="002444BE">
        <w:rPr>
          <w:rFonts w:cs="Arial"/>
          <w:sz w:val="22"/>
          <w:szCs w:val="22"/>
        </w:rPr>
        <w:t xml:space="preserve">primarily owners/trainers and riders of horses but also Equestrian clubs and event organisers, objecting to the Notification on the basis that it would not give rise to public benefits and would result in significant public detriment. </w:t>
      </w:r>
    </w:p>
    <w:p w:rsidR="002444BE" w:rsidRPr="002444BE" w:rsidRDefault="002444BE" w:rsidP="002444BE">
      <w:pPr>
        <w:numPr>
          <w:ilvl w:val="1"/>
          <w:numId w:val="33"/>
        </w:numPr>
        <w:tabs>
          <w:tab w:val="left" w:pos="851"/>
        </w:tabs>
        <w:spacing w:after="240"/>
        <w:ind w:left="851" w:hanging="851"/>
        <w:rPr>
          <w:rFonts w:cs="Arial"/>
          <w:sz w:val="22"/>
          <w:szCs w:val="22"/>
        </w:rPr>
      </w:pPr>
      <w:r w:rsidRPr="002444BE">
        <w:rPr>
          <w:rFonts w:cs="Arial"/>
          <w:sz w:val="22"/>
          <w:szCs w:val="22"/>
        </w:rPr>
        <w:t xml:space="preserve">In general terms, and having regard to the framework within which the ACCC is required to assess notifications, these submissions can be generally summarised </w:t>
      </w:r>
      <w:r w:rsidR="000C1EB1">
        <w:rPr>
          <w:rFonts w:cs="Arial"/>
          <w:sz w:val="22"/>
          <w:szCs w:val="22"/>
        </w:rPr>
        <w:t>as follows</w:t>
      </w:r>
      <w:r w:rsidRPr="002444BE">
        <w:rPr>
          <w:rFonts w:cs="Arial"/>
          <w:sz w:val="22"/>
          <w:szCs w:val="22"/>
        </w:rPr>
        <w:t>.</w:t>
      </w:r>
    </w:p>
    <w:p w:rsidR="002444BE" w:rsidRPr="009B667D" w:rsidRDefault="002444BE" w:rsidP="002444BE">
      <w:pPr>
        <w:pStyle w:val="Heading2"/>
        <w:rPr>
          <w:b w:val="0"/>
          <w:i/>
        </w:rPr>
      </w:pPr>
      <w:r w:rsidRPr="009B667D">
        <w:rPr>
          <w:b w:val="0"/>
          <w:i/>
        </w:rPr>
        <w:t xml:space="preserve">Limited Benefits </w:t>
      </w:r>
    </w:p>
    <w:p w:rsidR="002444BE" w:rsidRPr="002444BE" w:rsidRDefault="002444BE" w:rsidP="00F613ED">
      <w:pPr>
        <w:numPr>
          <w:ilvl w:val="1"/>
          <w:numId w:val="33"/>
        </w:numPr>
        <w:tabs>
          <w:tab w:val="left" w:pos="851"/>
        </w:tabs>
        <w:spacing w:after="240"/>
        <w:ind w:left="851" w:hanging="851"/>
        <w:rPr>
          <w:b/>
          <w:bCs/>
          <w:sz w:val="22"/>
          <w:szCs w:val="22"/>
        </w:rPr>
      </w:pPr>
      <w:r w:rsidRPr="002444BE">
        <w:rPr>
          <w:sz w:val="22"/>
          <w:szCs w:val="22"/>
        </w:rPr>
        <w:t>Interested parties argue that the notified conduct provides limited, if any, benefits because:</w:t>
      </w:r>
    </w:p>
    <w:p w:rsidR="002444BE" w:rsidRPr="00461B1D" w:rsidRDefault="002444BE"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461B1D">
        <w:rPr>
          <w:rFonts w:cs="Arial"/>
          <w:color w:val="000000"/>
          <w:sz w:val="22"/>
          <w:szCs w:val="22"/>
        </w:rPr>
        <w:t xml:space="preserve">the risk of contracting the Hendra virus is </w:t>
      </w:r>
      <w:r w:rsidR="000C1EB1">
        <w:rPr>
          <w:rFonts w:cs="Arial"/>
          <w:color w:val="000000"/>
          <w:sz w:val="22"/>
          <w:szCs w:val="22"/>
        </w:rPr>
        <w:t xml:space="preserve">extremely </w:t>
      </w:r>
      <w:r w:rsidRPr="00461B1D">
        <w:rPr>
          <w:rFonts w:cs="Arial"/>
          <w:color w:val="000000"/>
          <w:sz w:val="22"/>
          <w:szCs w:val="22"/>
        </w:rPr>
        <w:t>low (particularly at equestrian events where it has never occurred) and vaccination is therefore unnecessary</w:t>
      </w:r>
    </w:p>
    <w:p w:rsidR="002444BE" w:rsidRPr="00461B1D" w:rsidRDefault="002444BE"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461B1D">
        <w:rPr>
          <w:rFonts w:cs="Arial"/>
          <w:color w:val="000000"/>
          <w:sz w:val="22"/>
          <w:szCs w:val="22"/>
        </w:rPr>
        <w:t xml:space="preserve">the potential for a vaccinated horse to pass on the Hendra virus cannot be ruled out and therefore </w:t>
      </w:r>
      <w:r w:rsidR="00BB6689">
        <w:rPr>
          <w:rFonts w:cs="Arial"/>
          <w:color w:val="000000"/>
          <w:sz w:val="22"/>
          <w:szCs w:val="22"/>
        </w:rPr>
        <w:t xml:space="preserve">vaccination </w:t>
      </w:r>
      <w:r w:rsidRPr="00461B1D">
        <w:rPr>
          <w:rFonts w:cs="Arial"/>
          <w:color w:val="000000"/>
          <w:sz w:val="22"/>
          <w:szCs w:val="22"/>
        </w:rPr>
        <w:t>appears to be insufficiently effective</w:t>
      </w:r>
      <w:r w:rsidRPr="00B27409">
        <w:rPr>
          <w:rFonts w:cs="Arial"/>
          <w:color w:val="000000"/>
          <w:vertAlign w:val="superscript"/>
        </w:rPr>
        <w:footnoteReference w:id="3"/>
      </w:r>
    </w:p>
    <w:p w:rsidR="002444BE" w:rsidRPr="00461B1D" w:rsidRDefault="002444BE"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461B1D">
        <w:rPr>
          <w:rFonts w:cs="Arial"/>
          <w:color w:val="000000"/>
          <w:sz w:val="22"/>
          <w:szCs w:val="22"/>
        </w:rPr>
        <w:t>there are less harmful methods for managing any risk that may exist, including by applying a biosecurity plan and wearing personal protective equipment</w:t>
      </w:r>
    </w:p>
    <w:p w:rsidR="002444BE" w:rsidRPr="00461B1D" w:rsidRDefault="002444BE" w:rsidP="00461B1D">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461B1D">
        <w:rPr>
          <w:rFonts w:cs="Arial"/>
          <w:color w:val="000000"/>
          <w:sz w:val="22"/>
          <w:szCs w:val="22"/>
        </w:rPr>
        <w:t>EA’s position is inconsistent with other horse bodies/codes which do not require that horses be vaccinated against the Hendra virus</w:t>
      </w:r>
    </w:p>
    <w:p w:rsidR="002444BE" w:rsidRPr="00461B1D" w:rsidRDefault="002444BE" w:rsidP="004C7241">
      <w:pPr>
        <w:pStyle w:val="ListParagraph"/>
        <w:numPr>
          <w:ilvl w:val="0"/>
          <w:numId w:val="41"/>
        </w:numPr>
        <w:tabs>
          <w:tab w:val="left" w:pos="340"/>
        </w:tabs>
        <w:autoSpaceDE w:val="0"/>
        <w:autoSpaceDN w:val="0"/>
        <w:adjustRightInd w:val="0"/>
        <w:spacing w:before="120" w:after="240"/>
        <w:ind w:left="1208" w:hanging="357"/>
        <w:rPr>
          <w:rFonts w:cs="Arial"/>
          <w:color w:val="000000"/>
          <w:sz w:val="22"/>
          <w:szCs w:val="22"/>
        </w:rPr>
      </w:pPr>
      <w:r w:rsidRPr="00461B1D">
        <w:rPr>
          <w:rFonts w:cs="Arial"/>
          <w:color w:val="000000"/>
          <w:sz w:val="22"/>
          <w:szCs w:val="22"/>
        </w:rPr>
        <w:t>relevant state and federal government bodies have not made the vaccine mandatory.</w:t>
      </w:r>
    </w:p>
    <w:p w:rsidR="002444BE" w:rsidRPr="009B667D" w:rsidRDefault="002444BE" w:rsidP="002444BE">
      <w:pPr>
        <w:pStyle w:val="Heading2"/>
        <w:rPr>
          <w:b w:val="0"/>
          <w:i/>
        </w:rPr>
      </w:pPr>
      <w:r w:rsidRPr="009B667D">
        <w:rPr>
          <w:b w:val="0"/>
          <w:i/>
        </w:rPr>
        <w:t>Significant detriments</w:t>
      </w:r>
    </w:p>
    <w:p w:rsidR="002444BE" w:rsidRDefault="002444BE" w:rsidP="002444BE">
      <w:pPr>
        <w:numPr>
          <w:ilvl w:val="1"/>
          <w:numId w:val="33"/>
        </w:numPr>
        <w:tabs>
          <w:tab w:val="left" w:pos="851"/>
        </w:tabs>
        <w:spacing w:after="240"/>
        <w:ind w:left="851" w:hanging="851"/>
        <w:rPr>
          <w:sz w:val="22"/>
          <w:szCs w:val="22"/>
        </w:rPr>
      </w:pPr>
      <w:r w:rsidRPr="002444BE">
        <w:rPr>
          <w:sz w:val="22"/>
          <w:szCs w:val="22"/>
        </w:rPr>
        <w:t>Many submissions argue that the Hendra vaccine has not been sufficiently tested and is unsafe for horses. Parties refer to the statements printed on the product label and the number and severity of adverse reactions experienced by horses to support their claim.</w:t>
      </w:r>
    </w:p>
    <w:p w:rsidR="00261D5E" w:rsidRDefault="00261D5E" w:rsidP="00261D5E">
      <w:pPr>
        <w:tabs>
          <w:tab w:val="left" w:pos="851"/>
        </w:tabs>
        <w:spacing w:after="240"/>
        <w:ind w:left="851"/>
        <w:rPr>
          <w:sz w:val="22"/>
          <w:szCs w:val="22"/>
        </w:rPr>
      </w:pPr>
    </w:p>
    <w:p w:rsidR="00261D5E" w:rsidRPr="002444BE" w:rsidRDefault="00261D5E" w:rsidP="00261D5E">
      <w:pPr>
        <w:tabs>
          <w:tab w:val="left" w:pos="851"/>
        </w:tabs>
        <w:spacing w:after="240"/>
        <w:ind w:left="851"/>
        <w:rPr>
          <w:sz w:val="22"/>
          <w:szCs w:val="22"/>
        </w:rPr>
      </w:pPr>
    </w:p>
    <w:p w:rsidR="002444BE" w:rsidRPr="002444BE" w:rsidRDefault="002444BE" w:rsidP="002444BE">
      <w:pPr>
        <w:numPr>
          <w:ilvl w:val="1"/>
          <w:numId w:val="33"/>
        </w:numPr>
        <w:tabs>
          <w:tab w:val="left" w:pos="851"/>
        </w:tabs>
        <w:spacing w:after="240"/>
        <w:ind w:left="851" w:hanging="851"/>
        <w:rPr>
          <w:sz w:val="22"/>
          <w:szCs w:val="22"/>
        </w:rPr>
      </w:pPr>
      <w:r w:rsidRPr="002444BE">
        <w:rPr>
          <w:sz w:val="22"/>
          <w:szCs w:val="22"/>
        </w:rPr>
        <w:lastRenderedPageBreak/>
        <w:t xml:space="preserve">The Equivac HeV label </w:t>
      </w:r>
      <w:r w:rsidR="000C1EB1">
        <w:rPr>
          <w:sz w:val="22"/>
          <w:szCs w:val="22"/>
        </w:rPr>
        <w:t xml:space="preserve">includes the following </w:t>
      </w:r>
      <w:r w:rsidRPr="002444BE">
        <w:rPr>
          <w:sz w:val="22"/>
          <w:szCs w:val="22"/>
        </w:rPr>
        <w:t>state</w:t>
      </w:r>
      <w:r w:rsidR="000C1EB1">
        <w:rPr>
          <w:sz w:val="22"/>
          <w:szCs w:val="22"/>
        </w:rPr>
        <w:t>ment</w:t>
      </w:r>
      <w:r w:rsidRPr="002444BE">
        <w:rPr>
          <w:sz w:val="22"/>
          <w:szCs w:val="22"/>
        </w:rPr>
        <w:t>s:</w:t>
      </w:r>
    </w:p>
    <w:p w:rsidR="002444BE" w:rsidRPr="002444BE" w:rsidRDefault="002444BE" w:rsidP="002444BE">
      <w:pPr>
        <w:pStyle w:val="ListParagraph"/>
        <w:numPr>
          <w:ilvl w:val="0"/>
          <w:numId w:val="58"/>
        </w:numPr>
        <w:ind w:left="1418" w:hanging="567"/>
        <w:rPr>
          <w:sz w:val="22"/>
          <w:szCs w:val="22"/>
        </w:rPr>
      </w:pPr>
      <w:r w:rsidRPr="002444BE">
        <w:rPr>
          <w:sz w:val="22"/>
          <w:szCs w:val="22"/>
        </w:rPr>
        <w:t>The effect of the vaccine on pregnant mares or on horses intended for breeding is not known</w:t>
      </w:r>
      <w:r w:rsidR="00E97CBE">
        <w:rPr>
          <w:sz w:val="22"/>
          <w:szCs w:val="22"/>
        </w:rPr>
        <w:t>.</w:t>
      </w:r>
    </w:p>
    <w:p w:rsidR="002444BE" w:rsidRPr="002444BE" w:rsidRDefault="002444BE" w:rsidP="002444BE">
      <w:pPr>
        <w:pStyle w:val="ListParagraph"/>
        <w:numPr>
          <w:ilvl w:val="0"/>
          <w:numId w:val="58"/>
        </w:numPr>
        <w:ind w:left="1418" w:hanging="567"/>
        <w:rPr>
          <w:sz w:val="22"/>
          <w:szCs w:val="22"/>
        </w:rPr>
      </w:pPr>
      <w:r w:rsidRPr="002444BE">
        <w:rPr>
          <w:sz w:val="22"/>
          <w:szCs w:val="22"/>
        </w:rPr>
        <w:t>The product should not be used in sick or immunocompromised horses</w:t>
      </w:r>
      <w:r w:rsidR="00E97CBE">
        <w:rPr>
          <w:sz w:val="22"/>
          <w:szCs w:val="22"/>
        </w:rPr>
        <w:t>.</w:t>
      </w:r>
    </w:p>
    <w:p w:rsidR="002444BE" w:rsidRPr="002444BE" w:rsidRDefault="002444BE" w:rsidP="002444BE">
      <w:pPr>
        <w:pStyle w:val="ListParagraph"/>
        <w:numPr>
          <w:ilvl w:val="0"/>
          <w:numId w:val="58"/>
        </w:numPr>
        <w:ind w:left="1418" w:hanging="567"/>
        <w:rPr>
          <w:sz w:val="22"/>
          <w:szCs w:val="22"/>
        </w:rPr>
      </w:pPr>
      <w:r w:rsidRPr="002444BE">
        <w:rPr>
          <w:sz w:val="22"/>
          <w:szCs w:val="22"/>
        </w:rPr>
        <w:t>The potential for interactions when administered with other vaccines and veterinary medicines is not known.</w:t>
      </w:r>
    </w:p>
    <w:p w:rsidR="002444BE" w:rsidRPr="002444BE" w:rsidRDefault="002444BE" w:rsidP="002444BE">
      <w:pPr>
        <w:pStyle w:val="ListParagraph"/>
        <w:ind w:left="1418"/>
        <w:rPr>
          <w:sz w:val="22"/>
          <w:szCs w:val="22"/>
        </w:rPr>
      </w:pPr>
    </w:p>
    <w:p w:rsidR="002444BE" w:rsidRPr="002444BE" w:rsidRDefault="00BB6689" w:rsidP="002444BE">
      <w:pPr>
        <w:numPr>
          <w:ilvl w:val="1"/>
          <w:numId w:val="33"/>
        </w:numPr>
        <w:tabs>
          <w:tab w:val="left" w:pos="851"/>
        </w:tabs>
        <w:spacing w:after="240"/>
        <w:ind w:left="851" w:hanging="851"/>
        <w:rPr>
          <w:sz w:val="22"/>
          <w:szCs w:val="22"/>
        </w:rPr>
      </w:pPr>
      <w:r>
        <w:rPr>
          <w:sz w:val="22"/>
          <w:szCs w:val="22"/>
        </w:rPr>
        <w:t>Many submissions argue that there are a</w:t>
      </w:r>
      <w:r w:rsidR="002444BE" w:rsidRPr="002444BE">
        <w:rPr>
          <w:sz w:val="22"/>
          <w:szCs w:val="22"/>
        </w:rPr>
        <w:t>dverse reactions to the Hendra vaccine</w:t>
      </w:r>
      <w:r>
        <w:rPr>
          <w:sz w:val="22"/>
          <w:szCs w:val="22"/>
        </w:rPr>
        <w:t>, for example</w:t>
      </w:r>
      <w:r w:rsidR="002444BE" w:rsidRPr="002444BE">
        <w:rPr>
          <w:sz w:val="22"/>
          <w:szCs w:val="22"/>
        </w:rPr>
        <w:t xml:space="preserve">: </w:t>
      </w:r>
    </w:p>
    <w:p w:rsidR="002444BE" w:rsidRPr="002444BE" w:rsidRDefault="00BB6689" w:rsidP="004C7241">
      <w:pPr>
        <w:pStyle w:val="ListParagraph"/>
        <w:numPr>
          <w:ilvl w:val="0"/>
          <w:numId w:val="58"/>
        </w:numPr>
        <w:spacing w:before="120" w:after="120"/>
        <w:ind w:left="1418" w:hanging="567"/>
        <w:rPr>
          <w:sz w:val="22"/>
          <w:szCs w:val="22"/>
        </w:rPr>
      </w:pPr>
      <w:r>
        <w:rPr>
          <w:sz w:val="22"/>
          <w:szCs w:val="22"/>
        </w:rPr>
        <w:t>i</w:t>
      </w:r>
      <w:r w:rsidR="002444BE" w:rsidRPr="002444BE">
        <w:rPr>
          <w:sz w:val="22"/>
          <w:szCs w:val="22"/>
        </w:rPr>
        <w:t>nterested parties claim there are significant numbers of horses that have experienced severe adverse reactions to the Hendra vaccine, including sterility and death</w:t>
      </w:r>
      <w:r>
        <w:rPr>
          <w:sz w:val="22"/>
          <w:szCs w:val="22"/>
        </w:rPr>
        <w:t>, and</w:t>
      </w:r>
    </w:p>
    <w:p w:rsidR="002444BE" w:rsidRPr="002444BE" w:rsidRDefault="00BB6689" w:rsidP="00E97CBE">
      <w:pPr>
        <w:pStyle w:val="ListParagraph"/>
        <w:numPr>
          <w:ilvl w:val="0"/>
          <w:numId w:val="58"/>
        </w:numPr>
        <w:spacing w:before="120" w:after="240"/>
        <w:ind w:left="1418" w:hanging="567"/>
        <w:rPr>
          <w:sz w:val="22"/>
          <w:szCs w:val="22"/>
        </w:rPr>
      </w:pPr>
      <w:r>
        <w:rPr>
          <w:sz w:val="22"/>
          <w:szCs w:val="22"/>
        </w:rPr>
        <w:t>some p</w:t>
      </w:r>
      <w:r w:rsidR="002444BE" w:rsidRPr="002444BE">
        <w:rPr>
          <w:sz w:val="22"/>
          <w:szCs w:val="22"/>
        </w:rPr>
        <w:t>arties also claim that the severity of the adverse reactions appear to increase with the ongoing six monthly boosters required to maintain an appropriate level of immunity.</w:t>
      </w:r>
    </w:p>
    <w:p w:rsidR="002444BE" w:rsidRPr="002444BE" w:rsidRDefault="00BB6689" w:rsidP="002444BE">
      <w:pPr>
        <w:numPr>
          <w:ilvl w:val="1"/>
          <w:numId w:val="33"/>
        </w:numPr>
        <w:tabs>
          <w:tab w:val="left" w:pos="851"/>
        </w:tabs>
        <w:spacing w:after="240"/>
        <w:ind w:left="851" w:hanging="851"/>
        <w:rPr>
          <w:sz w:val="22"/>
          <w:szCs w:val="22"/>
        </w:rPr>
      </w:pPr>
      <w:r>
        <w:rPr>
          <w:sz w:val="22"/>
          <w:szCs w:val="22"/>
        </w:rPr>
        <w:t xml:space="preserve">Other submissions are concerned about the financial impacts of </w:t>
      </w:r>
      <w:r w:rsidR="000C1EB1">
        <w:rPr>
          <w:sz w:val="22"/>
          <w:szCs w:val="22"/>
        </w:rPr>
        <w:t xml:space="preserve">a </w:t>
      </w:r>
      <w:r>
        <w:rPr>
          <w:sz w:val="22"/>
          <w:szCs w:val="22"/>
        </w:rPr>
        <w:t>vaccination</w:t>
      </w:r>
      <w:r w:rsidR="000C1EB1">
        <w:rPr>
          <w:sz w:val="22"/>
          <w:szCs w:val="22"/>
        </w:rPr>
        <w:t xml:space="preserve"> requirement</w:t>
      </w:r>
      <w:r>
        <w:rPr>
          <w:sz w:val="22"/>
          <w:szCs w:val="22"/>
        </w:rPr>
        <w:t>, for example</w:t>
      </w:r>
      <w:r w:rsidR="002444BE" w:rsidRPr="002444BE">
        <w:rPr>
          <w:sz w:val="22"/>
          <w:szCs w:val="22"/>
        </w:rPr>
        <w:t>:</w:t>
      </w:r>
    </w:p>
    <w:p w:rsidR="004429CE" w:rsidRPr="002444BE" w:rsidRDefault="00261D5E" w:rsidP="004429CE">
      <w:pPr>
        <w:pStyle w:val="ListParagraph"/>
        <w:numPr>
          <w:ilvl w:val="0"/>
          <w:numId w:val="58"/>
        </w:numPr>
        <w:spacing w:before="120" w:after="120"/>
        <w:ind w:left="1418" w:hanging="567"/>
        <w:rPr>
          <w:sz w:val="22"/>
          <w:szCs w:val="22"/>
        </w:rPr>
      </w:pPr>
      <w:r>
        <w:rPr>
          <w:sz w:val="22"/>
          <w:szCs w:val="22"/>
        </w:rPr>
        <w:t xml:space="preserve">Because of the </w:t>
      </w:r>
      <w:r w:rsidR="004429CE">
        <w:rPr>
          <w:sz w:val="22"/>
          <w:szCs w:val="22"/>
        </w:rPr>
        <w:t>impact on the value of elite competition and breeding horses if they are unable to compete either because of an adverse reaction to the vaccine or because the owner cannot or chooses not to vaccinate their horse</w:t>
      </w:r>
    </w:p>
    <w:p w:rsidR="002444BE" w:rsidRPr="002444BE" w:rsidRDefault="00BB6689" w:rsidP="00261D5E">
      <w:pPr>
        <w:pStyle w:val="ListParagraph"/>
        <w:numPr>
          <w:ilvl w:val="0"/>
          <w:numId w:val="58"/>
        </w:numPr>
        <w:spacing w:before="120" w:after="120"/>
        <w:ind w:left="1418" w:hanging="567"/>
        <w:rPr>
          <w:sz w:val="22"/>
          <w:szCs w:val="22"/>
        </w:rPr>
      </w:pPr>
      <w:r>
        <w:rPr>
          <w:sz w:val="22"/>
          <w:szCs w:val="22"/>
        </w:rPr>
        <w:t>h</w:t>
      </w:r>
      <w:r w:rsidR="00E97CBE">
        <w:rPr>
          <w:sz w:val="22"/>
          <w:szCs w:val="22"/>
        </w:rPr>
        <w:t>orses vaccinated against the Hendra virus</w:t>
      </w:r>
      <w:r w:rsidR="002444BE" w:rsidRPr="002444BE">
        <w:rPr>
          <w:sz w:val="22"/>
          <w:szCs w:val="22"/>
        </w:rPr>
        <w:t xml:space="preserve"> are unable to compete or be sold in many countries</w:t>
      </w:r>
      <w:r w:rsidR="006F5FDD">
        <w:rPr>
          <w:rStyle w:val="FootnoteReference"/>
          <w:sz w:val="22"/>
          <w:szCs w:val="22"/>
        </w:rPr>
        <w:footnoteReference w:id="4"/>
      </w:r>
    </w:p>
    <w:p w:rsidR="002444BE" w:rsidRPr="002444BE" w:rsidRDefault="00BB6689" w:rsidP="00E97CBE">
      <w:pPr>
        <w:pStyle w:val="ListParagraph"/>
        <w:numPr>
          <w:ilvl w:val="0"/>
          <w:numId w:val="58"/>
        </w:numPr>
        <w:spacing w:after="240"/>
        <w:ind w:left="1418" w:hanging="567"/>
        <w:rPr>
          <w:sz w:val="22"/>
          <w:szCs w:val="22"/>
        </w:rPr>
      </w:pPr>
      <w:r>
        <w:rPr>
          <w:sz w:val="22"/>
          <w:szCs w:val="22"/>
        </w:rPr>
        <w:t>t</w:t>
      </w:r>
      <w:r w:rsidR="002444BE" w:rsidRPr="002444BE">
        <w:rPr>
          <w:sz w:val="22"/>
          <w:szCs w:val="22"/>
        </w:rPr>
        <w:t xml:space="preserve">he cost of treating a horse </w:t>
      </w:r>
      <w:r w:rsidR="000C1EB1">
        <w:rPr>
          <w:sz w:val="22"/>
          <w:szCs w:val="22"/>
        </w:rPr>
        <w:t xml:space="preserve">that has </w:t>
      </w:r>
      <w:r w:rsidR="004429CE">
        <w:rPr>
          <w:sz w:val="22"/>
          <w:szCs w:val="22"/>
        </w:rPr>
        <w:t>had</w:t>
      </w:r>
      <w:r w:rsidR="002444BE" w:rsidRPr="002444BE">
        <w:rPr>
          <w:sz w:val="22"/>
          <w:szCs w:val="22"/>
        </w:rPr>
        <w:t xml:space="preserve"> an adverse reaction </w:t>
      </w:r>
      <w:r w:rsidR="000C1EB1">
        <w:rPr>
          <w:sz w:val="22"/>
          <w:szCs w:val="22"/>
        </w:rPr>
        <w:t xml:space="preserve">to the vaccine </w:t>
      </w:r>
      <w:r w:rsidR="002444BE" w:rsidRPr="002444BE">
        <w:rPr>
          <w:sz w:val="22"/>
          <w:szCs w:val="22"/>
        </w:rPr>
        <w:t>and the ongoing costs of vaccination.</w:t>
      </w:r>
    </w:p>
    <w:p w:rsidR="002444BE" w:rsidRPr="009B667D" w:rsidRDefault="002444BE" w:rsidP="002444BE">
      <w:pPr>
        <w:pStyle w:val="Heading2"/>
        <w:rPr>
          <w:b w:val="0"/>
          <w:i/>
        </w:rPr>
      </w:pPr>
      <w:r w:rsidRPr="009B667D">
        <w:rPr>
          <w:b w:val="0"/>
          <w:i/>
        </w:rPr>
        <w:t>Other matters</w:t>
      </w:r>
    </w:p>
    <w:p w:rsidR="002444BE" w:rsidRPr="002444BE" w:rsidRDefault="002444BE" w:rsidP="002444BE">
      <w:pPr>
        <w:numPr>
          <w:ilvl w:val="1"/>
          <w:numId w:val="33"/>
        </w:numPr>
        <w:tabs>
          <w:tab w:val="left" w:pos="851"/>
        </w:tabs>
        <w:spacing w:after="240"/>
        <w:ind w:left="851" w:hanging="851"/>
        <w:rPr>
          <w:sz w:val="22"/>
          <w:szCs w:val="22"/>
        </w:rPr>
      </w:pPr>
      <w:r w:rsidRPr="002444BE">
        <w:rPr>
          <w:sz w:val="22"/>
          <w:szCs w:val="22"/>
        </w:rPr>
        <w:t>Interested parties argue that the notified conduct is based on a flawed decision making process because:</w:t>
      </w:r>
    </w:p>
    <w:p w:rsidR="002444BE" w:rsidRPr="002444BE" w:rsidRDefault="00E97CBE" w:rsidP="004C7241">
      <w:pPr>
        <w:pStyle w:val="ListParagraph"/>
        <w:numPr>
          <w:ilvl w:val="0"/>
          <w:numId w:val="58"/>
        </w:numPr>
        <w:spacing w:before="120" w:after="120"/>
        <w:ind w:left="1418" w:hanging="567"/>
        <w:rPr>
          <w:sz w:val="22"/>
          <w:szCs w:val="22"/>
        </w:rPr>
      </w:pPr>
      <w:r>
        <w:rPr>
          <w:sz w:val="22"/>
          <w:szCs w:val="22"/>
        </w:rPr>
        <w:t>t</w:t>
      </w:r>
      <w:r w:rsidR="002444BE" w:rsidRPr="002444BE">
        <w:rPr>
          <w:sz w:val="22"/>
          <w:szCs w:val="22"/>
        </w:rPr>
        <w:t xml:space="preserve">here is a lack of scientific evidence about the risk of the Hendra virus at equestrian events </w:t>
      </w:r>
    </w:p>
    <w:p w:rsidR="002444BE" w:rsidRPr="002444BE" w:rsidRDefault="002444BE" w:rsidP="004C7241">
      <w:pPr>
        <w:pStyle w:val="ListParagraph"/>
        <w:numPr>
          <w:ilvl w:val="0"/>
          <w:numId w:val="58"/>
        </w:numPr>
        <w:spacing w:before="120" w:after="120"/>
        <w:ind w:left="1418" w:hanging="567"/>
        <w:rPr>
          <w:sz w:val="22"/>
          <w:szCs w:val="22"/>
        </w:rPr>
      </w:pPr>
      <w:r w:rsidRPr="002444BE">
        <w:rPr>
          <w:sz w:val="22"/>
          <w:szCs w:val="22"/>
        </w:rPr>
        <w:t>there was a failure to undertake a proper risk assessment to determine the risk</w:t>
      </w:r>
    </w:p>
    <w:p w:rsidR="002444BE" w:rsidRPr="002444BE" w:rsidRDefault="002444BE" w:rsidP="004C7241">
      <w:pPr>
        <w:pStyle w:val="ListParagraph"/>
        <w:numPr>
          <w:ilvl w:val="0"/>
          <w:numId w:val="58"/>
        </w:numPr>
        <w:spacing w:before="120" w:after="120"/>
        <w:ind w:left="1418" w:hanging="567"/>
        <w:rPr>
          <w:sz w:val="22"/>
          <w:szCs w:val="22"/>
        </w:rPr>
      </w:pPr>
      <w:r w:rsidRPr="002444BE">
        <w:rPr>
          <w:sz w:val="22"/>
          <w:szCs w:val="22"/>
        </w:rPr>
        <w:t>of perceived conflicts of interest between Zoetis, veterinarians and EA Board members who all have an alleged financial incentive to promote the vaccine.</w:t>
      </w:r>
    </w:p>
    <w:p w:rsidR="00E97CBE" w:rsidRDefault="00E97CBE" w:rsidP="002444BE">
      <w:pPr>
        <w:numPr>
          <w:ilvl w:val="1"/>
          <w:numId w:val="33"/>
        </w:numPr>
        <w:tabs>
          <w:tab w:val="left" w:pos="851"/>
        </w:tabs>
        <w:spacing w:after="240"/>
        <w:ind w:left="851" w:hanging="851"/>
        <w:rPr>
          <w:rFonts w:cs="Arial"/>
          <w:sz w:val="22"/>
          <w:szCs w:val="22"/>
        </w:rPr>
      </w:pPr>
      <w:r>
        <w:rPr>
          <w:rFonts w:cs="Arial"/>
          <w:sz w:val="22"/>
          <w:szCs w:val="22"/>
        </w:rPr>
        <w:t>In addition, parties argue that the Entry Condition:</w:t>
      </w:r>
    </w:p>
    <w:p w:rsidR="00E97CBE" w:rsidRDefault="00E97CBE" w:rsidP="00E97CBE">
      <w:pPr>
        <w:pStyle w:val="ListParagraph"/>
        <w:numPr>
          <w:ilvl w:val="0"/>
          <w:numId w:val="58"/>
        </w:numPr>
        <w:spacing w:before="120" w:after="120"/>
        <w:ind w:left="1418" w:hanging="567"/>
        <w:rPr>
          <w:sz w:val="22"/>
          <w:szCs w:val="22"/>
        </w:rPr>
      </w:pPr>
      <w:r w:rsidRPr="002444BE">
        <w:rPr>
          <w:sz w:val="22"/>
          <w:szCs w:val="22"/>
        </w:rPr>
        <w:t>discriminates against horses and riders based on geography</w:t>
      </w:r>
    </w:p>
    <w:p w:rsidR="00E97CBE" w:rsidRPr="002444BE" w:rsidRDefault="00E97CBE" w:rsidP="00E97CBE">
      <w:pPr>
        <w:pStyle w:val="ListParagraph"/>
        <w:numPr>
          <w:ilvl w:val="0"/>
          <w:numId w:val="58"/>
        </w:numPr>
        <w:spacing w:before="120" w:after="120"/>
        <w:ind w:left="1418" w:hanging="567"/>
        <w:rPr>
          <w:sz w:val="22"/>
          <w:szCs w:val="22"/>
        </w:rPr>
      </w:pPr>
      <w:r w:rsidRPr="002444BE">
        <w:rPr>
          <w:sz w:val="22"/>
          <w:szCs w:val="22"/>
        </w:rPr>
        <w:t xml:space="preserve">impedes </w:t>
      </w:r>
      <w:r>
        <w:rPr>
          <w:sz w:val="22"/>
          <w:szCs w:val="22"/>
        </w:rPr>
        <w:t xml:space="preserve">an </w:t>
      </w:r>
      <w:r w:rsidRPr="002444BE">
        <w:rPr>
          <w:sz w:val="22"/>
          <w:szCs w:val="22"/>
        </w:rPr>
        <w:t>owners’ auto</w:t>
      </w:r>
      <w:r>
        <w:rPr>
          <w:sz w:val="22"/>
          <w:szCs w:val="22"/>
        </w:rPr>
        <w:t>nomy in relation to their horse and</w:t>
      </w:r>
    </w:p>
    <w:p w:rsidR="00E97CBE" w:rsidRPr="002444BE" w:rsidRDefault="00E97CBE" w:rsidP="00E97CBE">
      <w:pPr>
        <w:pStyle w:val="ListParagraph"/>
        <w:numPr>
          <w:ilvl w:val="0"/>
          <w:numId w:val="58"/>
        </w:numPr>
        <w:spacing w:before="120" w:after="120"/>
        <w:ind w:left="1418" w:hanging="567"/>
        <w:rPr>
          <w:sz w:val="22"/>
          <w:szCs w:val="22"/>
        </w:rPr>
      </w:pPr>
      <w:r w:rsidRPr="002444BE">
        <w:rPr>
          <w:sz w:val="22"/>
          <w:szCs w:val="22"/>
        </w:rPr>
        <w:t xml:space="preserve">the conduct may result in </w:t>
      </w:r>
      <w:r w:rsidR="004429CE">
        <w:rPr>
          <w:sz w:val="22"/>
          <w:szCs w:val="22"/>
        </w:rPr>
        <w:t>more</w:t>
      </w:r>
      <w:r w:rsidRPr="002444BE">
        <w:rPr>
          <w:sz w:val="22"/>
          <w:szCs w:val="22"/>
        </w:rPr>
        <w:t xml:space="preserve"> veterinarians refusing to treat unvaccinated horses.</w:t>
      </w:r>
    </w:p>
    <w:p w:rsidR="003F1B35" w:rsidRPr="00261D5E" w:rsidRDefault="003F1B35" w:rsidP="00261D5E">
      <w:pPr>
        <w:pStyle w:val="Heading2"/>
        <w:tabs>
          <w:tab w:val="left" w:pos="0"/>
        </w:tabs>
      </w:pPr>
      <w:r w:rsidRPr="00261D5E">
        <w:t>Submissions in support of the notified conduct</w:t>
      </w:r>
    </w:p>
    <w:p w:rsidR="002444BE" w:rsidRPr="002444BE" w:rsidRDefault="002444BE" w:rsidP="002444BE">
      <w:pPr>
        <w:numPr>
          <w:ilvl w:val="1"/>
          <w:numId w:val="33"/>
        </w:numPr>
        <w:tabs>
          <w:tab w:val="left" w:pos="851"/>
        </w:tabs>
        <w:spacing w:after="240"/>
        <w:ind w:left="851" w:hanging="851"/>
        <w:rPr>
          <w:rFonts w:cs="Arial"/>
          <w:sz w:val="22"/>
          <w:szCs w:val="22"/>
        </w:rPr>
      </w:pPr>
      <w:r w:rsidRPr="002444BE">
        <w:rPr>
          <w:rFonts w:cs="Arial"/>
          <w:sz w:val="22"/>
          <w:szCs w:val="22"/>
        </w:rPr>
        <w:t>The ACCC also received submissions in support of the Notification, including from Eques</w:t>
      </w:r>
      <w:r w:rsidR="009C47C2">
        <w:rPr>
          <w:rFonts w:cs="Arial"/>
          <w:sz w:val="22"/>
          <w:szCs w:val="22"/>
        </w:rPr>
        <w:t>trian clubs, veterinarians and e</w:t>
      </w:r>
      <w:r w:rsidRPr="002444BE">
        <w:rPr>
          <w:rFonts w:cs="Arial"/>
          <w:sz w:val="22"/>
          <w:szCs w:val="22"/>
        </w:rPr>
        <w:t xml:space="preserve">vent organisers. In general terms, these submissions refer to the notified conduct as giving rise to public benefits, including that: </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f</w:t>
      </w:r>
      <w:r w:rsidR="002444BE" w:rsidRPr="002444BE">
        <w:rPr>
          <w:rFonts w:cs="Arial"/>
          <w:color w:val="000000"/>
          <w:sz w:val="22"/>
          <w:szCs w:val="22"/>
        </w:rPr>
        <w:t xml:space="preserve">or a number of reasons it is not easy or quick to diagnose whether a horse has the Hendra virus, so in these circumstances requiring horses to be vaccinated before participating in an </w:t>
      </w:r>
      <w:r w:rsidR="009C47C2">
        <w:rPr>
          <w:rFonts w:cs="Arial"/>
          <w:color w:val="000000"/>
          <w:sz w:val="22"/>
          <w:szCs w:val="22"/>
        </w:rPr>
        <w:t xml:space="preserve">equestrian </w:t>
      </w:r>
      <w:r w:rsidR="002444BE" w:rsidRPr="002444BE">
        <w:rPr>
          <w:rFonts w:cs="Arial"/>
          <w:color w:val="000000"/>
          <w:sz w:val="22"/>
          <w:szCs w:val="22"/>
        </w:rPr>
        <w:t>event reduces the risk that people or horses may contract the virus</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e</w:t>
      </w:r>
      <w:r w:rsidR="002444BE" w:rsidRPr="002444BE">
        <w:rPr>
          <w:rFonts w:cs="Arial"/>
          <w:color w:val="000000"/>
          <w:sz w:val="22"/>
          <w:szCs w:val="22"/>
        </w:rPr>
        <w:t>quine veterinarian numbers are small and dwindling and the number of veterinarians willing to attend an unvaccinated sick horse is decreasing because of the risk of exposure</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v</w:t>
      </w:r>
      <w:r w:rsidR="002444BE" w:rsidRPr="002444BE">
        <w:rPr>
          <w:rFonts w:cs="Arial"/>
          <w:color w:val="000000"/>
          <w:sz w:val="22"/>
          <w:szCs w:val="22"/>
        </w:rPr>
        <w:t>accination is the single most effective way of reducing the risk of Hendra virus in horses (quoting Biosecurity Queensland and NSW Department of Primary Industries)</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h</w:t>
      </w:r>
      <w:r w:rsidR="002444BE" w:rsidRPr="002444BE">
        <w:rPr>
          <w:rFonts w:cs="Arial"/>
          <w:color w:val="000000"/>
          <w:sz w:val="22"/>
          <w:szCs w:val="22"/>
        </w:rPr>
        <w:t xml:space="preserve">orse owners that choose not to vaccinate their horse not only potentially affect themselves but also </w:t>
      </w:r>
      <w:r w:rsidR="000C1EB1">
        <w:rPr>
          <w:rFonts w:cs="Arial"/>
          <w:color w:val="000000"/>
          <w:sz w:val="22"/>
          <w:szCs w:val="22"/>
        </w:rPr>
        <w:t xml:space="preserve">risk affecting other people </w:t>
      </w:r>
      <w:r w:rsidR="002444BE" w:rsidRPr="002444BE">
        <w:rPr>
          <w:rFonts w:cs="Arial"/>
          <w:color w:val="000000"/>
          <w:sz w:val="22"/>
          <w:szCs w:val="22"/>
        </w:rPr>
        <w:t>that</w:t>
      </w:r>
      <w:r w:rsidR="000C1EB1">
        <w:rPr>
          <w:rFonts w:cs="Arial"/>
          <w:color w:val="000000"/>
          <w:sz w:val="22"/>
          <w:szCs w:val="22"/>
        </w:rPr>
        <w:t xml:space="preserve"> may</w:t>
      </w:r>
      <w:r w:rsidR="002444BE" w:rsidRPr="002444BE">
        <w:rPr>
          <w:rFonts w:cs="Arial"/>
          <w:color w:val="000000"/>
          <w:sz w:val="22"/>
          <w:szCs w:val="22"/>
        </w:rPr>
        <w:t xml:space="preserve"> come into contact with that horse</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v</w:t>
      </w:r>
      <w:r w:rsidR="002444BE" w:rsidRPr="002444BE">
        <w:rPr>
          <w:rFonts w:cs="Arial"/>
          <w:color w:val="000000"/>
          <w:sz w:val="22"/>
          <w:szCs w:val="22"/>
        </w:rPr>
        <w:t>eterinarians are at risk of being prosecuted either because of accidental poor choices or lack of knowledge with some veterinarians currently being prosecuted because of their handling of Hendra cases</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t</w:t>
      </w:r>
      <w:r w:rsidR="002444BE" w:rsidRPr="002444BE">
        <w:rPr>
          <w:rFonts w:cs="Arial"/>
          <w:color w:val="000000"/>
          <w:sz w:val="22"/>
          <w:szCs w:val="22"/>
        </w:rPr>
        <w:t xml:space="preserve">he only way to protect staff and businesses is not to attend unvaccinated horses </w:t>
      </w:r>
    </w:p>
    <w:p w:rsidR="002444BE" w:rsidRPr="002444BE" w:rsidRDefault="002444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2444BE">
        <w:rPr>
          <w:rFonts w:cs="Arial"/>
          <w:color w:val="000000"/>
          <w:sz w:val="22"/>
          <w:szCs w:val="22"/>
        </w:rPr>
        <w:t>EA has an obligation to keep horses, competitors, volunteers and the general public safe</w:t>
      </w:r>
    </w:p>
    <w:p w:rsidR="002444BE" w:rsidRPr="002444BE" w:rsidRDefault="00E97CBE"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Pr>
          <w:rFonts w:cs="Arial"/>
          <w:color w:val="000000"/>
          <w:sz w:val="22"/>
          <w:szCs w:val="22"/>
        </w:rPr>
        <w:t>Organising Committees</w:t>
      </w:r>
      <w:r w:rsidR="002444BE" w:rsidRPr="002444BE">
        <w:rPr>
          <w:rFonts w:cs="Arial"/>
          <w:color w:val="000000"/>
          <w:sz w:val="22"/>
          <w:szCs w:val="22"/>
        </w:rPr>
        <w:t xml:space="preserve"> are concerned at the liability, cost and welfare implications associated with a suspected case of Hendra at an </w:t>
      </w:r>
      <w:r w:rsidR="009C47C2">
        <w:rPr>
          <w:rFonts w:cs="Arial"/>
          <w:color w:val="000000"/>
          <w:sz w:val="22"/>
          <w:szCs w:val="22"/>
        </w:rPr>
        <w:t xml:space="preserve">equestrian </w:t>
      </w:r>
      <w:r w:rsidR="002444BE" w:rsidRPr="002444BE">
        <w:rPr>
          <w:rFonts w:cs="Arial"/>
          <w:color w:val="000000"/>
          <w:sz w:val="22"/>
          <w:szCs w:val="22"/>
        </w:rPr>
        <w:t>event</w:t>
      </w:r>
    </w:p>
    <w:p w:rsidR="002444BE" w:rsidRPr="002444BE" w:rsidRDefault="00E97CBE" w:rsidP="004C7241">
      <w:pPr>
        <w:pStyle w:val="ListParagraph"/>
        <w:numPr>
          <w:ilvl w:val="0"/>
          <w:numId w:val="41"/>
        </w:numPr>
        <w:tabs>
          <w:tab w:val="left" w:pos="340"/>
        </w:tabs>
        <w:autoSpaceDE w:val="0"/>
        <w:autoSpaceDN w:val="0"/>
        <w:adjustRightInd w:val="0"/>
        <w:spacing w:before="120" w:after="240"/>
        <w:ind w:left="1208" w:hanging="357"/>
        <w:rPr>
          <w:sz w:val="22"/>
          <w:szCs w:val="22"/>
        </w:rPr>
      </w:pPr>
      <w:r>
        <w:rPr>
          <w:rFonts w:cs="Arial"/>
          <w:color w:val="000000"/>
          <w:sz w:val="22"/>
          <w:szCs w:val="22"/>
        </w:rPr>
        <w:t>Organising Committees</w:t>
      </w:r>
      <w:r w:rsidR="002444BE" w:rsidRPr="002444BE">
        <w:rPr>
          <w:rFonts w:cs="Arial"/>
          <w:color w:val="000000"/>
          <w:sz w:val="22"/>
          <w:szCs w:val="22"/>
        </w:rPr>
        <w:t xml:space="preserve"> should be able to decide to minimise the risk of the above by only accepting Hendra vaccinated horses at events.</w:t>
      </w:r>
    </w:p>
    <w:p w:rsidR="0048461E" w:rsidRPr="0048461E" w:rsidRDefault="0048461E" w:rsidP="0048461E">
      <w:pPr>
        <w:tabs>
          <w:tab w:val="left" w:pos="851"/>
        </w:tabs>
        <w:spacing w:after="240"/>
        <w:rPr>
          <w:rFonts w:cs="Arial"/>
          <w:i/>
          <w:szCs w:val="24"/>
        </w:rPr>
      </w:pPr>
      <w:r>
        <w:rPr>
          <w:rFonts w:cs="Arial"/>
          <w:i/>
          <w:szCs w:val="24"/>
        </w:rPr>
        <w:t>Key government organisations</w:t>
      </w:r>
    </w:p>
    <w:p w:rsidR="0048461E" w:rsidRPr="00B75C47" w:rsidRDefault="0048461E" w:rsidP="0048461E">
      <w:pPr>
        <w:numPr>
          <w:ilvl w:val="1"/>
          <w:numId w:val="33"/>
        </w:numPr>
        <w:tabs>
          <w:tab w:val="left" w:pos="851"/>
        </w:tabs>
        <w:spacing w:after="240"/>
        <w:ind w:left="851" w:hanging="851"/>
        <w:rPr>
          <w:rFonts w:cs="Arial"/>
          <w:sz w:val="22"/>
          <w:szCs w:val="22"/>
        </w:rPr>
      </w:pPr>
      <w:r w:rsidRPr="00B75C47">
        <w:rPr>
          <w:rFonts w:cs="Arial"/>
          <w:sz w:val="22"/>
          <w:szCs w:val="22"/>
        </w:rPr>
        <w:t xml:space="preserve">The ACCC met with representatives from Biosecurity Queensland, </w:t>
      </w:r>
      <w:r w:rsidR="00E97CBE">
        <w:rPr>
          <w:rFonts w:cs="Arial"/>
          <w:sz w:val="22"/>
          <w:szCs w:val="22"/>
        </w:rPr>
        <w:t xml:space="preserve">Queensland </w:t>
      </w:r>
      <w:r w:rsidRPr="00B75C47">
        <w:rPr>
          <w:rFonts w:cs="Arial"/>
          <w:sz w:val="22"/>
          <w:szCs w:val="22"/>
        </w:rPr>
        <w:t xml:space="preserve">Workplace Health and Safety and the Queensland Department of Health that specialise in Hendra response. </w:t>
      </w:r>
    </w:p>
    <w:p w:rsidR="00B75C47" w:rsidRPr="00B75C47" w:rsidRDefault="002864B3" w:rsidP="00B75C47">
      <w:pPr>
        <w:numPr>
          <w:ilvl w:val="1"/>
          <w:numId w:val="33"/>
        </w:numPr>
        <w:tabs>
          <w:tab w:val="left" w:pos="851"/>
        </w:tabs>
        <w:spacing w:after="240"/>
        <w:ind w:left="851" w:hanging="851"/>
        <w:rPr>
          <w:rFonts w:cs="Arial"/>
          <w:sz w:val="22"/>
          <w:szCs w:val="22"/>
        </w:rPr>
      </w:pPr>
      <w:r w:rsidRPr="00B75C47">
        <w:rPr>
          <w:sz w:val="22"/>
          <w:szCs w:val="22"/>
        </w:rPr>
        <w:t xml:space="preserve">To address the risks created by a zoonotic disease such as </w:t>
      </w:r>
      <w:r w:rsidR="00E97CBE">
        <w:rPr>
          <w:sz w:val="22"/>
          <w:szCs w:val="22"/>
        </w:rPr>
        <w:t xml:space="preserve">the </w:t>
      </w:r>
      <w:r w:rsidRPr="00B75C47">
        <w:rPr>
          <w:sz w:val="22"/>
          <w:szCs w:val="22"/>
        </w:rPr>
        <w:t xml:space="preserve">Hendra virus, these agencies suggest that a multi-pronged approach is desirable. This could include event organisers preparing and following biosecurity management plans, veterinarians adopting biosecurity and infection control practices including wearing appropriate personal protective equipment for contact with horses with possible Hendra virus infection, and vaccination of horses against </w:t>
      </w:r>
      <w:r w:rsidR="00E97CBE">
        <w:rPr>
          <w:sz w:val="22"/>
          <w:szCs w:val="22"/>
        </w:rPr>
        <w:t xml:space="preserve">the </w:t>
      </w:r>
      <w:r w:rsidRPr="00B75C47">
        <w:rPr>
          <w:sz w:val="22"/>
          <w:szCs w:val="22"/>
        </w:rPr>
        <w:t>Hendra virus.</w:t>
      </w:r>
      <w:r w:rsidR="00B75C47" w:rsidRPr="00B75C47">
        <w:rPr>
          <w:sz w:val="22"/>
          <w:szCs w:val="22"/>
        </w:rPr>
        <w:t xml:space="preserve"> </w:t>
      </w:r>
    </w:p>
    <w:p w:rsidR="00B75C47" w:rsidRPr="00B75C47" w:rsidRDefault="002864B3" w:rsidP="00B75C47">
      <w:pPr>
        <w:numPr>
          <w:ilvl w:val="1"/>
          <w:numId w:val="33"/>
        </w:numPr>
        <w:tabs>
          <w:tab w:val="left" w:pos="851"/>
        </w:tabs>
        <w:spacing w:after="240"/>
        <w:ind w:left="851" w:hanging="851"/>
        <w:rPr>
          <w:rFonts w:cs="Arial"/>
          <w:sz w:val="22"/>
          <w:szCs w:val="22"/>
        </w:rPr>
      </w:pPr>
      <w:r w:rsidRPr="00B75C47">
        <w:rPr>
          <w:sz w:val="22"/>
          <w:szCs w:val="22"/>
        </w:rPr>
        <w:t xml:space="preserve">These agencies have publicly stated that vaccination is the single most effective way to prevent Hendra virus infection in horses and provides a public health and work health and safety benefit. The ACCC understands these agencies support individual equestrian </w:t>
      </w:r>
      <w:r w:rsidR="00E97CBE">
        <w:rPr>
          <w:sz w:val="22"/>
          <w:szCs w:val="22"/>
        </w:rPr>
        <w:t>Organising Committees</w:t>
      </w:r>
      <w:r w:rsidRPr="00B75C47">
        <w:rPr>
          <w:sz w:val="22"/>
          <w:szCs w:val="22"/>
        </w:rPr>
        <w:t xml:space="preserve"> </w:t>
      </w:r>
      <w:r w:rsidR="003F1B35">
        <w:rPr>
          <w:sz w:val="22"/>
          <w:szCs w:val="22"/>
        </w:rPr>
        <w:t xml:space="preserve">being able to </w:t>
      </w:r>
      <w:r w:rsidRPr="00B75C47">
        <w:rPr>
          <w:sz w:val="22"/>
          <w:szCs w:val="22"/>
        </w:rPr>
        <w:t>decide, based on an informed risk assessment, to only allow horses to compete if vaccinated. The agencies do not, however, have jurisdictional authority to require mandatory vaccination at specific events or more broadly. The agencies also advise that appropriate biosecurity and infection prevention practices should continue to always be adopted regardless of the vaccination status of the horse.</w:t>
      </w:r>
      <w:bookmarkStart w:id="7" w:name="_Toc75163633"/>
      <w:bookmarkStart w:id="8" w:name="_Toc96920231"/>
    </w:p>
    <w:p w:rsidR="00BE521A" w:rsidRPr="00EF7BF0" w:rsidRDefault="001D1959" w:rsidP="009A69B2">
      <w:pPr>
        <w:pStyle w:val="Heading2"/>
        <w:numPr>
          <w:ilvl w:val="0"/>
          <w:numId w:val="1"/>
        </w:numPr>
        <w:tabs>
          <w:tab w:val="clear" w:pos="1211"/>
          <w:tab w:val="num" w:pos="851"/>
        </w:tabs>
        <w:ind w:hanging="1211"/>
      </w:pPr>
      <w:r w:rsidRPr="00EF7BF0">
        <w:t>ACCC</w:t>
      </w:r>
      <w:r w:rsidR="00DE6127" w:rsidRPr="00EF7BF0">
        <w:t xml:space="preserve"> </w:t>
      </w:r>
      <w:r w:rsidR="00BE521A" w:rsidRPr="00EF7BF0">
        <w:t>Assessment</w:t>
      </w:r>
      <w:bookmarkEnd w:id="7"/>
      <w:bookmarkEnd w:id="8"/>
    </w:p>
    <w:p w:rsidR="005F403A" w:rsidRPr="00B75C47" w:rsidRDefault="00E20E1E"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As noted above, the ACCC </w:t>
      </w:r>
      <w:r w:rsidR="00EC418B" w:rsidRPr="00B75C47">
        <w:rPr>
          <w:rFonts w:cs="Arial"/>
          <w:sz w:val="22"/>
          <w:szCs w:val="22"/>
        </w:rPr>
        <w:t xml:space="preserve">may issue a notice which has the effect of revoking a third line forcing notification at any time if it is satisfied that the likely benefit to the public from the notified conduct will not outweigh the detriment to the public. When undertaking this assessment in respect of the Notification, </w:t>
      </w:r>
      <w:r w:rsidR="001059F4" w:rsidRPr="00B75C47">
        <w:rPr>
          <w:rFonts w:cs="Arial"/>
          <w:sz w:val="22"/>
          <w:szCs w:val="22"/>
        </w:rPr>
        <w:t xml:space="preserve">the ACCC considered the information provided by </w:t>
      </w:r>
      <w:r w:rsidR="0087663F" w:rsidRPr="00B75C47">
        <w:rPr>
          <w:rFonts w:cs="Arial"/>
          <w:sz w:val="22"/>
          <w:szCs w:val="22"/>
        </w:rPr>
        <w:t>E</w:t>
      </w:r>
      <w:r w:rsidR="00645176" w:rsidRPr="00B75C47">
        <w:rPr>
          <w:rFonts w:cs="Arial"/>
          <w:sz w:val="22"/>
          <w:szCs w:val="22"/>
        </w:rPr>
        <w:t>A</w:t>
      </w:r>
      <w:r w:rsidR="001059F4" w:rsidRPr="00B75C47">
        <w:rPr>
          <w:rFonts w:cs="Arial"/>
          <w:sz w:val="22"/>
          <w:szCs w:val="22"/>
        </w:rPr>
        <w:t xml:space="preserve"> and interested parties, including </w:t>
      </w:r>
      <w:r w:rsidR="00CE3F92" w:rsidRPr="00B75C47">
        <w:rPr>
          <w:rFonts w:cs="Arial"/>
          <w:sz w:val="22"/>
          <w:szCs w:val="22"/>
        </w:rPr>
        <w:t>that</w:t>
      </w:r>
      <w:r w:rsidR="001059F4" w:rsidRPr="00B75C47">
        <w:rPr>
          <w:rFonts w:cs="Arial"/>
          <w:sz w:val="22"/>
          <w:szCs w:val="22"/>
        </w:rPr>
        <w:t xml:space="preserve"> p</w:t>
      </w:r>
      <w:r w:rsidR="00CE3F92" w:rsidRPr="00B75C47">
        <w:rPr>
          <w:rFonts w:cs="Arial"/>
          <w:sz w:val="22"/>
          <w:szCs w:val="22"/>
        </w:rPr>
        <w:t xml:space="preserve">rovided on a confidential basis, </w:t>
      </w:r>
      <w:r w:rsidR="00BD724B" w:rsidRPr="00B75C47">
        <w:rPr>
          <w:rFonts w:cs="Arial"/>
          <w:sz w:val="22"/>
          <w:szCs w:val="22"/>
        </w:rPr>
        <w:t>as well as information it obtained itself in the course of its inquiries</w:t>
      </w:r>
      <w:r w:rsidR="0087663F" w:rsidRPr="00B75C47">
        <w:rPr>
          <w:rFonts w:cs="Arial"/>
          <w:sz w:val="22"/>
          <w:szCs w:val="22"/>
        </w:rPr>
        <w:t xml:space="preserve">, including </w:t>
      </w:r>
      <w:r w:rsidR="00EC418B" w:rsidRPr="00B75C47">
        <w:rPr>
          <w:rFonts w:cs="Arial"/>
          <w:sz w:val="22"/>
          <w:szCs w:val="22"/>
        </w:rPr>
        <w:t xml:space="preserve">information provided by participants </w:t>
      </w:r>
      <w:r w:rsidR="0087663F" w:rsidRPr="00B75C47">
        <w:rPr>
          <w:rFonts w:cs="Arial"/>
          <w:sz w:val="22"/>
          <w:szCs w:val="22"/>
        </w:rPr>
        <w:t>at the public forum</w:t>
      </w:r>
      <w:r w:rsidR="00EC418B" w:rsidRPr="00B75C47">
        <w:rPr>
          <w:rFonts w:cs="Arial"/>
          <w:sz w:val="22"/>
          <w:szCs w:val="22"/>
        </w:rPr>
        <w:t xml:space="preserve"> held in Brisbane on 14 October 2015</w:t>
      </w:r>
      <w:r w:rsidR="00BD724B" w:rsidRPr="00B75C47">
        <w:rPr>
          <w:rFonts w:cs="Arial"/>
          <w:sz w:val="22"/>
          <w:szCs w:val="22"/>
        </w:rPr>
        <w:t>.</w:t>
      </w:r>
    </w:p>
    <w:p w:rsidR="00801456" w:rsidRPr="00EF7BF0" w:rsidRDefault="001059F4" w:rsidP="00DB0327">
      <w:pPr>
        <w:pStyle w:val="Heading2"/>
      </w:pPr>
      <w:r>
        <w:t>Market definition</w:t>
      </w:r>
    </w:p>
    <w:p w:rsidR="00F64648" w:rsidRPr="00B75C47" w:rsidRDefault="004A3F8C" w:rsidP="009A69B2">
      <w:pPr>
        <w:numPr>
          <w:ilvl w:val="1"/>
          <w:numId w:val="69"/>
        </w:numPr>
        <w:tabs>
          <w:tab w:val="left" w:pos="851"/>
        </w:tabs>
        <w:spacing w:after="240"/>
        <w:ind w:left="851" w:hanging="851"/>
        <w:rPr>
          <w:rFonts w:cs="Arial"/>
          <w:sz w:val="22"/>
          <w:szCs w:val="22"/>
        </w:rPr>
      </w:pPr>
      <w:r w:rsidRPr="00B75C47">
        <w:rPr>
          <w:rFonts w:cs="Arial"/>
          <w:sz w:val="22"/>
          <w:szCs w:val="22"/>
        </w:rPr>
        <w:t>The relevant markets appear to be those fo</w:t>
      </w:r>
      <w:r w:rsidR="00BD4CD9">
        <w:rPr>
          <w:rFonts w:cs="Arial"/>
          <w:sz w:val="22"/>
          <w:szCs w:val="22"/>
        </w:rPr>
        <w:t>r the supply of</w:t>
      </w:r>
      <w:r w:rsidR="00F64648" w:rsidRPr="00B75C47">
        <w:rPr>
          <w:rFonts w:cs="Arial"/>
          <w:sz w:val="22"/>
          <w:szCs w:val="22"/>
        </w:rPr>
        <w:t>:</w:t>
      </w:r>
    </w:p>
    <w:p w:rsidR="00F64648" w:rsidRPr="00B75C47" w:rsidRDefault="004A3F8C"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B75C47">
        <w:rPr>
          <w:rFonts w:cs="Arial"/>
          <w:color w:val="000000"/>
          <w:sz w:val="22"/>
          <w:szCs w:val="22"/>
        </w:rPr>
        <w:t xml:space="preserve">Event Services that qualify competitors for national and international </w:t>
      </w:r>
      <w:r w:rsidR="00F64648" w:rsidRPr="00B75C47">
        <w:rPr>
          <w:rFonts w:cs="Arial"/>
          <w:color w:val="000000"/>
          <w:sz w:val="22"/>
          <w:szCs w:val="22"/>
        </w:rPr>
        <w:t>competitions</w:t>
      </w:r>
    </w:p>
    <w:p w:rsidR="00F64648" w:rsidRPr="00B75C47" w:rsidRDefault="004A3F8C"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B75C47">
        <w:rPr>
          <w:rFonts w:cs="Arial"/>
          <w:color w:val="000000"/>
          <w:sz w:val="22"/>
          <w:szCs w:val="22"/>
        </w:rPr>
        <w:t>veterinarian services</w:t>
      </w:r>
    </w:p>
    <w:p w:rsidR="004A3F8C" w:rsidRPr="00B75C47" w:rsidRDefault="00645176" w:rsidP="004C7241">
      <w:pPr>
        <w:pStyle w:val="ListParagraph"/>
        <w:numPr>
          <w:ilvl w:val="0"/>
          <w:numId w:val="41"/>
        </w:numPr>
        <w:tabs>
          <w:tab w:val="left" w:pos="340"/>
        </w:tabs>
        <w:autoSpaceDE w:val="0"/>
        <w:autoSpaceDN w:val="0"/>
        <w:adjustRightInd w:val="0"/>
        <w:spacing w:before="120" w:after="240"/>
        <w:ind w:left="1208" w:hanging="357"/>
        <w:rPr>
          <w:rFonts w:cs="Arial"/>
          <w:color w:val="000000"/>
          <w:sz w:val="22"/>
          <w:szCs w:val="22"/>
        </w:rPr>
      </w:pPr>
      <w:r w:rsidRPr="00B75C47">
        <w:rPr>
          <w:rFonts w:cs="Arial"/>
          <w:color w:val="000000"/>
          <w:sz w:val="22"/>
          <w:szCs w:val="22"/>
        </w:rPr>
        <w:t xml:space="preserve">a </w:t>
      </w:r>
      <w:r w:rsidR="00F64648" w:rsidRPr="00B75C47">
        <w:rPr>
          <w:rFonts w:cs="Arial"/>
          <w:color w:val="000000"/>
          <w:sz w:val="22"/>
          <w:szCs w:val="22"/>
        </w:rPr>
        <w:t xml:space="preserve">Hendra </w:t>
      </w:r>
      <w:r w:rsidR="004A3F8C" w:rsidRPr="00B75C47">
        <w:rPr>
          <w:rFonts w:cs="Arial"/>
          <w:color w:val="000000"/>
          <w:sz w:val="22"/>
          <w:szCs w:val="22"/>
        </w:rPr>
        <w:t>vaccin</w:t>
      </w:r>
      <w:r w:rsidR="00F64648" w:rsidRPr="00B75C47">
        <w:rPr>
          <w:rFonts w:cs="Arial"/>
          <w:color w:val="000000"/>
          <w:sz w:val="22"/>
          <w:szCs w:val="22"/>
        </w:rPr>
        <w:t>e.</w:t>
      </w:r>
    </w:p>
    <w:p w:rsidR="00BE521A" w:rsidRPr="00EF7BF0" w:rsidRDefault="008C63D0" w:rsidP="00DB0327">
      <w:pPr>
        <w:pStyle w:val="Heading2"/>
      </w:pPr>
      <w:r>
        <w:t>The future without the notified conduct</w:t>
      </w:r>
    </w:p>
    <w:p w:rsidR="00F54C8D" w:rsidRPr="00BB6689" w:rsidRDefault="00D47ECE" w:rsidP="00BB6689">
      <w:pPr>
        <w:numPr>
          <w:ilvl w:val="1"/>
          <w:numId w:val="69"/>
        </w:numPr>
        <w:tabs>
          <w:tab w:val="left" w:pos="851"/>
        </w:tabs>
        <w:spacing w:after="240"/>
        <w:ind w:left="851" w:hanging="851"/>
        <w:rPr>
          <w:rFonts w:cs="Arial"/>
          <w:sz w:val="22"/>
          <w:szCs w:val="22"/>
        </w:rPr>
      </w:pPr>
      <w:r w:rsidRPr="00BB6689">
        <w:rPr>
          <w:rFonts w:cs="Arial"/>
          <w:sz w:val="22"/>
          <w:szCs w:val="22"/>
        </w:rPr>
        <w:t xml:space="preserve">The ACCC considers that in the absence of the notified conduct, </w:t>
      </w:r>
      <w:r w:rsidR="00BB6689" w:rsidRPr="00BB6689">
        <w:rPr>
          <w:rFonts w:cs="Arial"/>
          <w:sz w:val="22"/>
          <w:szCs w:val="22"/>
        </w:rPr>
        <w:t xml:space="preserve">EA and its </w:t>
      </w:r>
      <w:r w:rsidR="00BB6689" w:rsidRPr="00A076F6">
        <w:rPr>
          <w:rFonts w:cs="Arial"/>
          <w:sz w:val="22"/>
          <w:szCs w:val="22"/>
        </w:rPr>
        <w:t xml:space="preserve">Organising Committees </w:t>
      </w:r>
      <w:r w:rsidR="00BB6689" w:rsidRPr="00915507">
        <w:rPr>
          <w:rFonts w:cs="Arial"/>
          <w:sz w:val="22"/>
          <w:szCs w:val="22"/>
        </w:rPr>
        <w:t>would</w:t>
      </w:r>
      <w:r w:rsidR="00A15463">
        <w:rPr>
          <w:rFonts w:cs="Arial"/>
          <w:sz w:val="22"/>
          <w:szCs w:val="22"/>
        </w:rPr>
        <w:t xml:space="preserve"> seek to</w:t>
      </w:r>
      <w:r w:rsidR="00BB6689" w:rsidRPr="00915507">
        <w:rPr>
          <w:rFonts w:cs="Arial"/>
          <w:sz w:val="22"/>
          <w:szCs w:val="22"/>
        </w:rPr>
        <w:t xml:space="preserve"> continue to run equine events, but that </w:t>
      </w:r>
      <w:r w:rsidR="002F14D3" w:rsidRPr="00D53B90">
        <w:rPr>
          <w:rFonts w:cs="Arial"/>
          <w:sz w:val="22"/>
          <w:szCs w:val="22"/>
        </w:rPr>
        <w:t xml:space="preserve">it is likely that </w:t>
      </w:r>
      <w:r w:rsidR="00BB6689">
        <w:rPr>
          <w:rFonts w:cs="Arial"/>
          <w:sz w:val="22"/>
          <w:szCs w:val="22"/>
        </w:rPr>
        <w:t xml:space="preserve">increasing numbers </w:t>
      </w:r>
      <w:r w:rsidR="002F14D3" w:rsidRPr="00BB6689">
        <w:rPr>
          <w:rFonts w:cs="Arial"/>
          <w:sz w:val="22"/>
          <w:szCs w:val="22"/>
        </w:rPr>
        <w:t xml:space="preserve">of equine veterinarians will be unwilling to attend </w:t>
      </w:r>
      <w:r w:rsidR="009D1DBB">
        <w:rPr>
          <w:rFonts w:cs="Arial"/>
          <w:sz w:val="22"/>
          <w:szCs w:val="22"/>
        </w:rPr>
        <w:t>these</w:t>
      </w:r>
      <w:r w:rsidR="009D1DBB" w:rsidRPr="00BB6689">
        <w:rPr>
          <w:rFonts w:cs="Arial"/>
          <w:sz w:val="22"/>
          <w:szCs w:val="22"/>
        </w:rPr>
        <w:t xml:space="preserve"> </w:t>
      </w:r>
      <w:r w:rsidR="002F14D3" w:rsidRPr="00BB6689">
        <w:rPr>
          <w:rFonts w:cs="Arial"/>
          <w:sz w:val="22"/>
          <w:szCs w:val="22"/>
        </w:rPr>
        <w:t>events</w:t>
      </w:r>
      <w:r w:rsidR="004429CE">
        <w:rPr>
          <w:rFonts w:cs="Arial"/>
          <w:sz w:val="22"/>
          <w:szCs w:val="22"/>
        </w:rPr>
        <w:t xml:space="preserve"> due to a perceived higher risk of being exposed to the Hendra virus,</w:t>
      </w:r>
      <w:r w:rsidR="002F14D3" w:rsidRPr="00BB6689">
        <w:rPr>
          <w:rFonts w:cs="Arial"/>
          <w:sz w:val="22"/>
          <w:szCs w:val="22"/>
        </w:rPr>
        <w:t xml:space="preserve"> and people will be less willing to volunteer to participate on </w:t>
      </w:r>
      <w:r w:rsidR="00F43F67" w:rsidRPr="00BB6689">
        <w:rPr>
          <w:rFonts w:cs="Arial"/>
          <w:sz w:val="22"/>
          <w:szCs w:val="22"/>
        </w:rPr>
        <w:t xml:space="preserve">Organising Committees </w:t>
      </w:r>
      <w:r w:rsidR="002F14D3" w:rsidRPr="00BB6689">
        <w:rPr>
          <w:rFonts w:cs="Arial"/>
          <w:sz w:val="22"/>
          <w:szCs w:val="22"/>
        </w:rPr>
        <w:t>due to a perceived higher risk of liability</w:t>
      </w:r>
      <w:r w:rsidR="00F54C8D" w:rsidRPr="00BB6689">
        <w:rPr>
          <w:rFonts w:cs="Arial"/>
          <w:sz w:val="22"/>
          <w:szCs w:val="22"/>
        </w:rPr>
        <w:t>.</w:t>
      </w:r>
    </w:p>
    <w:p w:rsidR="00EE5B52" w:rsidRPr="00B75C47" w:rsidRDefault="00855B1A" w:rsidP="009A69B2">
      <w:pPr>
        <w:numPr>
          <w:ilvl w:val="1"/>
          <w:numId w:val="69"/>
        </w:numPr>
        <w:tabs>
          <w:tab w:val="left" w:pos="851"/>
        </w:tabs>
        <w:spacing w:after="240"/>
        <w:ind w:left="851" w:hanging="851"/>
        <w:rPr>
          <w:rFonts w:cs="Arial"/>
          <w:sz w:val="22"/>
          <w:szCs w:val="22"/>
        </w:rPr>
      </w:pPr>
      <w:r w:rsidRPr="00B75C47">
        <w:rPr>
          <w:rFonts w:cs="Arial"/>
          <w:sz w:val="22"/>
          <w:szCs w:val="22"/>
        </w:rPr>
        <w:t>The ACCC considers i</w:t>
      </w:r>
      <w:r w:rsidR="00EE5B52" w:rsidRPr="00B75C47">
        <w:rPr>
          <w:rFonts w:cs="Arial"/>
          <w:sz w:val="22"/>
          <w:szCs w:val="22"/>
        </w:rPr>
        <w:t xml:space="preserve">t is unlikely that governments </w:t>
      </w:r>
      <w:r w:rsidRPr="00B75C47">
        <w:rPr>
          <w:rFonts w:cs="Arial"/>
          <w:sz w:val="22"/>
          <w:szCs w:val="22"/>
        </w:rPr>
        <w:t>would</w:t>
      </w:r>
      <w:r w:rsidR="00EE5B52" w:rsidRPr="00B75C47">
        <w:rPr>
          <w:rFonts w:cs="Arial"/>
          <w:sz w:val="22"/>
          <w:szCs w:val="22"/>
        </w:rPr>
        <w:t xml:space="preserve"> introduce legislati</w:t>
      </w:r>
      <w:r w:rsidR="00E97CBE">
        <w:rPr>
          <w:rFonts w:cs="Arial"/>
          <w:sz w:val="22"/>
          <w:szCs w:val="22"/>
        </w:rPr>
        <w:t>on to</w:t>
      </w:r>
      <w:r w:rsidR="00EE5B52" w:rsidRPr="00B75C47">
        <w:rPr>
          <w:rFonts w:cs="Arial"/>
          <w:sz w:val="22"/>
          <w:szCs w:val="22"/>
        </w:rPr>
        <w:t xml:space="preserve"> require </w:t>
      </w:r>
      <w:r w:rsidR="00F54C8D" w:rsidRPr="00B75C47">
        <w:rPr>
          <w:rFonts w:cs="Arial"/>
          <w:sz w:val="22"/>
          <w:szCs w:val="22"/>
        </w:rPr>
        <w:t xml:space="preserve">mandatory Hendra </w:t>
      </w:r>
      <w:r w:rsidR="00EE5B52" w:rsidRPr="00B75C47">
        <w:rPr>
          <w:rFonts w:cs="Arial"/>
          <w:sz w:val="22"/>
          <w:szCs w:val="22"/>
        </w:rPr>
        <w:t>vaccination</w:t>
      </w:r>
      <w:r w:rsidR="00E97CBE">
        <w:rPr>
          <w:rFonts w:cs="Arial"/>
          <w:sz w:val="22"/>
          <w:szCs w:val="22"/>
        </w:rPr>
        <w:t xml:space="preserve"> of horses</w:t>
      </w:r>
      <w:r w:rsidR="00EE5B52" w:rsidRPr="00B75C47">
        <w:rPr>
          <w:rFonts w:cs="Arial"/>
          <w:sz w:val="22"/>
          <w:szCs w:val="22"/>
        </w:rPr>
        <w:t>.</w:t>
      </w:r>
    </w:p>
    <w:p w:rsidR="0087663F" w:rsidRPr="004C7241" w:rsidRDefault="008C63D0" w:rsidP="00DB0327">
      <w:pPr>
        <w:pStyle w:val="Heading2"/>
      </w:pPr>
      <w:r w:rsidRPr="004C7241">
        <w:t xml:space="preserve">Public benefits </w:t>
      </w:r>
    </w:p>
    <w:p w:rsidR="009D1DBB" w:rsidRPr="00FF7DF0" w:rsidRDefault="009D1DBB" w:rsidP="009D1DBB">
      <w:pPr>
        <w:numPr>
          <w:ilvl w:val="1"/>
          <w:numId w:val="69"/>
        </w:numPr>
        <w:tabs>
          <w:tab w:val="left" w:pos="851"/>
        </w:tabs>
        <w:spacing w:after="240"/>
        <w:ind w:left="851" w:hanging="851"/>
        <w:rPr>
          <w:rFonts w:cs="Arial"/>
          <w:sz w:val="22"/>
          <w:szCs w:val="22"/>
        </w:rPr>
      </w:pPr>
      <w:r w:rsidRPr="00FF7DF0">
        <w:rPr>
          <w:sz w:val="22"/>
          <w:szCs w:val="22"/>
        </w:rPr>
        <w:t xml:space="preserve">It is well recognised that the Hendra disease is serious and that the mortality rate for both horses and humans who contract the Hendra virus is very high. Further, horses that have the Hendra virus can be contagious without showing any obvious signs or symptoms. </w:t>
      </w:r>
    </w:p>
    <w:p w:rsidR="009D1DBB" w:rsidRPr="00FF7DF0" w:rsidRDefault="009D1DBB" w:rsidP="009A69B2">
      <w:pPr>
        <w:numPr>
          <w:ilvl w:val="1"/>
          <w:numId w:val="69"/>
        </w:numPr>
        <w:tabs>
          <w:tab w:val="left" w:pos="851"/>
        </w:tabs>
        <w:spacing w:after="240"/>
        <w:ind w:left="851" w:hanging="851"/>
        <w:rPr>
          <w:rFonts w:cs="Arial"/>
          <w:sz w:val="22"/>
          <w:szCs w:val="22"/>
        </w:rPr>
      </w:pPr>
      <w:r w:rsidRPr="00FF7DF0">
        <w:rPr>
          <w:sz w:val="22"/>
          <w:szCs w:val="22"/>
        </w:rPr>
        <w:t>Accordingly, while the risk of horse to horse or horse to human transmission of the Hendra virus at an equestrian event appears to be low, such transmission is possible and the consequences were it to occur can be severe.</w:t>
      </w:r>
    </w:p>
    <w:p w:rsidR="00E4187A" w:rsidRPr="00B75C47" w:rsidRDefault="00E4187A"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The ACCC </w:t>
      </w:r>
      <w:r w:rsidR="009D1DBB">
        <w:rPr>
          <w:rFonts w:cs="Arial"/>
          <w:sz w:val="22"/>
          <w:szCs w:val="22"/>
        </w:rPr>
        <w:t xml:space="preserve">also </w:t>
      </w:r>
      <w:r w:rsidRPr="00B75C47">
        <w:rPr>
          <w:rFonts w:cs="Arial"/>
          <w:sz w:val="22"/>
          <w:szCs w:val="22"/>
        </w:rPr>
        <w:t>acknowledges</w:t>
      </w:r>
      <w:r w:rsidR="009D1DBB">
        <w:rPr>
          <w:rFonts w:cs="Arial"/>
          <w:sz w:val="22"/>
          <w:szCs w:val="22"/>
        </w:rPr>
        <w:t>, as many interested parties submitted,</w:t>
      </w:r>
      <w:r w:rsidRPr="00B75C47">
        <w:rPr>
          <w:rFonts w:cs="Arial"/>
          <w:sz w:val="22"/>
          <w:szCs w:val="22"/>
        </w:rPr>
        <w:t xml:space="preserve"> that </w:t>
      </w:r>
      <w:r w:rsidR="00EC418B" w:rsidRPr="00B75C47">
        <w:rPr>
          <w:rFonts w:cs="Arial"/>
          <w:sz w:val="22"/>
          <w:szCs w:val="22"/>
        </w:rPr>
        <w:t>employing</w:t>
      </w:r>
      <w:r w:rsidR="004C7241">
        <w:rPr>
          <w:rFonts w:cs="Arial"/>
          <w:sz w:val="22"/>
          <w:szCs w:val="22"/>
        </w:rPr>
        <w:t xml:space="preserve"> </w:t>
      </w:r>
      <w:r w:rsidR="0073308A" w:rsidRPr="00B75C47">
        <w:rPr>
          <w:rFonts w:cs="Arial"/>
          <w:sz w:val="22"/>
          <w:szCs w:val="22"/>
        </w:rPr>
        <w:t xml:space="preserve">appropriate precautions including </w:t>
      </w:r>
      <w:r w:rsidR="00DD6E5A" w:rsidRPr="00B75C47">
        <w:rPr>
          <w:rFonts w:cs="Arial"/>
          <w:sz w:val="22"/>
          <w:szCs w:val="22"/>
        </w:rPr>
        <w:t>veterinarians</w:t>
      </w:r>
      <w:r w:rsidR="0073308A" w:rsidRPr="00B75C47">
        <w:rPr>
          <w:rFonts w:cs="Arial"/>
          <w:sz w:val="22"/>
          <w:szCs w:val="22"/>
        </w:rPr>
        <w:t xml:space="preserve"> wearing full </w:t>
      </w:r>
      <w:r w:rsidR="00F54C8D" w:rsidRPr="00B75C47">
        <w:rPr>
          <w:rFonts w:cs="Arial"/>
          <w:sz w:val="22"/>
          <w:szCs w:val="22"/>
        </w:rPr>
        <w:t>p</w:t>
      </w:r>
      <w:r w:rsidR="0073308A" w:rsidRPr="00B75C47">
        <w:rPr>
          <w:rFonts w:cs="Arial"/>
          <w:sz w:val="22"/>
          <w:szCs w:val="22"/>
        </w:rPr>
        <w:t xml:space="preserve">ersonal </w:t>
      </w:r>
      <w:r w:rsidR="00F54C8D" w:rsidRPr="00B75C47">
        <w:rPr>
          <w:rFonts w:cs="Arial"/>
          <w:sz w:val="22"/>
          <w:szCs w:val="22"/>
        </w:rPr>
        <w:t>p</w:t>
      </w:r>
      <w:r w:rsidR="0073308A" w:rsidRPr="00B75C47">
        <w:rPr>
          <w:rFonts w:cs="Arial"/>
          <w:sz w:val="22"/>
          <w:szCs w:val="22"/>
        </w:rPr>
        <w:t xml:space="preserve">rotective </w:t>
      </w:r>
      <w:r w:rsidR="00F54C8D" w:rsidRPr="00B75C47">
        <w:rPr>
          <w:rFonts w:cs="Arial"/>
          <w:sz w:val="22"/>
          <w:szCs w:val="22"/>
        </w:rPr>
        <w:t>e</w:t>
      </w:r>
      <w:r w:rsidR="0073308A" w:rsidRPr="00B75C47">
        <w:rPr>
          <w:rFonts w:cs="Arial"/>
          <w:sz w:val="22"/>
          <w:szCs w:val="22"/>
        </w:rPr>
        <w:t xml:space="preserve">quipment when attending horses in or from Hendra affected areas </w:t>
      </w:r>
      <w:r w:rsidR="00EC418B" w:rsidRPr="00B75C47">
        <w:rPr>
          <w:rFonts w:cs="Arial"/>
          <w:sz w:val="22"/>
          <w:szCs w:val="22"/>
        </w:rPr>
        <w:t xml:space="preserve">can significantly reduce </w:t>
      </w:r>
      <w:r w:rsidR="0073308A" w:rsidRPr="00B75C47">
        <w:rPr>
          <w:rFonts w:cs="Arial"/>
          <w:sz w:val="22"/>
          <w:szCs w:val="22"/>
        </w:rPr>
        <w:t>the risk of horse to human trans</w:t>
      </w:r>
      <w:r w:rsidR="00F54C8D" w:rsidRPr="00B75C47">
        <w:rPr>
          <w:rFonts w:cs="Arial"/>
          <w:sz w:val="22"/>
          <w:szCs w:val="22"/>
        </w:rPr>
        <w:t>mission</w:t>
      </w:r>
      <w:r w:rsidR="0073308A" w:rsidRPr="00B75C47">
        <w:rPr>
          <w:rFonts w:cs="Arial"/>
          <w:sz w:val="22"/>
          <w:szCs w:val="22"/>
        </w:rPr>
        <w:t>.</w:t>
      </w:r>
    </w:p>
    <w:p w:rsidR="0073308A" w:rsidRPr="00B75C47" w:rsidRDefault="0073308A" w:rsidP="009A69B2">
      <w:pPr>
        <w:numPr>
          <w:ilvl w:val="1"/>
          <w:numId w:val="69"/>
        </w:numPr>
        <w:tabs>
          <w:tab w:val="left" w:pos="851"/>
        </w:tabs>
        <w:spacing w:after="240"/>
        <w:ind w:left="851" w:hanging="851"/>
        <w:rPr>
          <w:rFonts w:cs="Arial"/>
          <w:sz w:val="22"/>
          <w:szCs w:val="22"/>
        </w:rPr>
      </w:pPr>
      <w:r w:rsidRPr="00B75C47">
        <w:rPr>
          <w:rFonts w:cs="Arial"/>
          <w:sz w:val="22"/>
          <w:szCs w:val="22"/>
        </w:rPr>
        <w:t>However,</w:t>
      </w:r>
      <w:r w:rsidR="00EC418B" w:rsidRPr="00B75C47">
        <w:rPr>
          <w:rFonts w:cs="Arial"/>
          <w:sz w:val="22"/>
          <w:szCs w:val="22"/>
        </w:rPr>
        <w:t xml:space="preserve"> a</w:t>
      </w:r>
      <w:r w:rsidRPr="00B75C47">
        <w:rPr>
          <w:rFonts w:cs="Arial"/>
          <w:sz w:val="22"/>
          <w:szCs w:val="22"/>
        </w:rPr>
        <w:t xml:space="preserve"> </w:t>
      </w:r>
      <w:r w:rsidR="00D66F83" w:rsidRPr="00B75C47">
        <w:rPr>
          <w:rFonts w:cs="Arial"/>
          <w:sz w:val="22"/>
          <w:szCs w:val="22"/>
        </w:rPr>
        <w:t>low likelihood of trans</w:t>
      </w:r>
      <w:r w:rsidR="00F54C8D" w:rsidRPr="00B75C47">
        <w:rPr>
          <w:rFonts w:cs="Arial"/>
          <w:sz w:val="22"/>
          <w:szCs w:val="22"/>
        </w:rPr>
        <w:t>mission of the virus</w:t>
      </w:r>
      <w:r w:rsidR="00D66F83" w:rsidRPr="00B75C47">
        <w:rPr>
          <w:rFonts w:cs="Arial"/>
          <w:sz w:val="22"/>
          <w:szCs w:val="22"/>
        </w:rPr>
        <w:t xml:space="preserve"> </w:t>
      </w:r>
      <w:r w:rsidR="009D1DBB">
        <w:rPr>
          <w:rFonts w:cs="Arial"/>
          <w:sz w:val="22"/>
          <w:szCs w:val="22"/>
        </w:rPr>
        <w:t>does not mean there is no risk. Given t</w:t>
      </w:r>
      <w:r w:rsidR="00EC418B" w:rsidRPr="00B75C47">
        <w:rPr>
          <w:rFonts w:cs="Arial"/>
          <w:sz w:val="22"/>
          <w:szCs w:val="22"/>
        </w:rPr>
        <w:t xml:space="preserve">he </w:t>
      </w:r>
      <w:r w:rsidR="009D1DBB">
        <w:rPr>
          <w:rFonts w:cs="Arial"/>
          <w:sz w:val="22"/>
          <w:szCs w:val="22"/>
        </w:rPr>
        <w:t xml:space="preserve">serious </w:t>
      </w:r>
      <w:r w:rsidRPr="00B75C47">
        <w:rPr>
          <w:rFonts w:cs="Arial"/>
          <w:sz w:val="22"/>
          <w:szCs w:val="22"/>
        </w:rPr>
        <w:t>consequences</w:t>
      </w:r>
      <w:r w:rsidR="00EC418B" w:rsidRPr="00B75C47">
        <w:rPr>
          <w:rFonts w:cs="Arial"/>
          <w:sz w:val="22"/>
          <w:szCs w:val="22"/>
        </w:rPr>
        <w:t xml:space="preserve"> of infection</w:t>
      </w:r>
      <w:r w:rsidRPr="00B75C47">
        <w:rPr>
          <w:rFonts w:cs="Arial"/>
          <w:sz w:val="22"/>
          <w:szCs w:val="22"/>
        </w:rPr>
        <w:t xml:space="preserve"> if trans</w:t>
      </w:r>
      <w:r w:rsidR="00F54C8D" w:rsidRPr="00B75C47">
        <w:rPr>
          <w:rFonts w:cs="Arial"/>
          <w:sz w:val="22"/>
          <w:szCs w:val="22"/>
        </w:rPr>
        <w:t>mission</w:t>
      </w:r>
      <w:r w:rsidRPr="00B75C47">
        <w:rPr>
          <w:rFonts w:cs="Arial"/>
          <w:sz w:val="22"/>
          <w:szCs w:val="22"/>
        </w:rPr>
        <w:t xml:space="preserve"> does occur</w:t>
      </w:r>
      <w:r w:rsidR="002318E3" w:rsidRPr="004C7241">
        <w:rPr>
          <w:rFonts w:cs="Arial"/>
          <w:sz w:val="22"/>
          <w:szCs w:val="22"/>
        </w:rPr>
        <w:t>,</w:t>
      </w:r>
      <w:r w:rsidRPr="004C7241">
        <w:rPr>
          <w:rFonts w:cs="Arial"/>
          <w:sz w:val="22"/>
          <w:szCs w:val="22"/>
        </w:rPr>
        <w:t xml:space="preserve"> the overall risk faced by event organisers (and participants, volunteers, horses, </w:t>
      </w:r>
      <w:r w:rsidR="00DD6E5A" w:rsidRPr="004C7241">
        <w:rPr>
          <w:rFonts w:cs="Arial"/>
          <w:sz w:val="22"/>
          <w:szCs w:val="22"/>
        </w:rPr>
        <w:t>veterinarians</w:t>
      </w:r>
      <w:r w:rsidRPr="004C7241">
        <w:rPr>
          <w:rFonts w:cs="Arial"/>
          <w:sz w:val="22"/>
          <w:szCs w:val="22"/>
        </w:rPr>
        <w:t xml:space="preserve"> and attending members of the public) can still be significant</w:t>
      </w:r>
      <w:r w:rsidR="009D1DBB">
        <w:rPr>
          <w:rFonts w:cs="Arial"/>
          <w:sz w:val="22"/>
          <w:szCs w:val="22"/>
        </w:rPr>
        <w:t xml:space="preserve">. </w:t>
      </w:r>
      <w:r w:rsidR="00F64648" w:rsidRPr="00B75C47">
        <w:rPr>
          <w:rFonts w:cs="Arial"/>
          <w:sz w:val="22"/>
          <w:szCs w:val="22"/>
        </w:rPr>
        <w:t>The fact that Hendra transmission may not have occurred yet</w:t>
      </w:r>
      <w:r w:rsidR="00401572">
        <w:rPr>
          <w:rFonts w:cs="Arial"/>
          <w:sz w:val="22"/>
          <w:szCs w:val="22"/>
        </w:rPr>
        <w:t xml:space="preserve"> at an e</w:t>
      </w:r>
      <w:r w:rsidR="002318E3" w:rsidRPr="00B75C47">
        <w:rPr>
          <w:rFonts w:cs="Arial"/>
          <w:sz w:val="22"/>
          <w:szCs w:val="22"/>
        </w:rPr>
        <w:t>vent</w:t>
      </w:r>
      <w:r w:rsidR="00F64648" w:rsidRPr="00B75C47">
        <w:rPr>
          <w:rFonts w:cs="Arial"/>
          <w:sz w:val="22"/>
          <w:szCs w:val="22"/>
        </w:rPr>
        <w:t xml:space="preserve"> does not mean that there is no risk of it happening in the future. A</w:t>
      </w:r>
      <w:r w:rsidR="002318E3" w:rsidRPr="00B75C47">
        <w:rPr>
          <w:rFonts w:cs="Arial"/>
          <w:sz w:val="22"/>
          <w:szCs w:val="22"/>
        </w:rPr>
        <w:t>ccordingly, the ACCC considers that a</w:t>
      </w:r>
      <w:r w:rsidRPr="00B75C47">
        <w:rPr>
          <w:rFonts w:cs="Arial"/>
          <w:sz w:val="22"/>
          <w:szCs w:val="22"/>
        </w:rPr>
        <w:t>ddress</w:t>
      </w:r>
      <w:r w:rsidR="00D66F83" w:rsidRPr="00B75C47">
        <w:rPr>
          <w:rFonts w:cs="Arial"/>
          <w:sz w:val="22"/>
          <w:szCs w:val="22"/>
        </w:rPr>
        <w:t>ing</w:t>
      </w:r>
      <w:r w:rsidRPr="00B75C47">
        <w:rPr>
          <w:rFonts w:cs="Arial"/>
          <w:sz w:val="22"/>
          <w:szCs w:val="22"/>
        </w:rPr>
        <w:t xml:space="preserve"> this risk</w:t>
      </w:r>
      <w:r w:rsidR="002318E3" w:rsidRPr="00B75C47">
        <w:rPr>
          <w:rFonts w:cs="Arial"/>
          <w:sz w:val="22"/>
          <w:szCs w:val="22"/>
        </w:rPr>
        <w:t xml:space="preserve"> </w:t>
      </w:r>
      <w:r w:rsidRPr="00B75C47">
        <w:rPr>
          <w:rFonts w:cs="Arial"/>
          <w:sz w:val="22"/>
          <w:szCs w:val="22"/>
        </w:rPr>
        <w:t>will result in public benefits.</w:t>
      </w:r>
    </w:p>
    <w:p w:rsidR="0073308A" w:rsidRPr="00B27409" w:rsidRDefault="0073308A" w:rsidP="009A69B2">
      <w:pPr>
        <w:numPr>
          <w:ilvl w:val="1"/>
          <w:numId w:val="69"/>
        </w:numPr>
        <w:tabs>
          <w:tab w:val="left" w:pos="851"/>
        </w:tabs>
        <w:spacing w:after="240"/>
        <w:ind w:left="851" w:hanging="851"/>
        <w:rPr>
          <w:rFonts w:cs="Arial"/>
          <w:sz w:val="22"/>
          <w:szCs w:val="22"/>
        </w:rPr>
      </w:pPr>
      <w:r w:rsidRPr="00B75C47">
        <w:rPr>
          <w:rFonts w:cs="Arial"/>
          <w:sz w:val="22"/>
          <w:szCs w:val="22"/>
        </w:rPr>
        <w:t>The ACCC considers that where a</w:t>
      </w:r>
      <w:r w:rsidR="00D66F83" w:rsidRPr="00B75C47">
        <w:rPr>
          <w:rFonts w:cs="Arial"/>
          <w:sz w:val="22"/>
          <w:szCs w:val="22"/>
        </w:rPr>
        <w:t xml:space="preserve"> </w:t>
      </w:r>
      <w:r w:rsidRPr="00B75C47">
        <w:rPr>
          <w:rFonts w:cs="Arial"/>
          <w:sz w:val="22"/>
          <w:szCs w:val="22"/>
        </w:rPr>
        <w:t xml:space="preserve">risk assessment undertaken by an Organising Committee </w:t>
      </w:r>
      <w:r w:rsidR="00EA394D">
        <w:rPr>
          <w:rFonts w:cs="Arial"/>
          <w:sz w:val="22"/>
          <w:szCs w:val="22"/>
        </w:rPr>
        <w:t>indicates</w:t>
      </w:r>
      <w:r w:rsidR="00EA394D" w:rsidRPr="00B27409">
        <w:rPr>
          <w:rFonts w:cs="Arial"/>
          <w:sz w:val="22"/>
          <w:szCs w:val="22"/>
        </w:rPr>
        <w:t xml:space="preserve"> </w:t>
      </w:r>
      <w:r w:rsidRPr="00B27409">
        <w:rPr>
          <w:rFonts w:cs="Arial"/>
          <w:sz w:val="22"/>
          <w:szCs w:val="22"/>
        </w:rPr>
        <w:t>implement</w:t>
      </w:r>
      <w:r w:rsidR="00F54C8D" w:rsidRPr="00B27409">
        <w:rPr>
          <w:rFonts w:cs="Arial"/>
          <w:sz w:val="22"/>
          <w:szCs w:val="22"/>
        </w:rPr>
        <w:t>ing</w:t>
      </w:r>
      <w:r w:rsidRPr="00B27409">
        <w:rPr>
          <w:rFonts w:cs="Arial"/>
          <w:sz w:val="22"/>
          <w:szCs w:val="22"/>
        </w:rPr>
        <w:t xml:space="preserve"> the </w:t>
      </w:r>
      <w:r w:rsidR="00F54C8D" w:rsidRPr="00B27409">
        <w:rPr>
          <w:rFonts w:cs="Arial"/>
          <w:sz w:val="22"/>
          <w:szCs w:val="22"/>
        </w:rPr>
        <w:t>Entry C</w:t>
      </w:r>
      <w:r w:rsidRPr="00B27409">
        <w:rPr>
          <w:rFonts w:cs="Arial"/>
          <w:sz w:val="22"/>
          <w:szCs w:val="22"/>
        </w:rPr>
        <w:t>ondition is appropriate</w:t>
      </w:r>
      <w:r w:rsidR="00564147" w:rsidRPr="00B27409">
        <w:rPr>
          <w:rFonts w:cs="Arial"/>
          <w:sz w:val="22"/>
          <w:szCs w:val="22"/>
        </w:rPr>
        <w:t>,</w:t>
      </w:r>
      <w:r w:rsidRPr="00B27409">
        <w:rPr>
          <w:rFonts w:cs="Arial"/>
          <w:sz w:val="22"/>
          <w:szCs w:val="22"/>
        </w:rPr>
        <w:t xml:space="preserve"> </w:t>
      </w:r>
      <w:r w:rsidR="00D66F83" w:rsidRPr="00B27409">
        <w:rPr>
          <w:rFonts w:cs="Arial"/>
          <w:sz w:val="22"/>
          <w:szCs w:val="22"/>
        </w:rPr>
        <w:t>doing so is</w:t>
      </w:r>
      <w:r w:rsidRPr="00B27409">
        <w:rPr>
          <w:rFonts w:cs="Arial"/>
          <w:sz w:val="22"/>
          <w:szCs w:val="22"/>
        </w:rPr>
        <w:t xml:space="preserve"> likely to result in public benefits from:</w:t>
      </w:r>
    </w:p>
    <w:p w:rsidR="0073308A" w:rsidRPr="00B27409" w:rsidRDefault="00930F3B"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B27409">
        <w:rPr>
          <w:rFonts w:cs="Arial"/>
          <w:color w:val="000000"/>
          <w:sz w:val="22"/>
          <w:szCs w:val="22"/>
        </w:rPr>
        <w:t>i</w:t>
      </w:r>
      <w:r w:rsidR="0073308A" w:rsidRPr="00B27409">
        <w:rPr>
          <w:rFonts w:cs="Arial"/>
          <w:color w:val="000000"/>
          <w:sz w:val="22"/>
          <w:szCs w:val="22"/>
        </w:rPr>
        <w:t xml:space="preserve">mproved </w:t>
      </w:r>
      <w:r w:rsidR="00154F7C" w:rsidRPr="00B27409">
        <w:rPr>
          <w:rFonts w:cs="Arial"/>
          <w:color w:val="000000"/>
          <w:sz w:val="22"/>
          <w:szCs w:val="22"/>
        </w:rPr>
        <w:t xml:space="preserve">safety </w:t>
      </w:r>
      <w:r w:rsidR="00D66F83" w:rsidRPr="00B27409">
        <w:rPr>
          <w:rFonts w:cs="Arial"/>
          <w:color w:val="000000"/>
          <w:sz w:val="22"/>
          <w:szCs w:val="22"/>
        </w:rPr>
        <w:t>for</w:t>
      </w:r>
      <w:r w:rsidR="0073308A" w:rsidRPr="00B27409">
        <w:rPr>
          <w:rFonts w:cs="Arial"/>
          <w:color w:val="000000"/>
          <w:sz w:val="22"/>
          <w:szCs w:val="22"/>
        </w:rPr>
        <w:t xml:space="preserve"> persons attending </w:t>
      </w:r>
      <w:r w:rsidR="00154F7C" w:rsidRPr="00B27409">
        <w:rPr>
          <w:rFonts w:cs="Arial"/>
          <w:color w:val="000000"/>
          <w:sz w:val="22"/>
          <w:szCs w:val="22"/>
        </w:rPr>
        <w:t xml:space="preserve">equestrian </w:t>
      </w:r>
      <w:r w:rsidR="0073308A" w:rsidRPr="00B27409">
        <w:rPr>
          <w:rFonts w:cs="Arial"/>
          <w:color w:val="000000"/>
          <w:sz w:val="22"/>
          <w:szCs w:val="22"/>
        </w:rPr>
        <w:t>events</w:t>
      </w:r>
      <w:r w:rsidR="00D66F83" w:rsidRPr="00B27409">
        <w:rPr>
          <w:rFonts w:cs="Arial"/>
          <w:color w:val="000000"/>
          <w:sz w:val="22"/>
          <w:szCs w:val="22"/>
        </w:rPr>
        <w:t>, including the public</w:t>
      </w:r>
    </w:p>
    <w:p w:rsidR="0073308A" w:rsidRPr="00B27409" w:rsidRDefault="00930F3B"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B27409">
        <w:rPr>
          <w:rFonts w:cs="Arial"/>
          <w:color w:val="000000"/>
          <w:sz w:val="22"/>
          <w:szCs w:val="22"/>
        </w:rPr>
        <w:t>r</w:t>
      </w:r>
      <w:r w:rsidR="00D66F83" w:rsidRPr="00B27409">
        <w:rPr>
          <w:rFonts w:cs="Arial"/>
          <w:color w:val="000000"/>
          <w:sz w:val="22"/>
          <w:szCs w:val="22"/>
        </w:rPr>
        <w:t>educed risk of horses contracting the Hendra virus</w:t>
      </w:r>
    </w:p>
    <w:p w:rsidR="00D66F83" w:rsidRPr="00B27409" w:rsidRDefault="00930F3B"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B27409">
        <w:rPr>
          <w:rFonts w:cs="Arial"/>
          <w:color w:val="000000"/>
          <w:sz w:val="22"/>
          <w:szCs w:val="22"/>
        </w:rPr>
        <w:t>a</w:t>
      </w:r>
      <w:r w:rsidR="00D66F83" w:rsidRPr="00B27409">
        <w:rPr>
          <w:rFonts w:cs="Arial"/>
          <w:color w:val="000000"/>
          <w:sz w:val="22"/>
          <w:szCs w:val="22"/>
        </w:rPr>
        <w:t>voiding a significant disincentive for equine veterinarians to provide professional services at equestrian events</w:t>
      </w:r>
    </w:p>
    <w:p w:rsidR="0073308A" w:rsidRPr="00B27409" w:rsidRDefault="00930F3B"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2"/>
          <w:szCs w:val="22"/>
        </w:rPr>
      </w:pPr>
      <w:r w:rsidRPr="00B27409">
        <w:rPr>
          <w:rFonts w:cs="Arial"/>
          <w:color w:val="000000"/>
          <w:sz w:val="22"/>
          <w:szCs w:val="22"/>
        </w:rPr>
        <w:t>a</w:t>
      </w:r>
      <w:r w:rsidR="0073308A" w:rsidRPr="00B27409">
        <w:rPr>
          <w:rFonts w:cs="Arial"/>
          <w:color w:val="000000"/>
          <w:sz w:val="22"/>
          <w:szCs w:val="22"/>
        </w:rPr>
        <w:t>void</w:t>
      </w:r>
      <w:r w:rsidR="00D66F83" w:rsidRPr="00B27409">
        <w:rPr>
          <w:rFonts w:cs="Arial"/>
          <w:color w:val="000000"/>
          <w:sz w:val="22"/>
          <w:szCs w:val="22"/>
        </w:rPr>
        <w:t>ing</w:t>
      </w:r>
      <w:r w:rsidR="0073308A" w:rsidRPr="00B27409">
        <w:rPr>
          <w:rFonts w:cs="Arial"/>
          <w:color w:val="000000"/>
          <w:sz w:val="22"/>
          <w:szCs w:val="22"/>
        </w:rPr>
        <w:t xml:space="preserve"> a significant disincentive for individuals to participate on Organising Committees as a result of</w:t>
      </w:r>
      <w:r w:rsidR="002864B3" w:rsidRPr="00B27409">
        <w:rPr>
          <w:rFonts w:cs="Arial"/>
          <w:color w:val="000000"/>
          <w:sz w:val="22"/>
          <w:szCs w:val="22"/>
        </w:rPr>
        <w:t xml:space="preserve"> a perceived</w:t>
      </w:r>
      <w:r w:rsidR="0073308A" w:rsidRPr="00B27409">
        <w:rPr>
          <w:rFonts w:cs="Arial"/>
          <w:color w:val="000000"/>
          <w:sz w:val="22"/>
          <w:szCs w:val="22"/>
        </w:rPr>
        <w:t xml:space="preserve"> increased risk of liability</w:t>
      </w:r>
      <w:r w:rsidRPr="00B27409">
        <w:rPr>
          <w:rFonts w:cs="Arial"/>
          <w:color w:val="000000"/>
          <w:sz w:val="22"/>
          <w:szCs w:val="22"/>
        </w:rPr>
        <w:t>.</w:t>
      </w:r>
    </w:p>
    <w:p w:rsidR="0087663F" w:rsidRPr="008C63D0" w:rsidRDefault="0087663F" w:rsidP="00DB0327">
      <w:pPr>
        <w:pStyle w:val="Heading2"/>
      </w:pPr>
      <w:r>
        <w:t>Public detriments</w:t>
      </w:r>
    </w:p>
    <w:p w:rsidR="00DB0327" w:rsidRPr="00B75C47" w:rsidRDefault="00DB0327" w:rsidP="009A69B2">
      <w:pPr>
        <w:numPr>
          <w:ilvl w:val="1"/>
          <w:numId w:val="69"/>
        </w:numPr>
        <w:tabs>
          <w:tab w:val="left" w:pos="851"/>
        </w:tabs>
        <w:spacing w:after="240"/>
        <w:ind w:left="851" w:hanging="851"/>
        <w:rPr>
          <w:rFonts w:cs="Arial"/>
          <w:sz w:val="22"/>
          <w:szCs w:val="22"/>
        </w:rPr>
      </w:pPr>
      <w:r w:rsidRPr="00B75C47">
        <w:rPr>
          <w:rFonts w:cs="Arial"/>
          <w:sz w:val="22"/>
          <w:szCs w:val="22"/>
        </w:rPr>
        <w:t>When assessing third line forcing notifications, the ACCC must also consider the potential public detriments. These may relate to</w:t>
      </w:r>
      <w:r w:rsidR="00F64648" w:rsidRPr="00B75C47">
        <w:rPr>
          <w:rFonts w:cs="Arial"/>
          <w:sz w:val="22"/>
          <w:szCs w:val="22"/>
        </w:rPr>
        <w:t xml:space="preserve"> the impact the notified conduct is likely to have on competition in relevant markets but can include broader detriments. </w:t>
      </w:r>
      <w:r w:rsidR="00D66F83" w:rsidRPr="00B75C47">
        <w:rPr>
          <w:rFonts w:cs="Arial"/>
          <w:sz w:val="22"/>
          <w:szCs w:val="22"/>
        </w:rPr>
        <w:t xml:space="preserve"> </w:t>
      </w:r>
    </w:p>
    <w:p w:rsidR="00DB0327" w:rsidRPr="009B667D" w:rsidRDefault="00DB0327" w:rsidP="00DB0327">
      <w:pPr>
        <w:autoSpaceDE w:val="0"/>
        <w:autoSpaceDN w:val="0"/>
        <w:adjustRightInd w:val="0"/>
        <w:spacing w:before="240" w:after="240"/>
        <w:rPr>
          <w:rFonts w:eastAsia="Arial" w:cs="Arial"/>
          <w:i/>
          <w:color w:val="000000"/>
          <w:szCs w:val="24"/>
          <w:lang w:val="en-AU" w:eastAsia="en-US"/>
        </w:rPr>
      </w:pPr>
      <w:r w:rsidRPr="009B667D">
        <w:rPr>
          <w:rFonts w:eastAsia="Arial" w:cs="Arial"/>
          <w:i/>
          <w:color w:val="000000"/>
          <w:szCs w:val="24"/>
          <w:lang w:val="en-AU" w:eastAsia="en-US"/>
        </w:rPr>
        <w:t>Possible competition related detriments</w:t>
      </w:r>
    </w:p>
    <w:p w:rsidR="00FE0585" w:rsidRDefault="004A3F8C" w:rsidP="009A69B2">
      <w:pPr>
        <w:numPr>
          <w:ilvl w:val="1"/>
          <w:numId w:val="69"/>
        </w:numPr>
        <w:tabs>
          <w:tab w:val="left" w:pos="851"/>
        </w:tabs>
        <w:spacing w:after="240"/>
        <w:ind w:left="851" w:hanging="851"/>
        <w:rPr>
          <w:rFonts w:cs="Arial"/>
          <w:sz w:val="22"/>
          <w:szCs w:val="22"/>
        </w:rPr>
      </w:pPr>
      <w:r w:rsidRPr="00B75C47">
        <w:rPr>
          <w:rFonts w:cs="Arial"/>
          <w:sz w:val="22"/>
          <w:szCs w:val="22"/>
        </w:rPr>
        <w:t>T</w:t>
      </w:r>
      <w:r w:rsidR="00DB0327" w:rsidRPr="00B75C47">
        <w:rPr>
          <w:rFonts w:cs="Arial"/>
          <w:sz w:val="22"/>
          <w:szCs w:val="22"/>
        </w:rPr>
        <w:t xml:space="preserve">he ACCC </w:t>
      </w:r>
      <w:r w:rsidRPr="00B75C47">
        <w:rPr>
          <w:rFonts w:cs="Arial"/>
          <w:sz w:val="22"/>
          <w:szCs w:val="22"/>
        </w:rPr>
        <w:t xml:space="preserve">considers that </w:t>
      </w:r>
      <w:r w:rsidR="00DB0327" w:rsidRPr="00B75C47">
        <w:rPr>
          <w:rFonts w:cs="Arial"/>
          <w:sz w:val="22"/>
          <w:szCs w:val="22"/>
        </w:rPr>
        <w:t xml:space="preserve">the notified conduct would </w:t>
      </w:r>
      <w:r w:rsidRPr="00B75C47">
        <w:rPr>
          <w:rFonts w:cs="Arial"/>
          <w:sz w:val="22"/>
          <w:szCs w:val="22"/>
        </w:rPr>
        <w:t xml:space="preserve">not </w:t>
      </w:r>
      <w:r w:rsidR="00DB0327" w:rsidRPr="00B75C47">
        <w:rPr>
          <w:rFonts w:cs="Arial"/>
          <w:sz w:val="22"/>
          <w:szCs w:val="22"/>
        </w:rPr>
        <w:t xml:space="preserve">reduce competition in the market for the provision of </w:t>
      </w:r>
      <w:r w:rsidR="002318E3" w:rsidRPr="00B75C47">
        <w:rPr>
          <w:rFonts w:cs="Arial"/>
          <w:sz w:val="22"/>
          <w:szCs w:val="22"/>
        </w:rPr>
        <w:t>E</w:t>
      </w:r>
      <w:r w:rsidR="00DB0327" w:rsidRPr="00B75C47">
        <w:rPr>
          <w:rFonts w:cs="Arial"/>
          <w:sz w:val="22"/>
          <w:szCs w:val="22"/>
        </w:rPr>
        <w:t xml:space="preserve">vent </w:t>
      </w:r>
      <w:r w:rsidR="002318E3" w:rsidRPr="00B75C47">
        <w:rPr>
          <w:rFonts w:cs="Arial"/>
          <w:sz w:val="22"/>
          <w:szCs w:val="22"/>
        </w:rPr>
        <w:t>S</w:t>
      </w:r>
      <w:r w:rsidR="00DB0327" w:rsidRPr="00B75C47">
        <w:rPr>
          <w:rFonts w:cs="Arial"/>
          <w:sz w:val="22"/>
          <w:szCs w:val="22"/>
        </w:rPr>
        <w:t xml:space="preserve">ervices that qualify competitors for national and international competition, since EA is the only </w:t>
      </w:r>
      <w:r w:rsidR="002318E3" w:rsidRPr="00B75C47">
        <w:rPr>
          <w:rFonts w:cs="Arial"/>
          <w:sz w:val="22"/>
          <w:szCs w:val="22"/>
        </w:rPr>
        <w:t xml:space="preserve">Australian entity with authority from the </w:t>
      </w:r>
      <w:hyperlink r:id="rId13" w:history="1">
        <w:r w:rsidR="002318E3" w:rsidRPr="00B75C47">
          <w:rPr>
            <w:rFonts w:cs="Arial"/>
            <w:sz w:val="22"/>
            <w:szCs w:val="22"/>
          </w:rPr>
          <w:t>Fédération Equestre Internationale</w:t>
        </w:r>
      </w:hyperlink>
      <w:r w:rsidR="002318E3" w:rsidRPr="00B75C47">
        <w:rPr>
          <w:rFonts w:cs="Arial"/>
          <w:sz w:val="22"/>
          <w:szCs w:val="22"/>
        </w:rPr>
        <w:t xml:space="preserve"> and Au</w:t>
      </w:r>
      <w:r w:rsidR="004C7241">
        <w:rPr>
          <w:rFonts w:cs="Arial"/>
          <w:sz w:val="22"/>
          <w:szCs w:val="22"/>
        </w:rPr>
        <w:t>stralian Olympic Committee</w:t>
      </w:r>
      <w:r w:rsidR="002318E3" w:rsidRPr="00B75C47">
        <w:rPr>
          <w:rFonts w:cs="Arial"/>
          <w:sz w:val="22"/>
          <w:szCs w:val="22"/>
        </w:rPr>
        <w:t xml:space="preserve"> to sanction Events </w:t>
      </w:r>
      <w:r w:rsidR="00DB0327" w:rsidRPr="00B75C47">
        <w:rPr>
          <w:rFonts w:cs="Arial"/>
          <w:sz w:val="22"/>
          <w:szCs w:val="22"/>
        </w:rPr>
        <w:t xml:space="preserve">and this is not changed by the </w:t>
      </w:r>
      <w:r w:rsidR="00F54C8D" w:rsidRPr="00B75C47">
        <w:rPr>
          <w:rFonts w:cs="Arial"/>
          <w:sz w:val="22"/>
          <w:szCs w:val="22"/>
        </w:rPr>
        <w:t>N</w:t>
      </w:r>
      <w:r w:rsidR="00DB0327" w:rsidRPr="00B75C47">
        <w:rPr>
          <w:rFonts w:cs="Arial"/>
          <w:sz w:val="22"/>
          <w:szCs w:val="22"/>
        </w:rPr>
        <w:t>otification.</w:t>
      </w:r>
      <w:r w:rsidR="00564147" w:rsidRPr="00B75C47">
        <w:rPr>
          <w:rFonts w:cs="Arial"/>
          <w:sz w:val="22"/>
          <w:szCs w:val="22"/>
        </w:rPr>
        <w:t xml:space="preserve"> </w:t>
      </w:r>
    </w:p>
    <w:p w:rsidR="00FE0585" w:rsidRDefault="00DB0327" w:rsidP="009A69B2">
      <w:pPr>
        <w:numPr>
          <w:ilvl w:val="1"/>
          <w:numId w:val="69"/>
        </w:numPr>
        <w:tabs>
          <w:tab w:val="left" w:pos="851"/>
        </w:tabs>
        <w:spacing w:after="240"/>
        <w:ind w:left="851" w:hanging="851"/>
        <w:rPr>
          <w:rFonts w:cs="Arial"/>
          <w:sz w:val="22"/>
          <w:szCs w:val="22"/>
        </w:rPr>
      </w:pPr>
      <w:r w:rsidRPr="00B75C47">
        <w:rPr>
          <w:rFonts w:cs="Arial"/>
          <w:sz w:val="22"/>
          <w:szCs w:val="22"/>
        </w:rPr>
        <w:t>Given that the notified conduct does not specify that event attendees acquire vaccination services</w:t>
      </w:r>
      <w:r w:rsidR="002318E3" w:rsidRPr="00B75C47">
        <w:rPr>
          <w:rFonts w:cs="Arial"/>
          <w:sz w:val="22"/>
          <w:szCs w:val="22"/>
        </w:rPr>
        <w:t xml:space="preserve"> (including the vaccine itself)</w:t>
      </w:r>
      <w:r w:rsidRPr="00B75C47">
        <w:rPr>
          <w:rFonts w:cs="Arial"/>
          <w:sz w:val="22"/>
          <w:szCs w:val="22"/>
        </w:rPr>
        <w:t xml:space="preserve"> from particular veterinarians, </w:t>
      </w:r>
      <w:r w:rsidR="004A3F8C" w:rsidRPr="00B75C47">
        <w:rPr>
          <w:rFonts w:cs="Arial"/>
          <w:sz w:val="22"/>
          <w:szCs w:val="22"/>
        </w:rPr>
        <w:t>the ACCC considers that the</w:t>
      </w:r>
      <w:r w:rsidRPr="00B75C47">
        <w:rPr>
          <w:rFonts w:cs="Arial"/>
          <w:sz w:val="22"/>
          <w:szCs w:val="22"/>
        </w:rPr>
        <w:t xml:space="preserve"> notified conduct </w:t>
      </w:r>
      <w:r w:rsidR="004A3F8C" w:rsidRPr="00B75C47">
        <w:rPr>
          <w:rFonts w:cs="Arial"/>
          <w:sz w:val="22"/>
          <w:szCs w:val="22"/>
        </w:rPr>
        <w:t xml:space="preserve">will not </w:t>
      </w:r>
      <w:r w:rsidRPr="00B75C47">
        <w:rPr>
          <w:rFonts w:cs="Arial"/>
          <w:sz w:val="22"/>
          <w:szCs w:val="22"/>
        </w:rPr>
        <w:t>have a significant impact on competition in the market for the provision of veterinarian services.</w:t>
      </w:r>
      <w:r w:rsidR="00F64648" w:rsidRPr="00B75C47">
        <w:rPr>
          <w:rFonts w:cs="Arial"/>
          <w:sz w:val="22"/>
          <w:szCs w:val="22"/>
        </w:rPr>
        <w:t xml:space="preserve"> Indeed the conduct is likely to encourage more </w:t>
      </w:r>
      <w:r w:rsidR="00DD6E5A" w:rsidRPr="00B75C47">
        <w:rPr>
          <w:rFonts w:cs="Arial"/>
          <w:sz w:val="22"/>
          <w:szCs w:val="22"/>
        </w:rPr>
        <w:t>veterinarians</w:t>
      </w:r>
      <w:r w:rsidR="00F64648" w:rsidRPr="00B75C47">
        <w:rPr>
          <w:rFonts w:cs="Arial"/>
          <w:sz w:val="22"/>
          <w:szCs w:val="22"/>
        </w:rPr>
        <w:t xml:space="preserve"> to be willing to offer their services to support equestrian events.</w:t>
      </w:r>
      <w:r w:rsidR="002318E3" w:rsidRPr="00B75C47">
        <w:rPr>
          <w:rFonts w:cs="Arial"/>
          <w:sz w:val="22"/>
          <w:szCs w:val="22"/>
        </w:rPr>
        <w:t xml:space="preserve"> </w:t>
      </w:r>
    </w:p>
    <w:p w:rsidR="00DB0327" w:rsidRPr="00B75C47" w:rsidRDefault="002318E3"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While it is the case that </w:t>
      </w:r>
      <w:r w:rsidR="00930F3B" w:rsidRPr="00B75C47">
        <w:rPr>
          <w:rFonts w:cs="Arial"/>
          <w:sz w:val="22"/>
          <w:szCs w:val="22"/>
        </w:rPr>
        <w:t>government  require</w:t>
      </w:r>
      <w:r w:rsidR="004429CE">
        <w:rPr>
          <w:rFonts w:cs="Arial"/>
          <w:sz w:val="22"/>
          <w:szCs w:val="22"/>
        </w:rPr>
        <w:t>s</w:t>
      </w:r>
      <w:r w:rsidR="00930F3B" w:rsidRPr="00B75C47">
        <w:rPr>
          <w:rFonts w:cs="Arial"/>
          <w:sz w:val="22"/>
          <w:szCs w:val="22"/>
        </w:rPr>
        <w:t xml:space="preserve"> that </w:t>
      </w:r>
      <w:r w:rsidRPr="00B75C47">
        <w:rPr>
          <w:rFonts w:cs="Arial"/>
          <w:sz w:val="22"/>
          <w:szCs w:val="22"/>
        </w:rPr>
        <w:t xml:space="preserve">only </w:t>
      </w:r>
      <w:r w:rsidR="00930F3B" w:rsidRPr="00B75C47">
        <w:rPr>
          <w:rFonts w:cs="Arial"/>
          <w:sz w:val="22"/>
          <w:szCs w:val="22"/>
        </w:rPr>
        <w:t xml:space="preserve">accredited </w:t>
      </w:r>
      <w:r w:rsidRPr="00B75C47">
        <w:rPr>
          <w:rFonts w:cs="Arial"/>
          <w:sz w:val="22"/>
          <w:szCs w:val="22"/>
        </w:rPr>
        <w:t xml:space="preserve">veterinarians who have </w:t>
      </w:r>
      <w:r w:rsidR="00930F3B" w:rsidRPr="00B75C47">
        <w:rPr>
          <w:rFonts w:cs="Arial"/>
          <w:sz w:val="22"/>
          <w:szCs w:val="22"/>
        </w:rPr>
        <w:t xml:space="preserve">undertaken specific education (provided by Zoetis) on the proper use of the vaccine </w:t>
      </w:r>
      <w:r w:rsidRPr="00B75C47">
        <w:rPr>
          <w:rFonts w:cs="Arial"/>
          <w:sz w:val="22"/>
          <w:szCs w:val="22"/>
        </w:rPr>
        <w:t>can administer the vaccine, the ACCC understands that it is open to all vet</w:t>
      </w:r>
      <w:r w:rsidR="00F54C8D" w:rsidRPr="00B75C47">
        <w:rPr>
          <w:rFonts w:cs="Arial"/>
          <w:sz w:val="22"/>
          <w:szCs w:val="22"/>
        </w:rPr>
        <w:t>erinarian</w:t>
      </w:r>
      <w:r w:rsidRPr="00B75C47">
        <w:rPr>
          <w:rFonts w:cs="Arial"/>
          <w:sz w:val="22"/>
          <w:szCs w:val="22"/>
        </w:rPr>
        <w:t xml:space="preserve">s to undertake </w:t>
      </w:r>
      <w:r w:rsidR="00930F3B" w:rsidRPr="00B75C47">
        <w:rPr>
          <w:rFonts w:cs="Arial"/>
          <w:sz w:val="22"/>
          <w:szCs w:val="22"/>
        </w:rPr>
        <w:t>the relevant training.</w:t>
      </w:r>
      <w:r w:rsidRPr="00B75C47">
        <w:rPr>
          <w:rFonts w:cs="Arial"/>
          <w:sz w:val="22"/>
          <w:szCs w:val="22"/>
        </w:rPr>
        <w:t xml:space="preserve"> </w:t>
      </w:r>
    </w:p>
    <w:p w:rsidR="00DB0327" w:rsidRPr="009A56B3" w:rsidRDefault="00DB0327" w:rsidP="009A69B2">
      <w:pPr>
        <w:numPr>
          <w:ilvl w:val="1"/>
          <w:numId w:val="69"/>
        </w:numPr>
        <w:tabs>
          <w:tab w:val="left" w:pos="851"/>
        </w:tabs>
        <w:spacing w:after="240"/>
        <w:ind w:left="851" w:hanging="851"/>
        <w:rPr>
          <w:rFonts w:cs="Arial"/>
          <w:szCs w:val="24"/>
        </w:rPr>
      </w:pPr>
      <w:r w:rsidRPr="00B75C47">
        <w:rPr>
          <w:rFonts w:cs="Arial"/>
          <w:sz w:val="22"/>
          <w:szCs w:val="22"/>
        </w:rPr>
        <w:t xml:space="preserve">The ACCC recognises that there is currently only one </w:t>
      </w:r>
      <w:r w:rsidR="002318E3" w:rsidRPr="00B75C47">
        <w:rPr>
          <w:rFonts w:cs="Arial"/>
          <w:sz w:val="22"/>
          <w:szCs w:val="22"/>
        </w:rPr>
        <w:t xml:space="preserve">supplier </w:t>
      </w:r>
      <w:r w:rsidRPr="00B75C47">
        <w:rPr>
          <w:rFonts w:cs="Arial"/>
          <w:sz w:val="22"/>
          <w:szCs w:val="22"/>
        </w:rPr>
        <w:t>of a Hendra virus vaccine</w:t>
      </w:r>
      <w:r w:rsidR="0097649B" w:rsidRPr="00B75C47">
        <w:rPr>
          <w:rFonts w:cs="Arial"/>
          <w:sz w:val="22"/>
          <w:szCs w:val="22"/>
        </w:rPr>
        <w:t xml:space="preserve"> to </w:t>
      </w:r>
      <w:r w:rsidR="0097649B" w:rsidRPr="004C7241">
        <w:rPr>
          <w:rFonts w:cs="Arial"/>
          <w:sz w:val="22"/>
          <w:szCs w:val="22"/>
        </w:rPr>
        <w:t>veterinarians</w:t>
      </w:r>
      <w:r w:rsidRPr="004C7241">
        <w:rPr>
          <w:rFonts w:cs="Arial"/>
          <w:sz w:val="22"/>
          <w:szCs w:val="22"/>
        </w:rPr>
        <w:t xml:space="preserve"> and that it is unlikely another </w:t>
      </w:r>
      <w:r w:rsidR="002318E3" w:rsidRPr="004C7241">
        <w:rPr>
          <w:rFonts w:cs="Arial"/>
          <w:sz w:val="22"/>
          <w:szCs w:val="22"/>
        </w:rPr>
        <w:t xml:space="preserve">supplier </w:t>
      </w:r>
      <w:r w:rsidRPr="004C7241">
        <w:rPr>
          <w:rFonts w:cs="Arial"/>
          <w:sz w:val="22"/>
          <w:szCs w:val="22"/>
        </w:rPr>
        <w:t xml:space="preserve">will emerge </w:t>
      </w:r>
      <w:r w:rsidR="00665873">
        <w:rPr>
          <w:rFonts w:cs="Arial"/>
          <w:sz w:val="22"/>
          <w:szCs w:val="22"/>
        </w:rPr>
        <w:t xml:space="preserve">in the short to medium term. However, the notified conduct </w:t>
      </w:r>
      <w:r w:rsidR="006C109F" w:rsidRPr="004C7241">
        <w:rPr>
          <w:rFonts w:cs="Arial"/>
          <w:sz w:val="22"/>
          <w:szCs w:val="22"/>
        </w:rPr>
        <w:t xml:space="preserve">is not limited to the </w:t>
      </w:r>
      <w:r w:rsidR="002318E3" w:rsidRPr="004C7241">
        <w:rPr>
          <w:rFonts w:cs="Arial"/>
          <w:sz w:val="22"/>
          <w:szCs w:val="22"/>
        </w:rPr>
        <w:t xml:space="preserve">existing </w:t>
      </w:r>
      <w:r w:rsidR="006C109F" w:rsidRPr="004C7241">
        <w:rPr>
          <w:rFonts w:cs="Arial"/>
          <w:sz w:val="22"/>
          <w:szCs w:val="22"/>
        </w:rPr>
        <w:t xml:space="preserve">vaccine and </w:t>
      </w:r>
      <w:r w:rsidR="00665873">
        <w:rPr>
          <w:rFonts w:cs="Arial"/>
          <w:sz w:val="22"/>
          <w:szCs w:val="22"/>
        </w:rPr>
        <w:t xml:space="preserve">will </w:t>
      </w:r>
      <w:r w:rsidRPr="004C7241">
        <w:rPr>
          <w:rFonts w:cs="Arial"/>
          <w:sz w:val="22"/>
          <w:szCs w:val="22"/>
        </w:rPr>
        <w:t>not discourag</w:t>
      </w:r>
      <w:r w:rsidR="006C109F" w:rsidRPr="004C7241">
        <w:rPr>
          <w:rFonts w:cs="Arial"/>
          <w:sz w:val="22"/>
          <w:szCs w:val="22"/>
        </w:rPr>
        <w:t>e</w:t>
      </w:r>
      <w:r w:rsidR="00855B1A" w:rsidRPr="004C7241">
        <w:rPr>
          <w:rFonts w:cs="Arial"/>
          <w:sz w:val="22"/>
          <w:szCs w:val="22"/>
        </w:rPr>
        <w:t xml:space="preserve"> or prevent</w:t>
      </w:r>
      <w:r w:rsidRPr="004C7241">
        <w:rPr>
          <w:rFonts w:cs="Arial"/>
          <w:sz w:val="22"/>
          <w:szCs w:val="22"/>
        </w:rPr>
        <w:t xml:space="preserve"> potential competition from occurring</w:t>
      </w:r>
      <w:r w:rsidR="00665873">
        <w:rPr>
          <w:rFonts w:cs="Arial"/>
          <w:sz w:val="22"/>
          <w:szCs w:val="22"/>
        </w:rPr>
        <w:t xml:space="preserve"> in the future</w:t>
      </w:r>
      <w:r w:rsidRPr="004C7241">
        <w:rPr>
          <w:rFonts w:cs="Arial"/>
          <w:sz w:val="22"/>
          <w:szCs w:val="22"/>
        </w:rPr>
        <w:t>.</w:t>
      </w:r>
    </w:p>
    <w:p w:rsidR="00665873" w:rsidRPr="00DB0327" w:rsidRDefault="00665873" w:rsidP="009A69B2">
      <w:pPr>
        <w:numPr>
          <w:ilvl w:val="1"/>
          <w:numId w:val="69"/>
        </w:numPr>
        <w:tabs>
          <w:tab w:val="left" w:pos="851"/>
        </w:tabs>
        <w:spacing w:after="240"/>
        <w:ind w:left="851" w:hanging="851"/>
        <w:rPr>
          <w:rFonts w:cs="Arial"/>
          <w:szCs w:val="24"/>
        </w:rPr>
      </w:pPr>
      <w:r>
        <w:rPr>
          <w:rFonts w:cs="Arial"/>
          <w:sz w:val="22"/>
          <w:szCs w:val="22"/>
        </w:rPr>
        <w:t>Accordingly, the ACCC does not consider there are any material detriments arising from a reduction in</w:t>
      </w:r>
      <w:r w:rsidRPr="00B75C47">
        <w:rPr>
          <w:rFonts w:cs="Arial"/>
          <w:sz w:val="22"/>
          <w:szCs w:val="22"/>
        </w:rPr>
        <w:t xml:space="preserve"> competition in rel</w:t>
      </w:r>
      <w:r>
        <w:rPr>
          <w:rFonts w:cs="Arial"/>
          <w:sz w:val="22"/>
          <w:szCs w:val="22"/>
        </w:rPr>
        <w:t xml:space="preserve">evant markets. </w:t>
      </w:r>
    </w:p>
    <w:p w:rsidR="00DB0327" w:rsidRPr="009B667D" w:rsidRDefault="00DB0327" w:rsidP="00DB0327">
      <w:pPr>
        <w:autoSpaceDE w:val="0"/>
        <w:autoSpaceDN w:val="0"/>
        <w:adjustRightInd w:val="0"/>
        <w:spacing w:before="240" w:after="240"/>
        <w:rPr>
          <w:rFonts w:eastAsia="Arial" w:cs="Arial"/>
          <w:i/>
          <w:color w:val="000000"/>
          <w:szCs w:val="24"/>
          <w:lang w:val="en-AU" w:eastAsia="en-US"/>
        </w:rPr>
      </w:pPr>
      <w:r w:rsidRPr="009B667D">
        <w:rPr>
          <w:rFonts w:eastAsia="Arial" w:cs="Arial"/>
          <w:i/>
          <w:color w:val="000000"/>
          <w:szCs w:val="24"/>
          <w:lang w:val="en-AU" w:eastAsia="en-US"/>
        </w:rPr>
        <w:t>Other possible detriments</w:t>
      </w:r>
    </w:p>
    <w:p w:rsidR="008648D3" w:rsidRDefault="00DB0327"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Many interested parties have raised concerns that </w:t>
      </w:r>
      <w:r w:rsidR="0097649B" w:rsidRPr="00B75C47">
        <w:rPr>
          <w:rFonts w:cs="Arial"/>
          <w:sz w:val="22"/>
          <w:szCs w:val="22"/>
        </w:rPr>
        <w:t xml:space="preserve">there have been a </w:t>
      </w:r>
      <w:r w:rsidRPr="00B75C47">
        <w:rPr>
          <w:rFonts w:cs="Arial"/>
          <w:sz w:val="22"/>
          <w:szCs w:val="22"/>
        </w:rPr>
        <w:t>significant number of adverse reactions</w:t>
      </w:r>
      <w:r w:rsidR="0097649B" w:rsidRPr="00B75C47">
        <w:rPr>
          <w:rFonts w:cs="Arial"/>
          <w:sz w:val="22"/>
          <w:szCs w:val="22"/>
        </w:rPr>
        <w:t xml:space="preserve"> to the Hendra vaccine. </w:t>
      </w:r>
      <w:r w:rsidR="0084364F" w:rsidRPr="00B75C47">
        <w:rPr>
          <w:rFonts w:cs="Arial"/>
          <w:sz w:val="22"/>
          <w:szCs w:val="22"/>
        </w:rPr>
        <w:t>R</w:t>
      </w:r>
      <w:r w:rsidR="0097649B" w:rsidRPr="00B75C47">
        <w:rPr>
          <w:rFonts w:cs="Arial"/>
          <w:sz w:val="22"/>
          <w:szCs w:val="22"/>
        </w:rPr>
        <w:t xml:space="preserve">eactions </w:t>
      </w:r>
      <w:r w:rsidR="0084364F" w:rsidRPr="00B75C47">
        <w:rPr>
          <w:rFonts w:cs="Arial"/>
          <w:sz w:val="22"/>
          <w:szCs w:val="22"/>
        </w:rPr>
        <w:t xml:space="preserve">have been described </w:t>
      </w:r>
      <w:r w:rsidR="00FE0585">
        <w:rPr>
          <w:rFonts w:cs="Arial"/>
          <w:sz w:val="22"/>
          <w:szCs w:val="22"/>
        </w:rPr>
        <w:t xml:space="preserve">as </w:t>
      </w:r>
      <w:r w:rsidR="0097649B" w:rsidRPr="00B75C47">
        <w:rPr>
          <w:rFonts w:cs="Arial"/>
          <w:sz w:val="22"/>
          <w:szCs w:val="22"/>
        </w:rPr>
        <w:t>rang</w:t>
      </w:r>
      <w:r w:rsidR="0084364F" w:rsidRPr="00B75C47">
        <w:rPr>
          <w:rFonts w:cs="Arial"/>
          <w:sz w:val="22"/>
          <w:szCs w:val="22"/>
        </w:rPr>
        <w:t>ing</w:t>
      </w:r>
      <w:r w:rsidR="0097649B" w:rsidRPr="00B75C47">
        <w:rPr>
          <w:rFonts w:cs="Arial"/>
          <w:sz w:val="22"/>
          <w:szCs w:val="22"/>
        </w:rPr>
        <w:t xml:space="preserve"> from minor to severe</w:t>
      </w:r>
      <w:r w:rsidR="0084364F" w:rsidRPr="00B75C47">
        <w:rPr>
          <w:rFonts w:cs="Arial"/>
          <w:sz w:val="22"/>
          <w:szCs w:val="22"/>
        </w:rPr>
        <w:t>.</w:t>
      </w:r>
      <w:r w:rsidR="00B75C47" w:rsidRPr="00B75C47">
        <w:rPr>
          <w:rFonts w:cs="Arial"/>
          <w:sz w:val="22"/>
          <w:szCs w:val="22"/>
        </w:rPr>
        <w:t xml:space="preserve"> </w:t>
      </w:r>
    </w:p>
    <w:p w:rsidR="00DB0327" w:rsidRPr="00B75C47" w:rsidRDefault="0084364F"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Parties submit the vaccine has resulted in </w:t>
      </w:r>
      <w:r w:rsidR="00DB0327" w:rsidRPr="00B75C47">
        <w:rPr>
          <w:rFonts w:cs="Arial"/>
          <w:sz w:val="22"/>
          <w:szCs w:val="22"/>
        </w:rPr>
        <w:t xml:space="preserve">lameness </w:t>
      </w:r>
      <w:r w:rsidR="0097649B" w:rsidRPr="00B75C47">
        <w:rPr>
          <w:rFonts w:cs="Arial"/>
          <w:sz w:val="22"/>
          <w:szCs w:val="22"/>
        </w:rPr>
        <w:t>and</w:t>
      </w:r>
      <w:r w:rsidR="00DB0327" w:rsidRPr="00B75C47">
        <w:rPr>
          <w:rFonts w:cs="Arial"/>
          <w:sz w:val="22"/>
          <w:szCs w:val="22"/>
        </w:rPr>
        <w:t xml:space="preserve"> other conditions that prevent horses from competing, sterility </w:t>
      </w:r>
      <w:r w:rsidR="0097649B" w:rsidRPr="00B75C47">
        <w:rPr>
          <w:rFonts w:cs="Arial"/>
          <w:sz w:val="22"/>
          <w:szCs w:val="22"/>
        </w:rPr>
        <w:t>and</w:t>
      </w:r>
      <w:r w:rsidR="00DB0327" w:rsidRPr="00B75C47">
        <w:rPr>
          <w:rFonts w:cs="Arial"/>
          <w:sz w:val="22"/>
          <w:szCs w:val="22"/>
        </w:rPr>
        <w:t xml:space="preserve"> death.</w:t>
      </w:r>
      <w:r w:rsidR="0097649B" w:rsidRPr="00B75C47">
        <w:rPr>
          <w:rFonts w:cs="Arial"/>
          <w:sz w:val="22"/>
          <w:szCs w:val="22"/>
        </w:rPr>
        <w:t xml:space="preserve"> </w:t>
      </w:r>
      <w:r w:rsidR="005A3D95" w:rsidRPr="00B75C47">
        <w:rPr>
          <w:rFonts w:cs="Arial"/>
          <w:sz w:val="22"/>
          <w:szCs w:val="22"/>
        </w:rPr>
        <w:t>Further, interested parties have noted that even where a horse recovers from an adverse reaction, the fact that the</w:t>
      </w:r>
      <w:r w:rsidR="003F1B35">
        <w:rPr>
          <w:rFonts w:cs="Arial"/>
          <w:sz w:val="22"/>
          <w:szCs w:val="22"/>
        </w:rPr>
        <w:t xml:space="preserve"> horse is</w:t>
      </w:r>
      <w:r w:rsidR="005A3D95" w:rsidRPr="00B75C47">
        <w:rPr>
          <w:rFonts w:cs="Arial"/>
          <w:sz w:val="22"/>
          <w:szCs w:val="22"/>
        </w:rPr>
        <w:t xml:space="preserve"> unable to continue a program of vaccination via six monthly boosters means that </w:t>
      </w:r>
      <w:r w:rsidR="003F1B35">
        <w:rPr>
          <w:rFonts w:cs="Arial"/>
          <w:sz w:val="22"/>
          <w:szCs w:val="22"/>
        </w:rPr>
        <w:t>it</w:t>
      </w:r>
      <w:r w:rsidR="005A3D95" w:rsidRPr="00B75C47">
        <w:rPr>
          <w:rFonts w:cs="Arial"/>
          <w:sz w:val="22"/>
          <w:szCs w:val="22"/>
        </w:rPr>
        <w:t xml:space="preserve"> will not be able to participate in </w:t>
      </w:r>
      <w:r w:rsidR="00401572">
        <w:rPr>
          <w:rFonts w:cs="Arial"/>
          <w:sz w:val="22"/>
          <w:szCs w:val="22"/>
        </w:rPr>
        <w:t>e</w:t>
      </w:r>
      <w:r w:rsidR="005A3D95" w:rsidRPr="00B75C47">
        <w:rPr>
          <w:rFonts w:cs="Arial"/>
          <w:sz w:val="22"/>
          <w:szCs w:val="22"/>
        </w:rPr>
        <w:t xml:space="preserve">vents where the </w:t>
      </w:r>
      <w:r w:rsidR="00930F3B" w:rsidRPr="00B75C47">
        <w:rPr>
          <w:rFonts w:cs="Arial"/>
          <w:sz w:val="22"/>
          <w:szCs w:val="22"/>
        </w:rPr>
        <w:t>Entry</w:t>
      </w:r>
      <w:r w:rsidR="005A3D95" w:rsidRPr="00B75C47">
        <w:rPr>
          <w:rFonts w:cs="Arial"/>
          <w:sz w:val="22"/>
          <w:szCs w:val="22"/>
        </w:rPr>
        <w:t xml:space="preserve"> </w:t>
      </w:r>
      <w:r w:rsidR="00930F3B" w:rsidRPr="00B75C47">
        <w:rPr>
          <w:rFonts w:cs="Arial"/>
          <w:sz w:val="22"/>
          <w:szCs w:val="22"/>
        </w:rPr>
        <w:t>C</w:t>
      </w:r>
      <w:r w:rsidR="005A3D95" w:rsidRPr="00B75C47">
        <w:rPr>
          <w:rFonts w:cs="Arial"/>
          <w:sz w:val="22"/>
          <w:szCs w:val="22"/>
        </w:rPr>
        <w:t>ondition is imposed.</w:t>
      </w:r>
    </w:p>
    <w:p w:rsidR="00DB0327" w:rsidRPr="00B75C47" w:rsidRDefault="005A3D95" w:rsidP="009A69B2">
      <w:pPr>
        <w:numPr>
          <w:ilvl w:val="1"/>
          <w:numId w:val="69"/>
        </w:numPr>
        <w:tabs>
          <w:tab w:val="left" w:pos="851"/>
        </w:tabs>
        <w:spacing w:after="240"/>
        <w:ind w:left="851" w:hanging="851"/>
        <w:rPr>
          <w:rFonts w:cs="Arial"/>
          <w:sz w:val="22"/>
          <w:szCs w:val="22"/>
        </w:rPr>
      </w:pPr>
      <w:r w:rsidRPr="00B75C47">
        <w:rPr>
          <w:rFonts w:cs="Arial"/>
          <w:sz w:val="22"/>
          <w:szCs w:val="22"/>
        </w:rPr>
        <w:t>In light of the concerns raised about possible adverse reactions to the vaccine, the ACCC has consulted with the</w:t>
      </w:r>
      <w:r w:rsidR="0084364F" w:rsidRPr="00B75C47">
        <w:rPr>
          <w:rFonts w:cs="Arial"/>
          <w:sz w:val="22"/>
          <w:szCs w:val="22"/>
        </w:rPr>
        <w:t xml:space="preserve"> </w:t>
      </w:r>
      <w:r w:rsidR="00DB0327" w:rsidRPr="00B75C47">
        <w:rPr>
          <w:rFonts w:cs="Arial"/>
          <w:sz w:val="22"/>
          <w:szCs w:val="22"/>
        </w:rPr>
        <w:t xml:space="preserve">Australian Pesticide and Veterinary Medicines Authority (the APVMA) on issues related to the safety and </w:t>
      </w:r>
      <w:r w:rsidR="00B27409" w:rsidRPr="00B75C47">
        <w:rPr>
          <w:rFonts w:cs="Arial"/>
          <w:sz w:val="22"/>
          <w:szCs w:val="22"/>
        </w:rPr>
        <w:t>effec</w:t>
      </w:r>
      <w:r w:rsidR="00B27409">
        <w:rPr>
          <w:rFonts w:cs="Arial"/>
          <w:sz w:val="22"/>
          <w:szCs w:val="22"/>
        </w:rPr>
        <w:t>tiveness</w:t>
      </w:r>
      <w:r w:rsidR="00DB0327" w:rsidRPr="00B75C47">
        <w:rPr>
          <w:rFonts w:cs="Arial"/>
          <w:sz w:val="22"/>
          <w:szCs w:val="22"/>
        </w:rPr>
        <w:t xml:space="preserve"> of the Hendra vaccine.</w:t>
      </w:r>
    </w:p>
    <w:p w:rsidR="00DB0327" w:rsidRPr="00B75C47" w:rsidRDefault="00DB0327" w:rsidP="009A69B2">
      <w:pPr>
        <w:numPr>
          <w:ilvl w:val="1"/>
          <w:numId w:val="69"/>
        </w:numPr>
        <w:tabs>
          <w:tab w:val="left" w:pos="851"/>
        </w:tabs>
        <w:spacing w:after="240"/>
        <w:ind w:left="851" w:hanging="851"/>
        <w:rPr>
          <w:rFonts w:cs="Arial"/>
          <w:sz w:val="22"/>
          <w:szCs w:val="22"/>
        </w:rPr>
      </w:pPr>
      <w:r w:rsidRPr="00B75C47">
        <w:rPr>
          <w:rFonts w:cs="Arial"/>
          <w:sz w:val="22"/>
          <w:szCs w:val="22"/>
        </w:rPr>
        <w:t>The APVMA is the government authority responsible for the assessment and registration of pesticides and veterinary medicines.</w:t>
      </w:r>
    </w:p>
    <w:p w:rsidR="00DB0327" w:rsidRPr="00B75C47" w:rsidRDefault="004A3F8C" w:rsidP="009A69B2">
      <w:pPr>
        <w:numPr>
          <w:ilvl w:val="1"/>
          <w:numId w:val="69"/>
        </w:numPr>
        <w:tabs>
          <w:tab w:val="left" w:pos="851"/>
        </w:tabs>
        <w:spacing w:after="240"/>
        <w:ind w:left="851" w:hanging="851"/>
        <w:rPr>
          <w:rFonts w:cs="Arial"/>
          <w:sz w:val="22"/>
          <w:szCs w:val="22"/>
        </w:rPr>
      </w:pPr>
      <w:r w:rsidRPr="00B75C47">
        <w:rPr>
          <w:rFonts w:cs="Arial"/>
          <w:sz w:val="22"/>
          <w:szCs w:val="22"/>
        </w:rPr>
        <w:t>In August 2015, t</w:t>
      </w:r>
      <w:r w:rsidR="00DB0327" w:rsidRPr="00B75C47">
        <w:rPr>
          <w:rFonts w:cs="Arial"/>
          <w:sz w:val="22"/>
          <w:szCs w:val="22"/>
        </w:rPr>
        <w:t>he APVMA approved registration of the Hendra vaccine. The ACCC understands that before granting registration the APVMA was satisfied that the vaccine—used in accordance with the approved instructions on the label—would:</w:t>
      </w:r>
    </w:p>
    <w:p w:rsidR="00DB0327" w:rsidRPr="009A69B2" w:rsidRDefault="00DB0327"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1"/>
          <w:szCs w:val="21"/>
        </w:rPr>
      </w:pPr>
      <w:r w:rsidRPr="009A69B2">
        <w:rPr>
          <w:rFonts w:cs="Arial"/>
          <w:color w:val="000000"/>
          <w:sz w:val="21"/>
          <w:szCs w:val="21"/>
        </w:rPr>
        <w:t>not be an undue hazard to the safety of people exposed to it during its handling or people using an</w:t>
      </w:r>
      <w:r w:rsidR="006C109F" w:rsidRPr="009A69B2">
        <w:rPr>
          <w:rFonts w:cs="Arial"/>
          <w:color w:val="000000"/>
          <w:sz w:val="21"/>
          <w:szCs w:val="21"/>
        </w:rPr>
        <w:t>ything containing its residues</w:t>
      </w:r>
    </w:p>
    <w:p w:rsidR="00DB0327" w:rsidRPr="009A69B2" w:rsidRDefault="00DB0327"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1"/>
          <w:szCs w:val="21"/>
        </w:rPr>
      </w:pPr>
      <w:r w:rsidRPr="009A69B2">
        <w:rPr>
          <w:rFonts w:cs="Arial"/>
          <w:color w:val="000000"/>
          <w:sz w:val="21"/>
          <w:szCs w:val="21"/>
        </w:rPr>
        <w:t>not be likely to have an effect that</w:t>
      </w:r>
      <w:r w:rsidR="006C109F" w:rsidRPr="009A69B2">
        <w:rPr>
          <w:rFonts w:cs="Arial"/>
          <w:color w:val="000000"/>
          <w:sz w:val="21"/>
          <w:szCs w:val="21"/>
        </w:rPr>
        <w:t xml:space="preserve"> is harmful to human beings</w:t>
      </w:r>
    </w:p>
    <w:p w:rsidR="00DB0327" w:rsidRPr="009A69B2" w:rsidRDefault="00DB0327"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1"/>
          <w:szCs w:val="21"/>
        </w:rPr>
      </w:pPr>
      <w:r w:rsidRPr="009A69B2">
        <w:rPr>
          <w:rFonts w:cs="Arial"/>
          <w:color w:val="000000"/>
          <w:sz w:val="21"/>
          <w:szCs w:val="21"/>
        </w:rPr>
        <w:t xml:space="preserve">not be likely to have an unintended effect that is harmful to animals, plants </w:t>
      </w:r>
      <w:r w:rsidR="006C109F" w:rsidRPr="009A69B2">
        <w:rPr>
          <w:rFonts w:cs="Arial"/>
          <w:color w:val="000000"/>
          <w:sz w:val="21"/>
          <w:szCs w:val="21"/>
        </w:rPr>
        <w:t>or things or to the environment</w:t>
      </w:r>
    </w:p>
    <w:p w:rsidR="00DB0327" w:rsidRPr="009A69B2" w:rsidRDefault="00DB0327" w:rsidP="004C7241">
      <w:pPr>
        <w:pStyle w:val="ListParagraph"/>
        <w:numPr>
          <w:ilvl w:val="0"/>
          <w:numId w:val="41"/>
        </w:numPr>
        <w:tabs>
          <w:tab w:val="left" w:pos="340"/>
        </w:tabs>
        <w:autoSpaceDE w:val="0"/>
        <w:autoSpaceDN w:val="0"/>
        <w:adjustRightInd w:val="0"/>
        <w:spacing w:before="120" w:after="120"/>
        <w:ind w:left="1208" w:hanging="357"/>
        <w:rPr>
          <w:rFonts w:cs="Arial"/>
          <w:color w:val="000000"/>
          <w:sz w:val="21"/>
          <w:szCs w:val="21"/>
        </w:rPr>
      </w:pPr>
      <w:r w:rsidRPr="009A69B2">
        <w:rPr>
          <w:rFonts w:cs="Arial"/>
          <w:color w:val="000000"/>
          <w:sz w:val="21"/>
          <w:szCs w:val="21"/>
        </w:rPr>
        <w:t>be effective</w:t>
      </w:r>
      <w:r w:rsidR="004A3F8C" w:rsidRPr="009A69B2">
        <w:rPr>
          <w:rFonts w:cs="Arial"/>
          <w:color w:val="000000"/>
          <w:sz w:val="21"/>
          <w:szCs w:val="21"/>
        </w:rPr>
        <w:t>.</w:t>
      </w:r>
    </w:p>
    <w:p w:rsidR="00DB0327" w:rsidRPr="00B75C47" w:rsidRDefault="00DB0327"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The APVMA has an ongoing role in monitoring feedback about adverse reactions to the animal vaccines it has registered. The APVMA assesses this information to ensure those products continue to be safe and effective and may take regulatory action if it determines that it </w:t>
      </w:r>
      <w:r w:rsidR="00D6194E">
        <w:rPr>
          <w:rFonts w:cs="Arial"/>
          <w:sz w:val="22"/>
          <w:szCs w:val="22"/>
        </w:rPr>
        <w:t>can</w:t>
      </w:r>
      <w:r w:rsidR="00D6194E" w:rsidRPr="00B75C47">
        <w:rPr>
          <w:rFonts w:cs="Arial"/>
          <w:sz w:val="22"/>
          <w:szCs w:val="22"/>
        </w:rPr>
        <w:t xml:space="preserve"> </w:t>
      </w:r>
      <w:r w:rsidRPr="00B75C47">
        <w:rPr>
          <w:rFonts w:cs="Arial"/>
          <w:sz w:val="22"/>
          <w:szCs w:val="22"/>
        </w:rPr>
        <w:t>no longer be satisfied</w:t>
      </w:r>
      <w:r w:rsidR="00D6194E">
        <w:rPr>
          <w:rFonts w:cs="Arial"/>
          <w:sz w:val="22"/>
          <w:szCs w:val="22"/>
        </w:rPr>
        <w:t xml:space="preserve"> these requirements are met</w:t>
      </w:r>
      <w:r w:rsidRPr="00B75C47">
        <w:rPr>
          <w:rFonts w:cs="Arial"/>
          <w:sz w:val="22"/>
          <w:szCs w:val="22"/>
        </w:rPr>
        <w:t>.  The APVMA website indicates that certain side effects may be expected and are typical of many vaccines.</w:t>
      </w:r>
      <w:r w:rsidR="008E0B93" w:rsidRPr="008E0B93">
        <w:rPr>
          <w:rStyle w:val="FootnoteReference"/>
          <w:rFonts w:cs="Arial"/>
          <w:sz w:val="22"/>
          <w:szCs w:val="22"/>
        </w:rPr>
        <w:t xml:space="preserve"> </w:t>
      </w:r>
      <w:r w:rsidR="008E0B93">
        <w:rPr>
          <w:rStyle w:val="FootnoteReference"/>
          <w:rFonts w:cs="Arial"/>
          <w:sz w:val="22"/>
          <w:szCs w:val="22"/>
        </w:rPr>
        <w:footnoteReference w:id="5"/>
      </w:r>
      <w:r w:rsidRPr="00B75C47">
        <w:rPr>
          <w:rFonts w:cs="Arial"/>
          <w:sz w:val="22"/>
          <w:szCs w:val="22"/>
        </w:rPr>
        <w:t xml:space="preserve"> The ACCC understands that the APVMA </w:t>
      </w:r>
      <w:r w:rsidR="00930F3B" w:rsidRPr="00B75C47">
        <w:rPr>
          <w:rFonts w:cs="Arial"/>
          <w:sz w:val="22"/>
          <w:szCs w:val="22"/>
        </w:rPr>
        <w:t xml:space="preserve">presently </w:t>
      </w:r>
      <w:r w:rsidRPr="00B75C47">
        <w:rPr>
          <w:rFonts w:cs="Arial"/>
          <w:sz w:val="22"/>
          <w:szCs w:val="22"/>
        </w:rPr>
        <w:t>remains satisfied with the vaccine’s registration</w:t>
      </w:r>
      <w:r w:rsidR="00A75C56" w:rsidRPr="00B75C47">
        <w:rPr>
          <w:rFonts w:cs="Arial"/>
          <w:sz w:val="22"/>
          <w:szCs w:val="22"/>
        </w:rPr>
        <w:t xml:space="preserve"> and that the level of </w:t>
      </w:r>
      <w:r w:rsidR="00FE0585">
        <w:rPr>
          <w:rFonts w:cs="Arial"/>
          <w:sz w:val="22"/>
          <w:szCs w:val="22"/>
        </w:rPr>
        <w:t>“probable” and “possible”</w:t>
      </w:r>
      <w:r w:rsidR="00A75C56" w:rsidRPr="00B75C47">
        <w:rPr>
          <w:rFonts w:cs="Arial"/>
          <w:sz w:val="22"/>
          <w:szCs w:val="22"/>
        </w:rPr>
        <w:t xml:space="preserve"> adverse reactions remains within a normal range for a relatively new vaccine</w:t>
      </w:r>
      <w:r w:rsidRPr="00B75C47">
        <w:rPr>
          <w:rFonts w:cs="Arial"/>
          <w:sz w:val="22"/>
          <w:szCs w:val="22"/>
        </w:rPr>
        <w:t>.</w:t>
      </w:r>
      <w:r w:rsidR="00A75C56" w:rsidRPr="00B75C47">
        <w:rPr>
          <w:rFonts w:cs="Arial"/>
          <w:sz w:val="22"/>
          <w:szCs w:val="22"/>
        </w:rPr>
        <w:t xml:space="preserve"> </w:t>
      </w:r>
    </w:p>
    <w:p w:rsidR="00367F01" w:rsidRDefault="00A75C56" w:rsidP="00A076F6">
      <w:pPr>
        <w:numPr>
          <w:ilvl w:val="1"/>
          <w:numId w:val="69"/>
        </w:numPr>
        <w:tabs>
          <w:tab w:val="left" w:pos="851"/>
        </w:tabs>
        <w:spacing w:after="240"/>
        <w:ind w:left="851" w:hanging="851"/>
        <w:rPr>
          <w:rFonts w:cs="Arial"/>
          <w:sz w:val="22"/>
          <w:szCs w:val="22"/>
        </w:rPr>
      </w:pPr>
      <w:r w:rsidRPr="00D6194E">
        <w:rPr>
          <w:rFonts w:cs="Arial"/>
          <w:sz w:val="22"/>
          <w:szCs w:val="22"/>
        </w:rPr>
        <w:t>The ACCC understands that should substantiated adverse reactions to</w:t>
      </w:r>
      <w:r w:rsidRPr="00A076F6">
        <w:rPr>
          <w:rFonts w:cs="Arial"/>
          <w:sz w:val="22"/>
          <w:szCs w:val="22"/>
        </w:rPr>
        <w:t xml:space="preserve"> the vaccine reach a </w:t>
      </w:r>
      <w:r w:rsidR="00930F3B" w:rsidRPr="00A076F6">
        <w:rPr>
          <w:rFonts w:cs="Arial"/>
          <w:sz w:val="22"/>
          <w:szCs w:val="22"/>
        </w:rPr>
        <w:t xml:space="preserve">certain </w:t>
      </w:r>
      <w:r w:rsidRPr="00A076F6">
        <w:rPr>
          <w:rFonts w:cs="Arial"/>
          <w:sz w:val="22"/>
          <w:szCs w:val="22"/>
        </w:rPr>
        <w:t xml:space="preserve">level, </w:t>
      </w:r>
      <w:r w:rsidR="00912EB3" w:rsidRPr="00915507">
        <w:rPr>
          <w:rFonts w:cs="Arial"/>
          <w:sz w:val="22"/>
          <w:szCs w:val="22"/>
        </w:rPr>
        <w:t>it</w:t>
      </w:r>
      <w:r w:rsidR="00D67DA8" w:rsidRPr="00915507">
        <w:rPr>
          <w:rFonts w:cs="Arial"/>
          <w:sz w:val="22"/>
          <w:szCs w:val="22"/>
        </w:rPr>
        <w:t xml:space="preserve"> </w:t>
      </w:r>
      <w:r w:rsidRPr="00D53B90">
        <w:rPr>
          <w:rFonts w:cs="Arial"/>
          <w:sz w:val="22"/>
          <w:szCs w:val="22"/>
        </w:rPr>
        <w:t>will trigger a review of the vaccine’s registration</w:t>
      </w:r>
      <w:r w:rsidR="00912EB3" w:rsidRPr="00D53B90">
        <w:rPr>
          <w:rFonts w:cs="Arial"/>
          <w:sz w:val="22"/>
          <w:szCs w:val="22"/>
        </w:rPr>
        <w:t xml:space="preserve"> by the APVMA</w:t>
      </w:r>
      <w:r w:rsidRPr="00D53B90">
        <w:rPr>
          <w:rFonts w:cs="Arial"/>
          <w:sz w:val="22"/>
          <w:szCs w:val="22"/>
        </w:rPr>
        <w:t xml:space="preserve">. </w:t>
      </w:r>
      <w:r w:rsidR="00001F1D" w:rsidRPr="003C2DCF">
        <w:rPr>
          <w:rFonts w:cs="Arial"/>
          <w:sz w:val="22"/>
          <w:szCs w:val="22"/>
        </w:rPr>
        <w:t>If at any time the APVMA were to form the view that the Hendra vaccine should no longer be registered due to the nature or level of adverse reactions t</w:t>
      </w:r>
      <w:r w:rsidR="00001F1D" w:rsidRPr="00B40619">
        <w:rPr>
          <w:rFonts w:cs="Arial"/>
          <w:sz w:val="22"/>
          <w:szCs w:val="22"/>
        </w:rPr>
        <w:t>hat were occurring, the ACCC would expect EA to cease requiring vaccination as a condition of entry to events</w:t>
      </w:r>
      <w:r w:rsidR="00D6194E" w:rsidRPr="00B40619">
        <w:rPr>
          <w:rFonts w:cs="Arial"/>
          <w:sz w:val="22"/>
          <w:szCs w:val="22"/>
        </w:rPr>
        <w:t>.</w:t>
      </w:r>
      <w:r w:rsidR="00FF7DF0">
        <w:rPr>
          <w:rFonts w:cs="Arial"/>
          <w:sz w:val="22"/>
          <w:szCs w:val="22"/>
        </w:rPr>
        <w:t xml:space="preserve"> </w:t>
      </w:r>
    </w:p>
    <w:p w:rsidR="006C109F" w:rsidRPr="00261D5E" w:rsidRDefault="006C109F" w:rsidP="00F258B6">
      <w:pPr>
        <w:numPr>
          <w:ilvl w:val="1"/>
          <w:numId w:val="69"/>
        </w:numPr>
        <w:tabs>
          <w:tab w:val="left" w:pos="851"/>
        </w:tabs>
        <w:spacing w:after="240"/>
        <w:ind w:left="851" w:hanging="851"/>
        <w:rPr>
          <w:rFonts w:cs="Arial"/>
          <w:sz w:val="22"/>
          <w:szCs w:val="22"/>
        </w:rPr>
      </w:pPr>
      <w:r w:rsidRPr="00F258B6">
        <w:rPr>
          <w:rFonts w:cs="Arial"/>
          <w:sz w:val="22"/>
          <w:szCs w:val="22"/>
        </w:rPr>
        <w:t xml:space="preserve">The ACCC </w:t>
      </w:r>
      <w:r w:rsidR="00D6194E" w:rsidRPr="00F258B6">
        <w:rPr>
          <w:rFonts w:cs="Arial"/>
          <w:sz w:val="22"/>
          <w:szCs w:val="22"/>
        </w:rPr>
        <w:t xml:space="preserve">has carefully considered the submissions from many concerned parties to </w:t>
      </w:r>
      <w:r w:rsidR="00A076F6" w:rsidRPr="00261D5E">
        <w:rPr>
          <w:rFonts w:cs="Arial"/>
          <w:sz w:val="22"/>
          <w:szCs w:val="22"/>
        </w:rPr>
        <w:t xml:space="preserve">the effect that there have been a significant number of adverse reactions to the Hendra vaccine. The ACCC </w:t>
      </w:r>
      <w:r w:rsidRPr="00261D5E">
        <w:rPr>
          <w:rFonts w:cs="Arial"/>
          <w:sz w:val="22"/>
          <w:szCs w:val="22"/>
        </w:rPr>
        <w:t xml:space="preserve">considers that </w:t>
      </w:r>
      <w:r w:rsidR="00315F2D" w:rsidRPr="00261D5E">
        <w:rPr>
          <w:rFonts w:cs="Arial"/>
          <w:sz w:val="22"/>
          <w:szCs w:val="22"/>
        </w:rPr>
        <w:t xml:space="preserve">potential </w:t>
      </w:r>
      <w:r w:rsidRPr="00261D5E">
        <w:rPr>
          <w:rFonts w:cs="Arial"/>
          <w:sz w:val="22"/>
          <w:szCs w:val="22"/>
        </w:rPr>
        <w:t xml:space="preserve">adverse reactions to the vaccine are a </w:t>
      </w:r>
      <w:r w:rsidR="00A75C56" w:rsidRPr="00261D5E">
        <w:rPr>
          <w:rFonts w:cs="Arial"/>
          <w:sz w:val="22"/>
          <w:szCs w:val="22"/>
        </w:rPr>
        <w:t xml:space="preserve">relevant </w:t>
      </w:r>
      <w:r w:rsidRPr="00261D5E">
        <w:rPr>
          <w:rFonts w:cs="Arial"/>
          <w:sz w:val="22"/>
          <w:szCs w:val="22"/>
        </w:rPr>
        <w:t>public detriment in circumstances where</w:t>
      </w:r>
      <w:r w:rsidR="00315F2D" w:rsidRPr="00261D5E">
        <w:rPr>
          <w:rFonts w:cs="Arial"/>
          <w:sz w:val="22"/>
          <w:szCs w:val="22"/>
        </w:rPr>
        <w:t>, as a result of the notified conduct, unvaccinated horses may</w:t>
      </w:r>
      <w:r w:rsidR="00F258B6" w:rsidRPr="00261D5E">
        <w:rPr>
          <w:rFonts w:cs="Arial"/>
          <w:sz w:val="22"/>
          <w:szCs w:val="22"/>
        </w:rPr>
        <w:t xml:space="preserve"> otherwise</w:t>
      </w:r>
      <w:r w:rsidR="00315F2D" w:rsidRPr="00261D5E">
        <w:rPr>
          <w:rFonts w:cs="Arial"/>
          <w:sz w:val="22"/>
          <w:szCs w:val="22"/>
        </w:rPr>
        <w:t xml:space="preserve"> be excluded from participating in</w:t>
      </w:r>
      <w:r w:rsidR="00315F2D" w:rsidRPr="00261D5E">
        <w:rPr>
          <w:rFonts w:cs="Arial"/>
          <w:szCs w:val="24"/>
        </w:rPr>
        <w:t xml:space="preserve"> </w:t>
      </w:r>
      <w:r w:rsidR="00401572" w:rsidRPr="00401572">
        <w:rPr>
          <w:rFonts w:cs="Arial"/>
          <w:sz w:val="22"/>
          <w:szCs w:val="22"/>
        </w:rPr>
        <w:t>equestrian e</w:t>
      </w:r>
      <w:r w:rsidR="00315F2D" w:rsidRPr="00401572">
        <w:rPr>
          <w:rFonts w:cs="Arial"/>
          <w:sz w:val="22"/>
          <w:szCs w:val="22"/>
        </w:rPr>
        <w:t>vents</w:t>
      </w:r>
      <w:r w:rsidR="00315F2D" w:rsidRPr="00F258B6">
        <w:rPr>
          <w:rFonts w:cs="Arial"/>
          <w:sz w:val="22"/>
          <w:szCs w:val="22"/>
        </w:rPr>
        <w:t>.</w:t>
      </w:r>
      <w:r w:rsidR="00367F01" w:rsidRPr="00F258B6">
        <w:rPr>
          <w:rFonts w:cs="Arial"/>
          <w:sz w:val="22"/>
          <w:szCs w:val="22"/>
        </w:rPr>
        <w:t xml:space="preserve"> </w:t>
      </w:r>
      <w:r w:rsidR="00A076F6" w:rsidRPr="00261D5E">
        <w:rPr>
          <w:rFonts w:cs="Arial"/>
          <w:sz w:val="22"/>
          <w:szCs w:val="22"/>
        </w:rPr>
        <w:t>T</w:t>
      </w:r>
      <w:r w:rsidR="00315F2D" w:rsidRPr="00261D5E">
        <w:rPr>
          <w:rFonts w:cs="Arial"/>
          <w:sz w:val="22"/>
          <w:szCs w:val="22"/>
        </w:rPr>
        <w:t>he ACCC</w:t>
      </w:r>
      <w:r w:rsidR="00A076F6" w:rsidRPr="00261D5E">
        <w:rPr>
          <w:rFonts w:cs="Arial"/>
          <w:sz w:val="22"/>
          <w:szCs w:val="22"/>
        </w:rPr>
        <w:t xml:space="preserve"> </w:t>
      </w:r>
      <w:r w:rsidR="00315F2D" w:rsidRPr="00261D5E">
        <w:rPr>
          <w:rFonts w:cs="Arial"/>
          <w:sz w:val="22"/>
          <w:szCs w:val="22"/>
        </w:rPr>
        <w:t>no</w:t>
      </w:r>
      <w:r w:rsidR="00401572">
        <w:rPr>
          <w:rFonts w:cs="Arial"/>
          <w:sz w:val="22"/>
          <w:szCs w:val="22"/>
        </w:rPr>
        <w:t>tes that participation in some e</w:t>
      </w:r>
      <w:r w:rsidRPr="00261D5E">
        <w:rPr>
          <w:rFonts w:cs="Arial"/>
          <w:sz w:val="22"/>
          <w:szCs w:val="22"/>
        </w:rPr>
        <w:t xml:space="preserve">vents </w:t>
      </w:r>
      <w:r w:rsidR="00315F2D" w:rsidRPr="00261D5E">
        <w:rPr>
          <w:rFonts w:cs="Arial"/>
          <w:sz w:val="22"/>
          <w:szCs w:val="22"/>
        </w:rPr>
        <w:t>may be</w:t>
      </w:r>
      <w:r w:rsidRPr="00261D5E">
        <w:rPr>
          <w:rFonts w:cs="Arial"/>
          <w:sz w:val="22"/>
          <w:szCs w:val="22"/>
        </w:rPr>
        <w:t xml:space="preserve"> critical to </w:t>
      </w:r>
      <w:r w:rsidR="00315F2D" w:rsidRPr="00261D5E">
        <w:rPr>
          <w:rFonts w:cs="Arial"/>
          <w:sz w:val="22"/>
          <w:szCs w:val="22"/>
        </w:rPr>
        <w:t>the accumulation of</w:t>
      </w:r>
      <w:r w:rsidRPr="00261D5E">
        <w:rPr>
          <w:rFonts w:cs="Arial"/>
          <w:sz w:val="22"/>
          <w:szCs w:val="22"/>
        </w:rPr>
        <w:t xml:space="preserve"> points </w:t>
      </w:r>
      <w:r w:rsidR="00315F2D" w:rsidRPr="00261D5E">
        <w:rPr>
          <w:rFonts w:cs="Arial"/>
          <w:sz w:val="22"/>
          <w:szCs w:val="22"/>
        </w:rPr>
        <w:t xml:space="preserve">required for qualification </w:t>
      </w:r>
      <w:r w:rsidRPr="00261D5E">
        <w:rPr>
          <w:rFonts w:cs="Arial"/>
          <w:sz w:val="22"/>
          <w:szCs w:val="22"/>
        </w:rPr>
        <w:t>for international competitions</w:t>
      </w:r>
      <w:r w:rsidR="00401572">
        <w:rPr>
          <w:rFonts w:cs="Arial"/>
          <w:sz w:val="22"/>
          <w:szCs w:val="22"/>
        </w:rPr>
        <w:t xml:space="preserve"> a</w:t>
      </w:r>
      <w:r w:rsidR="00401572" w:rsidRPr="00261D5E">
        <w:rPr>
          <w:rFonts w:cs="Arial"/>
          <w:sz w:val="22"/>
          <w:szCs w:val="22"/>
        </w:rPr>
        <w:t>nd hence owners may feel compelled to vaccinate</w:t>
      </w:r>
      <w:r w:rsidR="00401572">
        <w:rPr>
          <w:rFonts w:cs="Arial"/>
          <w:sz w:val="22"/>
          <w:szCs w:val="22"/>
        </w:rPr>
        <w:t xml:space="preserve"> their horse when they otherwise might not</w:t>
      </w:r>
      <w:r w:rsidRPr="00261D5E">
        <w:rPr>
          <w:rFonts w:cs="Arial"/>
          <w:sz w:val="22"/>
          <w:szCs w:val="22"/>
        </w:rPr>
        <w:t>.</w:t>
      </w:r>
    </w:p>
    <w:p w:rsidR="00F64648" w:rsidRPr="00B75C47" w:rsidRDefault="00F64648" w:rsidP="009A69B2">
      <w:pPr>
        <w:numPr>
          <w:ilvl w:val="1"/>
          <w:numId w:val="69"/>
        </w:numPr>
        <w:tabs>
          <w:tab w:val="left" w:pos="851"/>
        </w:tabs>
        <w:spacing w:after="240"/>
        <w:ind w:left="851" w:hanging="851"/>
        <w:rPr>
          <w:rFonts w:cs="Arial"/>
          <w:sz w:val="22"/>
          <w:szCs w:val="22"/>
        </w:rPr>
      </w:pPr>
      <w:r w:rsidRPr="00B75C47">
        <w:rPr>
          <w:rFonts w:cs="Arial"/>
          <w:sz w:val="22"/>
          <w:szCs w:val="22"/>
        </w:rPr>
        <w:t xml:space="preserve">Submissions have </w:t>
      </w:r>
      <w:r w:rsidR="0031337D" w:rsidRPr="00B75C47">
        <w:rPr>
          <w:rFonts w:cs="Arial"/>
          <w:sz w:val="22"/>
          <w:szCs w:val="22"/>
        </w:rPr>
        <w:t xml:space="preserve">also </w:t>
      </w:r>
      <w:r w:rsidRPr="00B75C47">
        <w:rPr>
          <w:rFonts w:cs="Arial"/>
          <w:sz w:val="22"/>
          <w:szCs w:val="22"/>
        </w:rPr>
        <w:t>expressed concern at the significant cost of vaccination – particularly where</w:t>
      </w:r>
      <w:r w:rsidR="00315F2D" w:rsidRPr="00B75C47">
        <w:rPr>
          <w:rFonts w:cs="Arial"/>
          <w:sz w:val="22"/>
          <w:szCs w:val="22"/>
        </w:rPr>
        <w:t xml:space="preserve"> some interested</w:t>
      </w:r>
      <w:r w:rsidRPr="00B75C47">
        <w:rPr>
          <w:rFonts w:cs="Arial"/>
          <w:sz w:val="22"/>
          <w:szCs w:val="22"/>
        </w:rPr>
        <w:t xml:space="preserve"> parties consider it, at best, unnecessary and, at worst, potentially harmful.</w:t>
      </w:r>
      <w:r w:rsidR="006C109F" w:rsidRPr="00B75C47">
        <w:rPr>
          <w:rFonts w:cs="Arial"/>
          <w:sz w:val="22"/>
          <w:szCs w:val="22"/>
        </w:rPr>
        <w:t xml:space="preserve"> Concerns have been raised that the current </w:t>
      </w:r>
      <w:r w:rsidR="00A15463">
        <w:rPr>
          <w:rFonts w:cs="Arial"/>
          <w:sz w:val="22"/>
          <w:szCs w:val="22"/>
        </w:rPr>
        <w:t>six</w:t>
      </w:r>
      <w:r w:rsidR="006C109F" w:rsidRPr="00B75C47">
        <w:rPr>
          <w:rFonts w:cs="Arial"/>
          <w:sz w:val="22"/>
          <w:szCs w:val="22"/>
        </w:rPr>
        <w:t xml:space="preserve"> monthly booster requirements are unnecessary and that significant costs could be avoided by moving to annual boosters. The ACCC understands that </w:t>
      </w:r>
      <w:r w:rsidR="00A75C56" w:rsidRPr="00B75C47">
        <w:rPr>
          <w:rFonts w:cs="Arial"/>
          <w:sz w:val="22"/>
          <w:szCs w:val="22"/>
        </w:rPr>
        <w:t xml:space="preserve">there is research being undertaken to </w:t>
      </w:r>
      <w:r w:rsidR="00F64AA9">
        <w:rPr>
          <w:rFonts w:cs="Arial"/>
          <w:sz w:val="22"/>
          <w:szCs w:val="22"/>
        </w:rPr>
        <w:t xml:space="preserve">determine whether booster requirements can be effective at </w:t>
      </w:r>
      <w:r w:rsidR="00A15463">
        <w:rPr>
          <w:rFonts w:cs="Arial"/>
          <w:sz w:val="22"/>
          <w:szCs w:val="22"/>
        </w:rPr>
        <w:t>twelve</w:t>
      </w:r>
      <w:r w:rsidR="00F64AA9">
        <w:rPr>
          <w:rFonts w:cs="Arial"/>
          <w:sz w:val="22"/>
          <w:szCs w:val="22"/>
        </w:rPr>
        <w:t xml:space="preserve"> monthly intervals rather than six.</w:t>
      </w:r>
      <w:r w:rsidR="00A75C56" w:rsidRPr="00B75C47">
        <w:rPr>
          <w:rFonts w:cs="Arial"/>
          <w:sz w:val="22"/>
          <w:szCs w:val="22"/>
        </w:rPr>
        <w:t xml:space="preserve"> </w:t>
      </w:r>
    </w:p>
    <w:p w:rsidR="00A076F6" w:rsidRDefault="00A076F6" w:rsidP="009A69B2">
      <w:pPr>
        <w:numPr>
          <w:ilvl w:val="1"/>
          <w:numId w:val="69"/>
        </w:numPr>
        <w:tabs>
          <w:tab w:val="left" w:pos="851"/>
        </w:tabs>
        <w:spacing w:after="240"/>
        <w:ind w:left="851" w:hanging="851"/>
        <w:rPr>
          <w:rFonts w:cs="Arial"/>
          <w:sz w:val="22"/>
          <w:szCs w:val="22"/>
        </w:rPr>
      </w:pPr>
      <w:r>
        <w:rPr>
          <w:rFonts w:cs="Arial"/>
          <w:sz w:val="22"/>
          <w:szCs w:val="22"/>
        </w:rPr>
        <w:t>T</w:t>
      </w:r>
      <w:r w:rsidR="0031337D" w:rsidRPr="00B75C47">
        <w:rPr>
          <w:rFonts w:cs="Arial"/>
          <w:sz w:val="22"/>
          <w:szCs w:val="22"/>
        </w:rPr>
        <w:t xml:space="preserve">he ACCC considers that the </w:t>
      </w:r>
      <w:r>
        <w:rPr>
          <w:rFonts w:cs="Arial"/>
          <w:sz w:val="22"/>
          <w:szCs w:val="22"/>
        </w:rPr>
        <w:t xml:space="preserve">cost imposed on Entrants by any </w:t>
      </w:r>
      <w:r w:rsidR="0031337D" w:rsidRPr="00B75C47">
        <w:rPr>
          <w:rFonts w:cs="Arial"/>
          <w:sz w:val="22"/>
          <w:szCs w:val="22"/>
        </w:rPr>
        <w:t>requirement that horses be vaccinated</w:t>
      </w:r>
      <w:r>
        <w:rPr>
          <w:rFonts w:cs="Arial"/>
          <w:sz w:val="22"/>
          <w:szCs w:val="22"/>
        </w:rPr>
        <w:t>,</w:t>
      </w:r>
      <w:r w:rsidR="0031337D" w:rsidRPr="00B75C47">
        <w:rPr>
          <w:rFonts w:cs="Arial"/>
          <w:sz w:val="22"/>
          <w:szCs w:val="22"/>
        </w:rPr>
        <w:t xml:space="preserve"> as a condition of entry to particular equestrian events</w:t>
      </w:r>
      <w:r>
        <w:rPr>
          <w:rFonts w:cs="Arial"/>
          <w:sz w:val="22"/>
          <w:szCs w:val="22"/>
        </w:rPr>
        <w:t>,</w:t>
      </w:r>
      <w:r w:rsidR="0031337D" w:rsidRPr="00B75C47">
        <w:rPr>
          <w:rFonts w:cs="Arial"/>
          <w:sz w:val="22"/>
          <w:szCs w:val="22"/>
        </w:rPr>
        <w:t xml:space="preserve"> </w:t>
      </w:r>
      <w:r w:rsidR="00401572">
        <w:rPr>
          <w:rFonts w:cs="Arial"/>
          <w:sz w:val="22"/>
          <w:szCs w:val="22"/>
        </w:rPr>
        <w:t>including any financial impact from a decrease in the value of an elite competition or breeding horse,</w:t>
      </w:r>
      <w:r w:rsidR="00401572" w:rsidRPr="00B75C47">
        <w:rPr>
          <w:rFonts w:cs="Arial"/>
          <w:sz w:val="22"/>
          <w:szCs w:val="22"/>
        </w:rPr>
        <w:t xml:space="preserve"> </w:t>
      </w:r>
      <w:r w:rsidR="0031337D" w:rsidRPr="00B75C47">
        <w:rPr>
          <w:rFonts w:cs="Arial"/>
          <w:sz w:val="22"/>
          <w:szCs w:val="22"/>
        </w:rPr>
        <w:t xml:space="preserve">is </w:t>
      </w:r>
      <w:r>
        <w:rPr>
          <w:rFonts w:cs="Arial"/>
          <w:sz w:val="22"/>
          <w:szCs w:val="22"/>
        </w:rPr>
        <w:t xml:space="preserve">also </w:t>
      </w:r>
      <w:r w:rsidR="0031337D" w:rsidRPr="00B75C47">
        <w:rPr>
          <w:rFonts w:cs="Arial"/>
          <w:sz w:val="22"/>
          <w:szCs w:val="22"/>
        </w:rPr>
        <w:t xml:space="preserve">likely to </w:t>
      </w:r>
      <w:r>
        <w:rPr>
          <w:rFonts w:cs="Arial"/>
          <w:sz w:val="22"/>
          <w:szCs w:val="22"/>
        </w:rPr>
        <w:t xml:space="preserve">be a material public </w:t>
      </w:r>
      <w:r w:rsidR="0031337D" w:rsidRPr="00B75C47">
        <w:rPr>
          <w:rFonts w:cs="Arial"/>
          <w:sz w:val="22"/>
          <w:szCs w:val="22"/>
        </w:rPr>
        <w:t>detriment</w:t>
      </w:r>
      <w:r>
        <w:rPr>
          <w:rFonts w:cs="Arial"/>
          <w:sz w:val="22"/>
          <w:szCs w:val="22"/>
        </w:rPr>
        <w:t>.</w:t>
      </w:r>
    </w:p>
    <w:p w:rsidR="00BE521A" w:rsidRPr="00EF7BF0" w:rsidRDefault="00915507" w:rsidP="009A69B2">
      <w:pPr>
        <w:pStyle w:val="Heading1"/>
        <w:numPr>
          <w:ilvl w:val="0"/>
          <w:numId w:val="69"/>
        </w:numPr>
        <w:tabs>
          <w:tab w:val="left" w:pos="851"/>
        </w:tabs>
        <w:ind w:left="993" w:hanging="993"/>
        <w:rPr>
          <w:rFonts w:cs="Arial"/>
          <w:sz w:val="28"/>
          <w:szCs w:val="28"/>
          <w:u w:val="none"/>
        </w:rPr>
      </w:pPr>
      <w:r>
        <w:rPr>
          <w:rFonts w:cs="Arial"/>
          <w:sz w:val="28"/>
          <w:szCs w:val="28"/>
          <w:u w:val="none"/>
        </w:rPr>
        <w:t>Weighing the benefits and detriments</w:t>
      </w:r>
    </w:p>
    <w:p w:rsidR="00BE521A" w:rsidRPr="00EF7BF0" w:rsidRDefault="00BE521A" w:rsidP="00BE521A">
      <w:pPr>
        <w:rPr>
          <w:rFonts w:cs="Arial"/>
        </w:rPr>
      </w:pPr>
    </w:p>
    <w:p w:rsidR="00614A14" w:rsidRPr="00B40619" w:rsidRDefault="00614A14" w:rsidP="00A076F6">
      <w:pPr>
        <w:numPr>
          <w:ilvl w:val="1"/>
          <w:numId w:val="69"/>
        </w:numPr>
        <w:tabs>
          <w:tab w:val="left" w:pos="851"/>
        </w:tabs>
        <w:spacing w:after="240"/>
        <w:ind w:left="851" w:hanging="851"/>
        <w:rPr>
          <w:rFonts w:cs="Arial"/>
          <w:sz w:val="22"/>
          <w:szCs w:val="22"/>
        </w:rPr>
      </w:pPr>
      <w:r w:rsidRPr="003C2DCF">
        <w:rPr>
          <w:rFonts w:cs="Arial"/>
          <w:sz w:val="22"/>
          <w:szCs w:val="22"/>
        </w:rPr>
        <w:t xml:space="preserve">In determining whether to </w:t>
      </w:r>
      <w:r w:rsidR="008730C1" w:rsidRPr="003C2DCF">
        <w:rPr>
          <w:rFonts w:cs="Arial"/>
          <w:sz w:val="22"/>
          <w:szCs w:val="22"/>
        </w:rPr>
        <w:t>revoke</w:t>
      </w:r>
      <w:r w:rsidRPr="003C2DCF">
        <w:rPr>
          <w:rFonts w:cs="Arial"/>
          <w:sz w:val="22"/>
          <w:szCs w:val="22"/>
        </w:rPr>
        <w:t xml:space="preserve"> the notification the ACCC must determine whether it is satisfied that the likely benefit to the public from the notified conduct will not outweigh the </w:t>
      </w:r>
      <w:r w:rsidRPr="00B40619">
        <w:rPr>
          <w:rFonts w:cs="Arial"/>
          <w:sz w:val="22"/>
          <w:szCs w:val="22"/>
        </w:rPr>
        <w:t>public detriment.</w:t>
      </w:r>
    </w:p>
    <w:p w:rsidR="00A076F6" w:rsidRPr="00B40619" w:rsidRDefault="00A076F6" w:rsidP="00A076F6">
      <w:pPr>
        <w:numPr>
          <w:ilvl w:val="1"/>
          <w:numId w:val="69"/>
        </w:numPr>
        <w:tabs>
          <w:tab w:val="left" w:pos="851"/>
        </w:tabs>
        <w:spacing w:after="240"/>
        <w:ind w:left="851" w:hanging="851"/>
        <w:rPr>
          <w:rFonts w:cs="Arial"/>
          <w:sz w:val="22"/>
          <w:szCs w:val="22"/>
        </w:rPr>
      </w:pPr>
      <w:r w:rsidRPr="003C2DCF">
        <w:rPr>
          <w:rFonts w:cs="Arial"/>
          <w:sz w:val="22"/>
          <w:szCs w:val="22"/>
        </w:rPr>
        <w:t xml:space="preserve">The ACCC notes that EA, as the representative body for equestrian event participants, is responsible for ensuring an appropriate balance between minimising the risks of potential transmission of the Hendra virus at EA events and the needs of its members to participate in </w:t>
      </w:r>
      <w:hyperlink r:id="rId14" w:history="1">
        <w:r w:rsidRPr="003C2DCF">
          <w:rPr>
            <w:rFonts w:cs="Arial"/>
            <w:sz w:val="22"/>
            <w:szCs w:val="22"/>
          </w:rPr>
          <w:t>Fédération Equestre Internationale</w:t>
        </w:r>
      </w:hyperlink>
      <w:r w:rsidRPr="003C2DCF">
        <w:rPr>
          <w:rFonts w:cs="Arial"/>
          <w:sz w:val="22"/>
          <w:szCs w:val="22"/>
        </w:rPr>
        <w:t xml:space="preserve"> recognised events to quali</w:t>
      </w:r>
      <w:r w:rsidRPr="00B40619">
        <w:rPr>
          <w:rFonts w:cs="Arial"/>
          <w:sz w:val="22"/>
          <w:szCs w:val="22"/>
        </w:rPr>
        <w:t xml:space="preserve">fy for international competitions. </w:t>
      </w:r>
    </w:p>
    <w:p w:rsidR="00A076F6" w:rsidRPr="003C2DCF" w:rsidRDefault="00A076F6" w:rsidP="00A076F6">
      <w:pPr>
        <w:numPr>
          <w:ilvl w:val="1"/>
          <w:numId w:val="69"/>
        </w:numPr>
        <w:tabs>
          <w:tab w:val="left" w:pos="851"/>
        </w:tabs>
        <w:spacing w:after="240"/>
        <w:ind w:left="851" w:hanging="851"/>
        <w:rPr>
          <w:rFonts w:cs="Arial"/>
          <w:sz w:val="22"/>
          <w:szCs w:val="22"/>
        </w:rPr>
      </w:pPr>
      <w:r w:rsidRPr="003C2DCF">
        <w:rPr>
          <w:rFonts w:cs="Arial"/>
          <w:sz w:val="22"/>
          <w:szCs w:val="22"/>
        </w:rPr>
        <w:t xml:space="preserve">The ACCC </w:t>
      </w:r>
      <w:r w:rsidR="00D53B90" w:rsidRPr="003C2DCF">
        <w:rPr>
          <w:rFonts w:cs="Arial"/>
          <w:sz w:val="22"/>
          <w:szCs w:val="22"/>
        </w:rPr>
        <w:t xml:space="preserve">further </w:t>
      </w:r>
      <w:r w:rsidR="008730C1" w:rsidRPr="003C2DCF">
        <w:rPr>
          <w:rFonts w:cs="Arial"/>
          <w:sz w:val="22"/>
          <w:szCs w:val="22"/>
        </w:rPr>
        <w:t>notes</w:t>
      </w:r>
      <w:r w:rsidRPr="003C2DCF">
        <w:rPr>
          <w:rFonts w:cs="Arial"/>
          <w:sz w:val="22"/>
          <w:szCs w:val="22"/>
        </w:rPr>
        <w:t xml:space="preserve"> that the Entry Condition will only be imposed if supported by a biosecurity risk assessment consistent with the </w:t>
      </w:r>
      <w:r w:rsidRPr="003C2DCF">
        <w:rPr>
          <w:rFonts w:cs="Arial"/>
          <w:i/>
          <w:sz w:val="22"/>
          <w:szCs w:val="22"/>
        </w:rPr>
        <w:t>Horse Venue Biosecurity Workbook</w:t>
      </w:r>
      <w:r w:rsidRPr="003C2DCF">
        <w:rPr>
          <w:rFonts w:cs="Arial"/>
          <w:sz w:val="22"/>
          <w:szCs w:val="22"/>
        </w:rPr>
        <w:t xml:space="preserve"> published by Animal Health Australia.</w:t>
      </w:r>
    </w:p>
    <w:p w:rsidR="003C2DCF" w:rsidRPr="003C2DCF" w:rsidRDefault="003C2DCF" w:rsidP="00A076F6">
      <w:pPr>
        <w:numPr>
          <w:ilvl w:val="1"/>
          <w:numId w:val="69"/>
        </w:numPr>
        <w:tabs>
          <w:tab w:val="left" w:pos="851"/>
        </w:tabs>
        <w:spacing w:after="240"/>
        <w:ind w:left="851" w:hanging="851"/>
        <w:rPr>
          <w:rFonts w:cs="Arial"/>
          <w:sz w:val="22"/>
          <w:szCs w:val="22"/>
        </w:rPr>
      </w:pPr>
      <w:r w:rsidRPr="009A56B3">
        <w:rPr>
          <w:sz w:val="22"/>
          <w:szCs w:val="22"/>
        </w:rPr>
        <w:t xml:space="preserve">The </w:t>
      </w:r>
      <w:r w:rsidR="009F6256">
        <w:rPr>
          <w:sz w:val="22"/>
          <w:szCs w:val="22"/>
        </w:rPr>
        <w:t>N</w:t>
      </w:r>
      <w:r w:rsidRPr="009A56B3">
        <w:rPr>
          <w:sz w:val="22"/>
          <w:szCs w:val="22"/>
        </w:rPr>
        <w:t>otification does not impose a</w:t>
      </w:r>
      <w:r>
        <w:rPr>
          <w:sz w:val="22"/>
          <w:szCs w:val="22"/>
        </w:rPr>
        <w:t>ny</w:t>
      </w:r>
      <w:r w:rsidRPr="009A56B3">
        <w:rPr>
          <w:sz w:val="22"/>
          <w:szCs w:val="22"/>
        </w:rPr>
        <w:t xml:space="preserve"> general requirement that participants in equestrian events vaccinate their horses against the Hendra virus. Nor does it oblige Organising Committees of particular events to impose such a requirement. Similarly, </w:t>
      </w:r>
      <w:r>
        <w:rPr>
          <w:sz w:val="22"/>
          <w:szCs w:val="22"/>
        </w:rPr>
        <w:t>the</w:t>
      </w:r>
      <w:r w:rsidRPr="009A56B3">
        <w:rPr>
          <w:sz w:val="22"/>
          <w:szCs w:val="22"/>
        </w:rPr>
        <w:t xml:space="preserve"> </w:t>
      </w:r>
      <w:r w:rsidR="009F6256">
        <w:rPr>
          <w:sz w:val="22"/>
          <w:szCs w:val="22"/>
        </w:rPr>
        <w:t>N</w:t>
      </w:r>
      <w:r w:rsidRPr="009A56B3">
        <w:rPr>
          <w:sz w:val="22"/>
          <w:szCs w:val="22"/>
        </w:rPr>
        <w:t>otification does not affect anyone’s existing legal rights, other than removing the ability for</w:t>
      </w:r>
      <w:r w:rsidRPr="003C2DCF">
        <w:rPr>
          <w:sz w:val="22"/>
          <w:szCs w:val="22"/>
        </w:rPr>
        <w:t xml:space="preserve"> EA to be challenged under the </w:t>
      </w:r>
      <w:r>
        <w:rPr>
          <w:sz w:val="22"/>
          <w:szCs w:val="22"/>
        </w:rPr>
        <w:t>c</w:t>
      </w:r>
      <w:r w:rsidRPr="003C2DCF">
        <w:rPr>
          <w:sz w:val="22"/>
          <w:szCs w:val="22"/>
        </w:rPr>
        <w:t xml:space="preserve">ompetition </w:t>
      </w:r>
      <w:r>
        <w:rPr>
          <w:sz w:val="22"/>
          <w:szCs w:val="22"/>
        </w:rPr>
        <w:t>l</w:t>
      </w:r>
      <w:r w:rsidRPr="009A56B3">
        <w:rPr>
          <w:sz w:val="22"/>
          <w:szCs w:val="22"/>
        </w:rPr>
        <w:t>aw for third line forcing.</w:t>
      </w:r>
    </w:p>
    <w:p w:rsidR="003C2DCF" w:rsidRPr="003C2DCF" w:rsidRDefault="003C2DCF" w:rsidP="00D53B90">
      <w:pPr>
        <w:numPr>
          <w:ilvl w:val="1"/>
          <w:numId w:val="69"/>
        </w:numPr>
        <w:tabs>
          <w:tab w:val="left" w:pos="851"/>
        </w:tabs>
        <w:spacing w:after="240"/>
        <w:ind w:left="851" w:hanging="851"/>
        <w:rPr>
          <w:rFonts w:cs="Arial"/>
          <w:sz w:val="22"/>
          <w:szCs w:val="22"/>
        </w:rPr>
      </w:pPr>
      <w:r>
        <w:rPr>
          <w:rFonts w:cs="Arial"/>
          <w:sz w:val="22"/>
          <w:szCs w:val="22"/>
        </w:rPr>
        <w:t>Accordingly, a</w:t>
      </w:r>
      <w:r w:rsidR="00D53B90" w:rsidRPr="003C2DCF">
        <w:rPr>
          <w:rFonts w:cs="Arial"/>
          <w:sz w:val="22"/>
          <w:szCs w:val="22"/>
        </w:rPr>
        <w:t xml:space="preserve">fter considering the many submissions in relation to this matter, the ACCC has </w:t>
      </w:r>
      <w:r w:rsidR="00D53B90" w:rsidRPr="00F258B6">
        <w:rPr>
          <w:rFonts w:cs="Arial"/>
          <w:sz w:val="22"/>
          <w:szCs w:val="22"/>
        </w:rPr>
        <w:t>concluded that</w:t>
      </w:r>
      <w:r w:rsidR="00D53B90" w:rsidRPr="003C2DCF">
        <w:rPr>
          <w:rFonts w:cs="Arial"/>
          <w:sz w:val="22"/>
          <w:szCs w:val="22"/>
        </w:rPr>
        <w:t xml:space="preserve"> i</w:t>
      </w:r>
      <w:r w:rsidR="00D53B90" w:rsidRPr="009A56B3">
        <w:rPr>
          <w:sz w:val="22"/>
          <w:szCs w:val="22"/>
        </w:rPr>
        <w:t xml:space="preserve">n light of the serious consequences for people and horses in the event of contracting the Hendra virus, </w:t>
      </w:r>
      <w:r>
        <w:rPr>
          <w:sz w:val="22"/>
          <w:szCs w:val="22"/>
        </w:rPr>
        <w:t xml:space="preserve">the </w:t>
      </w:r>
      <w:r w:rsidRPr="008E7817">
        <w:rPr>
          <w:rFonts w:cs="Arial"/>
          <w:sz w:val="22"/>
          <w:szCs w:val="22"/>
        </w:rPr>
        <w:t xml:space="preserve">likely </w:t>
      </w:r>
      <w:r w:rsidR="00F258B6">
        <w:rPr>
          <w:rFonts w:cs="Arial"/>
          <w:sz w:val="22"/>
          <w:szCs w:val="22"/>
        </w:rPr>
        <w:t xml:space="preserve">benefits </w:t>
      </w:r>
      <w:r>
        <w:rPr>
          <w:rFonts w:cs="Arial"/>
          <w:sz w:val="22"/>
          <w:szCs w:val="22"/>
        </w:rPr>
        <w:t xml:space="preserve">of the notified conduct </w:t>
      </w:r>
      <w:r w:rsidRPr="008E7817">
        <w:rPr>
          <w:rFonts w:cs="Arial"/>
          <w:sz w:val="22"/>
          <w:szCs w:val="22"/>
        </w:rPr>
        <w:t>will</w:t>
      </w:r>
      <w:r w:rsidR="00FD3AA7">
        <w:rPr>
          <w:rFonts w:cs="Arial"/>
          <w:sz w:val="22"/>
          <w:szCs w:val="22"/>
        </w:rPr>
        <w:t xml:space="preserve"> outweigh the likely detriment</w:t>
      </w:r>
      <w:r>
        <w:rPr>
          <w:rFonts w:cs="Arial"/>
          <w:sz w:val="22"/>
          <w:szCs w:val="22"/>
        </w:rPr>
        <w:t>s.</w:t>
      </w:r>
    </w:p>
    <w:p w:rsidR="00D53B90" w:rsidRPr="003C2DCF" w:rsidRDefault="00D53B90" w:rsidP="00D53B90">
      <w:pPr>
        <w:numPr>
          <w:ilvl w:val="1"/>
          <w:numId w:val="69"/>
        </w:numPr>
        <w:tabs>
          <w:tab w:val="left" w:pos="851"/>
        </w:tabs>
        <w:spacing w:after="240"/>
        <w:ind w:left="851" w:hanging="851"/>
        <w:rPr>
          <w:rFonts w:cs="Arial"/>
          <w:sz w:val="22"/>
          <w:szCs w:val="22"/>
        </w:rPr>
      </w:pPr>
      <w:r w:rsidRPr="003C2DCF">
        <w:rPr>
          <w:rFonts w:cs="Arial"/>
          <w:sz w:val="22"/>
          <w:szCs w:val="22"/>
        </w:rPr>
        <w:t xml:space="preserve">In </w:t>
      </w:r>
      <w:r w:rsidR="003C2DCF">
        <w:rPr>
          <w:rFonts w:cs="Arial"/>
          <w:sz w:val="22"/>
          <w:szCs w:val="22"/>
        </w:rPr>
        <w:t>reaching</w:t>
      </w:r>
      <w:r w:rsidRPr="003C2DCF">
        <w:rPr>
          <w:rFonts w:cs="Arial"/>
          <w:sz w:val="22"/>
          <w:szCs w:val="22"/>
        </w:rPr>
        <w:t xml:space="preserve"> this conclusion </w:t>
      </w:r>
      <w:r w:rsidR="003C2DCF">
        <w:rPr>
          <w:rFonts w:cs="Arial"/>
          <w:sz w:val="22"/>
          <w:szCs w:val="22"/>
        </w:rPr>
        <w:t>the</w:t>
      </w:r>
      <w:r w:rsidRPr="003C2DCF">
        <w:rPr>
          <w:rFonts w:cs="Arial"/>
          <w:sz w:val="22"/>
          <w:szCs w:val="22"/>
        </w:rPr>
        <w:t xml:space="preserve"> ACCC has </w:t>
      </w:r>
      <w:r w:rsidR="003C2DCF">
        <w:rPr>
          <w:rFonts w:cs="Arial"/>
          <w:sz w:val="22"/>
          <w:szCs w:val="22"/>
        </w:rPr>
        <w:t>relied on the fact</w:t>
      </w:r>
      <w:r w:rsidRPr="003C2DCF">
        <w:rPr>
          <w:rFonts w:cs="Arial"/>
          <w:sz w:val="22"/>
          <w:szCs w:val="22"/>
        </w:rPr>
        <w:t xml:space="preserve"> that </w:t>
      </w:r>
      <w:r w:rsidRPr="009A56B3">
        <w:rPr>
          <w:sz w:val="22"/>
          <w:szCs w:val="22"/>
        </w:rPr>
        <w:t>the appropriate Government veterinary medicine regulatory approval body has recently completed a detailed assessment of the Hendra vaccine and found it to be generally safe to use and effective against the Hendra virus.</w:t>
      </w:r>
    </w:p>
    <w:p w:rsidR="003C2DCF" w:rsidRPr="003C2DCF" w:rsidRDefault="003C2DCF" w:rsidP="00D53B90">
      <w:pPr>
        <w:numPr>
          <w:ilvl w:val="1"/>
          <w:numId w:val="69"/>
        </w:numPr>
        <w:tabs>
          <w:tab w:val="left" w:pos="851"/>
        </w:tabs>
        <w:spacing w:after="240"/>
        <w:ind w:left="851" w:hanging="851"/>
        <w:rPr>
          <w:rFonts w:cs="Arial"/>
          <w:sz w:val="22"/>
          <w:szCs w:val="22"/>
        </w:rPr>
      </w:pPr>
      <w:r w:rsidRPr="003C2DCF">
        <w:rPr>
          <w:sz w:val="22"/>
          <w:szCs w:val="22"/>
        </w:rPr>
        <w:t xml:space="preserve">This is </w:t>
      </w:r>
      <w:r w:rsidRPr="009A56B3">
        <w:rPr>
          <w:sz w:val="22"/>
          <w:szCs w:val="22"/>
        </w:rPr>
        <w:t xml:space="preserve">also </w:t>
      </w:r>
      <w:r w:rsidRPr="003C2DCF">
        <w:rPr>
          <w:sz w:val="22"/>
          <w:szCs w:val="22"/>
        </w:rPr>
        <w:t>consistent</w:t>
      </w:r>
      <w:r w:rsidRPr="008E7817">
        <w:rPr>
          <w:sz w:val="22"/>
          <w:szCs w:val="22"/>
        </w:rPr>
        <w:t xml:space="preserve"> with advice from Biosecurity Queensland, the Queensland Department of Health and Queensland Workplace Health &amp; Safety that vaccination is the single most effective way to address the risk of Hendra infection.</w:t>
      </w:r>
    </w:p>
    <w:p w:rsidR="00A076F6" w:rsidRPr="003C2DCF" w:rsidRDefault="00A076F6" w:rsidP="00A076F6">
      <w:pPr>
        <w:numPr>
          <w:ilvl w:val="1"/>
          <w:numId w:val="69"/>
        </w:numPr>
        <w:tabs>
          <w:tab w:val="left" w:pos="851"/>
        </w:tabs>
        <w:spacing w:after="240"/>
        <w:ind w:left="851" w:hanging="851"/>
        <w:rPr>
          <w:rFonts w:cs="Arial"/>
          <w:sz w:val="22"/>
          <w:szCs w:val="22"/>
        </w:rPr>
      </w:pPr>
      <w:r w:rsidRPr="003C2DCF">
        <w:rPr>
          <w:rFonts w:cs="Arial"/>
          <w:sz w:val="22"/>
          <w:szCs w:val="22"/>
        </w:rPr>
        <w:t xml:space="preserve">The ACCC understands that EA has committed to consider applications for horses to be exempt from </w:t>
      </w:r>
      <w:r w:rsidRPr="00B40619">
        <w:rPr>
          <w:rFonts w:cs="Arial"/>
          <w:sz w:val="22"/>
          <w:szCs w:val="22"/>
        </w:rPr>
        <w:t xml:space="preserve">the Entry Condition to </w:t>
      </w:r>
      <w:r w:rsidR="00387158">
        <w:rPr>
          <w:rFonts w:cs="Arial"/>
          <w:sz w:val="22"/>
          <w:szCs w:val="22"/>
        </w:rPr>
        <w:t>E</w:t>
      </w:r>
      <w:r w:rsidRPr="00B40619">
        <w:rPr>
          <w:rFonts w:cs="Arial"/>
          <w:sz w:val="22"/>
          <w:szCs w:val="22"/>
        </w:rPr>
        <w:t>vents – particularly where a horse has been determined by a vet</w:t>
      </w:r>
      <w:r w:rsidRPr="003C2DCF">
        <w:rPr>
          <w:rFonts w:cs="Arial"/>
          <w:sz w:val="22"/>
          <w:szCs w:val="22"/>
        </w:rPr>
        <w:t>erinarian to be unable to receive further vaccinations due to adverse reactions or the significant risk of them occurring. Some interested parties have expressed concern that this exemption process is not workable and that no exemptions would ever be granted.</w:t>
      </w:r>
    </w:p>
    <w:p w:rsidR="00A076F6" w:rsidRPr="003C2DCF" w:rsidRDefault="00A076F6" w:rsidP="00A076F6">
      <w:pPr>
        <w:numPr>
          <w:ilvl w:val="1"/>
          <w:numId w:val="69"/>
        </w:numPr>
        <w:tabs>
          <w:tab w:val="left" w:pos="851"/>
        </w:tabs>
        <w:spacing w:after="240"/>
        <w:ind w:left="851" w:hanging="851"/>
        <w:rPr>
          <w:rFonts w:cs="Arial"/>
          <w:sz w:val="22"/>
          <w:szCs w:val="22"/>
        </w:rPr>
      </w:pPr>
      <w:r w:rsidRPr="003C2DCF">
        <w:rPr>
          <w:rFonts w:cs="Arial"/>
          <w:sz w:val="22"/>
          <w:szCs w:val="22"/>
        </w:rPr>
        <w:t xml:space="preserve">The ACCC encourages EA to ensure that its process for assessing applications for exemption from an Entry Condition seeks to appropriately balance the impact the condition would otherwise have on horses (and their riders) with the need to properly address the risks associated with the Hendra virus. The fact that there is insufficient research yet undertaken to determine the impact of the vaccine on breeding mares, for example, could be a </w:t>
      </w:r>
      <w:r w:rsidR="006F5FDD">
        <w:rPr>
          <w:rFonts w:cs="Arial"/>
          <w:sz w:val="22"/>
          <w:szCs w:val="22"/>
        </w:rPr>
        <w:t xml:space="preserve">reasonable </w:t>
      </w:r>
      <w:r w:rsidRPr="003C2DCF">
        <w:rPr>
          <w:rFonts w:cs="Arial"/>
          <w:sz w:val="22"/>
          <w:szCs w:val="22"/>
        </w:rPr>
        <w:t>basis for seeking exemption.</w:t>
      </w:r>
    </w:p>
    <w:p w:rsidR="002934BF" w:rsidRPr="003C2DCF" w:rsidRDefault="009C746E" w:rsidP="009A69B2">
      <w:pPr>
        <w:numPr>
          <w:ilvl w:val="1"/>
          <w:numId w:val="69"/>
        </w:numPr>
        <w:tabs>
          <w:tab w:val="left" w:pos="851"/>
        </w:tabs>
        <w:spacing w:after="240"/>
        <w:ind w:left="851" w:hanging="851"/>
        <w:rPr>
          <w:rFonts w:cs="Arial"/>
          <w:sz w:val="22"/>
          <w:szCs w:val="22"/>
        </w:rPr>
      </w:pPr>
      <w:r w:rsidRPr="00F258B6">
        <w:rPr>
          <w:rFonts w:cs="Arial"/>
          <w:sz w:val="22"/>
          <w:szCs w:val="22"/>
        </w:rPr>
        <w:t>Based on the above analysis</w:t>
      </w:r>
      <w:r w:rsidRPr="003C2DCF">
        <w:rPr>
          <w:rFonts w:cs="Arial"/>
          <w:sz w:val="22"/>
          <w:szCs w:val="22"/>
        </w:rPr>
        <w:t xml:space="preserve">, </w:t>
      </w:r>
      <w:r w:rsidR="00904001" w:rsidRPr="003C2DCF">
        <w:rPr>
          <w:rFonts w:cs="Arial"/>
          <w:sz w:val="22"/>
          <w:szCs w:val="22"/>
        </w:rPr>
        <w:t xml:space="preserve">the ACCC considers the likely detriments will not outweigh the likely benefits, and as such is not proposing to take any further action </w:t>
      </w:r>
      <w:r w:rsidRPr="003C2DCF">
        <w:rPr>
          <w:rFonts w:cs="Arial"/>
          <w:sz w:val="22"/>
          <w:szCs w:val="22"/>
        </w:rPr>
        <w:t xml:space="preserve">on this notification </w:t>
      </w:r>
      <w:r w:rsidR="00904001" w:rsidRPr="003C2DCF">
        <w:rPr>
          <w:rFonts w:cs="Arial"/>
          <w:sz w:val="22"/>
          <w:szCs w:val="22"/>
        </w:rPr>
        <w:t>at this time.</w:t>
      </w:r>
    </w:p>
    <w:p w:rsidR="009C746E" w:rsidRPr="003C2DCF" w:rsidRDefault="009C746E" w:rsidP="009A69B2">
      <w:pPr>
        <w:numPr>
          <w:ilvl w:val="1"/>
          <w:numId w:val="69"/>
        </w:numPr>
        <w:tabs>
          <w:tab w:val="left" w:pos="851"/>
        </w:tabs>
        <w:spacing w:after="240"/>
        <w:ind w:left="851" w:hanging="851"/>
        <w:rPr>
          <w:rFonts w:cs="Arial"/>
          <w:sz w:val="22"/>
          <w:szCs w:val="22"/>
        </w:rPr>
      </w:pPr>
      <w:r w:rsidRPr="003C2DCF">
        <w:rPr>
          <w:rFonts w:cs="Arial"/>
          <w:sz w:val="22"/>
          <w:szCs w:val="22"/>
        </w:rPr>
        <w:t>As a result, the statutory protection afforded by the notification continues.</w:t>
      </w:r>
    </w:p>
    <w:p w:rsidR="00EE5B52" w:rsidRDefault="00EE5B52" w:rsidP="00855B1A">
      <w:pPr>
        <w:pStyle w:val="Heading2"/>
      </w:pPr>
      <w:r>
        <w:t>Scope of protection</w:t>
      </w:r>
    </w:p>
    <w:p w:rsidR="00EE5B52" w:rsidRPr="007715AF" w:rsidRDefault="00EE5B52" w:rsidP="009A69B2">
      <w:pPr>
        <w:numPr>
          <w:ilvl w:val="1"/>
          <w:numId w:val="69"/>
        </w:numPr>
        <w:tabs>
          <w:tab w:val="left" w:pos="851"/>
        </w:tabs>
        <w:spacing w:after="240"/>
        <w:ind w:left="851" w:hanging="851"/>
        <w:rPr>
          <w:rFonts w:cs="Arial"/>
          <w:sz w:val="22"/>
          <w:szCs w:val="22"/>
        </w:rPr>
      </w:pPr>
      <w:r w:rsidRPr="007715AF">
        <w:rPr>
          <w:rFonts w:cs="Arial"/>
          <w:sz w:val="22"/>
          <w:szCs w:val="22"/>
        </w:rPr>
        <w:t>As noted above, the notification applies only to conduct engaged in by EA. This includes where EA engages in the conduct through others, such as organising committees, acting as its agents.</w:t>
      </w:r>
    </w:p>
    <w:p w:rsidR="00EE5B52" w:rsidRPr="007715AF" w:rsidRDefault="00EE5B52" w:rsidP="009A69B2">
      <w:pPr>
        <w:numPr>
          <w:ilvl w:val="1"/>
          <w:numId w:val="69"/>
        </w:numPr>
        <w:tabs>
          <w:tab w:val="left" w:pos="851"/>
        </w:tabs>
        <w:spacing w:after="240"/>
        <w:ind w:left="851" w:hanging="851"/>
        <w:rPr>
          <w:rFonts w:cs="Arial"/>
          <w:sz w:val="22"/>
          <w:szCs w:val="22"/>
        </w:rPr>
      </w:pPr>
      <w:r w:rsidRPr="007715AF">
        <w:rPr>
          <w:rFonts w:cs="Arial"/>
          <w:sz w:val="22"/>
          <w:szCs w:val="22"/>
        </w:rPr>
        <w:t xml:space="preserve">On the information available about the relationships between EA, its state branches and organising committees, it appears to the ACCC to be possible that organising committees (or others) might supply Event Services to Entrants other than on behalf of EA. </w:t>
      </w:r>
    </w:p>
    <w:p w:rsidR="00EE5B52" w:rsidRPr="007715AF" w:rsidRDefault="00EE5B52" w:rsidP="009A69B2">
      <w:pPr>
        <w:numPr>
          <w:ilvl w:val="1"/>
          <w:numId w:val="69"/>
        </w:numPr>
        <w:tabs>
          <w:tab w:val="left" w:pos="851"/>
        </w:tabs>
        <w:spacing w:after="240"/>
        <w:ind w:left="851" w:hanging="851"/>
        <w:rPr>
          <w:rFonts w:cs="Arial"/>
          <w:sz w:val="22"/>
          <w:szCs w:val="22"/>
        </w:rPr>
      </w:pPr>
      <w:r w:rsidRPr="007715AF">
        <w:rPr>
          <w:rFonts w:cs="Arial"/>
          <w:sz w:val="22"/>
          <w:szCs w:val="22"/>
        </w:rPr>
        <w:t>In this context, it is important to note that any statutory protection afforded by this notification does not cover an organising committee supplying or offering to supply Event Services on condition that horses have been vaccinated against the Hendra virus unless that committee is acting as an agent of EA in doing so.</w:t>
      </w:r>
    </w:p>
    <w:p w:rsidR="00EE5B52" w:rsidRPr="00EF7BF0" w:rsidRDefault="00EE5B52" w:rsidP="00855B1A">
      <w:pPr>
        <w:tabs>
          <w:tab w:val="left" w:pos="851"/>
        </w:tabs>
        <w:spacing w:after="240"/>
        <w:rPr>
          <w:rFonts w:cs="Arial"/>
          <w:szCs w:val="24"/>
        </w:rPr>
      </w:pPr>
    </w:p>
    <w:sectPr w:rsidR="00EE5B52" w:rsidRPr="00EF7BF0" w:rsidSect="00D1473B">
      <w:headerReference w:type="default" r:id="rId15"/>
      <w:pgSz w:w="11909" w:h="16834"/>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DF" w:rsidRDefault="00F47EDF">
      <w:r>
        <w:separator/>
      </w:r>
    </w:p>
  </w:endnote>
  <w:endnote w:type="continuationSeparator" w:id="0">
    <w:p w:rsidR="00F47EDF" w:rsidRDefault="00F47EDF">
      <w:r>
        <w:continuationSeparator/>
      </w:r>
    </w:p>
  </w:endnote>
  <w:endnote w:type="continuationNotice" w:id="1">
    <w:p w:rsidR="00F47EDF" w:rsidRDefault="00F47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6F" w:rsidRDefault="0012426F" w:rsidP="007B3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26F" w:rsidRDefault="0012426F" w:rsidP="00D14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6F" w:rsidRPr="00093F2B" w:rsidRDefault="0012426F" w:rsidP="00093F2B">
    <w:pPr>
      <w:jc w:val="right"/>
      <w:rPr>
        <w:sz w:val="20"/>
      </w:rPr>
    </w:pPr>
    <w:r w:rsidRPr="00093F2B">
      <w:rPr>
        <w:sz w:val="20"/>
      </w:rPr>
      <w:fldChar w:fldCharType="begin"/>
    </w:r>
    <w:r w:rsidRPr="00093F2B">
      <w:rPr>
        <w:sz w:val="20"/>
      </w:rPr>
      <w:instrText xml:space="preserve"> PAGE </w:instrText>
    </w:r>
    <w:r w:rsidRPr="00093F2B">
      <w:rPr>
        <w:sz w:val="20"/>
      </w:rPr>
      <w:fldChar w:fldCharType="separate"/>
    </w:r>
    <w:r w:rsidR="007016E9">
      <w:rPr>
        <w:noProof/>
        <w:sz w:val="20"/>
      </w:rPr>
      <w:t>7</w:t>
    </w:r>
    <w:r w:rsidRPr="00093F2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DF" w:rsidRDefault="00F47EDF">
      <w:r>
        <w:separator/>
      </w:r>
    </w:p>
  </w:footnote>
  <w:footnote w:type="continuationSeparator" w:id="0">
    <w:p w:rsidR="00F47EDF" w:rsidRDefault="00F47EDF">
      <w:r>
        <w:continuationSeparator/>
      </w:r>
    </w:p>
  </w:footnote>
  <w:footnote w:type="continuationNotice" w:id="1">
    <w:p w:rsidR="00F47EDF" w:rsidRDefault="00F47EDF"/>
  </w:footnote>
  <w:footnote w:id="2">
    <w:p w:rsidR="0012426F" w:rsidRPr="00855B1A" w:rsidRDefault="0012426F" w:rsidP="00261D5E">
      <w:pPr>
        <w:pStyle w:val="FootnoteText"/>
        <w:ind w:left="709" w:hanging="709"/>
        <w:rPr>
          <w:lang w:val="en-AU"/>
        </w:rPr>
      </w:pPr>
      <w:r>
        <w:rPr>
          <w:rStyle w:val="FootnoteReference"/>
        </w:rPr>
        <w:footnoteRef/>
      </w:r>
      <w:r>
        <w:t xml:space="preserve"> </w:t>
      </w:r>
      <w:r w:rsidR="00261D5E">
        <w:tab/>
      </w:r>
      <w:r>
        <w:rPr>
          <w:lang w:val="en-AU"/>
        </w:rPr>
        <w:t>The ACCC conducts a comprehensive and rigorous public consultation process before making a decision to revoke a notification, which includes issuing a draft notice advising the notifying party and interested parties of its intention to revoke the notification.</w:t>
      </w:r>
    </w:p>
  </w:footnote>
  <w:footnote w:id="3">
    <w:p w:rsidR="002444BE" w:rsidRPr="00445E5A" w:rsidRDefault="002444BE" w:rsidP="002444BE">
      <w:pPr>
        <w:ind w:left="340" w:hanging="340"/>
      </w:pPr>
      <w:r>
        <w:rPr>
          <w:rStyle w:val="FootnoteReference"/>
        </w:rPr>
        <w:footnoteRef/>
      </w:r>
      <w:r>
        <w:t xml:space="preserve"> </w:t>
      </w:r>
      <w:r>
        <w:tab/>
      </w:r>
      <w:r w:rsidRPr="00445E5A">
        <w:rPr>
          <w:sz w:val="18"/>
          <w:szCs w:val="18"/>
          <w:lang w:val="en-AU"/>
        </w:rPr>
        <w:t xml:space="preserve">The Equivac HeV product label states: </w:t>
      </w:r>
      <w:r w:rsidRPr="00445E5A">
        <w:rPr>
          <w:i/>
          <w:sz w:val="18"/>
          <w:szCs w:val="18"/>
        </w:rPr>
        <w:t>The potential for a vaccinated horse to pass on the Hendra virus cannot be ruled out. As a precaution, it is recommended people take the same steps to protect vaccinated horses from exposure to infection—and to prevent humans being infected by horses—as are recommended for unvaccinated horses. Personal protective equipment should be worn whenever infection is suspected even in vaccinated horses.</w:t>
      </w:r>
    </w:p>
    <w:p w:rsidR="002444BE" w:rsidRPr="00445E5A" w:rsidRDefault="002444BE" w:rsidP="002444BE">
      <w:pPr>
        <w:pStyle w:val="FootnoteText"/>
        <w:rPr>
          <w:lang w:val="en-AU"/>
        </w:rPr>
      </w:pPr>
    </w:p>
  </w:footnote>
  <w:footnote w:id="4">
    <w:p w:rsidR="006F5FDD" w:rsidRPr="006F5FDD" w:rsidRDefault="006F5FDD" w:rsidP="00797017">
      <w:pPr>
        <w:pStyle w:val="FootnoteText"/>
        <w:ind w:left="284" w:hanging="284"/>
        <w:rPr>
          <w:sz w:val="18"/>
          <w:szCs w:val="18"/>
          <w:lang w:val="en-AU"/>
        </w:rPr>
      </w:pPr>
      <w:r w:rsidRPr="006F5FDD">
        <w:rPr>
          <w:rStyle w:val="FootnoteReference"/>
          <w:sz w:val="18"/>
          <w:szCs w:val="18"/>
        </w:rPr>
        <w:footnoteRef/>
      </w:r>
      <w:r w:rsidRPr="006F5FDD">
        <w:rPr>
          <w:sz w:val="18"/>
          <w:szCs w:val="18"/>
        </w:rPr>
        <w:t xml:space="preserve"> </w:t>
      </w:r>
      <w:r w:rsidR="00261D5E">
        <w:rPr>
          <w:sz w:val="18"/>
          <w:szCs w:val="18"/>
        </w:rPr>
        <w:tab/>
      </w:r>
      <w:r w:rsidRPr="009B667D">
        <w:rPr>
          <w:sz w:val="18"/>
          <w:szCs w:val="18"/>
          <w:lang w:val="en-AU"/>
        </w:rPr>
        <w:t>The ACCC understands t</w:t>
      </w:r>
      <w:r w:rsidR="00375D37" w:rsidRPr="009B667D">
        <w:rPr>
          <w:sz w:val="18"/>
          <w:szCs w:val="18"/>
          <w:lang w:val="en-AU"/>
        </w:rPr>
        <w:t>hat a number of countries will not accept horses that test positive for the Hendra virus</w:t>
      </w:r>
      <w:r w:rsidR="00A15463" w:rsidRPr="009B667D">
        <w:rPr>
          <w:sz w:val="18"/>
          <w:szCs w:val="18"/>
          <w:lang w:val="en-AU"/>
        </w:rPr>
        <w:t>.</w:t>
      </w:r>
      <w:r w:rsidRPr="009B667D">
        <w:rPr>
          <w:sz w:val="18"/>
          <w:szCs w:val="18"/>
          <w:lang w:val="en-AU"/>
        </w:rPr>
        <w:t xml:space="preserve"> </w:t>
      </w:r>
      <w:r w:rsidR="00A15463" w:rsidRPr="009B667D">
        <w:rPr>
          <w:sz w:val="18"/>
          <w:szCs w:val="18"/>
          <w:lang w:val="en-AU"/>
        </w:rPr>
        <w:t>V</w:t>
      </w:r>
      <w:r w:rsidRPr="009B667D">
        <w:rPr>
          <w:sz w:val="18"/>
          <w:szCs w:val="18"/>
          <w:lang w:val="en-AU"/>
        </w:rPr>
        <w:t>accinated</w:t>
      </w:r>
      <w:r w:rsidR="00A15463" w:rsidRPr="009B667D">
        <w:rPr>
          <w:sz w:val="18"/>
          <w:szCs w:val="18"/>
          <w:lang w:val="en-AU"/>
        </w:rPr>
        <w:t xml:space="preserve"> horses</w:t>
      </w:r>
      <w:r w:rsidR="00797017">
        <w:rPr>
          <w:sz w:val="18"/>
          <w:szCs w:val="18"/>
          <w:lang w:val="en-AU"/>
        </w:rPr>
        <w:t xml:space="preserve"> </w:t>
      </w:r>
      <w:r w:rsidR="00375D37" w:rsidRPr="009B667D">
        <w:rPr>
          <w:sz w:val="18"/>
          <w:szCs w:val="18"/>
          <w:lang w:val="en-AU"/>
        </w:rPr>
        <w:t xml:space="preserve">can potentially show a false positive </w:t>
      </w:r>
      <w:r w:rsidR="00A15463" w:rsidRPr="009B667D">
        <w:rPr>
          <w:sz w:val="18"/>
          <w:szCs w:val="18"/>
          <w:lang w:val="en-AU"/>
        </w:rPr>
        <w:t>and hence</w:t>
      </w:r>
      <w:r w:rsidR="00375D37" w:rsidRPr="009B667D">
        <w:rPr>
          <w:sz w:val="18"/>
          <w:szCs w:val="18"/>
          <w:lang w:val="en-AU"/>
        </w:rPr>
        <w:t xml:space="preserve"> are unable to be sold or compete in those countries</w:t>
      </w:r>
      <w:r w:rsidRPr="009B667D">
        <w:rPr>
          <w:sz w:val="18"/>
          <w:szCs w:val="18"/>
          <w:lang w:val="en-AU"/>
        </w:rPr>
        <w:t>.</w:t>
      </w:r>
    </w:p>
  </w:footnote>
  <w:footnote w:id="5">
    <w:p w:rsidR="008E0B93" w:rsidRDefault="008E0B93" w:rsidP="008E0B93">
      <w:pPr>
        <w:pStyle w:val="FootnoteText"/>
        <w:ind w:left="284" w:hanging="284"/>
        <w:rPr>
          <w:lang w:val="en-AU"/>
        </w:rPr>
      </w:pPr>
      <w:r>
        <w:rPr>
          <w:rStyle w:val="FootnoteReference"/>
        </w:rPr>
        <w:footnoteRef/>
      </w:r>
      <w:r>
        <w:t xml:space="preserve"> </w:t>
      </w:r>
      <w:r>
        <w:tab/>
      </w:r>
      <w:r w:rsidRPr="008E0B93">
        <w:rPr>
          <w:sz w:val="18"/>
          <w:szCs w:val="18"/>
          <w:lang w:val="en-AU"/>
        </w:rPr>
        <w:t xml:space="preserve">The ACCC notes that the APVMA publishes a list of reported adverse </w:t>
      </w:r>
      <w:r>
        <w:rPr>
          <w:sz w:val="18"/>
          <w:szCs w:val="18"/>
          <w:lang w:val="en-AU"/>
        </w:rPr>
        <w:t>reactions to the Hendra vaccine</w:t>
      </w:r>
      <w:r w:rsidRPr="008E0B93">
        <w:rPr>
          <w:sz w:val="18"/>
          <w:szCs w:val="18"/>
          <w:lang w:val="en-AU"/>
        </w:rPr>
        <w:t xml:space="preserve"> on its website.  As at 31 March 2015 there had been a total of 125 Possible</w:t>
      </w:r>
      <w:r>
        <w:rPr>
          <w:sz w:val="18"/>
          <w:szCs w:val="18"/>
          <w:lang w:val="en-AU"/>
        </w:rPr>
        <w:t>, 633 Probable</w:t>
      </w:r>
      <w:r w:rsidR="00367F01">
        <w:rPr>
          <w:sz w:val="18"/>
          <w:szCs w:val="18"/>
          <w:lang w:val="en-AU"/>
        </w:rPr>
        <w:t xml:space="preserve"> and 72 </w:t>
      </w:r>
      <w:r w:rsidRPr="008E0B93">
        <w:rPr>
          <w:sz w:val="18"/>
          <w:szCs w:val="18"/>
          <w:lang w:val="en-AU"/>
        </w:rPr>
        <w:t>Unlikely adverse reactions from approximately 340,000 doses of the vaccine.  The APVMA assesses adverse reaction reports in terms of the likelihood that the adverse reaction is caused by the vaccine and classifies reports accordingly.  The classifications range from ‘Possible’ to ‘Unlikely’, with the Possible classification indicating that there is a reasonable association between the vaccine and the adverse reaction, and ‘Unlikely’ indicates that there is sufficient information to establish that the adverse reaction was not likely to be associated with the vaccine. See</w:t>
      </w:r>
      <w:r>
        <w:rPr>
          <w:lang w:val="en-AU"/>
        </w:rPr>
        <w:t xml:space="preserve"> </w:t>
      </w:r>
      <w:hyperlink r:id="rId1" w:history="1">
        <w:r w:rsidRPr="00624971">
          <w:rPr>
            <w:rStyle w:val="Hyperlink"/>
            <w:lang w:val="en-AU"/>
          </w:rPr>
          <w:t>http://apvma.gov.au/node/15786</w:t>
        </w:r>
      </w:hyperlink>
    </w:p>
    <w:p w:rsidR="008E0B93" w:rsidRPr="008E0B93" w:rsidRDefault="008E0B93" w:rsidP="008E0B93">
      <w:pPr>
        <w:pStyle w:val="FootnoteText"/>
        <w:ind w:left="284" w:hanging="284"/>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6F" w:rsidRDefault="00124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6F" w:rsidRDefault="0012426F" w:rsidP="00BE521A">
    <w:pPr>
      <w:pStyle w:val="Header"/>
      <w:tabs>
        <w:tab w:val="clear" w:pos="4819"/>
        <w:tab w:val="clear" w:pos="9071"/>
        <w:tab w:val="left" w:pos="79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40E8164"/>
    <w:lvl w:ilvl="0">
      <w:start w:val="1"/>
      <w:numFmt w:val="decimal"/>
      <w:lvlText w:val="%1."/>
      <w:lvlJc w:val="left"/>
      <w:pPr>
        <w:tabs>
          <w:tab w:val="num" w:pos="643"/>
        </w:tabs>
        <w:ind w:left="643" w:hanging="360"/>
      </w:pPr>
    </w:lvl>
  </w:abstractNum>
  <w:abstractNum w:abstractNumId="1">
    <w:nsid w:val="FFFFFF88"/>
    <w:multiLevelType w:val="singleLevel"/>
    <w:tmpl w:val="8FF895E6"/>
    <w:lvl w:ilvl="0">
      <w:start w:val="1"/>
      <w:numFmt w:val="decimal"/>
      <w:lvlText w:val="%1."/>
      <w:lvlJc w:val="left"/>
      <w:pPr>
        <w:tabs>
          <w:tab w:val="num" w:pos="360"/>
        </w:tabs>
        <w:ind w:left="360" w:hanging="360"/>
      </w:pPr>
    </w:lvl>
  </w:abstractNum>
  <w:abstractNum w:abstractNumId="2">
    <w:nsid w:val="00114B97"/>
    <w:multiLevelType w:val="multilevel"/>
    <w:tmpl w:val="E29C10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19C6E34"/>
    <w:multiLevelType w:val="multilevel"/>
    <w:tmpl w:val="F1502F94"/>
    <w:styleLink w:val="Style1"/>
    <w:lvl w:ilvl="0">
      <w:start w:val="1"/>
      <w:numFmt w:val="decimal"/>
      <w:lvlText w:val="%1"/>
      <w:lvlJc w:val="left"/>
      <w:pPr>
        <w:tabs>
          <w:tab w:val="num" w:pos="720"/>
        </w:tabs>
        <w:ind w:left="720" w:hanging="720"/>
      </w:pPr>
      <w:rPr>
        <w:rFonts w:ascii="Arial" w:hAnsi="Arial" w:hint="default"/>
        <w:sz w:val="24"/>
      </w:rPr>
    </w:lvl>
    <w:lvl w:ilvl="1">
      <w:start w:val="1"/>
      <w:numFmt w:val="decimal"/>
      <w:lvlText w:val="%1.%2"/>
      <w:lvlJc w:val="left"/>
      <w:pPr>
        <w:tabs>
          <w:tab w:val="num" w:pos="720"/>
        </w:tabs>
        <w:ind w:left="720" w:hanging="720"/>
      </w:pPr>
      <w:rPr>
        <w:rFonts w:ascii="Times New Roman" w:hAnsi="Times New Roman" w:cs="Times New Roman"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
    <w:nsid w:val="03981A1A"/>
    <w:multiLevelType w:val="hybridMultilevel"/>
    <w:tmpl w:val="FD7E6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C632D8"/>
    <w:multiLevelType w:val="multilevel"/>
    <w:tmpl w:val="82406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8CE00C4"/>
    <w:multiLevelType w:val="hybridMultilevel"/>
    <w:tmpl w:val="0B1ECFB6"/>
    <w:lvl w:ilvl="0" w:tplc="CD7A6812">
      <w:start w:val="1"/>
      <w:numFmt w:val="decimal"/>
      <w:lvlText w:val="1.%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93A2DA3"/>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A3076B1"/>
    <w:multiLevelType w:val="hybridMultilevel"/>
    <w:tmpl w:val="221E4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4D0421"/>
    <w:multiLevelType w:val="multilevel"/>
    <w:tmpl w:val="50E241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EBD1BC6"/>
    <w:multiLevelType w:val="multilevel"/>
    <w:tmpl w:val="CD5CE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4164BDA"/>
    <w:multiLevelType w:val="hybridMultilevel"/>
    <w:tmpl w:val="7616947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nsid w:val="14B76588"/>
    <w:multiLevelType w:val="multilevel"/>
    <w:tmpl w:val="DD42CFD6"/>
    <w:styleLink w:val="111111"/>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2765C7"/>
    <w:multiLevelType w:val="hybridMultilevel"/>
    <w:tmpl w:val="AE160B4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BEC6F1E"/>
    <w:multiLevelType w:val="hybridMultilevel"/>
    <w:tmpl w:val="427E489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nsid w:val="1E9A2409"/>
    <w:multiLevelType w:val="multilevel"/>
    <w:tmpl w:val="6822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7346B1"/>
    <w:multiLevelType w:val="hybridMultilevel"/>
    <w:tmpl w:val="DDA8FBDC"/>
    <w:lvl w:ilvl="0" w:tplc="9B324FD4">
      <w:start w:val="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42100A"/>
    <w:multiLevelType w:val="multilevel"/>
    <w:tmpl w:val="E9AE77A8"/>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bullet"/>
      <w:lvlText w:val=""/>
      <w:lvlJc w:val="left"/>
      <w:pPr>
        <w:tabs>
          <w:tab w:val="num" w:pos="720"/>
        </w:tabs>
        <w:ind w:left="720" w:hanging="720"/>
      </w:pPr>
      <w:rPr>
        <w:rFonts w:ascii="Symbol" w:hAnsi="Symbol"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9">
    <w:nsid w:val="26053D49"/>
    <w:multiLevelType w:val="hybridMultilevel"/>
    <w:tmpl w:val="50343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6583422"/>
    <w:multiLevelType w:val="hybridMultilevel"/>
    <w:tmpl w:val="523AF8B4"/>
    <w:lvl w:ilvl="0" w:tplc="C14C1866">
      <w:start w:val="1"/>
      <w:numFmt w:val="decimal"/>
      <w:lvlText w:val="1.%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6E729F"/>
    <w:multiLevelType w:val="multilevel"/>
    <w:tmpl w:val="67021FB0"/>
    <w:lvl w:ilvl="0">
      <w:start w:val="1"/>
      <w:numFmt w:val="decimal"/>
      <w:lvlText w:val="%1."/>
      <w:lvlJc w:val="left"/>
      <w:pPr>
        <w:ind w:left="360" w:hanging="360"/>
      </w:pPr>
      <w:rPr>
        <w:rFonts w:ascii="Arial" w:hAnsi="Arial" w:hint="default"/>
        <w:sz w:val="24"/>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ECD3D38"/>
    <w:multiLevelType w:val="multilevel"/>
    <w:tmpl w:val="412EF4F6"/>
    <w:lvl w:ilvl="0">
      <w:start w:val="1"/>
      <w:numFmt w:val="decimal"/>
      <w:pStyle w:val="ListNumber"/>
      <w:lvlText w:val="%1."/>
      <w:lvlJc w:val="left"/>
      <w:pPr>
        <w:tabs>
          <w:tab w:val="num" w:pos="360"/>
        </w:tabs>
        <w:ind w:left="360" w:hanging="360"/>
      </w:pPr>
    </w:lvl>
    <w:lvl w:ilvl="1">
      <w:start w:val="1"/>
      <w:numFmt w:val="decimal"/>
      <w:pStyle w:val="ListNumber2"/>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23">
    <w:nsid w:val="30026745"/>
    <w:multiLevelType w:val="hybridMultilevel"/>
    <w:tmpl w:val="67EC3846"/>
    <w:lvl w:ilvl="0" w:tplc="CB8A2AE8">
      <w:start w:val="9"/>
      <w:numFmt w:val="lowerLetter"/>
      <w:lvlText w:val="(%1)"/>
      <w:lvlJc w:val="left"/>
      <w:pPr>
        <w:ind w:left="1211" w:hanging="360"/>
      </w:pPr>
      <w:rPr>
        <w:rFonts w:cs="Aria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326164EB"/>
    <w:multiLevelType w:val="hybridMultilevel"/>
    <w:tmpl w:val="A716863A"/>
    <w:lvl w:ilvl="0" w:tplc="0C090001">
      <w:start w:val="1"/>
      <w:numFmt w:val="bullet"/>
      <w:lvlText w:val=""/>
      <w:lvlJc w:val="left"/>
      <w:pPr>
        <w:ind w:left="949" w:hanging="360"/>
      </w:pPr>
      <w:rPr>
        <w:rFonts w:ascii="Symbol" w:hAnsi="Symbol" w:hint="default"/>
      </w:rPr>
    </w:lvl>
    <w:lvl w:ilvl="1" w:tplc="4AA87046">
      <w:numFmt w:val="bullet"/>
      <w:lvlText w:val="·"/>
      <w:lvlJc w:val="left"/>
      <w:pPr>
        <w:ind w:left="1669" w:hanging="360"/>
      </w:pPr>
      <w:rPr>
        <w:rFonts w:ascii="Arial" w:eastAsiaTheme="minorHAnsi" w:hAnsi="Arial" w:cs="Arial"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5">
    <w:nsid w:val="338E1360"/>
    <w:multiLevelType w:val="hybridMultilevel"/>
    <w:tmpl w:val="3C922DC8"/>
    <w:lvl w:ilvl="0" w:tplc="39FE142C">
      <w:start w:val="9"/>
      <w:numFmt w:val="lowerLetter"/>
      <w:lvlText w:val="(%1)"/>
      <w:lvlJc w:val="left"/>
      <w:pPr>
        <w:ind w:left="1211" w:hanging="360"/>
      </w:pPr>
      <w:rPr>
        <w:rFonts w:cs="Aria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3C013FDE"/>
    <w:multiLevelType w:val="multilevel"/>
    <w:tmpl w:val="790E9F6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D1927A7"/>
    <w:multiLevelType w:val="hybridMultilevel"/>
    <w:tmpl w:val="42DC4158"/>
    <w:lvl w:ilvl="0" w:tplc="DA8A6496">
      <w:start w:val="2"/>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06A66A4"/>
    <w:multiLevelType w:val="multilevel"/>
    <w:tmpl w:val="F6D2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AE0111"/>
    <w:multiLevelType w:val="multilevel"/>
    <w:tmpl w:val="DD42CFD6"/>
    <w:numStyleLink w:val="111111"/>
  </w:abstractNum>
  <w:abstractNum w:abstractNumId="30">
    <w:nsid w:val="434D33D3"/>
    <w:multiLevelType w:val="multilevel"/>
    <w:tmpl w:val="A4CE06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4C75BE1"/>
    <w:multiLevelType w:val="hybridMultilevel"/>
    <w:tmpl w:val="23D04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4EB651DF"/>
    <w:multiLevelType w:val="hybridMultilevel"/>
    <w:tmpl w:val="37FC1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2640E68"/>
    <w:multiLevelType w:val="multilevel"/>
    <w:tmpl w:val="C368EE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2BC2BB3"/>
    <w:multiLevelType w:val="hybridMultilevel"/>
    <w:tmpl w:val="5B02B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6A52E7B"/>
    <w:multiLevelType w:val="hybridMultilevel"/>
    <w:tmpl w:val="DA688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59416848"/>
    <w:multiLevelType w:val="multilevel"/>
    <w:tmpl w:val="E0F6EA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A3F74A6"/>
    <w:multiLevelType w:val="hybridMultilevel"/>
    <w:tmpl w:val="BCF6AAD4"/>
    <w:lvl w:ilvl="0" w:tplc="14101C9A">
      <w:start w:val="1"/>
      <w:numFmt w:val="lowerRoman"/>
      <w:lvlText w:val="(%1)"/>
      <w:lvlJc w:val="left"/>
      <w:pPr>
        <w:ind w:left="1571"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CD65215"/>
    <w:multiLevelType w:val="multilevel"/>
    <w:tmpl w:val="38DA7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05505A"/>
    <w:multiLevelType w:val="hybridMultilevel"/>
    <w:tmpl w:val="A68CD6C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0">
    <w:nsid w:val="5F61447F"/>
    <w:multiLevelType w:val="multilevel"/>
    <w:tmpl w:val="CD5CE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FD66DB6"/>
    <w:multiLevelType w:val="hybridMultilevel"/>
    <w:tmpl w:val="4C6065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61E611FD"/>
    <w:multiLevelType w:val="multilevel"/>
    <w:tmpl w:val="D51AF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6214495"/>
    <w:multiLevelType w:val="multilevel"/>
    <w:tmpl w:val="CD5CE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73E118C"/>
    <w:multiLevelType w:val="multilevel"/>
    <w:tmpl w:val="A64AD69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5">
    <w:nsid w:val="67817C1E"/>
    <w:multiLevelType w:val="multilevel"/>
    <w:tmpl w:val="DB68AB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1D5D52"/>
    <w:multiLevelType w:val="multilevel"/>
    <w:tmpl w:val="A64AD69C"/>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7">
    <w:nsid w:val="6B7F3899"/>
    <w:multiLevelType w:val="hybridMultilevel"/>
    <w:tmpl w:val="EEB2B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B880B91"/>
    <w:multiLevelType w:val="multilevel"/>
    <w:tmpl w:val="50E241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6C5714D9"/>
    <w:multiLevelType w:val="hybridMultilevel"/>
    <w:tmpl w:val="DDD8251E"/>
    <w:lvl w:ilvl="0" w:tplc="5F8C046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1FB0176"/>
    <w:multiLevelType w:val="multilevel"/>
    <w:tmpl w:val="900A7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5161159"/>
    <w:multiLevelType w:val="multilevel"/>
    <w:tmpl w:val="7BDAE8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5B44AF5"/>
    <w:multiLevelType w:val="multilevel"/>
    <w:tmpl w:val="0B08A4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6BB33D4"/>
    <w:multiLevelType w:val="hybridMultilevel"/>
    <w:tmpl w:val="ED906AE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4">
    <w:nsid w:val="76D21739"/>
    <w:multiLevelType w:val="hybridMultilevel"/>
    <w:tmpl w:val="2D162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nsid w:val="77C064DD"/>
    <w:multiLevelType w:val="hybridMultilevel"/>
    <w:tmpl w:val="7430D6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nsid w:val="78FC3501"/>
    <w:multiLevelType w:val="hybridMultilevel"/>
    <w:tmpl w:val="48BE20B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7">
    <w:nsid w:val="7A833C50"/>
    <w:multiLevelType w:val="multilevel"/>
    <w:tmpl w:val="24A413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CD95916"/>
    <w:multiLevelType w:val="multilevel"/>
    <w:tmpl w:val="945ACD68"/>
    <w:lvl w:ilvl="0">
      <w:start w:val="1"/>
      <w:numFmt w:val="decimal"/>
      <w:lvlText w:val="%1."/>
      <w:lvlJc w:val="left"/>
      <w:pPr>
        <w:tabs>
          <w:tab w:val="num" w:pos="1211"/>
        </w:tabs>
        <w:ind w:left="1211" w:hanging="851"/>
      </w:pPr>
      <w:rPr>
        <w:rFonts w:hint="default"/>
      </w:rPr>
    </w:lvl>
    <w:lvl w:ilvl="1">
      <w:start w:val="1"/>
      <w:numFmt w:val="decimal"/>
      <w:lvlText w:val="%1.%2."/>
      <w:lvlJc w:val="left"/>
      <w:pPr>
        <w:tabs>
          <w:tab w:val="num" w:pos="851"/>
        </w:tabs>
        <w:ind w:left="851" w:hanging="851"/>
      </w:pPr>
      <w:rPr>
        <w:rFonts w:hint="default"/>
        <w:sz w:val="22"/>
      </w:rPr>
    </w:lvl>
    <w:lvl w:ilvl="2">
      <w:start w:val="2"/>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ED16672"/>
    <w:multiLevelType w:val="hybridMultilevel"/>
    <w:tmpl w:val="D48825D0"/>
    <w:lvl w:ilvl="0" w:tplc="0C090001">
      <w:start w:val="1"/>
      <w:numFmt w:val="bullet"/>
      <w:lvlText w:val=""/>
      <w:lvlJc w:val="left"/>
      <w:pPr>
        <w:tabs>
          <w:tab w:val="num" w:pos="1800"/>
        </w:tabs>
        <w:ind w:left="1800" w:hanging="360"/>
      </w:pPr>
      <w:rPr>
        <w:rFonts w:ascii="Symbol" w:hAnsi="Symbol" w:hint="default"/>
      </w:rPr>
    </w:lvl>
    <w:lvl w:ilvl="1" w:tplc="0C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0">
    <w:nsid w:val="7F121A59"/>
    <w:multiLevelType w:val="multilevel"/>
    <w:tmpl w:val="36408938"/>
    <w:lvl w:ilvl="0">
      <w:start w:val="1"/>
      <w:numFmt w:val="decimal"/>
      <w:lvlText w:val="%1."/>
      <w:lvlJc w:val="left"/>
      <w:pPr>
        <w:tabs>
          <w:tab w:val="num" w:pos="1211"/>
        </w:tabs>
        <w:ind w:left="1211" w:hanging="851"/>
      </w:pPr>
      <w:rPr>
        <w:rFonts w:hint="default"/>
        <w:sz w:val="24"/>
      </w:rPr>
    </w:lvl>
    <w:lvl w:ilvl="1">
      <w:start w:val="1"/>
      <w:numFmt w:val="decimal"/>
      <w:lvlText w:val="1.%2"/>
      <w:lvlJc w:val="left"/>
      <w:pPr>
        <w:tabs>
          <w:tab w:val="num" w:pos="851"/>
        </w:tabs>
        <w:ind w:left="851" w:hanging="851"/>
      </w:pPr>
      <w:rPr>
        <w:rFonts w:ascii="Arial" w:hAnsi="Arial" w:hint="default"/>
        <w:i w:val="0"/>
        <w:sz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FA3718C"/>
    <w:multiLevelType w:val="hybridMultilevel"/>
    <w:tmpl w:val="D1E6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FC6229A"/>
    <w:multiLevelType w:val="hybridMultilevel"/>
    <w:tmpl w:val="1B8AD3C4"/>
    <w:lvl w:ilvl="0" w:tplc="F4B8D2F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60"/>
  </w:num>
  <w:num w:numId="2">
    <w:abstractNumId w:val="58"/>
  </w:num>
  <w:num w:numId="3">
    <w:abstractNumId w:val="18"/>
  </w:num>
  <w:num w:numId="4">
    <w:abstractNumId w:val="59"/>
  </w:num>
  <w:num w:numId="5">
    <w:abstractNumId w:val="3"/>
  </w:num>
  <w:num w:numId="6">
    <w:abstractNumId w:val="7"/>
  </w:num>
  <w:num w:numId="7">
    <w:abstractNumId w:val="9"/>
  </w:num>
  <w:num w:numId="8">
    <w:abstractNumId w:val="26"/>
  </w:num>
  <w:num w:numId="9">
    <w:abstractNumId w:val="41"/>
  </w:num>
  <w:num w:numId="10">
    <w:abstractNumId w:val="21"/>
  </w:num>
  <w:num w:numId="11">
    <w:abstractNumId w:val="20"/>
  </w:num>
  <w:num w:numId="12">
    <w:abstractNumId w:val="6"/>
  </w:num>
  <w:num w:numId="13">
    <w:abstractNumId w:val="40"/>
  </w:num>
  <w:num w:numId="14">
    <w:abstractNumId w:val="43"/>
  </w:num>
  <w:num w:numId="15">
    <w:abstractNumId w:val="29"/>
  </w:num>
  <w:num w:numId="16">
    <w:abstractNumId w:val="38"/>
  </w:num>
  <w:num w:numId="17">
    <w:abstractNumId w:val="13"/>
  </w:num>
  <w:num w:numId="18">
    <w:abstractNumId w:val="36"/>
  </w:num>
  <w:num w:numId="19">
    <w:abstractNumId w:val="11"/>
  </w:num>
  <w:num w:numId="20">
    <w:abstractNumId w:val="1"/>
  </w:num>
  <w:num w:numId="21">
    <w:abstractNumId w:val="0"/>
  </w:num>
  <w:num w:numId="22">
    <w:abstractNumId w:val="22"/>
  </w:num>
  <w:num w:numId="23">
    <w:abstractNumId w:val="44"/>
  </w:num>
  <w:num w:numId="24">
    <w:abstractNumId w:val="52"/>
  </w:num>
  <w:num w:numId="25">
    <w:abstractNumId w:val="48"/>
  </w:num>
  <w:num w:numId="26">
    <w:abstractNumId w:val="19"/>
  </w:num>
  <w:num w:numId="27">
    <w:abstractNumId w:val="4"/>
  </w:num>
  <w:num w:numId="28">
    <w:abstractNumId w:val="32"/>
  </w:num>
  <w:num w:numId="29">
    <w:abstractNumId w:val="8"/>
  </w:num>
  <w:num w:numId="30">
    <w:abstractNumId w:val="57"/>
  </w:num>
  <w:num w:numId="31">
    <w:abstractNumId w:val="46"/>
  </w:num>
  <w:num w:numId="32">
    <w:abstractNumId w:val="30"/>
  </w:num>
  <w:num w:numId="33">
    <w:abstractNumId w:val="42"/>
  </w:num>
  <w:num w:numId="34">
    <w:abstractNumId w:val="33"/>
  </w:num>
  <w:num w:numId="35">
    <w:abstractNumId w:val="62"/>
  </w:num>
  <w:num w:numId="36">
    <w:abstractNumId w:val="55"/>
  </w:num>
  <w:num w:numId="37">
    <w:abstractNumId w:val="2"/>
  </w:num>
  <w:num w:numId="38">
    <w:abstractNumId w:val="50"/>
  </w:num>
  <w:num w:numId="39">
    <w:abstractNumId w:val="17"/>
  </w:num>
  <w:num w:numId="40">
    <w:abstractNumId w:val="10"/>
  </w:num>
  <w:num w:numId="41">
    <w:abstractNumId w:val="24"/>
  </w:num>
  <w:num w:numId="42">
    <w:abstractNumId w:val="61"/>
  </w:num>
  <w:num w:numId="43">
    <w:abstractNumId w:val="5"/>
  </w:num>
  <w:num w:numId="44">
    <w:abstractNumId w:val="22"/>
  </w:num>
  <w:num w:numId="45">
    <w:abstractNumId w:val="22"/>
  </w:num>
  <w:num w:numId="46">
    <w:abstractNumId w:val="53"/>
  </w:num>
  <w:num w:numId="47">
    <w:abstractNumId w:val="22"/>
  </w:num>
  <w:num w:numId="48">
    <w:abstractNumId w:val="22"/>
  </w:num>
  <w:num w:numId="49">
    <w:abstractNumId w:val="22"/>
  </w:num>
  <w:num w:numId="50">
    <w:abstractNumId w:val="56"/>
  </w:num>
  <w:num w:numId="51">
    <w:abstractNumId w:val="23"/>
  </w:num>
  <w:num w:numId="52">
    <w:abstractNumId w:val="12"/>
  </w:num>
  <w:num w:numId="53">
    <w:abstractNumId w:val="25"/>
  </w:num>
  <w:num w:numId="54">
    <w:abstractNumId w:val="27"/>
  </w:num>
  <w:num w:numId="55">
    <w:abstractNumId w:val="37"/>
  </w:num>
  <w:num w:numId="56">
    <w:abstractNumId w:val="39"/>
  </w:num>
  <w:num w:numId="57">
    <w:abstractNumId w:val="15"/>
  </w:num>
  <w:num w:numId="58">
    <w:abstractNumId w:val="31"/>
  </w:num>
  <w:num w:numId="59">
    <w:abstractNumId w:val="54"/>
  </w:num>
  <w:num w:numId="60">
    <w:abstractNumId w:val="35"/>
  </w:num>
  <w:num w:numId="61">
    <w:abstractNumId w:val="14"/>
  </w:num>
  <w:num w:numId="62">
    <w:abstractNumId w:val="42"/>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47"/>
  </w:num>
  <w:num w:numId="65">
    <w:abstractNumId w:val="49"/>
  </w:num>
  <w:num w:numId="66">
    <w:abstractNumId w:val="16"/>
  </w:num>
  <w:num w:numId="67">
    <w:abstractNumId w:val="28"/>
  </w:num>
  <w:num w:numId="68">
    <w:abstractNumId w:val="51"/>
  </w:num>
  <w:num w:numId="69">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9196\ADJ15 247  N98410 - Equestrian Australia Limited - other Statement of Reasons - 18 12 2015.DOCX"/>
  </w:docVars>
  <w:rsids>
    <w:rsidRoot w:val="008733BD"/>
    <w:rsid w:val="000006A5"/>
    <w:rsid w:val="00001F1D"/>
    <w:rsid w:val="00003BAD"/>
    <w:rsid w:val="0000558D"/>
    <w:rsid w:val="00005E71"/>
    <w:rsid w:val="00011CCE"/>
    <w:rsid w:val="00013777"/>
    <w:rsid w:val="000215DE"/>
    <w:rsid w:val="000243A6"/>
    <w:rsid w:val="000359AF"/>
    <w:rsid w:val="000360E5"/>
    <w:rsid w:val="00040F30"/>
    <w:rsid w:val="00045DE7"/>
    <w:rsid w:val="00051C9F"/>
    <w:rsid w:val="00054424"/>
    <w:rsid w:val="000557E0"/>
    <w:rsid w:val="00056816"/>
    <w:rsid w:val="000610D5"/>
    <w:rsid w:val="00061D56"/>
    <w:rsid w:val="00062A0A"/>
    <w:rsid w:val="00074B79"/>
    <w:rsid w:val="000765FB"/>
    <w:rsid w:val="00082EC2"/>
    <w:rsid w:val="00083AAB"/>
    <w:rsid w:val="00083D8E"/>
    <w:rsid w:val="00084159"/>
    <w:rsid w:val="000844A8"/>
    <w:rsid w:val="00084648"/>
    <w:rsid w:val="000850DA"/>
    <w:rsid w:val="000863BA"/>
    <w:rsid w:val="000923B9"/>
    <w:rsid w:val="00092F44"/>
    <w:rsid w:val="00093F2B"/>
    <w:rsid w:val="000A19D0"/>
    <w:rsid w:val="000A1BE8"/>
    <w:rsid w:val="000A1E8A"/>
    <w:rsid w:val="000A2871"/>
    <w:rsid w:val="000A336A"/>
    <w:rsid w:val="000A4E89"/>
    <w:rsid w:val="000A6195"/>
    <w:rsid w:val="000B1930"/>
    <w:rsid w:val="000B1B2D"/>
    <w:rsid w:val="000B3459"/>
    <w:rsid w:val="000B5B1B"/>
    <w:rsid w:val="000C1EB1"/>
    <w:rsid w:val="000D25CE"/>
    <w:rsid w:val="000D2A2C"/>
    <w:rsid w:val="000D46F7"/>
    <w:rsid w:val="000E004E"/>
    <w:rsid w:val="000E3DAE"/>
    <w:rsid w:val="000F1302"/>
    <w:rsid w:val="000F1343"/>
    <w:rsid w:val="000F3C64"/>
    <w:rsid w:val="000F4B3A"/>
    <w:rsid w:val="000F6CCD"/>
    <w:rsid w:val="000F774A"/>
    <w:rsid w:val="001001BB"/>
    <w:rsid w:val="001051E2"/>
    <w:rsid w:val="001059F4"/>
    <w:rsid w:val="00107381"/>
    <w:rsid w:val="00114663"/>
    <w:rsid w:val="00122AC2"/>
    <w:rsid w:val="0012426F"/>
    <w:rsid w:val="00127BC1"/>
    <w:rsid w:val="00127CF3"/>
    <w:rsid w:val="00132DF9"/>
    <w:rsid w:val="00136AB9"/>
    <w:rsid w:val="001371B5"/>
    <w:rsid w:val="0013747A"/>
    <w:rsid w:val="00141780"/>
    <w:rsid w:val="00143B39"/>
    <w:rsid w:val="00146B1B"/>
    <w:rsid w:val="00147D8D"/>
    <w:rsid w:val="001501E6"/>
    <w:rsid w:val="00150EB6"/>
    <w:rsid w:val="00153832"/>
    <w:rsid w:val="00154F7C"/>
    <w:rsid w:val="0015715F"/>
    <w:rsid w:val="00157259"/>
    <w:rsid w:val="00163462"/>
    <w:rsid w:val="0017092E"/>
    <w:rsid w:val="001763BD"/>
    <w:rsid w:val="00176577"/>
    <w:rsid w:val="0019322C"/>
    <w:rsid w:val="00193772"/>
    <w:rsid w:val="001A2575"/>
    <w:rsid w:val="001A32D5"/>
    <w:rsid w:val="001A5942"/>
    <w:rsid w:val="001B0708"/>
    <w:rsid w:val="001B13C4"/>
    <w:rsid w:val="001B15D0"/>
    <w:rsid w:val="001B44AC"/>
    <w:rsid w:val="001B5E1A"/>
    <w:rsid w:val="001C14A1"/>
    <w:rsid w:val="001C1743"/>
    <w:rsid w:val="001C34BE"/>
    <w:rsid w:val="001C5BB8"/>
    <w:rsid w:val="001C7099"/>
    <w:rsid w:val="001D1959"/>
    <w:rsid w:val="001D1D6E"/>
    <w:rsid w:val="001D386E"/>
    <w:rsid w:val="001E237E"/>
    <w:rsid w:val="001E5D9B"/>
    <w:rsid w:val="001E6002"/>
    <w:rsid w:val="001F2941"/>
    <w:rsid w:val="001F4A3F"/>
    <w:rsid w:val="001F5228"/>
    <w:rsid w:val="001F633C"/>
    <w:rsid w:val="00201D3D"/>
    <w:rsid w:val="002028E5"/>
    <w:rsid w:val="002053AB"/>
    <w:rsid w:val="0020545F"/>
    <w:rsid w:val="002067D8"/>
    <w:rsid w:val="0021493E"/>
    <w:rsid w:val="002223FB"/>
    <w:rsid w:val="0022267B"/>
    <w:rsid w:val="00222EFD"/>
    <w:rsid w:val="0022489D"/>
    <w:rsid w:val="002307B3"/>
    <w:rsid w:val="00230BEA"/>
    <w:rsid w:val="002318E3"/>
    <w:rsid w:val="00234AFB"/>
    <w:rsid w:val="002368A7"/>
    <w:rsid w:val="00237E13"/>
    <w:rsid w:val="00241B67"/>
    <w:rsid w:val="0024236A"/>
    <w:rsid w:val="002444BE"/>
    <w:rsid w:val="00244658"/>
    <w:rsid w:val="00245C0F"/>
    <w:rsid w:val="00245E48"/>
    <w:rsid w:val="002464CF"/>
    <w:rsid w:val="0025141B"/>
    <w:rsid w:val="00255731"/>
    <w:rsid w:val="00260302"/>
    <w:rsid w:val="00261C6B"/>
    <w:rsid w:val="00261D5E"/>
    <w:rsid w:val="002646B3"/>
    <w:rsid w:val="00267876"/>
    <w:rsid w:val="00267C99"/>
    <w:rsid w:val="00277267"/>
    <w:rsid w:val="002773EA"/>
    <w:rsid w:val="002834DE"/>
    <w:rsid w:val="002864B3"/>
    <w:rsid w:val="00286FE0"/>
    <w:rsid w:val="0029049A"/>
    <w:rsid w:val="00291E3F"/>
    <w:rsid w:val="002934BF"/>
    <w:rsid w:val="0029449A"/>
    <w:rsid w:val="00295917"/>
    <w:rsid w:val="002A5E98"/>
    <w:rsid w:val="002B1799"/>
    <w:rsid w:val="002B4500"/>
    <w:rsid w:val="002B7FCA"/>
    <w:rsid w:val="002C6797"/>
    <w:rsid w:val="002C67E9"/>
    <w:rsid w:val="002C6C89"/>
    <w:rsid w:val="002C6F1E"/>
    <w:rsid w:val="002E0E30"/>
    <w:rsid w:val="002E1D92"/>
    <w:rsid w:val="002F1452"/>
    <w:rsid w:val="002F14D3"/>
    <w:rsid w:val="002F4FAB"/>
    <w:rsid w:val="003050DE"/>
    <w:rsid w:val="0031337D"/>
    <w:rsid w:val="00315F2D"/>
    <w:rsid w:val="003212D3"/>
    <w:rsid w:val="00325154"/>
    <w:rsid w:val="00325FAE"/>
    <w:rsid w:val="003308E9"/>
    <w:rsid w:val="00330CF0"/>
    <w:rsid w:val="0033565E"/>
    <w:rsid w:val="00335ADD"/>
    <w:rsid w:val="00341EA7"/>
    <w:rsid w:val="003421B8"/>
    <w:rsid w:val="0035369A"/>
    <w:rsid w:val="00353A6C"/>
    <w:rsid w:val="0035472F"/>
    <w:rsid w:val="00367F01"/>
    <w:rsid w:val="00371C6D"/>
    <w:rsid w:val="00374848"/>
    <w:rsid w:val="00375D37"/>
    <w:rsid w:val="003771B9"/>
    <w:rsid w:val="00387158"/>
    <w:rsid w:val="003878AE"/>
    <w:rsid w:val="003A0183"/>
    <w:rsid w:val="003A7F61"/>
    <w:rsid w:val="003B3EAA"/>
    <w:rsid w:val="003B40C6"/>
    <w:rsid w:val="003B4963"/>
    <w:rsid w:val="003B6125"/>
    <w:rsid w:val="003C004A"/>
    <w:rsid w:val="003C2DCF"/>
    <w:rsid w:val="003C2F95"/>
    <w:rsid w:val="003C72A0"/>
    <w:rsid w:val="003D1B14"/>
    <w:rsid w:val="003D1F68"/>
    <w:rsid w:val="003D4744"/>
    <w:rsid w:val="003E2FDB"/>
    <w:rsid w:val="003E610D"/>
    <w:rsid w:val="003E7017"/>
    <w:rsid w:val="003F1B35"/>
    <w:rsid w:val="00401572"/>
    <w:rsid w:val="00401DDE"/>
    <w:rsid w:val="00402E98"/>
    <w:rsid w:val="004046B0"/>
    <w:rsid w:val="00404804"/>
    <w:rsid w:val="0040577E"/>
    <w:rsid w:val="004073EA"/>
    <w:rsid w:val="00414C12"/>
    <w:rsid w:val="00415226"/>
    <w:rsid w:val="004177CE"/>
    <w:rsid w:val="004202C9"/>
    <w:rsid w:val="00423351"/>
    <w:rsid w:val="00423547"/>
    <w:rsid w:val="00426A7E"/>
    <w:rsid w:val="004305C1"/>
    <w:rsid w:val="0043288B"/>
    <w:rsid w:val="00440C8B"/>
    <w:rsid w:val="004429CE"/>
    <w:rsid w:val="0044348A"/>
    <w:rsid w:val="00450EF9"/>
    <w:rsid w:val="004512B8"/>
    <w:rsid w:val="00451864"/>
    <w:rsid w:val="004604F2"/>
    <w:rsid w:val="00460EC4"/>
    <w:rsid w:val="00461B1D"/>
    <w:rsid w:val="00462BA8"/>
    <w:rsid w:val="00464BDE"/>
    <w:rsid w:val="004736ED"/>
    <w:rsid w:val="00474BF1"/>
    <w:rsid w:val="004760E6"/>
    <w:rsid w:val="00480746"/>
    <w:rsid w:val="00480764"/>
    <w:rsid w:val="00481600"/>
    <w:rsid w:val="00482F2A"/>
    <w:rsid w:val="0048461E"/>
    <w:rsid w:val="004850F5"/>
    <w:rsid w:val="00487656"/>
    <w:rsid w:val="004930FC"/>
    <w:rsid w:val="00494929"/>
    <w:rsid w:val="00495A28"/>
    <w:rsid w:val="0049737C"/>
    <w:rsid w:val="004A020C"/>
    <w:rsid w:val="004A2A9F"/>
    <w:rsid w:val="004A3F8C"/>
    <w:rsid w:val="004A5D0F"/>
    <w:rsid w:val="004A6D88"/>
    <w:rsid w:val="004A6E8A"/>
    <w:rsid w:val="004B4554"/>
    <w:rsid w:val="004B6125"/>
    <w:rsid w:val="004C6BB4"/>
    <w:rsid w:val="004C7241"/>
    <w:rsid w:val="004D2397"/>
    <w:rsid w:val="004E51E3"/>
    <w:rsid w:val="004E548F"/>
    <w:rsid w:val="004E6DE4"/>
    <w:rsid w:val="004E7217"/>
    <w:rsid w:val="004F13A5"/>
    <w:rsid w:val="004F1EEC"/>
    <w:rsid w:val="00501B79"/>
    <w:rsid w:val="00502677"/>
    <w:rsid w:val="005046B9"/>
    <w:rsid w:val="0050577A"/>
    <w:rsid w:val="00507FF4"/>
    <w:rsid w:val="00512A76"/>
    <w:rsid w:val="00514A14"/>
    <w:rsid w:val="005152E5"/>
    <w:rsid w:val="00521946"/>
    <w:rsid w:val="00533374"/>
    <w:rsid w:val="0053350B"/>
    <w:rsid w:val="00534855"/>
    <w:rsid w:val="0053518F"/>
    <w:rsid w:val="00547C1D"/>
    <w:rsid w:val="0055639C"/>
    <w:rsid w:val="00557659"/>
    <w:rsid w:val="0056314A"/>
    <w:rsid w:val="00564147"/>
    <w:rsid w:val="00564716"/>
    <w:rsid w:val="00565137"/>
    <w:rsid w:val="0056736D"/>
    <w:rsid w:val="00567AA0"/>
    <w:rsid w:val="00572250"/>
    <w:rsid w:val="005725AC"/>
    <w:rsid w:val="0057380B"/>
    <w:rsid w:val="00580081"/>
    <w:rsid w:val="0058317D"/>
    <w:rsid w:val="005850F6"/>
    <w:rsid w:val="005922C1"/>
    <w:rsid w:val="005937A2"/>
    <w:rsid w:val="005A28A6"/>
    <w:rsid w:val="005A299D"/>
    <w:rsid w:val="005A3D3F"/>
    <w:rsid w:val="005A3D95"/>
    <w:rsid w:val="005A4217"/>
    <w:rsid w:val="005A5F1D"/>
    <w:rsid w:val="005B0694"/>
    <w:rsid w:val="005B5381"/>
    <w:rsid w:val="005B653E"/>
    <w:rsid w:val="005B719E"/>
    <w:rsid w:val="005C3434"/>
    <w:rsid w:val="005C3461"/>
    <w:rsid w:val="005C44BF"/>
    <w:rsid w:val="005C55DA"/>
    <w:rsid w:val="005C6476"/>
    <w:rsid w:val="005D030C"/>
    <w:rsid w:val="005D3F25"/>
    <w:rsid w:val="005E27E8"/>
    <w:rsid w:val="005E3DC8"/>
    <w:rsid w:val="005E46BB"/>
    <w:rsid w:val="005E7977"/>
    <w:rsid w:val="005F37F0"/>
    <w:rsid w:val="005F403A"/>
    <w:rsid w:val="005F5D66"/>
    <w:rsid w:val="006006F3"/>
    <w:rsid w:val="00600F39"/>
    <w:rsid w:val="00605626"/>
    <w:rsid w:val="00605FEB"/>
    <w:rsid w:val="00611B94"/>
    <w:rsid w:val="00612AA0"/>
    <w:rsid w:val="006131E8"/>
    <w:rsid w:val="00613BE0"/>
    <w:rsid w:val="00614A14"/>
    <w:rsid w:val="00616C1C"/>
    <w:rsid w:val="00622374"/>
    <w:rsid w:val="00624DF4"/>
    <w:rsid w:val="0062647B"/>
    <w:rsid w:val="00634A2B"/>
    <w:rsid w:val="00641AEF"/>
    <w:rsid w:val="006423AE"/>
    <w:rsid w:val="00643490"/>
    <w:rsid w:val="0064427E"/>
    <w:rsid w:val="00645176"/>
    <w:rsid w:val="00647952"/>
    <w:rsid w:val="00656A7C"/>
    <w:rsid w:val="0066024B"/>
    <w:rsid w:val="00661980"/>
    <w:rsid w:val="00661E8B"/>
    <w:rsid w:val="0066396B"/>
    <w:rsid w:val="00665873"/>
    <w:rsid w:val="0067312C"/>
    <w:rsid w:val="00673519"/>
    <w:rsid w:val="0067680F"/>
    <w:rsid w:val="00680B6B"/>
    <w:rsid w:val="0068198E"/>
    <w:rsid w:val="006827C8"/>
    <w:rsid w:val="00684FD2"/>
    <w:rsid w:val="006857E6"/>
    <w:rsid w:val="00685A43"/>
    <w:rsid w:val="00686231"/>
    <w:rsid w:val="006868C8"/>
    <w:rsid w:val="006956E0"/>
    <w:rsid w:val="00695FE5"/>
    <w:rsid w:val="006A63A2"/>
    <w:rsid w:val="006A72E8"/>
    <w:rsid w:val="006B7DA7"/>
    <w:rsid w:val="006C109F"/>
    <w:rsid w:val="006C7048"/>
    <w:rsid w:val="006C736C"/>
    <w:rsid w:val="006D79F3"/>
    <w:rsid w:val="006E56CA"/>
    <w:rsid w:val="006E6CAB"/>
    <w:rsid w:val="006F073F"/>
    <w:rsid w:val="006F5308"/>
    <w:rsid w:val="006F5FDD"/>
    <w:rsid w:val="006F7845"/>
    <w:rsid w:val="00700AC3"/>
    <w:rsid w:val="007016E9"/>
    <w:rsid w:val="00711511"/>
    <w:rsid w:val="007148C4"/>
    <w:rsid w:val="0072348B"/>
    <w:rsid w:val="00726E94"/>
    <w:rsid w:val="0073044C"/>
    <w:rsid w:val="00731BCB"/>
    <w:rsid w:val="00732236"/>
    <w:rsid w:val="0073308A"/>
    <w:rsid w:val="0073413B"/>
    <w:rsid w:val="00735287"/>
    <w:rsid w:val="007358E1"/>
    <w:rsid w:val="00743F1F"/>
    <w:rsid w:val="00746F79"/>
    <w:rsid w:val="00747245"/>
    <w:rsid w:val="00747842"/>
    <w:rsid w:val="00750EEF"/>
    <w:rsid w:val="00762986"/>
    <w:rsid w:val="00765B28"/>
    <w:rsid w:val="007674F0"/>
    <w:rsid w:val="007715AF"/>
    <w:rsid w:val="00772143"/>
    <w:rsid w:val="00772232"/>
    <w:rsid w:val="007810DD"/>
    <w:rsid w:val="00791C22"/>
    <w:rsid w:val="00791CCE"/>
    <w:rsid w:val="00792838"/>
    <w:rsid w:val="00797017"/>
    <w:rsid w:val="007A150C"/>
    <w:rsid w:val="007A1FBE"/>
    <w:rsid w:val="007A3C7F"/>
    <w:rsid w:val="007A5E65"/>
    <w:rsid w:val="007A69A0"/>
    <w:rsid w:val="007B19B4"/>
    <w:rsid w:val="007B3074"/>
    <w:rsid w:val="007B3C28"/>
    <w:rsid w:val="007B4057"/>
    <w:rsid w:val="007B4158"/>
    <w:rsid w:val="007B5ABE"/>
    <w:rsid w:val="007C7321"/>
    <w:rsid w:val="007C7C64"/>
    <w:rsid w:val="007D3CBA"/>
    <w:rsid w:val="007D6569"/>
    <w:rsid w:val="007D6F7F"/>
    <w:rsid w:val="007E12C6"/>
    <w:rsid w:val="007E2C4E"/>
    <w:rsid w:val="007E6938"/>
    <w:rsid w:val="007E7E21"/>
    <w:rsid w:val="007F0F8D"/>
    <w:rsid w:val="008000B1"/>
    <w:rsid w:val="00801456"/>
    <w:rsid w:val="00801A74"/>
    <w:rsid w:val="008066DE"/>
    <w:rsid w:val="0081235C"/>
    <w:rsid w:val="00817A5F"/>
    <w:rsid w:val="00822917"/>
    <w:rsid w:val="00823BED"/>
    <w:rsid w:val="00827CCE"/>
    <w:rsid w:val="00832026"/>
    <w:rsid w:val="00841677"/>
    <w:rsid w:val="0084364F"/>
    <w:rsid w:val="00843FB0"/>
    <w:rsid w:val="0084503F"/>
    <w:rsid w:val="00846353"/>
    <w:rsid w:val="00847C98"/>
    <w:rsid w:val="0085211A"/>
    <w:rsid w:val="00855B1A"/>
    <w:rsid w:val="00863323"/>
    <w:rsid w:val="008634EA"/>
    <w:rsid w:val="00863835"/>
    <w:rsid w:val="008648D3"/>
    <w:rsid w:val="00865A73"/>
    <w:rsid w:val="008730C1"/>
    <w:rsid w:val="008733BD"/>
    <w:rsid w:val="00874E76"/>
    <w:rsid w:val="00875D4F"/>
    <w:rsid w:val="0087663F"/>
    <w:rsid w:val="008771AD"/>
    <w:rsid w:val="0088053C"/>
    <w:rsid w:val="008814A4"/>
    <w:rsid w:val="008923DB"/>
    <w:rsid w:val="00896188"/>
    <w:rsid w:val="00897B4A"/>
    <w:rsid w:val="00897EAF"/>
    <w:rsid w:val="008A083D"/>
    <w:rsid w:val="008A0875"/>
    <w:rsid w:val="008B0EAD"/>
    <w:rsid w:val="008B26FB"/>
    <w:rsid w:val="008B2EB9"/>
    <w:rsid w:val="008B7A0D"/>
    <w:rsid w:val="008B7B4C"/>
    <w:rsid w:val="008C0086"/>
    <w:rsid w:val="008C1921"/>
    <w:rsid w:val="008C2152"/>
    <w:rsid w:val="008C23A2"/>
    <w:rsid w:val="008C38BE"/>
    <w:rsid w:val="008C63D0"/>
    <w:rsid w:val="008C7339"/>
    <w:rsid w:val="008D0F80"/>
    <w:rsid w:val="008D1CE3"/>
    <w:rsid w:val="008D556C"/>
    <w:rsid w:val="008E0B93"/>
    <w:rsid w:val="008E5FC0"/>
    <w:rsid w:val="008E6398"/>
    <w:rsid w:val="008E7CA8"/>
    <w:rsid w:val="008F03C9"/>
    <w:rsid w:val="008F461E"/>
    <w:rsid w:val="00902466"/>
    <w:rsid w:val="00903063"/>
    <w:rsid w:val="00904001"/>
    <w:rsid w:val="00906137"/>
    <w:rsid w:val="009067CA"/>
    <w:rsid w:val="00910EF8"/>
    <w:rsid w:val="00911BB1"/>
    <w:rsid w:val="00912EB3"/>
    <w:rsid w:val="00915507"/>
    <w:rsid w:val="00917485"/>
    <w:rsid w:val="00924BD5"/>
    <w:rsid w:val="00926475"/>
    <w:rsid w:val="0092729F"/>
    <w:rsid w:val="0093079E"/>
    <w:rsid w:val="00930F3B"/>
    <w:rsid w:val="00932743"/>
    <w:rsid w:val="009327C1"/>
    <w:rsid w:val="00935736"/>
    <w:rsid w:val="00937BED"/>
    <w:rsid w:val="00941CAC"/>
    <w:rsid w:val="00945587"/>
    <w:rsid w:val="00951315"/>
    <w:rsid w:val="00952A6C"/>
    <w:rsid w:val="009568CE"/>
    <w:rsid w:val="009569EE"/>
    <w:rsid w:val="009572D7"/>
    <w:rsid w:val="009618E0"/>
    <w:rsid w:val="00962228"/>
    <w:rsid w:val="00964A8F"/>
    <w:rsid w:val="00964CD4"/>
    <w:rsid w:val="0096574E"/>
    <w:rsid w:val="00966AE1"/>
    <w:rsid w:val="00971611"/>
    <w:rsid w:val="00975A93"/>
    <w:rsid w:val="0097649B"/>
    <w:rsid w:val="0098274C"/>
    <w:rsid w:val="00984A99"/>
    <w:rsid w:val="0098573F"/>
    <w:rsid w:val="0098684B"/>
    <w:rsid w:val="0099166C"/>
    <w:rsid w:val="0099286C"/>
    <w:rsid w:val="009A14ED"/>
    <w:rsid w:val="009A206F"/>
    <w:rsid w:val="009A28A4"/>
    <w:rsid w:val="009A2E30"/>
    <w:rsid w:val="009A56B3"/>
    <w:rsid w:val="009A5F1A"/>
    <w:rsid w:val="009A69B2"/>
    <w:rsid w:val="009A6BED"/>
    <w:rsid w:val="009B667D"/>
    <w:rsid w:val="009C07A1"/>
    <w:rsid w:val="009C34D4"/>
    <w:rsid w:val="009C47C2"/>
    <w:rsid w:val="009C746E"/>
    <w:rsid w:val="009D091F"/>
    <w:rsid w:val="009D1A8A"/>
    <w:rsid w:val="009D1BF6"/>
    <w:rsid w:val="009D1DBB"/>
    <w:rsid w:val="009D3BAD"/>
    <w:rsid w:val="009D4D45"/>
    <w:rsid w:val="009D4EFF"/>
    <w:rsid w:val="009D74C7"/>
    <w:rsid w:val="009E208A"/>
    <w:rsid w:val="009E65B0"/>
    <w:rsid w:val="009F348F"/>
    <w:rsid w:val="009F4725"/>
    <w:rsid w:val="009F6256"/>
    <w:rsid w:val="009F6919"/>
    <w:rsid w:val="00A00197"/>
    <w:rsid w:val="00A00AD0"/>
    <w:rsid w:val="00A00DE6"/>
    <w:rsid w:val="00A045EC"/>
    <w:rsid w:val="00A07696"/>
    <w:rsid w:val="00A076F6"/>
    <w:rsid w:val="00A12515"/>
    <w:rsid w:val="00A15463"/>
    <w:rsid w:val="00A15D99"/>
    <w:rsid w:val="00A172E5"/>
    <w:rsid w:val="00A175AB"/>
    <w:rsid w:val="00A20A50"/>
    <w:rsid w:val="00A2518A"/>
    <w:rsid w:val="00A32C0E"/>
    <w:rsid w:val="00A35947"/>
    <w:rsid w:val="00A37B14"/>
    <w:rsid w:val="00A439C5"/>
    <w:rsid w:val="00A507E4"/>
    <w:rsid w:val="00A52F8B"/>
    <w:rsid w:val="00A55BCE"/>
    <w:rsid w:val="00A56550"/>
    <w:rsid w:val="00A5735C"/>
    <w:rsid w:val="00A60C8B"/>
    <w:rsid w:val="00A71C58"/>
    <w:rsid w:val="00A72E1B"/>
    <w:rsid w:val="00A758B5"/>
    <w:rsid w:val="00A75C56"/>
    <w:rsid w:val="00A80B3A"/>
    <w:rsid w:val="00A83583"/>
    <w:rsid w:val="00A97476"/>
    <w:rsid w:val="00AA1363"/>
    <w:rsid w:val="00AA4540"/>
    <w:rsid w:val="00AA5603"/>
    <w:rsid w:val="00AA60DB"/>
    <w:rsid w:val="00AA61D5"/>
    <w:rsid w:val="00AA6D89"/>
    <w:rsid w:val="00AA6EE8"/>
    <w:rsid w:val="00AB31F7"/>
    <w:rsid w:val="00AB4ED7"/>
    <w:rsid w:val="00AC261B"/>
    <w:rsid w:val="00AC3347"/>
    <w:rsid w:val="00AD021B"/>
    <w:rsid w:val="00AE1928"/>
    <w:rsid w:val="00AE4E34"/>
    <w:rsid w:val="00AF2D67"/>
    <w:rsid w:val="00AF5264"/>
    <w:rsid w:val="00B0029B"/>
    <w:rsid w:val="00B018A2"/>
    <w:rsid w:val="00B0371E"/>
    <w:rsid w:val="00B04D2C"/>
    <w:rsid w:val="00B04D5D"/>
    <w:rsid w:val="00B06783"/>
    <w:rsid w:val="00B07C88"/>
    <w:rsid w:val="00B10EE3"/>
    <w:rsid w:val="00B16EB8"/>
    <w:rsid w:val="00B215F4"/>
    <w:rsid w:val="00B23322"/>
    <w:rsid w:val="00B266E1"/>
    <w:rsid w:val="00B27409"/>
    <w:rsid w:val="00B34879"/>
    <w:rsid w:val="00B35D97"/>
    <w:rsid w:val="00B36CAB"/>
    <w:rsid w:val="00B40619"/>
    <w:rsid w:val="00B543DC"/>
    <w:rsid w:val="00B54C58"/>
    <w:rsid w:val="00B6091B"/>
    <w:rsid w:val="00B71B60"/>
    <w:rsid w:val="00B72D7C"/>
    <w:rsid w:val="00B75C47"/>
    <w:rsid w:val="00B80825"/>
    <w:rsid w:val="00B83914"/>
    <w:rsid w:val="00B85EA8"/>
    <w:rsid w:val="00B90A4A"/>
    <w:rsid w:val="00B90C4E"/>
    <w:rsid w:val="00B96111"/>
    <w:rsid w:val="00B96AC2"/>
    <w:rsid w:val="00B978EA"/>
    <w:rsid w:val="00BB401D"/>
    <w:rsid w:val="00BB6689"/>
    <w:rsid w:val="00BB7570"/>
    <w:rsid w:val="00BC4309"/>
    <w:rsid w:val="00BC6976"/>
    <w:rsid w:val="00BC7682"/>
    <w:rsid w:val="00BC772C"/>
    <w:rsid w:val="00BC7DF9"/>
    <w:rsid w:val="00BD0E57"/>
    <w:rsid w:val="00BD4CD9"/>
    <w:rsid w:val="00BD724B"/>
    <w:rsid w:val="00BE521A"/>
    <w:rsid w:val="00BE5FE9"/>
    <w:rsid w:val="00BE6BC1"/>
    <w:rsid w:val="00BF1C69"/>
    <w:rsid w:val="00BF1E21"/>
    <w:rsid w:val="00BF7DE0"/>
    <w:rsid w:val="00C0031E"/>
    <w:rsid w:val="00C06847"/>
    <w:rsid w:val="00C0728D"/>
    <w:rsid w:val="00C10F39"/>
    <w:rsid w:val="00C11E22"/>
    <w:rsid w:val="00C15C4C"/>
    <w:rsid w:val="00C2112D"/>
    <w:rsid w:val="00C21589"/>
    <w:rsid w:val="00C21C26"/>
    <w:rsid w:val="00C231A8"/>
    <w:rsid w:val="00C3128A"/>
    <w:rsid w:val="00C32BB8"/>
    <w:rsid w:val="00C34760"/>
    <w:rsid w:val="00C3745C"/>
    <w:rsid w:val="00C4536C"/>
    <w:rsid w:val="00C47403"/>
    <w:rsid w:val="00C512FF"/>
    <w:rsid w:val="00C57D42"/>
    <w:rsid w:val="00C61F38"/>
    <w:rsid w:val="00C62F0E"/>
    <w:rsid w:val="00C63602"/>
    <w:rsid w:val="00C63E4D"/>
    <w:rsid w:val="00C66F4B"/>
    <w:rsid w:val="00C74B04"/>
    <w:rsid w:val="00C767D2"/>
    <w:rsid w:val="00C76C4D"/>
    <w:rsid w:val="00C76C58"/>
    <w:rsid w:val="00C801F3"/>
    <w:rsid w:val="00C81019"/>
    <w:rsid w:val="00C81B52"/>
    <w:rsid w:val="00C8220E"/>
    <w:rsid w:val="00C8445E"/>
    <w:rsid w:val="00C86226"/>
    <w:rsid w:val="00C873D6"/>
    <w:rsid w:val="00C87C1A"/>
    <w:rsid w:val="00C9031C"/>
    <w:rsid w:val="00C92676"/>
    <w:rsid w:val="00CA0568"/>
    <w:rsid w:val="00CA1E97"/>
    <w:rsid w:val="00CB284E"/>
    <w:rsid w:val="00CD28F4"/>
    <w:rsid w:val="00CD31F9"/>
    <w:rsid w:val="00CD6AC8"/>
    <w:rsid w:val="00CE19AB"/>
    <w:rsid w:val="00CE3F92"/>
    <w:rsid w:val="00CE4D59"/>
    <w:rsid w:val="00CF5CA7"/>
    <w:rsid w:val="00D00973"/>
    <w:rsid w:val="00D019F6"/>
    <w:rsid w:val="00D01BA1"/>
    <w:rsid w:val="00D02B07"/>
    <w:rsid w:val="00D05AC5"/>
    <w:rsid w:val="00D126CC"/>
    <w:rsid w:val="00D13B79"/>
    <w:rsid w:val="00D1473B"/>
    <w:rsid w:val="00D158CD"/>
    <w:rsid w:val="00D17B2D"/>
    <w:rsid w:val="00D32419"/>
    <w:rsid w:val="00D3549E"/>
    <w:rsid w:val="00D35F53"/>
    <w:rsid w:val="00D4012B"/>
    <w:rsid w:val="00D43E92"/>
    <w:rsid w:val="00D45D6E"/>
    <w:rsid w:val="00D46C9B"/>
    <w:rsid w:val="00D47ECE"/>
    <w:rsid w:val="00D50C42"/>
    <w:rsid w:val="00D53721"/>
    <w:rsid w:val="00D53933"/>
    <w:rsid w:val="00D53B90"/>
    <w:rsid w:val="00D6194E"/>
    <w:rsid w:val="00D62384"/>
    <w:rsid w:val="00D64387"/>
    <w:rsid w:val="00D66F83"/>
    <w:rsid w:val="00D67DA8"/>
    <w:rsid w:val="00D71CBB"/>
    <w:rsid w:val="00D72740"/>
    <w:rsid w:val="00D72B78"/>
    <w:rsid w:val="00D74762"/>
    <w:rsid w:val="00D82342"/>
    <w:rsid w:val="00D8373C"/>
    <w:rsid w:val="00D9192D"/>
    <w:rsid w:val="00D91C28"/>
    <w:rsid w:val="00DA3F80"/>
    <w:rsid w:val="00DA4FDE"/>
    <w:rsid w:val="00DA78E6"/>
    <w:rsid w:val="00DA7BF7"/>
    <w:rsid w:val="00DB0327"/>
    <w:rsid w:val="00DB050E"/>
    <w:rsid w:val="00DB3F17"/>
    <w:rsid w:val="00DB4B0C"/>
    <w:rsid w:val="00DB6382"/>
    <w:rsid w:val="00DB6B99"/>
    <w:rsid w:val="00DB6D1C"/>
    <w:rsid w:val="00DB7746"/>
    <w:rsid w:val="00DC13C5"/>
    <w:rsid w:val="00DC2DEA"/>
    <w:rsid w:val="00DD42FB"/>
    <w:rsid w:val="00DD4822"/>
    <w:rsid w:val="00DD63CF"/>
    <w:rsid w:val="00DD6CA4"/>
    <w:rsid w:val="00DD6E5A"/>
    <w:rsid w:val="00DE0C5A"/>
    <w:rsid w:val="00DE1FF9"/>
    <w:rsid w:val="00DE3D07"/>
    <w:rsid w:val="00DE6127"/>
    <w:rsid w:val="00DF009B"/>
    <w:rsid w:val="00DF7F62"/>
    <w:rsid w:val="00E02011"/>
    <w:rsid w:val="00E0410E"/>
    <w:rsid w:val="00E1037C"/>
    <w:rsid w:val="00E20E1E"/>
    <w:rsid w:val="00E20ED8"/>
    <w:rsid w:val="00E265C7"/>
    <w:rsid w:val="00E27483"/>
    <w:rsid w:val="00E306E4"/>
    <w:rsid w:val="00E335D7"/>
    <w:rsid w:val="00E33BB3"/>
    <w:rsid w:val="00E34650"/>
    <w:rsid w:val="00E36093"/>
    <w:rsid w:val="00E4187A"/>
    <w:rsid w:val="00E45ABE"/>
    <w:rsid w:val="00E5099A"/>
    <w:rsid w:val="00E52A46"/>
    <w:rsid w:val="00E56D20"/>
    <w:rsid w:val="00E571EE"/>
    <w:rsid w:val="00E61FA1"/>
    <w:rsid w:val="00E635D4"/>
    <w:rsid w:val="00E64052"/>
    <w:rsid w:val="00E73846"/>
    <w:rsid w:val="00E7426C"/>
    <w:rsid w:val="00E75874"/>
    <w:rsid w:val="00E822DC"/>
    <w:rsid w:val="00E84FEC"/>
    <w:rsid w:val="00E9330F"/>
    <w:rsid w:val="00E94BA5"/>
    <w:rsid w:val="00E95F8D"/>
    <w:rsid w:val="00E96B6E"/>
    <w:rsid w:val="00E97CBE"/>
    <w:rsid w:val="00E97D4F"/>
    <w:rsid w:val="00EA001B"/>
    <w:rsid w:val="00EA14A4"/>
    <w:rsid w:val="00EA19C3"/>
    <w:rsid w:val="00EA394D"/>
    <w:rsid w:val="00EA3FFF"/>
    <w:rsid w:val="00EC21E8"/>
    <w:rsid w:val="00EC418B"/>
    <w:rsid w:val="00EC6EFE"/>
    <w:rsid w:val="00ED58D3"/>
    <w:rsid w:val="00EE1242"/>
    <w:rsid w:val="00EE5B52"/>
    <w:rsid w:val="00EF44C9"/>
    <w:rsid w:val="00EF7BF0"/>
    <w:rsid w:val="00F0660D"/>
    <w:rsid w:val="00F07D42"/>
    <w:rsid w:val="00F10B5C"/>
    <w:rsid w:val="00F16CCE"/>
    <w:rsid w:val="00F217DB"/>
    <w:rsid w:val="00F224ED"/>
    <w:rsid w:val="00F2272D"/>
    <w:rsid w:val="00F229B8"/>
    <w:rsid w:val="00F258B6"/>
    <w:rsid w:val="00F25954"/>
    <w:rsid w:val="00F34050"/>
    <w:rsid w:val="00F43F67"/>
    <w:rsid w:val="00F45203"/>
    <w:rsid w:val="00F457DE"/>
    <w:rsid w:val="00F47EDF"/>
    <w:rsid w:val="00F5203C"/>
    <w:rsid w:val="00F54716"/>
    <w:rsid w:val="00F54C8D"/>
    <w:rsid w:val="00F55A90"/>
    <w:rsid w:val="00F613ED"/>
    <w:rsid w:val="00F64648"/>
    <w:rsid w:val="00F64AA9"/>
    <w:rsid w:val="00F651B3"/>
    <w:rsid w:val="00F66DAB"/>
    <w:rsid w:val="00F758E7"/>
    <w:rsid w:val="00F76DB5"/>
    <w:rsid w:val="00F8225A"/>
    <w:rsid w:val="00F91BAE"/>
    <w:rsid w:val="00F91EA0"/>
    <w:rsid w:val="00F94807"/>
    <w:rsid w:val="00F96E01"/>
    <w:rsid w:val="00FA38E6"/>
    <w:rsid w:val="00FA7F00"/>
    <w:rsid w:val="00FC3D03"/>
    <w:rsid w:val="00FC4BEC"/>
    <w:rsid w:val="00FC4E23"/>
    <w:rsid w:val="00FC7D84"/>
    <w:rsid w:val="00FD0E37"/>
    <w:rsid w:val="00FD3AA7"/>
    <w:rsid w:val="00FD3C3C"/>
    <w:rsid w:val="00FD6717"/>
    <w:rsid w:val="00FE0585"/>
    <w:rsid w:val="00FE0CDD"/>
    <w:rsid w:val="00FE3551"/>
    <w:rsid w:val="00FE74F8"/>
    <w:rsid w:val="00FF0CCC"/>
    <w:rsid w:val="00FF360A"/>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2"/>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EFE"/>
    <w:rPr>
      <w:rFonts w:ascii="Arial" w:hAnsi="Arial"/>
      <w:sz w:val="24"/>
      <w:lang w:val="en-GB"/>
    </w:rPr>
  </w:style>
  <w:style w:type="paragraph" w:styleId="Heading1">
    <w:name w:val="heading 1"/>
    <w:basedOn w:val="Normal"/>
    <w:next w:val="Normal"/>
    <w:link w:val="Heading1Char"/>
    <w:qFormat/>
    <w:rsid w:val="00BE521A"/>
    <w:pPr>
      <w:spacing w:before="240"/>
      <w:outlineLvl w:val="0"/>
    </w:pPr>
    <w:rPr>
      <w:b/>
      <w:u w:val="single"/>
    </w:rPr>
  </w:style>
  <w:style w:type="paragraph" w:styleId="Heading2">
    <w:name w:val="heading 2"/>
    <w:basedOn w:val="Normal"/>
    <w:next w:val="Normal"/>
    <w:qFormat/>
    <w:rsid w:val="00DB0327"/>
    <w:pPr>
      <w:keepNext/>
      <w:spacing w:after="240"/>
      <w:outlineLvl w:val="1"/>
    </w:pPr>
    <w:rPr>
      <w:rFonts w:cs="Arial"/>
      <w:b/>
      <w:szCs w:val="24"/>
    </w:rPr>
  </w:style>
  <w:style w:type="paragraph" w:styleId="Heading3">
    <w:name w:val="heading 3"/>
    <w:basedOn w:val="Normal"/>
    <w:next w:val="Normal"/>
    <w:qFormat/>
    <w:rsid w:val="007B3074"/>
    <w:pPr>
      <w:keepNext/>
      <w:spacing w:after="240"/>
      <w:outlineLvl w:val="2"/>
    </w:pPr>
    <w:rPr>
      <w:rFonts w:ascii="Times New Roman" w:hAnsi="Times New Roman" w:cs="Arial"/>
      <w:bCs/>
      <w:i/>
      <w:szCs w:val="26"/>
    </w:rPr>
  </w:style>
  <w:style w:type="paragraph" w:styleId="Heading4">
    <w:name w:val="heading 4"/>
    <w:basedOn w:val="Normal"/>
    <w:next w:val="Normal"/>
    <w:link w:val="Heading4Char"/>
    <w:semiHidden/>
    <w:unhideWhenUsed/>
    <w:qFormat/>
    <w:rsid w:val="002444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521A"/>
    <w:pPr>
      <w:tabs>
        <w:tab w:val="center" w:pos="4819"/>
        <w:tab w:val="right" w:pos="9071"/>
      </w:tabs>
    </w:pPr>
  </w:style>
  <w:style w:type="paragraph" w:styleId="Header">
    <w:name w:val="header"/>
    <w:basedOn w:val="Normal"/>
    <w:rsid w:val="00BE521A"/>
    <w:pPr>
      <w:tabs>
        <w:tab w:val="center" w:pos="4819"/>
        <w:tab w:val="right" w:pos="9071"/>
      </w:tabs>
    </w:pPr>
  </w:style>
  <w:style w:type="paragraph" w:styleId="TOC1">
    <w:name w:val="toc 1"/>
    <w:basedOn w:val="Normal"/>
    <w:next w:val="Normal"/>
    <w:autoRedefine/>
    <w:semiHidden/>
    <w:rsid w:val="00BE521A"/>
    <w:pPr>
      <w:spacing w:before="120" w:after="120"/>
    </w:pPr>
    <w:rPr>
      <w:rFonts w:ascii="Times New Roman" w:hAnsi="Times New Roman"/>
      <w:b/>
      <w:bCs/>
      <w:caps/>
      <w:sz w:val="20"/>
    </w:rPr>
  </w:style>
  <w:style w:type="paragraph" w:styleId="TOC2">
    <w:name w:val="toc 2"/>
    <w:basedOn w:val="Normal"/>
    <w:next w:val="Normal"/>
    <w:autoRedefine/>
    <w:semiHidden/>
    <w:rsid w:val="00BE521A"/>
    <w:pPr>
      <w:ind w:left="240"/>
    </w:pPr>
    <w:rPr>
      <w:rFonts w:ascii="Times New Roman" w:hAnsi="Times New Roman"/>
      <w:smallCaps/>
      <w:sz w:val="20"/>
    </w:rPr>
  </w:style>
  <w:style w:type="character" w:styleId="Hyperlink">
    <w:name w:val="Hyperlink"/>
    <w:rsid w:val="00BE521A"/>
    <w:rPr>
      <w:color w:val="0000FF"/>
      <w:u w:val="single"/>
    </w:rPr>
  </w:style>
  <w:style w:type="character" w:styleId="PageNumber">
    <w:name w:val="page number"/>
    <w:basedOn w:val="DefaultParagraphFont"/>
    <w:rsid w:val="00BE521A"/>
  </w:style>
  <w:style w:type="paragraph" w:customStyle="1" w:styleId="StyleHeading1TimesNewRoman14ptNounderline">
    <w:name w:val="Style Heading 1 + Times New Roman 14 pt No underline"/>
    <w:basedOn w:val="Heading1"/>
    <w:rsid w:val="007B3074"/>
    <w:pPr>
      <w:spacing w:before="0" w:after="240"/>
    </w:pPr>
    <w:rPr>
      <w:rFonts w:ascii="Times New Roman" w:hAnsi="Times New Roman"/>
      <w:bCs/>
      <w:sz w:val="28"/>
      <w:u w:val="none"/>
    </w:rPr>
  </w:style>
  <w:style w:type="paragraph" w:customStyle="1" w:styleId="StyleHeading1TimesNewRoman14ptNounderline1">
    <w:name w:val="Style Heading 1 + Times New Roman 14 pt No underline1"/>
    <w:basedOn w:val="Heading1"/>
    <w:rsid w:val="007B3074"/>
    <w:pPr>
      <w:spacing w:before="0" w:after="240"/>
    </w:pPr>
    <w:rPr>
      <w:rFonts w:ascii="Times New Roman" w:hAnsi="Times New Roman"/>
      <w:bCs/>
      <w:sz w:val="28"/>
      <w:u w:val="none"/>
    </w:rPr>
  </w:style>
  <w:style w:type="paragraph" w:styleId="FootnoteText">
    <w:name w:val="footnote text"/>
    <w:basedOn w:val="Normal"/>
    <w:link w:val="FootnoteTextChar"/>
    <w:uiPriority w:val="2"/>
    <w:rsid w:val="00A12515"/>
    <w:rPr>
      <w:sz w:val="20"/>
    </w:rPr>
  </w:style>
  <w:style w:type="character" w:styleId="FootnoteReference">
    <w:name w:val="footnote reference"/>
    <w:uiPriority w:val="99"/>
    <w:semiHidden/>
    <w:rsid w:val="00A12515"/>
    <w:rPr>
      <w:vertAlign w:val="superscript"/>
    </w:rPr>
  </w:style>
  <w:style w:type="paragraph" w:styleId="TOC3">
    <w:name w:val="toc 3"/>
    <w:basedOn w:val="Normal"/>
    <w:next w:val="Normal"/>
    <w:autoRedefine/>
    <w:semiHidden/>
    <w:rsid w:val="004A6D88"/>
    <w:pPr>
      <w:ind w:left="480"/>
    </w:pPr>
    <w:rPr>
      <w:rFonts w:ascii="Times New Roman" w:hAnsi="Times New Roman"/>
      <w:i/>
      <w:iCs/>
      <w:sz w:val="20"/>
    </w:rPr>
  </w:style>
  <w:style w:type="paragraph" w:styleId="Title">
    <w:name w:val="Title"/>
    <w:basedOn w:val="Normal"/>
    <w:qFormat/>
    <w:rsid w:val="00E56D20"/>
    <w:pPr>
      <w:jc w:val="center"/>
    </w:pPr>
    <w:rPr>
      <w:rFonts w:ascii="Times New Roman" w:hAnsi="Times New Roman"/>
      <w:b/>
      <w:sz w:val="28"/>
    </w:rPr>
  </w:style>
  <w:style w:type="paragraph" w:styleId="Subtitle">
    <w:name w:val="Subtitle"/>
    <w:basedOn w:val="Normal"/>
    <w:qFormat/>
    <w:rsid w:val="00E56D20"/>
    <w:pPr>
      <w:jc w:val="center"/>
    </w:pPr>
    <w:rPr>
      <w:rFonts w:ascii="Times New Roman" w:hAnsi="Times New Roman"/>
      <w:b/>
      <w:sz w:val="28"/>
    </w:rPr>
  </w:style>
  <w:style w:type="paragraph" w:styleId="TOC4">
    <w:name w:val="toc 4"/>
    <w:basedOn w:val="Normal"/>
    <w:next w:val="Normal"/>
    <w:autoRedefine/>
    <w:semiHidden/>
    <w:rsid w:val="00772143"/>
    <w:pPr>
      <w:ind w:left="720"/>
    </w:pPr>
    <w:rPr>
      <w:rFonts w:ascii="Times New Roman" w:hAnsi="Times New Roman"/>
      <w:sz w:val="18"/>
      <w:szCs w:val="18"/>
    </w:rPr>
  </w:style>
  <w:style w:type="paragraph" w:styleId="TOC5">
    <w:name w:val="toc 5"/>
    <w:basedOn w:val="Normal"/>
    <w:next w:val="Normal"/>
    <w:autoRedefine/>
    <w:semiHidden/>
    <w:rsid w:val="00772143"/>
    <w:pPr>
      <w:ind w:left="960"/>
    </w:pPr>
    <w:rPr>
      <w:rFonts w:ascii="Times New Roman" w:hAnsi="Times New Roman"/>
      <w:sz w:val="18"/>
      <w:szCs w:val="18"/>
    </w:rPr>
  </w:style>
  <w:style w:type="paragraph" w:styleId="TOC6">
    <w:name w:val="toc 6"/>
    <w:basedOn w:val="Normal"/>
    <w:next w:val="Normal"/>
    <w:autoRedefine/>
    <w:semiHidden/>
    <w:rsid w:val="00772143"/>
    <w:pPr>
      <w:ind w:left="1200"/>
    </w:pPr>
    <w:rPr>
      <w:rFonts w:ascii="Times New Roman" w:hAnsi="Times New Roman"/>
      <w:sz w:val="18"/>
      <w:szCs w:val="18"/>
    </w:rPr>
  </w:style>
  <w:style w:type="paragraph" w:styleId="TOC7">
    <w:name w:val="toc 7"/>
    <w:basedOn w:val="Normal"/>
    <w:next w:val="Normal"/>
    <w:autoRedefine/>
    <w:semiHidden/>
    <w:rsid w:val="00772143"/>
    <w:pPr>
      <w:ind w:left="1440"/>
    </w:pPr>
    <w:rPr>
      <w:rFonts w:ascii="Times New Roman" w:hAnsi="Times New Roman"/>
      <w:sz w:val="18"/>
      <w:szCs w:val="18"/>
    </w:rPr>
  </w:style>
  <w:style w:type="paragraph" w:styleId="TOC8">
    <w:name w:val="toc 8"/>
    <w:basedOn w:val="Normal"/>
    <w:next w:val="Normal"/>
    <w:autoRedefine/>
    <w:semiHidden/>
    <w:rsid w:val="00772143"/>
    <w:pPr>
      <w:ind w:left="1680"/>
    </w:pPr>
    <w:rPr>
      <w:rFonts w:ascii="Times New Roman" w:hAnsi="Times New Roman"/>
      <w:sz w:val="18"/>
      <w:szCs w:val="18"/>
    </w:rPr>
  </w:style>
  <w:style w:type="paragraph" w:styleId="TOC9">
    <w:name w:val="toc 9"/>
    <w:basedOn w:val="Normal"/>
    <w:next w:val="Normal"/>
    <w:autoRedefine/>
    <w:semiHidden/>
    <w:rsid w:val="00772143"/>
    <w:pPr>
      <w:ind w:left="1920"/>
    </w:pPr>
    <w:rPr>
      <w:rFonts w:ascii="Times New Roman" w:hAnsi="Times New Roman"/>
      <w:sz w:val="18"/>
      <w:szCs w:val="18"/>
    </w:rPr>
  </w:style>
  <w:style w:type="paragraph" w:styleId="BodyText">
    <w:name w:val="Body Text"/>
    <w:basedOn w:val="Normal"/>
    <w:rsid w:val="002934BF"/>
    <w:rPr>
      <w:rFonts w:ascii="Times New Roman" w:hAnsi="Times New Roman"/>
      <w:i/>
      <w:lang w:val="en-AU"/>
    </w:rPr>
  </w:style>
  <w:style w:type="paragraph" w:customStyle="1" w:styleId="Summarytextbox">
    <w:name w:val="Summary text box"/>
    <w:qFormat/>
    <w:rsid w:val="00DA78E6"/>
    <w:pPr>
      <w:shd w:val="clear" w:color="auto" w:fill="E6E6E6"/>
      <w:spacing w:after="120"/>
    </w:pPr>
    <w:rPr>
      <w:rFonts w:ascii="Arial" w:hAnsi="Arial"/>
      <w:b/>
      <w:sz w:val="22"/>
      <w:szCs w:val="22"/>
      <w:lang w:eastAsia="en-US"/>
    </w:rPr>
  </w:style>
  <w:style w:type="character" w:customStyle="1" w:styleId="FootnoteTextChar">
    <w:name w:val="Footnote Text Char"/>
    <w:link w:val="FootnoteText"/>
    <w:uiPriority w:val="2"/>
    <w:rsid w:val="009D4D45"/>
    <w:rPr>
      <w:rFonts w:ascii="Arial" w:hAnsi="Arial"/>
      <w:lang w:val="en-GB"/>
    </w:rPr>
  </w:style>
  <w:style w:type="numbering" w:customStyle="1" w:styleId="Style1">
    <w:name w:val="Style1"/>
    <w:rsid w:val="00F45203"/>
    <w:pPr>
      <w:numPr>
        <w:numId w:val="5"/>
      </w:numPr>
    </w:pPr>
  </w:style>
  <w:style w:type="numbering" w:customStyle="1" w:styleId="Style2">
    <w:name w:val="Style2"/>
    <w:rsid w:val="00F45203"/>
    <w:pPr>
      <w:numPr>
        <w:numId w:val="6"/>
      </w:numPr>
    </w:pPr>
  </w:style>
  <w:style w:type="character" w:styleId="CommentReference">
    <w:name w:val="annotation reference"/>
    <w:rsid w:val="00E20ED8"/>
    <w:rPr>
      <w:sz w:val="16"/>
      <w:szCs w:val="16"/>
    </w:rPr>
  </w:style>
  <w:style w:type="paragraph" w:styleId="CommentText">
    <w:name w:val="annotation text"/>
    <w:basedOn w:val="Normal"/>
    <w:link w:val="CommentTextChar"/>
    <w:rsid w:val="00E20ED8"/>
    <w:rPr>
      <w:sz w:val="20"/>
    </w:rPr>
  </w:style>
  <w:style w:type="character" w:customStyle="1" w:styleId="CommentTextChar">
    <w:name w:val="Comment Text Char"/>
    <w:link w:val="CommentText"/>
    <w:rsid w:val="00E20ED8"/>
    <w:rPr>
      <w:rFonts w:ascii="Arial" w:hAnsi="Arial"/>
      <w:lang w:val="en-GB"/>
    </w:rPr>
  </w:style>
  <w:style w:type="paragraph" w:styleId="CommentSubject">
    <w:name w:val="annotation subject"/>
    <w:basedOn w:val="CommentText"/>
    <w:next w:val="CommentText"/>
    <w:link w:val="CommentSubjectChar"/>
    <w:rsid w:val="00E20ED8"/>
    <w:rPr>
      <w:b/>
      <w:bCs/>
    </w:rPr>
  </w:style>
  <w:style w:type="character" w:customStyle="1" w:styleId="CommentSubjectChar">
    <w:name w:val="Comment Subject Char"/>
    <w:link w:val="CommentSubject"/>
    <w:rsid w:val="00E20ED8"/>
    <w:rPr>
      <w:rFonts w:ascii="Arial" w:hAnsi="Arial"/>
      <w:b/>
      <w:bCs/>
      <w:lang w:val="en-GB"/>
    </w:rPr>
  </w:style>
  <w:style w:type="paragraph" w:styleId="BalloonText">
    <w:name w:val="Balloon Text"/>
    <w:basedOn w:val="Normal"/>
    <w:link w:val="BalloonTextChar"/>
    <w:rsid w:val="00E20ED8"/>
    <w:rPr>
      <w:rFonts w:ascii="Tahoma" w:hAnsi="Tahoma" w:cs="Tahoma"/>
      <w:sz w:val="16"/>
      <w:szCs w:val="16"/>
    </w:rPr>
  </w:style>
  <w:style w:type="character" w:customStyle="1" w:styleId="BalloonTextChar">
    <w:name w:val="Balloon Text Char"/>
    <w:link w:val="BalloonText"/>
    <w:rsid w:val="00E20ED8"/>
    <w:rPr>
      <w:rFonts w:ascii="Tahoma" w:hAnsi="Tahoma" w:cs="Tahoma"/>
      <w:sz w:val="16"/>
      <w:szCs w:val="16"/>
      <w:lang w:val="en-GB"/>
    </w:rPr>
  </w:style>
  <w:style w:type="paragraph" w:styleId="ListParagraph">
    <w:name w:val="List Paragraph"/>
    <w:basedOn w:val="Normal"/>
    <w:uiPriority w:val="34"/>
    <w:qFormat/>
    <w:rsid w:val="000557E0"/>
    <w:pPr>
      <w:ind w:left="720"/>
    </w:pPr>
  </w:style>
  <w:style w:type="paragraph" w:styleId="ListNumber">
    <w:name w:val="List Number"/>
    <w:basedOn w:val="Normal"/>
    <w:rsid w:val="002A5E98"/>
    <w:pPr>
      <w:numPr>
        <w:numId w:val="22"/>
      </w:numPr>
      <w:contextualSpacing/>
    </w:pPr>
  </w:style>
  <w:style w:type="numbering" w:styleId="111111">
    <w:name w:val="Outline List 2"/>
    <w:basedOn w:val="NoList"/>
    <w:rsid w:val="00D72B78"/>
    <w:pPr>
      <w:numPr>
        <w:numId w:val="17"/>
      </w:numPr>
    </w:pPr>
  </w:style>
  <w:style w:type="paragraph" w:styleId="ListNumber2">
    <w:name w:val="List Number 2"/>
    <w:basedOn w:val="Normal"/>
    <w:rsid w:val="002A5E98"/>
    <w:pPr>
      <w:numPr>
        <w:ilvl w:val="1"/>
        <w:numId w:val="22"/>
      </w:numPr>
      <w:contextualSpacing/>
    </w:pPr>
  </w:style>
  <w:style w:type="paragraph" w:styleId="Revision">
    <w:name w:val="Revision"/>
    <w:hidden/>
    <w:uiPriority w:val="99"/>
    <w:semiHidden/>
    <w:rsid w:val="007D6569"/>
    <w:rPr>
      <w:rFonts w:ascii="Arial" w:hAnsi="Arial"/>
      <w:sz w:val="24"/>
      <w:lang w:val="en-GB"/>
    </w:rPr>
  </w:style>
  <w:style w:type="paragraph" w:styleId="NormalWeb">
    <w:name w:val="Normal (Web)"/>
    <w:basedOn w:val="Normal"/>
    <w:uiPriority w:val="99"/>
    <w:unhideWhenUsed/>
    <w:rsid w:val="00912EB3"/>
    <w:pPr>
      <w:spacing w:after="240"/>
    </w:pPr>
    <w:rPr>
      <w:rFonts w:ascii="inherit" w:hAnsi="inherit"/>
      <w:szCs w:val="24"/>
      <w:lang w:val="en-AU"/>
    </w:rPr>
  </w:style>
  <w:style w:type="character" w:customStyle="1" w:styleId="Heading4Char">
    <w:name w:val="Heading 4 Char"/>
    <w:basedOn w:val="DefaultParagraphFont"/>
    <w:link w:val="Heading4"/>
    <w:semiHidden/>
    <w:rsid w:val="002444BE"/>
    <w:rPr>
      <w:rFonts w:asciiTheme="majorHAnsi" w:eastAsiaTheme="majorEastAsia" w:hAnsiTheme="majorHAnsi" w:cstheme="majorBidi"/>
      <w:b/>
      <w:bCs/>
      <w:i/>
      <w:iCs/>
      <w:color w:val="4F81BD" w:themeColor="accent1"/>
      <w:sz w:val="24"/>
      <w:lang w:val="en-GB"/>
    </w:rPr>
  </w:style>
  <w:style w:type="character" w:customStyle="1" w:styleId="Heading1Char">
    <w:name w:val="Heading 1 Char"/>
    <w:basedOn w:val="DefaultParagraphFont"/>
    <w:link w:val="Heading1"/>
    <w:rsid w:val="00F613ED"/>
    <w:rPr>
      <w:rFonts w:ascii="Arial" w:hAnsi="Arial"/>
      <w:b/>
      <w:sz w:val="24"/>
      <w:u w:val="single"/>
      <w:lang w:val="en-GB"/>
    </w:rPr>
  </w:style>
  <w:style w:type="table" w:styleId="TableContemporary">
    <w:name w:val="Table Contemporary"/>
    <w:basedOn w:val="TableNormal"/>
    <w:rsid w:val="00461B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Text">
    <w:name w:val="endnote text"/>
    <w:basedOn w:val="Normal"/>
    <w:link w:val="EndnoteTextChar"/>
    <w:rsid w:val="008648D3"/>
    <w:rPr>
      <w:sz w:val="20"/>
    </w:rPr>
  </w:style>
  <w:style w:type="character" w:customStyle="1" w:styleId="EndnoteTextChar">
    <w:name w:val="Endnote Text Char"/>
    <w:basedOn w:val="DefaultParagraphFont"/>
    <w:link w:val="EndnoteText"/>
    <w:rsid w:val="008648D3"/>
    <w:rPr>
      <w:rFonts w:ascii="Arial" w:hAnsi="Arial"/>
      <w:lang w:val="en-GB"/>
    </w:rPr>
  </w:style>
  <w:style w:type="character" w:styleId="EndnoteReference">
    <w:name w:val="endnote reference"/>
    <w:basedOn w:val="DefaultParagraphFont"/>
    <w:rsid w:val="008648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2"/>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EFE"/>
    <w:rPr>
      <w:rFonts w:ascii="Arial" w:hAnsi="Arial"/>
      <w:sz w:val="24"/>
      <w:lang w:val="en-GB"/>
    </w:rPr>
  </w:style>
  <w:style w:type="paragraph" w:styleId="Heading1">
    <w:name w:val="heading 1"/>
    <w:basedOn w:val="Normal"/>
    <w:next w:val="Normal"/>
    <w:link w:val="Heading1Char"/>
    <w:qFormat/>
    <w:rsid w:val="00BE521A"/>
    <w:pPr>
      <w:spacing w:before="240"/>
      <w:outlineLvl w:val="0"/>
    </w:pPr>
    <w:rPr>
      <w:b/>
      <w:u w:val="single"/>
    </w:rPr>
  </w:style>
  <w:style w:type="paragraph" w:styleId="Heading2">
    <w:name w:val="heading 2"/>
    <w:basedOn w:val="Normal"/>
    <w:next w:val="Normal"/>
    <w:qFormat/>
    <w:rsid w:val="00DB0327"/>
    <w:pPr>
      <w:keepNext/>
      <w:spacing w:after="240"/>
      <w:outlineLvl w:val="1"/>
    </w:pPr>
    <w:rPr>
      <w:rFonts w:cs="Arial"/>
      <w:b/>
      <w:szCs w:val="24"/>
    </w:rPr>
  </w:style>
  <w:style w:type="paragraph" w:styleId="Heading3">
    <w:name w:val="heading 3"/>
    <w:basedOn w:val="Normal"/>
    <w:next w:val="Normal"/>
    <w:qFormat/>
    <w:rsid w:val="007B3074"/>
    <w:pPr>
      <w:keepNext/>
      <w:spacing w:after="240"/>
      <w:outlineLvl w:val="2"/>
    </w:pPr>
    <w:rPr>
      <w:rFonts w:ascii="Times New Roman" w:hAnsi="Times New Roman" w:cs="Arial"/>
      <w:bCs/>
      <w:i/>
      <w:szCs w:val="26"/>
    </w:rPr>
  </w:style>
  <w:style w:type="paragraph" w:styleId="Heading4">
    <w:name w:val="heading 4"/>
    <w:basedOn w:val="Normal"/>
    <w:next w:val="Normal"/>
    <w:link w:val="Heading4Char"/>
    <w:semiHidden/>
    <w:unhideWhenUsed/>
    <w:qFormat/>
    <w:rsid w:val="002444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521A"/>
    <w:pPr>
      <w:tabs>
        <w:tab w:val="center" w:pos="4819"/>
        <w:tab w:val="right" w:pos="9071"/>
      </w:tabs>
    </w:pPr>
  </w:style>
  <w:style w:type="paragraph" w:styleId="Header">
    <w:name w:val="header"/>
    <w:basedOn w:val="Normal"/>
    <w:rsid w:val="00BE521A"/>
    <w:pPr>
      <w:tabs>
        <w:tab w:val="center" w:pos="4819"/>
        <w:tab w:val="right" w:pos="9071"/>
      </w:tabs>
    </w:pPr>
  </w:style>
  <w:style w:type="paragraph" w:styleId="TOC1">
    <w:name w:val="toc 1"/>
    <w:basedOn w:val="Normal"/>
    <w:next w:val="Normal"/>
    <w:autoRedefine/>
    <w:semiHidden/>
    <w:rsid w:val="00BE521A"/>
    <w:pPr>
      <w:spacing w:before="120" w:after="120"/>
    </w:pPr>
    <w:rPr>
      <w:rFonts w:ascii="Times New Roman" w:hAnsi="Times New Roman"/>
      <w:b/>
      <w:bCs/>
      <w:caps/>
      <w:sz w:val="20"/>
    </w:rPr>
  </w:style>
  <w:style w:type="paragraph" w:styleId="TOC2">
    <w:name w:val="toc 2"/>
    <w:basedOn w:val="Normal"/>
    <w:next w:val="Normal"/>
    <w:autoRedefine/>
    <w:semiHidden/>
    <w:rsid w:val="00BE521A"/>
    <w:pPr>
      <w:ind w:left="240"/>
    </w:pPr>
    <w:rPr>
      <w:rFonts w:ascii="Times New Roman" w:hAnsi="Times New Roman"/>
      <w:smallCaps/>
      <w:sz w:val="20"/>
    </w:rPr>
  </w:style>
  <w:style w:type="character" w:styleId="Hyperlink">
    <w:name w:val="Hyperlink"/>
    <w:rsid w:val="00BE521A"/>
    <w:rPr>
      <w:color w:val="0000FF"/>
      <w:u w:val="single"/>
    </w:rPr>
  </w:style>
  <w:style w:type="character" w:styleId="PageNumber">
    <w:name w:val="page number"/>
    <w:basedOn w:val="DefaultParagraphFont"/>
    <w:rsid w:val="00BE521A"/>
  </w:style>
  <w:style w:type="paragraph" w:customStyle="1" w:styleId="StyleHeading1TimesNewRoman14ptNounderline">
    <w:name w:val="Style Heading 1 + Times New Roman 14 pt No underline"/>
    <w:basedOn w:val="Heading1"/>
    <w:rsid w:val="007B3074"/>
    <w:pPr>
      <w:spacing w:before="0" w:after="240"/>
    </w:pPr>
    <w:rPr>
      <w:rFonts w:ascii="Times New Roman" w:hAnsi="Times New Roman"/>
      <w:bCs/>
      <w:sz w:val="28"/>
      <w:u w:val="none"/>
    </w:rPr>
  </w:style>
  <w:style w:type="paragraph" w:customStyle="1" w:styleId="StyleHeading1TimesNewRoman14ptNounderline1">
    <w:name w:val="Style Heading 1 + Times New Roman 14 pt No underline1"/>
    <w:basedOn w:val="Heading1"/>
    <w:rsid w:val="007B3074"/>
    <w:pPr>
      <w:spacing w:before="0" w:after="240"/>
    </w:pPr>
    <w:rPr>
      <w:rFonts w:ascii="Times New Roman" w:hAnsi="Times New Roman"/>
      <w:bCs/>
      <w:sz w:val="28"/>
      <w:u w:val="none"/>
    </w:rPr>
  </w:style>
  <w:style w:type="paragraph" w:styleId="FootnoteText">
    <w:name w:val="footnote text"/>
    <w:basedOn w:val="Normal"/>
    <w:link w:val="FootnoteTextChar"/>
    <w:uiPriority w:val="2"/>
    <w:rsid w:val="00A12515"/>
    <w:rPr>
      <w:sz w:val="20"/>
    </w:rPr>
  </w:style>
  <w:style w:type="character" w:styleId="FootnoteReference">
    <w:name w:val="footnote reference"/>
    <w:uiPriority w:val="99"/>
    <w:semiHidden/>
    <w:rsid w:val="00A12515"/>
    <w:rPr>
      <w:vertAlign w:val="superscript"/>
    </w:rPr>
  </w:style>
  <w:style w:type="paragraph" w:styleId="TOC3">
    <w:name w:val="toc 3"/>
    <w:basedOn w:val="Normal"/>
    <w:next w:val="Normal"/>
    <w:autoRedefine/>
    <w:semiHidden/>
    <w:rsid w:val="004A6D88"/>
    <w:pPr>
      <w:ind w:left="480"/>
    </w:pPr>
    <w:rPr>
      <w:rFonts w:ascii="Times New Roman" w:hAnsi="Times New Roman"/>
      <w:i/>
      <w:iCs/>
      <w:sz w:val="20"/>
    </w:rPr>
  </w:style>
  <w:style w:type="paragraph" w:styleId="Title">
    <w:name w:val="Title"/>
    <w:basedOn w:val="Normal"/>
    <w:qFormat/>
    <w:rsid w:val="00E56D20"/>
    <w:pPr>
      <w:jc w:val="center"/>
    </w:pPr>
    <w:rPr>
      <w:rFonts w:ascii="Times New Roman" w:hAnsi="Times New Roman"/>
      <w:b/>
      <w:sz w:val="28"/>
    </w:rPr>
  </w:style>
  <w:style w:type="paragraph" w:styleId="Subtitle">
    <w:name w:val="Subtitle"/>
    <w:basedOn w:val="Normal"/>
    <w:qFormat/>
    <w:rsid w:val="00E56D20"/>
    <w:pPr>
      <w:jc w:val="center"/>
    </w:pPr>
    <w:rPr>
      <w:rFonts w:ascii="Times New Roman" w:hAnsi="Times New Roman"/>
      <w:b/>
      <w:sz w:val="28"/>
    </w:rPr>
  </w:style>
  <w:style w:type="paragraph" w:styleId="TOC4">
    <w:name w:val="toc 4"/>
    <w:basedOn w:val="Normal"/>
    <w:next w:val="Normal"/>
    <w:autoRedefine/>
    <w:semiHidden/>
    <w:rsid w:val="00772143"/>
    <w:pPr>
      <w:ind w:left="720"/>
    </w:pPr>
    <w:rPr>
      <w:rFonts w:ascii="Times New Roman" w:hAnsi="Times New Roman"/>
      <w:sz w:val="18"/>
      <w:szCs w:val="18"/>
    </w:rPr>
  </w:style>
  <w:style w:type="paragraph" w:styleId="TOC5">
    <w:name w:val="toc 5"/>
    <w:basedOn w:val="Normal"/>
    <w:next w:val="Normal"/>
    <w:autoRedefine/>
    <w:semiHidden/>
    <w:rsid w:val="00772143"/>
    <w:pPr>
      <w:ind w:left="960"/>
    </w:pPr>
    <w:rPr>
      <w:rFonts w:ascii="Times New Roman" w:hAnsi="Times New Roman"/>
      <w:sz w:val="18"/>
      <w:szCs w:val="18"/>
    </w:rPr>
  </w:style>
  <w:style w:type="paragraph" w:styleId="TOC6">
    <w:name w:val="toc 6"/>
    <w:basedOn w:val="Normal"/>
    <w:next w:val="Normal"/>
    <w:autoRedefine/>
    <w:semiHidden/>
    <w:rsid w:val="00772143"/>
    <w:pPr>
      <w:ind w:left="1200"/>
    </w:pPr>
    <w:rPr>
      <w:rFonts w:ascii="Times New Roman" w:hAnsi="Times New Roman"/>
      <w:sz w:val="18"/>
      <w:szCs w:val="18"/>
    </w:rPr>
  </w:style>
  <w:style w:type="paragraph" w:styleId="TOC7">
    <w:name w:val="toc 7"/>
    <w:basedOn w:val="Normal"/>
    <w:next w:val="Normal"/>
    <w:autoRedefine/>
    <w:semiHidden/>
    <w:rsid w:val="00772143"/>
    <w:pPr>
      <w:ind w:left="1440"/>
    </w:pPr>
    <w:rPr>
      <w:rFonts w:ascii="Times New Roman" w:hAnsi="Times New Roman"/>
      <w:sz w:val="18"/>
      <w:szCs w:val="18"/>
    </w:rPr>
  </w:style>
  <w:style w:type="paragraph" w:styleId="TOC8">
    <w:name w:val="toc 8"/>
    <w:basedOn w:val="Normal"/>
    <w:next w:val="Normal"/>
    <w:autoRedefine/>
    <w:semiHidden/>
    <w:rsid w:val="00772143"/>
    <w:pPr>
      <w:ind w:left="1680"/>
    </w:pPr>
    <w:rPr>
      <w:rFonts w:ascii="Times New Roman" w:hAnsi="Times New Roman"/>
      <w:sz w:val="18"/>
      <w:szCs w:val="18"/>
    </w:rPr>
  </w:style>
  <w:style w:type="paragraph" w:styleId="TOC9">
    <w:name w:val="toc 9"/>
    <w:basedOn w:val="Normal"/>
    <w:next w:val="Normal"/>
    <w:autoRedefine/>
    <w:semiHidden/>
    <w:rsid w:val="00772143"/>
    <w:pPr>
      <w:ind w:left="1920"/>
    </w:pPr>
    <w:rPr>
      <w:rFonts w:ascii="Times New Roman" w:hAnsi="Times New Roman"/>
      <w:sz w:val="18"/>
      <w:szCs w:val="18"/>
    </w:rPr>
  </w:style>
  <w:style w:type="paragraph" w:styleId="BodyText">
    <w:name w:val="Body Text"/>
    <w:basedOn w:val="Normal"/>
    <w:rsid w:val="002934BF"/>
    <w:rPr>
      <w:rFonts w:ascii="Times New Roman" w:hAnsi="Times New Roman"/>
      <w:i/>
      <w:lang w:val="en-AU"/>
    </w:rPr>
  </w:style>
  <w:style w:type="paragraph" w:customStyle="1" w:styleId="Summarytextbox">
    <w:name w:val="Summary text box"/>
    <w:qFormat/>
    <w:rsid w:val="00DA78E6"/>
    <w:pPr>
      <w:shd w:val="clear" w:color="auto" w:fill="E6E6E6"/>
      <w:spacing w:after="120"/>
    </w:pPr>
    <w:rPr>
      <w:rFonts w:ascii="Arial" w:hAnsi="Arial"/>
      <w:b/>
      <w:sz w:val="22"/>
      <w:szCs w:val="22"/>
      <w:lang w:eastAsia="en-US"/>
    </w:rPr>
  </w:style>
  <w:style w:type="character" w:customStyle="1" w:styleId="FootnoteTextChar">
    <w:name w:val="Footnote Text Char"/>
    <w:link w:val="FootnoteText"/>
    <w:uiPriority w:val="2"/>
    <w:rsid w:val="009D4D45"/>
    <w:rPr>
      <w:rFonts w:ascii="Arial" w:hAnsi="Arial"/>
      <w:lang w:val="en-GB"/>
    </w:rPr>
  </w:style>
  <w:style w:type="numbering" w:customStyle="1" w:styleId="Style1">
    <w:name w:val="Style1"/>
    <w:rsid w:val="00F45203"/>
    <w:pPr>
      <w:numPr>
        <w:numId w:val="5"/>
      </w:numPr>
    </w:pPr>
  </w:style>
  <w:style w:type="numbering" w:customStyle="1" w:styleId="Style2">
    <w:name w:val="Style2"/>
    <w:rsid w:val="00F45203"/>
    <w:pPr>
      <w:numPr>
        <w:numId w:val="6"/>
      </w:numPr>
    </w:pPr>
  </w:style>
  <w:style w:type="character" w:styleId="CommentReference">
    <w:name w:val="annotation reference"/>
    <w:rsid w:val="00E20ED8"/>
    <w:rPr>
      <w:sz w:val="16"/>
      <w:szCs w:val="16"/>
    </w:rPr>
  </w:style>
  <w:style w:type="paragraph" w:styleId="CommentText">
    <w:name w:val="annotation text"/>
    <w:basedOn w:val="Normal"/>
    <w:link w:val="CommentTextChar"/>
    <w:rsid w:val="00E20ED8"/>
    <w:rPr>
      <w:sz w:val="20"/>
    </w:rPr>
  </w:style>
  <w:style w:type="character" w:customStyle="1" w:styleId="CommentTextChar">
    <w:name w:val="Comment Text Char"/>
    <w:link w:val="CommentText"/>
    <w:rsid w:val="00E20ED8"/>
    <w:rPr>
      <w:rFonts w:ascii="Arial" w:hAnsi="Arial"/>
      <w:lang w:val="en-GB"/>
    </w:rPr>
  </w:style>
  <w:style w:type="paragraph" w:styleId="CommentSubject">
    <w:name w:val="annotation subject"/>
    <w:basedOn w:val="CommentText"/>
    <w:next w:val="CommentText"/>
    <w:link w:val="CommentSubjectChar"/>
    <w:rsid w:val="00E20ED8"/>
    <w:rPr>
      <w:b/>
      <w:bCs/>
    </w:rPr>
  </w:style>
  <w:style w:type="character" w:customStyle="1" w:styleId="CommentSubjectChar">
    <w:name w:val="Comment Subject Char"/>
    <w:link w:val="CommentSubject"/>
    <w:rsid w:val="00E20ED8"/>
    <w:rPr>
      <w:rFonts w:ascii="Arial" w:hAnsi="Arial"/>
      <w:b/>
      <w:bCs/>
      <w:lang w:val="en-GB"/>
    </w:rPr>
  </w:style>
  <w:style w:type="paragraph" w:styleId="BalloonText">
    <w:name w:val="Balloon Text"/>
    <w:basedOn w:val="Normal"/>
    <w:link w:val="BalloonTextChar"/>
    <w:rsid w:val="00E20ED8"/>
    <w:rPr>
      <w:rFonts w:ascii="Tahoma" w:hAnsi="Tahoma" w:cs="Tahoma"/>
      <w:sz w:val="16"/>
      <w:szCs w:val="16"/>
    </w:rPr>
  </w:style>
  <w:style w:type="character" w:customStyle="1" w:styleId="BalloonTextChar">
    <w:name w:val="Balloon Text Char"/>
    <w:link w:val="BalloonText"/>
    <w:rsid w:val="00E20ED8"/>
    <w:rPr>
      <w:rFonts w:ascii="Tahoma" w:hAnsi="Tahoma" w:cs="Tahoma"/>
      <w:sz w:val="16"/>
      <w:szCs w:val="16"/>
      <w:lang w:val="en-GB"/>
    </w:rPr>
  </w:style>
  <w:style w:type="paragraph" w:styleId="ListParagraph">
    <w:name w:val="List Paragraph"/>
    <w:basedOn w:val="Normal"/>
    <w:uiPriority w:val="34"/>
    <w:qFormat/>
    <w:rsid w:val="000557E0"/>
    <w:pPr>
      <w:ind w:left="720"/>
    </w:pPr>
  </w:style>
  <w:style w:type="paragraph" w:styleId="ListNumber">
    <w:name w:val="List Number"/>
    <w:basedOn w:val="Normal"/>
    <w:rsid w:val="002A5E98"/>
    <w:pPr>
      <w:numPr>
        <w:numId w:val="22"/>
      </w:numPr>
      <w:contextualSpacing/>
    </w:pPr>
  </w:style>
  <w:style w:type="numbering" w:styleId="111111">
    <w:name w:val="Outline List 2"/>
    <w:basedOn w:val="NoList"/>
    <w:rsid w:val="00D72B78"/>
    <w:pPr>
      <w:numPr>
        <w:numId w:val="17"/>
      </w:numPr>
    </w:pPr>
  </w:style>
  <w:style w:type="paragraph" w:styleId="ListNumber2">
    <w:name w:val="List Number 2"/>
    <w:basedOn w:val="Normal"/>
    <w:rsid w:val="002A5E98"/>
    <w:pPr>
      <w:numPr>
        <w:ilvl w:val="1"/>
        <w:numId w:val="22"/>
      </w:numPr>
      <w:contextualSpacing/>
    </w:pPr>
  </w:style>
  <w:style w:type="paragraph" w:styleId="Revision">
    <w:name w:val="Revision"/>
    <w:hidden/>
    <w:uiPriority w:val="99"/>
    <w:semiHidden/>
    <w:rsid w:val="007D6569"/>
    <w:rPr>
      <w:rFonts w:ascii="Arial" w:hAnsi="Arial"/>
      <w:sz w:val="24"/>
      <w:lang w:val="en-GB"/>
    </w:rPr>
  </w:style>
  <w:style w:type="paragraph" w:styleId="NormalWeb">
    <w:name w:val="Normal (Web)"/>
    <w:basedOn w:val="Normal"/>
    <w:uiPriority w:val="99"/>
    <w:unhideWhenUsed/>
    <w:rsid w:val="00912EB3"/>
    <w:pPr>
      <w:spacing w:after="240"/>
    </w:pPr>
    <w:rPr>
      <w:rFonts w:ascii="inherit" w:hAnsi="inherit"/>
      <w:szCs w:val="24"/>
      <w:lang w:val="en-AU"/>
    </w:rPr>
  </w:style>
  <w:style w:type="character" w:customStyle="1" w:styleId="Heading4Char">
    <w:name w:val="Heading 4 Char"/>
    <w:basedOn w:val="DefaultParagraphFont"/>
    <w:link w:val="Heading4"/>
    <w:semiHidden/>
    <w:rsid w:val="002444BE"/>
    <w:rPr>
      <w:rFonts w:asciiTheme="majorHAnsi" w:eastAsiaTheme="majorEastAsia" w:hAnsiTheme="majorHAnsi" w:cstheme="majorBidi"/>
      <w:b/>
      <w:bCs/>
      <w:i/>
      <w:iCs/>
      <w:color w:val="4F81BD" w:themeColor="accent1"/>
      <w:sz w:val="24"/>
      <w:lang w:val="en-GB"/>
    </w:rPr>
  </w:style>
  <w:style w:type="character" w:customStyle="1" w:styleId="Heading1Char">
    <w:name w:val="Heading 1 Char"/>
    <w:basedOn w:val="DefaultParagraphFont"/>
    <w:link w:val="Heading1"/>
    <w:rsid w:val="00F613ED"/>
    <w:rPr>
      <w:rFonts w:ascii="Arial" w:hAnsi="Arial"/>
      <w:b/>
      <w:sz w:val="24"/>
      <w:u w:val="single"/>
      <w:lang w:val="en-GB"/>
    </w:rPr>
  </w:style>
  <w:style w:type="table" w:styleId="TableContemporary">
    <w:name w:val="Table Contemporary"/>
    <w:basedOn w:val="TableNormal"/>
    <w:rsid w:val="00461B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Text">
    <w:name w:val="endnote text"/>
    <w:basedOn w:val="Normal"/>
    <w:link w:val="EndnoteTextChar"/>
    <w:rsid w:val="008648D3"/>
    <w:rPr>
      <w:sz w:val="20"/>
    </w:rPr>
  </w:style>
  <w:style w:type="character" w:customStyle="1" w:styleId="EndnoteTextChar">
    <w:name w:val="Endnote Text Char"/>
    <w:basedOn w:val="DefaultParagraphFont"/>
    <w:link w:val="EndnoteText"/>
    <w:rsid w:val="008648D3"/>
    <w:rPr>
      <w:rFonts w:ascii="Arial" w:hAnsi="Arial"/>
      <w:lang w:val="en-GB"/>
    </w:rPr>
  </w:style>
  <w:style w:type="character" w:styleId="EndnoteReference">
    <w:name w:val="endnote reference"/>
    <w:basedOn w:val="DefaultParagraphFont"/>
    <w:rsid w:val="00864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8839">
      <w:bodyDiv w:val="1"/>
      <w:marLeft w:val="0"/>
      <w:marRight w:val="0"/>
      <w:marTop w:val="0"/>
      <w:marBottom w:val="0"/>
      <w:divBdr>
        <w:top w:val="none" w:sz="0" w:space="0" w:color="auto"/>
        <w:left w:val="none" w:sz="0" w:space="0" w:color="auto"/>
        <w:bottom w:val="none" w:sz="0" w:space="0" w:color="auto"/>
        <w:right w:val="none" w:sz="0" w:space="0" w:color="auto"/>
      </w:divBdr>
      <w:divsChild>
        <w:div w:id="609319204">
          <w:marLeft w:val="0"/>
          <w:marRight w:val="0"/>
          <w:marTop w:val="0"/>
          <w:marBottom w:val="0"/>
          <w:divBdr>
            <w:top w:val="none" w:sz="0" w:space="0" w:color="auto"/>
            <w:left w:val="none" w:sz="0" w:space="0" w:color="auto"/>
            <w:bottom w:val="none" w:sz="0" w:space="0" w:color="auto"/>
            <w:right w:val="none" w:sz="0" w:space="0" w:color="auto"/>
          </w:divBdr>
        </w:div>
        <w:div w:id="1614823671">
          <w:marLeft w:val="0"/>
          <w:marRight w:val="0"/>
          <w:marTop w:val="0"/>
          <w:marBottom w:val="0"/>
          <w:divBdr>
            <w:top w:val="none" w:sz="0" w:space="0" w:color="auto"/>
            <w:left w:val="none" w:sz="0" w:space="0" w:color="auto"/>
            <w:bottom w:val="none" w:sz="0" w:space="0" w:color="auto"/>
            <w:right w:val="none" w:sz="0" w:space="0" w:color="auto"/>
          </w:divBdr>
        </w:div>
        <w:div w:id="1703285592">
          <w:marLeft w:val="0"/>
          <w:marRight w:val="0"/>
          <w:marTop w:val="0"/>
          <w:marBottom w:val="0"/>
          <w:divBdr>
            <w:top w:val="none" w:sz="0" w:space="0" w:color="auto"/>
            <w:left w:val="none" w:sz="0" w:space="0" w:color="auto"/>
            <w:bottom w:val="none" w:sz="0" w:space="0" w:color="auto"/>
            <w:right w:val="none" w:sz="0" w:space="0" w:color="auto"/>
          </w:divBdr>
        </w:div>
      </w:divsChild>
    </w:div>
    <w:div w:id="328564563">
      <w:bodyDiv w:val="1"/>
      <w:marLeft w:val="0"/>
      <w:marRight w:val="0"/>
      <w:marTop w:val="0"/>
      <w:marBottom w:val="0"/>
      <w:divBdr>
        <w:top w:val="none" w:sz="0" w:space="0" w:color="auto"/>
        <w:left w:val="none" w:sz="0" w:space="0" w:color="auto"/>
        <w:bottom w:val="none" w:sz="0" w:space="0" w:color="auto"/>
        <w:right w:val="none" w:sz="0" w:space="0" w:color="auto"/>
      </w:divBdr>
    </w:div>
    <w:div w:id="605386825">
      <w:bodyDiv w:val="1"/>
      <w:marLeft w:val="0"/>
      <w:marRight w:val="0"/>
      <w:marTop w:val="0"/>
      <w:marBottom w:val="0"/>
      <w:divBdr>
        <w:top w:val="none" w:sz="0" w:space="0" w:color="auto"/>
        <w:left w:val="none" w:sz="0" w:space="0" w:color="auto"/>
        <w:bottom w:val="none" w:sz="0" w:space="0" w:color="auto"/>
        <w:right w:val="none" w:sz="0" w:space="0" w:color="auto"/>
      </w:divBdr>
      <w:divsChild>
        <w:div w:id="1152284745">
          <w:marLeft w:val="0"/>
          <w:marRight w:val="0"/>
          <w:marTop w:val="0"/>
          <w:marBottom w:val="0"/>
          <w:divBdr>
            <w:top w:val="none" w:sz="0" w:space="0" w:color="auto"/>
            <w:left w:val="none" w:sz="0" w:space="0" w:color="auto"/>
            <w:bottom w:val="none" w:sz="0" w:space="0" w:color="auto"/>
            <w:right w:val="none" w:sz="0" w:space="0" w:color="auto"/>
          </w:divBdr>
        </w:div>
      </w:divsChild>
    </w:div>
    <w:div w:id="692459515">
      <w:bodyDiv w:val="1"/>
      <w:marLeft w:val="0"/>
      <w:marRight w:val="0"/>
      <w:marTop w:val="0"/>
      <w:marBottom w:val="0"/>
      <w:divBdr>
        <w:top w:val="none" w:sz="0" w:space="0" w:color="auto"/>
        <w:left w:val="none" w:sz="0" w:space="0" w:color="auto"/>
        <w:bottom w:val="none" w:sz="0" w:space="0" w:color="auto"/>
        <w:right w:val="none" w:sz="0" w:space="0" w:color="auto"/>
      </w:divBdr>
      <w:divsChild>
        <w:div w:id="1541896011">
          <w:marLeft w:val="0"/>
          <w:marRight w:val="0"/>
          <w:marTop w:val="0"/>
          <w:marBottom w:val="0"/>
          <w:divBdr>
            <w:top w:val="none" w:sz="0" w:space="0" w:color="auto"/>
            <w:left w:val="none" w:sz="0" w:space="0" w:color="auto"/>
            <w:bottom w:val="none" w:sz="0" w:space="0" w:color="auto"/>
            <w:right w:val="none" w:sz="0" w:space="0" w:color="auto"/>
          </w:divBdr>
        </w:div>
      </w:divsChild>
    </w:div>
    <w:div w:id="963656221">
      <w:bodyDiv w:val="1"/>
      <w:marLeft w:val="0"/>
      <w:marRight w:val="0"/>
      <w:marTop w:val="0"/>
      <w:marBottom w:val="0"/>
      <w:divBdr>
        <w:top w:val="none" w:sz="0" w:space="0" w:color="auto"/>
        <w:left w:val="none" w:sz="0" w:space="0" w:color="auto"/>
        <w:bottom w:val="none" w:sz="0" w:space="0" w:color="auto"/>
        <w:right w:val="none" w:sz="0" w:space="0" w:color="auto"/>
      </w:divBdr>
    </w:div>
    <w:div w:id="1645695287">
      <w:bodyDiv w:val="1"/>
      <w:marLeft w:val="0"/>
      <w:marRight w:val="0"/>
      <w:marTop w:val="0"/>
      <w:marBottom w:val="0"/>
      <w:divBdr>
        <w:top w:val="none" w:sz="0" w:space="0" w:color="auto"/>
        <w:left w:val="none" w:sz="0" w:space="0" w:color="auto"/>
        <w:bottom w:val="none" w:sz="0" w:space="0" w:color="auto"/>
        <w:right w:val="none" w:sz="0" w:space="0" w:color="auto"/>
      </w:divBdr>
      <w:divsChild>
        <w:div w:id="546916923">
          <w:marLeft w:val="0"/>
          <w:marRight w:val="0"/>
          <w:marTop w:val="0"/>
          <w:marBottom w:val="0"/>
          <w:divBdr>
            <w:top w:val="none" w:sz="0" w:space="0" w:color="auto"/>
            <w:left w:val="none" w:sz="0" w:space="0" w:color="auto"/>
            <w:bottom w:val="none" w:sz="0" w:space="0" w:color="auto"/>
            <w:right w:val="none" w:sz="0" w:space="0" w:color="auto"/>
          </w:divBdr>
          <w:divsChild>
            <w:div w:id="1035278669">
              <w:marLeft w:val="0"/>
              <w:marRight w:val="0"/>
              <w:marTop w:val="0"/>
              <w:marBottom w:val="0"/>
              <w:divBdr>
                <w:top w:val="none" w:sz="0" w:space="0" w:color="auto"/>
                <w:left w:val="none" w:sz="0" w:space="0" w:color="auto"/>
                <w:bottom w:val="none" w:sz="0" w:space="0" w:color="auto"/>
                <w:right w:val="none" w:sz="0" w:space="0" w:color="auto"/>
              </w:divBdr>
              <w:divsChild>
                <w:div w:id="729815754">
                  <w:marLeft w:val="0"/>
                  <w:marRight w:val="0"/>
                  <w:marTop w:val="0"/>
                  <w:marBottom w:val="0"/>
                  <w:divBdr>
                    <w:top w:val="none" w:sz="0" w:space="0" w:color="auto"/>
                    <w:left w:val="none" w:sz="0" w:space="0" w:color="auto"/>
                    <w:bottom w:val="none" w:sz="0" w:space="0" w:color="auto"/>
                    <w:right w:val="none" w:sz="0" w:space="0" w:color="auto"/>
                  </w:divBdr>
                  <w:divsChild>
                    <w:div w:id="854809527">
                      <w:marLeft w:val="0"/>
                      <w:marRight w:val="0"/>
                      <w:marTop w:val="0"/>
                      <w:marBottom w:val="0"/>
                      <w:divBdr>
                        <w:top w:val="none" w:sz="0" w:space="0" w:color="auto"/>
                        <w:left w:val="none" w:sz="0" w:space="0" w:color="auto"/>
                        <w:bottom w:val="none" w:sz="0" w:space="0" w:color="auto"/>
                        <w:right w:val="none" w:sz="0" w:space="0" w:color="auto"/>
                      </w:divBdr>
                      <w:divsChild>
                        <w:div w:id="338895832">
                          <w:marLeft w:val="0"/>
                          <w:marRight w:val="0"/>
                          <w:marTop w:val="0"/>
                          <w:marBottom w:val="0"/>
                          <w:divBdr>
                            <w:top w:val="none" w:sz="0" w:space="0" w:color="auto"/>
                            <w:left w:val="none" w:sz="0" w:space="0" w:color="auto"/>
                            <w:bottom w:val="none" w:sz="0" w:space="0" w:color="auto"/>
                            <w:right w:val="none" w:sz="0" w:space="0" w:color="auto"/>
                          </w:divBdr>
                          <w:divsChild>
                            <w:div w:id="1288583089">
                              <w:marLeft w:val="0"/>
                              <w:marRight w:val="0"/>
                              <w:marTop w:val="0"/>
                              <w:marBottom w:val="0"/>
                              <w:divBdr>
                                <w:top w:val="none" w:sz="0" w:space="0" w:color="auto"/>
                                <w:left w:val="none" w:sz="0" w:space="0" w:color="auto"/>
                                <w:bottom w:val="none" w:sz="0" w:space="0" w:color="auto"/>
                                <w:right w:val="none" w:sz="0" w:space="0" w:color="auto"/>
                              </w:divBdr>
                              <w:divsChild>
                                <w:div w:id="7888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3502">
      <w:bodyDiv w:val="1"/>
      <w:marLeft w:val="0"/>
      <w:marRight w:val="0"/>
      <w:marTop w:val="0"/>
      <w:marBottom w:val="0"/>
      <w:divBdr>
        <w:top w:val="none" w:sz="0" w:space="0" w:color="auto"/>
        <w:left w:val="none" w:sz="0" w:space="0" w:color="auto"/>
        <w:bottom w:val="none" w:sz="0" w:space="0" w:color="auto"/>
        <w:right w:val="none" w:sz="0" w:space="0" w:color="auto"/>
      </w:divBdr>
    </w:div>
    <w:div w:id="2030837366">
      <w:bodyDiv w:val="1"/>
      <w:marLeft w:val="0"/>
      <w:marRight w:val="0"/>
      <w:marTop w:val="0"/>
      <w:marBottom w:val="0"/>
      <w:divBdr>
        <w:top w:val="none" w:sz="0" w:space="0" w:color="auto"/>
        <w:left w:val="none" w:sz="0" w:space="0" w:color="auto"/>
        <w:bottom w:val="none" w:sz="0" w:space="0" w:color="auto"/>
        <w:right w:val="none" w:sz="0" w:space="0" w:color="auto"/>
      </w:divBdr>
      <w:divsChild>
        <w:div w:id="362631734">
          <w:marLeft w:val="0"/>
          <w:marRight w:val="0"/>
          <w:marTop w:val="0"/>
          <w:marBottom w:val="0"/>
          <w:divBdr>
            <w:top w:val="none" w:sz="0" w:space="0" w:color="auto"/>
            <w:left w:val="none" w:sz="0" w:space="0" w:color="auto"/>
            <w:bottom w:val="none" w:sz="0" w:space="0" w:color="auto"/>
            <w:right w:val="none" w:sz="0" w:space="0" w:color="auto"/>
          </w:divBdr>
          <w:divsChild>
            <w:div w:id="900748174">
              <w:marLeft w:val="0"/>
              <w:marRight w:val="0"/>
              <w:marTop w:val="0"/>
              <w:marBottom w:val="0"/>
              <w:divBdr>
                <w:top w:val="none" w:sz="0" w:space="0" w:color="auto"/>
                <w:left w:val="none" w:sz="0" w:space="0" w:color="auto"/>
                <w:bottom w:val="none" w:sz="0" w:space="0" w:color="auto"/>
                <w:right w:val="none" w:sz="0" w:space="0" w:color="auto"/>
              </w:divBdr>
              <w:divsChild>
                <w:div w:id="570238756">
                  <w:marLeft w:val="0"/>
                  <w:marRight w:val="0"/>
                  <w:marTop w:val="0"/>
                  <w:marBottom w:val="0"/>
                  <w:divBdr>
                    <w:top w:val="none" w:sz="0" w:space="0" w:color="auto"/>
                    <w:left w:val="none" w:sz="0" w:space="0" w:color="auto"/>
                    <w:bottom w:val="none" w:sz="0" w:space="0" w:color="auto"/>
                    <w:right w:val="none" w:sz="0" w:space="0" w:color="auto"/>
                  </w:divBdr>
                  <w:divsChild>
                    <w:div w:id="1303342529">
                      <w:marLeft w:val="0"/>
                      <w:marRight w:val="0"/>
                      <w:marTop w:val="0"/>
                      <w:marBottom w:val="0"/>
                      <w:divBdr>
                        <w:top w:val="none" w:sz="0" w:space="0" w:color="auto"/>
                        <w:left w:val="none" w:sz="0" w:space="0" w:color="auto"/>
                        <w:bottom w:val="none" w:sz="0" w:space="0" w:color="auto"/>
                        <w:right w:val="none" w:sz="0" w:space="0" w:color="auto"/>
                      </w:divBdr>
                      <w:divsChild>
                        <w:div w:id="1158962751">
                          <w:marLeft w:val="0"/>
                          <w:marRight w:val="0"/>
                          <w:marTop w:val="0"/>
                          <w:marBottom w:val="0"/>
                          <w:divBdr>
                            <w:top w:val="none" w:sz="0" w:space="0" w:color="auto"/>
                            <w:left w:val="none" w:sz="0" w:space="0" w:color="auto"/>
                            <w:bottom w:val="none" w:sz="0" w:space="0" w:color="auto"/>
                            <w:right w:val="none" w:sz="0" w:space="0" w:color="auto"/>
                          </w:divBdr>
                          <w:divsChild>
                            <w:div w:id="1368333933">
                              <w:marLeft w:val="0"/>
                              <w:marRight w:val="0"/>
                              <w:marTop w:val="0"/>
                              <w:marBottom w:val="0"/>
                              <w:divBdr>
                                <w:top w:val="none" w:sz="0" w:space="0" w:color="auto"/>
                                <w:left w:val="none" w:sz="0" w:space="0" w:color="auto"/>
                                <w:bottom w:val="none" w:sz="0" w:space="0" w:color="auto"/>
                                <w:right w:val="none" w:sz="0" w:space="0" w:color="auto"/>
                              </w:divBdr>
                              <w:divsChild>
                                <w:div w:id="2284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e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vma.gov.au/node/15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A39A-C3F8-44B8-AA3B-A878D4A2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D8DF5354</Template>
  <TotalTime>1</TotalTime>
  <Pages>9</Pages>
  <Words>4985</Words>
  <Characters>31258</Characters>
  <Application>Microsoft Office Word</Application>
  <DocSecurity>4</DocSecurity>
  <Lines>625</Lines>
  <Paragraphs>59</Paragraphs>
  <ScaleCrop>false</ScaleCrop>
  <HeadingPairs>
    <vt:vector size="2" baseType="variant">
      <vt:variant>
        <vt:lpstr>Title</vt:lpstr>
      </vt:variant>
      <vt:variant>
        <vt:i4>1</vt:i4>
      </vt:variant>
    </vt:vector>
  </HeadingPairs>
  <TitlesOfParts>
    <vt:vector size="1" baseType="lpstr">
      <vt:lpstr>Decision</vt:lpstr>
    </vt:vector>
  </TitlesOfParts>
  <Company>Group 5</Company>
  <LinksUpToDate>false</LinksUpToDate>
  <CharactersWithSpaces>36184</CharactersWithSpaces>
  <SharedDoc>false</SharedDoc>
  <HLinks>
    <vt:vector size="84" baseType="variant">
      <vt:variant>
        <vt:i4>1507379</vt:i4>
      </vt:variant>
      <vt:variant>
        <vt:i4>80</vt:i4>
      </vt:variant>
      <vt:variant>
        <vt:i4>0</vt:i4>
      </vt:variant>
      <vt:variant>
        <vt:i4>5</vt:i4>
      </vt:variant>
      <vt:variant>
        <vt:lpwstr/>
      </vt:variant>
      <vt:variant>
        <vt:lpwstr>_Toc96920236</vt:lpwstr>
      </vt:variant>
      <vt:variant>
        <vt:i4>1310771</vt:i4>
      </vt:variant>
      <vt:variant>
        <vt:i4>74</vt:i4>
      </vt:variant>
      <vt:variant>
        <vt:i4>0</vt:i4>
      </vt:variant>
      <vt:variant>
        <vt:i4>5</vt:i4>
      </vt:variant>
      <vt:variant>
        <vt:lpwstr/>
      </vt:variant>
      <vt:variant>
        <vt:lpwstr>_Toc96920235</vt:lpwstr>
      </vt:variant>
      <vt:variant>
        <vt:i4>1376307</vt:i4>
      </vt:variant>
      <vt:variant>
        <vt:i4>68</vt:i4>
      </vt:variant>
      <vt:variant>
        <vt:i4>0</vt:i4>
      </vt:variant>
      <vt:variant>
        <vt:i4>5</vt:i4>
      </vt:variant>
      <vt:variant>
        <vt:lpwstr/>
      </vt:variant>
      <vt:variant>
        <vt:lpwstr>_Toc96920234</vt:lpwstr>
      </vt:variant>
      <vt:variant>
        <vt:i4>1179699</vt:i4>
      </vt:variant>
      <vt:variant>
        <vt:i4>62</vt:i4>
      </vt:variant>
      <vt:variant>
        <vt:i4>0</vt:i4>
      </vt:variant>
      <vt:variant>
        <vt:i4>5</vt:i4>
      </vt:variant>
      <vt:variant>
        <vt:lpwstr/>
      </vt:variant>
      <vt:variant>
        <vt:lpwstr>_Toc96920233</vt:lpwstr>
      </vt:variant>
      <vt:variant>
        <vt:i4>1245235</vt:i4>
      </vt:variant>
      <vt:variant>
        <vt:i4>56</vt:i4>
      </vt:variant>
      <vt:variant>
        <vt:i4>0</vt:i4>
      </vt:variant>
      <vt:variant>
        <vt:i4>5</vt:i4>
      </vt:variant>
      <vt:variant>
        <vt:lpwstr/>
      </vt:variant>
      <vt:variant>
        <vt:lpwstr>_Toc96920232</vt:lpwstr>
      </vt:variant>
      <vt:variant>
        <vt:i4>1048627</vt:i4>
      </vt:variant>
      <vt:variant>
        <vt:i4>50</vt:i4>
      </vt:variant>
      <vt:variant>
        <vt:i4>0</vt:i4>
      </vt:variant>
      <vt:variant>
        <vt:i4>5</vt:i4>
      </vt:variant>
      <vt:variant>
        <vt:lpwstr/>
      </vt:variant>
      <vt:variant>
        <vt:lpwstr>_Toc96920231</vt:lpwstr>
      </vt:variant>
      <vt:variant>
        <vt:i4>1114163</vt:i4>
      </vt:variant>
      <vt:variant>
        <vt:i4>44</vt:i4>
      </vt:variant>
      <vt:variant>
        <vt:i4>0</vt:i4>
      </vt:variant>
      <vt:variant>
        <vt:i4>5</vt:i4>
      </vt:variant>
      <vt:variant>
        <vt:lpwstr/>
      </vt:variant>
      <vt:variant>
        <vt:lpwstr>_Toc96920230</vt:lpwstr>
      </vt:variant>
      <vt:variant>
        <vt:i4>1572914</vt:i4>
      </vt:variant>
      <vt:variant>
        <vt:i4>38</vt:i4>
      </vt:variant>
      <vt:variant>
        <vt:i4>0</vt:i4>
      </vt:variant>
      <vt:variant>
        <vt:i4>5</vt:i4>
      </vt:variant>
      <vt:variant>
        <vt:lpwstr/>
      </vt:variant>
      <vt:variant>
        <vt:lpwstr>_Toc96920229</vt:lpwstr>
      </vt:variant>
      <vt:variant>
        <vt:i4>1638450</vt:i4>
      </vt:variant>
      <vt:variant>
        <vt:i4>32</vt:i4>
      </vt:variant>
      <vt:variant>
        <vt:i4>0</vt:i4>
      </vt:variant>
      <vt:variant>
        <vt:i4>5</vt:i4>
      </vt:variant>
      <vt:variant>
        <vt:lpwstr/>
      </vt:variant>
      <vt:variant>
        <vt:lpwstr>_Toc96920228</vt:lpwstr>
      </vt:variant>
      <vt:variant>
        <vt:i4>1441842</vt:i4>
      </vt:variant>
      <vt:variant>
        <vt:i4>26</vt:i4>
      </vt:variant>
      <vt:variant>
        <vt:i4>0</vt:i4>
      </vt:variant>
      <vt:variant>
        <vt:i4>5</vt:i4>
      </vt:variant>
      <vt:variant>
        <vt:lpwstr/>
      </vt:variant>
      <vt:variant>
        <vt:lpwstr>_Toc96920227</vt:lpwstr>
      </vt:variant>
      <vt:variant>
        <vt:i4>1507378</vt:i4>
      </vt:variant>
      <vt:variant>
        <vt:i4>20</vt:i4>
      </vt:variant>
      <vt:variant>
        <vt:i4>0</vt:i4>
      </vt:variant>
      <vt:variant>
        <vt:i4>5</vt:i4>
      </vt:variant>
      <vt:variant>
        <vt:lpwstr/>
      </vt:variant>
      <vt:variant>
        <vt:lpwstr>_Toc96920226</vt:lpwstr>
      </vt:variant>
      <vt:variant>
        <vt:i4>1310770</vt:i4>
      </vt:variant>
      <vt:variant>
        <vt:i4>14</vt:i4>
      </vt:variant>
      <vt:variant>
        <vt:i4>0</vt:i4>
      </vt:variant>
      <vt:variant>
        <vt:i4>5</vt:i4>
      </vt:variant>
      <vt:variant>
        <vt:lpwstr/>
      </vt:variant>
      <vt:variant>
        <vt:lpwstr>_Toc96920225</vt:lpwstr>
      </vt:variant>
      <vt:variant>
        <vt:i4>1376306</vt:i4>
      </vt:variant>
      <vt:variant>
        <vt:i4>8</vt:i4>
      </vt:variant>
      <vt:variant>
        <vt:i4>0</vt:i4>
      </vt:variant>
      <vt:variant>
        <vt:i4>5</vt:i4>
      </vt:variant>
      <vt:variant>
        <vt:lpwstr/>
      </vt:variant>
      <vt:variant>
        <vt:lpwstr>_Toc96920224</vt:lpwstr>
      </vt:variant>
      <vt:variant>
        <vt:i4>1179698</vt:i4>
      </vt:variant>
      <vt:variant>
        <vt:i4>2</vt:i4>
      </vt:variant>
      <vt:variant>
        <vt:i4>0</vt:i4>
      </vt:variant>
      <vt:variant>
        <vt:i4>5</vt:i4>
      </vt:variant>
      <vt:variant>
        <vt:lpwstr/>
      </vt:variant>
      <vt:variant>
        <vt:lpwstr>_Toc96920223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gjone</dc:creator>
  <cp:lastModifiedBy>Pelvin, Alexandra</cp:lastModifiedBy>
  <cp:revision>2</cp:revision>
  <cp:lastPrinted>2015-12-16T01:02:00Z</cp:lastPrinted>
  <dcterms:created xsi:type="dcterms:W3CDTF">2015-12-21T04:23:00Z</dcterms:created>
  <dcterms:modified xsi:type="dcterms:W3CDTF">2015-12-21T04:23:00Z</dcterms:modified>
</cp:coreProperties>
</file>