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15" w:rsidRPr="000A1446" w:rsidRDefault="00935677" w:rsidP="00AF4615">
      <w:pPr>
        <w:ind w:left="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80" type="#_x0000_t75" alt="Description: 3-lines.jpg" style="position:absolute;left:0;text-align:left;margin-left:230.85pt;margin-top:-19.15pt;width:415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3-lines"/>
          </v:shape>
        </w:pict>
      </w:r>
      <w:r>
        <w:rPr>
          <w:noProof/>
        </w:rPr>
        <w:pict>
          <v:shape id="Picture 12" o:spid="_x0000_s1079" type="#_x0000_t75" alt="Description: ACCC+GovtCrest_lockup_RGB.jpg" style="position:absolute;left:0;text-align:left;margin-left:-20.5pt;margin-top:6pt;width:195.5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ACCC+GovtCrest_lockup_RGB"/>
            <w10:wrap type="topAndBottom"/>
          </v:shape>
        </w:pict>
      </w:r>
    </w:p>
    <w:p w:rsidR="00AF4615" w:rsidRPr="000A1446" w:rsidRDefault="00AF4615" w:rsidP="00AF4615">
      <w:pPr>
        <w:ind w:left="567"/>
      </w:pPr>
    </w:p>
    <w:p w:rsidR="00AF4615" w:rsidRPr="000A1446" w:rsidRDefault="00935677" w:rsidP="00AF4615">
      <w:pPr>
        <w:ind w:left="567"/>
      </w:pPr>
      <w:r>
        <w:rPr>
          <w:noProof/>
        </w:rPr>
        <w:pict>
          <v:shapetype id="_x0000_t202" coordsize="21600,21600" o:spt="202" path="m,l,21600r21600,l21600,xe">
            <v:stroke joinstyle="miter"/>
            <v:path gradientshapeok="t" o:connecttype="rect"/>
          </v:shapetype>
          <v:shape id="Text Box 8" o:spid="_x0000_s1078" type="#_x0000_t202" style="position:absolute;left:0;text-align:left;margin-left:-54.5pt;margin-top:34.85pt;width:549.8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" filled="f" stroked="f">
            <v:path arrowok="t"/>
            <v:textbox>
              <w:txbxContent>
                <w:p w:rsidR="00E2194E" w:rsidRPr="007670C0" w:rsidRDefault="00E2194E" w:rsidP="00AF4615">
                  <w:pPr>
                    <w:pStyle w:val="01COVERHeading2"/>
                  </w:pPr>
                  <w:r>
                    <w:t>Guidelines</w:t>
                  </w:r>
                </w:p>
              </w:txbxContent>
            </v:textbox>
            <w10:wrap type="square"/>
          </v:shape>
        </w:pict>
      </w:r>
      <w:r>
        <w:rPr>
          <w:noProof/>
        </w:rPr>
        <w:pict>
          <v:rect id="Rectangle 5" o:spid="_x0000_s1077" style="position:absolute;left:0;text-align:left;margin-left:-100.95pt;margin-top:32.85pt;width:157.9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" fillcolor="#3cb6ce" stroked="f">
            <v:path arrowok="t"/>
          </v:rect>
        </w:pict>
      </w:r>
    </w:p>
    <w:p w:rsidR="00AF4615" w:rsidRPr="000A1446" w:rsidRDefault="00935677" w:rsidP="00AF4615">
      <w:pPr>
        <w:pStyle w:val="TOC1"/>
      </w:pPr>
      <w:bookmarkStart w:id="0" w:name="_Toc358820899"/>
      <w:bookmarkStart w:id="1" w:name="_Toc358884279"/>
      <w:bookmarkStart w:id="2" w:name="_Toc359232303"/>
      <w:bookmarkStart w:id="3" w:name="_Toc359233172"/>
      <w:r>
        <w:rPr>
          <w:noProof/>
        </w:rPr>
        <w:pict>
          <v:rect id="Rectangle 2" o:spid="_x0000_s1076" style="position:absolute;margin-left:-113.35pt;margin-top:32.4pt;width:720.05pt;height:29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" fillcolor="#51626f" stroked="f" strokecolor="#4a7ebb">
            <v:shadow opacity="22936f" origin=",.5" offset="0,.63889mm"/>
          </v:rect>
        </w:pict>
      </w:r>
      <w:bookmarkEnd w:id="0"/>
      <w:bookmarkEnd w:id="1"/>
      <w:bookmarkEnd w:id="2"/>
      <w:bookmarkEnd w:id="3"/>
    </w:p>
    <w:p w:rsidR="00AF4615" w:rsidRPr="000A1446" w:rsidRDefault="00AF4615" w:rsidP="00AF4615">
      <w:pPr>
        <w:ind w:left="567"/>
      </w:pPr>
    </w:p>
    <w:p w:rsidR="00AF4615" w:rsidRPr="000A1446" w:rsidRDefault="00AF4615" w:rsidP="00AF4615">
      <w:pPr>
        <w:pStyle w:val="01COVERHeading1"/>
      </w:pPr>
      <w:r w:rsidRPr="000A1446">
        <w:t>Merger Review Process Guidelines</w:t>
      </w:r>
    </w:p>
    <w:p w:rsidR="00AF4615" w:rsidRPr="000A1446" w:rsidRDefault="00AF4615" w:rsidP="00AF4615">
      <w:pPr>
        <w:ind w:left="567" w:hanging="567"/>
        <w:jc w:val="center"/>
        <w:rPr>
          <w:b/>
          <w:sz w:val="28"/>
          <w:szCs w:val="28"/>
        </w:rPr>
      </w:pPr>
    </w:p>
    <w:p w:rsidR="00AF4615" w:rsidRPr="000A1446" w:rsidRDefault="00935677" w:rsidP="00AF4615">
      <w:pPr>
        <w:ind w:left="567" w:hanging="567"/>
        <w:jc w:val="center"/>
        <w:rPr>
          <w:b/>
          <w:sz w:val="28"/>
          <w:szCs w:val="28"/>
        </w:rPr>
      </w:pPr>
      <w:r>
        <w:rPr>
          <w:noProof/>
        </w:rPr>
        <w:pict>
          <v:shape id="Picture 10" o:spid="_x0000_s1075" type="#_x0000_t75" alt="Description: 3-lines.jpg" style="position:absolute;left:0;text-align:left;margin-left:117.6pt;margin-top:17.55pt;width:414.8pt;height:38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3-lines"/>
          </v:shape>
        </w:pict>
      </w:r>
    </w:p>
    <w:p w:rsidR="00AF4615" w:rsidRPr="000A1446" w:rsidRDefault="00AF4615" w:rsidP="00AF4615">
      <w:pPr>
        <w:pStyle w:val="01COVERHeading2"/>
      </w:pPr>
      <w:r w:rsidRPr="000A1446">
        <w:t>June 2013</w:t>
      </w:r>
    </w:p>
    <w:p w:rsidR="00AF4615" w:rsidRPr="000A1446" w:rsidRDefault="00AF4615" w:rsidP="00AF4615">
      <w:pPr>
        <w:ind w:left="567" w:hanging="567"/>
        <w:jc w:val="center"/>
        <w:rPr>
          <w:b/>
          <w:sz w:val="28"/>
          <w:szCs w:val="28"/>
        </w:rPr>
        <w:sectPr w:rsidR="00AF4615" w:rsidRPr="000A1446" w:rsidSect="0028532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pPr>
    </w:p>
    <w:p w:rsidR="00AF4615" w:rsidRPr="000A1446" w:rsidRDefault="00AF4615" w:rsidP="00AF4615">
      <w:pPr>
        <w:pStyle w:val="Quote"/>
        <w:tabs>
          <w:tab w:val="clear" w:pos="567"/>
          <w:tab w:val="left" w:pos="0"/>
        </w:tabs>
        <w:spacing w:before="7680"/>
        <w:ind w:left="0"/>
        <w:rPr>
          <w:sz w:val="14"/>
          <w:szCs w:val="14"/>
        </w:rPr>
      </w:pPr>
      <w:r w:rsidRPr="000A1446">
        <w:rPr>
          <w:sz w:val="14"/>
          <w:szCs w:val="14"/>
        </w:rPr>
        <w:t xml:space="preserve">Australian Competition and Consumer Commission 23 Marcus Clarke Street, Canberra, Australian Capital Territory, 2601 </w:t>
      </w:r>
    </w:p>
    <w:p w:rsidR="00AF4615" w:rsidRPr="000A1446" w:rsidRDefault="00AF4615" w:rsidP="00AF4615">
      <w:pPr>
        <w:pStyle w:val="Quote"/>
        <w:tabs>
          <w:tab w:val="clear" w:pos="567"/>
          <w:tab w:val="left" w:pos="0"/>
        </w:tabs>
        <w:ind w:left="0"/>
        <w:rPr>
          <w:sz w:val="14"/>
          <w:szCs w:val="14"/>
        </w:rPr>
      </w:pPr>
      <w:r w:rsidRPr="000A1446">
        <w:rPr>
          <w:sz w:val="14"/>
          <w:szCs w:val="14"/>
        </w:rPr>
        <w:t xml:space="preserve">© Commonwealth of Australia 2013 </w:t>
      </w:r>
    </w:p>
    <w:p w:rsidR="00AF4615" w:rsidRPr="000A1446" w:rsidRDefault="00AF4615" w:rsidP="00AF4615">
      <w:pPr>
        <w:pStyle w:val="Quote"/>
        <w:tabs>
          <w:tab w:val="clear" w:pos="567"/>
          <w:tab w:val="left" w:pos="0"/>
        </w:tabs>
        <w:ind w:left="0"/>
        <w:rPr>
          <w:sz w:val="14"/>
          <w:szCs w:val="14"/>
        </w:rPr>
      </w:pPr>
      <w:r w:rsidRPr="000A1446">
        <w:rPr>
          <w:sz w:val="14"/>
          <w:szCs w:val="14"/>
        </w:rPr>
        <w:t xml:space="preserve">This work is copyright. In addition to any use permitted under the </w:t>
      </w:r>
      <w:r w:rsidRPr="000A1446">
        <w:rPr>
          <w:i/>
          <w:sz w:val="14"/>
          <w:szCs w:val="14"/>
        </w:rPr>
        <w:t>Copyright Act 1968</w:t>
      </w:r>
      <w:r w:rsidRPr="000A1446">
        <w:rPr>
          <w:sz w:val="14"/>
          <w:szCs w:val="14"/>
        </w:rPr>
        <w:t>, all material contained within this work is provided under a Creative Commons Attribution 3.0 Australia license, with the exception of:</w:t>
      </w:r>
    </w:p>
    <w:p w:rsidR="00AF4615" w:rsidRPr="000A1446" w:rsidRDefault="00AF4615" w:rsidP="00AF4615">
      <w:pPr>
        <w:pStyle w:val="Quote"/>
        <w:tabs>
          <w:tab w:val="clear" w:pos="567"/>
          <w:tab w:val="left" w:pos="0"/>
        </w:tabs>
        <w:ind w:left="0"/>
        <w:rPr>
          <w:sz w:val="14"/>
          <w:szCs w:val="14"/>
        </w:rPr>
      </w:pPr>
      <w:r w:rsidRPr="000A1446">
        <w:rPr>
          <w:sz w:val="14"/>
          <w:szCs w:val="14"/>
        </w:rPr>
        <w:t>•</w:t>
      </w:r>
      <w:r w:rsidRPr="000A1446">
        <w:rPr>
          <w:sz w:val="14"/>
          <w:szCs w:val="14"/>
        </w:rPr>
        <w:tab/>
      </w:r>
      <w:proofErr w:type="gramStart"/>
      <w:r w:rsidRPr="000A1446">
        <w:rPr>
          <w:sz w:val="14"/>
          <w:szCs w:val="14"/>
        </w:rPr>
        <w:t>the</w:t>
      </w:r>
      <w:proofErr w:type="gramEnd"/>
      <w:r w:rsidRPr="000A1446">
        <w:rPr>
          <w:sz w:val="14"/>
          <w:szCs w:val="14"/>
        </w:rPr>
        <w:t xml:space="preserve"> Commonwealth Coat of Arms and</w:t>
      </w:r>
    </w:p>
    <w:p w:rsidR="00AF4615" w:rsidRPr="000A1446" w:rsidRDefault="00AF4615" w:rsidP="00AF4615">
      <w:pPr>
        <w:pStyle w:val="Quote"/>
        <w:tabs>
          <w:tab w:val="clear" w:pos="567"/>
          <w:tab w:val="left" w:pos="0"/>
        </w:tabs>
        <w:ind w:left="0"/>
        <w:rPr>
          <w:sz w:val="14"/>
          <w:szCs w:val="14"/>
        </w:rPr>
      </w:pPr>
      <w:r w:rsidRPr="000A1446">
        <w:rPr>
          <w:sz w:val="14"/>
          <w:szCs w:val="14"/>
        </w:rPr>
        <w:t>•</w:t>
      </w:r>
      <w:r w:rsidRPr="000A1446">
        <w:rPr>
          <w:sz w:val="14"/>
          <w:szCs w:val="14"/>
        </w:rPr>
        <w:tab/>
      </w:r>
      <w:proofErr w:type="gramStart"/>
      <w:r w:rsidRPr="000A1446">
        <w:rPr>
          <w:sz w:val="14"/>
          <w:szCs w:val="14"/>
        </w:rPr>
        <w:t>the</w:t>
      </w:r>
      <w:proofErr w:type="gramEnd"/>
      <w:r w:rsidRPr="000A1446">
        <w:rPr>
          <w:sz w:val="14"/>
          <w:szCs w:val="14"/>
        </w:rPr>
        <w:t xml:space="preserve"> ACCC logos.</w:t>
      </w:r>
    </w:p>
    <w:p w:rsidR="00AF4615" w:rsidRPr="000A1446" w:rsidRDefault="00AF4615" w:rsidP="00AF4615">
      <w:pPr>
        <w:pStyle w:val="Quote"/>
        <w:tabs>
          <w:tab w:val="clear" w:pos="567"/>
          <w:tab w:val="left" w:pos="0"/>
        </w:tabs>
        <w:ind w:left="0"/>
        <w:rPr>
          <w:sz w:val="14"/>
          <w:szCs w:val="14"/>
        </w:rPr>
      </w:pPr>
      <w:r w:rsidRPr="000A1446">
        <w:rPr>
          <w:sz w:val="14"/>
          <w:szCs w:val="14"/>
        </w:rPr>
        <w:t xml:space="preserve">The details of the relevant license conditions are available on the Creative Commons website, as is the full legal code for the CC BY 3.0 AU license. </w:t>
      </w:r>
    </w:p>
    <w:p w:rsidR="00AF4615" w:rsidRPr="000A1446" w:rsidRDefault="00AF4615" w:rsidP="00AF4615">
      <w:pPr>
        <w:pStyle w:val="Quote"/>
        <w:tabs>
          <w:tab w:val="clear" w:pos="567"/>
          <w:tab w:val="left" w:pos="0"/>
        </w:tabs>
        <w:ind w:left="0"/>
        <w:rPr>
          <w:sz w:val="14"/>
          <w:szCs w:val="14"/>
        </w:rPr>
      </w:pPr>
      <w:r w:rsidRPr="000A1446">
        <w:rPr>
          <w:sz w:val="14"/>
          <w:szCs w:val="14"/>
        </w:rPr>
        <w:t xml:space="preserve">Requests and inquiries concerning reproduction and rights should be addressed to the Director Publishing, ACCC, GPO Box 3131, Canberra ACT 2601, or </w:t>
      </w:r>
      <w:hyperlink r:id="rId17" w:history="1">
        <w:r w:rsidRPr="000A1446">
          <w:rPr>
            <w:rStyle w:val="Hyperlink"/>
            <w:rFonts w:cs="HelveticaNeueLT Std Lt"/>
            <w:sz w:val="14"/>
            <w:szCs w:val="14"/>
          </w:rPr>
          <w:t>publishing.unit@accc.gov.au</w:t>
        </w:r>
      </w:hyperlink>
      <w:r w:rsidRPr="000A1446">
        <w:rPr>
          <w:sz w:val="14"/>
          <w:szCs w:val="14"/>
        </w:rPr>
        <w:t>.</w:t>
      </w:r>
    </w:p>
    <w:p w:rsidR="00AF4615" w:rsidRPr="000A1446" w:rsidRDefault="00AF4615" w:rsidP="00AF4615">
      <w:pPr>
        <w:pStyle w:val="Quote"/>
        <w:tabs>
          <w:tab w:val="clear" w:pos="567"/>
          <w:tab w:val="left" w:pos="0"/>
        </w:tabs>
        <w:ind w:left="0"/>
        <w:rPr>
          <w:rFonts w:ascii="HelveticaNeueLT Std Med" w:hAnsi="HelveticaNeueLT Std Med" w:cs="HelveticaNeueLT Std Med"/>
          <w:sz w:val="14"/>
          <w:szCs w:val="14"/>
        </w:rPr>
      </w:pPr>
      <w:r w:rsidRPr="000A1446">
        <w:rPr>
          <w:rFonts w:ascii="HelveticaNeueLT Std Med" w:hAnsi="HelveticaNeueLT Std Med" w:cs="HelveticaNeueLT Std Med"/>
          <w:b/>
          <w:sz w:val="14"/>
          <w:szCs w:val="14"/>
        </w:rPr>
        <w:t>Important notice</w:t>
      </w:r>
      <w:r w:rsidRPr="000A1446">
        <w:rPr>
          <w:rFonts w:ascii="HelveticaNeueLT Std Med" w:hAnsi="HelveticaNeueLT Std Med" w:cs="HelveticaNeueLT Std Med"/>
          <w:sz w:val="14"/>
          <w:szCs w:val="14"/>
        </w:rPr>
        <w:t xml:space="preserve"> </w:t>
      </w:r>
    </w:p>
    <w:p w:rsidR="00AF4615" w:rsidRPr="000A1446" w:rsidRDefault="00AF4615" w:rsidP="00AF4615">
      <w:pPr>
        <w:pStyle w:val="Quote"/>
        <w:tabs>
          <w:tab w:val="clear" w:pos="567"/>
          <w:tab w:val="left" w:pos="0"/>
        </w:tabs>
        <w:ind w:left="0"/>
        <w:rPr>
          <w:sz w:val="14"/>
          <w:szCs w:val="14"/>
        </w:rPr>
      </w:pPr>
      <w:r w:rsidRPr="000A1446">
        <w:rPr>
          <w:sz w:val="14"/>
          <w:szCs w:val="14"/>
        </w:rP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AF4615" w:rsidRPr="000A1446" w:rsidRDefault="00AF4615" w:rsidP="00AF4615">
      <w:pPr>
        <w:pStyle w:val="Quote"/>
        <w:tabs>
          <w:tab w:val="clear" w:pos="567"/>
          <w:tab w:val="left" w:pos="0"/>
        </w:tabs>
        <w:ind w:left="0"/>
        <w:rPr>
          <w:sz w:val="14"/>
          <w:szCs w:val="14"/>
        </w:rPr>
      </w:pPr>
      <w:r w:rsidRPr="000A1446">
        <w:rPr>
          <w:sz w:val="14"/>
          <w:szCs w:val="14"/>
        </w:rPr>
        <w:t xml:space="preserve">The ACCC has made every reasonable effort to provide current and accurate information, but it does not make any guarantees regarding the accuracy, currency or completeness of that information. </w:t>
      </w:r>
    </w:p>
    <w:p w:rsidR="00AF4615" w:rsidRPr="000A1446" w:rsidRDefault="00AF4615" w:rsidP="00AF4615">
      <w:pPr>
        <w:pStyle w:val="Quote"/>
        <w:tabs>
          <w:tab w:val="clear" w:pos="567"/>
          <w:tab w:val="left" w:pos="0"/>
        </w:tabs>
        <w:ind w:left="0"/>
        <w:rPr>
          <w:sz w:val="14"/>
          <w:szCs w:val="14"/>
        </w:rPr>
      </w:pPr>
      <w:r w:rsidRPr="000A1446">
        <w:rPr>
          <w:b/>
          <w:i/>
          <w:sz w:val="14"/>
          <w:szCs w:val="14"/>
        </w:rPr>
        <w:t xml:space="preserve">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w:t>
      </w:r>
      <w:hyperlink r:id="rId18" w:history="1">
        <w:r w:rsidRPr="000A1446">
          <w:rPr>
            <w:rStyle w:val="Hyperlink"/>
            <w:rFonts w:cs="HelveticaNeueLT Std Lt"/>
            <w:b/>
            <w:i/>
            <w:sz w:val="14"/>
            <w:szCs w:val="14"/>
          </w:rPr>
          <w:t>publishing.unit@accc.gov.au</w:t>
        </w:r>
      </w:hyperlink>
      <w:r w:rsidRPr="000A1446">
        <w:rPr>
          <w:b/>
          <w:i/>
          <w:sz w:val="14"/>
          <w:szCs w:val="14"/>
        </w:rPr>
        <w:t>.</w:t>
      </w:r>
    </w:p>
    <w:p w:rsidR="00AF4615" w:rsidRPr="000A1446" w:rsidRDefault="00AF4615" w:rsidP="00AF4615">
      <w:pPr>
        <w:ind w:left="567" w:hanging="567"/>
      </w:pPr>
    </w:p>
    <w:p w:rsidR="008B6574" w:rsidRDefault="008B6574" w:rsidP="00610FDB">
      <w:pPr>
        <w:sectPr w:rsidR="008B6574" w:rsidSect="00285326">
          <w:footerReference w:type="default" r:id="rId19"/>
          <w:pgSz w:w="11906" w:h="16838"/>
          <w:pgMar w:top="1440" w:right="1800" w:bottom="1440" w:left="1800" w:header="708" w:footer="708" w:gutter="0"/>
          <w:pgNumType w:start="1"/>
          <w:cols w:space="708"/>
          <w:docGrid w:linePitch="360"/>
        </w:sectPr>
      </w:pPr>
    </w:p>
    <w:p w:rsidR="00AF4615" w:rsidRPr="000A1446" w:rsidRDefault="00AF4615" w:rsidP="00610FDB"/>
    <w:p w:rsidR="00B67732" w:rsidRPr="00610FDB" w:rsidRDefault="00B67732" w:rsidP="00610FDB">
      <w:pPr>
        <w:rPr>
          <w:color w:val="31849B" w:themeColor="accent5" w:themeShade="BF"/>
        </w:rPr>
      </w:pPr>
      <w:r w:rsidRPr="00610FDB">
        <w:rPr>
          <w:b/>
          <w:color w:val="31849B" w:themeColor="accent5" w:themeShade="BF"/>
          <w:sz w:val="28"/>
          <w:szCs w:val="28"/>
        </w:rPr>
        <w:t>Table of Contents</w:t>
      </w:r>
    </w:p>
    <w:p w:rsidR="007236ED" w:rsidRPr="000A1446" w:rsidRDefault="00B87ED1">
      <w:pPr>
        <w:pStyle w:val="TOC1"/>
        <w:tabs>
          <w:tab w:val="right" w:leader="dot" w:pos="9016"/>
        </w:tabs>
        <w:rPr>
          <w:rFonts w:asciiTheme="minorHAnsi" w:eastAsiaTheme="minorEastAsia" w:hAnsiTheme="minorHAnsi" w:cstheme="minorBidi"/>
          <w:noProof/>
          <w:lang w:eastAsia="en-AU"/>
        </w:rPr>
      </w:pPr>
      <w:r w:rsidRPr="008B6574">
        <w:fldChar w:fldCharType="begin"/>
      </w:r>
      <w:r w:rsidRPr="000A1446">
        <w:instrText xml:space="preserve"> TOC \o "1-3" \h \z \u </w:instrText>
      </w:r>
      <w:r w:rsidRPr="008B6574">
        <w:fldChar w:fldCharType="separate"/>
      </w:r>
      <w:hyperlink w:anchor="_Toc360012414" w:history="1">
        <w:r w:rsidR="007236ED" w:rsidRPr="000A1446">
          <w:rPr>
            <w:rStyle w:val="Hyperlink"/>
            <w:noProof/>
          </w:rPr>
          <w:t>Glossary</w:t>
        </w:r>
        <w:r w:rsidR="007236ED" w:rsidRPr="000A1446">
          <w:rPr>
            <w:noProof/>
            <w:webHidden/>
          </w:rPr>
          <w:tab/>
        </w:r>
        <w:r w:rsidR="007236ED" w:rsidRPr="00610FDB">
          <w:rPr>
            <w:noProof/>
            <w:webHidden/>
          </w:rPr>
          <w:fldChar w:fldCharType="begin"/>
        </w:r>
        <w:r w:rsidR="007236ED" w:rsidRPr="000A1446">
          <w:rPr>
            <w:noProof/>
            <w:webHidden/>
          </w:rPr>
          <w:instrText xml:space="preserve"> PAGEREF _Toc360012414 \h </w:instrText>
        </w:r>
        <w:r w:rsidR="007236ED" w:rsidRPr="00610FDB">
          <w:rPr>
            <w:noProof/>
            <w:webHidden/>
          </w:rPr>
        </w:r>
        <w:r w:rsidR="007236ED" w:rsidRPr="00610FDB">
          <w:rPr>
            <w:noProof/>
            <w:webHidden/>
          </w:rPr>
          <w:fldChar w:fldCharType="separate"/>
        </w:r>
        <w:r w:rsidR="00A528AE">
          <w:rPr>
            <w:noProof/>
            <w:webHidden/>
          </w:rPr>
          <w:t>4</w:t>
        </w:r>
        <w:r w:rsidR="007236ED" w:rsidRPr="00610FDB">
          <w:rPr>
            <w:noProof/>
            <w:webHidden/>
          </w:rPr>
          <w:fldChar w:fldCharType="end"/>
        </w:r>
      </w:hyperlink>
    </w:p>
    <w:p w:rsidR="007236ED" w:rsidRPr="000A1446" w:rsidRDefault="00935677">
      <w:pPr>
        <w:pStyle w:val="TOC1"/>
        <w:tabs>
          <w:tab w:val="right" w:leader="dot" w:pos="9016"/>
        </w:tabs>
        <w:rPr>
          <w:rFonts w:asciiTheme="minorHAnsi" w:eastAsiaTheme="minorEastAsia" w:hAnsiTheme="minorHAnsi" w:cstheme="minorBidi"/>
          <w:noProof/>
          <w:lang w:eastAsia="en-AU"/>
        </w:rPr>
      </w:pPr>
      <w:hyperlink w:anchor="_Toc360012415" w:history="1">
        <w:r w:rsidR="007236ED" w:rsidRPr="000A1446">
          <w:rPr>
            <w:rStyle w:val="Hyperlink"/>
            <w:noProof/>
          </w:rPr>
          <w:t>Overview of informal merger review processes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_Toc360012415 \h </w:instrText>
        </w:r>
        <w:r w:rsidR="007236ED" w:rsidRPr="008B6574">
          <w:rPr>
            <w:noProof/>
            <w:webHidden/>
          </w:rPr>
        </w:r>
        <w:r w:rsidR="007236ED" w:rsidRPr="008B6574">
          <w:rPr>
            <w:noProof/>
            <w:webHidden/>
          </w:rPr>
          <w:fldChar w:fldCharType="separate"/>
        </w:r>
        <w:r w:rsidR="00A528AE">
          <w:rPr>
            <w:noProof/>
            <w:webHidden/>
          </w:rPr>
          <w:t>6</w:t>
        </w:r>
        <w:r w:rsidR="007236ED" w:rsidRPr="008B6574">
          <w:rPr>
            <w:noProof/>
            <w:webHidden/>
          </w:rPr>
          <w:fldChar w:fldCharType="end"/>
        </w:r>
      </w:hyperlink>
    </w:p>
    <w:p w:rsidR="007236ED" w:rsidRPr="000A1446" w:rsidRDefault="00935677">
      <w:pPr>
        <w:pStyle w:val="TOC1"/>
        <w:tabs>
          <w:tab w:val="left" w:pos="440"/>
          <w:tab w:val="right" w:leader="dot" w:pos="9016"/>
        </w:tabs>
        <w:rPr>
          <w:rFonts w:asciiTheme="minorHAnsi" w:eastAsiaTheme="minorEastAsia" w:hAnsiTheme="minorHAnsi" w:cstheme="minorBidi"/>
          <w:noProof/>
          <w:lang w:eastAsia="en-AU"/>
        </w:rPr>
      </w:pPr>
      <w:hyperlink w:anchor="_Toc360012416" w:history="1">
        <w:r w:rsidR="007236ED" w:rsidRPr="000A1446">
          <w:rPr>
            <w:rStyle w:val="Hyperlink"/>
            <w:noProof/>
          </w:rPr>
          <w:t>1.</w:t>
        </w:r>
        <w:r w:rsidR="007236ED" w:rsidRPr="000A1446">
          <w:rPr>
            <w:rFonts w:asciiTheme="minorHAnsi" w:eastAsiaTheme="minorEastAsia" w:hAnsiTheme="minorHAnsi" w:cstheme="minorBidi"/>
            <w:noProof/>
            <w:lang w:eastAsia="en-AU"/>
          </w:rPr>
          <w:tab/>
        </w:r>
        <w:r w:rsidR="007236ED" w:rsidRPr="000A1446">
          <w:rPr>
            <w:rStyle w:val="Hyperlink"/>
            <w:noProof/>
          </w:rPr>
          <w:t>Introduction</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_Toc360012416 \h </w:instrText>
        </w:r>
        <w:r w:rsidR="007236ED" w:rsidRPr="008B6574">
          <w:rPr>
            <w:noProof/>
            <w:webHidden/>
          </w:rPr>
        </w:r>
        <w:r w:rsidR="007236ED" w:rsidRPr="008B6574">
          <w:rPr>
            <w:noProof/>
            <w:webHidden/>
          </w:rPr>
          <w:fldChar w:fldCharType="separate"/>
        </w:r>
        <w:r w:rsidR="00A528AE">
          <w:rPr>
            <w:noProof/>
            <w:webHidden/>
          </w:rPr>
          <w:t>7</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17" w:history="1">
        <w:r w:rsidR="007236ED" w:rsidRPr="000A1446">
          <w:rPr>
            <w:rStyle w:val="Hyperlink"/>
            <w:noProof/>
          </w:rPr>
          <w:t>Types of merger assessments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_Toc360012417 \h </w:instrText>
        </w:r>
        <w:r w:rsidR="007236ED" w:rsidRPr="008B6574">
          <w:rPr>
            <w:noProof/>
            <w:webHidden/>
          </w:rPr>
        </w:r>
        <w:r w:rsidR="007236ED" w:rsidRPr="008B6574">
          <w:rPr>
            <w:noProof/>
            <w:webHidden/>
          </w:rPr>
          <w:fldChar w:fldCharType="separate"/>
        </w:r>
        <w:r w:rsidR="00A528AE">
          <w:rPr>
            <w:noProof/>
            <w:webHidden/>
          </w:rPr>
          <w:t>7</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18" w:history="1">
        <w:r w:rsidR="007236ED" w:rsidRPr="000A1446">
          <w:rPr>
            <w:rStyle w:val="Hyperlink"/>
            <w:noProof/>
          </w:rPr>
          <w:t>What is an informal merger review?</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_Toc360012418 \h </w:instrText>
        </w:r>
        <w:r w:rsidR="007236ED" w:rsidRPr="008B6574">
          <w:rPr>
            <w:noProof/>
            <w:webHidden/>
          </w:rPr>
        </w:r>
        <w:r w:rsidR="007236ED" w:rsidRPr="008B6574">
          <w:rPr>
            <w:noProof/>
            <w:webHidden/>
          </w:rPr>
          <w:fldChar w:fldCharType="separate"/>
        </w:r>
        <w:r w:rsidR="00A528AE">
          <w:rPr>
            <w:noProof/>
            <w:webHidden/>
          </w:rPr>
          <w:t>8</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19" w:history="1">
        <w:r w:rsidR="007236ED" w:rsidRPr="000A1446">
          <w:rPr>
            <w:rStyle w:val="Hyperlink"/>
            <w:noProof/>
          </w:rPr>
          <w:t>Section 50 of the Act</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_Toc360012419 \h </w:instrText>
        </w:r>
        <w:r w:rsidR="007236ED" w:rsidRPr="008B6574">
          <w:rPr>
            <w:noProof/>
            <w:webHidden/>
          </w:rPr>
        </w:r>
        <w:r w:rsidR="007236ED" w:rsidRPr="008B6574">
          <w:rPr>
            <w:noProof/>
            <w:webHidden/>
          </w:rPr>
          <w:fldChar w:fldCharType="separate"/>
        </w:r>
        <w:r w:rsidR="00A528AE">
          <w:rPr>
            <w:noProof/>
            <w:webHidden/>
          </w:rPr>
          <w:t>9</w:t>
        </w:r>
        <w:r w:rsidR="007236ED" w:rsidRPr="008B6574">
          <w:rPr>
            <w:noProof/>
            <w:webHidden/>
          </w:rPr>
          <w:fldChar w:fldCharType="end"/>
        </w:r>
      </w:hyperlink>
    </w:p>
    <w:p w:rsidR="007236ED" w:rsidRPr="000A1446" w:rsidRDefault="00935677">
      <w:pPr>
        <w:pStyle w:val="TOC1"/>
        <w:tabs>
          <w:tab w:val="left" w:pos="440"/>
          <w:tab w:val="right" w:leader="dot" w:pos="9016"/>
        </w:tabs>
        <w:rPr>
          <w:rFonts w:asciiTheme="minorHAnsi" w:eastAsiaTheme="minorEastAsia" w:hAnsiTheme="minorHAnsi" w:cstheme="minorBidi"/>
          <w:noProof/>
          <w:lang w:eastAsia="en-AU"/>
        </w:rPr>
      </w:pPr>
      <w:hyperlink w:anchor="_Toc360012420" w:history="1">
        <w:r w:rsidR="007236ED" w:rsidRPr="000A1446">
          <w:rPr>
            <w:rStyle w:val="Hyperlink"/>
            <w:noProof/>
          </w:rPr>
          <w:t>2.</w:t>
        </w:r>
        <w:r w:rsidR="007236ED" w:rsidRPr="000A1446">
          <w:rPr>
            <w:rFonts w:asciiTheme="minorHAnsi" w:eastAsiaTheme="minorEastAsia" w:hAnsiTheme="minorHAnsi" w:cstheme="minorBidi"/>
            <w:noProof/>
            <w:lang w:eastAsia="en-AU"/>
          </w:rPr>
          <w:tab/>
        </w:r>
        <w:r w:rsidR="007236ED" w:rsidRPr="000A1446">
          <w:rPr>
            <w:rStyle w:val="Hyperlink"/>
            <w:noProof/>
          </w:rPr>
          <w:t>Informal merger review processes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_Toc360012420 \h </w:instrText>
        </w:r>
        <w:r w:rsidR="007236ED" w:rsidRPr="008B6574">
          <w:rPr>
            <w:noProof/>
            <w:webHidden/>
          </w:rPr>
        </w:r>
        <w:r w:rsidR="007236ED" w:rsidRPr="008B6574">
          <w:rPr>
            <w:noProof/>
            <w:webHidden/>
          </w:rPr>
          <w:fldChar w:fldCharType="separate"/>
        </w:r>
        <w:r w:rsidR="00A528AE">
          <w:rPr>
            <w:noProof/>
            <w:webHidden/>
          </w:rPr>
          <w:t>10</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1" w:history="1">
        <w:r w:rsidR="007236ED" w:rsidRPr="000A1446">
          <w:rPr>
            <w:rStyle w:val="Hyperlink"/>
            <w:noProof/>
          </w:rPr>
          <w:t>Monitoring possible mergers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_Toc360012421 \h </w:instrText>
        </w:r>
        <w:r w:rsidR="007236ED" w:rsidRPr="008B6574">
          <w:rPr>
            <w:noProof/>
            <w:webHidden/>
          </w:rPr>
        </w:r>
        <w:r w:rsidR="007236ED" w:rsidRPr="008B6574">
          <w:rPr>
            <w:noProof/>
            <w:webHidden/>
          </w:rPr>
          <w:fldChar w:fldCharType="separate"/>
        </w:r>
        <w:r w:rsidR="00A528AE">
          <w:rPr>
            <w:noProof/>
            <w:webHidden/>
          </w:rPr>
          <w:t>10</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2" w:history="1">
        <w:r w:rsidR="007236ED" w:rsidRPr="000A1446">
          <w:rPr>
            <w:rStyle w:val="Hyperlink"/>
            <w:noProof/>
          </w:rPr>
          <w:t>Notifying the ACCC of a proposed merger</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_Toc360012422 \h </w:instrText>
        </w:r>
        <w:r w:rsidR="007236ED" w:rsidRPr="008B6574">
          <w:rPr>
            <w:noProof/>
            <w:webHidden/>
          </w:rPr>
        </w:r>
        <w:r w:rsidR="007236ED" w:rsidRPr="008B6574">
          <w:rPr>
            <w:noProof/>
            <w:webHidden/>
          </w:rPr>
          <w:fldChar w:fldCharType="separate"/>
        </w:r>
        <w:r w:rsidR="00A528AE">
          <w:rPr>
            <w:noProof/>
            <w:webHidden/>
          </w:rPr>
          <w:t>10</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3" w:history="1">
        <w:r w:rsidR="007236ED" w:rsidRPr="000A1446">
          <w:rPr>
            <w:rStyle w:val="Hyperlink"/>
            <w:noProof/>
          </w:rPr>
          <w:t>Initial assessment</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_Toc360012423 \h </w:instrText>
        </w:r>
        <w:r w:rsidR="007236ED" w:rsidRPr="008B6574">
          <w:rPr>
            <w:noProof/>
            <w:webHidden/>
          </w:rPr>
        </w:r>
        <w:r w:rsidR="007236ED" w:rsidRPr="008B6574">
          <w:rPr>
            <w:noProof/>
            <w:webHidden/>
          </w:rPr>
          <w:fldChar w:fldCharType="separate"/>
        </w:r>
        <w:r w:rsidR="00A528AE">
          <w:rPr>
            <w:noProof/>
            <w:webHidden/>
          </w:rPr>
          <w:t>11</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4" w:history="1">
        <w:r w:rsidR="007236ED" w:rsidRPr="000A1446">
          <w:rPr>
            <w:rStyle w:val="Hyperlink"/>
            <w:noProof/>
          </w:rPr>
          <w:t>Confidential merger reviews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_Toc360012424 \h </w:instrText>
        </w:r>
        <w:r w:rsidR="007236ED" w:rsidRPr="008B6574">
          <w:rPr>
            <w:noProof/>
            <w:webHidden/>
          </w:rPr>
        </w:r>
        <w:r w:rsidR="007236ED" w:rsidRPr="008B6574">
          <w:rPr>
            <w:noProof/>
            <w:webHidden/>
          </w:rPr>
          <w:fldChar w:fldCharType="separate"/>
        </w:r>
        <w:r w:rsidR="00A528AE">
          <w:rPr>
            <w:noProof/>
            <w:webHidden/>
          </w:rPr>
          <w:t>12</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5" w:history="1">
        <w:r w:rsidR="007236ED" w:rsidRPr="000A1446">
          <w:rPr>
            <w:rStyle w:val="Hyperlink"/>
            <w:noProof/>
          </w:rPr>
          <w:t>Public merger reviews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_Toc360012425 \h </w:instrText>
        </w:r>
        <w:r w:rsidR="007236ED" w:rsidRPr="008B6574">
          <w:rPr>
            <w:noProof/>
            <w:webHidden/>
          </w:rPr>
        </w:r>
        <w:r w:rsidR="007236ED" w:rsidRPr="008B6574">
          <w:rPr>
            <w:noProof/>
            <w:webHidden/>
          </w:rPr>
          <w:fldChar w:fldCharType="separate"/>
        </w:r>
        <w:r w:rsidR="00A528AE">
          <w:rPr>
            <w:noProof/>
            <w:webHidden/>
          </w:rPr>
          <w:t>14</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6" w:history="1">
        <w:r w:rsidR="007236ED" w:rsidRPr="000A1446">
          <w:rPr>
            <w:rStyle w:val="Hyperlink"/>
            <w:noProof/>
          </w:rPr>
          <w:t>Stages of public reviews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_Toc360012426 \h </w:instrText>
        </w:r>
        <w:r w:rsidR="007236ED" w:rsidRPr="008B6574">
          <w:rPr>
            <w:noProof/>
            <w:webHidden/>
          </w:rPr>
        </w:r>
        <w:r w:rsidR="007236ED" w:rsidRPr="008B6574">
          <w:rPr>
            <w:noProof/>
            <w:webHidden/>
          </w:rPr>
          <w:fldChar w:fldCharType="separate"/>
        </w:r>
        <w:r w:rsidR="00A528AE">
          <w:rPr>
            <w:noProof/>
            <w:webHidden/>
          </w:rPr>
          <w:t>14</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7" w:history="1">
        <w:r w:rsidR="007236ED" w:rsidRPr="000A1446">
          <w:rPr>
            <w:rStyle w:val="Hyperlink"/>
            <w:noProof/>
          </w:rPr>
          <w:t>Provisional decision dates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_Toc360012427 \h </w:instrText>
        </w:r>
        <w:r w:rsidR="007236ED" w:rsidRPr="008B6574">
          <w:rPr>
            <w:noProof/>
            <w:webHidden/>
          </w:rPr>
        </w:r>
        <w:r w:rsidR="007236ED" w:rsidRPr="008B6574">
          <w:rPr>
            <w:noProof/>
            <w:webHidden/>
          </w:rPr>
          <w:fldChar w:fldCharType="separate"/>
        </w:r>
        <w:r w:rsidR="00A528AE">
          <w:rPr>
            <w:noProof/>
            <w:webHidden/>
          </w:rPr>
          <w:t>18</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8" w:history="1">
        <w:r w:rsidR="007236ED" w:rsidRPr="000A1446">
          <w:rPr>
            <w:rStyle w:val="Hyperlink"/>
            <w:noProof/>
          </w:rPr>
          <w:t>Amendments to indicative timelines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_Toc360012428 \h </w:instrText>
        </w:r>
        <w:r w:rsidR="007236ED" w:rsidRPr="008B6574">
          <w:rPr>
            <w:noProof/>
            <w:webHidden/>
          </w:rPr>
        </w:r>
        <w:r w:rsidR="007236ED" w:rsidRPr="008B6574">
          <w:rPr>
            <w:noProof/>
            <w:webHidden/>
          </w:rPr>
          <w:fldChar w:fldCharType="separate"/>
        </w:r>
        <w:r w:rsidR="00A528AE">
          <w:rPr>
            <w:noProof/>
            <w:webHidden/>
          </w:rPr>
          <w:t>18</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29" w:history="1">
        <w:r w:rsidR="007236ED" w:rsidRPr="000A1446">
          <w:rPr>
            <w:rStyle w:val="Hyperlink"/>
            <w:noProof/>
          </w:rPr>
          <w:t>Requests for information by ACCC</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_Toc360012429 \h </w:instrText>
        </w:r>
        <w:r w:rsidR="007236ED" w:rsidRPr="008B6574">
          <w:rPr>
            <w:noProof/>
            <w:webHidden/>
          </w:rPr>
        </w:r>
        <w:r w:rsidR="007236ED" w:rsidRPr="008B6574">
          <w:rPr>
            <w:noProof/>
            <w:webHidden/>
          </w:rPr>
          <w:fldChar w:fldCharType="separate"/>
        </w:r>
        <w:r w:rsidR="00A528AE">
          <w:rPr>
            <w:noProof/>
            <w:webHidden/>
          </w:rPr>
          <w:t>20</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0" w:history="1">
        <w:r w:rsidR="007236ED" w:rsidRPr="000A1446">
          <w:rPr>
            <w:rStyle w:val="Hyperlink"/>
            <w:noProof/>
          </w:rPr>
          <w:t>Confidential information</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_Toc360012430 \h </w:instrText>
        </w:r>
        <w:r w:rsidR="007236ED" w:rsidRPr="008B6574">
          <w:rPr>
            <w:noProof/>
            <w:webHidden/>
          </w:rPr>
        </w:r>
        <w:r w:rsidR="007236ED" w:rsidRPr="008B6574">
          <w:rPr>
            <w:noProof/>
            <w:webHidden/>
          </w:rPr>
          <w:fldChar w:fldCharType="separate"/>
        </w:r>
        <w:r w:rsidR="00A528AE">
          <w:rPr>
            <w:noProof/>
            <w:webHidden/>
          </w:rPr>
          <w:t>20</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1" w:history="1">
        <w:r w:rsidR="007236ED" w:rsidRPr="000A1446">
          <w:rPr>
            <w:rStyle w:val="Hyperlink"/>
            <w:noProof/>
          </w:rPr>
          <w:t>Feedback from market inquiries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_Toc360012431 \h </w:instrText>
        </w:r>
        <w:r w:rsidR="007236ED" w:rsidRPr="008B6574">
          <w:rPr>
            <w:noProof/>
            <w:webHidden/>
          </w:rPr>
        </w:r>
        <w:r w:rsidR="007236ED" w:rsidRPr="008B6574">
          <w:rPr>
            <w:noProof/>
            <w:webHidden/>
          </w:rPr>
          <w:fldChar w:fldCharType="separate"/>
        </w:r>
        <w:r w:rsidR="00A528AE">
          <w:rPr>
            <w:noProof/>
            <w:webHidden/>
          </w:rPr>
          <w:t>21</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2" w:history="1">
        <w:r w:rsidR="007236ED" w:rsidRPr="000A1446">
          <w:rPr>
            <w:rStyle w:val="Hyperlink"/>
            <w:noProof/>
          </w:rPr>
          <w:t>Statements of Issues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_Toc360012432 \h </w:instrText>
        </w:r>
        <w:r w:rsidR="007236ED" w:rsidRPr="008B6574">
          <w:rPr>
            <w:noProof/>
            <w:webHidden/>
          </w:rPr>
        </w:r>
        <w:r w:rsidR="007236ED" w:rsidRPr="008B6574">
          <w:rPr>
            <w:noProof/>
            <w:webHidden/>
          </w:rPr>
          <w:fldChar w:fldCharType="separate"/>
        </w:r>
        <w:r w:rsidR="00A528AE">
          <w:rPr>
            <w:noProof/>
            <w:webHidden/>
          </w:rPr>
          <w:t>21</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3" w:history="1">
        <w:r w:rsidR="007236ED" w:rsidRPr="000A1446">
          <w:rPr>
            <w:rStyle w:val="Hyperlink"/>
            <w:noProof/>
          </w:rPr>
          <w:t>ACCC’s final decision</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_Toc360012433 \h </w:instrText>
        </w:r>
        <w:r w:rsidR="007236ED" w:rsidRPr="008B6574">
          <w:rPr>
            <w:noProof/>
            <w:webHidden/>
          </w:rPr>
        </w:r>
        <w:r w:rsidR="007236ED" w:rsidRPr="008B6574">
          <w:rPr>
            <w:noProof/>
            <w:webHidden/>
          </w:rPr>
          <w:fldChar w:fldCharType="separate"/>
        </w:r>
        <w:r w:rsidR="00A528AE">
          <w:rPr>
            <w:noProof/>
            <w:webHidden/>
          </w:rPr>
          <w:t>22</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4" w:history="1">
        <w:r w:rsidR="007236ED" w:rsidRPr="000A1446">
          <w:rPr>
            <w:rStyle w:val="Hyperlink"/>
            <w:noProof/>
          </w:rPr>
          <w:t>International mergers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_Toc360012434 \h </w:instrText>
        </w:r>
        <w:r w:rsidR="007236ED" w:rsidRPr="008B6574">
          <w:rPr>
            <w:noProof/>
            <w:webHidden/>
          </w:rPr>
        </w:r>
        <w:r w:rsidR="007236ED" w:rsidRPr="008B6574">
          <w:rPr>
            <w:noProof/>
            <w:webHidden/>
          </w:rPr>
          <w:fldChar w:fldCharType="separate"/>
        </w:r>
        <w:r w:rsidR="00A528AE">
          <w:rPr>
            <w:noProof/>
            <w:webHidden/>
          </w:rPr>
          <w:t>22</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5" w:history="1">
        <w:r w:rsidR="007236ED" w:rsidRPr="000A1446">
          <w:rPr>
            <w:rStyle w:val="Hyperlink"/>
            <w:noProof/>
          </w:rPr>
          <w:t>Completed mergers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_Toc360012435 \h </w:instrText>
        </w:r>
        <w:r w:rsidR="007236ED" w:rsidRPr="008B6574">
          <w:rPr>
            <w:noProof/>
            <w:webHidden/>
          </w:rPr>
        </w:r>
        <w:r w:rsidR="007236ED" w:rsidRPr="008B6574">
          <w:rPr>
            <w:noProof/>
            <w:webHidden/>
          </w:rPr>
          <w:fldChar w:fldCharType="separate"/>
        </w:r>
        <w:r w:rsidR="00A528AE">
          <w:rPr>
            <w:noProof/>
            <w:webHidden/>
          </w:rPr>
          <w:t>23</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6" w:history="1">
        <w:r w:rsidR="007236ED" w:rsidRPr="000A1446">
          <w:rPr>
            <w:rStyle w:val="Hyperlink"/>
            <w:noProof/>
          </w:rPr>
          <w:t>Recording duration of ACCC merger reviews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_Toc360012436 \h </w:instrText>
        </w:r>
        <w:r w:rsidR="007236ED" w:rsidRPr="008B6574">
          <w:rPr>
            <w:noProof/>
            <w:webHidden/>
          </w:rPr>
        </w:r>
        <w:r w:rsidR="007236ED" w:rsidRPr="008B6574">
          <w:rPr>
            <w:noProof/>
            <w:webHidden/>
          </w:rPr>
          <w:fldChar w:fldCharType="separate"/>
        </w:r>
        <w:r w:rsidR="00A528AE">
          <w:rPr>
            <w:noProof/>
            <w:webHidden/>
          </w:rPr>
          <w:t>23</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7" w:history="1">
        <w:r w:rsidR="007236ED" w:rsidRPr="000A1446">
          <w:rPr>
            <w:rStyle w:val="Hyperlink"/>
            <w:noProof/>
          </w:rPr>
          <w:t>Public Competition Assessments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_Toc360012437 \h </w:instrText>
        </w:r>
        <w:r w:rsidR="007236ED" w:rsidRPr="008B6574">
          <w:rPr>
            <w:noProof/>
            <w:webHidden/>
          </w:rPr>
        </w:r>
        <w:r w:rsidR="007236ED" w:rsidRPr="008B6574">
          <w:rPr>
            <w:noProof/>
            <w:webHidden/>
          </w:rPr>
          <w:fldChar w:fldCharType="separate"/>
        </w:r>
        <w:r w:rsidR="00A528AE">
          <w:rPr>
            <w:noProof/>
            <w:webHidden/>
          </w:rPr>
          <w:t>23</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38" w:history="1">
        <w:r w:rsidR="007236ED" w:rsidRPr="000A1446">
          <w:rPr>
            <w:rStyle w:val="Hyperlink"/>
            <w:noProof/>
          </w:rPr>
          <w:t>Section 87B undertakings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_Toc360012438 \h </w:instrText>
        </w:r>
        <w:r w:rsidR="007236ED" w:rsidRPr="008B6574">
          <w:rPr>
            <w:noProof/>
            <w:webHidden/>
          </w:rPr>
        </w:r>
        <w:r w:rsidR="007236ED" w:rsidRPr="008B6574">
          <w:rPr>
            <w:noProof/>
            <w:webHidden/>
          </w:rPr>
          <w:fldChar w:fldCharType="separate"/>
        </w:r>
        <w:r w:rsidR="00A528AE">
          <w:rPr>
            <w:noProof/>
            <w:webHidden/>
          </w:rPr>
          <w:t>24</w:t>
        </w:r>
        <w:r w:rsidR="007236ED" w:rsidRPr="008B6574">
          <w:rPr>
            <w:noProof/>
            <w:webHidden/>
          </w:rPr>
          <w:fldChar w:fldCharType="end"/>
        </w:r>
      </w:hyperlink>
    </w:p>
    <w:p w:rsidR="007236ED" w:rsidRPr="000A1446" w:rsidRDefault="00935677">
      <w:pPr>
        <w:pStyle w:val="TOC3"/>
        <w:tabs>
          <w:tab w:val="right" w:leader="dot" w:pos="9016"/>
        </w:tabs>
        <w:rPr>
          <w:rFonts w:asciiTheme="minorHAnsi" w:eastAsiaTheme="minorEastAsia" w:hAnsiTheme="minorHAnsi" w:cstheme="minorBidi"/>
          <w:noProof/>
          <w:lang w:eastAsia="en-AU"/>
        </w:rPr>
      </w:pPr>
      <w:hyperlink w:anchor="_Toc360012439" w:history="1">
        <w:r w:rsidR="007236ED" w:rsidRPr="000A1446">
          <w:rPr>
            <w:rStyle w:val="Hyperlink"/>
            <w:noProof/>
          </w:rPr>
          <w:t>Before an undertaking is offered</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_Toc360012439 \h </w:instrText>
        </w:r>
        <w:r w:rsidR="007236ED" w:rsidRPr="008B6574">
          <w:rPr>
            <w:noProof/>
            <w:webHidden/>
          </w:rPr>
        </w:r>
        <w:r w:rsidR="007236ED" w:rsidRPr="008B6574">
          <w:rPr>
            <w:noProof/>
            <w:webHidden/>
          </w:rPr>
          <w:fldChar w:fldCharType="separate"/>
        </w:r>
        <w:r w:rsidR="00A528AE">
          <w:rPr>
            <w:noProof/>
            <w:webHidden/>
          </w:rPr>
          <w:t>24</w:t>
        </w:r>
        <w:r w:rsidR="007236ED" w:rsidRPr="008B6574">
          <w:rPr>
            <w:noProof/>
            <w:webHidden/>
          </w:rPr>
          <w:fldChar w:fldCharType="end"/>
        </w:r>
      </w:hyperlink>
    </w:p>
    <w:p w:rsidR="007236ED" w:rsidRPr="000A1446" w:rsidRDefault="00935677">
      <w:pPr>
        <w:pStyle w:val="TOC3"/>
        <w:tabs>
          <w:tab w:val="right" w:leader="dot" w:pos="9016"/>
        </w:tabs>
        <w:rPr>
          <w:rFonts w:asciiTheme="minorHAnsi" w:eastAsiaTheme="minorEastAsia" w:hAnsiTheme="minorHAnsi" w:cstheme="minorBidi"/>
          <w:noProof/>
          <w:lang w:eastAsia="en-AU"/>
        </w:rPr>
      </w:pPr>
      <w:hyperlink w:anchor="_Toc360012440" w:history="1">
        <w:r w:rsidR="007236ED" w:rsidRPr="000A1446">
          <w:rPr>
            <w:rStyle w:val="Hyperlink"/>
            <w:noProof/>
          </w:rPr>
          <w:t>When can an undertaking be offered?</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_Toc360012440 \h </w:instrText>
        </w:r>
        <w:r w:rsidR="007236ED" w:rsidRPr="008B6574">
          <w:rPr>
            <w:noProof/>
            <w:webHidden/>
          </w:rPr>
        </w:r>
        <w:r w:rsidR="007236ED" w:rsidRPr="008B6574">
          <w:rPr>
            <w:noProof/>
            <w:webHidden/>
          </w:rPr>
          <w:fldChar w:fldCharType="separate"/>
        </w:r>
        <w:r w:rsidR="00A528AE">
          <w:rPr>
            <w:noProof/>
            <w:webHidden/>
          </w:rPr>
          <w:t>25</w:t>
        </w:r>
        <w:r w:rsidR="007236ED" w:rsidRPr="008B6574">
          <w:rPr>
            <w:noProof/>
            <w:webHidden/>
          </w:rPr>
          <w:fldChar w:fldCharType="end"/>
        </w:r>
      </w:hyperlink>
    </w:p>
    <w:p w:rsidR="007236ED" w:rsidRPr="000A1446" w:rsidRDefault="00935677">
      <w:pPr>
        <w:pStyle w:val="TOC3"/>
        <w:tabs>
          <w:tab w:val="right" w:leader="dot" w:pos="9016"/>
        </w:tabs>
        <w:rPr>
          <w:rFonts w:asciiTheme="minorHAnsi" w:eastAsiaTheme="minorEastAsia" w:hAnsiTheme="minorHAnsi" w:cstheme="minorBidi"/>
          <w:noProof/>
          <w:lang w:eastAsia="en-AU"/>
        </w:rPr>
      </w:pPr>
      <w:hyperlink w:anchor="_Toc360012441" w:history="1">
        <w:r w:rsidR="007236ED" w:rsidRPr="000A1446">
          <w:rPr>
            <w:rStyle w:val="Hyperlink"/>
            <w:noProof/>
          </w:rPr>
          <w:t>Substance of an undertaking</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_Toc360012441 \h </w:instrText>
        </w:r>
        <w:r w:rsidR="007236ED" w:rsidRPr="008B6574">
          <w:rPr>
            <w:noProof/>
            <w:webHidden/>
          </w:rPr>
        </w:r>
        <w:r w:rsidR="007236ED" w:rsidRPr="008B6574">
          <w:rPr>
            <w:noProof/>
            <w:webHidden/>
          </w:rPr>
          <w:fldChar w:fldCharType="separate"/>
        </w:r>
        <w:r w:rsidR="00A528AE">
          <w:rPr>
            <w:noProof/>
            <w:webHidden/>
          </w:rPr>
          <w:t>25</w:t>
        </w:r>
        <w:r w:rsidR="007236ED" w:rsidRPr="008B6574">
          <w:rPr>
            <w:noProof/>
            <w:webHidden/>
          </w:rPr>
          <w:fldChar w:fldCharType="end"/>
        </w:r>
      </w:hyperlink>
    </w:p>
    <w:p w:rsidR="007236ED" w:rsidRPr="000A1446" w:rsidRDefault="00935677">
      <w:pPr>
        <w:pStyle w:val="TOC3"/>
        <w:tabs>
          <w:tab w:val="right" w:leader="dot" w:pos="9016"/>
        </w:tabs>
        <w:rPr>
          <w:rFonts w:asciiTheme="minorHAnsi" w:eastAsiaTheme="minorEastAsia" w:hAnsiTheme="minorHAnsi" w:cstheme="minorBidi"/>
          <w:noProof/>
          <w:lang w:eastAsia="en-AU"/>
        </w:rPr>
      </w:pPr>
      <w:hyperlink w:anchor="_Toc360012442" w:history="1">
        <w:r w:rsidR="007236ED" w:rsidRPr="000A1446">
          <w:rPr>
            <w:rStyle w:val="Hyperlink"/>
            <w:noProof/>
          </w:rPr>
          <w:t>Process after an undertaking is offered</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_Toc360012442 \h </w:instrText>
        </w:r>
        <w:r w:rsidR="007236ED" w:rsidRPr="008B6574">
          <w:rPr>
            <w:noProof/>
            <w:webHidden/>
          </w:rPr>
        </w:r>
        <w:r w:rsidR="007236ED" w:rsidRPr="008B6574">
          <w:rPr>
            <w:noProof/>
            <w:webHidden/>
          </w:rPr>
          <w:fldChar w:fldCharType="separate"/>
        </w:r>
        <w:r w:rsidR="00A528AE">
          <w:rPr>
            <w:noProof/>
            <w:webHidden/>
          </w:rPr>
          <w:t>25</w:t>
        </w:r>
        <w:r w:rsidR="007236ED" w:rsidRPr="008B6574">
          <w:rPr>
            <w:noProof/>
            <w:webHidden/>
          </w:rPr>
          <w:fldChar w:fldCharType="end"/>
        </w:r>
      </w:hyperlink>
    </w:p>
    <w:p w:rsidR="007236ED" w:rsidRPr="000A1446" w:rsidRDefault="00935677">
      <w:pPr>
        <w:pStyle w:val="TOC3"/>
        <w:tabs>
          <w:tab w:val="right" w:leader="dot" w:pos="9016"/>
        </w:tabs>
        <w:rPr>
          <w:rFonts w:asciiTheme="minorHAnsi" w:eastAsiaTheme="minorEastAsia" w:hAnsiTheme="minorHAnsi" w:cstheme="minorBidi"/>
          <w:noProof/>
          <w:lang w:eastAsia="en-AU"/>
        </w:rPr>
      </w:pPr>
      <w:hyperlink w:anchor="_Toc360012443" w:history="1">
        <w:r w:rsidR="007236ED" w:rsidRPr="000A1446">
          <w:rPr>
            <w:rStyle w:val="Hyperlink"/>
            <w:noProof/>
          </w:rPr>
          <w:t>International mergers involving undertakings - liaison with overseas regulators</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_Toc360012443 \h </w:instrText>
        </w:r>
        <w:r w:rsidR="007236ED" w:rsidRPr="008B6574">
          <w:rPr>
            <w:noProof/>
            <w:webHidden/>
          </w:rPr>
        </w:r>
        <w:r w:rsidR="007236ED" w:rsidRPr="008B6574">
          <w:rPr>
            <w:noProof/>
            <w:webHidden/>
          </w:rPr>
          <w:fldChar w:fldCharType="separate"/>
        </w:r>
        <w:r w:rsidR="00A528AE">
          <w:rPr>
            <w:noProof/>
            <w:webHidden/>
          </w:rPr>
          <w:t>26</w:t>
        </w:r>
        <w:r w:rsidR="007236ED" w:rsidRPr="008B6574">
          <w:rPr>
            <w:noProof/>
            <w:webHidden/>
          </w:rPr>
          <w:fldChar w:fldCharType="end"/>
        </w:r>
      </w:hyperlink>
    </w:p>
    <w:p w:rsidR="007236ED" w:rsidRPr="000A1446" w:rsidRDefault="00935677">
      <w:pPr>
        <w:pStyle w:val="TOC3"/>
        <w:tabs>
          <w:tab w:val="right" w:leader="dot" w:pos="9016"/>
        </w:tabs>
        <w:rPr>
          <w:rFonts w:asciiTheme="minorHAnsi" w:eastAsiaTheme="minorEastAsia" w:hAnsiTheme="minorHAnsi" w:cstheme="minorBidi"/>
          <w:noProof/>
          <w:lang w:eastAsia="en-AU"/>
        </w:rPr>
      </w:pPr>
      <w:hyperlink w:anchor="_Toc360012444" w:history="1">
        <w:r w:rsidR="007236ED" w:rsidRPr="000A1446">
          <w:rPr>
            <w:rStyle w:val="Hyperlink"/>
            <w:noProof/>
          </w:rPr>
          <w:t>After acceptance of an undertaking</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_Toc360012444 \h </w:instrText>
        </w:r>
        <w:r w:rsidR="007236ED" w:rsidRPr="008B6574">
          <w:rPr>
            <w:noProof/>
            <w:webHidden/>
          </w:rPr>
        </w:r>
        <w:r w:rsidR="007236ED" w:rsidRPr="008B6574">
          <w:rPr>
            <w:noProof/>
            <w:webHidden/>
          </w:rPr>
          <w:fldChar w:fldCharType="separate"/>
        </w:r>
        <w:r w:rsidR="00A528AE">
          <w:rPr>
            <w:noProof/>
            <w:webHidden/>
          </w:rPr>
          <w:t>26</w:t>
        </w:r>
        <w:r w:rsidR="007236ED" w:rsidRPr="008B6574">
          <w:rPr>
            <w:noProof/>
            <w:webHidden/>
          </w:rPr>
          <w:fldChar w:fldCharType="end"/>
        </w:r>
      </w:hyperlink>
    </w:p>
    <w:p w:rsidR="007236ED" w:rsidRPr="000A1446" w:rsidRDefault="00935677">
      <w:pPr>
        <w:pStyle w:val="TOC2"/>
        <w:tabs>
          <w:tab w:val="right" w:leader="dot" w:pos="9016"/>
        </w:tabs>
        <w:rPr>
          <w:rFonts w:asciiTheme="minorHAnsi" w:eastAsiaTheme="minorEastAsia" w:hAnsiTheme="minorHAnsi" w:cstheme="minorBidi"/>
          <w:noProof/>
          <w:lang w:eastAsia="en-AU"/>
        </w:rPr>
      </w:pPr>
      <w:hyperlink w:anchor="_Toc360012445" w:history="1">
        <w:r w:rsidR="007236ED" w:rsidRPr="000A1446">
          <w:rPr>
            <w:rStyle w:val="Hyperlink"/>
            <w:noProof/>
          </w:rPr>
          <w:t>ACCC contact</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_Toc360012445 \h </w:instrText>
        </w:r>
        <w:r w:rsidR="007236ED" w:rsidRPr="008B6574">
          <w:rPr>
            <w:noProof/>
            <w:webHidden/>
          </w:rPr>
        </w:r>
        <w:r w:rsidR="007236ED" w:rsidRPr="008B6574">
          <w:rPr>
            <w:noProof/>
            <w:webHidden/>
          </w:rPr>
          <w:fldChar w:fldCharType="separate"/>
        </w:r>
        <w:r w:rsidR="00A528AE">
          <w:rPr>
            <w:noProof/>
            <w:webHidden/>
          </w:rPr>
          <w:t>27</w:t>
        </w:r>
        <w:r w:rsidR="007236ED" w:rsidRPr="008B6574">
          <w:rPr>
            <w:noProof/>
            <w:webHidden/>
          </w:rPr>
          <w:fldChar w:fldCharType="end"/>
        </w:r>
      </w:hyperlink>
    </w:p>
    <w:p w:rsidR="007236ED" w:rsidRPr="000A1446" w:rsidRDefault="00935677">
      <w:pPr>
        <w:pStyle w:val="TOC1"/>
        <w:tabs>
          <w:tab w:val="right" w:leader="dot" w:pos="9016"/>
        </w:tabs>
        <w:rPr>
          <w:rFonts w:asciiTheme="minorHAnsi" w:eastAsiaTheme="minorEastAsia" w:hAnsiTheme="minorHAnsi" w:cstheme="minorBidi"/>
          <w:noProof/>
          <w:lang w:eastAsia="en-AU"/>
        </w:rPr>
      </w:pPr>
      <w:hyperlink w:anchor="_Toc360012446" w:history="1">
        <w:r w:rsidR="007236ED" w:rsidRPr="000A1446">
          <w:rPr>
            <w:rStyle w:val="Hyperlink"/>
            <w:noProof/>
          </w:rPr>
          <w:t>Appendix A – information likely to be of use to the ACCC’s review</w:t>
        </w:r>
        <w:r w:rsidR="007236ED" w:rsidRPr="000A1446">
          <w:rPr>
            <w:noProof/>
            <w:webHidden/>
          </w:rPr>
          <w:tab/>
        </w:r>
        <w:r w:rsidR="007236ED" w:rsidRPr="008B6574">
          <w:rPr>
            <w:noProof/>
            <w:webHidden/>
          </w:rPr>
          <w:fldChar w:fldCharType="begin"/>
        </w:r>
        <w:r w:rsidR="007236ED" w:rsidRPr="000A1446">
          <w:rPr>
            <w:noProof/>
            <w:webHidden/>
          </w:rPr>
          <w:instrText xml:space="preserve"> PAGEREF _Toc360012446 \h </w:instrText>
        </w:r>
        <w:r w:rsidR="007236ED" w:rsidRPr="008B6574">
          <w:rPr>
            <w:noProof/>
            <w:webHidden/>
          </w:rPr>
        </w:r>
        <w:r w:rsidR="007236ED" w:rsidRPr="008B6574">
          <w:rPr>
            <w:noProof/>
            <w:webHidden/>
          </w:rPr>
          <w:fldChar w:fldCharType="separate"/>
        </w:r>
        <w:r w:rsidR="00A528AE">
          <w:rPr>
            <w:noProof/>
            <w:webHidden/>
          </w:rPr>
          <w:t>28</w:t>
        </w:r>
        <w:r w:rsidR="007236ED" w:rsidRPr="008B6574">
          <w:rPr>
            <w:noProof/>
            <w:webHidden/>
          </w:rPr>
          <w:fldChar w:fldCharType="end"/>
        </w:r>
      </w:hyperlink>
    </w:p>
    <w:p w:rsidR="00B87ED1" w:rsidRPr="000A1446" w:rsidRDefault="00B87ED1">
      <w:r w:rsidRPr="008B6574">
        <w:fldChar w:fldCharType="end"/>
      </w:r>
    </w:p>
    <w:p w:rsidR="0072269E" w:rsidRPr="000A1446" w:rsidRDefault="00B87ED1" w:rsidP="00610FDB">
      <w:pPr>
        <w:pStyle w:val="Heading1"/>
        <w:numPr>
          <w:ilvl w:val="0"/>
          <w:numId w:val="0"/>
        </w:numPr>
        <w:ind w:left="360" w:hanging="360"/>
      </w:pPr>
      <w:r w:rsidRPr="000A1446">
        <w:br w:type="page"/>
      </w:r>
      <w:bookmarkStart w:id="4" w:name="_Toc360012414"/>
      <w:r w:rsidR="0072269E" w:rsidRPr="000A1446">
        <w:t>Glossary</w:t>
      </w:r>
      <w:bookmarkEnd w:id="4"/>
    </w:p>
    <w:p w:rsidR="00DD5371" w:rsidRPr="000A1446" w:rsidRDefault="00DD5371" w:rsidP="000262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21"/>
        <w:gridCol w:w="4621"/>
      </w:tblGrid>
      <w:tr w:rsidR="00DD5371" w:rsidRPr="000A1446" w:rsidTr="000262D5">
        <w:tc>
          <w:tcPr>
            <w:tcW w:w="4621" w:type="dxa"/>
            <w:shd w:val="clear" w:color="auto" w:fill="FFFFFF" w:themeFill="background1"/>
          </w:tcPr>
          <w:p w:rsidR="00DD5371" w:rsidRPr="000A1446" w:rsidRDefault="00DD5371" w:rsidP="00B67732">
            <w:r w:rsidRPr="000A1446">
              <w:t>ACCC</w:t>
            </w:r>
          </w:p>
        </w:tc>
        <w:tc>
          <w:tcPr>
            <w:tcW w:w="4621" w:type="dxa"/>
            <w:shd w:val="clear" w:color="auto" w:fill="FFFFFF" w:themeFill="background1"/>
          </w:tcPr>
          <w:p w:rsidR="00DD5371" w:rsidRPr="000A1446" w:rsidRDefault="00DD5371" w:rsidP="00B67732">
            <w:r w:rsidRPr="000A1446">
              <w:t>Australian Competition and Consumer Commission</w:t>
            </w:r>
          </w:p>
        </w:tc>
      </w:tr>
      <w:tr w:rsidR="00DD5371" w:rsidRPr="000A1446" w:rsidTr="000262D5">
        <w:tc>
          <w:tcPr>
            <w:tcW w:w="4621" w:type="dxa"/>
            <w:shd w:val="clear" w:color="auto" w:fill="FFFFFF" w:themeFill="background1"/>
          </w:tcPr>
          <w:p w:rsidR="00DD5371" w:rsidRPr="000A1446" w:rsidRDefault="00DD5371" w:rsidP="00B67732">
            <w:r w:rsidRPr="000A1446">
              <w:t>Act</w:t>
            </w:r>
          </w:p>
        </w:tc>
        <w:tc>
          <w:tcPr>
            <w:tcW w:w="4621" w:type="dxa"/>
            <w:shd w:val="clear" w:color="auto" w:fill="FFFFFF" w:themeFill="background1"/>
          </w:tcPr>
          <w:p w:rsidR="00DD5371" w:rsidRPr="000A1446" w:rsidRDefault="00DD5371" w:rsidP="00B67732">
            <w:r w:rsidRPr="000A1446">
              <w:rPr>
                <w:i/>
              </w:rPr>
              <w:t>Competition and Consumer Act 2010</w:t>
            </w:r>
          </w:p>
        </w:tc>
      </w:tr>
      <w:tr w:rsidR="00DD5371" w:rsidRPr="000A1446" w:rsidTr="00DD5371">
        <w:tc>
          <w:tcPr>
            <w:tcW w:w="4621" w:type="dxa"/>
            <w:shd w:val="clear" w:color="auto" w:fill="FFFFFF" w:themeFill="background1"/>
          </w:tcPr>
          <w:p w:rsidR="00DD5371" w:rsidRPr="000A1446" w:rsidRDefault="00DD5371" w:rsidP="00B67732">
            <w:r w:rsidRPr="000A1446">
              <w:t>Announcement of ACCC findings</w:t>
            </w:r>
          </w:p>
        </w:tc>
        <w:tc>
          <w:tcPr>
            <w:tcW w:w="4621" w:type="dxa"/>
            <w:shd w:val="clear" w:color="auto" w:fill="FFFFFF" w:themeFill="background1"/>
          </w:tcPr>
          <w:p w:rsidR="00DD5371" w:rsidRPr="000A1446" w:rsidRDefault="00DD5371" w:rsidP="00DD5371">
            <w:r w:rsidRPr="000A1446">
              <w:t>This can either be a final decision or a decision to publish a Statement of Issues</w:t>
            </w:r>
            <w:r w:rsidR="00BF629B">
              <w:t>.</w:t>
            </w:r>
          </w:p>
        </w:tc>
      </w:tr>
      <w:tr w:rsidR="00DD5371" w:rsidRPr="000A1446" w:rsidTr="000262D5">
        <w:tc>
          <w:tcPr>
            <w:tcW w:w="4621" w:type="dxa"/>
            <w:shd w:val="clear" w:color="auto" w:fill="FFFFFF" w:themeFill="background1"/>
          </w:tcPr>
          <w:p w:rsidR="00DD5371" w:rsidRPr="000A1446" w:rsidRDefault="00DD5371" w:rsidP="00B67732">
            <w:r w:rsidRPr="000A1446">
              <w:t>Final decision</w:t>
            </w:r>
          </w:p>
        </w:tc>
        <w:tc>
          <w:tcPr>
            <w:tcW w:w="4621" w:type="dxa"/>
            <w:shd w:val="clear" w:color="auto" w:fill="FFFFFF" w:themeFill="background1"/>
          </w:tcPr>
          <w:p w:rsidR="00DD5371" w:rsidRPr="000A1446" w:rsidRDefault="00DD5371" w:rsidP="00BF629B">
            <w:r w:rsidRPr="000A1446">
              <w:t xml:space="preserve">The ACCC’s final decision will be to </w:t>
            </w:r>
            <w:r w:rsidR="00BF629B">
              <w:t xml:space="preserve">oppose, </w:t>
            </w:r>
            <w:r w:rsidRPr="000A1446">
              <w:t>not oppose, or to not oppose subject to the acceptance of s. 87B undertakings</w:t>
            </w:r>
            <w:r w:rsidR="00BF629B">
              <w:t>.</w:t>
            </w:r>
          </w:p>
        </w:tc>
      </w:tr>
      <w:tr w:rsidR="00DD5371" w:rsidRPr="000A1446" w:rsidTr="000262D5">
        <w:tc>
          <w:tcPr>
            <w:tcW w:w="4621" w:type="dxa"/>
            <w:shd w:val="clear" w:color="auto" w:fill="FFFFFF" w:themeFill="background1"/>
          </w:tcPr>
          <w:p w:rsidR="00DD5371" w:rsidRPr="000A1446" w:rsidRDefault="00DD5371" w:rsidP="00B67732">
            <w:r w:rsidRPr="000A1446">
              <w:t>Indicative timeline</w:t>
            </w:r>
          </w:p>
        </w:tc>
        <w:tc>
          <w:tcPr>
            <w:tcW w:w="4621" w:type="dxa"/>
            <w:shd w:val="clear" w:color="auto" w:fill="FFFFFF" w:themeFill="background1"/>
          </w:tcPr>
          <w:p w:rsidR="00DD5371" w:rsidRPr="000A1446" w:rsidRDefault="00757E81" w:rsidP="00757E81">
            <w:r w:rsidRPr="000A1446">
              <w:t>Timelines published by the ACCC to give the merger parties and the public a guide to the likely timing of an informal merger review.</w:t>
            </w:r>
          </w:p>
        </w:tc>
      </w:tr>
      <w:tr w:rsidR="00DD5371" w:rsidRPr="000A1446" w:rsidTr="000262D5">
        <w:tc>
          <w:tcPr>
            <w:tcW w:w="4621" w:type="dxa"/>
            <w:shd w:val="clear" w:color="auto" w:fill="FFFFFF" w:themeFill="background1"/>
          </w:tcPr>
          <w:p w:rsidR="00DD5371" w:rsidRPr="000A1446" w:rsidRDefault="00DD5371" w:rsidP="00B67732">
            <w:r w:rsidRPr="000A1446">
              <w:t>Market inquiries</w:t>
            </w:r>
          </w:p>
        </w:tc>
        <w:tc>
          <w:tcPr>
            <w:tcW w:w="4621" w:type="dxa"/>
            <w:shd w:val="clear" w:color="auto" w:fill="FFFFFF" w:themeFill="background1"/>
          </w:tcPr>
          <w:p w:rsidR="00DD5371" w:rsidRPr="000A1446" w:rsidRDefault="00347392" w:rsidP="00347392">
            <w:r w:rsidRPr="000A1446">
              <w:t>The ACCC’s consultation with interested parties who have information that may assist the ACCC’s assessment or who may be affected by the transaction</w:t>
            </w:r>
          </w:p>
        </w:tc>
      </w:tr>
      <w:tr w:rsidR="00DD5371" w:rsidRPr="000A1446" w:rsidTr="000262D5">
        <w:tc>
          <w:tcPr>
            <w:tcW w:w="4621" w:type="dxa"/>
            <w:shd w:val="clear" w:color="auto" w:fill="FFFFFF" w:themeFill="background1"/>
          </w:tcPr>
          <w:p w:rsidR="00BF629B" w:rsidRDefault="00BF629B" w:rsidP="00B67732">
            <w:r>
              <w:t>Mergers register</w:t>
            </w:r>
          </w:p>
          <w:p w:rsidR="00BF629B" w:rsidRDefault="00BF629B" w:rsidP="00B67732"/>
          <w:p w:rsidR="00BF629B" w:rsidRDefault="00BF629B" w:rsidP="00B67732"/>
          <w:p w:rsidR="00DD5371" w:rsidRPr="000A1446" w:rsidRDefault="00DD5371" w:rsidP="00B67732">
            <w:r w:rsidRPr="000A1446">
              <w:t>Pre-assessment</w:t>
            </w:r>
          </w:p>
        </w:tc>
        <w:tc>
          <w:tcPr>
            <w:tcW w:w="4621" w:type="dxa"/>
            <w:shd w:val="clear" w:color="auto" w:fill="FFFFFF" w:themeFill="background1"/>
          </w:tcPr>
          <w:p w:rsidR="00BF629B" w:rsidRDefault="00BF629B" w:rsidP="00757E81">
            <w:r>
              <w:t xml:space="preserve">The section of the ACCC’s website that lists all the mergers currently subject to a public merger review as well as information about completed reviews – </w:t>
            </w:r>
            <w:hyperlink r:id="rId20" w:history="1">
              <w:r w:rsidRPr="001E79BC">
                <w:rPr>
                  <w:rStyle w:val="Hyperlink"/>
                </w:rPr>
                <w:t>www.accc.gov.au/mergersregister</w:t>
              </w:r>
            </w:hyperlink>
            <w:r>
              <w:t xml:space="preserve"> </w:t>
            </w:r>
          </w:p>
          <w:p w:rsidR="00DD5371" w:rsidRPr="000A1446" w:rsidRDefault="00757E81" w:rsidP="00757E81">
            <w:r w:rsidRPr="000A1446">
              <w:t>An assessment made, based on the information provided, that there is a low risk of a merger substantially lessening competition, and therefore that it is not necessary for the ACCC to conduct a public review of that merger.</w:t>
            </w:r>
          </w:p>
        </w:tc>
      </w:tr>
      <w:tr w:rsidR="00DD5371" w:rsidRPr="000A1446" w:rsidTr="000262D5">
        <w:tc>
          <w:tcPr>
            <w:tcW w:w="4621" w:type="dxa"/>
            <w:shd w:val="clear" w:color="auto" w:fill="FFFFFF" w:themeFill="background1"/>
          </w:tcPr>
          <w:p w:rsidR="00DD5371" w:rsidRPr="000A1446" w:rsidRDefault="00DD5371" w:rsidP="00B67732">
            <w:r w:rsidRPr="000A1446">
              <w:t>Provisional decision date</w:t>
            </w:r>
          </w:p>
        </w:tc>
        <w:tc>
          <w:tcPr>
            <w:tcW w:w="4621" w:type="dxa"/>
            <w:shd w:val="clear" w:color="auto" w:fill="FFFFFF" w:themeFill="background1"/>
          </w:tcPr>
          <w:p w:rsidR="00DD5371" w:rsidRPr="000A1446" w:rsidRDefault="00757E81" w:rsidP="00B67732">
            <w:r w:rsidRPr="000A1446">
              <w:t>The decision date published by the ACCC at the outset of a public review which is subject to later review and amendment.</w:t>
            </w:r>
          </w:p>
        </w:tc>
      </w:tr>
      <w:tr w:rsidR="00DD5371" w:rsidRPr="000A1446" w:rsidTr="00DD5371">
        <w:tc>
          <w:tcPr>
            <w:tcW w:w="4621" w:type="dxa"/>
            <w:shd w:val="clear" w:color="auto" w:fill="FFFFFF" w:themeFill="background1"/>
          </w:tcPr>
          <w:p w:rsidR="00DD5371" w:rsidRPr="000A1446" w:rsidRDefault="00DD5371" w:rsidP="00B67732">
            <w:r w:rsidRPr="000A1446">
              <w:t>Public Competition Assessment</w:t>
            </w:r>
          </w:p>
        </w:tc>
        <w:tc>
          <w:tcPr>
            <w:tcW w:w="4621" w:type="dxa"/>
            <w:shd w:val="clear" w:color="auto" w:fill="FFFFFF" w:themeFill="background1"/>
          </w:tcPr>
          <w:p w:rsidR="00DD5371" w:rsidRPr="000A1446" w:rsidRDefault="00BC0F8D" w:rsidP="00BC0F8D">
            <w:r w:rsidRPr="000A1446">
              <w:t>A summary of the reasons for the ACCC’s decision and the key issues involved in the ACCC’s review.</w:t>
            </w:r>
          </w:p>
        </w:tc>
      </w:tr>
      <w:tr w:rsidR="00DD5371" w:rsidRPr="000A1446" w:rsidTr="000262D5">
        <w:tc>
          <w:tcPr>
            <w:tcW w:w="4621" w:type="dxa"/>
            <w:shd w:val="clear" w:color="auto" w:fill="FFFFFF" w:themeFill="background1"/>
          </w:tcPr>
          <w:p w:rsidR="00DD5371" w:rsidRPr="000A1446" w:rsidRDefault="00DD5371" w:rsidP="00B67732">
            <w:r w:rsidRPr="000A1446">
              <w:t>Public merger review</w:t>
            </w:r>
          </w:p>
        </w:tc>
        <w:tc>
          <w:tcPr>
            <w:tcW w:w="4621" w:type="dxa"/>
            <w:shd w:val="clear" w:color="auto" w:fill="FFFFFF" w:themeFill="background1"/>
          </w:tcPr>
          <w:p w:rsidR="00DD5371" w:rsidRPr="000A1446" w:rsidRDefault="00DD4ACE" w:rsidP="00DD4ACE">
            <w:r w:rsidRPr="000A1446">
              <w:t>A review of a merger which is in the public domain and usually where the ACCC conducts public market inquiries.</w:t>
            </w:r>
          </w:p>
        </w:tc>
      </w:tr>
      <w:tr w:rsidR="00DD5371" w:rsidRPr="000A1446" w:rsidTr="00DD5371">
        <w:tc>
          <w:tcPr>
            <w:tcW w:w="4621" w:type="dxa"/>
            <w:shd w:val="clear" w:color="auto" w:fill="FFFFFF" w:themeFill="background1"/>
          </w:tcPr>
          <w:p w:rsidR="00DD5371" w:rsidRPr="000A1446" w:rsidRDefault="00DD5371" w:rsidP="00B67732">
            <w:r w:rsidRPr="000A1446">
              <w:t>Section 87B</w:t>
            </w:r>
          </w:p>
        </w:tc>
        <w:tc>
          <w:tcPr>
            <w:tcW w:w="4621" w:type="dxa"/>
            <w:shd w:val="clear" w:color="auto" w:fill="FFFFFF" w:themeFill="background1"/>
          </w:tcPr>
          <w:p w:rsidR="00DD5371" w:rsidRPr="000A1446" w:rsidRDefault="00C42692" w:rsidP="00C42692">
            <w:r w:rsidRPr="000A1446">
              <w:t>The section of the Act that empowers the ACCC to accept court enforceable undertakings to address competition concerns raised by a merger.</w:t>
            </w:r>
          </w:p>
        </w:tc>
      </w:tr>
      <w:tr w:rsidR="00DD5371" w:rsidRPr="000A1446" w:rsidTr="00DD5371">
        <w:tc>
          <w:tcPr>
            <w:tcW w:w="4621" w:type="dxa"/>
            <w:shd w:val="clear" w:color="auto" w:fill="FFFFFF" w:themeFill="background1"/>
          </w:tcPr>
          <w:p w:rsidR="00DD5371" w:rsidRPr="000A1446" w:rsidRDefault="00DD5371" w:rsidP="00B67732">
            <w:r w:rsidRPr="000A1446">
              <w:t>Section 155</w:t>
            </w:r>
          </w:p>
        </w:tc>
        <w:tc>
          <w:tcPr>
            <w:tcW w:w="4621" w:type="dxa"/>
            <w:shd w:val="clear" w:color="auto" w:fill="FFFFFF" w:themeFill="background1"/>
          </w:tcPr>
          <w:p w:rsidR="00DD5371" w:rsidRPr="000A1446" w:rsidRDefault="00EF09E8" w:rsidP="00B67732">
            <w:r w:rsidRPr="000A1446">
              <w:t>The section of the Act that gives the ACCC the power to require a person to provide information, documents and/or give evidence under oath or by way of affirmation.</w:t>
            </w:r>
          </w:p>
        </w:tc>
      </w:tr>
      <w:tr w:rsidR="00DD5371" w:rsidRPr="000A1446" w:rsidTr="000262D5">
        <w:tc>
          <w:tcPr>
            <w:tcW w:w="4621" w:type="dxa"/>
            <w:shd w:val="clear" w:color="auto" w:fill="FFFFFF" w:themeFill="background1"/>
          </w:tcPr>
          <w:p w:rsidR="00DD5371" w:rsidRPr="000A1446" w:rsidRDefault="00DD5371" w:rsidP="00B67732">
            <w:r w:rsidRPr="000A1446">
              <w:t>Statement of Issues</w:t>
            </w:r>
          </w:p>
        </w:tc>
        <w:tc>
          <w:tcPr>
            <w:tcW w:w="4621" w:type="dxa"/>
            <w:shd w:val="clear" w:color="auto" w:fill="FFFFFF" w:themeFill="background1"/>
          </w:tcPr>
          <w:p w:rsidR="00DD5371" w:rsidRPr="000A1446" w:rsidRDefault="000F6FBC" w:rsidP="000F6FBC">
            <w:r w:rsidRPr="000A1446">
              <w:t>An outline of the key issues under review, including where the ACCC has come to a preliminary view that a proposed merger raises competition concerns that require further investigation.</w:t>
            </w:r>
          </w:p>
        </w:tc>
      </w:tr>
    </w:tbl>
    <w:p w:rsidR="00BE213B" w:rsidRPr="000A1446" w:rsidRDefault="00BE213B" w:rsidP="00610FDB">
      <w:pPr>
        <w:pStyle w:val="Heading1"/>
        <w:numPr>
          <w:ilvl w:val="0"/>
          <w:numId w:val="0"/>
        </w:numPr>
        <w:ind w:left="360" w:hanging="360"/>
      </w:pPr>
      <w:r w:rsidRPr="000A1446">
        <w:br w:type="page"/>
      </w:r>
      <w:bookmarkStart w:id="5" w:name="_Toc360012415"/>
      <w:r w:rsidRPr="000A1446">
        <w:t>Overview of informal merger review processes</w:t>
      </w:r>
      <w:bookmarkEnd w:id="5"/>
    </w:p>
    <w:p w:rsidR="00756354" w:rsidRPr="000A1446" w:rsidRDefault="00756354" w:rsidP="00756354"/>
    <w:p w:rsidR="00756354" w:rsidRPr="000A1446" w:rsidRDefault="006326EA" w:rsidP="00756354">
      <w:r>
        <w:pict>
          <v:shape id="_x0000_i1025" type="#_x0000_t75" style="width:468pt;height:400.1pt;visibility:visible;mso-wrap-style:square">
            <v:imagedata r:id="rId21" o:title=""/>
          </v:shape>
        </w:pict>
      </w:r>
      <w:r w:rsidR="00935677">
        <w:rPr>
          <w:noProof/>
          <w:lang w:eastAsia="en-AU"/>
        </w:rPr>
        <w:pict>
          <v:shape id="_x0000_s1047" type="#_x0000_t202" style="position:absolute;margin-left:357.2pt;margin-top:405.65pt;width:97.35pt;height:60.55pt;z-index:251657728;mso-position-horizontal-relative:text;mso-position-vertical-relative:text;mso-width-relative:margin;mso-height-relative:margin" stroked="f" strokeweight="0">
            <v:textbox style="mso-next-textbox:#_x0000_s1047">
              <w:txbxContent>
                <w:p w:rsidR="00E2194E" w:rsidRDefault="00E2194E" w:rsidP="00756354">
                  <w:pPr>
                    <w:jc w:val="center"/>
                  </w:pPr>
                  <w:r>
                    <w:t>Typical duration: 6-12 weeks after SOI is published</w:t>
                  </w:r>
                </w:p>
              </w:txbxContent>
            </v:textbox>
          </v:shape>
        </w:pict>
      </w:r>
      <w:r w:rsidR="00935677">
        <w:pict>
          <v:shape id="_x0000_s1044" type="#_x0000_t202" style="position:absolute;margin-left:183.25pt;margin-top:405.65pt;width:97.35pt;height:77.45pt;z-index:251656704;mso-position-horizontal-relative:text;mso-position-vertical-relative:text;mso-width-relative:margin;mso-height-relative:margin" stroked="f" strokeweight="0">
            <v:textbox style="mso-next-textbox:#_x0000_s1044">
              <w:txbxContent>
                <w:p w:rsidR="00E2194E" w:rsidRDefault="00E2194E" w:rsidP="00E51D4D">
                  <w:pPr>
                    <w:jc w:val="center"/>
                  </w:pPr>
                  <w:r>
                    <w:t>Typical duration: 6-12 weeks after pre-assessment stage concludes</w:t>
                  </w:r>
                </w:p>
              </w:txbxContent>
            </v:textbox>
          </v:shape>
        </w:pict>
      </w:r>
    </w:p>
    <w:p w:rsidR="00756354" w:rsidRPr="000A1446" w:rsidRDefault="00935677" w:rsidP="00756354">
      <w:r>
        <w:rPr>
          <w:noProof/>
          <w:lang w:eastAsia="en-AU"/>
        </w:rPr>
        <w:pict>
          <v:shape id="_x0000_s1049" type="#_x0000_t202" style="position:absolute;margin-left:15.45pt;margin-top:18.4pt;width:97.35pt;height:42.4pt;z-index:251658752;mso-width-relative:margin;mso-height-relative:margin" stroked="f" strokeweight="0">
            <v:textbox style="mso-next-textbox:#_x0000_s1049">
              <w:txbxContent>
                <w:p w:rsidR="00E2194E" w:rsidRDefault="00E2194E" w:rsidP="00191AA6">
                  <w:pPr>
                    <w:jc w:val="center"/>
                  </w:pPr>
                  <w:r>
                    <w:t>Typical duration: around 2 weeks</w:t>
                  </w:r>
                </w:p>
              </w:txbxContent>
            </v:textbox>
          </v:shape>
        </w:pict>
      </w:r>
    </w:p>
    <w:p w:rsidR="00756354" w:rsidRPr="000A1446" w:rsidRDefault="00756354" w:rsidP="00756354"/>
    <w:p w:rsidR="00BE213B" w:rsidRPr="000A1446" w:rsidRDefault="00756354" w:rsidP="00BE213B">
      <w:r w:rsidRPr="000A1446">
        <w:rPr>
          <w:noProof/>
          <w:lang w:eastAsia="en-AU"/>
        </w:rPr>
        <w:t xml:space="preserve"> </w:t>
      </w:r>
    </w:p>
    <w:p w:rsidR="00CB2B79" w:rsidRPr="000A1446" w:rsidRDefault="00CB2B79" w:rsidP="00610FDB">
      <w:pPr>
        <w:pStyle w:val="Heading1"/>
        <w:numPr>
          <w:ilvl w:val="0"/>
          <w:numId w:val="0"/>
        </w:numPr>
        <w:ind w:left="360" w:hanging="360"/>
        <w:rPr>
          <w:rFonts w:eastAsia="Calibri"/>
        </w:rPr>
      </w:pPr>
    </w:p>
    <w:p w:rsidR="008B6574" w:rsidRDefault="00997397" w:rsidP="00997397">
      <w:pPr>
        <w:ind w:left="709" w:hanging="709"/>
      </w:pPr>
      <w:r w:rsidRPr="000A1446">
        <w:t>Notes:</w:t>
      </w:r>
      <w:r w:rsidRPr="000A1446">
        <w:tab/>
      </w:r>
      <w:r w:rsidR="008B6574">
        <w:t xml:space="preserve">(1) </w:t>
      </w:r>
      <w:r w:rsidR="00CB2B79" w:rsidRPr="000A1446">
        <w:t xml:space="preserve">In certain circumstances, the ACCC may conduct a confidential review between the initial assessment and public review. </w:t>
      </w:r>
      <w:r w:rsidR="008B6574">
        <w:t xml:space="preserve"> </w:t>
      </w:r>
    </w:p>
    <w:p w:rsidR="00CB2B79" w:rsidRPr="000A1446" w:rsidRDefault="008B6574" w:rsidP="00610FDB">
      <w:pPr>
        <w:ind w:left="709"/>
      </w:pPr>
      <w:r>
        <w:t xml:space="preserve">(2) </w:t>
      </w:r>
      <w:r w:rsidR="00CB2B79" w:rsidRPr="000A1446">
        <w:t>Undertakings may be offered at any time during or prior to the commencement of a review and this will impact on the sequence and duration of stages.</w:t>
      </w:r>
    </w:p>
    <w:p w:rsidR="006209A2" w:rsidRPr="000A1446" w:rsidRDefault="00756354" w:rsidP="00B01418">
      <w:pPr>
        <w:pStyle w:val="Heading1"/>
      </w:pPr>
      <w:r w:rsidRPr="00610FDB">
        <w:br w:type="page"/>
      </w:r>
      <w:bookmarkStart w:id="6" w:name="_Toc360012416"/>
      <w:r w:rsidR="00873C0C" w:rsidRPr="000A1446">
        <w:t>Introduction</w:t>
      </w:r>
      <w:bookmarkEnd w:id="6"/>
    </w:p>
    <w:p w:rsidR="0047314F" w:rsidRPr="000A1446" w:rsidRDefault="0047314F" w:rsidP="0047314F">
      <w:pPr>
        <w:numPr>
          <w:ilvl w:val="1"/>
          <w:numId w:val="4"/>
        </w:numPr>
        <w:tabs>
          <w:tab w:val="left" w:pos="851"/>
        </w:tabs>
        <w:ind w:left="851" w:hanging="491"/>
      </w:pPr>
      <w:r w:rsidRPr="000A1446">
        <w:t>Mergers and acquisitions are important for the efficient functioning of the economy. They allow firms to achieve efficiencies, such as economies of scale or scope, and diversify risk across a range of activities. They also provide a mechanism to replace the managers of underperforming firms.</w:t>
      </w:r>
    </w:p>
    <w:p w:rsidR="0047314F" w:rsidRPr="000A1446" w:rsidRDefault="0047314F" w:rsidP="0047314F">
      <w:pPr>
        <w:numPr>
          <w:ilvl w:val="1"/>
          <w:numId w:val="4"/>
        </w:numPr>
        <w:tabs>
          <w:tab w:val="left" w:pos="851"/>
        </w:tabs>
        <w:ind w:left="851" w:hanging="491"/>
      </w:pPr>
      <w:r w:rsidRPr="000A1446">
        <w:t xml:space="preserve">In the vast majority of mergers, sufficient competitive tension remains after the merger to ensure that consumers and suppliers are no worse off. Indeed, in many cases, consumers or suppliers benefit from mergers. In some cases, however, </w:t>
      </w:r>
      <w:r w:rsidR="00084193" w:rsidRPr="000A1446">
        <w:t xml:space="preserve">by altering the structure of markets and the incentives for firms to compete, </w:t>
      </w:r>
      <w:r w:rsidRPr="000A1446">
        <w:t>mergers have anti-competitive effects.</w:t>
      </w:r>
      <w:r w:rsidR="00834911" w:rsidRPr="000A1446">
        <w:t xml:space="preserve"> Not all mergers that lessen competition are prohibited by s. 50</w:t>
      </w:r>
      <w:r w:rsidR="008B6574" w:rsidRPr="008B6574">
        <w:t xml:space="preserve"> </w:t>
      </w:r>
      <w:r w:rsidR="008B6574" w:rsidRPr="000A1446">
        <w:t xml:space="preserve">of the </w:t>
      </w:r>
      <w:r w:rsidR="008B6574" w:rsidRPr="000A1446">
        <w:rPr>
          <w:i/>
        </w:rPr>
        <w:t xml:space="preserve">Competition and Consumer Act 2010 </w:t>
      </w:r>
      <w:r w:rsidR="008B6574" w:rsidRPr="000A1446">
        <w:t>(the Act)</w:t>
      </w:r>
      <w:r w:rsidR="00834911" w:rsidRPr="000A1446">
        <w:t xml:space="preserve">; only those that </w:t>
      </w:r>
      <w:r w:rsidR="00284D80" w:rsidRPr="000A1446">
        <w:t xml:space="preserve">are likely to have the effect of substantially </w:t>
      </w:r>
      <w:r w:rsidR="00834911" w:rsidRPr="000A1446">
        <w:t>lessen</w:t>
      </w:r>
      <w:r w:rsidR="00284D80" w:rsidRPr="000A1446">
        <w:t>ing</w:t>
      </w:r>
      <w:r w:rsidR="00834911" w:rsidRPr="000A1446">
        <w:t xml:space="preserve"> competition.</w:t>
      </w:r>
    </w:p>
    <w:p w:rsidR="00873C0C" w:rsidRPr="000A1446" w:rsidRDefault="00873C0C" w:rsidP="00873C0C">
      <w:pPr>
        <w:numPr>
          <w:ilvl w:val="1"/>
          <w:numId w:val="4"/>
        </w:numPr>
        <w:tabs>
          <w:tab w:val="left" w:pos="851"/>
        </w:tabs>
        <w:ind w:left="851" w:hanging="491"/>
      </w:pPr>
      <w:r w:rsidRPr="000A1446">
        <w:t xml:space="preserve">These </w:t>
      </w:r>
      <w:r w:rsidR="00826B0F" w:rsidRPr="000A1446">
        <w:rPr>
          <w:i/>
        </w:rPr>
        <w:t xml:space="preserve">Merger Review </w:t>
      </w:r>
      <w:r w:rsidRPr="000A1446">
        <w:rPr>
          <w:i/>
        </w:rPr>
        <w:t>Process Guidelines</w:t>
      </w:r>
      <w:r w:rsidRPr="000A1446">
        <w:t xml:space="preserve"> </w:t>
      </w:r>
      <w:r w:rsidR="00D05BB4" w:rsidRPr="000A1446">
        <w:t xml:space="preserve">(Process Guidelines) </w:t>
      </w:r>
      <w:r w:rsidRPr="000A1446">
        <w:t>set out the administrative process by which the ACCC undertakes assessments of mergers and acquisitions.</w:t>
      </w:r>
      <w:r w:rsidR="00E726D8" w:rsidRPr="000A1446">
        <w:rPr>
          <w:rStyle w:val="FootnoteReference"/>
        </w:rPr>
        <w:footnoteReference w:id="1"/>
      </w:r>
      <w:r w:rsidRPr="000A1446">
        <w:t xml:space="preserve"> Separately, the ACCC has published the </w:t>
      </w:r>
      <w:r w:rsidRPr="000A1446">
        <w:rPr>
          <w:i/>
        </w:rPr>
        <w:t>Merger Guidelines</w:t>
      </w:r>
      <w:r w:rsidRPr="000A1446">
        <w:t xml:space="preserve"> which set out the analytical approach to merger analysis under </w:t>
      </w:r>
      <w:r w:rsidR="00A22B58" w:rsidRPr="000A1446">
        <w:t xml:space="preserve">s. </w:t>
      </w:r>
      <w:r w:rsidRPr="000A1446">
        <w:t>50. Both documents are of relevance to parties intending to undertake mergers</w:t>
      </w:r>
      <w:r w:rsidR="008B6574">
        <w:t xml:space="preserve"> that potentially raise competition issues</w:t>
      </w:r>
      <w:r w:rsidRPr="000A1446">
        <w:t>.</w:t>
      </w:r>
    </w:p>
    <w:p w:rsidR="00D52D49" w:rsidRPr="000A1446" w:rsidRDefault="000D50B2" w:rsidP="00873C0C">
      <w:pPr>
        <w:numPr>
          <w:ilvl w:val="1"/>
          <w:numId w:val="4"/>
        </w:numPr>
        <w:tabs>
          <w:tab w:val="left" w:pos="851"/>
        </w:tabs>
        <w:ind w:left="851" w:hanging="491"/>
      </w:pPr>
      <w:r w:rsidRPr="000A1446">
        <w:t xml:space="preserve">The </w:t>
      </w:r>
      <w:r w:rsidRPr="000A1446">
        <w:rPr>
          <w:i/>
        </w:rPr>
        <w:t xml:space="preserve">Process Guidelines </w:t>
      </w:r>
      <w:r w:rsidRPr="000A1446">
        <w:t xml:space="preserve">are designed to provide guidance to the business community, their advisers and the public about the ACCC’s processes for considering mergers and the types of information that will assist the ACCC in making an assessment. </w:t>
      </w:r>
      <w:r w:rsidR="00F91D96" w:rsidRPr="000A1446">
        <w:t>T</w:t>
      </w:r>
      <w:r w:rsidRPr="000A1446">
        <w:t xml:space="preserve">he </w:t>
      </w:r>
      <w:r w:rsidR="00C42826" w:rsidRPr="000A1446">
        <w:rPr>
          <w:i/>
        </w:rPr>
        <w:t>Process G</w:t>
      </w:r>
      <w:r w:rsidRPr="000A1446">
        <w:rPr>
          <w:i/>
        </w:rPr>
        <w:t>uidelines</w:t>
      </w:r>
      <w:r w:rsidRPr="000A1446">
        <w:t xml:space="preserve"> reflect the ACCC’s continuing commitment to the guiding principles and recommended practices developed by the </w:t>
      </w:r>
      <w:r w:rsidR="007C5000" w:rsidRPr="000A1446">
        <w:t>International Competition Network (ICN)</w:t>
      </w:r>
      <w:r w:rsidRPr="000A1446">
        <w:rPr>
          <w:rStyle w:val="FootnoteReference"/>
        </w:rPr>
        <w:footnoteReference w:id="2"/>
      </w:r>
      <w:r w:rsidRPr="000A1446">
        <w:t xml:space="preserve">, particularly </w:t>
      </w:r>
      <w:r w:rsidR="00B67732" w:rsidRPr="000A1446">
        <w:t xml:space="preserve">as </w:t>
      </w:r>
      <w:r w:rsidRPr="000A1446">
        <w:t>to timely, consistent and transparent assessment of mergers within Australia’s informal regime.</w:t>
      </w:r>
    </w:p>
    <w:p w:rsidR="0058002D" w:rsidRPr="00610FDB" w:rsidRDefault="0058002D" w:rsidP="00B01418">
      <w:pPr>
        <w:pStyle w:val="Heading2"/>
      </w:pPr>
      <w:bookmarkStart w:id="7" w:name="_Toc360012417"/>
      <w:r w:rsidRPr="00610FDB">
        <w:t>Types of merger assessments</w:t>
      </w:r>
      <w:bookmarkEnd w:id="7"/>
    </w:p>
    <w:p w:rsidR="0058002D" w:rsidRPr="000A1446" w:rsidRDefault="0058002D" w:rsidP="0058002D">
      <w:pPr>
        <w:numPr>
          <w:ilvl w:val="1"/>
          <w:numId w:val="4"/>
        </w:numPr>
        <w:tabs>
          <w:tab w:val="left" w:pos="851"/>
        </w:tabs>
        <w:ind w:left="851" w:hanging="491"/>
      </w:pPr>
      <w:r w:rsidRPr="000A1446">
        <w:t>Merger parties have three avenues available to have a merger considered and assessed:</w:t>
      </w:r>
    </w:p>
    <w:p w:rsidR="0058002D" w:rsidRPr="000A1446" w:rsidRDefault="0058002D" w:rsidP="00E705DF">
      <w:pPr>
        <w:numPr>
          <w:ilvl w:val="0"/>
          <w:numId w:val="7"/>
        </w:numPr>
        <w:tabs>
          <w:tab w:val="left" w:pos="851"/>
        </w:tabs>
      </w:pPr>
      <w:r w:rsidRPr="000A1446">
        <w:t>the ACCC assesses the merger on an informal basis</w:t>
      </w:r>
    </w:p>
    <w:p w:rsidR="0058002D" w:rsidRPr="000A1446" w:rsidRDefault="0058002D" w:rsidP="00E705DF">
      <w:pPr>
        <w:numPr>
          <w:ilvl w:val="0"/>
          <w:numId w:val="7"/>
        </w:numPr>
        <w:tabs>
          <w:tab w:val="left" w:pos="851"/>
        </w:tabs>
      </w:pPr>
      <w:r w:rsidRPr="000A1446">
        <w:t>the ACCC assesses an application for formal clearance of a merger</w:t>
      </w:r>
      <w:r w:rsidR="00A91F67" w:rsidRPr="000A1446">
        <w:rPr>
          <w:rStyle w:val="FootnoteReference"/>
        </w:rPr>
        <w:footnoteReference w:id="3"/>
      </w:r>
    </w:p>
    <w:p w:rsidR="0058002D" w:rsidRPr="000A1446" w:rsidRDefault="0058002D" w:rsidP="00E705DF">
      <w:pPr>
        <w:numPr>
          <w:ilvl w:val="0"/>
          <w:numId w:val="7"/>
        </w:numPr>
        <w:tabs>
          <w:tab w:val="left" w:pos="851"/>
        </w:tabs>
      </w:pPr>
      <w:proofErr w:type="gramStart"/>
      <w:r w:rsidRPr="000A1446">
        <w:t>the</w:t>
      </w:r>
      <w:proofErr w:type="gramEnd"/>
      <w:r w:rsidRPr="000A1446">
        <w:t xml:space="preserve"> Australian Competition Tribunal (the Tribunal) assesses an application for authorisation of a merger.</w:t>
      </w:r>
      <w:r w:rsidR="00A91F67" w:rsidRPr="000A1446">
        <w:rPr>
          <w:rStyle w:val="FootnoteReference"/>
        </w:rPr>
        <w:footnoteReference w:id="4"/>
      </w:r>
    </w:p>
    <w:p w:rsidR="00355AA4" w:rsidRPr="000A1446" w:rsidRDefault="00355AA4" w:rsidP="0058002D">
      <w:pPr>
        <w:numPr>
          <w:ilvl w:val="1"/>
          <w:numId w:val="4"/>
        </w:numPr>
        <w:tabs>
          <w:tab w:val="left" w:pos="851"/>
        </w:tabs>
        <w:ind w:left="851" w:hanging="491"/>
      </w:pPr>
      <w:r w:rsidRPr="000A1446">
        <w:t xml:space="preserve">These </w:t>
      </w:r>
      <w:r w:rsidRPr="000A1446">
        <w:rPr>
          <w:i/>
        </w:rPr>
        <w:t>Process Guidelines</w:t>
      </w:r>
      <w:r w:rsidR="00C42826" w:rsidRPr="000A1446">
        <w:rPr>
          <w:i/>
        </w:rPr>
        <w:t xml:space="preserve"> </w:t>
      </w:r>
      <w:r w:rsidRPr="000A1446">
        <w:t>relate only to the ACCC’s consideration of mergers on an informal basis.</w:t>
      </w:r>
    </w:p>
    <w:p w:rsidR="0058002D" w:rsidRPr="000A1446" w:rsidRDefault="0058002D" w:rsidP="0058002D">
      <w:pPr>
        <w:numPr>
          <w:ilvl w:val="1"/>
          <w:numId w:val="4"/>
        </w:numPr>
        <w:tabs>
          <w:tab w:val="left" w:pos="851"/>
        </w:tabs>
        <w:ind w:left="851" w:hanging="491"/>
      </w:pPr>
      <w:r w:rsidRPr="000A1446">
        <w:t xml:space="preserve">As merger parties are not legally required to notify the ACCC </w:t>
      </w:r>
      <w:r w:rsidR="002A4D85" w:rsidRPr="000A1446">
        <w:t xml:space="preserve">before completing </w:t>
      </w:r>
      <w:r w:rsidRPr="000A1446">
        <w:t>a merger, the</w:t>
      </w:r>
      <w:r w:rsidR="00962B18" w:rsidRPr="000A1446">
        <w:t xml:space="preserve">re is </w:t>
      </w:r>
      <w:r w:rsidRPr="000A1446">
        <w:t xml:space="preserve">also the option of proceeding with the merger without seeking </w:t>
      </w:r>
      <w:r w:rsidR="0031055D" w:rsidRPr="000A1446">
        <w:t>clearance</w:t>
      </w:r>
      <w:r w:rsidRPr="000A1446">
        <w:t xml:space="preserve">. However, this will not prevent the ACCC from subsequently investigating the merger, including making </w:t>
      </w:r>
      <w:r w:rsidR="005231EF" w:rsidRPr="000A1446">
        <w:t xml:space="preserve">market </w:t>
      </w:r>
      <w:r w:rsidRPr="000A1446">
        <w:t xml:space="preserve">inquiries to assist its investigation and, if necessary, taking legal action. Proceeding without </w:t>
      </w:r>
      <w:r w:rsidR="0031055D" w:rsidRPr="000A1446">
        <w:t>clearance</w:t>
      </w:r>
      <w:r w:rsidRPr="000A1446">
        <w:t xml:space="preserve"> may put merger parties at risk of the ACCC taking legal action on the basis that the merger would have the effect, or be likely to have the effect, of substantially lessening competition in one or more markets in contravention of s. 50.</w:t>
      </w:r>
    </w:p>
    <w:p w:rsidR="00B261D6" w:rsidRPr="000A1446" w:rsidRDefault="00B261D6" w:rsidP="00B01418">
      <w:pPr>
        <w:pStyle w:val="Heading2"/>
      </w:pPr>
      <w:bookmarkStart w:id="8" w:name="_Toc360012418"/>
      <w:r w:rsidRPr="000A1446">
        <w:t>What is an informal merger review?</w:t>
      </w:r>
      <w:bookmarkEnd w:id="8"/>
    </w:p>
    <w:p w:rsidR="00E705DF" w:rsidRPr="000A1446" w:rsidRDefault="00AE5046" w:rsidP="00DC02E8">
      <w:pPr>
        <w:numPr>
          <w:ilvl w:val="1"/>
          <w:numId w:val="4"/>
        </w:numPr>
        <w:tabs>
          <w:tab w:val="left" w:pos="851"/>
        </w:tabs>
        <w:ind w:left="851" w:hanging="491"/>
      </w:pPr>
      <w:r w:rsidRPr="000A1446">
        <w:t xml:space="preserve">The informal clearance process enables merger parties to seek the ACCC’s view on whether </w:t>
      </w:r>
      <w:r w:rsidR="0031055D" w:rsidRPr="000A1446">
        <w:t xml:space="preserve">the proposed acquisition is likely to </w:t>
      </w:r>
      <w:r w:rsidR="00543988" w:rsidRPr="000A1446">
        <w:t>have the effect of substantially lessening competition</w:t>
      </w:r>
      <w:r w:rsidRPr="000A1446">
        <w:t xml:space="preserve">. </w:t>
      </w:r>
      <w:r w:rsidR="006C314A" w:rsidRPr="000A1446">
        <w:t xml:space="preserve">There is no legislation underpinning the </w:t>
      </w:r>
      <w:r w:rsidR="00F86F2C" w:rsidRPr="000A1446">
        <w:t xml:space="preserve">informal </w:t>
      </w:r>
      <w:r w:rsidR="006C314A" w:rsidRPr="000A1446">
        <w:t>process</w:t>
      </w:r>
      <w:r w:rsidR="00C42826" w:rsidRPr="000A1446">
        <w:t>; rather, it</w:t>
      </w:r>
      <w:r w:rsidR="006C314A" w:rsidRPr="000A1446">
        <w:t xml:space="preserve"> </w:t>
      </w:r>
      <w:r w:rsidR="00CE11C3" w:rsidRPr="000A1446">
        <w:t>has developed over time to provide an avenue for merger parties to</w:t>
      </w:r>
      <w:r w:rsidR="00543988" w:rsidRPr="000A1446">
        <w:t xml:space="preserve"> seek the ACCC’s view prior to completion of a merger</w:t>
      </w:r>
      <w:r w:rsidR="00827994" w:rsidRPr="000A1446">
        <w:t>.</w:t>
      </w:r>
    </w:p>
    <w:p w:rsidR="00873C0C" w:rsidRPr="000A1446" w:rsidRDefault="00873C0C" w:rsidP="00585A81">
      <w:pPr>
        <w:numPr>
          <w:ilvl w:val="1"/>
          <w:numId w:val="4"/>
        </w:numPr>
        <w:tabs>
          <w:tab w:val="left" w:pos="851"/>
        </w:tabs>
        <w:ind w:left="851" w:hanging="491"/>
      </w:pPr>
      <w:r w:rsidRPr="000A1446">
        <w:t>The ACCC reviews those mergers it becomes aware of that have the potential to raise concerns under s. 50. Such mergers are generally brought to the ACCC’s attention by merger parties</w:t>
      </w:r>
      <w:r w:rsidRPr="000A1446">
        <w:rPr>
          <w:vertAlign w:val="superscript"/>
        </w:rPr>
        <w:footnoteReference w:id="5"/>
      </w:r>
      <w:r w:rsidRPr="000A1446">
        <w:t xml:space="preserve"> who request an informal clearance. Alternatively the ACCC may become aware of a proposal through media </w:t>
      </w:r>
      <w:r w:rsidR="00FA08F2" w:rsidRPr="000A1446">
        <w:t>reports</w:t>
      </w:r>
      <w:r w:rsidRPr="000A1446">
        <w:t xml:space="preserve">, from complaints or </w:t>
      </w:r>
      <w:r w:rsidR="00962B18" w:rsidRPr="000A1446">
        <w:t>through referral</w:t>
      </w:r>
      <w:r w:rsidRPr="000A1446">
        <w:t xml:space="preserve"> from other </w:t>
      </w:r>
      <w:r w:rsidR="00A22B58" w:rsidRPr="000A1446">
        <w:t xml:space="preserve">government </w:t>
      </w:r>
      <w:r w:rsidRPr="000A1446">
        <w:t>bodies</w:t>
      </w:r>
      <w:r w:rsidR="009E6C09" w:rsidRPr="000A1446">
        <w:t xml:space="preserve"> (such as the </w:t>
      </w:r>
      <w:r w:rsidR="009E6C09" w:rsidRPr="000A1446">
        <w:rPr>
          <w:i/>
        </w:rPr>
        <w:t>Foreign Investment Review Board</w:t>
      </w:r>
      <w:r w:rsidR="009E6C09" w:rsidRPr="000A1446">
        <w:t xml:space="preserve"> – see</w:t>
      </w:r>
      <w:r w:rsidR="00984E42" w:rsidRPr="000A1446">
        <w:t xml:space="preserve"> </w:t>
      </w:r>
      <w:r w:rsidR="006326EA">
        <w:fldChar w:fldCharType="begin"/>
      </w:r>
      <w:r w:rsidR="006326EA">
        <w:instrText xml:space="preserve"> REF _Ref361135725 \h </w:instrText>
      </w:r>
      <w:r w:rsidR="006326EA">
        <w:instrText xml:space="preserve"> \* MERGEFORMAT </w:instrText>
      </w:r>
      <w:r w:rsidR="006326EA">
        <w:fldChar w:fldCharType="separate"/>
      </w:r>
      <w:r w:rsidR="00A528AE" w:rsidRPr="00A528AE">
        <w:t>Box 1</w:t>
      </w:r>
      <w:r w:rsidR="006326EA">
        <w:fldChar w:fldCharType="end"/>
      </w:r>
      <w:r w:rsidR="009E6C09" w:rsidRPr="000A1446">
        <w:t>, below)</w:t>
      </w:r>
      <w:r w:rsidRPr="000A1446">
        <w:t xml:space="preserve">. </w:t>
      </w:r>
    </w:p>
    <w:p w:rsidR="00873C0C" w:rsidRPr="000A1446" w:rsidRDefault="00873C0C" w:rsidP="00585A81">
      <w:pPr>
        <w:numPr>
          <w:ilvl w:val="1"/>
          <w:numId w:val="4"/>
        </w:numPr>
        <w:tabs>
          <w:tab w:val="left" w:pos="851"/>
        </w:tabs>
        <w:ind w:left="851" w:hanging="491"/>
      </w:pPr>
      <w:r w:rsidRPr="000A1446">
        <w:t xml:space="preserve">If the ACCC </w:t>
      </w:r>
      <w:r w:rsidR="004102F3" w:rsidRPr="000A1446">
        <w:t xml:space="preserve">reaches a view </w:t>
      </w:r>
      <w:r w:rsidRPr="000A1446">
        <w:t xml:space="preserve">that an acquisition </w:t>
      </w:r>
      <w:r w:rsidR="000754DC" w:rsidRPr="000A1446">
        <w:t xml:space="preserve">is likely to </w:t>
      </w:r>
      <w:r w:rsidR="00543988" w:rsidRPr="000A1446">
        <w:t xml:space="preserve">have the effect of </w:t>
      </w:r>
      <w:r w:rsidR="000754DC" w:rsidRPr="000A1446">
        <w:t>substantially lessen</w:t>
      </w:r>
      <w:r w:rsidR="00543988" w:rsidRPr="000A1446">
        <w:t>ing</w:t>
      </w:r>
      <w:r w:rsidR="000754DC" w:rsidRPr="000A1446">
        <w:t xml:space="preserve"> competition</w:t>
      </w:r>
      <w:r w:rsidRPr="000A1446">
        <w:t xml:space="preserve"> </w:t>
      </w:r>
      <w:r w:rsidR="0077062E" w:rsidRPr="000A1446">
        <w:t xml:space="preserve">(referred to </w:t>
      </w:r>
      <w:r w:rsidR="00760BDF" w:rsidRPr="000A1446">
        <w:t xml:space="preserve">in these guidelines </w:t>
      </w:r>
      <w:r w:rsidR="0077062E" w:rsidRPr="000A1446">
        <w:t xml:space="preserve">as a decision to ‘oppose’ a merger) </w:t>
      </w:r>
      <w:r w:rsidRPr="000A1446">
        <w:t xml:space="preserve">and the parties do not agree to modify or abandon the acquisition, the ACCC can apply to the Federal Court for </w:t>
      </w:r>
      <w:r w:rsidR="0031055D" w:rsidRPr="000A1446">
        <w:t xml:space="preserve">orders which may include </w:t>
      </w:r>
      <w:r w:rsidRPr="000A1446">
        <w:t xml:space="preserve">an injunction, divestiture or penalties. Only the ACCC can apply for an injunction </w:t>
      </w:r>
      <w:r w:rsidR="00543988" w:rsidRPr="000A1446">
        <w:t xml:space="preserve">to restrain an acquisition prior to completion </w:t>
      </w:r>
      <w:r w:rsidRPr="000A1446">
        <w:t xml:space="preserve">and/or penalties for </w:t>
      </w:r>
      <w:r w:rsidR="00543988" w:rsidRPr="000A1446">
        <w:t xml:space="preserve">a contravention of </w:t>
      </w:r>
      <w:r w:rsidR="00FA08F2" w:rsidRPr="000A1446">
        <w:t>s. 50</w:t>
      </w:r>
      <w:r w:rsidRPr="000A1446">
        <w:t xml:space="preserve">. Third parties </w:t>
      </w:r>
      <w:r w:rsidR="00F91D96" w:rsidRPr="000A1446">
        <w:t xml:space="preserve">and the ACCC </w:t>
      </w:r>
      <w:r w:rsidRPr="000A1446">
        <w:t xml:space="preserve">can apply for declarations and/or divestiture (including setting aside the acquisition in certain cases). Any person suffering loss or damage as a result of a merger that breaches s. 50 can </w:t>
      </w:r>
      <w:r w:rsidR="00284D80" w:rsidRPr="000A1446">
        <w:t>seek</w:t>
      </w:r>
      <w:r w:rsidRPr="000A1446">
        <w:t xml:space="preserve"> damages. </w:t>
      </w:r>
    </w:p>
    <w:p w:rsidR="006047AC" w:rsidRPr="000A1446" w:rsidRDefault="00DD3607" w:rsidP="00585A81">
      <w:pPr>
        <w:numPr>
          <w:ilvl w:val="1"/>
          <w:numId w:val="4"/>
        </w:numPr>
        <w:tabs>
          <w:tab w:val="left" w:pos="851"/>
        </w:tabs>
        <w:ind w:left="851" w:hanging="491"/>
      </w:pPr>
      <w:r w:rsidRPr="000A1446">
        <w:t xml:space="preserve">As a decision by the ACCC under the informal clearance process is not underpinned by legislation, the decision does not confer </w:t>
      </w:r>
      <w:r w:rsidR="002A4D85" w:rsidRPr="000A1446">
        <w:t>protection</w:t>
      </w:r>
      <w:r w:rsidRPr="000A1446">
        <w:t xml:space="preserve"> from subsequent legal action based on an alleged contravention of </w:t>
      </w:r>
      <w:r w:rsidR="00B67732" w:rsidRPr="000A1446">
        <w:t>s. 50</w:t>
      </w:r>
      <w:r w:rsidRPr="000A1446">
        <w:t>, in particular by third parties.</w:t>
      </w:r>
      <w:r w:rsidR="006D7DF8" w:rsidRPr="000A1446">
        <w:rPr>
          <w:rStyle w:val="FootnoteReference"/>
        </w:rPr>
        <w:footnoteReference w:id="6"/>
      </w:r>
      <w:r w:rsidR="00F91D96" w:rsidRPr="000A1446">
        <w:t xml:space="preserve"> However, a decision by the ACCC to not oppose a merger under the informal clearance process provides merger parties with a significant level of comfort regarding the ACCC’s position.</w:t>
      </w:r>
      <w:r w:rsidRPr="000A1446">
        <w:rPr>
          <w:rStyle w:val="FootnoteReference"/>
        </w:rPr>
        <w:footnoteReference w:id="7"/>
      </w:r>
      <w:r w:rsidRPr="000A1446">
        <w:t xml:space="preserve"> </w:t>
      </w:r>
    </w:p>
    <w:p w:rsidR="00873C0C" w:rsidRPr="000A1446" w:rsidRDefault="006047AC" w:rsidP="00585A81">
      <w:pPr>
        <w:numPr>
          <w:ilvl w:val="1"/>
          <w:numId w:val="4"/>
        </w:numPr>
        <w:tabs>
          <w:tab w:val="left" w:pos="851"/>
        </w:tabs>
        <w:ind w:left="851" w:hanging="491"/>
      </w:pPr>
      <w:r w:rsidRPr="000A1446">
        <w:t>I</w:t>
      </w:r>
      <w:r w:rsidR="00873C0C" w:rsidRPr="000A1446">
        <w:t>n contrast</w:t>
      </w:r>
      <w:r w:rsidRPr="000A1446">
        <w:t>,</w:t>
      </w:r>
      <w:r w:rsidR="00873C0C" w:rsidRPr="000A1446">
        <w:t xml:space="preserve"> an ACCC decision </w:t>
      </w:r>
      <w:r w:rsidRPr="000A1446">
        <w:t xml:space="preserve">to grant clearance </w:t>
      </w:r>
      <w:r w:rsidR="00873C0C" w:rsidRPr="000A1446">
        <w:t xml:space="preserve">in respect of a formal clearance application </w:t>
      </w:r>
      <w:r w:rsidRPr="000A1446">
        <w:t>confer</w:t>
      </w:r>
      <w:r w:rsidR="00284D80" w:rsidRPr="000A1446">
        <w:t>s</w:t>
      </w:r>
      <w:r w:rsidRPr="000A1446">
        <w:t xml:space="preserve"> </w:t>
      </w:r>
      <w:r w:rsidR="00873C0C" w:rsidRPr="000A1446">
        <w:t xml:space="preserve">such </w:t>
      </w:r>
      <w:r w:rsidR="002A4D85" w:rsidRPr="000A1446">
        <w:t>legal protection</w:t>
      </w:r>
      <w:r w:rsidR="00284D80" w:rsidRPr="000A1446">
        <w:t xml:space="preserve"> from subsequent legal proceedings by the ACCC and other parties</w:t>
      </w:r>
      <w:r w:rsidR="00873C0C" w:rsidRPr="000A1446">
        <w:t xml:space="preserve">. Details of the formal clearance process can be found in the </w:t>
      </w:r>
      <w:r w:rsidR="00873C0C" w:rsidRPr="000A1446">
        <w:rPr>
          <w:i/>
        </w:rPr>
        <w:t>Formal merger review process guidelines</w:t>
      </w:r>
      <w:r w:rsidR="00873C0C" w:rsidRPr="000A1446">
        <w:t xml:space="preserve">, available at </w:t>
      </w:r>
      <w:hyperlink r:id="rId22" w:history="1">
        <w:r w:rsidR="00873C0C" w:rsidRPr="000A1446">
          <w:rPr>
            <w:rStyle w:val="Hyperlink"/>
          </w:rPr>
          <w:t>www.accc.gov.au</w:t>
        </w:r>
      </w:hyperlink>
      <w:r w:rsidR="00873C0C" w:rsidRPr="000A1446">
        <w:t>.</w:t>
      </w:r>
    </w:p>
    <w:p w:rsidR="00BB154B" w:rsidRPr="000A1446" w:rsidRDefault="00BB154B" w:rsidP="00B01418">
      <w:pPr>
        <w:pStyle w:val="Heading2"/>
      </w:pPr>
      <w:bookmarkStart w:id="9" w:name="_Toc360012419"/>
      <w:r w:rsidRPr="000A1446">
        <w:t>Section 50 of the Act</w:t>
      </w:r>
      <w:bookmarkEnd w:id="9"/>
    </w:p>
    <w:p w:rsidR="00BB154B" w:rsidRPr="000A1446" w:rsidRDefault="00BB154B" w:rsidP="0031055D">
      <w:pPr>
        <w:numPr>
          <w:ilvl w:val="1"/>
          <w:numId w:val="4"/>
        </w:numPr>
        <w:tabs>
          <w:tab w:val="left" w:pos="851"/>
        </w:tabs>
        <w:ind w:left="851" w:hanging="491"/>
      </w:pPr>
      <w:r w:rsidRPr="000A1446">
        <w:t>Section 50 of the Act prohibits mergers that would have the effect, or be likely to have the effect, of substantially lessening competition in a</w:t>
      </w:r>
      <w:r w:rsidR="0023031C" w:rsidRPr="000A1446">
        <w:t>ny</w:t>
      </w:r>
      <w:r w:rsidRPr="000A1446">
        <w:t xml:space="preserve"> market</w:t>
      </w:r>
      <w:r w:rsidR="00284D80" w:rsidRPr="000A1446">
        <w:t xml:space="preserve"> in Australia</w:t>
      </w:r>
      <w:r w:rsidRPr="000A1446">
        <w:t xml:space="preserve">. </w:t>
      </w:r>
    </w:p>
    <w:p w:rsidR="00BB154B" w:rsidRPr="000A1446" w:rsidRDefault="00BB154B" w:rsidP="00585A81">
      <w:pPr>
        <w:numPr>
          <w:ilvl w:val="1"/>
          <w:numId w:val="4"/>
        </w:numPr>
        <w:tabs>
          <w:tab w:val="left" w:pos="851"/>
        </w:tabs>
        <w:ind w:left="851" w:hanging="491"/>
      </w:pPr>
      <w:r w:rsidRPr="000A1446">
        <w:t xml:space="preserve">Specifically, </w:t>
      </w:r>
      <w:r w:rsidR="00A22B58" w:rsidRPr="000A1446">
        <w:t xml:space="preserve">s. </w:t>
      </w:r>
      <w:r w:rsidRPr="000A1446">
        <w:t>50 of the Act states:</w:t>
      </w:r>
    </w:p>
    <w:p w:rsidR="00BB154B" w:rsidRPr="000A1446" w:rsidRDefault="00BB154B" w:rsidP="00BB154B">
      <w:pPr>
        <w:tabs>
          <w:tab w:val="left" w:pos="851"/>
        </w:tabs>
        <w:ind w:left="851"/>
      </w:pPr>
      <w:r w:rsidRPr="000A1446">
        <w:t xml:space="preserve">(1)  A corporation must not directly or indirectly: </w:t>
      </w:r>
    </w:p>
    <w:p w:rsidR="00BB154B" w:rsidRPr="000A1446" w:rsidRDefault="00BB154B" w:rsidP="00BB154B">
      <w:pPr>
        <w:tabs>
          <w:tab w:val="left" w:pos="851"/>
        </w:tabs>
        <w:ind w:left="851"/>
      </w:pPr>
      <w:r w:rsidRPr="000A1446">
        <w:t xml:space="preserve">                     (a)  </w:t>
      </w:r>
      <w:proofErr w:type="gramStart"/>
      <w:r w:rsidRPr="000A1446">
        <w:t>acquire</w:t>
      </w:r>
      <w:proofErr w:type="gramEnd"/>
      <w:r w:rsidRPr="000A1446">
        <w:t xml:space="preserve"> shares in the capital of a body corporate; or </w:t>
      </w:r>
    </w:p>
    <w:p w:rsidR="00BB154B" w:rsidRPr="000A1446" w:rsidRDefault="00BB154B" w:rsidP="00BB154B">
      <w:pPr>
        <w:tabs>
          <w:tab w:val="left" w:pos="851"/>
        </w:tabs>
        <w:ind w:left="851"/>
      </w:pPr>
      <w:r w:rsidRPr="000A1446">
        <w:t xml:space="preserve">                     (b)  </w:t>
      </w:r>
      <w:proofErr w:type="gramStart"/>
      <w:r w:rsidRPr="000A1446">
        <w:t>acquire</w:t>
      </w:r>
      <w:proofErr w:type="gramEnd"/>
      <w:r w:rsidRPr="000A1446">
        <w:t xml:space="preserve"> any assets of a person; </w:t>
      </w:r>
    </w:p>
    <w:p w:rsidR="00BB154B" w:rsidRPr="000A1446" w:rsidRDefault="00BB154B" w:rsidP="00610FDB">
      <w:pPr>
        <w:tabs>
          <w:tab w:val="left" w:pos="1134"/>
        </w:tabs>
        <w:ind w:left="1134"/>
      </w:pPr>
      <w:proofErr w:type="gramStart"/>
      <w:r w:rsidRPr="000A1446">
        <w:t>if</w:t>
      </w:r>
      <w:proofErr w:type="gramEnd"/>
      <w:r w:rsidRPr="000A1446">
        <w:t xml:space="preserve"> the acquisition would have the effect, or be likely to have the effect, of substantially lessening competition in any market. </w:t>
      </w:r>
    </w:p>
    <w:p w:rsidR="00873C0C" w:rsidRPr="000A1446" w:rsidRDefault="00873C0C" w:rsidP="004C3144">
      <w:pPr>
        <w:numPr>
          <w:ilvl w:val="1"/>
          <w:numId w:val="4"/>
        </w:numPr>
        <w:tabs>
          <w:tab w:val="left" w:pos="851"/>
        </w:tabs>
        <w:ind w:left="851" w:hanging="491"/>
      </w:pPr>
      <w:r w:rsidRPr="000A1446">
        <w:t xml:space="preserve">In assessing the likely effect on competition of proposed acquisitions, the ACCC will take into account the merger factors listed in s. 50(3) of the Act including, among other things, the </w:t>
      </w:r>
      <w:r w:rsidR="0023031C" w:rsidRPr="000A1446">
        <w:t xml:space="preserve">potential for </w:t>
      </w:r>
      <w:r w:rsidRPr="000A1446">
        <w:t>entry</w:t>
      </w:r>
      <w:r w:rsidR="0023031C" w:rsidRPr="000A1446">
        <w:t xml:space="preserve"> and expansion</w:t>
      </w:r>
      <w:r w:rsidRPr="000A1446">
        <w:t xml:space="preserve">, market concentration and the level of imports. </w:t>
      </w:r>
      <w:r w:rsidR="00BB154B" w:rsidRPr="000A1446">
        <w:t xml:space="preserve">More information on the ACCC’s approach to the merger factors is set out in the </w:t>
      </w:r>
      <w:r w:rsidR="00BB154B" w:rsidRPr="000A1446">
        <w:rPr>
          <w:i/>
        </w:rPr>
        <w:t>Merger Guidelines</w:t>
      </w:r>
      <w:r w:rsidRPr="000A1446">
        <w:t xml:space="preserve"> (see, in particular, chapter </w:t>
      </w:r>
      <w:r w:rsidR="00BB154B" w:rsidRPr="000A1446">
        <w:t>7</w:t>
      </w:r>
      <w:r w:rsidRPr="000A1446">
        <w:t xml:space="preserve">). </w:t>
      </w:r>
      <w:r w:rsidR="004C3144" w:rsidRPr="000A1446">
        <w:t xml:space="preserve">Other factors not listed in s. 50 may also be relevant to a merger </w:t>
      </w:r>
      <w:r w:rsidR="00267599" w:rsidRPr="000A1446">
        <w:t>assessment. The</w:t>
      </w:r>
      <w:r w:rsidR="00360C8C" w:rsidRPr="000A1446">
        <w:t xml:space="preserve"> ACCC’s approach to these issues and other analytical issues is set out in the </w:t>
      </w:r>
      <w:r w:rsidR="00360C8C" w:rsidRPr="000A1446">
        <w:rPr>
          <w:i/>
        </w:rPr>
        <w:t>Merger Guidelines</w:t>
      </w:r>
      <w:r w:rsidR="00360C8C" w:rsidRPr="000A1446">
        <w:t>.</w:t>
      </w:r>
    </w:p>
    <w:p w:rsidR="00873C0C" w:rsidRPr="000A1446" w:rsidRDefault="00873C0C" w:rsidP="00585A81">
      <w:pPr>
        <w:numPr>
          <w:ilvl w:val="1"/>
          <w:numId w:val="4"/>
        </w:numPr>
        <w:tabs>
          <w:tab w:val="left" w:pos="851"/>
        </w:tabs>
        <w:ind w:left="851" w:hanging="491"/>
      </w:pPr>
      <w:r w:rsidRPr="000A1446">
        <w:t xml:space="preserve">Parties should note that for the purposes of the informal clearance process, the ACCC </w:t>
      </w:r>
      <w:r w:rsidR="00826B0F" w:rsidRPr="000A1446">
        <w:t xml:space="preserve">can only take into account </w:t>
      </w:r>
      <w:r w:rsidRPr="000A1446">
        <w:t xml:space="preserve">the effect on competition of the proposed acquisition and not </w:t>
      </w:r>
      <w:r w:rsidR="00187BC3" w:rsidRPr="000A1446">
        <w:t xml:space="preserve">any </w:t>
      </w:r>
      <w:r w:rsidRPr="000A1446">
        <w:t xml:space="preserve">public benefits resulting from an acquisition. Efficiency gains from a merger are primarily only relevant in the context of an authorisation consideration (consistent with the application of the </w:t>
      </w:r>
      <w:r w:rsidR="00284D80" w:rsidRPr="000A1446">
        <w:t xml:space="preserve">net </w:t>
      </w:r>
      <w:r w:rsidRPr="000A1446">
        <w:t xml:space="preserve">public benefit test) rather than in an informal clearance assessment. Unlike authorisation analysis, informal clearance decisions are concerned only with competition issues. </w:t>
      </w:r>
      <w:r w:rsidR="00F17D98" w:rsidRPr="000A1446">
        <w:t>Accordingly, o</w:t>
      </w:r>
      <w:r w:rsidRPr="000A1446">
        <w:t xml:space="preserve">nly when efficiencies will be generated as a result of a proposed acquisition and these efficiencies affect the </w:t>
      </w:r>
      <w:r w:rsidR="000754DC" w:rsidRPr="000A1446">
        <w:t>likelihood of a substantial lessening of competition arising</w:t>
      </w:r>
      <w:r w:rsidRPr="000A1446">
        <w:t xml:space="preserve">, will they be relevant to the consideration of an informal merger review. A more detailed discussion of the ACCC’s treatment of efficiency gains can be found </w:t>
      </w:r>
      <w:r w:rsidR="00537D54" w:rsidRPr="000A1446">
        <w:t xml:space="preserve">at 7.63 of the </w:t>
      </w:r>
      <w:r w:rsidR="00537D54" w:rsidRPr="000A1446">
        <w:rPr>
          <w:i/>
        </w:rPr>
        <w:t>Merger Guidelines</w:t>
      </w:r>
      <w:r w:rsidRPr="000A1446">
        <w:t xml:space="preserve">. </w:t>
      </w:r>
    </w:p>
    <w:p w:rsidR="005C2536" w:rsidRPr="000A1446" w:rsidRDefault="005C2536" w:rsidP="005C2536">
      <w:pPr>
        <w:tabs>
          <w:tab w:val="left" w:pos="851"/>
        </w:tabs>
      </w:pPr>
    </w:p>
    <w:p w:rsidR="005C2536" w:rsidRPr="000A1446" w:rsidRDefault="00873C0C" w:rsidP="00B01418">
      <w:pPr>
        <w:pStyle w:val="Heading1"/>
      </w:pPr>
      <w:bookmarkStart w:id="10" w:name="_Toc360012420"/>
      <w:r w:rsidRPr="000A1446">
        <w:t>Informal merger review processe</w:t>
      </w:r>
      <w:r w:rsidR="005C2536" w:rsidRPr="000A1446">
        <w:t>s</w:t>
      </w:r>
      <w:bookmarkEnd w:id="10"/>
    </w:p>
    <w:p w:rsidR="00C2449B" w:rsidRPr="000A1446" w:rsidRDefault="00873C0C" w:rsidP="00C2449B">
      <w:pPr>
        <w:numPr>
          <w:ilvl w:val="1"/>
          <w:numId w:val="4"/>
        </w:numPr>
        <w:tabs>
          <w:tab w:val="left" w:pos="851"/>
        </w:tabs>
        <w:ind w:left="851" w:hanging="491"/>
      </w:pPr>
      <w:r w:rsidRPr="000A1446">
        <w:t xml:space="preserve">This </w:t>
      </w:r>
      <w:r w:rsidR="00DD3F3A" w:rsidRPr="000A1446">
        <w:t>chapter</w:t>
      </w:r>
      <w:r w:rsidRPr="000A1446">
        <w:t xml:space="preserve"> sets out the broad framework for ACCC informal merger review. </w:t>
      </w:r>
      <w:r w:rsidR="00C2449B" w:rsidRPr="000A1446">
        <w:t xml:space="preserve">There are three </w:t>
      </w:r>
      <w:r w:rsidR="00574F63" w:rsidRPr="000A1446">
        <w:t>categories</w:t>
      </w:r>
      <w:r w:rsidR="00C2449B" w:rsidRPr="000A1446">
        <w:t xml:space="preserve"> of </w:t>
      </w:r>
      <w:r w:rsidR="00347392" w:rsidRPr="000A1446">
        <w:t xml:space="preserve">merger assessment </w:t>
      </w:r>
      <w:r w:rsidR="00C2449B" w:rsidRPr="000A1446">
        <w:t>that</w:t>
      </w:r>
      <w:r w:rsidR="002D7F66" w:rsidRPr="000A1446">
        <w:t xml:space="preserve"> the ACCC may make</w:t>
      </w:r>
      <w:r w:rsidR="00C2449B" w:rsidRPr="000A1446">
        <w:t xml:space="preserve">: </w:t>
      </w:r>
    </w:p>
    <w:p w:rsidR="00C2449B" w:rsidRPr="000A1446" w:rsidRDefault="001412A9" w:rsidP="001412A9">
      <w:pPr>
        <w:numPr>
          <w:ilvl w:val="0"/>
          <w:numId w:val="29"/>
        </w:numPr>
        <w:ind w:hanging="229"/>
      </w:pPr>
      <w:r w:rsidRPr="000A1446">
        <w:t>Pre</w:t>
      </w:r>
      <w:r w:rsidR="00C2449B" w:rsidRPr="000A1446">
        <w:t>-assessment</w:t>
      </w:r>
      <w:r w:rsidR="00FD1ABC" w:rsidRPr="000A1446">
        <w:t xml:space="preserve"> (see </w:t>
      </w:r>
      <w:r w:rsidR="002D7F66" w:rsidRPr="000A1446">
        <w:t xml:space="preserve">from </w:t>
      </w:r>
      <w:r w:rsidR="002D7F66" w:rsidRPr="008B6574">
        <w:fldChar w:fldCharType="begin"/>
      </w:r>
      <w:r w:rsidR="002D7F66" w:rsidRPr="000A1446">
        <w:instrText xml:space="preserve"> REF _Ref358040877 \r \h </w:instrText>
      </w:r>
      <w:r w:rsidR="000A1446">
        <w:instrText xml:space="preserve"> \* MERGEFORMAT </w:instrText>
      </w:r>
      <w:r w:rsidR="002D7F66" w:rsidRPr="008B6574">
        <w:fldChar w:fldCharType="separate"/>
      </w:r>
      <w:r w:rsidR="00A528AE">
        <w:t>2.10</w:t>
      </w:r>
      <w:r w:rsidR="002D7F66" w:rsidRPr="008B6574">
        <w:fldChar w:fldCharType="end"/>
      </w:r>
      <w:r w:rsidR="00FD1ABC" w:rsidRPr="000A1446">
        <w:t>)</w:t>
      </w:r>
      <w:r w:rsidR="00C2449B" w:rsidRPr="000A1446">
        <w:t>—</w:t>
      </w:r>
      <w:r w:rsidRPr="000A1446">
        <w:t xml:space="preserve">a </w:t>
      </w:r>
      <w:r w:rsidR="00347392" w:rsidRPr="000A1446">
        <w:t>view is formed</w:t>
      </w:r>
      <w:r w:rsidR="004A4C07" w:rsidRPr="000A1446">
        <w:t>, based on the available information,</w:t>
      </w:r>
      <w:r w:rsidR="00C2449B" w:rsidRPr="000A1446">
        <w:t xml:space="preserve"> </w:t>
      </w:r>
      <w:r w:rsidR="004A4C07" w:rsidRPr="000A1446">
        <w:t xml:space="preserve">that the risk of a substantial lessening of competition is low and therefore </w:t>
      </w:r>
      <w:r w:rsidR="00284D80" w:rsidRPr="000A1446">
        <w:t xml:space="preserve">neither </w:t>
      </w:r>
      <w:r w:rsidR="004A4C07" w:rsidRPr="000A1446">
        <w:t xml:space="preserve">a </w:t>
      </w:r>
      <w:r w:rsidR="00C2449B" w:rsidRPr="000A1446">
        <w:t xml:space="preserve">confidential or public </w:t>
      </w:r>
      <w:r w:rsidR="00C549BA" w:rsidRPr="000A1446">
        <w:t xml:space="preserve">review </w:t>
      </w:r>
      <w:r w:rsidR="004A4C07" w:rsidRPr="000A1446">
        <w:t>is necessary</w:t>
      </w:r>
      <w:r w:rsidRPr="000A1446">
        <w:t>.</w:t>
      </w:r>
    </w:p>
    <w:p w:rsidR="00C2449B" w:rsidRPr="000A1446" w:rsidRDefault="001412A9" w:rsidP="001412A9">
      <w:pPr>
        <w:numPr>
          <w:ilvl w:val="0"/>
          <w:numId w:val="29"/>
        </w:numPr>
        <w:ind w:hanging="229"/>
      </w:pPr>
      <w:r w:rsidRPr="000A1446">
        <w:t xml:space="preserve">Conditional </w:t>
      </w:r>
      <w:r w:rsidR="00C2449B" w:rsidRPr="000A1446">
        <w:t>confidential</w:t>
      </w:r>
      <w:r w:rsidR="002D7F66" w:rsidRPr="000A1446">
        <w:t xml:space="preserve"> (see from </w:t>
      </w:r>
      <w:r w:rsidR="002D7F66" w:rsidRPr="008B6574">
        <w:fldChar w:fldCharType="begin"/>
      </w:r>
      <w:r w:rsidR="002D7F66" w:rsidRPr="000A1446">
        <w:instrText xml:space="preserve"> REF _Ref358212565 \r \h </w:instrText>
      </w:r>
      <w:r w:rsidR="000A1446">
        <w:instrText xml:space="preserve"> \* MERGEFORMAT </w:instrText>
      </w:r>
      <w:r w:rsidR="002D7F66" w:rsidRPr="008B6574">
        <w:fldChar w:fldCharType="separate"/>
      </w:r>
      <w:r w:rsidR="00A528AE">
        <w:t>2.17</w:t>
      </w:r>
      <w:r w:rsidR="002D7F66" w:rsidRPr="008B6574">
        <w:fldChar w:fldCharType="end"/>
      </w:r>
      <w:r w:rsidR="002D7F66" w:rsidRPr="000A1446">
        <w:t>)</w:t>
      </w:r>
      <w:r w:rsidR="00C2449B" w:rsidRPr="000A1446">
        <w:t>—</w:t>
      </w:r>
      <w:r w:rsidRPr="000A1446">
        <w:t xml:space="preserve">a </w:t>
      </w:r>
      <w:r w:rsidR="00C2449B" w:rsidRPr="000A1446">
        <w:t xml:space="preserve">preliminary conditional </w:t>
      </w:r>
      <w:r w:rsidR="00347392" w:rsidRPr="000A1446">
        <w:t xml:space="preserve">view </w:t>
      </w:r>
      <w:r w:rsidR="00C2449B" w:rsidRPr="000A1446">
        <w:t xml:space="preserve">is provided to merger parties on a confidential merger proposal where </w:t>
      </w:r>
      <w:r w:rsidR="00065C36" w:rsidRPr="000A1446">
        <w:t>one is requested</w:t>
      </w:r>
      <w:r w:rsidR="00C2449B" w:rsidRPr="000A1446">
        <w:t xml:space="preserve"> by the merger parties</w:t>
      </w:r>
      <w:r w:rsidRPr="000A1446">
        <w:t>.</w:t>
      </w:r>
    </w:p>
    <w:p w:rsidR="00C2449B" w:rsidRPr="000A1446" w:rsidRDefault="001412A9" w:rsidP="001412A9">
      <w:pPr>
        <w:numPr>
          <w:ilvl w:val="0"/>
          <w:numId w:val="29"/>
        </w:numPr>
        <w:ind w:hanging="229"/>
      </w:pPr>
      <w:r w:rsidRPr="000A1446">
        <w:t>Public</w:t>
      </w:r>
      <w:r w:rsidR="002D7F66" w:rsidRPr="000A1446">
        <w:t xml:space="preserve"> (see from </w:t>
      </w:r>
      <w:r w:rsidR="002D7F66" w:rsidRPr="008B6574">
        <w:fldChar w:fldCharType="begin"/>
      </w:r>
      <w:r w:rsidR="002D7F66" w:rsidRPr="000A1446">
        <w:instrText xml:space="preserve"> REF _Ref358212583 \r \h </w:instrText>
      </w:r>
      <w:r w:rsidR="000A1446">
        <w:instrText xml:space="preserve"> \* MERGEFORMAT </w:instrText>
      </w:r>
      <w:r w:rsidR="002D7F66" w:rsidRPr="008B6574">
        <w:fldChar w:fldCharType="separate"/>
      </w:r>
      <w:r w:rsidR="00A528AE">
        <w:t>2.23</w:t>
      </w:r>
      <w:r w:rsidR="002D7F66" w:rsidRPr="008B6574">
        <w:fldChar w:fldCharType="end"/>
      </w:r>
      <w:r w:rsidR="002D7F66" w:rsidRPr="000A1446">
        <w:t>)</w:t>
      </w:r>
      <w:r w:rsidR="00C2449B" w:rsidRPr="000A1446">
        <w:t>—</w:t>
      </w:r>
      <w:r w:rsidRPr="000A1446">
        <w:t xml:space="preserve">a </w:t>
      </w:r>
      <w:r w:rsidR="00C2449B" w:rsidRPr="000A1446">
        <w:t>final decision is made following a public review</w:t>
      </w:r>
      <w:r w:rsidR="003F6EDC" w:rsidRPr="000A1446">
        <w:t xml:space="preserve"> and in some cases will be </w:t>
      </w:r>
      <w:r w:rsidRPr="000A1446">
        <w:t>preceded</w:t>
      </w:r>
      <w:r w:rsidR="003F6EDC" w:rsidRPr="000A1446">
        <w:t xml:space="preserve"> by the publication of a </w:t>
      </w:r>
      <w:r w:rsidR="00065C36" w:rsidRPr="000A1446">
        <w:t xml:space="preserve">Statement </w:t>
      </w:r>
      <w:r w:rsidR="003F6EDC" w:rsidRPr="000A1446">
        <w:t xml:space="preserve">of </w:t>
      </w:r>
      <w:r w:rsidR="00065C36" w:rsidRPr="000A1446">
        <w:t>Issues</w:t>
      </w:r>
      <w:r w:rsidR="00984E42" w:rsidRPr="000A1446">
        <w:t xml:space="preserve"> (see discussion on Statements of Issues from </w:t>
      </w:r>
      <w:r w:rsidR="00984E42" w:rsidRPr="008B6574">
        <w:fldChar w:fldCharType="begin"/>
      </w:r>
      <w:r w:rsidR="00984E42" w:rsidRPr="000A1446">
        <w:instrText xml:space="preserve"> REF _Ref358309542 \r \h </w:instrText>
      </w:r>
      <w:r w:rsidR="000A1446">
        <w:instrText xml:space="preserve"> \* MERGEFORMAT </w:instrText>
      </w:r>
      <w:r w:rsidR="00984E42" w:rsidRPr="008B6574">
        <w:fldChar w:fldCharType="separate"/>
      </w:r>
      <w:r w:rsidR="00A528AE">
        <w:t>2.51</w:t>
      </w:r>
      <w:r w:rsidR="00984E42" w:rsidRPr="008B6574">
        <w:fldChar w:fldCharType="end"/>
      </w:r>
      <w:r w:rsidR="00984E42" w:rsidRPr="000A1446">
        <w:t>)</w:t>
      </w:r>
      <w:r w:rsidR="00C2449B" w:rsidRPr="000A1446">
        <w:t xml:space="preserve">. </w:t>
      </w:r>
    </w:p>
    <w:p w:rsidR="00555C19" w:rsidRPr="000A1446" w:rsidRDefault="00871121" w:rsidP="00341732">
      <w:pPr>
        <w:numPr>
          <w:ilvl w:val="1"/>
          <w:numId w:val="4"/>
        </w:numPr>
        <w:tabs>
          <w:tab w:val="left" w:pos="851"/>
        </w:tabs>
        <w:ind w:left="851" w:hanging="491"/>
      </w:pPr>
      <w:r w:rsidRPr="000A1446">
        <w:t xml:space="preserve">The </w:t>
      </w:r>
      <w:r w:rsidR="00574F63" w:rsidRPr="000A1446">
        <w:t>categories</w:t>
      </w:r>
      <w:r w:rsidRPr="000A1446">
        <w:t xml:space="preserve"> of </w:t>
      </w:r>
      <w:r w:rsidR="00574F63" w:rsidRPr="000A1446">
        <w:t>decisions</w:t>
      </w:r>
      <w:r w:rsidRPr="000A1446">
        <w:t xml:space="preserve"> are neither mutually exclusive nor sequential. If a matter is pre-assessed, then </w:t>
      </w:r>
      <w:r w:rsidR="00574F63" w:rsidRPr="000A1446">
        <w:t>a confidential or public decision will</w:t>
      </w:r>
      <w:r w:rsidRPr="000A1446">
        <w:t xml:space="preserve"> not be required</w:t>
      </w:r>
      <w:r w:rsidR="00574F63" w:rsidRPr="000A1446">
        <w:t xml:space="preserve">. </w:t>
      </w:r>
      <w:r w:rsidR="001412A9" w:rsidRPr="000A1446">
        <w:t>Similarly</w:t>
      </w:r>
      <w:r w:rsidR="00D43F29" w:rsidRPr="000A1446">
        <w:t xml:space="preserve"> some mergers may proceed straight to a public review while others may first be considered on a confidential basis.</w:t>
      </w:r>
      <w:r w:rsidR="00C2449B" w:rsidRPr="000A1446">
        <w:t xml:space="preserve"> </w:t>
      </w:r>
    </w:p>
    <w:p w:rsidR="00652AD5" w:rsidRPr="000A1446" w:rsidRDefault="00652AD5" w:rsidP="00585A81">
      <w:pPr>
        <w:numPr>
          <w:ilvl w:val="1"/>
          <w:numId w:val="4"/>
        </w:numPr>
        <w:tabs>
          <w:tab w:val="left" w:pos="851"/>
        </w:tabs>
        <w:ind w:left="851" w:hanging="491"/>
      </w:pPr>
      <w:r w:rsidRPr="000A1446">
        <w:t xml:space="preserve">The ACCC aims to provide the informal review process as a flexible, transparent and efficient way for merger parties to have transactions considered by the ACCC. It is expected that the informal merger review processes will continue to evolve and </w:t>
      </w:r>
      <w:r w:rsidR="003F6EDC" w:rsidRPr="000A1446">
        <w:t xml:space="preserve">develop </w:t>
      </w:r>
      <w:r w:rsidRPr="000A1446">
        <w:t>over time to reflect these objectives.</w:t>
      </w:r>
    </w:p>
    <w:p w:rsidR="00191D0E" w:rsidRPr="000A1446" w:rsidRDefault="00191D0E" w:rsidP="00B01418">
      <w:pPr>
        <w:pStyle w:val="Heading2"/>
      </w:pPr>
      <w:bookmarkStart w:id="11" w:name="_Toc360012421"/>
      <w:r w:rsidRPr="000A1446">
        <w:t>Monitoring possible mergers</w:t>
      </w:r>
      <w:bookmarkEnd w:id="11"/>
    </w:p>
    <w:p w:rsidR="00191D0E" w:rsidRPr="000A1446" w:rsidRDefault="00191D0E" w:rsidP="00DC0877">
      <w:pPr>
        <w:numPr>
          <w:ilvl w:val="1"/>
          <w:numId w:val="4"/>
        </w:numPr>
        <w:tabs>
          <w:tab w:val="left" w:pos="851"/>
        </w:tabs>
        <w:ind w:left="851" w:hanging="491"/>
      </w:pPr>
      <w:r w:rsidRPr="000A1446">
        <w:t xml:space="preserve">In some circumstances the ACCC will become aware of a possible merger and will undertake a period of ‘monitoring’ of the transaction. Typically, this will occur when there are </w:t>
      </w:r>
      <w:r w:rsidR="00C549BA" w:rsidRPr="000A1446">
        <w:t xml:space="preserve">public </w:t>
      </w:r>
      <w:r w:rsidRPr="000A1446">
        <w:t xml:space="preserve">reports of a potential merger </w:t>
      </w:r>
      <w:r w:rsidR="00C549BA" w:rsidRPr="000A1446">
        <w:t>that may possibly warrant a review</w:t>
      </w:r>
      <w:r w:rsidRPr="000A1446">
        <w:t>. In such circumstances, the ACCC will place an entry on its public register indicating that the proposed transaction is being monitored</w:t>
      </w:r>
      <w:r w:rsidR="00347392" w:rsidRPr="000A1446">
        <w:t>, and therefore</w:t>
      </w:r>
      <w:r w:rsidRPr="000A1446">
        <w:t xml:space="preserve"> that the ACCC has a potential interest in reviewing the transaction should </w:t>
      </w:r>
      <w:r w:rsidR="00C549BA" w:rsidRPr="000A1446">
        <w:t>it be confirmed that the transaction is proceeding</w:t>
      </w:r>
      <w:r w:rsidRPr="000A1446">
        <w:t>.</w:t>
      </w:r>
    </w:p>
    <w:p w:rsidR="003B6154" w:rsidRPr="000A1446" w:rsidRDefault="00E726D8" w:rsidP="00B01418">
      <w:pPr>
        <w:pStyle w:val="Heading2"/>
      </w:pPr>
      <w:bookmarkStart w:id="12" w:name="_Toc360012422"/>
      <w:r w:rsidRPr="000A1446">
        <w:t>Notifying the ACCC of a proposed merger</w:t>
      </w:r>
      <w:bookmarkEnd w:id="12"/>
    </w:p>
    <w:p w:rsidR="000754DC" w:rsidRPr="000A1446" w:rsidRDefault="00443692" w:rsidP="000262D5">
      <w:pPr>
        <w:numPr>
          <w:ilvl w:val="1"/>
          <w:numId w:val="4"/>
        </w:numPr>
        <w:tabs>
          <w:tab w:val="left" w:pos="851"/>
        </w:tabs>
        <w:ind w:left="851" w:hanging="491"/>
      </w:pPr>
      <w:r w:rsidRPr="000A1446">
        <w:t xml:space="preserve">The vast majority of informal merger reviews are initiated at the request of the merging parties. </w:t>
      </w:r>
      <w:r w:rsidR="00BA471D" w:rsidRPr="000A1446">
        <w:t xml:space="preserve">Merger </w:t>
      </w:r>
      <w:r w:rsidR="00EB7860" w:rsidRPr="000A1446">
        <w:t>parties are encouraged to consult with the ACCC</w:t>
      </w:r>
      <w:r w:rsidR="008D1DF6" w:rsidRPr="000A1446">
        <w:t xml:space="preserve"> well before</w:t>
      </w:r>
      <w:r w:rsidR="00EB7860" w:rsidRPr="000A1446">
        <w:t xml:space="preserve"> completing a merger</w:t>
      </w:r>
      <w:r w:rsidR="000754DC" w:rsidRPr="000A1446">
        <w:t xml:space="preserve"> </w:t>
      </w:r>
      <w:r w:rsidR="00BA471D" w:rsidRPr="000A1446">
        <w:t>w</w:t>
      </w:r>
      <w:r w:rsidR="000754DC" w:rsidRPr="000A1446">
        <w:t>here both of the following apply:</w:t>
      </w:r>
    </w:p>
    <w:p w:rsidR="000754DC" w:rsidRPr="000A1446" w:rsidRDefault="000754DC" w:rsidP="000262D5">
      <w:pPr>
        <w:numPr>
          <w:ilvl w:val="0"/>
          <w:numId w:val="7"/>
        </w:numPr>
        <w:tabs>
          <w:tab w:val="left" w:pos="851"/>
        </w:tabs>
      </w:pPr>
      <w:r w:rsidRPr="000A1446">
        <w:t>the products of the merger parties are either substitutes or complements</w:t>
      </w:r>
    </w:p>
    <w:p w:rsidR="00EB7860" w:rsidRPr="000A1446" w:rsidRDefault="000754DC" w:rsidP="000262D5">
      <w:pPr>
        <w:numPr>
          <w:ilvl w:val="0"/>
          <w:numId w:val="7"/>
        </w:numPr>
        <w:tabs>
          <w:tab w:val="left" w:pos="851"/>
        </w:tabs>
      </w:pPr>
      <w:r w:rsidRPr="000A1446">
        <w:t>the merged firm will have a post-merger market share of greater than 20 per cent in the relevant market/s.</w:t>
      </w:r>
      <w:r w:rsidRPr="000A1446">
        <w:rPr>
          <w:rStyle w:val="FootnoteReference"/>
        </w:rPr>
        <w:footnoteReference w:id="8"/>
      </w:r>
    </w:p>
    <w:p w:rsidR="00E726D8" w:rsidRPr="000A1446" w:rsidRDefault="00E726D8" w:rsidP="00191D0E">
      <w:pPr>
        <w:numPr>
          <w:ilvl w:val="1"/>
          <w:numId w:val="4"/>
        </w:numPr>
        <w:tabs>
          <w:tab w:val="left" w:pos="851"/>
        </w:tabs>
        <w:ind w:left="851" w:hanging="491"/>
      </w:pPr>
      <w:r w:rsidRPr="000A1446">
        <w:t>Mergers that are either confidential or public can be notified to the ACCC</w:t>
      </w:r>
      <w:r w:rsidR="004E181E" w:rsidRPr="000A1446">
        <w:t xml:space="preserve"> and the ACCC can undertake a review </w:t>
      </w:r>
      <w:r w:rsidR="0077597D" w:rsidRPr="000A1446">
        <w:t>accordingly</w:t>
      </w:r>
      <w:r w:rsidR="004E181E" w:rsidRPr="000A1446">
        <w:t>. See below for further information about public and confidential merger reviews.</w:t>
      </w:r>
    </w:p>
    <w:p w:rsidR="00270215" w:rsidRPr="000A1446" w:rsidRDefault="00270215" w:rsidP="00191D0E">
      <w:pPr>
        <w:numPr>
          <w:ilvl w:val="1"/>
          <w:numId w:val="4"/>
        </w:numPr>
        <w:tabs>
          <w:tab w:val="left" w:pos="851"/>
        </w:tabs>
        <w:ind w:left="851" w:hanging="491"/>
      </w:pPr>
      <w:r w:rsidRPr="000A1446">
        <w:t xml:space="preserve">The ACCC encourages merger parties to approach the ACCC as early as possible when a merger is contemplated and </w:t>
      </w:r>
      <w:r w:rsidR="00881698" w:rsidRPr="000A1446">
        <w:t xml:space="preserve">well </w:t>
      </w:r>
      <w:r w:rsidRPr="000A1446">
        <w:t>before a merger is completed, to ensure the ACCC has sufficient time to consider whether a review is necessary and, if so, to conduct such a review.</w:t>
      </w:r>
    </w:p>
    <w:p w:rsidR="00B13F47" w:rsidRPr="000A1446" w:rsidRDefault="00B13F47" w:rsidP="00191D0E">
      <w:pPr>
        <w:numPr>
          <w:ilvl w:val="1"/>
          <w:numId w:val="4"/>
        </w:numPr>
        <w:tabs>
          <w:tab w:val="left" w:pos="851"/>
        </w:tabs>
        <w:ind w:left="851" w:hanging="491"/>
      </w:pPr>
      <w:r w:rsidRPr="000A1446">
        <w:t xml:space="preserve">Regardless of </w:t>
      </w:r>
      <w:r w:rsidR="00F87081" w:rsidRPr="000A1446">
        <w:t>how</w:t>
      </w:r>
      <w:r w:rsidRPr="000A1446">
        <w:t xml:space="preserve"> the ACCC becomes aware of a merger, </w:t>
      </w:r>
      <w:r w:rsidR="00A05E5D" w:rsidRPr="000A1446">
        <w:t xml:space="preserve">the ACCC </w:t>
      </w:r>
      <w:r w:rsidR="00187BC3" w:rsidRPr="000A1446">
        <w:t xml:space="preserve">will </w:t>
      </w:r>
      <w:r w:rsidR="00A05E5D" w:rsidRPr="000A1446">
        <w:t>determine whether</w:t>
      </w:r>
      <w:r w:rsidR="0077597D" w:rsidRPr="000A1446">
        <w:t>, once public</w:t>
      </w:r>
      <w:r w:rsidR="00511545" w:rsidRPr="000A1446">
        <w:t>, it</w:t>
      </w:r>
      <w:r w:rsidR="0077597D" w:rsidRPr="000A1446">
        <w:t xml:space="preserve"> </w:t>
      </w:r>
      <w:r w:rsidR="00A05E5D" w:rsidRPr="000A1446">
        <w:t xml:space="preserve">requires </w:t>
      </w:r>
      <w:r w:rsidR="007D56D1" w:rsidRPr="000A1446">
        <w:t xml:space="preserve">a public </w:t>
      </w:r>
      <w:r w:rsidRPr="000A1446">
        <w:t>review. This includes public and confidential mergers</w:t>
      </w:r>
      <w:r w:rsidR="005D492B" w:rsidRPr="000A1446">
        <w:t xml:space="preserve"> notified by the merger parties </w:t>
      </w:r>
      <w:r w:rsidR="00F87081" w:rsidRPr="000A1446">
        <w:t xml:space="preserve">(including ‘courtesy’ notifications </w:t>
      </w:r>
      <w:r w:rsidRPr="000A1446">
        <w:t>where informal clearance is not sought)</w:t>
      </w:r>
      <w:r w:rsidR="005D492B" w:rsidRPr="000A1446">
        <w:t>. I</w:t>
      </w:r>
      <w:r w:rsidR="00A75702" w:rsidRPr="000A1446">
        <w:t xml:space="preserve">t is </w:t>
      </w:r>
      <w:r w:rsidR="00C078BE" w:rsidRPr="000A1446">
        <w:t xml:space="preserve">also </w:t>
      </w:r>
      <w:r w:rsidR="00A75702" w:rsidRPr="000A1446">
        <w:t xml:space="preserve">not uncommon for the ACCC to </w:t>
      </w:r>
      <w:r w:rsidR="00C549BA" w:rsidRPr="000A1446">
        <w:t>request details of transactions from</w:t>
      </w:r>
      <w:r w:rsidR="00A75702" w:rsidRPr="000A1446">
        <w:t xml:space="preserve"> firms contemplating proposed mergers </w:t>
      </w:r>
      <w:r w:rsidR="00F87081" w:rsidRPr="000A1446">
        <w:t xml:space="preserve">which </w:t>
      </w:r>
      <w:r w:rsidR="00A75702" w:rsidRPr="000A1446">
        <w:t xml:space="preserve">have not </w:t>
      </w:r>
      <w:r w:rsidR="0077597D" w:rsidRPr="000A1446">
        <w:t xml:space="preserve">been </w:t>
      </w:r>
      <w:r w:rsidR="00A75702" w:rsidRPr="000A1446">
        <w:t xml:space="preserve">notified, or not yet notified, </w:t>
      </w:r>
      <w:r w:rsidR="0077597D" w:rsidRPr="000A1446">
        <w:t xml:space="preserve">to </w:t>
      </w:r>
      <w:r w:rsidRPr="000A1446">
        <w:t>the ACCC</w:t>
      </w:r>
      <w:r w:rsidR="003F6EDC" w:rsidRPr="000A1446">
        <w:t xml:space="preserve">. These are </w:t>
      </w:r>
      <w:r w:rsidR="00C078BE" w:rsidRPr="000A1446">
        <w:t>transactions</w:t>
      </w:r>
      <w:r w:rsidR="003F6EDC" w:rsidRPr="000A1446">
        <w:t xml:space="preserve"> the ACCC becomes aware of</w:t>
      </w:r>
      <w:r w:rsidR="00C078BE" w:rsidRPr="000A1446">
        <w:t xml:space="preserve"> via complaints, referrals from other agencies or via its own </w:t>
      </w:r>
      <w:r w:rsidR="00F87081" w:rsidRPr="000A1446">
        <w:t>monitoring activities</w:t>
      </w:r>
      <w:r w:rsidRPr="000A1446">
        <w:t>.</w:t>
      </w:r>
    </w:p>
    <w:p w:rsidR="00765C71" w:rsidRPr="000A1446" w:rsidRDefault="003F6EDC" w:rsidP="00191D0E">
      <w:pPr>
        <w:numPr>
          <w:ilvl w:val="1"/>
          <w:numId w:val="4"/>
        </w:numPr>
        <w:tabs>
          <w:tab w:val="left" w:pos="851"/>
        </w:tabs>
        <w:ind w:left="851" w:hanging="491"/>
      </w:pPr>
      <w:r w:rsidRPr="000A1446">
        <w:t xml:space="preserve">The ACCC takes a scaled approach to information </w:t>
      </w:r>
      <w:proofErr w:type="gramStart"/>
      <w:r w:rsidRPr="000A1446">
        <w:t xml:space="preserve">requirements </w:t>
      </w:r>
      <w:r w:rsidR="00F947E1" w:rsidRPr="000A1446">
        <w:t>which does</w:t>
      </w:r>
      <w:proofErr w:type="gramEnd"/>
      <w:r w:rsidR="00F947E1" w:rsidRPr="000A1446">
        <w:t xml:space="preserve"> not require merger parties to provide a complete information package at the outset and instead advises merger parties of the information that will be required throughout the review depending on the issues raised. The trade off in this approach is that merger parties </w:t>
      </w:r>
      <w:r w:rsidR="00284D80" w:rsidRPr="000A1446">
        <w:t>are</w:t>
      </w:r>
      <w:r w:rsidR="00F947E1" w:rsidRPr="000A1446">
        <w:t xml:space="preserve"> required to respond to these information requests promptly.</w:t>
      </w:r>
      <w:bookmarkStart w:id="13" w:name="_Ref356981420"/>
      <w:r w:rsidR="001412A9" w:rsidRPr="000A1446">
        <w:t xml:space="preserve"> </w:t>
      </w:r>
      <w:r w:rsidR="00826B0F" w:rsidRPr="000A1446">
        <w:t>Failure to provide t</w:t>
      </w:r>
      <w:r w:rsidR="00765C71" w:rsidRPr="000A1446">
        <w:t xml:space="preserve">he ACCC </w:t>
      </w:r>
      <w:r w:rsidR="00826B0F" w:rsidRPr="000A1446">
        <w:t xml:space="preserve">with </w:t>
      </w:r>
      <w:r w:rsidR="00AA7D9B" w:rsidRPr="000A1446">
        <w:t xml:space="preserve">a base level of </w:t>
      </w:r>
      <w:r w:rsidR="00826B0F" w:rsidRPr="000A1446">
        <w:t xml:space="preserve">information </w:t>
      </w:r>
      <w:r w:rsidR="00881698" w:rsidRPr="000A1446">
        <w:t xml:space="preserve">at the outset may </w:t>
      </w:r>
      <w:r w:rsidR="003641E7" w:rsidRPr="000A1446">
        <w:t>delay the ACCC’s review</w:t>
      </w:r>
      <w:r w:rsidR="00881698" w:rsidRPr="000A1446">
        <w:t xml:space="preserve"> and </w:t>
      </w:r>
      <w:r w:rsidR="00347392" w:rsidRPr="000A1446">
        <w:t xml:space="preserve">final </w:t>
      </w:r>
      <w:r w:rsidR="00881698" w:rsidRPr="000A1446">
        <w:t>decision</w:t>
      </w:r>
      <w:r w:rsidR="00765C71" w:rsidRPr="000A1446">
        <w:t>.</w:t>
      </w:r>
      <w:bookmarkEnd w:id="13"/>
      <w:r w:rsidR="0077597D" w:rsidRPr="000A1446">
        <w:t xml:space="preserve"> Annexure A of these </w:t>
      </w:r>
      <w:r w:rsidR="0077597D" w:rsidRPr="000A1446">
        <w:rPr>
          <w:i/>
        </w:rPr>
        <w:t>Process Guidelines</w:t>
      </w:r>
      <w:r w:rsidR="0077597D" w:rsidRPr="000A1446">
        <w:t xml:space="preserve"> includes a list of the </w:t>
      </w:r>
      <w:r w:rsidR="00DA03B7" w:rsidRPr="000A1446">
        <w:t xml:space="preserve">initial </w:t>
      </w:r>
      <w:r w:rsidR="0077597D" w:rsidRPr="000A1446">
        <w:t>level of information that the ACCC will generally require in order to undertake an informal review.</w:t>
      </w:r>
      <w:r w:rsidR="00B67732" w:rsidRPr="000A1446">
        <w:t xml:space="preserve"> </w:t>
      </w:r>
    </w:p>
    <w:p w:rsidR="007B791B" w:rsidRPr="000A1446" w:rsidRDefault="00392ECE" w:rsidP="00B01418">
      <w:pPr>
        <w:pStyle w:val="Heading2"/>
      </w:pPr>
      <w:bookmarkStart w:id="14" w:name="_Toc360012423"/>
      <w:r w:rsidRPr="000A1446">
        <w:t>I</w:t>
      </w:r>
      <w:r w:rsidR="001C5F89" w:rsidRPr="000A1446">
        <w:t>nitial assessment</w:t>
      </w:r>
      <w:bookmarkEnd w:id="14"/>
      <w:r w:rsidR="00B67732" w:rsidRPr="000A1446">
        <w:t xml:space="preserve"> </w:t>
      </w:r>
    </w:p>
    <w:p w:rsidR="00987DCB" w:rsidRPr="000A1446" w:rsidRDefault="00092F98" w:rsidP="00191D0E">
      <w:pPr>
        <w:numPr>
          <w:ilvl w:val="1"/>
          <w:numId w:val="4"/>
        </w:numPr>
        <w:tabs>
          <w:tab w:val="left" w:pos="851"/>
        </w:tabs>
        <w:ind w:left="851" w:hanging="491"/>
      </w:pPr>
      <w:bookmarkStart w:id="15" w:name="_Ref358040877"/>
      <w:r w:rsidRPr="000A1446">
        <w:t xml:space="preserve">For each merger, the ACCC </w:t>
      </w:r>
      <w:r w:rsidR="004E181E" w:rsidRPr="000A1446">
        <w:t xml:space="preserve">will make an </w:t>
      </w:r>
      <w:r w:rsidR="00DC7311" w:rsidRPr="000A1446">
        <w:t>initial</w:t>
      </w:r>
      <w:r w:rsidR="004E181E" w:rsidRPr="000A1446">
        <w:t xml:space="preserve"> assessment </w:t>
      </w:r>
      <w:r w:rsidR="008B6574">
        <w:t xml:space="preserve">based </w:t>
      </w:r>
      <w:r w:rsidR="00765C71" w:rsidRPr="000A1446">
        <w:t>on the information available to</w:t>
      </w:r>
      <w:r w:rsidR="004E181E" w:rsidRPr="000A1446">
        <w:t xml:space="preserve"> determine </w:t>
      </w:r>
      <w:r w:rsidR="00AC6056" w:rsidRPr="000A1446">
        <w:t xml:space="preserve">whether a </w:t>
      </w:r>
      <w:r w:rsidR="00C078BE" w:rsidRPr="000A1446">
        <w:t xml:space="preserve">public </w:t>
      </w:r>
      <w:r w:rsidR="004E181E" w:rsidRPr="000A1446">
        <w:t>review</w:t>
      </w:r>
      <w:r w:rsidR="00AC6056" w:rsidRPr="000A1446">
        <w:t xml:space="preserve"> </w:t>
      </w:r>
      <w:r w:rsidR="00F947E1" w:rsidRPr="000A1446">
        <w:t>will be</w:t>
      </w:r>
      <w:r w:rsidR="00AC6056" w:rsidRPr="000A1446">
        <w:t xml:space="preserve"> required</w:t>
      </w:r>
      <w:r w:rsidR="004E181E" w:rsidRPr="000A1446">
        <w:t xml:space="preserve">. </w:t>
      </w:r>
      <w:r w:rsidR="00AC6056" w:rsidRPr="000A1446">
        <w:t>Where the ACCC is satisfied</w:t>
      </w:r>
      <w:r w:rsidR="00DC7311" w:rsidRPr="000A1446">
        <w:t>,</w:t>
      </w:r>
      <w:r w:rsidR="00AC6056" w:rsidRPr="000A1446">
        <w:t xml:space="preserve"> </w:t>
      </w:r>
      <w:r w:rsidR="00F947E1" w:rsidRPr="000A1446">
        <w:t>based on the information provided</w:t>
      </w:r>
      <w:r w:rsidR="00DC7311" w:rsidRPr="000A1446">
        <w:t>,</w:t>
      </w:r>
      <w:r w:rsidR="00F947E1" w:rsidRPr="000A1446">
        <w:t xml:space="preserve"> </w:t>
      </w:r>
      <w:r w:rsidR="00AC6056" w:rsidRPr="000A1446">
        <w:t>that the</w:t>
      </w:r>
      <w:r w:rsidR="00987DCB" w:rsidRPr="000A1446">
        <w:t>re is a low</w:t>
      </w:r>
      <w:r w:rsidR="00AC6056" w:rsidRPr="000A1446">
        <w:t xml:space="preserve"> risk of a </w:t>
      </w:r>
      <w:r w:rsidR="00987DCB" w:rsidRPr="000A1446">
        <w:t xml:space="preserve">merger </w:t>
      </w:r>
      <w:r w:rsidR="00DC7311" w:rsidRPr="000A1446">
        <w:t>substantially lessening</w:t>
      </w:r>
      <w:r w:rsidR="00AC6056" w:rsidRPr="000A1446">
        <w:t xml:space="preserve"> </w:t>
      </w:r>
      <w:r w:rsidR="00987DCB" w:rsidRPr="000A1446">
        <w:t xml:space="preserve">competition, the ACCC </w:t>
      </w:r>
      <w:r w:rsidR="00701414" w:rsidRPr="000A1446">
        <w:t xml:space="preserve">may </w:t>
      </w:r>
      <w:r w:rsidR="00987DCB" w:rsidRPr="000A1446">
        <w:t xml:space="preserve">decide </w:t>
      </w:r>
      <w:r w:rsidR="00701414" w:rsidRPr="000A1446">
        <w:t xml:space="preserve">that it is not necessary </w:t>
      </w:r>
      <w:r w:rsidR="00987DCB" w:rsidRPr="000A1446">
        <w:t xml:space="preserve">to conduct a </w:t>
      </w:r>
      <w:r w:rsidR="00701414" w:rsidRPr="000A1446">
        <w:t xml:space="preserve">public </w:t>
      </w:r>
      <w:r w:rsidR="00987DCB" w:rsidRPr="000A1446">
        <w:t xml:space="preserve">review of that merger. </w:t>
      </w:r>
      <w:r w:rsidR="00C549BA" w:rsidRPr="000A1446">
        <w:t>These m</w:t>
      </w:r>
      <w:r w:rsidR="000769EA" w:rsidRPr="000A1446">
        <w:t>ergers are described as being</w:t>
      </w:r>
      <w:r w:rsidR="004343E5" w:rsidRPr="000A1446">
        <w:t xml:space="preserve"> ‘pre-assessed’.</w:t>
      </w:r>
      <w:bookmarkEnd w:id="15"/>
      <w:r w:rsidR="00DE6180" w:rsidRPr="000A1446">
        <w:rPr>
          <w:rStyle w:val="FootnoteReference"/>
        </w:rPr>
        <w:footnoteReference w:id="9"/>
      </w:r>
      <w:r w:rsidR="004343E5" w:rsidRPr="000A1446">
        <w:t xml:space="preserve"> </w:t>
      </w:r>
    </w:p>
    <w:p w:rsidR="009E6C09" w:rsidRPr="000A1446" w:rsidRDefault="009E6C09" w:rsidP="00191D0E">
      <w:pPr>
        <w:numPr>
          <w:ilvl w:val="1"/>
          <w:numId w:val="4"/>
        </w:numPr>
        <w:tabs>
          <w:tab w:val="left" w:pos="851"/>
        </w:tabs>
        <w:ind w:left="851" w:hanging="491"/>
      </w:pPr>
      <w:r w:rsidRPr="000A1446">
        <w:t>Both public and confidential mergers can be pre-assessed</w:t>
      </w:r>
      <w:r w:rsidR="00B55159" w:rsidRPr="000A1446">
        <w:t xml:space="preserve"> and are done so</w:t>
      </w:r>
      <w:r w:rsidRPr="000A1446">
        <w:t xml:space="preserve"> on the basis of the information provided </w:t>
      </w:r>
      <w:r w:rsidR="00187BC3" w:rsidRPr="000A1446">
        <w:t>by the parties</w:t>
      </w:r>
      <w:r w:rsidRPr="000A1446">
        <w:t>.</w:t>
      </w:r>
    </w:p>
    <w:p w:rsidR="00844214" w:rsidRPr="000A1446" w:rsidRDefault="005231EF" w:rsidP="00191D0E">
      <w:pPr>
        <w:numPr>
          <w:ilvl w:val="1"/>
          <w:numId w:val="4"/>
        </w:numPr>
        <w:tabs>
          <w:tab w:val="left" w:pos="851"/>
        </w:tabs>
        <w:ind w:left="851" w:hanging="491"/>
      </w:pPr>
      <w:r w:rsidRPr="000A1446">
        <w:t>A</w:t>
      </w:r>
      <w:r w:rsidR="00844214" w:rsidRPr="000A1446">
        <w:t xml:space="preserve"> significant proportion of </w:t>
      </w:r>
      <w:r w:rsidR="0077597D" w:rsidRPr="000A1446">
        <w:t xml:space="preserve">the </w:t>
      </w:r>
      <w:r w:rsidR="00844214" w:rsidRPr="000A1446">
        <w:t xml:space="preserve">mergers notified to the ACCC </w:t>
      </w:r>
      <w:r w:rsidRPr="000A1446">
        <w:t xml:space="preserve">are able to be </w:t>
      </w:r>
      <w:r w:rsidR="009E2C51" w:rsidRPr="000A1446">
        <w:t xml:space="preserve">pre-assessed </w:t>
      </w:r>
      <w:r w:rsidR="000769EA" w:rsidRPr="000A1446">
        <w:t xml:space="preserve">expeditiously, often </w:t>
      </w:r>
      <w:r w:rsidR="00844214" w:rsidRPr="000A1446">
        <w:t xml:space="preserve">within two weeks of notification to the ACCC. </w:t>
      </w:r>
    </w:p>
    <w:p w:rsidR="0032169E" w:rsidRPr="000A1446" w:rsidRDefault="00790F1B" w:rsidP="00191D0E">
      <w:pPr>
        <w:numPr>
          <w:ilvl w:val="1"/>
          <w:numId w:val="4"/>
        </w:numPr>
        <w:tabs>
          <w:tab w:val="left" w:pos="851"/>
        </w:tabs>
        <w:ind w:left="851" w:hanging="491"/>
      </w:pPr>
      <w:r w:rsidRPr="000A1446">
        <w:t xml:space="preserve">A decision </w:t>
      </w:r>
      <w:r w:rsidR="00092F98" w:rsidRPr="000A1446">
        <w:t xml:space="preserve">to </w:t>
      </w:r>
      <w:r w:rsidR="009E2C51" w:rsidRPr="000A1446">
        <w:t xml:space="preserve">pre-assess a merger </w:t>
      </w:r>
      <w:r w:rsidR="0077597D" w:rsidRPr="000A1446">
        <w:t xml:space="preserve">without </w:t>
      </w:r>
      <w:r w:rsidR="005231EF" w:rsidRPr="000A1446">
        <w:t>market</w:t>
      </w:r>
      <w:r w:rsidR="0077597D" w:rsidRPr="000A1446">
        <w:t xml:space="preserve"> inquiries </w:t>
      </w:r>
      <w:r w:rsidR="00092F98" w:rsidRPr="000A1446">
        <w:t>is</w:t>
      </w:r>
      <w:r w:rsidR="00A57BCC" w:rsidRPr="000A1446">
        <w:t xml:space="preserve"> </w:t>
      </w:r>
      <w:r w:rsidR="0032169E" w:rsidRPr="000A1446">
        <w:t>not taken lightly</w:t>
      </w:r>
      <w:r w:rsidR="00A57BCC" w:rsidRPr="000A1446">
        <w:t xml:space="preserve"> and </w:t>
      </w:r>
      <w:r w:rsidR="0032169E" w:rsidRPr="000A1446">
        <w:t>is</w:t>
      </w:r>
      <w:r w:rsidR="00092F98" w:rsidRPr="000A1446">
        <w:t xml:space="preserve"> dependent on </w:t>
      </w:r>
      <w:r w:rsidR="00054DAF" w:rsidRPr="000A1446">
        <w:t xml:space="preserve">the </w:t>
      </w:r>
      <w:r w:rsidR="009118DE" w:rsidRPr="000A1446">
        <w:t xml:space="preserve">ACCC’s familiarity with the relevant industry and the </w:t>
      </w:r>
      <w:r w:rsidR="00054DAF" w:rsidRPr="000A1446">
        <w:t>adequacy of</w:t>
      </w:r>
      <w:r w:rsidR="00FC1AC0" w:rsidRPr="000A1446">
        <w:t xml:space="preserve"> the</w:t>
      </w:r>
      <w:r w:rsidR="00092F98" w:rsidRPr="000A1446">
        <w:t xml:space="preserve"> information </w:t>
      </w:r>
      <w:r w:rsidR="00054DAF" w:rsidRPr="000A1446">
        <w:t>provided</w:t>
      </w:r>
      <w:r w:rsidR="00092F98" w:rsidRPr="000A1446">
        <w:t xml:space="preserve"> </w:t>
      </w:r>
      <w:r w:rsidR="00054DAF" w:rsidRPr="000A1446">
        <w:t>by the merger parties to support such a finding</w:t>
      </w:r>
      <w:r w:rsidR="00CE3A68" w:rsidRPr="000A1446">
        <w:t xml:space="preserve">, including </w:t>
      </w:r>
      <w:r w:rsidR="00701414" w:rsidRPr="000A1446">
        <w:t>supporting</w:t>
      </w:r>
      <w:r w:rsidR="00092F98" w:rsidRPr="000A1446">
        <w:t xml:space="preserve"> </w:t>
      </w:r>
      <w:r w:rsidR="0032169E" w:rsidRPr="000A1446">
        <w:t>evidence</w:t>
      </w:r>
      <w:r w:rsidR="005231EF" w:rsidRPr="000A1446">
        <w:t>. F</w:t>
      </w:r>
      <w:r w:rsidR="0032169E" w:rsidRPr="000A1446">
        <w:t>or example</w:t>
      </w:r>
      <w:r w:rsidR="00602920" w:rsidRPr="000A1446">
        <w:t>,</w:t>
      </w:r>
      <w:r w:rsidR="0032169E" w:rsidRPr="000A1446">
        <w:t xml:space="preserve"> </w:t>
      </w:r>
      <w:r w:rsidR="003A78C5" w:rsidRPr="000A1446">
        <w:t xml:space="preserve">claims </w:t>
      </w:r>
      <w:r w:rsidR="00511545" w:rsidRPr="000A1446">
        <w:t>of ease</w:t>
      </w:r>
      <w:r w:rsidR="0077597D" w:rsidRPr="000A1446">
        <w:t xml:space="preserve"> of</w:t>
      </w:r>
      <w:r w:rsidR="0032169E" w:rsidRPr="000A1446">
        <w:t xml:space="preserve"> entry </w:t>
      </w:r>
      <w:r w:rsidR="00602920" w:rsidRPr="000A1446">
        <w:t>are given greater weight when supported by examples of recent new entry or expansion</w:t>
      </w:r>
      <w:r w:rsidR="00092F98" w:rsidRPr="000A1446">
        <w:t>.</w:t>
      </w:r>
      <w:r w:rsidR="0032169E" w:rsidRPr="000A1446">
        <w:t xml:space="preserve"> </w:t>
      </w:r>
    </w:p>
    <w:p w:rsidR="004E181E" w:rsidRPr="000A1446" w:rsidRDefault="004E181E" w:rsidP="00191D0E">
      <w:pPr>
        <w:numPr>
          <w:ilvl w:val="1"/>
          <w:numId w:val="4"/>
        </w:numPr>
        <w:tabs>
          <w:tab w:val="left" w:pos="851"/>
        </w:tabs>
        <w:ind w:left="851" w:hanging="491"/>
      </w:pPr>
      <w:r w:rsidRPr="000A1446">
        <w:t xml:space="preserve">Where </w:t>
      </w:r>
      <w:r w:rsidR="00987DCB" w:rsidRPr="000A1446">
        <w:t xml:space="preserve">mergers are pre-assessed, </w:t>
      </w:r>
      <w:r w:rsidRPr="000A1446">
        <w:t xml:space="preserve">the </w:t>
      </w:r>
      <w:r w:rsidR="0077597D" w:rsidRPr="000A1446">
        <w:t xml:space="preserve">notifying parties </w:t>
      </w:r>
      <w:r w:rsidR="00DC7311" w:rsidRPr="000A1446">
        <w:t xml:space="preserve">will </w:t>
      </w:r>
      <w:r w:rsidR="00FC1AC0" w:rsidRPr="000A1446">
        <w:t xml:space="preserve">generally be informed </w:t>
      </w:r>
      <w:r w:rsidRPr="000A1446">
        <w:t xml:space="preserve">that </w:t>
      </w:r>
      <w:r w:rsidR="00DC7311" w:rsidRPr="000A1446">
        <w:t xml:space="preserve">the ACCC </w:t>
      </w:r>
      <w:r w:rsidRPr="000A1446">
        <w:t>does not intend to conduct a</w:t>
      </w:r>
      <w:r w:rsidR="009118DE" w:rsidRPr="000A1446">
        <w:t xml:space="preserve"> public review </w:t>
      </w:r>
      <w:r w:rsidRPr="000A1446">
        <w:t xml:space="preserve">of the transaction </w:t>
      </w:r>
      <w:r w:rsidR="00F947E1" w:rsidRPr="000A1446">
        <w:t xml:space="preserve">to </w:t>
      </w:r>
      <w:r w:rsidR="00FC1AC0" w:rsidRPr="000A1446">
        <w:t xml:space="preserve">make </w:t>
      </w:r>
      <w:r w:rsidR="00F947E1" w:rsidRPr="000A1446">
        <w:t xml:space="preserve">an assessment under s.50 </w:t>
      </w:r>
      <w:r w:rsidR="00CE3A68" w:rsidRPr="000A1446">
        <w:t xml:space="preserve">but reserves the right to </w:t>
      </w:r>
      <w:r w:rsidRPr="000A1446">
        <w:t xml:space="preserve">reconsider the merger if new information </w:t>
      </w:r>
      <w:r w:rsidR="00FC1AC0" w:rsidRPr="000A1446">
        <w:t xml:space="preserve">is received </w:t>
      </w:r>
      <w:r w:rsidR="00701414" w:rsidRPr="000A1446">
        <w:t xml:space="preserve">or information </w:t>
      </w:r>
      <w:r w:rsidR="00FC1AC0" w:rsidRPr="000A1446">
        <w:t xml:space="preserve">in </w:t>
      </w:r>
      <w:r w:rsidR="00701414" w:rsidRPr="000A1446">
        <w:t>the ACCC</w:t>
      </w:r>
      <w:r w:rsidR="00FC1AC0" w:rsidRPr="000A1446">
        <w:t>’s possession</w:t>
      </w:r>
      <w:r w:rsidR="00701414" w:rsidRPr="000A1446">
        <w:t xml:space="preserve"> </w:t>
      </w:r>
      <w:r w:rsidR="00FC1AC0" w:rsidRPr="000A1446">
        <w:t xml:space="preserve">is </w:t>
      </w:r>
      <w:r w:rsidR="00701414" w:rsidRPr="000A1446">
        <w:t>found to be false or misleading (including by omission)</w:t>
      </w:r>
      <w:r w:rsidRPr="000A1446">
        <w:t>.</w:t>
      </w:r>
      <w:r w:rsidR="001C5F89" w:rsidRPr="000A1446">
        <w:t xml:space="preserve"> </w:t>
      </w:r>
    </w:p>
    <w:p w:rsidR="00765C71" w:rsidRPr="000A1446" w:rsidRDefault="002C2DB4" w:rsidP="00191D0E">
      <w:pPr>
        <w:keepNext/>
        <w:numPr>
          <w:ilvl w:val="1"/>
          <w:numId w:val="4"/>
        </w:numPr>
        <w:tabs>
          <w:tab w:val="left" w:pos="851"/>
        </w:tabs>
        <w:ind w:left="850" w:hanging="493"/>
      </w:pPr>
      <w:r w:rsidRPr="000A1446">
        <w:t xml:space="preserve">Following an initial </w:t>
      </w:r>
      <w:r w:rsidR="00F911B9" w:rsidRPr="000A1446">
        <w:t>consideration</w:t>
      </w:r>
      <w:r w:rsidR="00FC1AC0" w:rsidRPr="000A1446">
        <w:t>,</w:t>
      </w:r>
      <w:r w:rsidRPr="000A1446">
        <w:t xml:space="preserve"> </w:t>
      </w:r>
      <w:r w:rsidR="00790F1B" w:rsidRPr="000A1446">
        <w:t>where</w:t>
      </w:r>
      <w:r w:rsidRPr="000A1446">
        <w:t xml:space="preserve"> a decision </w:t>
      </w:r>
      <w:r w:rsidR="00790F1B" w:rsidRPr="000A1446">
        <w:t xml:space="preserve">is made that </w:t>
      </w:r>
      <w:r w:rsidR="00765C71" w:rsidRPr="000A1446">
        <w:t>a merger cannot be pre-assessed:</w:t>
      </w:r>
    </w:p>
    <w:p w:rsidR="00765C71" w:rsidRPr="000A1446" w:rsidRDefault="00765C71" w:rsidP="00765C71">
      <w:pPr>
        <w:numPr>
          <w:ilvl w:val="0"/>
          <w:numId w:val="27"/>
        </w:numPr>
        <w:tabs>
          <w:tab w:val="left" w:pos="851"/>
        </w:tabs>
      </w:pPr>
      <w:r w:rsidRPr="000A1446">
        <w:t>For mergers</w:t>
      </w:r>
      <w:r w:rsidR="00CE3A68" w:rsidRPr="000A1446">
        <w:t xml:space="preserve"> in the public domain</w:t>
      </w:r>
      <w:r w:rsidRPr="000A1446">
        <w:t xml:space="preserve">, the ACCC will </w:t>
      </w:r>
      <w:r w:rsidR="00CE3A68" w:rsidRPr="000A1446">
        <w:t xml:space="preserve">advise </w:t>
      </w:r>
      <w:r w:rsidRPr="000A1446">
        <w:t>the merger parties that it intends to conduct a public review</w:t>
      </w:r>
      <w:r w:rsidR="00CE3A68" w:rsidRPr="000A1446">
        <w:t xml:space="preserve"> and begin discussions </w:t>
      </w:r>
      <w:r w:rsidR="006F650A" w:rsidRPr="000A1446">
        <w:t>with the merger parties about</w:t>
      </w:r>
      <w:r w:rsidR="00CE3A68" w:rsidRPr="000A1446">
        <w:t xml:space="preserve"> the process involved.</w:t>
      </w:r>
    </w:p>
    <w:p w:rsidR="00765C71" w:rsidRPr="000A1446" w:rsidRDefault="00765C71" w:rsidP="00765C71">
      <w:pPr>
        <w:numPr>
          <w:ilvl w:val="0"/>
          <w:numId w:val="27"/>
        </w:numPr>
        <w:tabs>
          <w:tab w:val="left" w:pos="851"/>
        </w:tabs>
      </w:pPr>
      <w:r w:rsidRPr="000A1446">
        <w:t>For confidential mergers, the ACCC will</w:t>
      </w:r>
      <w:r w:rsidR="00CE3A68" w:rsidRPr="000A1446">
        <w:t xml:space="preserve"> advise</w:t>
      </w:r>
      <w:r w:rsidRPr="000A1446">
        <w:t xml:space="preserve"> the merger parties that the merger cannot </w:t>
      </w:r>
      <w:r w:rsidR="00A00F27" w:rsidRPr="000A1446">
        <w:t xml:space="preserve">be pre-assessed and </w:t>
      </w:r>
      <w:r w:rsidR="002C2DB4" w:rsidRPr="000A1446">
        <w:t xml:space="preserve">will </w:t>
      </w:r>
      <w:r w:rsidR="00A00F27" w:rsidRPr="000A1446">
        <w:t xml:space="preserve">require </w:t>
      </w:r>
      <w:r w:rsidR="002C2DB4" w:rsidRPr="000A1446">
        <w:t xml:space="preserve">further </w:t>
      </w:r>
      <w:r w:rsidR="00A00F27" w:rsidRPr="000A1446">
        <w:t>review. Merger parties ca</w:t>
      </w:r>
      <w:r w:rsidR="009E6C09" w:rsidRPr="000A1446">
        <w:t xml:space="preserve">n </w:t>
      </w:r>
      <w:r w:rsidR="003A78C5" w:rsidRPr="000A1446">
        <w:t xml:space="preserve">then </w:t>
      </w:r>
      <w:r w:rsidR="009E6C09" w:rsidRPr="000A1446">
        <w:t xml:space="preserve">request </w:t>
      </w:r>
      <w:r w:rsidR="003A78C5" w:rsidRPr="000A1446">
        <w:t xml:space="preserve">the ACCC </w:t>
      </w:r>
      <w:r w:rsidR="006F650A" w:rsidRPr="000A1446">
        <w:t xml:space="preserve">to </w:t>
      </w:r>
      <w:r w:rsidR="003A78C5" w:rsidRPr="000A1446">
        <w:t xml:space="preserve">conduct </w:t>
      </w:r>
      <w:r w:rsidR="009E6C09" w:rsidRPr="000A1446">
        <w:t>a confidential review or a public review (see below for further details on the confidential and public review processes)</w:t>
      </w:r>
      <w:r w:rsidR="00A00F27" w:rsidRPr="000A1446">
        <w:t>.</w:t>
      </w:r>
    </w:p>
    <w:p w:rsidR="00765C71" w:rsidRPr="000A1446" w:rsidRDefault="00765C71" w:rsidP="00191D0E">
      <w:pPr>
        <w:numPr>
          <w:ilvl w:val="1"/>
          <w:numId w:val="4"/>
        </w:numPr>
        <w:tabs>
          <w:tab w:val="left" w:pos="851"/>
        </w:tabs>
        <w:ind w:left="851" w:hanging="491"/>
      </w:pPr>
      <w:r w:rsidRPr="000A1446">
        <w:t xml:space="preserve">The ACCC does not publish details of mergers </w:t>
      </w:r>
      <w:r w:rsidR="00DE6180" w:rsidRPr="000A1446">
        <w:t xml:space="preserve">that </w:t>
      </w:r>
      <w:r w:rsidRPr="000A1446">
        <w:t xml:space="preserve">are pre-assessed. </w:t>
      </w:r>
    </w:p>
    <w:p w:rsidR="006326EA" w:rsidRPr="006326EA" w:rsidRDefault="006326EA" w:rsidP="006326EA">
      <w:pPr>
        <w:keepNext/>
        <w:shd w:val="clear" w:color="auto" w:fill="D9D9D9"/>
        <w:rPr>
          <w:b/>
          <w:bCs/>
          <w:sz w:val="20"/>
          <w:szCs w:val="20"/>
        </w:rPr>
      </w:pPr>
      <w:bookmarkStart w:id="16" w:name="_Toc360012424"/>
      <w:bookmarkStart w:id="17" w:name="_Ref361135725"/>
      <w:r w:rsidRPr="006326EA">
        <w:rPr>
          <w:b/>
          <w:bCs/>
          <w:sz w:val="20"/>
          <w:szCs w:val="20"/>
        </w:rPr>
        <w:t xml:space="preserve">Box </w:t>
      </w:r>
      <w:r w:rsidRPr="006326EA">
        <w:rPr>
          <w:b/>
          <w:bCs/>
          <w:sz w:val="20"/>
          <w:szCs w:val="20"/>
        </w:rPr>
        <w:fldChar w:fldCharType="begin"/>
      </w:r>
      <w:r w:rsidRPr="006326EA">
        <w:rPr>
          <w:b/>
          <w:bCs/>
          <w:sz w:val="20"/>
          <w:szCs w:val="20"/>
        </w:rPr>
        <w:instrText xml:space="preserve"> SEQ Box \* ARABIC </w:instrText>
      </w:r>
      <w:r w:rsidRPr="006326EA">
        <w:rPr>
          <w:b/>
          <w:bCs/>
          <w:sz w:val="20"/>
          <w:szCs w:val="20"/>
        </w:rPr>
        <w:fldChar w:fldCharType="separate"/>
      </w:r>
      <w:r w:rsidR="00A528AE">
        <w:rPr>
          <w:b/>
          <w:bCs/>
          <w:noProof/>
          <w:sz w:val="20"/>
          <w:szCs w:val="20"/>
        </w:rPr>
        <w:t>1</w:t>
      </w:r>
      <w:r w:rsidRPr="006326EA">
        <w:rPr>
          <w:b/>
          <w:bCs/>
          <w:sz w:val="20"/>
          <w:szCs w:val="20"/>
        </w:rPr>
        <w:fldChar w:fldCharType="end"/>
      </w:r>
      <w:bookmarkEnd w:id="17"/>
      <w:r w:rsidRPr="006326EA">
        <w:rPr>
          <w:b/>
          <w:bCs/>
          <w:sz w:val="20"/>
          <w:szCs w:val="20"/>
        </w:rPr>
        <w:t xml:space="preserve"> - The Foreign Investment Regime</w:t>
      </w:r>
    </w:p>
    <w:p w:rsidR="00E825C8" w:rsidRDefault="00E825C8" w:rsidP="00E825C8">
      <w:pPr>
        <w:shd w:val="clear" w:color="auto" w:fill="D9D9D9"/>
      </w:pPr>
      <w:r>
        <w:t xml:space="preserve">Proposals by foreign persons to undertake investment in Australia that are subject to the </w:t>
      </w:r>
      <w:r>
        <w:rPr>
          <w:i/>
          <w:iCs/>
        </w:rPr>
        <w:t>Foreign Acquisitions and Takeovers Act 1975</w:t>
      </w:r>
      <w:r>
        <w:t xml:space="preserve"> and Australia's Foreign Investment Policy are examined by the Foreign Investment Review Board (FIRB) to ensure that they are not contrary to the national interest.  The FIRB advises the Treasurer, who is responsible for making decisions on whether or not foreign investment proposals should be allowed to </w:t>
      </w:r>
      <w:proofErr w:type="gramStart"/>
      <w:r>
        <w:t>proceed</w:t>
      </w:r>
      <w:proofErr w:type="gramEnd"/>
      <w:r>
        <w:t>.</w:t>
      </w:r>
    </w:p>
    <w:p w:rsidR="00E825C8" w:rsidRDefault="00E825C8" w:rsidP="00E825C8">
      <w:pPr>
        <w:shd w:val="clear" w:color="auto" w:fill="D9D9D9"/>
      </w:pPr>
      <w:r>
        <w:t xml:space="preserve">Although the foreign investment regime is clearly distinct from the ACCC’s role in the assessment of mergers under Australian law, Australia’s Foreign Investment Policy states that the impact of the transaction on competition is a relevant factor when considering the national interest. Where competition considerations are relevant to a particular proposal, the FIRB will consult with the ACCC. </w:t>
      </w:r>
    </w:p>
    <w:p w:rsidR="00E825C8" w:rsidRDefault="00E825C8" w:rsidP="00E825C8">
      <w:pPr>
        <w:shd w:val="clear" w:color="auto" w:fill="D9D9D9"/>
      </w:pPr>
      <w:r>
        <w:t xml:space="preserve">When FIRB refers a matter to the ACCC for comment, the ACCC provides FIRB with advice on the ACCC’s s. 50 </w:t>
      </w:r>
      <w:proofErr w:type="gramStart"/>
      <w:r>
        <w:t>assessment</w:t>
      </w:r>
      <w:proofErr w:type="gramEnd"/>
      <w:r>
        <w:t xml:space="preserve">. Where a FIRB referral relates to a transaction that is the subject of a public review by the ACCC, the ACCC will advise FIRB of this fact and provide details of the indicative timeline. </w:t>
      </w:r>
    </w:p>
    <w:p w:rsidR="00E825C8" w:rsidRDefault="00E825C8" w:rsidP="00E825C8">
      <w:pPr>
        <w:shd w:val="clear" w:color="auto" w:fill="D9D9D9"/>
      </w:pPr>
      <w:r>
        <w:t>Where the ACCC requires further information about a proposal that FIRB has notified to the ACCC, the ACCC will in most cases seek that information directly from the merger parties.</w:t>
      </w:r>
    </w:p>
    <w:p w:rsidR="00E726D8" w:rsidRPr="000A1446" w:rsidRDefault="00E726D8" w:rsidP="00B01418">
      <w:pPr>
        <w:pStyle w:val="Heading2"/>
      </w:pPr>
      <w:r w:rsidRPr="000A1446">
        <w:t>Confidential merger reviews</w:t>
      </w:r>
      <w:bookmarkEnd w:id="16"/>
    </w:p>
    <w:p w:rsidR="00194729" w:rsidRPr="000A1446" w:rsidRDefault="00ED25E9" w:rsidP="00191D0E">
      <w:pPr>
        <w:numPr>
          <w:ilvl w:val="1"/>
          <w:numId w:val="4"/>
        </w:numPr>
        <w:tabs>
          <w:tab w:val="left" w:pos="851"/>
        </w:tabs>
        <w:ind w:left="851" w:hanging="491"/>
      </w:pPr>
      <w:bookmarkStart w:id="18" w:name="_Ref358212565"/>
      <w:r w:rsidRPr="000A1446">
        <w:t xml:space="preserve">For mergers </w:t>
      </w:r>
      <w:r w:rsidR="00494038" w:rsidRPr="000A1446">
        <w:t xml:space="preserve">that </w:t>
      </w:r>
      <w:r w:rsidRPr="000A1446">
        <w:t xml:space="preserve">have not been publicly announced, </w:t>
      </w:r>
      <w:r w:rsidR="009E6C09" w:rsidRPr="000A1446">
        <w:t xml:space="preserve">and </w:t>
      </w:r>
      <w:r w:rsidR="00187BC3" w:rsidRPr="000A1446">
        <w:t xml:space="preserve">which </w:t>
      </w:r>
      <w:r w:rsidR="005F4BBC" w:rsidRPr="000A1446">
        <w:t>the ACCC considers</w:t>
      </w:r>
      <w:r w:rsidR="009E6C09" w:rsidRPr="000A1446">
        <w:t xml:space="preserve"> cannot be pre-assessed</w:t>
      </w:r>
      <w:r w:rsidR="006F649C" w:rsidRPr="000A1446">
        <w:rPr>
          <w:rStyle w:val="FootnoteReference"/>
        </w:rPr>
        <w:footnoteReference w:id="10"/>
      </w:r>
      <w:r w:rsidR="009E6C09" w:rsidRPr="000A1446">
        <w:t xml:space="preserve">, the ACCC can </w:t>
      </w:r>
      <w:r w:rsidR="005F4BBC" w:rsidRPr="000A1446">
        <w:t xml:space="preserve">conduct </w:t>
      </w:r>
      <w:r w:rsidR="009E6C09" w:rsidRPr="000A1446">
        <w:t>a confidential review at the request of the merger parties</w:t>
      </w:r>
      <w:r w:rsidR="00E726D8" w:rsidRPr="000A1446">
        <w:t>.</w:t>
      </w:r>
      <w:r w:rsidR="00020354" w:rsidRPr="000A1446">
        <w:rPr>
          <w:rStyle w:val="FootnoteReference"/>
        </w:rPr>
        <w:footnoteReference w:id="11"/>
      </w:r>
      <w:r w:rsidR="00E726D8" w:rsidRPr="000A1446">
        <w:t xml:space="preserve"> </w:t>
      </w:r>
      <w:r w:rsidR="00194729" w:rsidRPr="000A1446">
        <w:t xml:space="preserve">The ACCC will not conduct confidential reviews of proposed mergers that are public knowledge, completed mergers (see from </w:t>
      </w:r>
      <w:r w:rsidR="009E6C09" w:rsidRPr="008B6574">
        <w:fldChar w:fldCharType="begin"/>
      </w:r>
      <w:r w:rsidR="009E6C09" w:rsidRPr="000A1446">
        <w:instrText xml:space="preserve"> REF _Ref358042217 \r \h </w:instrText>
      </w:r>
      <w:r w:rsidR="000A1446">
        <w:instrText xml:space="preserve"> \* MERGEFORMAT </w:instrText>
      </w:r>
      <w:r w:rsidR="009E6C09" w:rsidRPr="008B6574">
        <w:fldChar w:fldCharType="separate"/>
      </w:r>
      <w:r w:rsidR="00A528AE">
        <w:t>2.65</w:t>
      </w:r>
      <w:r w:rsidR="009E6C09" w:rsidRPr="008B6574">
        <w:fldChar w:fldCharType="end"/>
      </w:r>
      <w:r w:rsidR="00194729" w:rsidRPr="000A1446">
        <w:t xml:space="preserve">, below) or purely speculative </w:t>
      </w:r>
      <w:r w:rsidR="00F911B9" w:rsidRPr="000A1446">
        <w:t xml:space="preserve">or hypothetical </w:t>
      </w:r>
      <w:r w:rsidR="00194729" w:rsidRPr="000A1446">
        <w:t>mergers.</w:t>
      </w:r>
      <w:bookmarkEnd w:id="18"/>
      <w:r w:rsidR="00194729" w:rsidRPr="000A1446">
        <w:t xml:space="preserve"> </w:t>
      </w:r>
    </w:p>
    <w:p w:rsidR="00E726D8" w:rsidRPr="000A1446" w:rsidRDefault="00DD0875" w:rsidP="00191D0E">
      <w:pPr>
        <w:numPr>
          <w:ilvl w:val="1"/>
          <w:numId w:val="4"/>
        </w:numPr>
        <w:tabs>
          <w:tab w:val="left" w:pos="851"/>
        </w:tabs>
        <w:ind w:left="851" w:hanging="491"/>
      </w:pPr>
      <w:r w:rsidRPr="000A1446">
        <w:t>Where merger parties request a confidential review, t</w:t>
      </w:r>
      <w:r w:rsidR="00194729" w:rsidRPr="000A1446">
        <w:t xml:space="preserve">his process will usually take around </w:t>
      </w:r>
      <w:r w:rsidR="00F911B9" w:rsidRPr="000A1446">
        <w:t xml:space="preserve">2-4 </w:t>
      </w:r>
      <w:r w:rsidR="00194729" w:rsidRPr="000A1446">
        <w:t>weeks</w:t>
      </w:r>
      <w:r w:rsidR="00A22B58" w:rsidRPr="000A1446">
        <w:t>, but can be longer if the materials to be considered by the ACCC are substantial or particularly complex</w:t>
      </w:r>
      <w:r w:rsidR="00194729" w:rsidRPr="000A1446">
        <w:t>.</w:t>
      </w:r>
      <w:r w:rsidRPr="000A1446">
        <w:t xml:space="preserve"> </w:t>
      </w:r>
      <w:r w:rsidR="002D043F" w:rsidRPr="000A1446">
        <w:t>The ACCC expects merger parties to provide sufficient written information to the ACCC, taking into account the guidance provided in Annexure A. The ACCC may request further information from the merger parties throughout its confidential review.</w:t>
      </w:r>
    </w:p>
    <w:p w:rsidR="002D043F" w:rsidRPr="000A1446" w:rsidRDefault="002D043F" w:rsidP="00191D0E">
      <w:pPr>
        <w:numPr>
          <w:ilvl w:val="1"/>
          <w:numId w:val="4"/>
        </w:numPr>
        <w:tabs>
          <w:tab w:val="left" w:pos="851"/>
        </w:tabs>
        <w:ind w:left="851" w:hanging="491"/>
      </w:pPr>
      <w:r w:rsidRPr="000A1446">
        <w:t xml:space="preserve">Any view the ACCC is able to provide merger parties on a confidential basis will be qualified. Specifically, </w:t>
      </w:r>
      <w:r w:rsidR="00F911B9" w:rsidRPr="000A1446">
        <w:t xml:space="preserve">the </w:t>
      </w:r>
      <w:r w:rsidRPr="000A1446">
        <w:t>ACCC</w:t>
      </w:r>
      <w:r w:rsidR="00D522FB" w:rsidRPr="000A1446">
        <w:t>’s</w:t>
      </w:r>
      <w:r w:rsidRPr="000A1446">
        <w:t xml:space="preserve"> views regarding confidential mergers are based on the information available at the time of the review and are not</w:t>
      </w:r>
      <w:r w:rsidR="009176E1" w:rsidRPr="000A1446">
        <w:t xml:space="preserve"> formed with the benefit of information gathered through market inquiries. </w:t>
      </w:r>
      <w:r w:rsidR="007F2B3F" w:rsidRPr="000A1446">
        <w:t>Subject to that qualification</w:t>
      </w:r>
      <w:r w:rsidR="009176E1" w:rsidRPr="000A1446">
        <w:t xml:space="preserve">, the outcome of a confidential review </w:t>
      </w:r>
      <w:r w:rsidR="003A78C5" w:rsidRPr="000A1446">
        <w:t>will</w:t>
      </w:r>
      <w:r w:rsidR="009176E1" w:rsidRPr="000A1446">
        <w:t xml:space="preserve"> be</w:t>
      </w:r>
      <w:r w:rsidR="007F2B3F" w:rsidRPr="000A1446">
        <w:t xml:space="preserve">, based on the information available to the ACCC at the time, </w:t>
      </w:r>
      <w:r w:rsidR="001C428F" w:rsidRPr="000A1446">
        <w:t>one of</w:t>
      </w:r>
      <w:r w:rsidR="003E13EB" w:rsidRPr="000A1446">
        <w:t xml:space="preserve"> the following</w:t>
      </w:r>
      <w:r w:rsidR="009176E1" w:rsidRPr="000A1446">
        <w:t>:</w:t>
      </w:r>
    </w:p>
    <w:p w:rsidR="00020354" w:rsidRPr="000A1446" w:rsidRDefault="00187BC3" w:rsidP="00191D0E">
      <w:pPr>
        <w:numPr>
          <w:ilvl w:val="2"/>
          <w:numId w:val="4"/>
        </w:numPr>
        <w:tabs>
          <w:tab w:val="left" w:pos="1276"/>
        </w:tabs>
        <w:ind w:left="1276" w:hanging="425"/>
      </w:pPr>
      <w:r w:rsidRPr="000A1446">
        <w:t xml:space="preserve">The </w:t>
      </w:r>
      <w:r w:rsidR="007F2B3F" w:rsidRPr="000A1446">
        <w:t>ACCC</w:t>
      </w:r>
      <w:r w:rsidRPr="000A1446">
        <w:t>’s</w:t>
      </w:r>
      <w:r w:rsidR="007F2B3F" w:rsidRPr="000A1446">
        <w:t xml:space="preserve"> preliminary view </w:t>
      </w:r>
      <w:r w:rsidRPr="000A1446">
        <w:t xml:space="preserve">is </w:t>
      </w:r>
      <w:r w:rsidR="007F2B3F" w:rsidRPr="000A1446">
        <w:t xml:space="preserve">that the proposed acquisition does not appear to raise competition concerns pursuant to </w:t>
      </w:r>
      <w:r w:rsidR="00B67732" w:rsidRPr="000A1446">
        <w:t>s. 50</w:t>
      </w:r>
      <w:r w:rsidR="007F2B3F" w:rsidRPr="000A1446">
        <w:t xml:space="preserve"> of the </w:t>
      </w:r>
      <w:r w:rsidR="00B67732" w:rsidRPr="000A1446">
        <w:t>Act</w:t>
      </w:r>
      <w:r w:rsidR="003E13EB" w:rsidRPr="000A1446">
        <w:rPr>
          <w:i/>
        </w:rPr>
        <w:t>.</w:t>
      </w:r>
      <w:r w:rsidR="00020354" w:rsidRPr="000A1446">
        <w:rPr>
          <w:rStyle w:val="FootnoteReference"/>
        </w:rPr>
        <w:footnoteReference w:id="12"/>
      </w:r>
    </w:p>
    <w:p w:rsidR="007F2B3F" w:rsidRPr="000A1446" w:rsidRDefault="00020354" w:rsidP="00191D0E">
      <w:pPr>
        <w:numPr>
          <w:ilvl w:val="2"/>
          <w:numId w:val="4"/>
        </w:numPr>
        <w:tabs>
          <w:tab w:val="left" w:pos="1276"/>
        </w:tabs>
        <w:ind w:left="1276" w:hanging="425"/>
      </w:pPr>
      <w:r w:rsidRPr="000A1446">
        <w:t>T</w:t>
      </w:r>
      <w:r w:rsidR="007F2B3F" w:rsidRPr="000A1446">
        <w:t xml:space="preserve">he ACCC is not in a position to determine whether the proposed acquisition raises competition concerns pursuant to </w:t>
      </w:r>
      <w:r w:rsidR="00B67732" w:rsidRPr="000A1446">
        <w:t>s. 50</w:t>
      </w:r>
      <w:r w:rsidR="007F2B3F" w:rsidRPr="000A1446">
        <w:t xml:space="preserve"> of the </w:t>
      </w:r>
      <w:r w:rsidR="00B67732" w:rsidRPr="000A1446">
        <w:t>Act</w:t>
      </w:r>
      <w:r w:rsidR="00F83B6F" w:rsidRPr="000A1446">
        <w:rPr>
          <w:i/>
        </w:rPr>
        <w:t xml:space="preserve"> </w:t>
      </w:r>
      <w:r w:rsidR="00F83B6F" w:rsidRPr="000A1446">
        <w:t>without market inquiries</w:t>
      </w:r>
      <w:r w:rsidR="003E13EB" w:rsidRPr="000A1446">
        <w:t>. The ACCC will conduct a public review once the transaction is public.</w:t>
      </w:r>
    </w:p>
    <w:p w:rsidR="00F83B6F" w:rsidRPr="000A1446" w:rsidRDefault="00020354" w:rsidP="00191D0E">
      <w:pPr>
        <w:numPr>
          <w:ilvl w:val="2"/>
          <w:numId w:val="4"/>
        </w:numPr>
        <w:tabs>
          <w:tab w:val="left" w:pos="1276"/>
        </w:tabs>
        <w:ind w:left="1276" w:hanging="425"/>
      </w:pPr>
      <w:r w:rsidRPr="000A1446">
        <w:t>T</w:t>
      </w:r>
      <w:r w:rsidR="007F2B3F" w:rsidRPr="000A1446">
        <w:t xml:space="preserve">he ACCC is concerned that the proposed acquisition may (or is likely to) substantially lessen competition </w:t>
      </w:r>
      <w:r w:rsidR="005231EF" w:rsidRPr="000A1446">
        <w:t>in contravention of</w:t>
      </w:r>
      <w:r w:rsidR="007F2B3F" w:rsidRPr="000A1446">
        <w:t xml:space="preserve"> </w:t>
      </w:r>
      <w:r w:rsidR="00B67732" w:rsidRPr="000A1446">
        <w:t>s. 50</w:t>
      </w:r>
      <w:r w:rsidR="007F2B3F" w:rsidRPr="000A1446">
        <w:t xml:space="preserve"> of the </w:t>
      </w:r>
      <w:r w:rsidR="00B67732" w:rsidRPr="000A1446">
        <w:t>Act</w:t>
      </w:r>
      <w:r w:rsidR="00F83B6F" w:rsidRPr="000A1446">
        <w:rPr>
          <w:i/>
        </w:rPr>
        <w:t xml:space="preserve"> </w:t>
      </w:r>
      <w:r w:rsidR="00F83B6F" w:rsidRPr="000A1446">
        <w:t xml:space="preserve">and the ACCC </w:t>
      </w:r>
      <w:r w:rsidR="003E13EB" w:rsidRPr="000A1446">
        <w:t xml:space="preserve">will </w:t>
      </w:r>
      <w:r w:rsidR="00F83B6F" w:rsidRPr="000A1446">
        <w:t>conduct a public review once the transaction is made public</w:t>
      </w:r>
      <w:r w:rsidR="003E13EB" w:rsidRPr="000A1446">
        <w:t>.</w:t>
      </w:r>
    </w:p>
    <w:p w:rsidR="009176E1" w:rsidRPr="000A1446" w:rsidRDefault="00F12344" w:rsidP="00191D0E">
      <w:pPr>
        <w:numPr>
          <w:ilvl w:val="1"/>
          <w:numId w:val="4"/>
        </w:numPr>
        <w:tabs>
          <w:tab w:val="left" w:pos="851"/>
        </w:tabs>
        <w:ind w:left="851" w:hanging="491"/>
      </w:pPr>
      <w:r w:rsidRPr="000A1446">
        <w:t xml:space="preserve">In conducting confidential reviews, the ACCC is careful to ensure that it does not provide </w:t>
      </w:r>
      <w:r w:rsidR="007045CE" w:rsidRPr="000A1446">
        <w:t xml:space="preserve">an </w:t>
      </w:r>
      <w:r w:rsidRPr="000A1446">
        <w:t xml:space="preserve">inappropriate level of comfort to merger parties </w:t>
      </w:r>
      <w:r w:rsidR="00187BC3" w:rsidRPr="000A1446">
        <w:t>given that market inquiries have not been undertaken which may impact on the competition assessment</w:t>
      </w:r>
      <w:r w:rsidRPr="000A1446">
        <w:t>.</w:t>
      </w:r>
    </w:p>
    <w:p w:rsidR="00F8378A" w:rsidRPr="000A1446" w:rsidRDefault="00F8378A" w:rsidP="00191D0E">
      <w:pPr>
        <w:numPr>
          <w:ilvl w:val="1"/>
          <w:numId w:val="4"/>
        </w:numPr>
        <w:tabs>
          <w:tab w:val="left" w:pos="851"/>
        </w:tabs>
        <w:ind w:left="851" w:hanging="491"/>
      </w:pPr>
      <w:r w:rsidRPr="000A1446">
        <w:t>Upon providing a confidential view, the ACCC will request that merger parties keep the ACCC informed of the progress of the merger proposal</w:t>
      </w:r>
      <w:r w:rsidR="00220049" w:rsidRPr="000A1446">
        <w:t>, including whether the parties intend to proceed with publicly announcing the merger</w:t>
      </w:r>
      <w:r w:rsidRPr="000A1446">
        <w:t>.</w:t>
      </w:r>
    </w:p>
    <w:p w:rsidR="002425C5" w:rsidRPr="000A1446" w:rsidRDefault="00F8378A" w:rsidP="00191D0E">
      <w:pPr>
        <w:numPr>
          <w:ilvl w:val="1"/>
          <w:numId w:val="4"/>
        </w:numPr>
        <w:tabs>
          <w:tab w:val="left" w:pos="851"/>
        </w:tabs>
        <w:ind w:left="851" w:hanging="491"/>
      </w:pPr>
      <w:r w:rsidRPr="000A1446">
        <w:t>Details of confidential merger reviews and the ACCC’s views on them are not posted on the ACCC’s public register.</w:t>
      </w:r>
      <w:r w:rsidR="00836AF2" w:rsidRPr="000A1446">
        <w:t xml:space="preserve"> This includes circumstances where a confidential review is conducted and the ACCC subsequently conducts a public review of the merger.</w:t>
      </w:r>
      <w:r w:rsidR="003E13EB" w:rsidRPr="000A1446">
        <w:rPr>
          <w:rStyle w:val="FootnoteReference"/>
        </w:rPr>
        <w:footnoteReference w:id="13"/>
      </w:r>
      <w:r w:rsidR="00836AF2" w:rsidRPr="000A1446">
        <w:t xml:space="preserve"> </w:t>
      </w:r>
    </w:p>
    <w:p w:rsidR="00A756E8" w:rsidRPr="000A1446" w:rsidRDefault="00A756E8" w:rsidP="00B01418">
      <w:pPr>
        <w:pStyle w:val="Heading2"/>
      </w:pPr>
      <w:bookmarkStart w:id="19" w:name="_Toc360012425"/>
      <w:r w:rsidRPr="000A1446">
        <w:t>Public merger reviews</w:t>
      </w:r>
      <w:bookmarkEnd w:id="19"/>
    </w:p>
    <w:p w:rsidR="00AE5FEB" w:rsidRPr="000A1446" w:rsidRDefault="00372A52" w:rsidP="00C1503A">
      <w:pPr>
        <w:numPr>
          <w:ilvl w:val="1"/>
          <w:numId w:val="4"/>
        </w:numPr>
        <w:tabs>
          <w:tab w:val="left" w:pos="851"/>
        </w:tabs>
        <w:ind w:left="851" w:hanging="491"/>
      </w:pPr>
      <w:bookmarkStart w:id="20" w:name="_Ref358212583"/>
      <w:r w:rsidRPr="000A1446">
        <w:t>Acquisitions that are in the public domain and that the ACCC has determined cannot be pre-assessed undergo a p</w:t>
      </w:r>
      <w:r w:rsidR="00A756E8" w:rsidRPr="000A1446">
        <w:t>ublic merger review</w:t>
      </w:r>
      <w:r w:rsidRPr="000A1446">
        <w:t>. These review</w:t>
      </w:r>
      <w:r w:rsidR="00A756E8" w:rsidRPr="000A1446">
        <w:t xml:space="preserve">s involve </w:t>
      </w:r>
      <w:r w:rsidRPr="000A1446">
        <w:t xml:space="preserve">market </w:t>
      </w:r>
      <w:r w:rsidR="00A756E8" w:rsidRPr="000A1446">
        <w:t xml:space="preserve">consultation with </w:t>
      </w:r>
      <w:r w:rsidRPr="000A1446">
        <w:t xml:space="preserve">interested </w:t>
      </w:r>
      <w:r w:rsidR="00A756E8" w:rsidRPr="000A1446">
        <w:t xml:space="preserve">parties who have information </w:t>
      </w:r>
      <w:r w:rsidRPr="000A1446">
        <w:t xml:space="preserve">that may assist the </w:t>
      </w:r>
      <w:r w:rsidR="00A756E8" w:rsidRPr="000A1446">
        <w:t>ACCC</w:t>
      </w:r>
      <w:r w:rsidRPr="000A1446">
        <w:t>’s assessment</w:t>
      </w:r>
      <w:r w:rsidR="00A756E8" w:rsidRPr="000A1446">
        <w:t xml:space="preserve"> </w:t>
      </w:r>
      <w:r w:rsidR="005231EF" w:rsidRPr="000A1446">
        <w:t>(</w:t>
      </w:r>
      <w:r w:rsidR="00A756E8" w:rsidRPr="000A1446">
        <w:t>or who may be affected by the transaction</w:t>
      </w:r>
      <w:r w:rsidR="005231EF" w:rsidRPr="000A1446">
        <w:t>)</w:t>
      </w:r>
      <w:r w:rsidRPr="000A1446">
        <w:t xml:space="preserve"> as well as further engagement with the merger parties</w:t>
      </w:r>
      <w:r w:rsidR="00A756E8" w:rsidRPr="000A1446">
        <w:t xml:space="preserve">. The ACCC refers to this process as ‘market inquiries’. </w:t>
      </w:r>
      <w:r w:rsidR="00AE5FEB" w:rsidRPr="000A1446">
        <w:t xml:space="preserve">The results of these market inquiries assist the ACCC to decide whether </w:t>
      </w:r>
      <w:r w:rsidR="005231EF" w:rsidRPr="000A1446">
        <w:t xml:space="preserve">to publish </w:t>
      </w:r>
      <w:r w:rsidR="00AE5FEB" w:rsidRPr="000A1446">
        <w:t xml:space="preserve">a </w:t>
      </w:r>
      <w:r w:rsidR="003E0965" w:rsidRPr="000A1446">
        <w:t xml:space="preserve">Statement </w:t>
      </w:r>
      <w:r w:rsidR="00AE5FEB" w:rsidRPr="000A1446">
        <w:t xml:space="preserve">of </w:t>
      </w:r>
      <w:r w:rsidR="003E0965" w:rsidRPr="000A1446">
        <w:t>I</w:t>
      </w:r>
      <w:r w:rsidR="00AE5FEB" w:rsidRPr="000A1446">
        <w:t xml:space="preserve">ssues </w:t>
      </w:r>
      <w:r w:rsidR="003E13EB" w:rsidRPr="000A1446">
        <w:t>(</w:t>
      </w:r>
      <w:r w:rsidR="00AE5FEB" w:rsidRPr="000A1446">
        <w:t>identif</w:t>
      </w:r>
      <w:r w:rsidR="003E13EB" w:rsidRPr="000A1446">
        <w:t>ying</w:t>
      </w:r>
      <w:r w:rsidR="00AE5FEB" w:rsidRPr="000A1446">
        <w:t xml:space="preserve"> its preliminary concerns</w:t>
      </w:r>
      <w:r w:rsidR="003E13EB" w:rsidRPr="000A1446">
        <w:t>) will be issued</w:t>
      </w:r>
      <w:r w:rsidR="003E0965" w:rsidRPr="000A1446">
        <w:t>,</w:t>
      </w:r>
      <w:r w:rsidR="00AE5FEB" w:rsidRPr="000A1446">
        <w:t xml:space="preserve"> and to ultimately reach a decision as to whether or not the transaction is likely to </w:t>
      </w:r>
      <w:r w:rsidR="003E13EB" w:rsidRPr="000A1446">
        <w:t>substantially lessen competition</w:t>
      </w:r>
      <w:r w:rsidR="00AE5FEB" w:rsidRPr="000A1446">
        <w:t>.</w:t>
      </w:r>
      <w:bookmarkEnd w:id="20"/>
    </w:p>
    <w:p w:rsidR="00A756E8" w:rsidRPr="000A1446" w:rsidRDefault="00372A52" w:rsidP="00C1503A">
      <w:pPr>
        <w:numPr>
          <w:ilvl w:val="1"/>
          <w:numId w:val="4"/>
        </w:numPr>
        <w:tabs>
          <w:tab w:val="left" w:pos="851"/>
        </w:tabs>
        <w:ind w:left="851" w:hanging="491"/>
      </w:pPr>
      <w:r w:rsidRPr="000A1446">
        <w:t xml:space="preserve">All </w:t>
      </w:r>
      <w:r w:rsidR="00A756E8" w:rsidRPr="000A1446">
        <w:t xml:space="preserve">public reviews </w:t>
      </w:r>
      <w:r w:rsidR="00C1503A" w:rsidRPr="000A1446">
        <w:t>under consideration</w:t>
      </w:r>
      <w:r w:rsidR="00A756E8" w:rsidRPr="000A1446">
        <w:t xml:space="preserve"> by the ACCC </w:t>
      </w:r>
      <w:r w:rsidRPr="000A1446">
        <w:t>and related information are</w:t>
      </w:r>
      <w:r w:rsidR="00A756E8" w:rsidRPr="000A1446">
        <w:t xml:space="preserve"> recorded on the ACCC’s public register at </w:t>
      </w:r>
      <w:hyperlink r:id="rId23" w:history="1">
        <w:r w:rsidR="00A756E8" w:rsidRPr="000A1446">
          <w:rPr>
            <w:rStyle w:val="Hyperlink"/>
          </w:rPr>
          <w:t>www.accc.gov.au/mergersregister</w:t>
        </w:r>
      </w:hyperlink>
      <w:r w:rsidR="00A756E8" w:rsidRPr="000A1446">
        <w:t>.</w:t>
      </w:r>
      <w:r w:rsidRPr="000A1446">
        <w:t xml:space="preserve"> The outcome</w:t>
      </w:r>
      <w:r w:rsidR="00113354" w:rsidRPr="000A1446">
        <w:t>s</w:t>
      </w:r>
      <w:r w:rsidRPr="000A1446">
        <w:t xml:space="preserve"> of previous reviews are also recorded.</w:t>
      </w:r>
    </w:p>
    <w:p w:rsidR="00372A52" w:rsidRPr="000A1446" w:rsidRDefault="00372A52" w:rsidP="00C1503A">
      <w:pPr>
        <w:numPr>
          <w:ilvl w:val="1"/>
          <w:numId w:val="4"/>
        </w:numPr>
        <w:tabs>
          <w:tab w:val="left" w:pos="851"/>
        </w:tabs>
        <w:ind w:left="851" w:hanging="491"/>
      </w:pPr>
      <w:r w:rsidRPr="000A1446">
        <w:t xml:space="preserve">The ACCC may conduct public merger reviews of </w:t>
      </w:r>
      <w:r w:rsidRPr="000A1446">
        <w:rPr>
          <w:i/>
        </w:rPr>
        <w:t>proposed</w:t>
      </w:r>
      <w:r w:rsidRPr="000A1446">
        <w:t xml:space="preserve"> acquisitions and </w:t>
      </w:r>
      <w:r w:rsidRPr="000A1446">
        <w:rPr>
          <w:i/>
        </w:rPr>
        <w:t>completed</w:t>
      </w:r>
      <w:r w:rsidRPr="000A1446">
        <w:t xml:space="preserve"> acquisitions</w:t>
      </w:r>
      <w:r w:rsidR="00A654A9" w:rsidRPr="000A1446">
        <w:t xml:space="preserve">. However, reflective of the ACCC’s preference that merger parties notify it prior to completion of a transaction, there are some important differences in the approach taken to each which are outlined in section </w:t>
      </w:r>
      <w:r w:rsidR="00254E62" w:rsidRPr="008B6574">
        <w:fldChar w:fldCharType="begin"/>
      </w:r>
      <w:r w:rsidR="00254E62" w:rsidRPr="000A1446">
        <w:instrText xml:space="preserve"> REF _Ref358042217 \r \h </w:instrText>
      </w:r>
      <w:r w:rsidR="000A1446">
        <w:instrText xml:space="preserve"> \* MERGEFORMAT </w:instrText>
      </w:r>
      <w:r w:rsidR="00254E62" w:rsidRPr="008B6574">
        <w:fldChar w:fldCharType="separate"/>
      </w:r>
      <w:r w:rsidR="00A528AE">
        <w:t>2.65</w:t>
      </w:r>
      <w:r w:rsidR="00254E62" w:rsidRPr="008B6574">
        <w:fldChar w:fldCharType="end"/>
      </w:r>
      <w:r w:rsidR="00AE5FEB" w:rsidRPr="000A1446">
        <w:t>.</w:t>
      </w:r>
    </w:p>
    <w:p w:rsidR="00E93AFA" w:rsidRPr="000A1446" w:rsidRDefault="00837FB8" w:rsidP="00B01418">
      <w:pPr>
        <w:pStyle w:val="Heading2"/>
      </w:pPr>
      <w:bookmarkStart w:id="21" w:name="_Toc360012426"/>
      <w:r w:rsidRPr="000A1446">
        <w:t>S</w:t>
      </w:r>
      <w:r w:rsidR="00CD0BCF" w:rsidRPr="000A1446">
        <w:t xml:space="preserve">tages </w:t>
      </w:r>
      <w:r w:rsidR="00E93AFA" w:rsidRPr="000A1446">
        <w:t>of public reviews</w:t>
      </w:r>
      <w:bookmarkEnd w:id="21"/>
    </w:p>
    <w:p w:rsidR="00E93AFA" w:rsidRPr="000A1446" w:rsidRDefault="00E93AFA" w:rsidP="00191D0E">
      <w:pPr>
        <w:numPr>
          <w:ilvl w:val="1"/>
          <w:numId w:val="4"/>
        </w:numPr>
        <w:tabs>
          <w:tab w:val="left" w:pos="851"/>
        </w:tabs>
        <w:ind w:left="851" w:hanging="491"/>
      </w:pPr>
      <w:bookmarkStart w:id="22" w:name="_Ref357431635"/>
      <w:r w:rsidRPr="000A1446">
        <w:t>The ACCC aims to conduct informal merger reviews as expeditiously as possible. The ultimate objective, however, is to reach a properly informed and correct decision.</w:t>
      </w:r>
      <w:bookmarkEnd w:id="22"/>
      <w:r w:rsidRPr="000A1446">
        <w:t xml:space="preserve"> </w:t>
      </w:r>
    </w:p>
    <w:p w:rsidR="00E93AFA" w:rsidRPr="000A1446" w:rsidRDefault="00E93AFA" w:rsidP="00191D0E">
      <w:pPr>
        <w:numPr>
          <w:ilvl w:val="1"/>
          <w:numId w:val="4"/>
        </w:numPr>
        <w:tabs>
          <w:tab w:val="left" w:pos="851"/>
        </w:tabs>
        <w:ind w:left="851" w:hanging="491"/>
      </w:pPr>
      <w:r w:rsidRPr="000A1446">
        <w:t xml:space="preserve">The ACCC considers it is appropriate to be as transparent as possible about the timing of its reviews, both in communications with merger parties and with the public more generally. For this reason, the ACCC publishes an indicative timeline for its public reviews of mergers on the ACCC’s website – </w:t>
      </w:r>
      <w:hyperlink r:id="rId24" w:history="1">
        <w:r w:rsidR="00C1503A" w:rsidRPr="000A1446">
          <w:rPr>
            <w:rStyle w:val="Hyperlink"/>
          </w:rPr>
          <w:t>www.accc.gov.au/mergersregister</w:t>
        </w:r>
      </w:hyperlink>
      <w:r w:rsidRPr="000A1446">
        <w:t xml:space="preserve">. </w:t>
      </w:r>
    </w:p>
    <w:p w:rsidR="00E93AFA" w:rsidRPr="000A1446" w:rsidRDefault="00E93AFA" w:rsidP="00191D0E">
      <w:pPr>
        <w:numPr>
          <w:ilvl w:val="1"/>
          <w:numId w:val="4"/>
        </w:numPr>
        <w:tabs>
          <w:tab w:val="left" w:pos="851"/>
        </w:tabs>
        <w:ind w:left="851" w:hanging="491"/>
      </w:pPr>
      <w:r w:rsidRPr="000A1446">
        <w:t xml:space="preserve">The ACCC’s experience is that there </w:t>
      </w:r>
      <w:r w:rsidR="00C1503A" w:rsidRPr="000A1446">
        <w:t xml:space="preserve">can be </w:t>
      </w:r>
      <w:r w:rsidRPr="000A1446">
        <w:t>significant variation in the duration of merger reviews and this depends on a number of factors, including:</w:t>
      </w:r>
    </w:p>
    <w:p w:rsidR="00E93AFA" w:rsidRPr="000A1446" w:rsidRDefault="00E93AFA" w:rsidP="00191D0E">
      <w:pPr>
        <w:numPr>
          <w:ilvl w:val="2"/>
          <w:numId w:val="4"/>
        </w:numPr>
        <w:tabs>
          <w:tab w:val="left" w:pos="1134"/>
        </w:tabs>
        <w:ind w:left="1134" w:hanging="283"/>
      </w:pPr>
      <w:r w:rsidRPr="000A1446">
        <w:t>The complexity of the matter and the issues involved</w:t>
      </w:r>
    </w:p>
    <w:p w:rsidR="00E93AFA" w:rsidRPr="000A1446" w:rsidRDefault="00E93AFA" w:rsidP="00191D0E">
      <w:pPr>
        <w:numPr>
          <w:ilvl w:val="2"/>
          <w:numId w:val="4"/>
        </w:numPr>
        <w:tabs>
          <w:tab w:val="left" w:pos="1134"/>
        </w:tabs>
        <w:ind w:left="1134" w:hanging="283"/>
      </w:pPr>
      <w:r w:rsidRPr="000A1446">
        <w:t>The sufficiency of information available to the ACCC</w:t>
      </w:r>
    </w:p>
    <w:p w:rsidR="00E93AFA" w:rsidRPr="000A1446" w:rsidRDefault="00E93AFA" w:rsidP="00191D0E">
      <w:pPr>
        <w:numPr>
          <w:ilvl w:val="2"/>
          <w:numId w:val="4"/>
        </w:numPr>
        <w:tabs>
          <w:tab w:val="left" w:pos="1134"/>
        </w:tabs>
        <w:ind w:left="1134" w:hanging="283"/>
      </w:pPr>
      <w:r w:rsidRPr="000A1446">
        <w:t>The responsiveness of merger parties and other information providers in supplying information to the ACCC</w:t>
      </w:r>
    </w:p>
    <w:p w:rsidR="00AE524C" w:rsidRPr="000A1446" w:rsidRDefault="00AE524C" w:rsidP="00191D0E">
      <w:pPr>
        <w:numPr>
          <w:ilvl w:val="2"/>
          <w:numId w:val="4"/>
        </w:numPr>
        <w:tabs>
          <w:tab w:val="left" w:pos="1134"/>
        </w:tabs>
        <w:ind w:left="1134" w:hanging="283"/>
      </w:pPr>
      <w:r w:rsidRPr="000A1446">
        <w:t xml:space="preserve">Whether a </w:t>
      </w:r>
      <w:r w:rsidR="001C428F" w:rsidRPr="000A1446">
        <w:t xml:space="preserve">Statement </w:t>
      </w:r>
      <w:r w:rsidRPr="000A1446">
        <w:t xml:space="preserve">of </w:t>
      </w:r>
      <w:r w:rsidR="00C125C7" w:rsidRPr="000A1446">
        <w:t>I</w:t>
      </w:r>
      <w:r w:rsidRPr="000A1446">
        <w:t>ssues is published</w:t>
      </w:r>
    </w:p>
    <w:p w:rsidR="00E93AFA" w:rsidRPr="000A1446" w:rsidRDefault="00E93AFA" w:rsidP="00191D0E">
      <w:pPr>
        <w:numPr>
          <w:ilvl w:val="2"/>
          <w:numId w:val="4"/>
        </w:numPr>
        <w:tabs>
          <w:tab w:val="left" w:pos="1134"/>
        </w:tabs>
        <w:ind w:left="1134" w:hanging="283"/>
      </w:pPr>
      <w:r w:rsidRPr="000A1446">
        <w:t xml:space="preserve">Whether </w:t>
      </w:r>
      <w:r w:rsidR="00C1503A" w:rsidRPr="000A1446">
        <w:t xml:space="preserve">and at what stage </w:t>
      </w:r>
      <w:r w:rsidRPr="000A1446">
        <w:t>undertakings are proposed by the merger parties</w:t>
      </w:r>
    </w:p>
    <w:p w:rsidR="00E93AFA" w:rsidRPr="000A1446" w:rsidRDefault="00E93AFA" w:rsidP="00191D0E">
      <w:pPr>
        <w:numPr>
          <w:ilvl w:val="2"/>
          <w:numId w:val="4"/>
        </w:numPr>
        <w:tabs>
          <w:tab w:val="left" w:pos="1134"/>
        </w:tabs>
        <w:ind w:left="1134" w:hanging="283"/>
      </w:pPr>
      <w:r w:rsidRPr="000A1446">
        <w:t>Whether overseas competition regulators are also reviewing the merger</w:t>
      </w:r>
    </w:p>
    <w:p w:rsidR="00E93AFA" w:rsidRPr="000A1446" w:rsidRDefault="00E93AFA" w:rsidP="00191D0E">
      <w:pPr>
        <w:numPr>
          <w:ilvl w:val="1"/>
          <w:numId w:val="4"/>
        </w:numPr>
        <w:tabs>
          <w:tab w:val="left" w:pos="851"/>
        </w:tabs>
        <w:ind w:left="851" w:hanging="491"/>
      </w:pPr>
      <w:bookmarkStart w:id="23" w:name="_Ref357431623"/>
      <w:r w:rsidRPr="000A1446">
        <w:t xml:space="preserve">Indicative timelines are </w:t>
      </w:r>
      <w:r w:rsidR="006E6DE7" w:rsidRPr="000A1446">
        <w:t>published</w:t>
      </w:r>
      <w:r w:rsidRPr="000A1446">
        <w:t xml:space="preserve"> </w:t>
      </w:r>
      <w:r w:rsidR="006E6DE7" w:rsidRPr="000A1446">
        <w:t xml:space="preserve">by the ACCC </w:t>
      </w:r>
      <w:r w:rsidRPr="000A1446">
        <w:t>to give the merger parties and the public the best possible guide to the likely timing of an informal merger review.</w:t>
      </w:r>
      <w:r w:rsidR="006E6DE7" w:rsidRPr="000A1446">
        <w:t xml:space="preserve"> </w:t>
      </w:r>
      <w:r w:rsidRPr="000A1446">
        <w:t>However, these timelines are subject to review and amendment where circumstances require</w:t>
      </w:r>
      <w:r w:rsidR="00C1503A" w:rsidRPr="000A1446">
        <w:t>,</w:t>
      </w:r>
      <w:r w:rsidR="00AE524C" w:rsidRPr="000A1446">
        <w:t xml:space="preserve"> such as when a </w:t>
      </w:r>
      <w:r w:rsidR="00C125C7" w:rsidRPr="000A1446">
        <w:t xml:space="preserve">Statement </w:t>
      </w:r>
      <w:r w:rsidR="00AE524C" w:rsidRPr="000A1446">
        <w:t xml:space="preserve">of </w:t>
      </w:r>
      <w:r w:rsidR="00C125C7" w:rsidRPr="000A1446">
        <w:t xml:space="preserve">Issues </w:t>
      </w:r>
      <w:r w:rsidR="00AE524C" w:rsidRPr="000A1446">
        <w:t>is published</w:t>
      </w:r>
      <w:r w:rsidRPr="000A1446">
        <w:t>.</w:t>
      </w:r>
      <w:bookmarkEnd w:id="23"/>
      <w:r w:rsidR="006E6DE7" w:rsidRPr="000A1446">
        <w:t xml:space="preserve"> </w:t>
      </w:r>
      <w:r w:rsidR="004D26DC" w:rsidRPr="000A1446">
        <w:t xml:space="preserve">Therefore the timelines </w:t>
      </w:r>
      <w:r w:rsidR="00AA3BBA" w:rsidRPr="000A1446">
        <w:t xml:space="preserve">will </w:t>
      </w:r>
      <w:r w:rsidR="004D26DC" w:rsidRPr="000A1446">
        <w:t xml:space="preserve">record any </w:t>
      </w:r>
      <w:r w:rsidR="00C1503A" w:rsidRPr="000A1446">
        <w:t xml:space="preserve">changes </w:t>
      </w:r>
      <w:r w:rsidR="004D26DC" w:rsidRPr="000A1446">
        <w:t>and the reasons for these.</w:t>
      </w:r>
    </w:p>
    <w:p w:rsidR="001412A9" w:rsidRPr="000A1446" w:rsidRDefault="008D1A07" w:rsidP="00F00A75">
      <w:pPr>
        <w:numPr>
          <w:ilvl w:val="1"/>
          <w:numId w:val="4"/>
        </w:numPr>
        <w:tabs>
          <w:tab w:val="left" w:pos="851"/>
        </w:tabs>
        <w:ind w:left="851" w:hanging="491"/>
      </w:pPr>
      <w:r w:rsidRPr="000A1446">
        <w:fldChar w:fldCharType="begin"/>
      </w:r>
      <w:r w:rsidRPr="000A1446">
        <w:instrText xml:space="preserve"> REF _Ref357434703 \h </w:instrText>
      </w:r>
      <w:r w:rsidR="000A1446">
        <w:instrText xml:space="preserve"> \* MERGEFORMAT </w:instrText>
      </w:r>
      <w:r w:rsidRPr="000A1446">
        <w:fldChar w:fldCharType="separate"/>
      </w:r>
      <w:r w:rsidR="00A528AE" w:rsidRPr="000A1446">
        <w:t xml:space="preserve">Table </w:t>
      </w:r>
      <w:r w:rsidR="00A528AE">
        <w:rPr>
          <w:noProof/>
        </w:rPr>
        <w:t>1</w:t>
      </w:r>
      <w:r w:rsidRPr="000A1446">
        <w:fldChar w:fldCharType="end"/>
      </w:r>
      <w:r w:rsidR="00E93AFA" w:rsidRPr="000A1446">
        <w:t xml:space="preserve">, below, sets out the main stages that </w:t>
      </w:r>
      <w:r w:rsidR="003E1C21" w:rsidRPr="000A1446">
        <w:t xml:space="preserve">may </w:t>
      </w:r>
      <w:r w:rsidR="00E93AFA" w:rsidRPr="000A1446">
        <w:t xml:space="preserve">be part of an informal </w:t>
      </w:r>
      <w:r w:rsidR="00C1503A" w:rsidRPr="000A1446">
        <w:t xml:space="preserve">public </w:t>
      </w:r>
      <w:r w:rsidR="00E93AFA" w:rsidRPr="000A1446">
        <w:t>merger review. Not all reviews will include all stages and the need for each stage will be assessed on a case-by-case basis.</w:t>
      </w:r>
      <w:r w:rsidR="001412A9" w:rsidRPr="000A1446">
        <w:t xml:space="preserve"> </w:t>
      </w:r>
      <w:r w:rsidR="00C125C7" w:rsidRPr="000A1446">
        <w:t xml:space="preserve">Therefore, the information set out below should be used only as a guide to the </w:t>
      </w:r>
      <w:r w:rsidR="00C1503A" w:rsidRPr="000A1446">
        <w:t>possible stages in an</w:t>
      </w:r>
      <w:r w:rsidR="00C125C7" w:rsidRPr="000A1446">
        <w:t xml:space="preserve"> informal merger review.</w:t>
      </w:r>
      <w:r w:rsidR="002B6B79" w:rsidRPr="000A1446">
        <w:t xml:space="preserve"> Further details </w:t>
      </w:r>
      <w:r w:rsidR="00C1503A" w:rsidRPr="000A1446">
        <w:t xml:space="preserve">on </w:t>
      </w:r>
      <w:r w:rsidR="002B6B79" w:rsidRPr="000A1446">
        <w:t xml:space="preserve">these stages are provided from paragraph </w:t>
      </w:r>
      <w:r w:rsidR="002B6B79" w:rsidRPr="000A1446">
        <w:fldChar w:fldCharType="begin"/>
      </w:r>
      <w:r w:rsidR="002B6B79" w:rsidRPr="000A1446">
        <w:instrText xml:space="preserve"> REF _Ref358305746 \r \h </w:instrText>
      </w:r>
      <w:r w:rsidR="000A1446">
        <w:instrText xml:space="preserve"> \* MERGEFORMAT </w:instrText>
      </w:r>
      <w:r w:rsidR="002B6B79" w:rsidRPr="000A1446">
        <w:fldChar w:fldCharType="separate"/>
      </w:r>
      <w:r w:rsidR="00A528AE">
        <w:t>2.33</w:t>
      </w:r>
      <w:r w:rsidR="002B6B79" w:rsidRPr="000A1446">
        <w:fldChar w:fldCharType="end"/>
      </w:r>
      <w:r w:rsidR="002B6B79" w:rsidRPr="000A1446">
        <w:t>.</w:t>
      </w:r>
    </w:p>
    <w:p w:rsidR="009C427F" w:rsidRPr="000A1446" w:rsidRDefault="009C427F" w:rsidP="00F00A75">
      <w:pPr>
        <w:numPr>
          <w:ilvl w:val="1"/>
          <w:numId w:val="4"/>
        </w:numPr>
        <w:tabs>
          <w:tab w:val="left" w:pos="851"/>
        </w:tabs>
        <w:ind w:left="851" w:hanging="491"/>
      </w:pPr>
      <w:r w:rsidRPr="000A1446">
        <w:t xml:space="preserve">The ACCC’s mergers register for each merger will generally set out the stages of the review </w:t>
      </w:r>
      <w:r w:rsidR="00284D80" w:rsidRPr="000A1446">
        <w:t xml:space="preserve">from the first column Table 1 </w:t>
      </w:r>
      <w:r w:rsidRPr="000A1446">
        <w:t>that are applicable to that particular review.</w:t>
      </w:r>
    </w:p>
    <w:p w:rsidR="00C1503A" w:rsidRPr="000A1446" w:rsidRDefault="00C1503A" w:rsidP="00F00A75">
      <w:pPr>
        <w:numPr>
          <w:ilvl w:val="1"/>
          <w:numId w:val="4"/>
        </w:numPr>
        <w:tabs>
          <w:tab w:val="left" w:pos="851"/>
        </w:tabs>
        <w:ind w:left="851" w:hanging="491"/>
      </w:pPr>
      <w:r w:rsidRPr="000A1446">
        <w:t>For convenience, Table 1 is separated into 2 parts:</w:t>
      </w:r>
    </w:p>
    <w:p w:rsidR="00C1503A" w:rsidRPr="000A1446" w:rsidRDefault="00D2066B" w:rsidP="000262D5">
      <w:pPr>
        <w:numPr>
          <w:ilvl w:val="0"/>
          <w:numId w:val="39"/>
        </w:numPr>
        <w:tabs>
          <w:tab w:val="left" w:pos="851"/>
        </w:tabs>
      </w:pPr>
      <w:r w:rsidRPr="000A1446">
        <w:t>The stages leading up to the release of a Statement of Issues or a final decision (where a Statement of Issues is not published).</w:t>
      </w:r>
    </w:p>
    <w:p w:rsidR="00D2066B" w:rsidRPr="000A1446" w:rsidRDefault="00D2066B" w:rsidP="000262D5">
      <w:pPr>
        <w:numPr>
          <w:ilvl w:val="0"/>
          <w:numId w:val="39"/>
        </w:numPr>
        <w:tabs>
          <w:tab w:val="left" w:pos="851"/>
        </w:tabs>
      </w:pPr>
      <w:r w:rsidRPr="000A1446">
        <w:t>The stages following the release of a Statement of Issues up to the final decision.</w:t>
      </w:r>
    </w:p>
    <w:p w:rsidR="008D1A07" w:rsidRPr="000A1446" w:rsidRDefault="008D1A07" w:rsidP="002B6B79">
      <w:pPr>
        <w:pStyle w:val="Caption"/>
        <w:keepNext/>
      </w:pPr>
      <w:bookmarkStart w:id="24" w:name="_Ref357434703"/>
      <w:bookmarkStart w:id="25" w:name="_Ref357434695"/>
      <w:r w:rsidRPr="000A1446">
        <w:t xml:space="preserve">Table </w:t>
      </w:r>
      <w:r w:rsidR="00077BBF" w:rsidRPr="00610FDB">
        <w:fldChar w:fldCharType="begin"/>
      </w:r>
      <w:r w:rsidR="00077BBF" w:rsidRPr="000A1446">
        <w:instrText xml:space="preserve"> SEQ Table \* ARABIC </w:instrText>
      </w:r>
      <w:r w:rsidR="00077BBF" w:rsidRPr="00610FDB">
        <w:fldChar w:fldCharType="separate"/>
      </w:r>
      <w:r w:rsidR="00A528AE">
        <w:rPr>
          <w:noProof/>
        </w:rPr>
        <w:t>1</w:t>
      </w:r>
      <w:r w:rsidR="00077BBF" w:rsidRPr="00610FDB">
        <w:rPr>
          <w:noProof/>
        </w:rPr>
        <w:fldChar w:fldCharType="end"/>
      </w:r>
      <w:bookmarkEnd w:id="24"/>
      <w:r w:rsidRPr="000A1446">
        <w:t xml:space="preserve"> - overview of possible stages of a public informal merger review</w:t>
      </w:r>
      <w:bookmarkEnd w:id="25"/>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3544"/>
        <w:gridCol w:w="2551"/>
      </w:tblGrid>
      <w:tr w:rsidR="00E93AFA" w:rsidRPr="000A1446" w:rsidTr="000262D5">
        <w:trPr>
          <w:tblHeader/>
        </w:trPr>
        <w:tc>
          <w:tcPr>
            <w:tcW w:w="2725" w:type="dxa"/>
            <w:shd w:val="clear" w:color="auto" w:fill="000000" w:themeFill="text1"/>
          </w:tcPr>
          <w:p w:rsidR="00E93AFA" w:rsidRPr="000A1446" w:rsidRDefault="00E93AFA" w:rsidP="00E93AFA">
            <w:pPr>
              <w:tabs>
                <w:tab w:val="left" w:pos="851"/>
              </w:tabs>
              <w:spacing w:after="0"/>
              <w:rPr>
                <w:b/>
                <w:sz w:val="20"/>
              </w:rPr>
            </w:pPr>
            <w:r w:rsidRPr="000A1446">
              <w:rPr>
                <w:b/>
                <w:sz w:val="20"/>
              </w:rPr>
              <w:t>Review stage</w:t>
            </w:r>
          </w:p>
        </w:tc>
        <w:tc>
          <w:tcPr>
            <w:tcW w:w="3544" w:type="dxa"/>
            <w:shd w:val="clear" w:color="auto" w:fill="000000" w:themeFill="text1"/>
          </w:tcPr>
          <w:p w:rsidR="00E93AFA" w:rsidRPr="000A1446" w:rsidRDefault="00E93AFA" w:rsidP="00E93AFA">
            <w:pPr>
              <w:tabs>
                <w:tab w:val="left" w:pos="851"/>
              </w:tabs>
              <w:rPr>
                <w:b/>
                <w:sz w:val="20"/>
              </w:rPr>
            </w:pPr>
            <w:r w:rsidRPr="000A1446">
              <w:rPr>
                <w:b/>
                <w:sz w:val="20"/>
              </w:rPr>
              <w:t>Description</w:t>
            </w:r>
          </w:p>
        </w:tc>
        <w:tc>
          <w:tcPr>
            <w:tcW w:w="2551" w:type="dxa"/>
            <w:shd w:val="clear" w:color="auto" w:fill="000000" w:themeFill="text1"/>
          </w:tcPr>
          <w:p w:rsidR="00E93AFA" w:rsidRPr="000A1446" w:rsidRDefault="00E93AFA" w:rsidP="00E93AFA">
            <w:pPr>
              <w:tabs>
                <w:tab w:val="left" w:pos="851"/>
              </w:tabs>
              <w:rPr>
                <w:b/>
                <w:sz w:val="20"/>
              </w:rPr>
            </w:pPr>
            <w:r w:rsidRPr="000A1446">
              <w:rPr>
                <w:b/>
                <w:sz w:val="20"/>
              </w:rPr>
              <w:t>Approximate duration</w:t>
            </w:r>
          </w:p>
        </w:tc>
      </w:tr>
      <w:tr w:rsidR="009770E4" w:rsidRPr="000A1446" w:rsidTr="000262D5">
        <w:tc>
          <w:tcPr>
            <w:tcW w:w="8820" w:type="dxa"/>
            <w:gridSpan w:val="3"/>
            <w:shd w:val="clear" w:color="auto" w:fill="A6A6A6" w:themeFill="background1" w:themeFillShade="A6"/>
          </w:tcPr>
          <w:p w:rsidR="009770E4" w:rsidRPr="000A1446" w:rsidRDefault="009770E4" w:rsidP="000262D5">
            <w:pPr>
              <w:tabs>
                <w:tab w:val="left" w:pos="851"/>
              </w:tabs>
              <w:spacing w:before="120" w:after="120"/>
              <w:jc w:val="center"/>
              <w:rPr>
                <w:b/>
                <w:sz w:val="20"/>
              </w:rPr>
            </w:pPr>
            <w:r w:rsidRPr="000A1446">
              <w:rPr>
                <w:b/>
                <w:sz w:val="20"/>
              </w:rPr>
              <w:t>Stages up to the release of a Statement of Issues or a final decision</w:t>
            </w:r>
          </w:p>
        </w:tc>
      </w:tr>
      <w:tr w:rsidR="00E93AFA" w:rsidRPr="000A1446" w:rsidTr="00E93AFA">
        <w:tc>
          <w:tcPr>
            <w:tcW w:w="2725" w:type="dxa"/>
          </w:tcPr>
          <w:p w:rsidR="00E93AFA" w:rsidRPr="000A1446" w:rsidRDefault="00E93AFA" w:rsidP="00E93AFA">
            <w:pPr>
              <w:tabs>
                <w:tab w:val="left" w:pos="851"/>
              </w:tabs>
              <w:rPr>
                <w:sz w:val="20"/>
              </w:rPr>
            </w:pPr>
            <w:r w:rsidRPr="000A1446">
              <w:rPr>
                <w:sz w:val="20"/>
              </w:rPr>
              <w:t>Setting of indicative timeline</w:t>
            </w:r>
          </w:p>
        </w:tc>
        <w:tc>
          <w:tcPr>
            <w:tcW w:w="3544" w:type="dxa"/>
          </w:tcPr>
          <w:p w:rsidR="00E93AFA" w:rsidRPr="000A1446" w:rsidRDefault="00E93AFA" w:rsidP="00D2066B">
            <w:pPr>
              <w:tabs>
                <w:tab w:val="left" w:pos="851"/>
              </w:tabs>
              <w:rPr>
                <w:sz w:val="20"/>
              </w:rPr>
            </w:pPr>
            <w:r w:rsidRPr="000A1446">
              <w:rPr>
                <w:sz w:val="20"/>
              </w:rPr>
              <w:t xml:space="preserve">An indicative timeline will </w:t>
            </w:r>
            <w:r w:rsidR="00D2066B" w:rsidRPr="000A1446">
              <w:rPr>
                <w:sz w:val="20"/>
              </w:rPr>
              <w:t>be placed on the mergers register. I</w:t>
            </w:r>
            <w:r w:rsidRPr="000A1446">
              <w:rPr>
                <w:sz w:val="20"/>
              </w:rPr>
              <w:t>nitially</w:t>
            </w:r>
            <w:r w:rsidR="00D2066B" w:rsidRPr="000A1446">
              <w:rPr>
                <w:sz w:val="20"/>
              </w:rPr>
              <w:t>, this will</w:t>
            </w:r>
            <w:r w:rsidRPr="000A1446">
              <w:rPr>
                <w:sz w:val="20"/>
              </w:rPr>
              <w:t xml:space="preserve"> include a period for market inquiries and a provisional decision date</w:t>
            </w:r>
            <w:r w:rsidR="00B55D32" w:rsidRPr="000A1446">
              <w:rPr>
                <w:sz w:val="20"/>
              </w:rPr>
              <w:t xml:space="preserve"> for the announcement of the ACCC’s findings</w:t>
            </w:r>
            <w:r w:rsidRPr="000A1446">
              <w:rPr>
                <w:sz w:val="20"/>
              </w:rPr>
              <w:t xml:space="preserve"> (which can be either a final decision or publishing of a Statement of Issues).</w:t>
            </w:r>
          </w:p>
        </w:tc>
        <w:tc>
          <w:tcPr>
            <w:tcW w:w="2551" w:type="dxa"/>
          </w:tcPr>
          <w:p w:rsidR="00E93AFA" w:rsidRPr="00610FDB" w:rsidRDefault="00E93AFA" w:rsidP="00E93AFA">
            <w:pPr>
              <w:tabs>
                <w:tab w:val="left" w:pos="851"/>
              </w:tabs>
              <w:rPr>
                <w:sz w:val="20"/>
              </w:rPr>
            </w:pPr>
          </w:p>
        </w:tc>
      </w:tr>
      <w:tr w:rsidR="00E93AFA" w:rsidRPr="000A1446" w:rsidTr="00E93AFA">
        <w:tc>
          <w:tcPr>
            <w:tcW w:w="2725" w:type="dxa"/>
          </w:tcPr>
          <w:p w:rsidR="00E93AFA" w:rsidRPr="000A1446" w:rsidRDefault="00E93AFA" w:rsidP="00E93AFA">
            <w:pPr>
              <w:tabs>
                <w:tab w:val="left" w:pos="851"/>
              </w:tabs>
              <w:rPr>
                <w:sz w:val="20"/>
              </w:rPr>
            </w:pPr>
            <w:r w:rsidRPr="000A1446">
              <w:rPr>
                <w:sz w:val="20"/>
              </w:rPr>
              <w:t>Initial market inquiries</w:t>
            </w:r>
          </w:p>
        </w:tc>
        <w:tc>
          <w:tcPr>
            <w:tcW w:w="3544" w:type="dxa"/>
          </w:tcPr>
          <w:p w:rsidR="00E93AFA" w:rsidRPr="000A1446" w:rsidRDefault="00E93AFA" w:rsidP="00E93AFA">
            <w:pPr>
              <w:tabs>
                <w:tab w:val="left" w:pos="851"/>
              </w:tabs>
              <w:rPr>
                <w:sz w:val="20"/>
              </w:rPr>
            </w:pPr>
            <w:r w:rsidRPr="000A1446">
              <w:rPr>
                <w:sz w:val="20"/>
              </w:rPr>
              <w:t xml:space="preserve">This is the first opportunity the ACCC will have to collect information from market participants regarding the proposed merger and </w:t>
            </w:r>
            <w:r w:rsidR="007F54ED" w:rsidRPr="000A1446">
              <w:rPr>
                <w:sz w:val="20"/>
              </w:rPr>
              <w:t xml:space="preserve">identify </w:t>
            </w:r>
            <w:r w:rsidRPr="000A1446">
              <w:rPr>
                <w:sz w:val="20"/>
              </w:rPr>
              <w:t>the markets that will potentially be affected.</w:t>
            </w:r>
          </w:p>
          <w:p w:rsidR="00782BB3" w:rsidRPr="000A1446" w:rsidRDefault="00782BB3">
            <w:pPr>
              <w:tabs>
                <w:tab w:val="left" w:pos="851"/>
              </w:tabs>
              <w:rPr>
                <w:sz w:val="20"/>
              </w:rPr>
            </w:pPr>
            <w:r w:rsidRPr="000A1446">
              <w:rPr>
                <w:sz w:val="20"/>
              </w:rPr>
              <w:t xml:space="preserve">The ACCC will usually </w:t>
            </w:r>
            <w:r w:rsidR="003E1C21" w:rsidRPr="000A1446">
              <w:rPr>
                <w:sz w:val="20"/>
              </w:rPr>
              <w:t xml:space="preserve">contact interested parties and </w:t>
            </w:r>
            <w:r w:rsidRPr="000A1446">
              <w:rPr>
                <w:sz w:val="20"/>
              </w:rPr>
              <w:t>place a letter on the mergers register which sets out details of the transaction, the parties involved</w:t>
            </w:r>
            <w:r w:rsidR="008B6574">
              <w:rPr>
                <w:sz w:val="20"/>
              </w:rPr>
              <w:t>,</w:t>
            </w:r>
            <w:r w:rsidRPr="000A1446">
              <w:rPr>
                <w:sz w:val="20"/>
              </w:rPr>
              <w:t xml:space="preserve"> the issues on which the ACCC is seeking information</w:t>
            </w:r>
            <w:r w:rsidR="008B6574">
              <w:rPr>
                <w:sz w:val="20"/>
              </w:rPr>
              <w:t xml:space="preserve"> and relevant ACCC contact details</w:t>
            </w:r>
            <w:r w:rsidRPr="000A1446">
              <w:rPr>
                <w:sz w:val="20"/>
              </w:rPr>
              <w:t>.</w:t>
            </w:r>
          </w:p>
        </w:tc>
        <w:tc>
          <w:tcPr>
            <w:tcW w:w="2551" w:type="dxa"/>
          </w:tcPr>
          <w:p w:rsidR="00E93AFA" w:rsidRPr="000A1446" w:rsidRDefault="00C54A95" w:rsidP="00E93AFA">
            <w:pPr>
              <w:tabs>
                <w:tab w:val="left" w:pos="851"/>
              </w:tabs>
              <w:rPr>
                <w:sz w:val="20"/>
              </w:rPr>
            </w:pPr>
            <w:r w:rsidRPr="00610FDB">
              <w:rPr>
                <w:sz w:val="20"/>
              </w:rPr>
              <w:t>2-</w:t>
            </w:r>
            <w:r w:rsidR="007C5000" w:rsidRPr="00610FDB">
              <w:rPr>
                <w:sz w:val="20"/>
              </w:rPr>
              <w:t xml:space="preserve">5 </w:t>
            </w:r>
            <w:r w:rsidRPr="00610FDB">
              <w:rPr>
                <w:sz w:val="20"/>
              </w:rPr>
              <w:t>weeks</w:t>
            </w:r>
            <w:r w:rsidR="008C7B24" w:rsidRPr="000A1446">
              <w:rPr>
                <w:sz w:val="20"/>
              </w:rPr>
              <w:t xml:space="preserve"> from commencement of a review.</w:t>
            </w:r>
          </w:p>
          <w:p w:rsidR="00E93AFA" w:rsidRPr="000A1446" w:rsidRDefault="00E93AFA" w:rsidP="00E93AFA">
            <w:pPr>
              <w:tabs>
                <w:tab w:val="left" w:pos="851"/>
              </w:tabs>
              <w:rPr>
                <w:sz w:val="20"/>
              </w:rPr>
            </w:pPr>
          </w:p>
        </w:tc>
      </w:tr>
      <w:tr w:rsidR="00E93AFA" w:rsidRPr="000A1446" w:rsidTr="00E93AFA">
        <w:tc>
          <w:tcPr>
            <w:tcW w:w="2725" w:type="dxa"/>
          </w:tcPr>
          <w:p w:rsidR="00E93AFA" w:rsidRPr="000A1446" w:rsidRDefault="00E93AFA" w:rsidP="00E93AFA">
            <w:pPr>
              <w:tabs>
                <w:tab w:val="left" w:pos="851"/>
              </w:tabs>
              <w:rPr>
                <w:sz w:val="20"/>
              </w:rPr>
            </w:pPr>
            <w:r w:rsidRPr="000A1446">
              <w:rPr>
                <w:sz w:val="20"/>
              </w:rPr>
              <w:t xml:space="preserve">ACCC assessment of information provided during market inquiries and consultation with merger parties on any </w:t>
            </w:r>
            <w:r w:rsidR="003E1C21" w:rsidRPr="000A1446">
              <w:rPr>
                <w:sz w:val="20"/>
              </w:rPr>
              <w:t xml:space="preserve">relevant </w:t>
            </w:r>
            <w:r w:rsidRPr="000A1446">
              <w:rPr>
                <w:sz w:val="20"/>
              </w:rPr>
              <w:t>issues or concerns arising</w:t>
            </w:r>
          </w:p>
        </w:tc>
        <w:tc>
          <w:tcPr>
            <w:tcW w:w="3544" w:type="dxa"/>
          </w:tcPr>
          <w:p w:rsidR="00E93AFA" w:rsidRPr="000A1446" w:rsidRDefault="00E93AFA" w:rsidP="00B55D32">
            <w:pPr>
              <w:tabs>
                <w:tab w:val="left" w:pos="851"/>
              </w:tabs>
              <w:rPr>
                <w:sz w:val="20"/>
              </w:rPr>
            </w:pPr>
            <w:r w:rsidRPr="000A1446">
              <w:rPr>
                <w:sz w:val="20"/>
              </w:rPr>
              <w:t xml:space="preserve">The ACCC will ordinarily need to undertake a period of assessment of the information it has gathered during market inquiries. This will generally also involve outlining in writing to the merger parties the issues arising from market inquiries. </w:t>
            </w:r>
          </w:p>
        </w:tc>
        <w:tc>
          <w:tcPr>
            <w:tcW w:w="2551" w:type="dxa"/>
          </w:tcPr>
          <w:p w:rsidR="00E93AFA" w:rsidRPr="000A1446" w:rsidRDefault="00E93AFA" w:rsidP="00BF026C">
            <w:pPr>
              <w:tabs>
                <w:tab w:val="left" w:pos="851"/>
              </w:tabs>
              <w:rPr>
                <w:sz w:val="20"/>
              </w:rPr>
            </w:pPr>
            <w:r w:rsidRPr="000A1446">
              <w:rPr>
                <w:sz w:val="20"/>
              </w:rPr>
              <w:t>Approximately 2-</w:t>
            </w:r>
            <w:r w:rsidR="00C54A95" w:rsidRPr="00610FDB">
              <w:rPr>
                <w:sz w:val="20"/>
              </w:rPr>
              <w:t>4</w:t>
            </w:r>
            <w:r w:rsidRPr="00610FDB">
              <w:rPr>
                <w:sz w:val="20"/>
              </w:rPr>
              <w:t xml:space="preserve"> weeks</w:t>
            </w:r>
            <w:r w:rsidRPr="000A1446">
              <w:rPr>
                <w:sz w:val="20"/>
              </w:rPr>
              <w:t xml:space="preserve"> </w:t>
            </w:r>
            <w:r w:rsidR="008C7B24" w:rsidRPr="000A1446">
              <w:rPr>
                <w:sz w:val="20"/>
              </w:rPr>
              <w:t xml:space="preserve">from close of market inquiries period </w:t>
            </w:r>
            <w:r w:rsidRPr="000A1446">
              <w:rPr>
                <w:sz w:val="20"/>
              </w:rPr>
              <w:t xml:space="preserve">but potentially longer if merger parties request </w:t>
            </w:r>
            <w:r w:rsidR="00BF026C" w:rsidRPr="000A1446">
              <w:rPr>
                <w:sz w:val="20"/>
              </w:rPr>
              <w:t>additional time</w:t>
            </w:r>
            <w:r w:rsidRPr="000A1446">
              <w:rPr>
                <w:sz w:val="20"/>
              </w:rPr>
              <w:t xml:space="preserve"> to respond to the issues raised in market inquiries.</w:t>
            </w:r>
          </w:p>
        </w:tc>
      </w:tr>
      <w:tr w:rsidR="00A21991" w:rsidRPr="000A1446" w:rsidTr="00E93AFA">
        <w:tc>
          <w:tcPr>
            <w:tcW w:w="2725" w:type="dxa"/>
          </w:tcPr>
          <w:p w:rsidR="00A21991" w:rsidRPr="000A1446" w:rsidRDefault="00A21991" w:rsidP="00E93AFA">
            <w:pPr>
              <w:tabs>
                <w:tab w:val="left" w:pos="851"/>
              </w:tabs>
              <w:rPr>
                <w:sz w:val="20"/>
              </w:rPr>
            </w:pPr>
            <w:r w:rsidRPr="000A1446">
              <w:rPr>
                <w:sz w:val="20"/>
              </w:rPr>
              <w:t>ACCC announcement of findings</w:t>
            </w:r>
          </w:p>
        </w:tc>
        <w:tc>
          <w:tcPr>
            <w:tcW w:w="3544" w:type="dxa"/>
          </w:tcPr>
          <w:p w:rsidR="00A21991" w:rsidRPr="000A1446" w:rsidRDefault="00A21991" w:rsidP="00E93AFA">
            <w:pPr>
              <w:tabs>
                <w:tab w:val="left" w:pos="851"/>
              </w:tabs>
              <w:rPr>
                <w:sz w:val="20"/>
              </w:rPr>
            </w:pPr>
            <w:r w:rsidRPr="000A1446">
              <w:rPr>
                <w:sz w:val="20"/>
              </w:rPr>
              <w:t>At this point of the review, the ACCC may release a Statement of Issues or announce a final decision.</w:t>
            </w:r>
          </w:p>
          <w:p w:rsidR="00A21991" w:rsidRPr="000A1446" w:rsidRDefault="00A21991">
            <w:pPr>
              <w:tabs>
                <w:tab w:val="left" w:pos="851"/>
              </w:tabs>
              <w:rPr>
                <w:sz w:val="20"/>
              </w:rPr>
            </w:pPr>
            <w:r w:rsidRPr="000A1446">
              <w:rPr>
                <w:sz w:val="20"/>
              </w:rPr>
              <w:t xml:space="preserve">In the majority of reviews, the ACCC’s final decision is to not oppose the merger without the release of a Statement of Issues. </w:t>
            </w:r>
          </w:p>
        </w:tc>
        <w:tc>
          <w:tcPr>
            <w:tcW w:w="2551" w:type="dxa"/>
          </w:tcPr>
          <w:p w:rsidR="00A21991" w:rsidRPr="000A1446" w:rsidRDefault="00837FB8">
            <w:pPr>
              <w:tabs>
                <w:tab w:val="left" w:pos="851"/>
              </w:tabs>
              <w:rPr>
                <w:sz w:val="20"/>
              </w:rPr>
            </w:pPr>
            <w:r w:rsidRPr="000A1446">
              <w:rPr>
                <w:sz w:val="20"/>
              </w:rPr>
              <w:t xml:space="preserve">The duration of </w:t>
            </w:r>
            <w:r w:rsidR="008B6574">
              <w:rPr>
                <w:sz w:val="20"/>
              </w:rPr>
              <w:t>reviews</w:t>
            </w:r>
            <w:r w:rsidR="008B6574" w:rsidRPr="000A1446">
              <w:rPr>
                <w:sz w:val="20"/>
              </w:rPr>
              <w:t xml:space="preserve"> </w:t>
            </w:r>
            <w:r w:rsidRPr="000A1446">
              <w:rPr>
                <w:sz w:val="20"/>
              </w:rPr>
              <w:t>in which a Statement of Issues is issued tends to be longer.</w:t>
            </w:r>
          </w:p>
        </w:tc>
      </w:tr>
      <w:tr w:rsidR="009A27D0" w:rsidRPr="000A1446" w:rsidTr="000262D5">
        <w:tc>
          <w:tcPr>
            <w:tcW w:w="6269" w:type="dxa"/>
            <w:gridSpan w:val="2"/>
            <w:shd w:val="clear" w:color="auto" w:fill="D9D9D9" w:themeFill="background1" w:themeFillShade="D9"/>
          </w:tcPr>
          <w:p w:rsidR="009A27D0" w:rsidRPr="000A1446" w:rsidRDefault="009A27D0" w:rsidP="000262D5">
            <w:pPr>
              <w:tabs>
                <w:tab w:val="left" w:pos="851"/>
              </w:tabs>
              <w:spacing w:before="120" w:after="120"/>
              <w:rPr>
                <w:i/>
                <w:sz w:val="20"/>
              </w:rPr>
            </w:pPr>
            <w:r w:rsidRPr="000A1446">
              <w:rPr>
                <w:i/>
                <w:sz w:val="20"/>
              </w:rPr>
              <w:t>Approximate length of review up to Statement of Issues</w:t>
            </w:r>
            <w:r w:rsidR="00A21991" w:rsidRPr="000A1446">
              <w:rPr>
                <w:i/>
                <w:sz w:val="20"/>
              </w:rPr>
              <w:t xml:space="preserve"> or announcement of findings without a Statement of Issues:</w:t>
            </w:r>
            <w:r w:rsidRPr="000A1446">
              <w:rPr>
                <w:i/>
                <w:sz w:val="20"/>
              </w:rPr>
              <w:t xml:space="preserve"> </w:t>
            </w:r>
          </w:p>
        </w:tc>
        <w:tc>
          <w:tcPr>
            <w:tcW w:w="2551" w:type="dxa"/>
            <w:shd w:val="clear" w:color="auto" w:fill="D9D9D9" w:themeFill="background1" w:themeFillShade="D9"/>
          </w:tcPr>
          <w:p w:rsidR="002101C2" w:rsidRPr="000A1446" w:rsidRDefault="009A27D0" w:rsidP="000262D5">
            <w:pPr>
              <w:tabs>
                <w:tab w:val="left" w:pos="851"/>
              </w:tabs>
              <w:spacing w:before="120" w:after="120"/>
              <w:jc w:val="center"/>
              <w:rPr>
                <w:i/>
                <w:sz w:val="20"/>
              </w:rPr>
            </w:pPr>
            <w:r w:rsidRPr="000A1446">
              <w:rPr>
                <w:i/>
                <w:sz w:val="20"/>
              </w:rPr>
              <w:t>6-12 weeks</w:t>
            </w:r>
          </w:p>
          <w:p w:rsidR="009A27D0" w:rsidRPr="000A1446" w:rsidRDefault="002101C2" w:rsidP="000262D5">
            <w:pPr>
              <w:tabs>
                <w:tab w:val="left" w:pos="851"/>
              </w:tabs>
              <w:spacing w:before="120" w:after="120"/>
              <w:jc w:val="center"/>
              <w:rPr>
                <w:i/>
                <w:sz w:val="20"/>
              </w:rPr>
            </w:pPr>
            <w:r w:rsidRPr="000A1446">
              <w:rPr>
                <w:i/>
                <w:sz w:val="20"/>
              </w:rPr>
              <w:t xml:space="preserve"> </w:t>
            </w:r>
          </w:p>
        </w:tc>
      </w:tr>
      <w:tr w:rsidR="009A27D0" w:rsidRPr="000A1446" w:rsidTr="000262D5">
        <w:tc>
          <w:tcPr>
            <w:tcW w:w="8820" w:type="dxa"/>
            <w:gridSpan w:val="3"/>
            <w:shd w:val="clear" w:color="auto" w:fill="A6A6A6" w:themeFill="background1" w:themeFillShade="A6"/>
          </w:tcPr>
          <w:p w:rsidR="009A27D0" w:rsidRPr="000A1446" w:rsidRDefault="009A27D0" w:rsidP="000262D5">
            <w:pPr>
              <w:tabs>
                <w:tab w:val="left" w:pos="851"/>
              </w:tabs>
              <w:spacing w:before="120" w:after="120"/>
              <w:jc w:val="center"/>
              <w:rPr>
                <w:b/>
                <w:sz w:val="20"/>
              </w:rPr>
            </w:pPr>
            <w:r w:rsidRPr="000A1446">
              <w:rPr>
                <w:b/>
                <w:sz w:val="20"/>
              </w:rPr>
              <w:t>Release of a Statement of Issues and the stages that follow</w:t>
            </w:r>
          </w:p>
        </w:tc>
      </w:tr>
      <w:tr w:rsidR="00E93AFA" w:rsidRPr="000A1446" w:rsidTr="00E93AFA">
        <w:tc>
          <w:tcPr>
            <w:tcW w:w="2725" w:type="dxa"/>
          </w:tcPr>
          <w:p w:rsidR="00E93AFA" w:rsidRPr="000A1446" w:rsidRDefault="00E93AFA" w:rsidP="00E93AFA">
            <w:pPr>
              <w:tabs>
                <w:tab w:val="left" w:pos="851"/>
              </w:tabs>
              <w:rPr>
                <w:sz w:val="20"/>
              </w:rPr>
            </w:pPr>
            <w:r w:rsidRPr="000A1446">
              <w:rPr>
                <w:sz w:val="20"/>
              </w:rPr>
              <w:t xml:space="preserve">ACCC release of </w:t>
            </w:r>
            <w:r w:rsidR="00B55D32" w:rsidRPr="000A1446">
              <w:rPr>
                <w:sz w:val="20"/>
              </w:rPr>
              <w:t xml:space="preserve">a </w:t>
            </w:r>
            <w:r w:rsidRPr="000A1446">
              <w:rPr>
                <w:sz w:val="20"/>
              </w:rPr>
              <w:t>Statement of Issues</w:t>
            </w:r>
          </w:p>
        </w:tc>
        <w:tc>
          <w:tcPr>
            <w:tcW w:w="3544" w:type="dxa"/>
          </w:tcPr>
          <w:p w:rsidR="00E93AFA" w:rsidRPr="000A1446" w:rsidRDefault="00E93AFA" w:rsidP="00E93AFA">
            <w:pPr>
              <w:tabs>
                <w:tab w:val="left" w:pos="851"/>
              </w:tabs>
              <w:rPr>
                <w:sz w:val="20"/>
              </w:rPr>
            </w:pPr>
            <w:r w:rsidRPr="000A1446">
              <w:rPr>
                <w:sz w:val="20"/>
              </w:rPr>
              <w:t>The ACCC releases a Statement of Issues in circumstances where it considers competition concerns may arise or are likely to arise and there are issues which require further consultation with the merger parties and other relevant parties</w:t>
            </w:r>
            <w:r w:rsidR="00B55D32" w:rsidRPr="000A1446">
              <w:rPr>
                <w:sz w:val="20"/>
              </w:rPr>
              <w:t xml:space="preserve"> before reaching a final decision</w:t>
            </w:r>
            <w:r w:rsidRPr="000A1446">
              <w:rPr>
                <w:sz w:val="20"/>
              </w:rPr>
              <w:t>.</w:t>
            </w:r>
          </w:p>
        </w:tc>
        <w:tc>
          <w:tcPr>
            <w:tcW w:w="2551" w:type="dxa"/>
          </w:tcPr>
          <w:p w:rsidR="00E93AFA" w:rsidRPr="000A1446" w:rsidRDefault="00E93AFA" w:rsidP="00E93AFA">
            <w:pPr>
              <w:tabs>
                <w:tab w:val="left" w:pos="851"/>
              </w:tabs>
              <w:rPr>
                <w:sz w:val="20"/>
              </w:rPr>
            </w:pPr>
          </w:p>
        </w:tc>
      </w:tr>
      <w:tr w:rsidR="00E93AFA" w:rsidRPr="000A1446" w:rsidTr="00E93AFA">
        <w:tc>
          <w:tcPr>
            <w:tcW w:w="2725" w:type="dxa"/>
          </w:tcPr>
          <w:p w:rsidR="00E93AFA" w:rsidRPr="000A1446" w:rsidRDefault="00E93AFA" w:rsidP="00E93AFA">
            <w:pPr>
              <w:tabs>
                <w:tab w:val="left" w:pos="851"/>
              </w:tabs>
              <w:rPr>
                <w:sz w:val="20"/>
              </w:rPr>
            </w:pPr>
            <w:r w:rsidRPr="000A1446">
              <w:rPr>
                <w:sz w:val="20"/>
              </w:rPr>
              <w:t>ACCC consultation in relation to Statement of Issues</w:t>
            </w:r>
          </w:p>
        </w:tc>
        <w:tc>
          <w:tcPr>
            <w:tcW w:w="3544" w:type="dxa"/>
          </w:tcPr>
          <w:p w:rsidR="00E93AFA" w:rsidRPr="000A1446" w:rsidRDefault="00E93AFA" w:rsidP="00E93AFA">
            <w:pPr>
              <w:tabs>
                <w:tab w:val="left" w:pos="851"/>
              </w:tabs>
              <w:rPr>
                <w:sz w:val="20"/>
              </w:rPr>
            </w:pPr>
            <w:r w:rsidRPr="000A1446">
              <w:rPr>
                <w:sz w:val="20"/>
              </w:rPr>
              <w:t>The ACCC will usually conduct a period of consultation which is targeted at the issues raised in the Statement of Issues.</w:t>
            </w:r>
          </w:p>
        </w:tc>
        <w:tc>
          <w:tcPr>
            <w:tcW w:w="2551" w:type="dxa"/>
          </w:tcPr>
          <w:p w:rsidR="00E93AFA" w:rsidRPr="000A1446" w:rsidRDefault="00E93AFA" w:rsidP="00B55D32">
            <w:pPr>
              <w:tabs>
                <w:tab w:val="left" w:pos="851"/>
              </w:tabs>
              <w:rPr>
                <w:sz w:val="20"/>
              </w:rPr>
            </w:pPr>
            <w:r w:rsidRPr="000A1446">
              <w:rPr>
                <w:sz w:val="20"/>
              </w:rPr>
              <w:t xml:space="preserve">Varies depending on the complexity of the issues involved, </w:t>
            </w:r>
            <w:r w:rsidR="00B55D32" w:rsidRPr="000A1446">
              <w:rPr>
                <w:sz w:val="20"/>
              </w:rPr>
              <w:t xml:space="preserve">with </w:t>
            </w:r>
            <w:r w:rsidR="008C7B24" w:rsidRPr="000A1446">
              <w:rPr>
                <w:sz w:val="20"/>
              </w:rPr>
              <w:t xml:space="preserve">the closing date for </w:t>
            </w:r>
            <w:r w:rsidRPr="000A1446">
              <w:rPr>
                <w:sz w:val="20"/>
              </w:rPr>
              <w:t xml:space="preserve">submissions </w:t>
            </w:r>
            <w:r w:rsidR="008C7B24" w:rsidRPr="000A1446">
              <w:rPr>
                <w:sz w:val="20"/>
              </w:rPr>
              <w:t xml:space="preserve">usually </w:t>
            </w:r>
            <w:r w:rsidRPr="000A1446">
              <w:rPr>
                <w:sz w:val="20"/>
              </w:rPr>
              <w:t xml:space="preserve">around </w:t>
            </w:r>
            <w:r w:rsidR="00C54A95" w:rsidRPr="00610FDB">
              <w:rPr>
                <w:sz w:val="20"/>
              </w:rPr>
              <w:t xml:space="preserve">2-3 </w:t>
            </w:r>
            <w:r w:rsidRPr="00610FDB">
              <w:rPr>
                <w:sz w:val="20"/>
              </w:rPr>
              <w:t>weeks</w:t>
            </w:r>
            <w:r w:rsidRPr="000A1446">
              <w:rPr>
                <w:sz w:val="20"/>
              </w:rPr>
              <w:t xml:space="preserve"> after release.</w:t>
            </w:r>
          </w:p>
        </w:tc>
      </w:tr>
      <w:tr w:rsidR="00E93AFA" w:rsidRPr="000A1446" w:rsidTr="00E93AFA">
        <w:tc>
          <w:tcPr>
            <w:tcW w:w="2725" w:type="dxa"/>
          </w:tcPr>
          <w:p w:rsidR="00E93AFA" w:rsidRPr="000A1446" w:rsidRDefault="00E93AFA" w:rsidP="00E93AFA">
            <w:pPr>
              <w:tabs>
                <w:tab w:val="left" w:pos="851"/>
              </w:tabs>
              <w:rPr>
                <w:sz w:val="20"/>
              </w:rPr>
            </w:pPr>
            <w:r w:rsidRPr="000A1446">
              <w:rPr>
                <w:sz w:val="20"/>
              </w:rPr>
              <w:t>ACCC assessment of information provided in response to Statement of Issues and consultation with merger parties on any issues or concerns arising</w:t>
            </w:r>
          </w:p>
        </w:tc>
        <w:tc>
          <w:tcPr>
            <w:tcW w:w="3544" w:type="dxa"/>
          </w:tcPr>
          <w:p w:rsidR="00E93AFA" w:rsidRPr="000A1446" w:rsidRDefault="00E93AFA" w:rsidP="00013E7A">
            <w:pPr>
              <w:tabs>
                <w:tab w:val="left" w:pos="851"/>
              </w:tabs>
              <w:rPr>
                <w:sz w:val="20"/>
              </w:rPr>
            </w:pPr>
            <w:r w:rsidRPr="000A1446">
              <w:rPr>
                <w:sz w:val="20"/>
              </w:rPr>
              <w:t xml:space="preserve">The ACCC will ordinarily need to undertake a period of assessment of the information it has gathered in response to the Statement of Issues. </w:t>
            </w:r>
            <w:r w:rsidR="00B55D32" w:rsidRPr="000A1446">
              <w:rPr>
                <w:sz w:val="20"/>
              </w:rPr>
              <w:t xml:space="preserve">This will generally also involve outlining in writing to the merger parties the issues arising from </w:t>
            </w:r>
            <w:r w:rsidR="00013E7A" w:rsidRPr="000A1446">
              <w:rPr>
                <w:sz w:val="20"/>
              </w:rPr>
              <w:t>the consultation process</w:t>
            </w:r>
            <w:r w:rsidR="00B55D32" w:rsidRPr="000A1446">
              <w:rPr>
                <w:sz w:val="20"/>
              </w:rPr>
              <w:t xml:space="preserve">. </w:t>
            </w:r>
            <w:r w:rsidRPr="000A1446">
              <w:rPr>
                <w:sz w:val="20"/>
              </w:rPr>
              <w:t xml:space="preserve"> </w:t>
            </w:r>
          </w:p>
        </w:tc>
        <w:tc>
          <w:tcPr>
            <w:tcW w:w="2551" w:type="dxa"/>
          </w:tcPr>
          <w:p w:rsidR="00E93AFA" w:rsidRPr="000A1446" w:rsidRDefault="00C54A95" w:rsidP="00013E7A">
            <w:pPr>
              <w:tabs>
                <w:tab w:val="left" w:pos="851"/>
              </w:tabs>
              <w:rPr>
                <w:sz w:val="20"/>
              </w:rPr>
            </w:pPr>
            <w:r w:rsidRPr="000A1446">
              <w:rPr>
                <w:sz w:val="20"/>
              </w:rPr>
              <w:t>Between 4-</w:t>
            </w:r>
            <w:r w:rsidR="00596548" w:rsidRPr="00610FDB">
              <w:rPr>
                <w:sz w:val="20"/>
              </w:rPr>
              <w:t>10</w:t>
            </w:r>
            <w:r w:rsidRPr="00610FDB">
              <w:rPr>
                <w:sz w:val="20"/>
              </w:rPr>
              <w:t xml:space="preserve"> weeks</w:t>
            </w:r>
            <w:r w:rsidR="00E93AFA" w:rsidRPr="000A1446">
              <w:rPr>
                <w:sz w:val="20"/>
              </w:rPr>
              <w:t xml:space="preserve"> </w:t>
            </w:r>
            <w:r w:rsidR="008C7B24" w:rsidRPr="000A1446">
              <w:rPr>
                <w:sz w:val="20"/>
              </w:rPr>
              <w:t xml:space="preserve">from closing date for submissions in response to Statement of Issues </w:t>
            </w:r>
            <w:r w:rsidR="00E93AFA" w:rsidRPr="000A1446">
              <w:rPr>
                <w:sz w:val="20"/>
              </w:rPr>
              <w:t xml:space="preserve">but potentially longer if merger parties request the opportunity to respond to the issues raised in </w:t>
            </w:r>
            <w:r w:rsidR="00013E7A" w:rsidRPr="000A1446">
              <w:rPr>
                <w:sz w:val="20"/>
              </w:rPr>
              <w:t>the consultation process</w:t>
            </w:r>
            <w:r w:rsidR="00E93AFA" w:rsidRPr="000A1446">
              <w:rPr>
                <w:sz w:val="20"/>
              </w:rPr>
              <w:t>.</w:t>
            </w:r>
          </w:p>
        </w:tc>
      </w:tr>
      <w:tr w:rsidR="00E93AFA" w:rsidRPr="000A1446" w:rsidTr="00E93AFA">
        <w:tc>
          <w:tcPr>
            <w:tcW w:w="2725" w:type="dxa"/>
          </w:tcPr>
          <w:p w:rsidR="00E93AFA" w:rsidRPr="000A1446" w:rsidRDefault="00E93AFA" w:rsidP="00EB3242">
            <w:pPr>
              <w:tabs>
                <w:tab w:val="left" w:pos="851"/>
              </w:tabs>
              <w:rPr>
                <w:sz w:val="20"/>
              </w:rPr>
            </w:pPr>
            <w:r w:rsidRPr="000A1446">
              <w:rPr>
                <w:sz w:val="20"/>
              </w:rPr>
              <w:t xml:space="preserve">ACCC </w:t>
            </w:r>
            <w:r w:rsidR="00EB3242" w:rsidRPr="000A1446">
              <w:rPr>
                <w:sz w:val="20"/>
              </w:rPr>
              <w:t>final decision</w:t>
            </w:r>
          </w:p>
        </w:tc>
        <w:tc>
          <w:tcPr>
            <w:tcW w:w="3544" w:type="dxa"/>
          </w:tcPr>
          <w:p w:rsidR="00E93AFA" w:rsidRPr="000A1446" w:rsidRDefault="008B6574">
            <w:pPr>
              <w:tabs>
                <w:tab w:val="left" w:pos="851"/>
              </w:tabs>
              <w:rPr>
                <w:sz w:val="20"/>
              </w:rPr>
            </w:pPr>
            <w:r>
              <w:rPr>
                <w:sz w:val="20"/>
              </w:rPr>
              <w:t>T</w:t>
            </w:r>
            <w:r w:rsidR="00E93AFA" w:rsidRPr="000A1446">
              <w:rPr>
                <w:sz w:val="20"/>
              </w:rPr>
              <w:t xml:space="preserve">he </w:t>
            </w:r>
            <w:r w:rsidR="00B350EF" w:rsidRPr="000A1446">
              <w:rPr>
                <w:sz w:val="20"/>
              </w:rPr>
              <w:t>ACCC will announce its final decision to oppose, not oppose or to not oppose subject to the acceptance of undertakings</w:t>
            </w:r>
            <w:r w:rsidR="00E93AFA" w:rsidRPr="000A1446">
              <w:rPr>
                <w:sz w:val="20"/>
              </w:rPr>
              <w:t>.</w:t>
            </w:r>
          </w:p>
        </w:tc>
        <w:tc>
          <w:tcPr>
            <w:tcW w:w="2551" w:type="dxa"/>
          </w:tcPr>
          <w:p w:rsidR="00E93AFA" w:rsidRPr="000A1446" w:rsidRDefault="00E93AFA" w:rsidP="00E93AFA">
            <w:pPr>
              <w:tabs>
                <w:tab w:val="left" w:pos="851"/>
              </w:tabs>
              <w:rPr>
                <w:sz w:val="20"/>
              </w:rPr>
            </w:pPr>
          </w:p>
        </w:tc>
      </w:tr>
      <w:tr w:rsidR="009A27D0" w:rsidRPr="000A1446" w:rsidTr="000262D5">
        <w:tc>
          <w:tcPr>
            <w:tcW w:w="6269" w:type="dxa"/>
            <w:gridSpan w:val="2"/>
            <w:shd w:val="clear" w:color="auto" w:fill="D9D9D9" w:themeFill="background1" w:themeFillShade="D9"/>
          </w:tcPr>
          <w:p w:rsidR="009A27D0" w:rsidRPr="000A1446" w:rsidRDefault="009A27D0" w:rsidP="009A27D0">
            <w:pPr>
              <w:tabs>
                <w:tab w:val="left" w:pos="851"/>
              </w:tabs>
              <w:spacing w:before="120" w:after="120"/>
              <w:rPr>
                <w:i/>
                <w:sz w:val="20"/>
              </w:rPr>
            </w:pPr>
            <w:r w:rsidRPr="000A1446">
              <w:rPr>
                <w:i/>
                <w:sz w:val="20"/>
              </w:rPr>
              <w:t xml:space="preserve">Approximate length of review following a Statement of Issues </w:t>
            </w:r>
          </w:p>
        </w:tc>
        <w:tc>
          <w:tcPr>
            <w:tcW w:w="2551" w:type="dxa"/>
            <w:shd w:val="clear" w:color="auto" w:fill="D9D9D9" w:themeFill="background1" w:themeFillShade="D9"/>
          </w:tcPr>
          <w:p w:rsidR="009A27D0" w:rsidRPr="000A1446" w:rsidRDefault="009A27D0" w:rsidP="009A27D0">
            <w:pPr>
              <w:tabs>
                <w:tab w:val="left" w:pos="851"/>
              </w:tabs>
              <w:spacing w:before="120" w:after="120"/>
              <w:jc w:val="center"/>
              <w:rPr>
                <w:i/>
                <w:sz w:val="20"/>
              </w:rPr>
            </w:pPr>
            <w:r w:rsidRPr="000A1446">
              <w:rPr>
                <w:i/>
                <w:sz w:val="20"/>
              </w:rPr>
              <w:t>6-12 weeks</w:t>
            </w:r>
          </w:p>
          <w:p w:rsidR="002101C2" w:rsidRPr="000A1446" w:rsidRDefault="002101C2" w:rsidP="009A27D0">
            <w:pPr>
              <w:tabs>
                <w:tab w:val="left" w:pos="851"/>
              </w:tabs>
              <w:spacing w:before="120" w:after="120"/>
              <w:jc w:val="center"/>
              <w:rPr>
                <w:i/>
                <w:sz w:val="20"/>
              </w:rPr>
            </w:pPr>
          </w:p>
        </w:tc>
      </w:tr>
      <w:tr w:rsidR="00A5407A" w:rsidRPr="000A1446" w:rsidTr="00A5407A">
        <w:tc>
          <w:tcPr>
            <w:tcW w:w="8820" w:type="dxa"/>
            <w:gridSpan w:val="3"/>
            <w:shd w:val="clear" w:color="auto" w:fill="A6A6A6"/>
          </w:tcPr>
          <w:p w:rsidR="00A5407A" w:rsidRPr="000A1446" w:rsidRDefault="00A5407A" w:rsidP="000262D5">
            <w:pPr>
              <w:tabs>
                <w:tab w:val="left" w:pos="851"/>
              </w:tabs>
              <w:spacing w:before="120" w:after="120"/>
              <w:jc w:val="center"/>
              <w:rPr>
                <w:b/>
                <w:sz w:val="20"/>
              </w:rPr>
            </w:pPr>
            <w:r w:rsidRPr="000A1446">
              <w:rPr>
                <w:b/>
                <w:sz w:val="20"/>
              </w:rPr>
              <w:t>Stages that can occur at any time throughout a review</w:t>
            </w:r>
          </w:p>
        </w:tc>
      </w:tr>
      <w:tr w:rsidR="00A5407A" w:rsidRPr="000A1446" w:rsidTr="00084193">
        <w:tc>
          <w:tcPr>
            <w:tcW w:w="2725" w:type="dxa"/>
          </w:tcPr>
          <w:p w:rsidR="00A5407A" w:rsidRPr="000A1446" w:rsidRDefault="00A5407A" w:rsidP="00084193">
            <w:pPr>
              <w:tabs>
                <w:tab w:val="left" w:pos="851"/>
              </w:tabs>
              <w:rPr>
                <w:sz w:val="20"/>
              </w:rPr>
            </w:pPr>
            <w:r w:rsidRPr="000A1446">
              <w:rPr>
                <w:sz w:val="20"/>
              </w:rPr>
              <w:t>ACCC request for information from merger parties</w:t>
            </w:r>
            <w:r w:rsidR="00DD7093" w:rsidRPr="000A1446">
              <w:rPr>
                <w:sz w:val="20"/>
              </w:rPr>
              <w:t xml:space="preserve"> and other parties</w:t>
            </w:r>
          </w:p>
        </w:tc>
        <w:tc>
          <w:tcPr>
            <w:tcW w:w="3544" w:type="dxa"/>
          </w:tcPr>
          <w:p w:rsidR="00A5407A" w:rsidRPr="000A1446" w:rsidRDefault="00A5407A" w:rsidP="00084193">
            <w:pPr>
              <w:tabs>
                <w:tab w:val="left" w:pos="851"/>
              </w:tabs>
              <w:rPr>
                <w:sz w:val="20"/>
              </w:rPr>
            </w:pPr>
            <w:r w:rsidRPr="000A1446">
              <w:rPr>
                <w:sz w:val="20"/>
              </w:rPr>
              <w:t>The ACCC will make requests of the merger parties for information where it considers it will be relevant to its decision. These requests will be made from time to time and can occur before, during or after the initial market inquiries process, including after the release of a Statement of Issues.</w:t>
            </w:r>
          </w:p>
        </w:tc>
        <w:tc>
          <w:tcPr>
            <w:tcW w:w="2551" w:type="dxa"/>
          </w:tcPr>
          <w:p w:rsidR="00A5407A" w:rsidRPr="000A1446" w:rsidRDefault="00A5407A" w:rsidP="00681237">
            <w:pPr>
              <w:tabs>
                <w:tab w:val="left" w:pos="851"/>
              </w:tabs>
              <w:rPr>
                <w:sz w:val="20"/>
              </w:rPr>
            </w:pPr>
            <w:r w:rsidRPr="000A1446">
              <w:rPr>
                <w:sz w:val="20"/>
              </w:rPr>
              <w:t>Varies depending on time taken by merger parties to respond to request</w:t>
            </w:r>
            <w:r w:rsidR="00610FDB">
              <w:rPr>
                <w:sz w:val="20"/>
              </w:rPr>
              <w:t>s</w:t>
            </w:r>
            <w:r w:rsidRPr="000A1446">
              <w:rPr>
                <w:sz w:val="20"/>
              </w:rPr>
              <w:t xml:space="preserve"> and whether information is sought pursuant to the ACCC’s statutory information gathering powers (s. 155). </w:t>
            </w:r>
            <w:r w:rsidR="00681237" w:rsidRPr="000A1446">
              <w:rPr>
                <w:sz w:val="20"/>
              </w:rPr>
              <w:t>For informal requests for information, m</w:t>
            </w:r>
            <w:r w:rsidRPr="000A1446">
              <w:rPr>
                <w:sz w:val="20"/>
              </w:rPr>
              <w:t xml:space="preserve">erger parties are usually requested to respond within 1-2 weeks. </w:t>
            </w:r>
          </w:p>
          <w:p w:rsidR="003E1C21" w:rsidRPr="000A1446" w:rsidRDefault="003E1C21" w:rsidP="00D2752A">
            <w:pPr>
              <w:tabs>
                <w:tab w:val="left" w:pos="851"/>
              </w:tabs>
              <w:rPr>
                <w:sz w:val="20"/>
              </w:rPr>
            </w:pPr>
            <w:r w:rsidRPr="000A1446">
              <w:rPr>
                <w:sz w:val="20"/>
              </w:rPr>
              <w:t xml:space="preserve">Where merger parties provide large amounts of information in response to information requests, the ACCC may require a </w:t>
            </w:r>
            <w:r w:rsidR="00D2752A" w:rsidRPr="000A1446">
              <w:rPr>
                <w:sz w:val="20"/>
              </w:rPr>
              <w:t>period of time</w:t>
            </w:r>
            <w:r w:rsidRPr="000A1446">
              <w:rPr>
                <w:sz w:val="20"/>
              </w:rPr>
              <w:t xml:space="preserve"> to properly consider that information.</w:t>
            </w:r>
          </w:p>
        </w:tc>
      </w:tr>
      <w:tr w:rsidR="001F4AAC" w:rsidRPr="000A1446" w:rsidTr="001F4AAC">
        <w:tc>
          <w:tcPr>
            <w:tcW w:w="2725" w:type="dxa"/>
          </w:tcPr>
          <w:p w:rsidR="001F4AAC" w:rsidRPr="000A1446" w:rsidRDefault="001F4AAC" w:rsidP="00AE7E14">
            <w:pPr>
              <w:tabs>
                <w:tab w:val="left" w:pos="851"/>
              </w:tabs>
              <w:rPr>
                <w:sz w:val="20"/>
              </w:rPr>
            </w:pPr>
            <w:r w:rsidRPr="000A1446">
              <w:rPr>
                <w:sz w:val="20"/>
              </w:rPr>
              <w:t>ACCC consultation on s. 87B undertakings proposed by merger parties</w:t>
            </w:r>
          </w:p>
        </w:tc>
        <w:tc>
          <w:tcPr>
            <w:tcW w:w="3544" w:type="dxa"/>
          </w:tcPr>
          <w:p w:rsidR="001F4AAC" w:rsidRPr="000A1446" w:rsidRDefault="001F4AAC" w:rsidP="001F4AAC">
            <w:pPr>
              <w:tabs>
                <w:tab w:val="left" w:pos="851"/>
              </w:tabs>
              <w:rPr>
                <w:sz w:val="20"/>
              </w:rPr>
            </w:pPr>
            <w:r w:rsidRPr="000A1446">
              <w:rPr>
                <w:sz w:val="20"/>
              </w:rPr>
              <w:t>Where a</w:t>
            </w:r>
            <w:r w:rsidR="00C61C88" w:rsidRPr="000A1446">
              <w:rPr>
                <w:sz w:val="20"/>
              </w:rPr>
              <w:t xml:space="preserve"> proposed </w:t>
            </w:r>
            <w:r w:rsidRPr="000A1446">
              <w:rPr>
                <w:sz w:val="20"/>
              </w:rPr>
              <w:t>s. 87B undertaking is</w:t>
            </w:r>
            <w:r w:rsidR="00DD7093" w:rsidRPr="000A1446">
              <w:rPr>
                <w:sz w:val="20"/>
              </w:rPr>
              <w:t xml:space="preserve"> in a suitable form</w:t>
            </w:r>
            <w:r w:rsidRPr="000A1446">
              <w:rPr>
                <w:sz w:val="20"/>
              </w:rPr>
              <w:t xml:space="preserve">, the ACCC may consult publicly on </w:t>
            </w:r>
            <w:r w:rsidR="00C61C88" w:rsidRPr="000A1446">
              <w:rPr>
                <w:sz w:val="20"/>
              </w:rPr>
              <w:t>its</w:t>
            </w:r>
            <w:r w:rsidRPr="000A1446">
              <w:rPr>
                <w:sz w:val="20"/>
              </w:rPr>
              <w:t xml:space="preserve"> content.</w:t>
            </w:r>
          </w:p>
          <w:p w:rsidR="001F4AAC" w:rsidRPr="000A1446" w:rsidRDefault="001F4AAC" w:rsidP="001F4AAC">
            <w:pPr>
              <w:tabs>
                <w:tab w:val="left" w:pos="851"/>
              </w:tabs>
              <w:rPr>
                <w:sz w:val="20"/>
              </w:rPr>
            </w:pPr>
            <w:r w:rsidRPr="000A1446">
              <w:rPr>
                <w:sz w:val="20"/>
              </w:rPr>
              <w:t>This may occur at any stage throughout a review.</w:t>
            </w:r>
          </w:p>
        </w:tc>
        <w:tc>
          <w:tcPr>
            <w:tcW w:w="2551" w:type="dxa"/>
          </w:tcPr>
          <w:p w:rsidR="001F4AAC" w:rsidRPr="000A1446" w:rsidRDefault="001F4AAC" w:rsidP="001F4AAC">
            <w:pPr>
              <w:tabs>
                <w:tab w:val="left" w:pos="851"/>
              </w:tabs>
              <w:rPr>
                <w:sz w:val="20"/>
              </w:rPr>
            </w:pPr>
            <w:r w:rsidRPr="000A1446">
              <w:rPr>
                <w:sz w:val="20"/>
              </w:rPr>
              <w:t>Varies depending on the complexity of the issues and remedies proposed.</w:t>
            </w:r>
          </w:p>
        </w:tc>
      </w:tr>
    </w:tbl>
    <w:p w:rsidR="00E93AFA" w:rsidRPr="000A1446" w:rsidRDefault="00E93AFA" w:rsidP="00E93AFA">
      <w:pPr>
        <w:tabs>
          <w:tab w:val="left" w:pos="851"/>
        </w:tabs>
        <w:ind w:left="851"/>
      </w:pPr>
      <w:r w:rsidRPr="000A1446">
        <w:t xml:space="preserve"> </w:t>
      </w:r>
    </w:p>
    <w:p w:rsidR="00E93AFA" w:rsidRPr="000A1446" w:rsidRDefault="00E93AFA" w:rsidP="00B01418">
      <w:pPr>
        <w:pStyle w:val="Heading2"/>
      </w:pPr>
      <w:bookmarkStart w:id="26" w:name="_Toc360012427"/>
      <w:r w:rsidRPr="000A1446">
        <w:t>Provisional decision dates</w:t>
      </w:r>
      <w:bookmarkEnd w:id="26"/>
    </w:p>
    <w:p w:rsidR="00E93AFA" w:rsidRPr="000A1446" w:rsidRDefault="00DB0141" w:rsidP="00191D0E">
      <w:pPr>
        <w:numPr>
          <w:ilvl w:val="1"/>
          <w:numId w:val="4"/>
        </w:numPr>
        <w:tabs>
          <w:tab w:val="left" w:pos="851"/>
        </w:tabs>
        <w:ind w:left="851" w:hanging="491"/>
      </w:pPr>
      <w:bookmarkStart w:id="27" w:name="_Ref358305746"/>
      <w:r w:rsidRPr="000A1446">
        <w:t>When the ACCC commences</w:t>
      </w:r>
      <w:r w:rsidR="00E93AFA" w:rsidRPr="000A1446">
        <w:t xml:space="preserve"> a public review, the ACCC will publish on its website an indicative timeline for review</w:t>
      </w:r>
      <w:r w:rsidR="00D93934" w:rsidRPr="000A1446">
        <w:t xml:space="preserve"> including a </w:t>
      </w:r>
      <w:r w:rsidR="00254E62" w:rsidRPr="000A1446">
        <w:t xml:space="preserve">provisional </w:t>
      </w:r>
      <w:r w:rsidR="00B57B95" w:rsidRPr="000A1446">
        <w:t xml:space="preserve">decision </w:t>
      </w:r>
      <w:r w:rsidR="00D93934" w:rsidRPr="000A1446">
        <w:t xml:space="preserve">date </w:t>
      </w:r>
      <w:r w:rsidR="004304D7" w:rsidRPr="000A1446">
        <w:t xml:space="preserve">by </w:t>
      </w:r>
      <w:r w:rsidR="00254E62" w:rsidRPr="000A1446">
        <w:t xml:space="preserve">which </w:t>
      </w:r>
      <w:r w:rsidR="00D93934" w:rsidRPr="000A1446">
        <w:t xml:space="preserve">the ACCC’s findings </w:t>
      </w:r>
      <w:r w:rsidR="009F0422" w:rsidRPr="000A1446">
        <w:t xml:space="preserve">are expected to be announced </w:t>
      </w:r>
      <w:r w:rsidR="00254E62" w:rsidRPr="000A1446">
        <w:t>(</w:t>
      </w:r>
      <w:r w:rsidR="00B57B95" w:rsidRPr="000A1446">
        <w:t xml:space="preserve">a decision at this point </w:t>
      </w:r>
      <w:r w:rsidR="00D93934" w:rsidRPr="000A1446">
        <w:t xml:space="preserve">may be a final decision </w:t>
      </w:r>
      <w:r w:rsidR="002B6B79" w:rsidRPr="000A1446">
        <w:t xml:space="preserve">or </w:t>
      </w:r>
      <w:r w:rsidR="00D93934" w:rsidRPr="000A1446">
        <w:t xml:space="preserve">the </w:t>
      </w:r>
      <w:r w:rsidR="00B57B95" w:rsidRPr="000A1446">
        <w:t>decision to publish</w:t>
      </w:r>
      <w:r w:rsidR="00D93934" w:rsidRPr="000A1446">
        <w:t xml:space="preserve"> a </w:t>
      </w:r>
      <w:r w:rsidR="00254E62" w:rsidRPr="000A1446">
        <w:t>S</w:t>
      </w:r>
      <w:r w:rsidR="00D93934" w:rsidRPr="000A1446">
        <w:t xml:space="preserve">tatement of </w:t>
      </w:r>
      <w:r w:rsidR="00254E62" w:rsidRPr="000A1446">
        <w:t>I</w:t>
      </w:r>
      <w:r w:rsidR="00D93934" w:rsidRPr="000A1446">
        <w:t>ssues</w:t>
      </w:r>
      <w:r w:rsidR="00254E62" w:rsidRPr="000A1446">
        <w:t>)</w:t>
      </w:r>
      <w:r w:rsidR="00E93AFA" w:rsidRPr="000A1446">
        <w:t xml:space="preserve">. </w:t>
      </w:r>
      <w:r w:rsidR="009F0422" w:rsidRPr="000A1446">
        <w:t>The decision date provided at the outset of a review is denoted ‘provisional’, a</w:t>
      </w:r>
      <w:r w:rsidR="00E93AFA" w:rsidRPr="000A1446">
        <w:t xml:space="preserve">s the ACCC will not know </w:t>
      </w:r>
      <w:r w:rsidR="003C1DA7" w:rsidRPr="000A1446">
        <w:t xml:space="preserve">with any certainty </w:t>
      </w:r>
      <w:r w:rsidR="00E93AFA" w:rsidRPr="000A1446">
        <w:t xml:space="preserve">how long a merger review is likely to </w:t>
      </w:r>
      <w:r w:rsidR="00D93934" w:rsidRPr="000A1446">
        <w:t>take</w:t>
      </w:r>
      <w:r w:rsidR="005E0602" w:rsidRPr="000A1446">
        <w:t xml:space="preserve"> and the date will be subject to </w:t>
      </w:r>
      <w:r w:rsidR="00AE7E14" w:rsidRPr="000A1446">
        <w:t xml:space="preserve">subsequent </w:t>
      </w:r>
      <w:r w:rsidR="005E0602" w:rsidRPr="000A1446">
        <w:t xml:space="preserve">review and </w:t>
      </w:r>
      <w:r w:rsidR="00AE7E14" w:rsidRPr="000A1446">
        <w:t>amendment</w:t>
      </w:r>
      <w:r w:rsidR="00E93AFA" w:rsidRPr="000A1446">
        <w:t>.</w:t>
      </w:r>
      <w:bookmarkEnd w:id="27"/>
      <w:r w:rsidR="004A7640" w:rsidRPr="000A1446">
        <w:rPr>
          <w:rStyle w:val="FootnoteReference"/>
        </w:rPr>
        <w:footnoteReference w:id="14"/>
      </w:r>
      <w:r w:rsidR="00E93AFA" w:rsidRPr="000A1446">
        <w:t xml:space="preserve"> </w:t>
      </w:r>
      <w:r w:rsidR="00F174CD" w:rsidRPr="000A1446">
        <w:t xml:space="preserve">An example </w:t>
      </w:r>
      <w:r w:rsidR="00AE7E14" w:rsidRPr="000A1446">
        <w:t xml:space="preserve">of an indicative </w:t>
      </w:r>
      <w:r w:rsidR="00F174CD" w:rsidRPr="000A1446">
        <w:t xml:space="preserve">timeline </w:t>
      </w:r>
      <w:r w:rsidR="00AE7E14" w:rsidRPr="000A1446">
        <w:t xml:space="preserve">that may be published at </w:t>
      </w:r>
      <w:r w:rsidR="00F174CD" w:rsidRPr="000A1446">
        <w:t>the outset of a review is provided below.</w:t>
      </w:r>
    </w:p>
    <w:tbl>
      <w:tblPr>
        <w:tblW w:w="9227" w:type="dxa"/>
        <w:tblCellSpacing w:w="15"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8687"/>
      </w:tblGrid>
      <w:tr w:rsidR="00F174CD" w:rsidRPr="000A1446" w:rsidTr="000262D5">
        <w:trPr>
          <w:tblCellSpacing w:w="15" w:type="dxa"/>
        </w:trPr>
        <w:tc>
          <w:tcPr>
            <w:tcW w:w="1216" w:type="dxa"/>
            <w:tcBorders>
              <w:top w:val="outset" w:sz="6" w:space="0" w:color="auto"/>
              <w:left w:val="outset" w:sz="6" w:space="0" w:color="auto"/>
              <w:bottom w:val="outset" w:sz="6" w:space="0" w:color="auto"/>
              <w:right w:val="outset" w:sz="6" w:space="0" w:color="auto"/>
            </w:tcBorders>
            <w:hideMark/>
          </w:tcPr>
          <w:p w:rsidR="00F174CD" w:rsidRPr="000A1446" w:rsidRDefault="00F174CD" w:rsidP="000262D5">
            <w:pPr>
              <w:keepNext/>
              <w:spacing w:after="0" w:line="348" w:lineRule="auto"/>
              <w:jc w:val="center"/>
              <w:rPr>
                <w:rFonts w:ascii="Verdana" w:eastAsia="Times New Roman" w:hAnsi="Verdana"/>
                <w:b/>
                <w:bCs/>
                <w:color w:val="000077"/>
                <w:sz w:val="18"/>
                <w:szCs w:val="24"/>
                <w:lang w:eastAsia="en-AU"/>
              </w:rPr>
            </w:pPr>
            <w:r w:rsidRPr="000A1446">
              <w:rPr>
                <w:rFonts w:ascii="Verdana" w:eastAsia="Times New Roman" w:hAnsi="Verdana"/>
                <w:b/>
                <w:bCs/>
                <w:color w:val="000077"/>
                <w:sz w:val="18"/>
                <w:szCs w:val="24"/>
                <w:lang w:eastAsia="en-AU"/>
              </w:rPr>
              <w:t>Indicative timeline</w:t>
            </w:r>
          </w:p>
        </w:tc>
        <w:tc>
          <w:tcPr>
            <w:tcW w:w="0" w:type="auto"/>
            <w:tcBorders>
              <w:top w:val="outset" w:sz="6" w:space="0" w:color="auto"/>
              <w:left w:val="outset" w:sz="6" w:space="0" w:color="auto"/>
              <w:bottom w:val="outset" w:sz="6" w:space="0" w:color="auto"/>
              <w:right w:val="outset" w:sz="6" w:space="0" w:color="auto"/>
            </w:tcBorders>
            <w:tcMar>
              <w:top w:w="45" w:type="dxa"/>
              <w:left w:w="150" w:type="dxa"/>
              <w:bottom w:w="45" w:type="dxa"/>
              <w:right w:w="45" w:type="dxa"/>
            </w:tcMar>
            <w:hideMark/>
          </w:tcPr>
          <w:tbl>
            <w:tblPr>
              <w:tblW w:w="8342" w:type="dxa"/>
              <w:tblCellSpacing w:w="15" w:type="dxa"/>
              <w:tblInd w:w="75" w:type="dxa"/>
              <w:tblCellMar>
                <w:top w:w="15" w:type="dxa"/>
                <w:left w:w="15" w:type="dxa"/>
                <w:bottom w:w="15" w:type="dxa"/>
                <w:right w:w="15" w:type="dxa"/>
              </w:tblCellMar>
              <w:tblLook w:val="04A0" w:firstRow="1" w:lastRow="0" w:firstColumn="1" w:lastColumn="0" w:noHBand="0" w:noVBand="1"/>
            </w:tblPr>
            <w:tblGrid>
              <w:gridCol w:w="2336"/>
              <w:gridCol w:w="6006"/>
            </w:tblGrid>
            <w:tr w:rsidR="00F174CD" w:rsidRPr="000A1446" w:rsidTr="000262D5">
              <w:trPr>
                <w:tblCellSpacing w:w="15" w:type="dxa"/>
              </w:trPr>
              <w:tc>
                <w:tcPr>
                  <w:tcW w:w="2291" w:type="dxa"/>
                  <w:hideMark/>
                </w:tcPr>
                <w:p w:rsidR="00F174CD" w:rsidRPr="000A1446" w:rsidRDefault="00F174CD" w:rsidP="000262D5">
                  <w:pPr>
                    <w:keepNext/>
                    <w:spacing w:after="0" w:line="348" w:lineRule="auto"/>
                    <w:jc w:val="center"/>
                    <w:rPr>
                      <w:rFonts w:ascii="Verdana" w:eastAsia="Times New Roman" w:hAnsi="Verdana"/>
                      <w:b/>
                      <w:bCs/>
                      <w:color w:val="000077"/>
                      <w:sz w:val="18"/>
                      <w:szCs w:val="24"/>
                      <w:lang w:eastAsia="en-AU"/>
                    </w:rPr>
                  </w:pPr>
                  <w:r w:rsidRPr="000A1446">
                    <w:rPr>
                      <w:rFonts w:ascii="Verdana" w:eastAsia="Times New Roman" w:hAnsi="Verdana"/>
                      <w:b/>
                      <w:bCs/>
                      <w:color w:val="000077"/>
                      <w:sz w:val="18"/>
                      <w:szCs w:val="24"/>
                      <w:lang w:eastAsia="en-AU"/>
                    </w:rPr>
                    <w:t>Date</w:t>
                  </w:r>
                </w:p>
              </w:tc>
              <w:tc>
                <w:tcPr>
                  <w:tcW w:w="0" w:type="auto"/>
                  <w:hideMark/>
                </w:tcPr>
                <w:p w:rsidR="00F174CD" w:rsidRPr="000A1446" w:rsidRDefault="00F174CD" w:rsidP="000262D5">
                  <w:pPr>
                    <w:keepNext/>
                    <w:spacing w:after="0" w:line="348" w:lineRule="auto"/>
                    <w:jc w:val="center"/>
                    <w:rPr>
                      <w:rFonts w:ascii="Verdana" w:eastAsia="Times New Roman" w:hAnsi="Verdana"/>
                      <w:b/>
                      <w:bCs/>
                      <w:color w:val="000077"/>
                      <w:sz w:val="18"/>
                      <w:szCs w:val="24"/>
                      <w:lang w:eastAsia="en-AU"/>
                    </w:rPr>
                  </w:pPr>
                  <w:r w:rsidRPr="000A1446">
                    <w:rPr>
                      <w:rFonts w:ascii="Verdana" w:eastAsia="Times New Roman" w:hAnsi="Verdana"/>
                      <w:b/>
                      <w:bCs/>
                      <w:color w:val="000077"/>
                      <w:sz w:val="18"/>
                      <w:szCs w:val="24"/>
                      <w:lang w:eastAsia="en-AU"/>
                    </w:rPr>
                    <w:t>Event</w:t>
                  </w:r>
                </w:p>
              </w:tc>
            </w:tr>
            <w:tr w:rsidR="00F174CD" w:rsidRPr="000A1446" w:rsidTr="000262D5">
              <w:trPr>
                <w:tblCellSpacing w:w="15" w:type="dxa"/>
              </w:trPr>
              <w:tc>
                <w:tcPr>
                  <w:tcW w:w="2291" w:type="dxa"/>
                  <w:tcMar>
                    <w:top w:w="45" w:type="dxa"/>
                    <w:left w:w="150" w:type="dxa"/>
                    <w:bottom w:w="45" w:type="dxa"/>
                    <w:right w:w="45" w:type="dxa"/>
                  </w:tcMar>
                  <w:hideMark/>
                </w:tcPr>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4</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July </w:t>
                  </w:r>
                </w:p>
              </w:tc>
              <w:tc>
                <w:tcPr>
                  <w:tcW w:w="0" w:type="auto"/>
                  <w:tcMar>
                    <w:top w:w="45" w:type="dxa"/>
                    <w:left w:w="150" w:type="dxa"/>
                    <w:bottom w:w="45" w:type="dxa"/>
                    <w:right w:w="45" w:type="dxa"/>
                  </w:tcMar>
                  <w:hideMark/>
                </w:tcPr>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ACCC commenced review under the Merger Process Guidelines.</w:t>
                  </w:r>
                </w:p>
              </w:tc>
            </w:tr>
            <w:tr w:rsidR="00F174CD" w:rsidRPr="000A1446" w:rsidTr="000262D5">
              <w:trPr>
                <w:tblCellSpacing w:w="15" w:type="dxa"/>
              </w:trPr>
              <w:tc>
                <w:tcPr>
                  <w:tcW w:w="2291" w:type="dxa"/>
                  <w:tcMar>
                    <w:top w:w="45" w:type="dxa"/>
                    <w:left w:w="150" w:type="dxa"/>
                    <w:bottom w:w="45" w:type="dxa"/>
                    <w:right w:w="45" w:type="dxa"/>
                  </w:tcMar>
                  <w:hideMark/>
                </w:tcPr>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1</w:t>
                  </w:r>
                  <w:r w:rsidRPr="000A1446">
                    <w:rPr>
                      <w:rFonts w:ascii="Verdana" w:eastAsia="Times New Roman" w:hAnsi="Verdana"/>
                      <w:color w:val="333333"/>
                      <w:sz w:val="18"/>
                      <w:szCs w:val="24"/>
                      <w:vertAlign w:val="superscript"/>
                      <w:lang w:eastAsia="en-AU"/>
                    </w:rPr>
                    <w:t>st</w:t>
                  </w:r>
                  <w:r w:rsidRPr="000A1446">
                    <w:rPr>
                      <w:rFonts w:ascii="Verdana" w:eastAsia="Times New Roman" w:hAnsi="Verdana"/>
                      <w:color w:val="333333"/>
                      <w:sz w:val="18"/>
                      <w:szCs w:val="24"/>
                      <w:lang w:eastAsia="en-AU"/>
                    </w:rPr>
                    <w:t xml:space="preserve"> August </w:t>
                  </w:r>
                </w:p>
              </w:tc>
              <w:tc>
                <w:tcPr>
                  <w:tcW w:w="0" w:type="auto"/>
                  <w:tcMar>
                    <w:top w:w="45" w:type="dxa"/>
                    <w:left w:w="150" w:type="dxa"/>
                    <w:bottom w:w="45" w:type="dxa"/>
                    <w:right w:w="45" w:type="dxa"/>
                  </w:tcMar>
                  <w:hideMark/>
                </w:tcPr>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Closing date for submissions from interested parties.</w:t>
                  </w:r>
                </w:p>
              </w:tc>
            </w:tr>
            <w:tr w:rsidR="00F174CD" w:rsidRPr="000A1446" w:rsidTr="000262D5">
              <w:trPr>
                <w:tblCellSpacing w:w="15" w:type="dxa"/>
              </w:trPr>
              <w:tc>
                <w:tcPr>
                  <w:tcW w:w="2291" w:type="dxa"/>
                  <w:tcMar>
                    <w:top w:w="45" w:type="dxa"/>
                    <w:left w:w="150" w:type="dxa"/>
                    <w:bottom w:w="45" w:type="dxa"/>
                    <w:right w:w="45" w:type="dxa"/>
                  </w:tcMar>
                  <w:hideMark/>
                </w:tcPr>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29</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August </w:t>
                  </w:r>
                </w:p>
              </w:tc>
              <w:tc>
                <w:tcPr>
                  <w:tcW w:w="0" w:type="auto"/>
                  <w:tcMar>
                    <w:top w:w="45" w:type="dxa"/>
                    <w:left w:w="150" w:type="dxa"/>
                    <w:bottom w:w="45" w:type="dxa"/>
                    <w:right w:w="45" w:type="dxa"/>
                  </w:tcMar>
                  <w:hideMark/>
                </w:tcPr>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 xml:space="preserve">Provisional date for announcement of ACCC's </w:t>
                  </w:r>
                  <w:r w:rsidR="00DB0141" w:rsidRPr="000A1446">
                    <w:rPr>
                      <w:rFonts w:ascii="Verdana" w:eastAsia="Times New Roman" w:hAnsi="Verdana"/>
                      <w:color w:val="333333"/>
                      <w:sz w:val="18"/>
                      <w:szCs w:val="24"/>
                      <w:lang w:eastAsia="en-AU"/>
                    </w:rPr>
                    <w:t>findings</w:t>
                  </w:r>
                  <w:r w:rsidRPr="000A1446">
                    <w:rPr>
                      <w:rFonts w:ascii="Verdana" w:eastAsia="Times New Roman" w:hAnsi="Verdana"/>
                      <w:color w:val="333333"/>
                      <w:sz w:val="18"/>
                      <w:szCs w:val="24"/>
                      <w:lang w:eastAsia="en-AU"/>
                    </w:rPr>
                    <w:t xml:space="preserve"> (as outlined in the Merger Review Process Guidelines, this may be a final decision or release of a Statement of Issues).</w:t>
                  </w:r>
                </w:p>
              </w:tc>
            </w:tr>
          </w:tbl>
          <w:p w:rsidR="00F174CD" w:rsidRPr="000A1446" w:rsidRDefault="00F174CD" w:rsidP="000262D5">
            <w:pPr>
              <w:keepNext/>
              <w:spacing w:after="0" w:line="348" w:lineRule="auto"/>
              <w:ind w:left="75"/>
              <w:rPr>
                <w:rFonts w:ascii="Verdana" w:eastAsia="Times New Roman" w:hAnsi="Verdana"/>
                <w:color w:val="333333"/>
                <w:sz w:val="18"/>
                <w:szCs w:val="24"/>
                <w:lang w:eastAsia="en-AU"/>
              </w:rPr>
            </w:pPr>
          </w:p>
        </w:tc>
      </w:tr>
    </w:tbl>
    <w:p w:rsidR="00F174CD" w:rsidRPr="000A1446" w:rsidRDefault="00F174CD" w:rsidP="000262D5">
      <w:pPr>
        <w:tabs>
          <w:tab w:val="left" w:pos="851"/>
        </w:tabs>
        <w:ind w:left="360"/>
      </w:pPr>
    </w:p>
    <w:p w:rsidR="007374DB" w:rsidRPr="000A1446" w:rsidRDefault="00E93AFA" w:rsidP="00191D0E">
      <w:pPr>
        <w:numPr>
          <w:ilvl w:val="1"/>
          <w:numId w:val="4"/>
        </w:numPr>
        <w:tabs>
          <w:tab w:val="left" w:pos="851"/>
        </w:tabs>
        <w:ind w:left="851" w:hanging="491"/>
      </w:pPr>
      <w:r w:rsidRPr="000A1446">
        <w:t xml:space="preserve">Provisional decision dates will be set based on the ACCC’s experience and expectations about the length of time required to assess a matter </w:t>
      </w:r>
      <w:r w:rsidR="00DB0141" w:rsidRPr="000A1446">
        <w:t>on a case-by-case basis</w:t>
      </w:r>
      <w:r w:rsidRPr="000A1446">
        <w:t xml:space="preserve">. For most reviews, the ACCC will set a provisional decision date of between </w:t>
      </w:r>
      <w:r w:rsidR="00F00A75" w:rsidRPr="00610FDB">
        <w:t xml:space="preserve">6 </w:t>
      </w:r>
      <w:r w:rsidRPr="00610FDB">
        <w:t>and 12 weeks</w:t>
      </w:r>
      <w:r w:rsidRPr="000A1446">
        <w:t>.</w:t>
      </w:r>
      <w:r w:rsidR="00DD1A75" w:rsidRPr="000A1446">
        <w:t xml:space="preserve"> </w:t>
      </w:r>
      <w:r w:rsidR="002B6B79" w:rsidRPr="000A1446">
        <w:t xml:space="preserve">Where it is clear to the ACCC that the matter is </w:t>
      </w:r>
      <w:r w:rsidR="003C1DA7" w:rsidRPr="000A1446">
        <w:t xml:space="preserve">complex </w:t>
      </w:r>
      <w:r w:rsidR="00D24C95" w:rsidRPr="000A1446">
        <w:t>or contentious</w:t>
      </w:r>
      <w:r w:rsidR="003C1DA7" w:rsidRPr="000A1446">
        <w:t xml:space="preserve"> </w:t>
      </w:r>
      <w:r w:rsidR="00AE7E14" w:rsidRPr="000A1446">
        <w:t xml:space="preserve">it may </w:t>
      </w:r>
      <w:r w:rsidR="00D24C95" w:rsidRPr="000A1446">
        <w:t>set indicative timelines which are longer than 12 weeks</w:t>
      </w:r>
      <w:r w:rsidR="004304D7" w:rsidRPr="000A1446">
        <w:t xml:space="preserve"> from the outset of the review</w:t>
      </w:r>
      <w:r w:rsidR="00D24C95" w:rsidRPr="000A1446">
        <w:t>.</w:t>
      </w:r>
      <w:r w:rsidR="00B67732" w:rsidRPr="000A1446">
        <w:t xml:space="preserve"> </w:t>
      </w:r>
    </w:p>
    <w:p w:rsidR="00B57B95" w:rsidRPr="000A1446" w:rsidRDefault="00B57B95" w:rsidP="00B01418">
      <w:pPr>
        <w:pStyle w:val="Heading2"/>
      </w:pPr>
      <w:bookmarkStart w:id="28" w:name="_Toc360012428"/>
      <w:r w:rsidRPr="000A1446">
        <w:t>Amendments to indicative timelines</w:t>
      </w:r>
      <w:bookmarkEnd w:id="28"/>
    </w:p>
    <w:p w:rsidR="00E93AFA" w:rsidRPr="000A1446" w:rsidRDefault="002B6B79" w:rsidP="00191D0E">
      <w:pPr>
        <w:numPr>
          <w:ilvl w:val="1"/>
          <w:numId w:val="4"/>
        </w:numPr>
        <w:tabs>
          <w:tab w:val="left" w:pos="851"/>
        </w:tabs>
        <w:ind w:left="851" w:hanging="491"/>
      </w:pPr>
      <w:r w:rsidRPr="000A1446">
        <w:t>Most merger reviews in which substantive competition concerns do not arise will be completed within eight weeks. However, i</w:t>
      </w:r>
      <w:r w:rsidR="00DD1A75" w:rsidRPr="000A1446">
        <w:t>t is not always clear from the outset of the review whether a given merger will raise competition issues</w:t>
      </w:r>
      <w:r w:rsidR="00D93934" w:rsidRPr="000A1446">
        <w:t xml:space="preserve"> which </w:t>
      </w:r>
      <w:r w:rsidR="004304D7" w:rsidRPr="000A1446">
        <w:t xml:space="preserve">may </w:t>
      </w:r>
      <w:r w:rsidR="00DB0141" w:rsidRPr="000A1446">
        <w:t>require</w:t>
      </w:r>
      <w:r w:rsidR="00D93934" w:rsidRPr="000A1446">
        <w:t xml:space="preserve"> a </w:t>
      </w:r>
      <w:r w:rsidR="008C7B24" w:rsidRPr="000A1446">
        <w:t xml:space="preserve">Statement </w:t>
      </w:r>
      <w:r w:rsidR="00D93934" w:rsidRPr="000A1446">
        <w:t xml:space="preserve">of </w:t>
      </w:r>
      <w:r w:rsidR="008C7B24" w:rsidRPr="000A1446">
        <w:t xml:space="preserve">Issues </w:t>
      </w:r>
      <w:r w:rsidR="00DD1A75" w:rsidRPr="000A1446">
        <w:t xml:space="preserve">and therefore </w:t>
      </w:r>
      <w:r w:rsidR="00DB0141" w:rsidRPr="000A1446">
        <w:t>whether</w:t>
      </w:r>
      <w:r w:rsidR="00DD1A75" w:rsidRPr="000A1446">
        <w:t xml:space="preserve"> the initial indicative review period</w:t>
      </w:r>
      <w:r w:rsidR="00DB0141" w:rsidRPr="000A1446">
        <w:t xml:space="preserve"> will need to be extended</w:t>
      </w:r>
      <w:r w:rsidR="00267599" w:rsidRPr="000A1446">
        <w:t>.</w:t>
      </w:r>
    </w:p>
    <w:p w:rsidR="00E93AFA" w:rsidRPr="000A1446" w:rsidRDefault="00E93AFA" w:rsidP="000262D5">
      <w:pPr>
        <w:numPr>
          <w:ilvl w:val="1"/>
          <w:numId w:val="4"/>
        </w:numPr>
        <w:tabs>
          <w:tab w:val="left" w:pos="851"/>
        </w:tabs>
        <w:ind w:left="851" w:hanging="491"/>
      </w:pPr>
      <w:r w:rsidRPr="000A1446">
        <w:t xml:space="preserve">Provisional decision dates will </w:t>
      </w:r>
      <w:r w:rsidR="00471B0D" w:rsidRPr="000A1446">
        <w:t xml:space="preserve">generally </w:t>
      </w:r>
      <w:r w:rsidRPr="000A1446">
        <w:t xml:space="preserve">remain in place until the ACCC </w:t>
      </w:r>
      <w:r w:rsidR="00882C6C" w:rsidRPr="000A1446">
        <w:t xml:space="preserve">provides feedback to the merger parties on issues arising from market inquiries (see from </w:t>
      </w:r>
      <w:r w:rsidR="00882C6C" w:rsidRPr="008B6574">
        <w:fldChar w:fldCharType="begin"/>
      </w:r>
      <w:r w:rsidR="00882C6C" w:rsidRPr="000A1446">
        <w:instrText xml:space="preserve"> REF _Ref357435604 \r \h </w:instrText>
      </w:r>
      <w:r w:rsidR="00B57B95" w:rsidRPr="000A1446">
        <w:instrText xml:space="preserve"> \* MERGEFORMAT </w:instrText>
      </w:r>
      <w:r w:rsidR="00882C6C" w:rsidRPr="008B6574">
        <w:fldChar w:fldCharType="separate"/>
      </w:r>
      <w:r w:rsidR="00A528AE">
        <w:t>2.46</w:t>
      </w:r>
      <w:r w:rsidR="00882C6C" w:rsidRPr="008B6574">
        <w:fldChar w:fldCharType="end"/>
      </w:r>
      <w:r w:rsidR="00882C6C" w:rsidRPr="000A1446">
        <w:t>)</w:t>
      </w:r>
      <w:r w:rsidR="008C7B24" w:rsidRPr="000A1446">
        <w:t xml:space="preserve"> and</w:t>
      </w:r>
      <w:r w:rsidR="00882C6C" w:rsidRPr="000A1446">
        <w:t>,</w:t>
      </w:r>
      <w:r w:rsidRPr="000A1446">
        <w:t xml:space="preserve"> if the merger parties intend to provide a response to that </w:t>
      </w:r>
      <w:r w:rsidR="00882C6C" w:rsidRPr="000A1446">
        <w:t>feedback</w:t>
      </w:r>
      <w:r w:rsidRPr="000A1446">
        <w:t xml:space="preserve">, the ACCC’s </w:t>
      </w:r>
      <w:r w:rsidR="004304D7" w:rsidRPr="000A1446">
        <w:t xml:space="preserve">consideration </w:t>
      </w:r>
      <w:r w:rsidRPr="000A1446">
        <w:t>of such a response.</w:t>
      </w:r>
    </w:p>
    <w:p w:rsidR="00E93AFA" w:rsidRPr="000A1446" w:rsidRDefault="00E93AFA" w:rsidP="00191D0E">
      <w:pPr>
        <w:numPr>
          <w:ilvl w:val="1"/>
          <w:numId w:val="4"/>
        </w:numPr>
        <w:tabs>
          <w:tab w:val="left" w:pos="851"/>
        </w:tabs>
        <w:ind w:left="851" w:hanging="491"/>
      </w:pPr>
      <w:r w:rsidRPr="000A1446">
        <w:t xml:space="preserve">At this point in the review, the ACCC will re-assess the provisional decision date and </w:t>
      </w:r>
      <w:r w:rsidR="00134BE7" w:rsidRPr="000A1446">
        <w:t xml:space="preserve">publish a proposed decision date which will be dependent on </w:t>
      </w:r>
      <w:r w:rsidR="001B4436" w:rsidRPr="000A1446">
        <w:t>the expected time</w:t>
      </w:r>
      <w:r w:rsidRPr="000A1446">
        <w:t xml:space="preserve"> the ACCC will require to consider all information before making a decision. The ACCC expects that from this point to the announcement of </w:t>
      </w:r>
      <w:r w:rsidR="001B4436" w:rsidRPr="000A1446">
        <w:t xml:space="preserve">the </w:t>
      </w:r>
      <w:r w:rsidRPr="000A1446">
        <w:t>ACCC findings will be around 4 weeks.</w:t>
      </w:r>
      <w:r w:rsidRPr="000A1446">
        <w:rPr>
          <w:rStyle w:val="FootnoteReference"/>
        </w:rPr>
        <w:footnoteReference w:id="15"/>
      </w:r>
      <w:r w:rsidR="00F174CD" w:rsidRPr="000A1446">
        <w:t xml:space="preserve"> An example of an indicative timeline where this has occurred is provided below.</w:t>
      </w:r>
    </w:p>
    <w:tbl>
      <w:tblPr>
        <w:tblW w:w="9227" w:type="dxa"/>
        <w:tblCellSpacing w:w="15"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8687"/>
      </w:tblGrid>
      <w:tr w:rsidR="00F174CD" w:rsidRPr="000A1446" w:rsidTr="00F174CD">
        <w:trPr>
          <w:tblCellSpacing w:w="15" w:type="dxa"/>
        </w:trPr>
        <w:tc>
          <w:tcPr>
            <w:tcW w:w="1216" w:type="dxa"/>
            <w:tcBorders>
              <w:top w:val="outset" w:sz="6" w:space="0" w:color="auto"/>
              <w:left w:val="outset" w:sz="6" w:space="0" w:color="auto"/>
              <w:bottom w:val="outset" w:sz="6" w:space="0" w:color="auto"/>
              <w:right w:val="outset" w:sz="6" w:space="0" w:color="auto"/>
            </w:tcBorders>
            <w:hideMark/>
          </w:tcPr>
          <w:p w:rsidR="00F174CD" w:rsidRPr="000A1446" w:rsidRDefault="00F174CD" w:rsidP="00F174CD">
            <w:pPr>
              <w:keepNext/>
              <w:spacing w:after="0" w:line="348" w:lineRule="auto"/>
              <w:jc w:val="center"/>
              <w:rPr>
                <w:rFonts w:ascii="Verdana" w:eastAsia="Times New Roman" w:hAnsi="Verdana"/>
                <w:b/>
                <w:bCs/>
                <w:color w:val="000077"/>
                <w:sz w:val="18"/>
                <w:szCs w:val="24"/>
                <w:lang w:eastAsia="en-AU"/>
              </w:rPr>
            </w:pPr>
            <w:r w:rsidRPr="000A1446">
              <w:rPr>
                <w:rFonts w:ascii="Verdana" w:eastAsia="Times New Roman" w:hAnsi="Verdana"/>
                <w:b/>
                <w:bCs/>
                <w:color w:val="000077"/>
                <w:sz w:val="18"/>
                <w:szCs w:val="24"/>
                <w:lang w:eastAsia="en-AU"/>
              </w:rPr>
              <w:t>Indicative timeline</w:t>
            </w:r>
          </w:p>
        </w:tc>
        <w:tc>
          <w:tcPr>
            <w:tcW w:w="0" w:type="auto"/>
            <w:tcBorders>
              <w:top w:val="outset" w:sz="6" w:space="0" w:color="auto"/>
              <w:left w:val="outset" w:sz="6" w:space="0" w:color="auto"/>
              <w:bottom w:val="outset" w:sz="6" w:space="0" w:color="auto"/>
              <w:right w:val="outset" w:sz="6" w:space="0" w:color="auto"/>
            </w:tcBorders>
            <w:tcMar>
              <w:top w:w="45" w:type="dxa"/>
              <w:left w:w="150" w:type="dxa"/>
              <w:bottom w:w="45" w:type="dxa"/>
              <w:right w:w="45" w:type="dxa"/>
            </w:tcMar>
            <w:hideMark/>
          </w:tcPr>
          <w:tbl>
            <w:tblPr>
              <w:tblW w:w="8342" w:type="dxa"/>
              <w:tblCellSpacing w:w="15" w:type="dxa"/>
              <w:tblInd w:w="75" w:type="dxa"/>
              <w:tblCellMar>
                <w:top w:w="15" w:type="dxa"/>
                <w:left w:w="15" w:type="dxa"/>
                <w:bottom w:w="15" w:type="dxa"/>
                <w:right w:w="15" w:type="dxa"/>
              </w:tblCellMar>
              <w:tblLook w:val="04A0" w:firstRow="1" w:lastRow="0" w:firstColumn="1" w:lastColumn="0" w:noHBand="0" w:noVBand="1"/>
            </w:tblPr>
            <w:tblGrid>
              <w:gridCol w:w="2336"/>
              <w:gridCol w:w="6006"/>
            </w:tblGrid>
            <w:tr w:rsidR="00F174CD" w:rsidRPr="000A1446" w:rsidTr="00F174CD">
              <w:trPr>
                <w:tblCellSpacing w:w="15" w:type="dxa"/>
              </w:trPr>
              <w:tc>
                <w:tcPr>
                  <w:tcW w:w="2291" w:type="dxa"/>
                  <w:hideMark/>
                </w:tcPr>
                <w:p w:rsidR="00F174CD" w:rsidRPr="000A1446" w:rsidRDefault="00F174CD" w:rsidP="00F174CD">
                  <w:pPr>
                    <w:keepNext/>
                    <w:spacing w:after="0" w:line="348" w:lineRule="auto"/>
                    <w:jc w:val="center"/>
                    <w:rPr>
                      <w:rFonts w:ascii="Verdana" w:eastAsia="Times New Roman" w:hAnsi="Verdana"/>
                      <w:b/>
                      <w:bCs/>
                      <w:color w:val="000077"/>
                      <w:sz w:val="18"/>
                      <w:szCs w:val="24"/>
                      <w:lang w:eastAsia="en-AU"/>
                    </w:rPr>
                  </w:pPr>
                  <w:r w:rsidRPr="000A1446">
                    <w:rPr>
                      <w:rFonts w:ascii="Verdana" w:eastAsia="Times New Roman" w:hAnsi="Verdana"/>
                      <w:b/>
                      <w:bCs/>
                      <w:color w:val="000077"/>
                      <w:sz w:val="18"/>
                      <w:szCs w:val="24"/>
                      <w:lang w:eastAsia="en-AU"/>
                    </w:rPr>
                    <w:t>Date</w:t>
                  </w:r>
                </w:p>
              </w:tc>
              <w:tc>
                <w:tcPr>
                  <w:tcW w:w="0" w:type="auto"/>
                  <w:hideMark/>
                </w:tcPr>
                <w:p w:rsidR="00F174CD" w:rsidRPr="000A1446" w:rsidRDefault="00F174CD" w:rsidP="00F174CD">
                  <w:pPr>
                    <w:keepNext/>
                    <w:spacing w:after="0" w:line="348" w:lineRule="auto"/>
                    <w:jc w:val="center"/>
                    <w:rPr>
                      <w:rFonts w:ascii="Verdana" w:eastAsia="Times New Roman" w:hAnsi="Verdana"/>
                      <w:b/>
                      <w:bCs/>
                      <w:color w:val="000077"/>
                      <w:sz w:val="18"/>
                      <w:szCs w:val="24"/>
                      <w:lang w:eastAsia="en-AU"/>
                    </w:rPr>
                  </w:pPr>
                  <w:r w:rsidRPr="000A1446">
                    <w:rPr>
                      <w:rFonts w:ascii="Verdana" w:eastAsia="Times New Roman" w:hAnsi="Verdana"/>
                      <w:b/>
                      <w:bCs/>
                      <w:color w:val="000077"/>
                      <w:sz w:val="18"/>
                      <w:szCs w:val="24"/>
                      <w:lang w:eastAsia="en-AU"/>
                    </w:rPr>
                    <w:t>Event</w:t>
                  </w:r>
                </w:p>
              </w:tc>
            </w:tr>
            <w:tr w:rsidR="00F174CD" w:rsidRPr="000A1446" w:rsidTr="00F174CD">
              <w:trPr>
                <w:tblCellSpacing w:w="15" w:type="dxa"/>
              </w:trPr>
              <w:tc>
                <w:tcPr>
                  <w:tcW w:w="2291" w:type="dxa"/>
                  <w:tcMar>
                    <w:top w:w="45" w:type="dxa"/>
                    <w:left w:w="150" w:type="dxa"/>
                    <w:bottom w:w="45" w:type="dxa"/>
                    <w:right w:w="45" w:type="dxa"/>
                  </w:tcMar>
                  <w:hideMark/>
                </w:tcPr>
                <w:p w:rsidR="00F174CD" w:rsidRPr="000A1446" w:rsidRDefault="00F174CD" w:rsidP="00F174CD">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4</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July </w:t>
                  </w:r>
                </w:p>
              </w:tc>
              <w:tc>
                <w:tcPr>
                  <w:tcW w:w="0" w:type="auto"/>
                  <w:tcMar>
                    <w:top w:w="45" w:type="dxa"/>
                    <w:left w:w="150" w:type="dxa"/>
                    <w:bottom w:w="45" w:type="dxa"/>
                    <w:right w:w="45" w:type="dxa"/>
                  </w:tcMar>
                  <w:hideMark/>
                </w:tcPr>
                <w:p w:rsidR="00F174CD" w:rsidRPr="000A1446" w:rsidRDefault="00F174CD" w:rsidP="00F174CD">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ACCC commenced review under the Merger Process Guidelines.</w:t>
                  </w:r>
                </w:p>
              </w:tc>
            </w:tr>
            <w:tr w:rsidR="00F174CD" w:rsidRPr="000A1446" w:rsidTr="00F174CD">
              <w:trPr>
                <w:tblCellSpacing w:w="15" w:type="dxa"/>
              </w:trPr>
              <w:tc>
                <w:tcPr>
                  <w:tcW w:w="2291" w:type="dxa"/>
                  <w:tcMar>
                    <w:top w:w="45" w:type="dxa"/>
                    <w:left w:w="150" w:type="dxa"/>
                    <w:bottom w:w="45" w:type="dxa"/>
                    <w:right w:w="45" w:type="dxa"/>
                  </w:tcMar>
                  <w:hideMark/>
                </w:tcPr>
                <w:p w:rsidR="00F174CD" w:rsidRPr="000A1446" w:rsidRDefault="00F174CD" w:rsidP="00F174CD">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1</w:t>
                  </w:r>
                  <w:r w:rsidRPr="000A1446">
                    <w:rPr>
                      <w:rFonts w:ascii="Verdana" w:eastAsia="Times New Roman" w:hAnsi="Verdana"/>
                      <w:color w:val="333333"/>
                      <w:sz w:val="18"/>
                      <w:szCs w:val="24"/>
                      <w:vertAlign w:val="superscript"/>
                      <w:lang w:eastAsia="en-AU"/>
                    </w:rPr>
                    <w:t>st</w:t>
                  </w:r>
                  <w:r w:rsidRPr="000A1446">
                    <w:rPr>
                      <w:rFonts w:ascii="Verdana" w:eastAsia="Times New Roman" w:hAnsi="Verdana"/>
                      <w:color w:val="333333"/>
                      <w:sz w:val="18"/>
                      <w:szCs w:val="24"/>
                      <w:lang w:eastAsia="en-AU"/>
                    </w:rPr>
                    <w:t xml:space="preserve"> August </w:t>
                  </w:r>
                </w:p>
              </w:tc>
              <w:tc>
                <w:tcPr>
                  <w:tcW w:w="0" w:type="auto"/>
                  <w:tcMar>
                    <w:top w:w="45" w:type="dxa"/>
                    <w:left w:w="150" w:type="dxa"/>
                    <w:bottom w:w="45" w:type="dxa"/>
                    <w:right w:w="45" w:type="dxa"/>
                  </w:tcMar>
                  <w:hideMark/>
                </w:tcPr>
                <w:p w:rsidR="00F174CD" w:rsidRPr="000A1446" w:rsidRDefault="00F174CD">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 xml:space="preserve">Closing date for submissions from interested parties. ACCC assessing information provided during market inquiries and consulting with merger parties on </w:t>
                  </w:r>
                  <w:r w:rsidR="00295B94" w:rsidRPr="000A1446">
                    <w:rPr>
                      <w:rFonts w:ascii="Verdana" w:eastAsia="Times New Roman" w:hAnsi="Verdana"/>
                      <w:color w:val="333333"/>
                      <w:sz w:val="18"/>
                      <w:szCs w:val="24"/>
                      <w:lang w:eastAsia="en-AU"/>
                    </w:rPr>
                    <w:t>relevant</w:t>
                  </w:r>
                  <w:r w:rsidRPr="000A1446">
                    <w:rPr>
                      <w:rFonts w:ascii="Verdana" w:eastAsia="Times New Roman" w:hAnsi="Verdana"/>
                      <w:color w:val="333333"/>
                      <w:sz w:val="18"/>
                      <w:szCs w:val="24"/>
                      <w:lang w:eastAsia="en-AU"/>
                    </w:rPr>
                    <w:t xml:space="preserve"> issues or concerns arising</w:t>
                  </w:r>
                  <w:r w:rsidR="00295B94" w:rsidRPr="000A1446">
                    <w:rPr>
                      <w:rFonts w:ascii="Verdana" w:eastAsia="Times New Roman" w:hAnsi="Verdana"/>
                      <w:color w:val="333333"/>
                      <w:sz w:val="18"/>
                      <w:szCs w:val="24"/>
                      <w:lang w:eastAsia="en-AU"/>
                    </w:rPr>
                    <w:t>.</w:t>
                  </w:r>
                </w:p>
              </w:tc>
            </w:tr>
            <w:tr w:rsidR="00295B94" w:rsidRPr="000A1446" w:rsidTr="00F174CD">
              <w:trPr>
                <w:tblCellSpacing w:w="15" w:type="dxa"/>
              </w:trPr>
              <w:tc>
                <w:tcPr>
                  <w:tcW w:w="2291" w:type="dxa"/>
                  <w:tcMar>
                    <w:top w:w="45" w:type="dxa"/>
                    <w:left w:w="150" w:type="dxa"/>
                    <w:bottom w:w="45" w:type="dxa"/>
                    <w:right w:w="45" w:type="dxa"/>
                  </w:tcMar>
                </w:tcPr>
                <w:p w:rsidR="00295B94" w:rsidRPr="000A1446" w:rsidRDefault="00295B94" w:rsidP="00295B94">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7</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August</w:t>
                  </w:r>
                </w:p>
              </w:tc>
              <w:tc>
                <w:tcPr>
                  <w:tcW w:w="0" w:type="auto"/>
                  <w:tcMar>
                    <w:top w:w="45" w:type="dxa"/>
                    <w:left w:w="150" w:type="dxa"/>
                    <w:bottom w:w="45" w:type="dxa"/>
                    <w:right w:w="45" w:type="dxa"/>
                  </w:tcMar>
                </w:tcPr>
                <w:p w:rsidR="00295B94" w:rsidRPr="000A1446" w:rsidRDefault="00295B94" w:rsidP="00295B94">
                  <w:pPr>
                    <w:keepNext/>
                    <w:spacing w:after="0" w:line="348" w:lineRule="auto"/>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 xml:space="preserve"> ACCC requested further information from merger parties.</w:t>
                  </w:r>
                </w:p>
              </w:tc>
            </w:tr>
            <w:tr w:rsidR="00F174CD" w:rsidRPr="000A1446" w:rsidTr="00F174CD">
              <w:trPr>
                <w:tblCellSpacing w:w="15" w:type="dxa"/>
              </w:trPr>
              <w:tc>
                <w:tcPr>
                  <w:tcW w:w="2291" w:type="dxa"/>
                  <w:tcMar>
                    <w:top w:w="45" w:type="dxa"/>
                    <w:left w:w="150" w:type="dxa"/>
                    <w:bottom w:w="45" w:type="dxa"/>
                    <w:right w:w="45" w:type="dxa"/>
                  </w:tcMar>
                </w:tcPr>
                <w:p w:rsidR="00F174CD" w:rsidRPr="000A1446" w:rsidRDefault="00295B94">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17</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August</w:t>
                  </w:r>
                </w:p>
              </w:tc>
              <w:tc>
                <w:tcPr>
                  <w:tcW w:w="0" w:type="auto"/>
                  <w:tcMar>
                    <w:top w:w="45" w:type="dxa"/>
                    <w:left w:w="150" w:type="dxa"/>
                    <w:bottom w:w="45" w:type="dxa"/>
                    <w:right w:w="45" w:type="dxa"/>
                  </w:tcMar>
                </w:tcPr>
                <w:p w:rsidR="00F174CD" w:rsidRPr="000A1446" w:rsidRDefault="00295B94" w:rsidP="000262D5">
                  <w:pPr>
                    <w:keepNext/>
                    <w:spacing w:after="0" w:line="348" w:lineRule="auto"/>
                    <w:ind w:left="72" w:hanging="72"/>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 xml:space="preserve"> ACCC received further information from merger parties. ACCC amended former provisional date for announcement of findings (29</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August).</w:t>
                  </w:r>
                </w:p>
              </w:tc>
            </w:tr>
            <w:tr w:rsidR="00F174CD" w:rsidRPr="000A1446" w:rsidTr="00F174CD">
              <w:trPr>
                <w:tblCellSpacing w:w="15" w:type="dxa"/>
              </w:trPr>
              <w:tc>
                <w:tcPr>
                  <w:tcW w:w="2291" w:type="dxa"/>
                  <w:tcMar>
                    <w:top w:w="45" w:type="dxa"/>
                    <w:left w:w="150" w:type="dxa"/>
                    <w:bottom w:w="45" w:type="dxa"/>
                    <w:right w:w="45" w:type="dxa"/>
                  </w:tcMar>
                  <w:hideMark/>
                </w:tcPr>
                <w:p w:rsidR="00F174CD" w:rsidRPr="000A1446" w:rsidRDefault="00295B94" w:rsidP="00F174CD">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12</w:t>
                  </w:r>
                  <w:r w:rsidRPr="000A1446">
                    <w:rPr>
                      <w:rFonts w:ascii="Verdana" w:eastAsia="Times New Roman" w:hAnsi="Verdana"/>
                      <w:color w:val="333333"/>
                      <w:sz w:val="18"/>
                      <w:szCs w:val="24"/>
                      <w:vertAlign w:val="superscript"/>
                      <w:lang w:eastAsia="en-AU"/>
                    </w:rPr>
                    <w:t>th</w:t>
                  </w:r>
                  <w:r w:rsidRPr="000A1446">
                    <w:rPr>
                      <w:rFonts w:ascii="Verdana" w:eastAsia="Times New Roman" w:hAnsi="Verdana"/>
                      <w:color w:val="333333"/>
                      <w:sz w:val="18"/>
                      <w:szCs w:val="24"/>
                      <w:lang w:eastAsia="en-AU"/>
                    </w:rPr>
                    <w:t xml:space="preserve"> September</w:t>
                  </w:r>
                  <w:r w:rsidR="00F174CD" w:rsidRPr="000A1446">
                    <w:rPr>
                      <w:rFonts w:ascii="Verdana" w:eastAsia="Times New Roman" w:hAnsi="Verdana"/>
                      <w:color w:val="333333"/>
                      <w:sz w:val="18"/>
                      <w:szCs w:val="24"/>
                      <w:lang w:eastAsia="en-AU"/>
                    </w:rPr>
                    <w:t xml:space="preserve"> </w:t>
                  </w:r>
                </w:p>
              </w:tc>
              <w:tc>
                <w:tcPr>
                  <w:tcW w:w="0" w:type="auto"/>
                  <w:tcMar>
                    <w:top w:w="45" w:type="dxa"/>
                    <w:left w:w="150" w:type="dxa"/>
                    <w:bottom w:w="45" w:type="dxa"/>
                    <w:right w:w="45" w:type="dxa"/>
                  </w:tcMar>
                  <w:hideMark/>
                </w:tcPr>
                <w:p w:rsidR="00F174CD" w:rsidRPr="000A1446" w:rsidRDefault="00F174CD" w:rsidP="00AE7E14">
                  <w:pPr>
                    <w:keepNext/>
                    <w:spacing w:after="0" w:line="348" w:lineRule="auto"/>
                    <w:ind w:left="75"/>
                    <w:rPr>
                      <w:rFonts w:ascii="Verdana" w:eastAsia="Times New Roman" w:hAnsi="Verdana"/>
                      <w:color w:val="333333"/>
                      <w:sz w:val="18"/>
                      <w:szCs w:val="24"/>
                      <w:lang w:eastAsia="en-AU"/>
                    </w:rPr>
                  </w:pPr>
                  <w:r w:rsidRPr="000A1446">
                    <w:rPr>
                      <w:rFonts w:ascii="Verdana" w:eastAsia="Times New Roman" w:hAnsi="Verdana"/>
                      <w:color w:val="333333"/>
                      <w:sz w:val="18"/>
                      <w:szCs w:val="24"/>
                      <w:lang w:eastAsia="en-AU"/>
                    </w:rPr>
                    <w:t xml:space="preserve">Proposed date for announcement of ACCC's </w:t>
                  </w:r>
                  <w:r w:rsidR="00AE7E14" w:rsidRPr="000A1446">
                    <w:rPr>
                      <w:rFonts w:ascii="Verdana" w:eastAsia="Times New Roman" w:hAnsi="Verdana"/>
                      <w:color w:val="333333"/>
                      <w:sz w:val="18"/>
                      <w:szCs w:val="24"/>
                      <w:lang w:eastAsia="en-AU"/>
                    </w:rPr>
                    <w:t>findings</w:t>
                  </w:r>
                  <w:r w:rsidRPr="000A1446">
                    <w:rPr>
                      <w:rFonts w:ascii="Verdana" w:eastAsia="Times New Roman" w:hAnsi="Verdana"/>
                      <w:color w:val="333333"/>
                      <w:sz w:val="18"/>
                      <w:szCs w:val="24"/>
                      <w:lang w:eastAsia="en-AU"/>
                    </w:rPr>
                    <w:t xml:space="preserve"> (as outlined in the Merger Review Process Guidelines, this may be a final decision or release of a Statement of Issues).</w:t>
                  </w:r>
                </w:p>
              </w:tc>
            </w:tr>
          </w:tbl>
          <w:p w:rsidR="00F174CD" w:rsidRPr="000A1446" w:rsidRDefault="00F174CD" w:rsidP="00F174CD">
            <w:pPr>
              <w:keepNext/>
              <w:spacing w:after="0" w:line="348" w:lineRule="auto"/>
              <w:ind w:left="75"/>
              <w:rPr>
                <w:rFonts w:ascii="Verdana" w:eastAsia="Times New Roman" w:hAnsi="Verdana"/>
                <w:color w:val="333333"/>
                <w:sz w:val="18"/>
                <w:szCs w:val="24"/>
                <w:lang w:eastAsia="en-AU"/>
              </w:rPr>
            </w:pPr>
          </w:p>
        </w:tc>
      </w:tr>
    </w:tbl>
    <w:p w:rsidR="00F174CD" w:rsidRPr="000A1446" w:rsidRDefault="00F174CD" w:rsidP="000262D5">
      <w:pPr>
        <w:tabs>
          <w:tab w:val="left" w:pos="851"/>
        </w:tabs>
        <w:ind w:left="360"/>
      </w:pPr>
    </w:p>
    <w:p w:rsidR="001B4436" w:rsidRPr="000A1446" w:rsidRDefault="001B4436" w:rsidP="000262D5">
      <w:pPr>
        <w:numPr>
          <w:ilvl w:val="1"/>
          <w:numId w:val="4"/>
        </w:numPr>
        <w:tabs>
          <w:tab w:val="left" w:pos="851"/>
        </w:tabs>
        <w:ind w:left="851" w:hanging="491"/>
      </w:pPr>
      <w:r w:rsidRPr="000A1446">
        <w:t xml:space="preserve">Indicative timelines are set having regard to the likely need for the ACCC to request information </w:t>
      </w:r>
      <w:r w:rsidR="00AA3BBA" w:rsidRPr="000A1446">
        <w:t>from</w:t>
      </w:r>
      <w:r w:rsidRPr="000A1446">
        <w:t xml:space="preserve"> merger parties </w:t>
      </w:r>
      <w:r w:rsidR="0038160F" w:rsidRPr="000A1446">
        <w:t>during</w:t>
      </w:r>
      <w:r w:rsidRPr="000A1446">
        <w:t xml:space="preserve"> a review (see from </w:t>
      </w:r>
      <w:r w:rsidRPr="008B6574">
        <w:fldChar w:fldCharType="begin"/>
      </w:r>
      <w:r w:rsidRPr="000A1446">
        <w:instrText xml:space="preserve"> REF _Ref359422093 \r \h </w:instrText>
      </w:r>
      <w:r w:rsidR="000A1446">
        <w:instrText xml:space="preserve"> \* MERGEFORMAT </w:instrText>
      </w:r>
      <w:r w:rsidRPr="008B6574">
        <w:fldChar w:fldCharType="separate"/>
      </w:r>
      <w:r w:rsidR="00A528AE">
        <w:t>2.41</w:t>
      </w:r>
      <w:r w:rsidRPr="008B6574">
        <w:fldChar w:fldCharType="end"/>
      </w:r>
      <w:r w:rsidRPr="000A1446">
        <w:t xml:space="preserve">). When making requests for information </w:t>
      </w:r>
      <w:r w:rsidR="00AA3BBA" w:rsidRPr="000A1446">
        <w:t xml:space="preserve">from </w:t>
      </w:r>
      <w:r w:rsidRPr="000A1446">
        <w:t xml:space="preserve">merger parties, the ACCC will usually request information to be produced within a set period of time – usually 1-2 weeks. The indicative timeline will be updated to indicate </w:t>
      </w:r>
      <w:r w:rsidR="004304D7" w:rsidRPr="000A1446">
        <w:t>when</w:t>
      </w:r>
      <w:r w:rsidRPr="000A1446">
        <w:t xml:space="preserve"> information requests have been made of merger parties. </w:t>
      </w:r>
      <w:r w:rsidR="00D2752A" w:rsidRPr="000A1446">
        <w:t xml:space="preserve"> Where merger parties provide large amounts of information in response to information requests, the ACCC may require a period of time to properly consider that information.</w:t>
      </w:r>
    </w:p>
    <w:p w:rsidR="001B4436" w:rsidRPr="000A1446" w:rsidRDefault="001B4436" w:rsidP="001B4436">
      <w:pPr>
        <w:numPr>
          <w:ilvl w:val="1"/>
          <w:numId w:val="4"/>
        </w:numPr>
        <w:tabs>
          <w:tab w:val="left" w:pos="851"/>
        </w:tabs>
        <w:ind w:left="851" w:hanging="491"/>
      </w:pPr>
      <w:r w:rsidRPr="000A1446">
        <w:t xml:space="preserve">Where, following the initial market inquiries, the ACCC does not make a final decision and instead releases a Statement of Issues (see from </w:t>
      </w:r>
      <w:r w:rsidRPr="008B6574">
        <w:fldChar w:fldCharType="begin"/>
      </w:r>
      <w:r w:rsidRPr="000A1446">
        <w:instrText xml:space="preserve"> REF _Ref358309542 \r \h </w:instrText>
      </w:r>
      <w:r w:rsidR="000A1446">
        <w:instrText xml:space="preserve"> \* MERGEFORMAT </w:instrText>
      </w:r>
      <w:r w:rsidRPr="008B6574">
        <w:fldChar w:fldCharType="separate"/>
      </w:r>
      <w:r w:rsidR="00A528AE">
        <w:t>2.51</w:t>
      </w:r>
      <w:r w:rsidRPr="008B6574">
        <w:fldChar w:fldCharType="end"/>
      </w:r>
      <w:r w:rsidRPr="000A1446">
        <w:t>), the review from that point will continue according to a revised timeline which will include a new proposed decision date.</w:t>
      </w:r>
    </w:p>
    <w:p w:rsidR="001B4436" w:rsidRPr="000A1446" w:rsidRDefault="001B4436" w:rsidP="000262D5">
      <w:pPr>
        <w:numPr>
          <w:ilvl w:val="1"/>
          <w:numId w:val="4"/>
        </w:numPr>
        <w:tabs>
          <w:tab w:val="left" w:pos="851"/>
        </w:tabs>
        <w:ind w:left="851" w:hanging="491"/>
      </w:pPr>
      <w:r w:rsidRPr="000A1446">
        <w:t>The revised timeline will typically involve a period of consultation on the Statement of Issues and a period for the ACCC to consider the information provided in response to the Statement of Issues</w:t>
      </w:r>
      <w:r w:rsidR="004304D7" w:rsidRPr="000A1446">
        <w:t xml:space="preserve"> and engage with the merger parties on relevant issues</w:t>
      </w:r>
      <w:r w:rsidRPr="000A1446">
        <w:t>. Generally, the ACCC will set a timeline for this phase of the review of between 6 and 12 weeks, but this will vary on a case-by-case basis.</w:t>
      </w:r>
    </w:p>
    <w:p w:rsidR="003D08C3" w:rsidRPr="000A1446" w:rsidRDefault="003D08C3" w:rsidP="00B01418">
      <w:pPr>
        <w:pStyle w:val="Heading2"/>
      </w:pPr>
      <w:bookmarkStart w:id="29" w:name="_Toc360012429"/>
      <w:r w:rsidRPr="000A1446">
        <w:t>Requests for information by ACCC</w:t>
      </w:r>
      <w:bookmarkEnd w:id="29"/>
    </w:p>
    <w:p w:rsidR="003D08C3" w:rsidRPr="000A1446" w:rsidRDefault="003D08C3" w:rsidP="000262D5">
      <w:pPr>
        <w:numPr>
          <w:ilvl w:val="1"/>
          <w:numId w:val="4"/>
        </w:numPr>
        <w:tabs>
          <w:tab w:val="left" w:pos="851"/>
        </w:tabs>
        <w:ind w:left="851" w:hanging="491"/>
      </w:pPr>
      <w:bookmarkStart w:id="30" w:name="_Ref359422093"/>
      <w:r w:rsidRPr="000A1446">
        <w:t>The ACCC may request information of merger parties prior to commencing and throughout a merger review.</w:t>
      </w:r>
      <w:r w:rsidR="005D42DE" w:rsidRPr="000A1446">
        <w:t xml:space="preserve"> </w:t>
      </w:r>
      <w:r w:rsidR="00B71272" w:rsidRPr="000A1446">
        <w:t xml:space="preserve">The ACCC also makes requests for information of third parties, as necessary, throughout its reviews. </w:t>
      </w:r>
      <w:r w:rsidR="007C5000" w:rsidRPr="000A1446">
        <w:t xml:space="preserve">This </w:t>
      </w:r>
      <w:r w:rsidR="00611D27" w:rsidRPr="000A1446">
        <w:t xml:space="preserve">is the primary way in which the ACCC gathers the information necessary to form a view in relation to a merger. Under the informal merger review system, since there are no compulsory pre-notification requirements, the ACCC relies </w:t>
      </w:r>
      <w:r w:rsidR="007C5000" w:rsidRPr="000A1446">
        <w:t xml:space="preserve">primarily </w:t>
      </w:r>
      <w:r w:rsidR="00611D27" w:rsidRPr="000A1446">
        <w:t>on merger parties and other interested parties providing information on a voluntary basis, as requested, throughout the review.</w:t>
      </w:r>
      <w:bookmarkEnd w:id="30"/>
    </w:p>
    <w:p w:rsidR="005D42DE" w:rsidRPr="000A1446" w:rsidRDefault="005D42DE" w:rsidP="000262D5">
      <w:pPr>
        <w:numPr>
          <w:ilvl w:val="1"/>
          <w:numId w:val="4"/>
        </w:numPr>
        <w:tabs>
          <w:tab w:val="left" w:pos="851"/>
        </w:tabs>
        <w:ind w:left="851" w:hanging="491"/>
      </w:pPr>
      <w:r w:rsidRPr="000A1446">
        <w:t xml:space="preserve">As stated at </w:t>
      </w:r>
      <w:r w:rsidRPr="008B6574">
        <w:fldChar w:fldCharType="begin"/>
      </w:r>
      <w:r w:rsidRPr="000A1446">
        <w:instrText xml:space="preserve"> REF _Ref356981420 \r \h </w:instrText>
      </w:r>
      <w:r w:rsidR="000A1446">
        <w:instrText xml:space="preserve"> \* MERGEFORMAT </w:instrText>
      </w:r>
      <w:r w:rsidRPr="008B6574">
        <w:fldChar w:fldCharType="separate"/>
      </w:r>
      <w:r w:rsidR="00A528AE">
        <w:t>2.9</w:t>
      </w:r>
      <w:r w:rsidRPr="008B6574">
        <w:fldChar w:fldCharType="end"/>
      </w:r>
      <w:r w:rsidRPr="000A1446">
        <w:t xml:space="preserve">, the ACCC </w:t>
      </w:r>
      <w:r w:rsidR="00A94B80" w:rsidRPr="000A1446">
        <w:t xml:space="preserve">will expect to receive a </w:t>
      </w:r>
      <w:r w:rsidR="00DA03B7" w:rsidRPr="000A1446">
        <w:t xml:space="preserve">certain </w:t>
      </w:r>
      <w:r w:rsidR="00A94B80" w:rsidRPr="000A1446">
        <w:t>level of information</w:t>
      </w:r>
      <w:r w:rsidRPr="000A1446">
        <w:t xml:space="preserve"> </w:t>
      </w:r>
      <w:r w:rsidR="00890243" w:rsidRPr="000A1446">
        <w:t>at</w:t>
      </w:r>
      <w:r w:rsidRPr="000A1446">
        <w:t xml:space="preserve"> the commencement of a review and</w:t>
      </w:r>
      <w:r w:rsidR="00A94B80" w:rsidRPr="000A1446">
        <w:t xml:space="preserve"> will often need to request additional information as the review progresses. I</w:t>
      </w:r>
      <w:r w:rsidR="00890243" w:rsidRPr="000A1446">
        <w:t>n some cases</w:t>
      </w:r>
      <w:r w:rsidR="009F0422" w:rsidRPr="000A1446">
        <w:t>,</w:t>
      </w:r>
      <w:r w:rsidR="00890243" w:rsidRPr="000A1446">
        <w:t xml:space="preserve"> </w:t>
      </w:r>
      <w:r w:rsidR="009F0422" w:rsidRPr="000A1446">
        <w:t xml:space="preserve">progress </w:t>
      </w:r>
      <w:r w:rsidRPr="000A1446">
        <w:t>of a review may be delayed pending receipt of such information.</w:t>
      </w:r>
    </w:p>
    <w:p w:rsidR="00316573" w:rsidRPr="000A1446" w:rsidRDefault="00316573" w:rsidP="000262D5">
      <w:pPr>
        <w:numPr>
          <w:ilvl w:val="1"/>
          <w:numId w:val="4"/>
        </w:numPr>
        <w:tabs>
          <w:tab w:val="left" w:pos="851"/>
        </w:tabs>
        <w:ind w:left="851" w:hanging="491"/>
      </w:pPr>
      <w:bookmarkStart w:id="31" w:name="_Ref357436673"/>
      <w:r w:rsidRPr="000A1446">
        <w:t xml:space="preserve">The ACCC will, </w:t>
      </w:r>
      <w:r w:rsidR="00A94B80" w:rsidRPr="000A1446">
        <w:t>where appropriate</w:t>
      </w:r>
      <w:r w:rsidRPr="000A1446">
        <w:t xml:space="preserve">, </w:t>
      </w:r>
      <w:r w:rsidR="008B6574">
        <w:t xml:space="preserve">also </w:t>
      </w:r>
      <w:r w:rsidRPr="000A1446">
        <w:t xml:space="preserve">use its statutory </w:t>
      </w:r>
      <w:r w:rsidR="004304D7" w:rsidRPr="000A1446">
        <w:t xml:space="preserve">information gathering </w:t>
      </w:r>
      <w:r w:rsidRPr="000A1446">
        <w:t xml:space="preserve">powers under s. 155 of the </w:t>
      </w:r>
      <w:r w:rsidR="00B67732" w:rsidRPr="000A1446">
        <w:t>Act</w:t>
      </w:r>
      <w:r w:rsidR="00DE79FC" w:rsidRPr="000A1446">
        <w:rPr>
          <w:i/>
        </w:rPr>
        <w:t xml:space="preserve"> </w:t>
      </w:r>
      <w:r w:rsidRPr="000A1446">
        <w:t xml:space="preserve">to compel </w:t>
      </w:r>
      <w:r w:rsidR="00A94B80" w:rsidRPr="000A1446">
        <w:t xml:space="preserve">merger </w:t>
      </w:r>
      <w:r w:rsidRPr="000A1446">
        <w:t xml:space="preserve">parties </w:t>
      </w:r>
      <w:r w:rsidR="00A94B80" w:rsidRPr="000A1446">
        <w:t xml:space="preserve">(and in some limited cases, third parties) </w:t>
      </w:r>
      <w:r w:rsidRPr="000A1446">
        <w:t>to provide documents or information to the ACCC or to compel certain persons to appear before the ACCC to provide evidence under oath or affirmation.</w:t>
      </w:r>
      <w:r w:rsidR="002F2917" w:rsidRPr="000A1446">
        <w:t xml:space="preserve"> The ACCC will seek information in this way only when it considers it will be the most effective and/or efficient way of gathering the information necessary for the ACCC to make its decision.</w:t>
      </w:r>
      <w:bookmarkEnd w:id="31"/>
    </w:p>
    <w:p w:rsidR="00E10DE0" w:rsidRPr="000A1446" w:rsidRDefault="00E10DE0" w:rsidP="00B01418">
      <w:pPr>
        <w:pStyle w:val="Heading2"/>
      </w:pPr>
      <w:bookmarkStart w:id="32" w:name="_Toc360012430"/>
      <w:r w:rsidRPr="000A1446">
        <w:t>Confidential information</w:t>
      </w:r>
      <w:bookmarkEnd w:id="32"/>
    </w:p>
    <w:p w:rsidR="009A5B4D" w:rsidRPr="000A1446" w:rsidRDefault="00C6765E" w:rsidP="000262D5">
      <w:pPr>
        <w:numPr>
          <w:ilvl w:val="1"/>
          <w:numId w:val="4"/>
        </w:numPr>
        <w:tabs>
          <w:tab w:val="left" w:pos="851"/>
        </w:tabs>
        <w:ind w:left="851" w:hanging="491"/>
      </w:pPr>
      <w:r w:rsidRPr="000A1446">
        <w:t xml:space="preserve">The information provided by the merger parties and third parties during a review will often involve information that is commercially sensitive or confidential in nature. </w:t>
      </w:r>
      <w:r w:rsidR="009A5B4D" w:rsidRPr="000A1446">
        <w:t>The ACCC will accept submissions and information provided by the merger parties and third parties on the basis that:</w:t>
      </w:r>
    </w:p>
    <w:p w:rsidR="009A5B4D" w:rsidRPr="000A1446" w:rsidRDefault="009A5B4D" w:rsidP="009A5B4D">
      <w:pPr>
        <w:numPr>
          <w:ilvl w:val="0"/>
          <w:numId w:val="28"/>
        </w:numPr>
        <w:tabs>
          <w:tab w:val="left" w:pos="851"/>
        </w:tabs>
      </w:pPr>
      <w:r w:rsidRPr="000A1446">
        <w:t xml:space="preserve">There is no restriction on the internal use, including future </w:t>
      </w:r>
      <w:proofErr w:type="gramStart"/>
      <w:r w:rsidRPr="000A1446">
        <w:t>use, that</w:t>
      </w:r>
      <w:proofErr w:type="gramEnd"/>
      <w:r w:rsidRPr="000A1446">
        <w:t xml:space="preserve"> the ACCC may make of confidential information consistent with the ACCC’s statutory functions.</w:t>
      </w:r>
    </w:p>
    <w:p w:rsidR="009A5B4D" w:rsidRPr="000A1446" w:rsidRDefault="009A5B4D" w:rsidP="009A5B4D">
      <w:pPr>
        <w:numPr>
          <w:ilvl w:val="0"/>
          <w:numId w:val="28"/>
        </w:numPr>
        <w:tabs>
          <w:tab w:val="left" w:pos="851"/>
        </w:tabs>
      </w:pPr>
      <w:r w:rsidRPr="000A1446">
        <w:t>Confidential information may be disclosed to the ACCC’s external advisors and consultants on the condition that each such advisor or consultant will be informed of the obligation to treat the information as confidential.</w:t>
      </w:r>
    </w:p>
    <w:p w:rsidR="009A5B4D" w:rsidRPr="000A1446" w:rsidRDefault="009A5B4D" w:rsidP="009A5B4D">
      <w:pPr>
        <w:numPr>
          <w:ilvl w:val="0"/>
          <w:numId w:val="28"/>
        </w:numPr>
        <w:tabs>
          <w:tab w:val="left" w:pos="851"/>
        </w:tabs>
      </w:pPr>
      <w:r w:rsidRPr="000A1446">
        <w:t xml:space="preserve">The ACCC may disclose confidential information to third parties (in addition to its external advisors and consultants) if compelled by law or in accordance with section 155AAA of the </w:t>
      </w:r>
      <w:r w:rsidR="00B67732" w:rsidRPr="000A1446">
        <w:t>Act</w:t>
      </w:r>
      <w:r w:rsidRPr="000A1446">
        <w:t>.</w:t>
      </w:r>
    </w:p>
    <w:p w:rsidR="009A5B4D" w:rsidRPr="000A1446" w:rsidRDefault="00842A87" w:rsidP="000262D5">
      <w:pPr>
        <w:numPr>
          <w:ilvl w:val="1"/>
          <w:numId w:val="4"/>
        </w:numPr>
        <w:tabs>
          <w:tab w:val="left" w:pos="851"/>
        </w:tabs>
        <w:ind w:left="851" w:hanging="491"/>
      </w:pPr>
      <w:r w:rsidRPr="000A1446">
        <w:t xml:space="preserve">The ACCC will not </w:t>
      </w:r>
      <w:r w:rsidR="009F0422" w:rsidRPr="000A1446">
        <w:t xml:space="preserve">ordinarily </w:t>
      </w:r>
      <w:r w:rsidRPr="000A1446">
        <w:t>publicly disclose the submissions it receives during a review from the merger parties or third parties.</w:t>
      </w:r>
      <w:r w:rsidRPr="000A1446">
        <w:rPr>
          <w:rStyle w:val="FootnoteReference"/>
        </w:rPr>
        <w:footnoteReference w:id="16"/>
      </w:r>
      <w:r w:rsidRPr="000A1446">
        <w:t xml:space="preserve"> </w:t>
      </w:r>
      <w:r w:rsidR="00984155" w:rsidRPr="000A1446">
        <w:t>However</w:t>
      </w:r>
      <w:r w:rsidR="00E10DE0" w:rsidRPr="000A1446">
        <w:t xml:space="preserve">, </w:t>
      </w:r>
      <w:r w:rsidR="00B91E44" w:rsidRPr="000A1446">
        <w:t xml:space="preserve">it is important that </w:t>
      </w:r>
      <w:r w:rsidR="00E10DE0" w:rsidRPr="000A1446">
        <w:t xml:space="preserve">any </w:t>
      </w:r>
      <w:r w:rsidR="00984155" w:rsidRPr="000A1446">
        <w:t xml:space="preserve">properly </w:t>
      </w:r>
      <w:r w:rsidR="00E10DE0" w:rsidRPr="000A1446">
        <w:t xml:space="preserve">confidential </w:t>
      </w:r>
      <w:r w:rsidR="00984155" w:rsidRPr="000A1446">
        <w:t>parts of submissions</w:t>
      </w:r>
      <w:r w:rsidR="00E10DE0" w:rsidRPr="000A1446">
        <w:t xml:space="preserve"> provided to the ACCC </w:t>
      </w:r>
      <w:r w:rsidR="00984155" w:rsidRPr="000A1446">
        <w:t>are</w:t>
      </w:r>
      <w:r w:rsidR="00E10DE0" w:rsidRPr="000A1446">
        <w:t xml:space="preserve"> clearly marke</w:t>
      </w:r>
      <w:r w:rsidR="00C6765E" w:rsidRPr="000A1446">
        <w:t>d</w:t>
      </w:r>
      <w:r w:rsidR="00BE3993" w:rsidRPr="000A1446">
        <w:t xml:space="preserve">. </w:t>
      </w:r>
    </w:p>
    <w:p w:rsidR="009A5B4D" w:rsidRPr="000A1446" w:rsidRDefault="009A5B4D" w:rsidP="00B01418">
      <w:pPr>
        <w:pStyle w:val="Heading2"/>
      </w:pPr>
      <w:bookmarkStart w:id="33" w:name="_Toc360012431"/>
      <w:r w:rsidRPr="000A1446">
        <w:t>Feedback from market inquiries</w:t>
      </w:r>
      <w:bookmarkEnd w:id="33"/>
    </w:p>
    <w:p w:rsidR="007209B6" w:rsidRPr="000A1446" w:rsidRDefault="007209B6" w:rsidP="000262D5">
      <w:pPr>
        <w:numPr>
          <w:ilvl w:val="1"/>
          <w:numId w:val="4"/>
        </w:numPr>
        <w:tabs>
          <w:tab w:val="left" w:pos="851"/>
        </w:tabs>
        <w:ind w:left="851" w:hanging="491"/>
      </w:pPr>
      <w:bookmarkStart w:id="34" w:name="_Ref357435604"/>
      <w:r w:rsidRPr="000A1446">
        <w:t xml:space="preserve">The ACCC will generally provide to merger parties, in writing, details of any </w:t>
      </w:r>
      <w:r w:rsidR="004C3144" w:rsidRPr="000A1446">
        <w:t xml:space="preserve">relevant </w:t>
      </w:r>
      <w:r w:rsidRPr="000A1446">
        <w:t>issues or concerns arising during market inquiries</w:t>
      </w:r>
      <w:r w:rsidR="00190943" w:rsidRPr="000A1446">
        <w:t xml:space="preserve">. </w:t>
      </w:r>
      <w:r w:rsidRPr="000A1446">
        <w:t xml:space="preserve">There are two main points in a review where this may occur – following initial market inquiries and after the </w:t>
      </w:r>
      <w:r w:rsidR="00FE234D" w:rsidRPr="000A1446">
        <w:t>consultation process</w:t>
      </w:r>
      <w:r w:rsidRPr="000A1446">
        <w:t xml:space="preserve"> that follow</w:t>
      </w:r>
      <w:r w:rsidR="008B6574">
        <w:t>s</w:t>
      </w:r>
      <w:r w:rsidRPr="000A1446">
        <w:t xml:space="preserve"> a Statement of Issues.</w:t>
      </w:r>
      <w:r w:rsidRPr="000A1446">
        <w:rPr>
          <w:rStyle w:val="FootnoteReference"/>
        </w:rPr>
        <w:footnoteReference w:id="17"/>
      </w:r>
      <w:bookmarkEnd w:id="34"/>
    </w:p>
    <w:p w:rsidR="007209B6" w:rsidRPr="000A1446" w:rsidRDefault="007209B6" w:rsidP="000262D5">
      <w:pPr>
        <w:numPr>
          <w:ilvl w:val="1"/>
          <w:numId w:val="4"/>
        </w:numPr>
        <w:tabs>
          <w:tab w:val="left" w:pos="851"/>
        </w:tabs>
        <w:ind w:left="851" w:hanging="491"/>
      </w:pPr>
      <w:r w:rsidRPr="000A1446">
        <w:t xml:space="preserve">The ACCC provides feedback in this manner to </w:t>
      </w:r>
      <w:r w:rsidR="00D2752A" w:rsidRPr="000A1446">
        <w:t xml:space="preserve">facilitate a no-surprises approach and </w:t>
      </w:r>
      <w:r w:rsidRPr="000A1446">
        <w:t xml:space="preserve">afford merger parties an opportunity to </w:t>
      </w:r>
      <w:r w:rsidR="00BB65A5" w:rsidRPr="000A1446">
        <w:t>respond to</w:t>
      </w:r>
      <w:r w:rsidRPr="000A1446">
        <w:t xml:space="preserve"> the issues raised and to provide any additional information considered relevant prior to the ACCC </w:t>
      </w:r>
      <w:r w:rsidR="00650530" w:rsidRPr="000A1446">
        <w:t xml:space="preserve">making a finding in respect of </w:t>
      </w:r>
      <w:r w:rsidRPr="000A1446">
        <w:t>the proposed acquisition.</w:t>
      </w:r>
    </w:p>
    <w:p w:rsidR="007209B6" w:rsidRPr="000A1446" w:rsidRDefault="007209B6" w:rsidP="000262D5">
      <w:pPr>
        <w:numPr>
          <w:ilvl w:val="1"/>
          <w:numId w:val="4"/>
        </w:numPr>
        <w:tabs>
          <w:tab w:val="left" w:pos="851"/>
        </w:tabs>
        <w:ind w:left="851" w:hanging="491"/>
      </w:pPr>
      <w:r w:rsidRPr="000A1446">
        <w:t>Merger parties may choose to respond to the issues raised by the ACCC. A period of time is provided for this – usually 1-2 weeks.</w:t>
      </w:r>
      <w:r w:rsidR="00D97133" w:rsidRPr="000A1446">
        <w:t xml:space="preserve"> </w:t>
      </w:r>
    </w:p>
    <w:p w:rsidR="007209B6" w:rsidRPr="000A1446" w:rsidRDefault="007209B6" w:rsidP="000262D5">
      <w:pPr>
        <w:numPr>
          <w:ilvl w:val="1"/>
          <w:numId w:val="4"/>
        </w:numPr>
        <w:tabs>
          <w:tab w:val="left" w:pos="851"/>
        </w:tabs>
        <w:ind w:left="851" w:hanging="491"/>
      </w:pPr>
      <w:r w:rsidRPr="000A1446">
        <w:t>The nature of the feedback provided by the ACCC will be dependent on the matter at hand</w:t>
      </w:r>
      <w:r w:rsidR="0038160F" w:rsidRPr="000A1446">
        <w:t>,</w:t>
      </w:r>
      <w:r w:rsidRPr="000A1446">
        <w:t xml:space="preserve"> the </w:t>
      </w:r>
      <w:r w:rsidR="0038160F" w:rsidRPr="000A1446">
        <w:t xml:space="preserve">relevant </w:t>
      </w:r>
      <w:r w:rsidRPr="000A1446">
        <w:t xml:space="preserve">competition issues </w:t>
      </w:r>
      <w:r w:rsidR="00BB65A5" w:rsidRPr="000A1446">
        <w:t xml:space="preserve">and </w:t>
      </w:r>
      <w:r w:rsidR="00312C7A" w:rsidRPr="000A1446">
        <w:t xml:space="preserve">confidentiality surrounding </w:t>
      </w:r>
      <w:r w:rsidR="00BB65A5" w:rsidRPr="000A1446">
        <w:t>information supporting the issues raised</w:t>
      </w:r>
      <w:r w:rsidRPr="000A1446">
        <w:t xml:space="preserve">. </w:t>
      </w:r>
      <w:r w:rsidR="00F811D4" w:rsidRPr="000A1446">
        <w:t>T</w:t>
      </w:r>
      <w:r w:rsidRPr="000A1446">
        <w:t xml:space="preserve">he ACCC may raise issues which have been identified during market inquiries </w:t>
      </w:r>
      <w:r w:rsidR="00F811D4" w:rsidRPr="000A1446">
        <w:t>in order to test certain propositions with the merger parties. In some circumstances, t</w:t>
      </w:r>
      <w:r w:rsidRPr="000A1446">
        <w:t>he ACCC</w:t>
      </w:r>
      <w:r w:rsidR="00F811D4" w:rsidRPr="000A1446">
        <w:t>’s</w:t>
      </w:r>
      <w:r w:rsidRPr="000A1446">
        <w:t xml:space="preserve"> market inquiries </w:t>
      </w:r>
      <w:r w:rsidR="00760BDF" w:rsidRPr="000A1446">
        <w:t xml:space="preserve">will </w:t>
      </w:r>
      <w:r w:rsidRPr="000A1446">
        <w:t xml:space="preserve">elicit substantial information which </w:t>
      </w:r>
      <w:r w:rsidR="00760BDF" w:rsidRPr="000A1446">
        <w:t xml:space="preserve">will </w:t>
      </w:r>
      <w:r w:rsidRPr="000A1446">
        <w:t xml:space="preserve">allow the ACCC to express preliminary </w:t>
      </w:r>
      <w:r w:rsidR="00F811D4" w:rsidRPr="000A1446">
        <w:t xml:space="preserve">competition concerns </w:t>
      </w:r>
      <w:r w:rsidRPr="000A1446">
        <w:t xml:space="preserve">about the </w:t>
      </w:r>
      <w:r w:rsidR="00F811D4" w:rsidRPr="000A1446">
        <w:t>merger</w:t>
      </w:r>
      <w:r w:rsidRPr="000A1446">
        <w:t xml:space="preserve">. </w:t>
      </w:r>
    </w:p>
    <w:p w:rsidR="007209B6" w:rsidRPr="000A1446" w:rsidRDefault="00650530" w:rsidP="000262D5">
      <w:pPr>
        <w:numPr>
          <w:ilvl w:val="1"/>
          <w:numId w:val="4"/>
        </w:numPr>
        <w:tabs>
          <w:tab w:val="left" w:pos="851"/>
        </w:tabs>
        <w:ind w:left="851" w:hanging="491"/>
      </w:pPr>
      <w:r w:rsidRPr="000A1446">
        <w:t>T</w:t>
      </w:r>
      <w:r w:rsidR="007209B6" w:rsidRPr="000A1446">
        <w:t>he issues and concerns raised will not necessarily be an exhaustive list</w:t>
      </w:r>
      <w:r w:rsidR="00F811D4" w:rsidRPr="000A1446">
        <w:t xml:space="preserve"> of all of the issues the ACCC may encounter during the course of its review</w:t>
      </w:r>
      <w:r w:rsidR="007209B6" w:rsidRPr="000A1446">
        <w:t>.</w:t>
      </w:r>
      <w:r w:rsidR="00CE1CA1" w:rsidRPr="000A1446">
        <w:t xml:space="preserve"> The feedback provided </w:t>
      </w:r>
      <w:proofErr w:type="gramStart"/>
      <w:r w:rsidR="00CE1CA1" w:rsidRPr="000A1446">
        <w:t>may</w:t>
      </w:r>
      <w:proofErr w:type="gramEnd"/>
      <w:r w:rsidR="00CE1CA1" w:rsidRPr="000A1446">
        <w:t xml:space="preserve"> or may not </w:t>
      </w:r>
      <w:r w:rsidR="008B6574">
        <w:t>provide an indication of</w:t>
      </w:r>
      <w:r w:rsidR="008B6574" w:rsidRPr="000A1446">
        <w:t xml:space="preserve"> </w:t>
      </w:r>
      <w:r w:rsidR="00CE1CA1" w:rsidRPr="000A1446">
        <w:t>the ultimate views the ACCC forms regarding the merger at the conclusion of its review.</w:t>
      </w:r>
    </w:p>
    <w:p w:rsidR="00E93AFA" w:rsidRPr="000A1446" w:rsidRDefault="00E93AFA" w:rsidP="00B01418">
      <w:pPr>
        <w:pStyle w:val="Heading2"/>
      </w:pPr>
      <w:bookmarkStart w:id="35" w:name="_Toc360012432"/>
      <w:r w:rsidRPr="000A1446">
        <w:t>Statements of Issues</w:t>
      </w:r>
      <w:bookmarkEnd w:id="35"/>
      <w:r w:rsidRPr="000A1446">
        <w:t xml:space="preserve"> </w:t>
      </w:r>
    </w:p>
    <w:p w:rsidR="005424D2" w:rsidRPr="000A1446" w:rsidRDefault="005424D2" w:rsidP="000262D5">
      <w:pPr>
        <w:numPr>
          <w:ilvl w:val="1"/>
          <w:numId w:val="4"/>
        </w:numPr>
        <w:tabs>
          <w:tab w:val="left" w:pos="851"/>
        </w:tabs>
        <w:ind w:left="851" w:hanging="491"/>
      </w:pPr>
      <w:bookmarkStart w:id="36" w:name="_Ref358309542"/>
      <w:r w:rsidRPr="000A1446">
        <w:t>A Statement of Issues is a document published by the ACCC in merger reviews where the ACCC has come to a preliminary view that a proposed merger raises competition concerns that require further investigation. A Statement of Issues sets out the preliminary findings of the ACCC’s review, including where the ACCC considers a merger may substantially lessen competition or is considered likely to do so.</w:t>
      </w:r>
      <w:r w:rsidR="00626F16" w:rsidRPr="000A1446">
        <w:t xml:space="preserve"> </w:t>
      </w:r>
      <w:r w:rsidR="00A94B80" w:rsidRPr="000A1446">
        <w:t xml:space="preserve">The </w:t>
      </w:r>
      <w:r w:rsidR="00626F16" w:rsidRPr="000A1446">
        <w:t>release of a Statement of Issues will usually be accompanied by a press release.</w:t>
      </w:r>
      <w:bookmarkEnd w:id="36"/>
    </w:p>
    <w:p w:rsidR="005424D2" w:rsidRPr="000A1446" w:rsidRDefault="005424D2" w:rsidP="000262D5">
      <w:pPr>
        <w:numPr>
          <w:ilvl w:val="1"/>
          <w:numId w:val="4"/>
        </w:numPr>
        <w:tabs>
          <w:tab w:val="left" w:pos="851"/>
        </w:tabs>
        <w:ind w:left="851" w:hanging="491"/>
      </w:pPr>
      <w:r w:rsidRPr="000A1446">
        <w:t xml:space="preserve">The release of a Statement of Issues is aimed at providing </w:t>
      </w:r>
      <w:r w:rsidR="00156E4A" w:rsidRPr="000A1446">
        <w:t xml:space="preserve">guidance </w:t>
      </w:r>
      <w:r w:rsidRPr="000A1446">
        <w:t>to the merger parties and other interested parties and provides a basis upon which the ACCC can obtain further information that may either alleviate or reinforce the concerns of the ACCC. This practice is consistent with the ICN’s guiding principles for transparency and procedural fairness.</w:t>
      </w:r>
    </w:p>
    <w:p w:rsidR="00E93AFA" w:rsidRPr="000A1446" w:rsidRDefault="00D2752A" w:rsidP="000262D5">
      <w:pPr>
        <w:numPr>
          <w:ilvl w:val="1"/>
          <w:numId w:val="4"/>
        </w:numPr>
        <w:tabs>
          <w:tab w:val="left" w:pos="851"/>
        </w:tabs>
        <w:ind w:left="851" w:hanging="491"/>
      </w:pPr>
      <w:r w:rsidRPr="000A1446">
        <w:t xml:space="preserve">Following the release of a Statement of Issues, the ACCC will conduct further </w:t>
      </w:r>
      <w:r w:rsidR="00FE234D" w:rsidRPr="000A1446">
        <w:t>public consultation</w:t>
      </w:r>
      <w:r w:rsidRPr="000A1446">
        <w:t xml:space="preserve"> and </w:t>
      </w:r>
      <w:r w:rsidR="00E93AFA" w:rsidRPr="000A1446">
        <w:t xml:space="preserve">may make specific requests for information from the merger parties and third parties. </w:t>
      </w:r>
      <w:r w:rsidR="00D419CA" w:rsidRPr="000A1446">
        <w:t xml:space="preserve">In some cases, information will be sought through the use of the ACCC’s statutory information gathering powers (s. 155 notices - see section </w:t>
      </w:r>
      <w:r w:rsidR="00D419CA" w:rsidRPr="008B6574">
        <w:fldChar w:fldCharType="begin"/>
      </w:r>
      <w:r w:rsidR="00D419CA" w:rsidRPr="000A1446">
        <w:instrText xml:space="preserve"> REF _Ref357436673 \r \h </w:instrText>
      </w:r>
      <w:r w:rsidR="000A1446">
        <w:instrText xml:space="preserve"> \* MERGEFORMAT </w:instrText>
      </w:r>
      <w:r w:rsidR="00D419CA" w:rsidRPr="008B6574">
        <w:fldChar w:fldCharType="separate"/>
      </w:r>
      <w:r w:rsidR="00A528AE">
        <w:t>2.43</w:t>
      </w:r>
      <w:r w:rsidR="00D419CA" w:rsidRPr="008B6574">
        <w:fldChar w:fldCharType="end"/>
      </w:r>
      <w:r w:rsidR="00D419CA" w:rsidRPr="000A1446">
        <w:t xml:space="preserve"> for further details). </w:t>
      </w:r>
      <w:r w:rsidR="00E93AFA" w:rsidRPr="000A1446">
        <w:t xml:space="preserve">The duration of </w:t>
      </w:r>
      <w:r w:rsidR="00616F96">
        <w:t>this</w:t>
      </w:r>
      <w:r w:rsidR="003E5AB6" w:rsidRPr="000A1446">
        <w:t xml:space="preserve"> </w:t>
      </w:r>
      <w:r w:rsidR="00E93AFA" w:rsidRPr="000A1446">
        <w:t xml:space="preserve">phase of the review will, in part, depend on the responsiveness of parties to </w:t>
      </w:r>
      <w:r w:rsidR="00616F96">
        <w:t>information</w:t>
      </w:r>
      <w:r w:rsidR="00616F96" w:rsidRPr="000A1446">
        <w:t xml:space="preserve"> </w:t>
      </w:r>
      <w:r w:rsidR="00E93AFA" w:rsidRPr="000A1446">
        <w:t>requests.</w:t>
      </w:r>
    </w:p>
    <w:p w:rsidR="001D0498" w:rsidRPr="000A1446" w:rsidRDefault="001D0498" w:rsidP="00B01418">
      <w:pPr>
        <w:pStyle w:val="Heading2"/>
      </w:pPr>
      <w:bookmarkStart w:id="37" w:name="_Toc360012433"/>
      <w:r w:rsidRPr="000A1446">
        <w:t>ACCC’s final decision</w:t>
      </w:r>
      <w:bookmarkEnd w:id="37"/>
    </w:p>
    <w:p w:rsidR="001D0498" w:rsidRPr="000A1446" w:rsidRDefault="001D0498" w:rsidP="000262D5">
      <w:pPr>
        <w:numPr>
          <w:ilvl w:val="1"/>
          <w:numId w:val="4"/>
        </w:numPr>
        <w:tabs>
          <w:tab w:val="left" w:pos="851"/>
        </w:tabs>
        <w:ind w:left="851" w:hanging="491"/>
      </w:pPr>
      <w:r w:rsidRPr="000A1446">
        <w:t>The ACCC’s final decision in respect of an informal merger review can be:</w:t>
      </w:r>
    </w:p>
    <w:p w:rsidR="001D0498" w:rsidRPr="000A1446" w:rsidRDefault="001D0498" w:rsidP="000262D5">
      <w:pPr>
        <w:numPr>
          <w:ilvl w:val="2"/>
          <w:numId w:val="4"/>
        </w:numPr>
        <w:tabs>
          <w:tab w:val="left" w:pos="1276"/>
        </w:tabs>
        <w:ind w:left="1276" w:hanging="425"/>
      </w:pPr>
      <w:r w:rsidRPr="000A1446">
        <w:t>A decision to not oppose the merger</w:t>
      </w:r>
    </w:p>
    <w:p w:rsidR="001D0498" w:rsidRPr="000A1446" w:rsidRDefault="001D0498" w:rsidP="000262D5">
      <w:pPr>
        <w:numPr>
          <w:ilvl w:val="2"/>
          <w:numId w:val="4"/>
        </w:numPr>
        <w:tabs>
          <w:tab w:val="left" w:pos="1276"/>
        </w:tabs>
        <w:ind w:left="1276" w:hanging="425"/>
      </w:pPr>
      <w:r w:rsidRPr="000A1446">
        <w:t>A decision to oppose the merger</w:t>
      </w:r>
    </w:p>
    <w:p w:rsidR="001D0498" w:rsidRPr="000A1446" w:rsidRDefault="001D0498" w:rsidP="000262D5">
      <w:pPr>
        <w:numPr>
          <w:ilvl w:val="2"/>
          <w:numId w:val="4"/>
        </w:numPr>
        <w:tabs>
          <w:tab w:val="left" w:pos="1276"/>
        </w:tabs>
        <w:ind w:left="1276" w:hanging="425"/>
      </w:pPr>
      <w:r w:rsidRPr="000A1446">
        <w:t xml:space="preserve">A decision to not oppose the merger </w:t>
      </w:r>
      <w:r w:rsidR="003B0379" w:rsidRPr="000A1446">
        <w:t xml:space="preserve">subject to acceptance of section 87B undertakings (see </w:t>
      </w:r>
      <w:r w:rsidR="00616F96">
        <w:fldChar w:fldCharType="begin"/>
      </w:r>
      <w:r w:rsidR="00616F96">
        <w:instrText xml:space="preserve"> REF _Ref358213371 \r \h </w:instrText>
      </w:r>
      <w:r w:rsidR="00616F96">
        <w:fldChar w:fldCharType="separate"/>
      </w:r>
      <w:r w:rsidR="00A528AE">
        <w:t>2.74</w:t>
      </w:r>
      <w:r w:rsidR="00616F96">
        <w:fldChar w:fldCharType="end"/>
      </w:r>
      <w:r w:rsidR="003B0379" w:rsidRPr="000A1446">
        <w:t>).</w:t>
      </w:r>
    </w:p>
    <w:p w:rsidR="003B0379" w:rsidRPr="000A1446" w:rsidRDefault="003B0379" w:rsidP="000262D5">
      <w:pPr>
        <w:numPr>
          <w:ilvl w:val="1"/>
          <w:numId w:val="4"/>
        </w:numPr>
        <w:tabs>
          <w:tab w:val="left" w:pos="851"/>
        </w:tabs>
        <w:ind w:left="851" w:hanging="491"/>
      </w:pPr>
      <w:r w:rsidRPr="000A1446">
        <w:t>A significant majority of ACCC merger reviews result in a decision by the ACCC to not oppose the merger. Most of these reviews occur without the ACCC releasing a Statement of Issues.</w:t>
      </w:r>
    </w:p>
    <w:p w:rsidR="003B0379" w:rsidRPr="000A1446" w:rsidRDefault="003B0379" w:rsidP="000262D5">
      <w:pPr>
        <w:numPr>
          <w:ilvl w:val="1"/>
          <w:numId w:val="4"/>
        </w:numPr>
        <w:tabs>
          <w:tab w:val="left" w:pos="851"/>
        </w:tabs>
        <w:ind w:left="851" w:hanging="491"/>
      </w:pPr>
      <w:r w:rsidRPr="000A1446">
        <w:t>In those</w:t>
      </w:r>
      <w:r w:rsidR="00783545" w:rsidRPr="000A1446">
        <w:t xml:space="preserve"> reviews</w:t>
      </w:r>
      <w:r w:rsidRPr="000A1446">
        <w:t xml:space="preserve"> in which a Statement of Issues is published, the ACCC may </w:t>
      </w:r>
      <w:r w:rsidR="00D93934" w:rsidRPr="000A1446">
        <w:t xml:space="preserve">ultimately </w:t>
      </w:r>
      <w:r w:rsidRPr="000A1446">
        <w:t>decide to not oppose, oppose</w:t>
      </w:r>
      <w:r w:rsidR="000E02B7" w:rsidRPr="000A1446">
        <w:t>,</w:t>
      </w:r>
      <w:r w:rsidRPr="000A1446">
        <w:t xml:space="preserve"> or not oppose subject to the acceptance of undertakings.</w:t>
      </w:r>
    </w:p>
    <w:p w:rsidR="003B0379" w:rsidRPr="000A1446" w:rsidRDefault="003B0379" w:rsidP="000262D5">
      <w:pPr>
        <w:numPr>
          <w:ilvl w:val="1"/>
          <w:numId w:val="4"/>
        </w:numPr>
        <w:tabs>
          <w:tab w:val="left" w:pos="851"/>
        </w:tabs>
        <w:ind w:left="851" w:hanging="491"/>
      </w:pPr>
      <w:r w:rsidRPr="000A1446">
        <w:t xml:space="preserve">In </w:t>
      </w:r>
      <w:r w:rsidR="00D93934" w:rsidRPr="000A1446">
        <w:t>some</w:t>
      </w:r>
      <w:r w:rsidRPr="000A1446">
        <w:t xml:space="preserve"> very </w:t>
      </w:r>
      <w:r w:rsidR="00D93934" w:rsidRPr="000A1446">
        <w:t>limited circumstances</w:t>
      </w:r>
      <w:r w:rsidRPr="000A1446">
        <w:t xml:space="preserve">, the ACCC may oppose a merger without the release of a Statement of Issues. </w:t>
      </w:r>
    </w:p>
    <w:p w:rsidR="00626F16" w:rsidRPr="000A1446" w:rsidRDefault="00626F16" w:rsidP="000262D5">
      <w:pPr>
        <w:numPr>
          <w:ilvl w:val="1"/>
          <w:numId w:val="4"/>
        </w:numPr>
        <w:tabs>
          <w:tab w:val="left" w:pos="851"/>
        </w:tabs>
        <w:ind w:left="851" w:hanging="491"/>
      </w:pPr>
      <w:r w:rsidRPr="000A1446">
        <w:t xml:space="preserve">At the time of the ACCC’s announcement of its final decision, the ACCC may issue a press release which summarises the ACCC’s reasons for its decision. This will be more likely to occur where the ACCC has decided to oppose a merger or where undertakings have been accepted, however it may also occur where the merger under consideration </w:t>
      </w:r>
      <w:r w:rsidR="00190AA6" w:rsidRPr="000A1446">
        <w:t xml:space="preserve">is </w:t>
      </w:r>
      <w:r w:rsidRPr="000A1446">
        <w:t>of particular public interest.</w:t>
      </w:r>
    </w:p>
    <w:p w:rsidR="005A70B6" w:rsidRPr="000A1446" w:rsidRDefault="00D24C95" w:rsidP="000262D5">
      <w:pPr>
        <w:numPr>
          <w:ilvl w:val="1"/>
          <w:numId w:val="4"/>
        </w:numPr>
        <w:tabs>
          <w:tab w:val="left" w:pos="851"/>
        </w:tabs>
        <w:ind w:left="851" w:hanging="491"/>
      </w:pPr>
      <w:r w:rsidRPr="000A1446">
        <w:t xml:space="preserve">Following a final decision by the ACCC, for certain matters the ACCC will publish a Public Competition Assessment (see below from </w:t>
      </w:r>
      <w:r w:rsidR="00A250A7" w:rsidRPr="008B6574">
        <w:fldChar w:fldCharType="begin"/>
      </w:r>
      <w:r w:rsidR="00A250A7" w:rsidRPr="000A1446">
        <w:instrText xml:space="preserve"> REF _Ref358050218 \r \h </w:instrText>
      </w:r>
      <w:r w:rsidR="000A1446">
        <w:instrText xml:space="preserve"> \* MERGEFORMAT </w:instrText>
      </w:r>
      <w:r w:rsidR="00A250A7" w:rsidRPr="008B6574">
        <w:fldChar w:fldCharType="separate"/>
      </w:r>
      <w:r w:rsidR="00A528AE">
        <w:t>2.68</w:t>
      </w:r>
      <w:r w:rsidR="00A250A7" w:rsidRPr="008B6574">
        <w:fldChar w:fldCharType="end"/>
      </w:r>
      <w:r w:rsidRPr="000A1446">
        <w:t>)</w:t>
      </w:r>
      <w:r w:rsidR="00A250A7" w:rsidRPr="000A1446">
        <w:t xml:space="preserve">. </w:t>
      </w:r>
      <w:r w:rsidR="00A94B80" w:rsidRPr="000A1446">
        <w:t>For all other</w:t>
      </w:r>
      <w:r w:rsidR="00A250A7" w:rsidRPr="000A1446">
        <w:t xml:space="preserve"> matters the ACCC will explain </w:t>
      </w:r>
      <w:r w:rsidR="00A94B80" w:rsidRPr="000A1446">
        <w:t xml:space="preserve">the </w:t>
      </w:r>
      <w:r w:rsidR="00A250A7" w:rsidRPr="000A1446">
        <w:t>reasons for its decision in a summary on the mergers register.</w:t>
      </w:r>
    </w:p>
    <w:p w:rsidR="00361668" w:rsidRPr="000A1446" w:rsidRDefault="00361668" w:rsidP="00B01418">
      <w:pPr>
        <w:pStyle w:val="Heading2"/>
      </w:pPr>
      <w:bookmarkStart w:id="38" w:name="_Toc360012434"/>
      <w:r w:rsidRPr="000A1446">
        <w:t>International mergers</w:t>
      </w:r>
      <w:bookmarkEnd w:id="38"/>
    </w:p>
    <w:p w:rsidR="00361668" w:rsidRPr="000A1446" w:rsidRDefault="00361668" w:rsidP="000262D5">
      <w:pPr>
        <w:numPr>
          <w:ilvl w:val="1"/>
          <w:numId w:val="4"/>
        </w:numPr>
        <w:tabs>
          <w:tab w:val="left" w:pos="851"/>
        </w:tabs>
        <w:ind w:left="851" w:hanging="491"/>
      </w:pPr>
      <w:r w:rsidRPr="000A1446">
        <w:t xml:space="preserve">Where </w:t>
      </w:r>
      <w:r w:rsidR="007B3B72" w:rsidRPr="000A1446">
        <w:t>a</w:t>
      </w:r>
      <w:r w:rsidRPr="000A1446">
        <w:t xml:space="preserve"> merger subject to review is also being reviewed by overseas competition </w:t>
      </w:r>
      <w:r w:rsidR="007B3B72" w:rsidRPr="000A1446">
        <w:t>agencies</w:t>
      </w:r>
      <w:r w:rsidRPr="000A1446">
        <w:t xml:space="preserve">, the ACCC may </w:t>
      </w:r>
      <w:r w:rsidR="007B3B72" w:rsidRPr="000A1446">
        <w:t xml:space="preserve">consult with those agencies to inform the ACCC’s review. This may involve </w:t>
      </w:r>
      <w:r w:rsidRPr="000A1446">
        <w:t>suspend</w:t>
      </w:r>
      <w:r w:rsidR="007B3B72" w:rsidRPr="000A1446">
        <w:t>ing</w:t>
      </w:r>
      <w:r w:rsidRPr="000A1446">
        <w:t xml:space="preserve"> </w:t>
      </w:r>
      <w:r w:rsidR="007B3B72" w:rsidRPr="000A1446">
        <w:t xml:space="preserve">the </w:t>
      </w:r>
      <w:r w:rsidR="00E55D51" w:rsidRPr="000A1446">
        <w:t>ACCC’s review</w:t>
      </w:r>
      <w:r w:rsidRPr="000A1446">
        <w:t xml:space="preserve"> pending discussions </w:t>
      </w:r>
      <w:r w:rsidR="007B3B72" w:rsidRPr="000A1446">
        <w:t>with</w:t>
      </w:r>
      <w:r w:rsidRPr="000A1446">
        <w:t xml:space="preserve"> those </w:t>
      </w:r>
      <w:r w:rsidR="007B3B72" w:rsidRPr="000A1446">
        <w:t xml:space="preserve">agencies </w:t>
      </w:r>
      <w:r w:rsidRPr="000A1446">
        <w:t xml:space="preserve">or, in some circumstances, the outcome of reviews by overseas </w:t>
      </w:r>
      <w:r w:rsidR="007B3B72" w:rsidRPr="000A1446">
        <w:t>agencies</w:t>
      </w:r>
      <w:r w:rsidRPr="000A1446">
        <w:t xml:space="preserve">. </w:t>
      </w:r>
    </w:p>
    <w:p w:rsidR="007B3B72" w:rsidRPr="000A1446" w:rsidRDefault="007B3B72" w:rsidP="000262D5">
      <w:pPr>
        <w:numPr>
          <w:ilvl w:val="1"/>
          <w:numId w:val="4"/>
        </w:numPr>
        <w:tabs>
          <w:tab w:val="left" w:pos="851"/>
        </w:tabs>
        <w:ind w:left="851" w:hanging="491"/>
      </w:pPr>
      <w:r w:rsidRPr="000A1446">
        <w:t>Where discussions with other agencies do not involve protected information (as defined in s. 155AAA of the Act) then such discussions can occur without seeking permission from the merger parties. That is, discussions that only involve publicly available information can occur freely.</w:t>
      </w:r>
    </w:p>
    <w:p w:rsidR="007B3B72" w:rsidRPr="000A1446" w:rsidRDefault="007B3B72" w:rsidP="000262D5">
      <w:pPr>
        <w:numPr>
          <w:ilvl w:val="1"/>
          <w:numId w:val="4"/>
        </w:numPr>
        <w:tabs>
          <w:tab w:val="left" w:pos="851"/>
        </w:tabs>
        <w:ind w:left="851" w:hanging="491"/>
      </w:pPr>
      <w:r w:rsidRPr="000A1446">
        <w:t>However, if the ACCC wants to exchange information of a confidential nature, or s. 155 materials, (including discussing such information or materials orally) or other protected information then it must either:</w:t>
      </w:r>
    </w:p>
    <w:p w:rsidR="007B3B72" w:rsidRPr="000A1446" w:rsidRDefault="007B3B72" w:rsidP="000262D5">
      <w:pPr>
        <w:numPr>
          <w:ilvl w:val="0"/>
          <w:numId w:val="38"/>
        </w:numPr>
        <w:tabs>
          <w:tab w:val="left" w:pos="851"/>
        </w:tabs>
        <w:ind w:hanging="301"/>
      </w:pPr>
      <w:r w:rsidRPr="000A1446">
        <w:t xml:space="preserve">Follow the procedures for disclosure of information to an international agency pursuant to s. 155AAA; or </w:t>
      </w:r>
    </w:p>
    <w:p w:rsidR="007B3B72" w:rsidRPr="000A1446" w:rsidRDefault="007B3B72" w:rsidP="000262D5">
      <w:pPr>
        <w:numPr>
          <w:ilvl w:val="0"/>
          <w:numId w:val="38"/>
        </w:numPr>
        <w:tabs>
          <w:tab w:val="left" w:pos="851"/>
        </w:tabs>
        <w:ind w:hanging="301"/>
      </w:pPr>
      <w:r w:rsidRPr="000A1446">
        <w:t xml:space="preserve">Seek confidentiality waivers – that is, obtain the permission of the parties to disclose protected information. </w:t>
      </w:r>
    </w:p>
    <w:p w:rsidR="007B3B72" w:rsidRPr="000A1446" w:rsidRDefault="007B3B72" w:rsidP="000262D5">
      <w:pPr>
        <w:numPr>
          <w:ilvl w:val="1"/>
          <w:numId w:val="4"/>
        </w:numPr>
        <w:tabs>
          <w:tab w:val="left" w:pos="851"/>
        </w:tabs>
        <w:ind w:left="851" w:hanging="491"/>
      </w:pPr>
      <w:r w:rsidRPr="000A1446">
        <w:t>Obtaining consent by way of confidentiality waiver to permit such disclosure is the preferred approach in most cases, as it is less procedurally onerous, accords with the procedures of most other international competition agencies, and provides a clear and certain basis for the exchange of information.</w:t>
      </w:r>
    </w:p>
    <w:p w:rsidR="00E55D51" w:rsidRPr="000A1446" w:rsidRDefault="007B3B72" w:rsidP="00610FDB">
      <w:pPr>
        <w:numPr>
          <w:ilvl w:val="1"/>
          <w:numId w:val="4"/>
        </w:numPr>
        <w:tabs>
          <w:tab w:val="left" w:pos="851"/>
        </w:tabs>
        <w:ind w:left="851" w:hanging="491"/>
      </w:pPr>
      <w:r w:rsidRPr="000A1446">
        <w:t xml:space="preserve">It is important that confidentiality waivers are given in an acceptable form that is consistent with the ACCC’s confidentiality rules. </w:t>
      </w:r>
      <w:r w:rsidR="00616F96">
        <w:t>The ACCC will not accept waivers that</w:t>
      </w:r>
      <w:r w:rsidR="00285326" w:rsidRPr="000A1446">
        <w:t xml:space="preserve"> </w:t>
      </w:r>
      <w:r w:rsidR="00E55D51" w:rsidRPr="000A1446">
        <w:t xml:space="preserve">would require the ACCC to treat the information in a manner inconsistent with the ACCC’s general discretion to use information obtained in merger matters </w:t>
      </w:r>
      <w:r w:rsidR="00285326" w:rsidRPr="000A1446">
        <w:t>to perform its other statutory functions or duties</w:t>
      </w:r>
      <w:r w:rsidR="00E55D51" w:rsidRPr="000A1446">
        <w:t>. Therefore, t</w:t>
      </w:r>
      <w:r w:rsidR="00361668" w:rsidRPr="000A1446">
        <w:t>he ACCC has developed a standard form waiver which will be provided to merger parties as appropriate.</w:t>
      </w:r>
      <w:r w:rsidR="00E55D51" w:rsidRPr="000A1446">
        <w:t xml:space="preserve"> </w:t>
      </w:r>
    </w:p>
    <w:p w:rsidR="00254E62" w:rsidRPr="000A1446" w:rsidRDefault="00254E62" w:rsidP="00B01418">
      <w:pPr>
        <w:pStyle w:val="Heading2"/>
      </w:pPr>
      <w:bookmarkStart w:id="39" w:name="_Toc360012435"/>
      <w:r w:rsidRPr="000A1446">
        <w:t>Completed mergers</w:t>
      </w:r>
      <w:bookmarkEnd w:id="39"/>
    </w:p>
    <w:p w:rsidR="00254E62" w:rsidRPr="000A1446" w:rsidRDefault="00254E62" w:rsidP="000262D5">
      <w:pPr>
        <w:numPr>
          <w:ilvl w:val="1"/>
          <w:numId w:val="4"/>
        </w:numPr>
        <w:tabs>
          <w:tab w:val="left" w:pos="851"/>
        </w:tabs>
        <w:ind w:left="851" w:hanging="491"/>
      </w:pPr>
      <w:bookmarkStart w:id="40" w:name="_Ref358042217"/>
      <w:r w:rsidRPr="000A1446">
        <w:t xml:space="preserve">As noted above, the ACCC will review completed mergers where it considers they may </w:t>
      </w:r>
      <w:r w:rsidR="00190AA6" w:rsidRPr="000A1446">
        <w:t>raise competition concerns</w:t>
      </w:r>
      <w:r w:rsidRPr="000A1446">
        <w:t>.</w:t>
      </w:r>
      <w:bookmarkEnd w:id="40"/>
    </w:p>
    <w:p w:rsidR="00254E62" w:rsidRPr="000A1446" w:rsidRDefault="00331EF3" w:rsidP="000262D5">
      <w:pPr>
        <w:numPr>
          <w:ilvl w:val="1"/>
          <w:numId w:val="4"/>
        </w:numPr>
        <w:tabs>
          <w:tab w:val="left" w:pos="851"/>
        </w:tabs>
        <w:ind w:left="851" w:hanging="491"/>
      </w:pPr>
      <w:r w:rsidRPr="000A1446">
        <w:t>Reviews of completed mergers</w:t>
      </w:r>
      <w:r w:rsidR="00254E62" w:rsidRPr="000A1446">
        <w:t xml:space="preserve"> will generally undergo a different process to reviews of proposed acquisitions</w:t>
      </w:r>
      <w:r w:rsidR="00D419CA" w:rsidRPr="000A1446">
        <w:t xml:space="preserve">. Completed mergers will not be reviewed in accordance with the processes outlined in these guidelines but will rather be treated as </w:t>
      </w:r>
      <w:r w:rsidR="0070090A" w:rsidRPr="000A1446">
        <w:t xml:space="preserve">investigations </w:t>
      </w:r>
      <w:r w:rsidR="00D419CA" w:rsidRPr="000A1446">
        <w:t xml:space="preserve">of potential breaches of the </w:t>
      </w:r>
      <w:r w:rsidR="0070090A" w:rsidRPr="000A1446">
        <w:t xml:space="preserve">Act </w:t>
      </w:r>
      <w:r w:rsidR="00D419CA" w:rsidRPr="000A1446">
        <w:t>that have occurred. Completed mergers under review</w:t>
      </w:r>
      <w:r w:rsidR="00254E62" w:rsidRPr="000A1446">
        <w:t xml:space="preserve"> will be posted on the merger register but no indicative timeline will be published.</w:t>
      </w:r>
      <w:r w:rsidR="00D419CA" w:rsidRPr="000A1446">
        <w:t xml:space="preserve"> </w:t>
      </w:r>
    </w:p>
    <w:p w:rsidR="000A7F4C" w:rsidRPr="00610FDB" w:rsidRDefault="000A7F4C" w:rsidP="00610FDB">
      <w:pPr>
        <w:pStyle w:val="Heading2"/>
      </w:pPr>
      <w:bookmarkStart w:id="41" w:name="_Toc360012436"/>
      <w:r w:rsidRPr="008B6574">
        <w:t>Recording duration of ACCC merger reviews</w:t>
      </w:r>
      <w:bookmarkEnd w:id="41"/>
    </w:p>
    <w:p w:rsidR="000A7F4C" w:rsidRPr="00610FDB" w:rsidRDefault="000A7F4C" w:rsidP="00610FDB">
      <w:pPr>
        <w:numPr>
          <w:ilvl w:val="1"/>
          <w:numId w:val="4"/>
        </w:numPr>
        <w:tabs>
          <w:tab w:val="left" w:pos="851"/>
        </w:tabs>
        <w:ind w:left="851" w:hanging="491"/>
      </w:pPr>
      <w:r w:rsidRPr="000A1446">
        <w:t>Once an ACCC merger review is completed, the mergers register will be updated to record the relevant information about the review, including the duration of the ACCC’s review. The ACCC records ‘total review days’ which is the total number of business days in which the merger was subject to review, less the number of days during which the review was suspended or the ACCC was awaiting information from merger parties.</w:t>
      </w:r>
    </w:p>
    <w:p w:rsidR="00A250A7" w:rsidRPr="00610FDB" w:rsidRDefault="00A250A7" w:rsidP="00610FDB">
      <w:pPr>
        <w:pStyle w:val="Heading2"/>
        <w:rPr>
          <w:b w:val="0"/>
          <w:bCs w:val="0"/>
          <w:iCs w:val="0"/>
        </w:rPr>
      </w:pPr>
      <w:bookmarkStart w:id="42" w:name="_Toc360012437"/>
      <w:r w:rsidRPr="00610FDB">
        <w:t>Public Competition Assessments</w:t>
      </w:r>
      <w:bookmarkEnd w:id="42"/>
    </w:p>
    <w:p w:rsidR="00A250A7" w:rsidRPr="000A1446" w:rsidRDefault="00A250A7" w:rsidP="000262D5">
      <w:pPr>
        <w:numPr>
          <w:ilvl w:val="1"/>
          <w:numId w:val="4"/>
        </w:numPr>
        <w:tabs>
          <w:tab w:val="left" w:pos="851"/>
        </w:tabs>
        <w:ind w:left="851" w:hanging="491"/>
      </w:pPr>
      <w:bookmarkStart w:id="43" w:name="_Ref358050218"/>
      <w:r w:rsidRPr="000A1446">
        <w:t xml:space="preserve">A Public Competition Assessment is a detailed summary of the </w:t>
      </w:r>
      <w:r w:rsidR="00331EF3" w:rsidRPr="000A1446">
        <w:t xml:space="preserve">ACCC’s reasons and </w:t>
      </w:r>
      <w:r w:rsidRPr="000A1446">
        <w:t>issues considered by the ACCC in a merger review and is generally published when:</w:t>
      </w:r>
      <w:bookmarkEnd w:id="43"/>
    </w:p>
    <w:p w:rsidR="00A250A7" w:rsidRPr="000A1446" w:rsidRDefault="00A250A7" w:rsidP="00A250A7">
      <w:pPr>
        <w:numPr>
          <w:ilvl w:val="0"/>
          <w:numId w:val="25"/>
        </w:numPr>
        <w:tabs>
          <w:tab w:val="left" w:pos="851"/>
        </w:tabs>
      </w:pPr>
      <w:r w:rsidRPr="000A1446">
        <w:t>A merger is opposed</w:t>
      </w:r>
    </w:p>
    <w:p w:rsidR="00A250A7" w:rsidRPr="000A1446" w:rsidRDefault="00A250A7" w:rsidP="00A250A7">
      <w:pPr>
        <w:numPr>
          <w:ilvl w:val="0"/>
          <w:numId w:val="25"/>
        </w:numPr>
        <w:tabs>
          <w:tab w:val="left" w:pos="851"/>
        </w:tabs>
      </w:pPr>
      <w:r w:rsidRPr="000A1446">
        <w:t>A merger is subject to enforceable undertakings</w:t>
      </w:r>
    </w:p>
    <w:p w:rsidR="00A250A7" w:rsidRPr="000A1446" w:rsidRDefault="00A250A7" w:rsidP="00A250A7">
      <w:pPr>
        <w:numPr>
          <w:ilvl w:val="0"/>
          <w:numId w:val="25"/>
        </w:numPr>
        <w:tabs>
          <w:tab w:val="left" w:pos="851"/>
        </w:tabs>
      </w:pPr>
      <w:r w:rsidRPr="000A1446">
        <w:t>A merger is cleared but raises important issues that the ACCC considers should be made public</w:t>
      </w:r>
    </w:p>
    <w:p w:rsidR="00A250A7" w:rsidRPr="000A1446" w:rsidRDefault="00A250A7" w:rsidP="000262D5">
      <w:pPr>
        <w:numPr>
          <w:ilvl w:val="1"/>
          <w:numId w:val="4"/>
        </w:numPr>
        <w:tabs>
          <w:tab w:val="left" w:pos="851"/>
        </w:tabs>
        <w:ind w:left="851" w:hanging="491"/>
      </w:pPr>
      <w:r w:rsidRPr="000A1446">
        <w:t xml:space="preserve">In publishing a Public Competition Assessment, the ACCC aims to provide </w:t>
      </w:r>
      <w:r w:rsidR="00D419CA" w:rsidRPr="000A1446">
        <w:t xml:space="preserve">guidance </w:t>
      </w:r>
      <w:r w:rsidRPr="000A1446">
        <w:t xml:space="preserve">to the public </w:t>
      </w:r>
      <w:r w:rsidR="00933E0A" w:rsidRPr="000A1446">
        <w:t xml:space="preserve">about </w:t>
      </w:r>
      <w:r w:rsidRPr="000A1446">
        <w:t>the ACCC’s analysis of the competition issues involved in certain merger reviews.</w:t>
      </w:r>
    </w:p>
    <w:p w:rsidR="00A250A7" w:rsidRPr="000A1446" w:rsidRDefault="00A250A7" w:rsidP="000262D5">
      <w:pPr>
        <w:numPr>
          <w:ilvl w:val="1"/>
          <w:numId w:val="4"/>
        </w:numPr>
        <w:tabs>
          <w:tab w:val="left" w:pos="851"/>
        </w:tabs>
        <w:ind w:left="851" w:hanging="491"/>
      </w:pPr>
      <w:r w:rsidRPr="000A1446">
        <w:t xml:space="preserve">The ACCC endeavours to publish Public Competition Assessments as soon as </w:t>
      </w:r>
      <w:r w:rsidR="008F55A1" w:rsidRPr="000A1446">
        <w:t xml:space="preserve">practicable </w:t>
      </w:r>
      <w:r w:rsidRPr="000A1446">
        <w:t xml:space="preserve">after the announcement of an ACCC decision. Where matters are complex and the competition issues raised are significant, the period of time needed to produce a Public Competition Assessment may be lengthy to ensure the account of the ACCC’s reasons is </w:t>
      </w:r>
      <w:r w:rsidR="00352342" w:rsidRPr="000A1446">
        <w:t>accurate</w:t>
      </w:r>
      <w:r w:rsidRPr="000A1446">
        <w:t xml:space="preserve">, </w:t>
      </w:r>
      <w:r w:rsidR="00933E0A" w:rsidRPr="000A1446">
        <w:t>having regard to</w:t>
      </w:r>
      <w:r w:rsidRPr="000A1446">
        <w:t xml:space="preserve"> any legal or commercial sensitivity. </w:t>
      </w:r>
    </w:p>
    <w:p w:rsidR="00A250A7" w:rsidRPr="000A1446" w:rsidRDefault="00A250A7" w:rsidP="000262D5">
      <w:pPr>
        <w:numPr>
          <w:ilvl w:val="1"/>
          <w:numId w:val="4"/>
        </w:numPr>
        <w:tabs>
          <w:tab w:val="left" w:pos="851"/>
        </w:tabs>
        <w:ind w:left="851" w:hanging="491"/>
      </w:pPr>
      <w:r w:rsidRPr="000A1446">
        <w:t>Merger parties will be provided with a copy of the Public Competition Assessment at the time of publication or shortly after.</w:t>
      </w:r>
    </w:p>
    <w:p w:rsidR="00A250A7" w:rsidRPr="000A1446" w:rsidRDefault="00A250A7" w:rsidP="000262D5">
      <w:pPr>
        <w:numPr>
          <w:ilvl w:val="1"/>
          <w:numId w:val="4"/>
        </w:numPr>
        <w:tabs>
          <w:tab w:val="left" w:pos="851"/>
        </w:tabs>
        <w:ind w:left="851" w:hanging="491"/>
      </w:pPr>
      <w:r w:rsidRPr="000A1446">
        <w:t xml:space="preserve">In publishing a Public Competition Assessment, the ACCC takes great care to protect confidential information provided to it throughout its review, including, in some cases, the identity of particular parties that have provided information to the ACCC. The ACCC endeavours to prepare the Public Competition Assessment in a way that provides an appropriate level of detail while maintaining confidentiality and </w:t>
      </w:r>
      <w:r w:rsidR="00B422A2" w:rsidRPr="000A1446">
        <w:t xml:space="preserve">protecting </w:t>
      </w:r>
      <w:r w:rsidRPr="000A1446">
        <w:t>sources of confidential information.</w:t>
      </w:r>
    </w:p>
    <w:p w:rsidR="00A250A7" w:rsidRPr="000A1446" w:rsidRDefault="00A250A7" w:rsidP="000262D5">
      <w:pPr>
        <w:numPr>
          <w:ilvl w:val="1"/>
          <w:numId w:val="4"/>
        </w:numPr>
        <w:tabs>
          <w:tab w:val="left" w:pos="851"/>
        </w:tabs>
        <w:ind w:left="851" w:hanging="491"/>
      </w:pPr>
      <w:r w:rsidRPr="000A1446">
        <w:t xml:space="preserve">Where there is </w:t>
      </w:r>
      <w:r w:rsidR="007B6BD7" w:rsidRPr="000A1446">
        <w:t xml:space="preserve">the </w:t>
      </w:r>
      <w:r w:rsidRPr="000A1446">
        <w:t xml:space="preserve">prospect of litigation following an ACCC decision to oppose a merger, the ACCC will generally delay release of a Public Competition Assessment until </w:t>
      </w:r>
      <w:r w:rsidR="00896F55" w:rsidRPr="000A1446">
        <w:t xml:space="preserve">confirmation is received </w:t>
      </w:r>
      <w:r w:rsidRPr="000A1446">
        <w:t xml:space="preserve">that </w:t>
      </w:r>
      <w:r w:rsidR="00896F55" w:rsidRPr="000A1446">
        <w:t xml:space="preserve">the merger parties will </w:t>
      </w:r>
      <w:r w:rsidRPr="000A1446">
        <w:t>not proceed</w:t>
      </w:r>
      <w:r w:rsidR="00896F55" w:rsidRPr="000A1446">
        <w:t xml:space="preserve"> with the merger</w:t>
      </w:r>
      <w:r w:rsidRPr="000A1446">
        <w:t xml:space="preserve">. In circumstances where an ACCC decision to oppose a merger </w:t>
      </w:r>
      <w:r w:rsidR="007B6BD7" w:rsidRPr="000A1446">
        <w:t>proceeds to litigation</w:t>
      </w:r>
      <w:r w:rsidRPr="000A1446">
        <w:t xml:space="preserve">, the ACCC will not generally publish a Public Competition Assessment. This is because the findings of the court will become the public record of the competition issues involved in the merger. </w:t>
      </w:r>
    </w:p>
    <w:p w:rsidR="00E93AFA" w:rsidRPr="000A1446" w:rsidRDefault="00E93AFA" w:rsidP="00B01418">
      <w:pPr>
        <w:pStyle w:val="Heading2"/>
      </w:pPr>
      <w:bookmarkStart w:id="44" w:name="_Toc360012438"/>
      <w:r w:rsidRPr="000A1446">
        <w:t>Section 87B undertakings</w:t>
      </w:r>
      <w:bookmarkEnd w:id="44"/>
    </w:p>
    <w:p w:rsidR="005118C2" w:rsidRPr="000A1446" w:rsidRDefault="005118C2" w:rsidP="000262D5">
      <w:pPr>
        <w:numPr>
          <w:ilvl w:val="1"/>
          <w:numId w:val="4"/>
        </w:numPr>
        <w:tabs>
          <w:tab w:val="left" w:pos="851"/>
        </w:tabs>
        <w:ind w:left="851" w:hanging="491"/>
      </w:pPr>
      <w:bookmarkStart w:id="45" w:name="_Ref358213371"/>
      <w:r w:rsidRPr="000A1446">
        <w:t>When a merger raises competition issues</w:t>
      </w:r>
      <w:r w:rsidR="00A40191" w:rsidRPr="000A1446">
        <w:t xml:space="preserve"> at the outset or during a review</w:t>
      </w:r>
      <w:r w:rsidRPr="000A1446">
        <w:t>, the</w:t>
      </w:r>
      <w:r w:rsidR="00A40191" w:rsidRPr="000A1446">
        <w:t xml:space="preserve"> merger parties may decide to offer remedies to</w:t>
      </w:r>
      <w:r w:rsidRPr="000A1446">
        <w:t xml:space="preserve"> the ACCC </w:t>
      </w:r>
      <w:r w:rsidR="00A40191" w:rsidRPr="000A1446">
        <w:t>in the form of</w:t>
      </w:r>
      <w:r w:rsidRPr="000A1446">
        <w:t xml:space="preserve"> court enforceable undertaking</w:t>
      </w:r>
      <w:r w:rsidR="007B6BD7" w:rsidRPr="000A1446">
        <w:t>s</w:t>
      </w:r>
      <w:r w:rsidRPr="000A1446">
        <w:t xml:space="preserve"> under s. 87B of the Act</w:t>
      </w:r>
      <w:r w:rsidR="00A40191" w:rsidRPr="000A1446">
        <w:t xml:space="preserve"> in order to address the competition concerns identified by the ACCC.</w:t>
      </w:r>
      <w:bookmarkEnd w:id="45"/>
    </w:p>
    <w:p w:rsidR="005118C2" w:rsidRPr="000A1446" w:rsidRDefault="005118C2" w:rsidP="000262D5">
      <w:pPr>
        <w:numPr>
          <w:ilvl w:val="1"/>
          <w:numId w:val="4"/>
        </w:numPr>
        <w:tabs>
          <w:tab w:val="left" w:pos="851"/>
        </w:tabs>
        <w:ind w:left="851" w:hanging="491"/>
      </w:pPr>
      <w:r w:rsidRPr="000A1446">
        <w:t xml:space="preserve">This section outlines the process by which the ACCC will consider proposed undertakings. The </w:t>
      </w:r>
      <w:r w:rsidRPr="000A1446">
        <w:rPr>
          <w:i/>
        </w:rPr>
        <w:t>2008 Merger Guidelines</w:t>
      </w:r>
      <w:r w:rsidRPr="000A1446">
        <w:t xml:space="preserve"> discuss in detail the nature and purpose of s. 87B undertakings and the ACCC’s analytical approach to accepting them for mergers. </w:t>
      </w:r>
    </w:p>
    <w:p w:rsidR="005118C2" w:rsidRPr="00610FDB" w:rsidRDefault="005118C2" w:rsidP="00610FDB">
      <w:pPr>
        <w:pStyle w:val="Heading3"/>
        <w:rPr>
          <w:b w:val="0"/>
          <w:i w:val="0"/>
        </w:rPr>
      </w:pPr>
      <w:bookmarkStart w:id="46" w:name="_Toc360012439"/>
      <w:r w:rsidRPr="00610FDB">
        <w:t>Before an undertaking is offered</w:t>
      </w:r>
      <w:bookmarkEnd w:id="46"/>
      <w:r w:rsidRPr="00610FDB">
        <w:t xml:space="preserve"> </w:t>
      </w:r>
    </w:p>
    <w:p w:rsidR="005118C2" w:rsidRPr="000A1446" w:rsidRDefault="005118C2" w:rsidP="000262D5">
      <w:pPr>
        <w:numPr>
          <w:ilvl w:val="1"/>
          <w:numId w:val="4"/>
        </w:numPr>
        <w:tabs>
          <w:tab w:val="left" w:pos="851"/>
        </w:tabs>
        <w:ind w:left="851" w:hanging="491"/>
      </w:pPr>
      <w:r w:rsidRPr="000A1446">
        <w:t xml:space="preserve">Merger parties are encouraged to discuss the proposed form and content of an undertaking with the ACCC before the document is prepared. The ACCC’s approach to the substance of an undertaking will depend on the circumstances of each matter. However, the </w:t>
      </w:r>
      <w:r w:rsidR="00D419CA" w:rsidRPr="000A1446">
        <w:t xml:space="preserve">ACCC </w:t>
      </w:r>
      <w:r w:rsidRPr="000A1446">
        <w:t>can provide merger parties with guidance on the content and form of an undertaking that may be suitable to the specific circumstances of a merger before the merger parties submit a proposed undertaking.</w:t>
      </w:r>
      <w:r w:rsidR="00B67732" w:rsidRPr="000A1446">
        <w:t xml:space="preserve"> </w:t>
      </w:r>
      <w:r w:rsidRPr="000A1446">
        <w:t xml:space="preserve">In this regard, the ACCC requires that all undertakings contain certain standard machinery clauses which the </w:t>
      </w:r>
      <w:r w:rsidR="00D419CA" w:rsidRPr="000A1446">
        <w:t xml:space="preserve">ACCC </w:t>
      </w:r>
      <w:r w:rsidRPr="000A1446">
        <w:t>provides to merger parties. The ACCC does not generally accept variations to the text of these clauses</w:t>
      </w:r>
      <w:r w:rsidR="00AD73E1" w:rsidRPr="000A1446">
        <w:t>, as it is the ACCC’s view that they are in a form that is necessary to ensure the effectiveness of any undertaking</w:t>
      </w:r>
      <w:r w:rsidRPr="000A1446">
        <w:t>.</w:t>
      </w:r>
      <w:r w:rsidR="00B67732" w:rsidRPr="000A1446">
        <w:t xml:space="preserve"> </w:t>
      </w:r>
    </w:p>
    <w:p w:rsidR="005118C2" w:rsidRPr="00610FDB" w:rsidRDefault="005118C2" w:rsidP="00610FDB">
      <w:pPr>
        <w:pStyle w:val="Heading3"/>
        <w:rPr>
          <w:b w:val="0"/>
          <w:i w:val="0"/>
        </w:rPr>
      </w:pPr>
      <w:bookmarkStart w:id="47" w:name="_Toc360012440"/>
      <w:r w:rsidRPr="00610FDB">
        <w:t>When can an undertaking be offered?</w:t>
      </w:r>
      <w:bookmarkEnd w:id="47"/>
    </w:p>
    <w:p w:rsidR="005118C2" w:rsidRPr="000A1446" w:rsidRDefault="005118C2" w:rsidP="000262D5">
      <w:pPr>
        <w:numPr>
          <w:ilvl w:val="1"/>
          <w:numId w:val="4"/>
        </w:numPr>
        <w:tabs>
          <w:tab w:val="left" w:pos="851"/>
        </w:tabs>
        <w:ind w:left="851" w:hanging="491"/>
      </w:pPr>
      <w:r w:rsidRPr="000A1446">
        <w:t>Merger parties are free to propose undertakings to the ACCC at any time throughout the review process. Examples of when merger parties may propose an undertaking include:</w:t>
      </w:r>
    </w:p>
    <w:p w:rsidR="005118C2" w:rsidRPr="000A1446" w:rsidRDefault="005118C2" w:rsidP="005118C2">
      <w:pPr>
        <w:numPr>
          <w:ilvl w:val="0"/>
          <w:numId w:val="7"/>
        </w:numPr>
        <w:tabs>
          <w:tab w:val="left" w:pos="851"/>
        </w:tabs>
      </w:pPr>
      <w:r w:rsidRPr="000A1446">
        <w:t xml:space="preserve">at the outset of the review </w:t>
      </w:r>
    </w:p>
    <w:p w:rsidR="005118C2" w:rsidRPr="000A1446" w:rsidRDefault="005118C2" w:rsidP="005118C2">
      <w:pPr>
        <w:numPr>
          <w:ilvl w:val="0"/>
          <w:numId w:val="7"/>
        </w:numPr>
        <w:tabs>
          <w:tab w:val="left" w:pos="851"/>
        </w:tabs>
      </w:pPr>
      <w:r w:rsidRPr="000A1446">
        <w:t xml:space="preserve">after </w:t>
      </w:r>
      <w:r w:rsidR="00285BC8" w:rsidRPr="000A1446">
        <w:t>merger</w:t>
      </w:r>
      <w:r w:rsidRPr="000A1446">
        <w:t xml:space="preserve"> parties</w:t>
      </w:r>
      <w:r w:rsidR="00285BC8" w:rsidRPr="000A1446">
        <w:t xml:space="preserve"> have been advised of competition concerns during a review</w:t>
      </w:r>
      <w:r w:rsidRPr="000A1446">
        <w:t xml:space="preserve">, and </w:t>
      </w:r>
    </w:p>
    <w:p w:rsidR="005118C2" w:rsidRPr="000A1446" w:rsidRDefault="005118C2" w:rsidP="005118C2">
      <w:pPr>
        <w:numPr>
          <w:ilvl w:val="0"/>
          <w:numId w:val="7"/>
        </w:numPr>
        <w:tabs>
          <w:tab w:val="left" w:pos="851"/>
        </w:tabs>
      </w:pPr>
      <w:proofErr w:type="gramStart"/>
      <w:r w:rsidRPr="000A1446">
        <w:t>after</w:t>
      </w:r>
      <w:proofErr w:type="gramEnd"/>
      <w:r w:rsidRPr="000A1446">
        <w:t xml:space="preserve"> a Statement of Issues has been published. </w:t>
      </w:r>
    </w:p>
    <w:p w:rsidR="005118C2" w:rsidRPr="000A1446" w:rsidRDefault="005118C2" w:rsidP="000262D5">
      <w:pPr>
        <w:numPr>
          <w:ilvl w:val="1"/>
          <w:numId w:val="4"/>
        </w:numPr>
        <w:tabs>
          <w:tab w:val="left" w:pos="851"/>
        </w:tabs>
        <w:ind w:left="851" w:hanging="491"/>
      </w:pPr>
      <w:r w:rsidRPr="000A1446">
        <w:t xml:space="preserve">However, </w:t>
      </w:r>
      <w:r w:rsidR="001C07E8" w:rsidRPr="000A1446">
        <w:t xml:space="preserve">if an undertaking is to be offered, </w:t>
      </w:r>
      <w:r w:rsidRPr="000A1446">
        <w:t>merger parties are encouraged to begin discussions with the ACCC as early in the process as possible.</w:t>
      </w:r>
    </w:p>
    <w:p w:rsidR="005118C2" w:rsidRPr="00610FDB" w:rsidRDefault="005118C2" w:rsidP="00610FDB">
      <w:pPr>
        <w:pStyle w:val="Heading3"/>
        <w:rPr>
          <w:b w:val="0"/>
          <w:i w:val="0"/>
        </w:rPr>
      </w:pPr>
      <w:bookmarkStart w:id="48" w:name="_Toc360012441"/>
      <w:r w:rsidRPr="00610FDB">
        <w:t>Substance of an undertaking</w:t>
      </w:r>
      <w:bookmarkEnd w:id="48"/>
    </w:p>
    <w:p w:rsidR="005118C2" w:rsidRPr="000A1446" w:rsidRDefault="005118C2" w:rsidP="000262D5">
      <w:pPr>
        <w:numPr>
          <w:ilvl w:val="1"/>
          <w:numId w:val="4"/>
        </w:numPr>
        <w:tabs>
          <w:tab w:val="left" w:pos="851"/>
        </w:tabs>
        <w:ind w:left="851" w:hanging="491"/>
      </w:pPr>
      <w:r w:rsidRPr="000A1446">
        <w:t xml:space="preserve">It is important that any </w:t>
      </w:r>
      <w:r w:rsidR="00285BC8" w:rsidRPr="000A1446">
        <w:t xml:space="preserve">proposed </w:t>
      </w:r>
      <w:r w:rsidRPr="000A1446">
        <w:t>undertaking is comprehensive</w:t>
      </w:r>
      <w:r w:rsidR="00285BC8" w:rsidRPr="000A1446">
        <w:t xml:space="preserve"> in that it</w:t>
      </w:r>
      <w:r w:rsidRPr="000A1446">
        <w:t xml:space="preserve"> clearly and effectively address</w:t>
      </w:r>
      <w:r w:rsidR="00285BC8" w:rsidRPr="000A1446">
        <w:t>es</w:t>
      </w:r>
      <w:r w:rsidRPr="000A1446">
        <w:t xml:space="preserve"> all competition issues raised by the merger.</w:t>
      </w:r>
      <w:r w:rsidR="00B67732" w:rsidRPr="000A1446">
        <w:t xml:space="preserve"> </w:t>
      </w:r>
      <w:r w:rsidR="001C07E8" w:rsidRPr="000A1446">
        <w:t>An iterative process of p</w:t>
      </w:r>
      <w:r w:rsidRPr="000A1446">
        <w:t xml:space="preserve">roviding proposed undertakings to the ACCC which are unlikely to resolve ACCC concerns will cause unnecessary delays in the review process. </w:t>
      </w:r>
    </w:p>
    <w:p w:rsidR="005118C2" w:rsidRPr="000A1446" w:rsidRDefault="005118C2" w:rsidP="000262D5">
      <w:pPr>
        <w:numPr>
          <w:ilvl w:val="1"/>
          <w:numId w:val="4"/>
        </w:numPr>
        <w:tabs>
          <w:tab w:val="left" w:pos="851"/>
        </w:tabs>
        <w:ind w:left="851" w:hanging="491"/>
      </w:pPr>
      <w:r w:rsidRPr="000A1446">
        <w:t xml:space="preserve">The 2008 Merger Guidelines provide more detailed guidance on the types of undertakings the ACCC generally accepts. </w:t>
      </w:r>
    </w:p>
    <w:p w:rsidR="005118C2" w:rsidRPr="00610FDB" w:rsidRDefault="005118C2" w:rsidP="00610FDB">
      <w:pPr>
        <w:pStyle w:val="Heading3"/>
        <w:rPr>
          <w:b w:val="0"/>
          <w:i w:val="0"/>
        </w:rPr>
      </w:pPr>
      <w:bookmarkStart w:id="49" w:name="_Toc360012442"/>
      <w:r w:rsidRPr="00610FDB">
        <w:t>Process after an undertaking is offered</w:t>
      </w:r>
      <w:bookmarkEnd w:id="49"/>
    </w:p>
    <w:p w:rsidR="005118C2" w:rsidRPr="000A1446" w:rsidRDefault="005118C2" w:rsidP="000262D5">
      <w:pPr>
        <w:numPr>
          <w:ilvl w:val="1"/>
          <w:numId w:val="4"/>
        </w:numPr>
        <w:tabs>
          <w:tab w:val="left" w:pos="851"/>
        </w:tabs>
        <w:ind w:left="851" w:hanging="491"/>
      </w:pPr>
      <w:r w:rsidRPr="000A1446">
        <w:t xml:space="preserve">Generally, the ACCC will conduct market inquiries with interested parties on a proposed undertaking if </w:t>
      </w:r>
      <w:r w:rsidR="00285BC8" w:rsidRPr="000A1446">
        <w:t>the proposed undertaking</w:t>
      </w:r>
      <w:r w:rsidRPr="000A1446">
        <w:t>:</w:t>
      </w:r>
    </w:p>
    <w:p w:rsidR="005118C2" w:rsidRPr="000A1446" w:rsidRDefault="005118C2" w:rsidP="005118C2">
      <w:pPr>
        <w:numPr>
          <w:ilvl w:val="0"/>
          <w:numId w:val="7"/>
        </w:numPr>
        <w:tabs>
          <w:tab w:val="left" w:pos="851"/>
        </w:tabs>
      </w:pPr>
      <w:r w:rsidRPr="000A1446">
        <w:t>is comprehensive</w:t>
      </w:r>
    </w:p>
    <w:p w:rsidR="005118C2" w:rsidRPr="000A1446" w:rsidRDefault="00284D80" w:rsidP="005118C2">
      <w:pPr>
        <w:numPr>
          <w:ilvl w:val="0"/>
          <w:numId w:val="7"/>
        </w:numPr>
        <w:tabs>
          <w:tab w:val="left" w:pos="851"/>
        </w:tabs>
      </w:pPr>
      <w:r w:rsidRPr="000A1446">
        <w:t xml:space="preserve">in the ACCC’s preliminary view, </w:t>
      </w:r>
      <w:r w:rsidR="009C427F" w:rsidRPr="000A1446">
        <w:t xml:space="preserve">has the potential to </w:t>
      </w:r>
      <w:r w:rsidR="00616F96">
        <w:t xml:space="preserve">be enforceable and to </w:t>
      </w:r>
      <w:r w:rsidR="005118C2" w:rsidRPr="000A1446">
        <w:t xml:space="preserve">address the competition concerns with a merger, and </w:t>
      </w:r>
    </w:p>
    <w:p w:rsidR="005118C2" w:rsidRPr="000A1446" w:rsidRDefault="005118C2" w:rsidP="005118C2">
      <w:pPr>
        <w:numPr>
          <w:ilvl w:val="0"/>
          <w:numId w:val="7"/>
        </w:numPr>
        <w:tabs>
          <w:tab w:val="left" w:pos="851"/>
        </w:tabs>
      </w:pPr>
      <w:proofErr w:type="gramStart"/>
      <w:r w:rsidRPr="000A1446">
        <w:t>is</w:t>
      </w:r>
      <w:proofErr w:type="gramEnd"/>
      <w:r w:rsidRPr="000A1446">
        <w:t xml:space="preserve"> in a form that meets the ACCC’s requirements.</w:t>
      </w:r>
    </w:p>
    <w:p w:rsidR="005118C2" w:rsidRPr="000A1446" w:rsidRDefault="00616F96" w:rsidP="000262D5">
      <w:pPr>
        <w:numPr>
          <w:ilvl w:val="1"/>
          <w:numId w:val="4"/>
        </w:numPr>
        <w:tabs>
          <w:tab w:val="left" w:pos="851"/>
        </w:tabs>
        <w:ind w:left="851" w:hanging="491"/>
      </w:pPr>
      <w:r>
        <w:t>Public consultation</w:t>
      </w:r>
      <w:r w:rsidRPr="000A1446">
        <w:t xml:space="preserve"> </w:t>
      </w:r>
      <w:r w:rsidR="005118C2" w:rsidRPr="000A1446">
        <w:t xml:space="preserve">may include placing the proposed undertaking on the ACCC’s website and revising the indicative timeline. In some situations the ACCC may </w:t>
      </w:r>
      <w:r>
        <w:t xml:space="preserve">decide </w:t>
      </w:r>
      <w:r w:rsidR="005118C2" w:rsidRPr="000A1446">
        <w:t xml:space="preserve">not </w:t>
      </w:r>
      <w:r>
        <w:t xml:space="preserve">to </w:t>
      </w:r>
      <w:r w:rsidR="005118C2" w:rsidRPr="000A1446">
        <w:t xml:space="preserve">consult on a proposed undertaking, for example when issues relating to the undertaking have already been subject to </w:t>
      </w:r>
      <w:r w:rsidR="001C07E8" w:rsidRPr="000A1446">
        <w:t>consultation</w:t>
      </w:r>
      <w:r w:rsidR="005118C2" w:rsidRPr="000A1446">
        <w:t xml:space="preserve">. </w:t>
      </w:r>
    </w:p>
    <w:p w:rsidR="005118C2" w:rsidRPr="000A1446" w:rsidRDefault="005118C2" w:rsidP="000262D5">
      <w:pPr>
        <w:numPr>
          <w:ilvl w:val="1"/>
          <w:numId w:val="4"/>
        </w:numPr>
        <w:tabs>
          <w:tab w:val="left" w:pos="851"/>
        </w:tabs>
        <w:ind w:left="851" w:hanging="491"/>
      </w:pPr>
      <w:r w:rsidRPr="000A1446">
        <w:t xml:space="preserve">When interested parties raise concerns during consultation on a proposed undertaking, the ACCC may raise these concerns with the merger parties and </w:t>
      </w:r>
      <w:r w:rsidR="00285BC8" w:rsidRPr="000A1446">
        <w:t>suggest</w:t>
      </w:r>
      <w:r w:rsidRPr="000A1446">
        <w:t xml:space="preserve"> amendments to the proposed undertaking to address these issues. The ACCC cannot </w:t>
      </w:r>
      <w:r w:rsidR="00616F96" w:rsidRPr="000A1446">
        <w:t>direct</w:t>
      </w:r>
      <w:r w:rsidR="00616F96">
        <w:t xml:space="preserve"> merger </w:t>
      </w:r>
      <w:r w:rsidRPr="000A1446">
        <w:t xml:space="preserve">parties to </w:t>
      </w:r>
      <w:r w:rsidR="001C07E8" w:rsidRPr="000A1446">
        <w:t xml:space="preserve">give or to </w:t>
      </w:r>
      <w:r w:rsidRPr="000A1446">
        <w:t>change a proposed undertaking</w:t>
      </w:r>
      <w:r w:rsidR="00933E0A" w:rsidRPr="000A1446">
        <w:t>.</w:t>
      </w:r>
      <w:r w:rsidRPr="000A1446">
        <w:t xml:space="preserve"> However, the ACCC will take any relevant comments received from interested parties into consideration in deciding whether to accept a proposed undertaking. </w:t>
      </w:r>
    </w:p>
    <w:p w:rsidR="005118C2" w:rsidRPr="000A1446" w:rsidRDefault="00285BC8" w:rsidP="000262D5">
      <w:pPr>
        <w:numPr>
          <w:ilvl w:val="1"/>
          <w:numId w:val="4"/>
        </w:numPr>
        <w:tabs>
          <w:tab w:val="left" w:pos="851"/>
        </w:tabs>
        <w:ind w:left="851" w:hanging="491"/>
      </w:pPr>
      <w:r w:rsidRPr="000A1446">
        <w:t>Significant</w:t>
      </w:r>
      <w:r w:rsidR="005118C2" w:rsidRPr="000A1446">
        <w:t xml:space="preserve"> changes to a proposed undertaking may necessitate further public consultation.</w:t>
      </w:r>
      <w:r w:rsidR="00B67732" w:rsidRPr="000A1446">
        <w:t xml:space="preserve"> </w:t>
      </w:r>
      <w:r w:rsidR="005118C2" w:rsidRPr="000A1446">
        <w:t xml:space="preserve">In determining whether further consultation is necessary, the ACCC will consider whether it has already received the information required to enable it to decide whether the revised proposed undertaking is likely to resolve the competition issues. </w:t>
      </w:r>
    </w:p>
    <w:p w:rsidR="005118C2" w:rsidRPr="000A1446" w:rsidRDefault="001C07E8" w:rsidP="000262D5">
      <w:pPr>
        <w:numPr>
          <w:ilvl w:val="1"/>
          <w:numId w:val="4"/>
        </w:numPr>
        <w:tabs>
          <w:tab w:val="left" w:pos="851"/>
        </w:tabs>
        <w:ind w:left="851" w:hanging="491"/>
      </w:pPr>
      <w:r w:rsidRPr="000A1446">
        <w:t>During, or a</w:t>
      </w:r>
      <w:r w:rsidR="005118C2" w:rsidRPr="000A1446">
        <w:t>t the end of its review</w:t>
      </w:r>
      <w:r w:rsidR="00285BC8" w:rsidRPr="000A1446">
        <w:t>, the ACCC may conclude</w:t>
      </w:r>
      <w:r w:rsidR="005118C2" w:rsidRPr="000A1446">
        <w:t xml:space="preserve"> that an undertaking offered by the </w:t>
      </w:r>
      <w:r w:rsidRPr="000A1446">
        <w:t xml:space="preserve">merger </w:t>
      </w:r>
      <w:r w:rsidR="005118C2" w:rsidRPr="000A1446">
        <w:t xml:space="preserve">parties </w:t>
      </w:r>
      <w:r w:rsidR="005C5D10" w:rsidRPr="000A1446">
        <w:t>(</w:t>
      </w:r>
      <w:r w:rsidR="005118C2" w:rsidRPr="000A1446">
        <w:t>or part of it</w:t>
      </w:r>
      <w:r w:rsidR="005C5D10" w:rsidRPr="000A1446">
        <w:t>)</w:t>
      </w:r>
      <w:r w:rsidR="005118C2" w:rsidRPr="000A1446">
        <w:t xml:space="preserve"> is not necessary to </w:t>
      </w:r>
      <w:r w:rsidR="00285BC8" w:rsidRPr="000A1446">
        <w:t>reach a decision to not oppose the merger</w:t>
      </w:r>
      <w:r w:rsidR="005118C2" w:rsidRPr="000A1446">
        <w:t>.</w:t>
      </w:r>
      <w:r w:rsidR="00B67732" w:rsidRPr="000A1446">
        <w:t xml:space="preserve"> </w:t>
      </w:r>
      <w:r w:rsidR="005118C2" w:rsidRPr="000A1446">
        <w:t>In this circumstance, the ACCC may accept a lesser commitment than the undertaking offers, or clear the merger without accepting the undertaking at all.</w:t>
      </w:r>
    </w:p>
    <w:p w:rsidR="005118C2" w:rsidRPr="00610FDB" w:rsidRDefault="005118C2" w:rsidP="00610FDB">
      <w:pPr>
        <w:pStyle w:val="Heading3"/>
        <w:rPr>
          <w:b w:val="0"/>
          <w:i w:val="0"/>
        </w:rPr>
      </w:pPr>
      <w:bookmarkStart w:id="50" w:name="_Toc360012443"/>
      <w:r w:rsidRPr="00610FDB">
        <w:t>International mergers involving undertakings - liaison with overseas regulators</w:t>
      </w:r>
      <w:bookmarkEnd w:id="50"/>
    </w:p>
    <w:p w:rsidR="005118C2" w:rsidRPr="000A1446" w:rsidRDefault="005118C2" w:rsidP="000262D5">
      <w:pPr>
        <w:numPr>
          <w:ilvl w:val="1"/>
          <w:numId w:val="4"/>
        </w:numPr>
        <w:tabs>
          <w:tab w:val="left" w:pos="851"/>
        </w:tabs>
        <w:ind w:left="851" w:hanging="491"/>
      </w:pPr>
      <w:r w:rsidRPr="000A1446">
        <w:t>In the event of a merger which is also being reviewed by competition regulators in other countries, the ACCC will closely consult and coordinate with overseas competition regulators with the aim of ensuring consistency</w:t>
      </w:r>
      <w:r w:rsidR="005C5D10" w:rsidRPr="000A1446">
        <w:t xml:space="preserve">, including in relation to the </w:t>
      </w:r>
      <w:r w:rsidR="00267599" w:rsidRPr="000A1446">
        <w:t>agencies’ approach</w:t>
      </w:r>
      <w:r w:rsidRPr="000A1446">
        <w:t xml:space="preserve"> in applying any remedies.</w:t>
      </w:r>
      <w:r w:rsidR="005C5CF2" w:rsidRPr="000A1446">
        <w:t xml:space="preserve"> </w:t>
      </w:r>
      <w:r w:rsidRPr="000A1446">
        <w:t xml:space="preserve">Where appropriate, the ACCC will seek confidentiality waivers from merger parties that allow the ACCC to exchange confidential information with overseas regulators. The ACCC expects to be given the same notice of mergers and any potential remedies as overseas regulators with simultaneous lodgement of submissions where possible. If competition concerns arise in Australia which can be resolved by way of undertakings, </w:t>
      </w:r>
      <w:r w:rsidR="005C5D10" w:rsidRPr="000A1446">
        <w:t xml:space="preserve">then even if undertakings have been given to an overseas competition regulator </w:t>
      </w:r>
      <w:r w:rsidRPr="000A1446">
        <w:t xml:space="preserve">the ACCC will generally require that undertakings are </w:t>
      </w:r>
      <w:r w:rsidR="005C5D10" w:rsidRPr="000A1446">
        <w:t xml:space="preserve">also </w:t>
      </w:r>
      <w:r w:rsidRPr="000A1446">
        <w:t xml:space="preserve">provided </w:t>
      </w:r>
      <w:r w:rsidR="005C5D10" w:rsidRPr="000A1446">
        <w:t xml:space="preserve">to the ACCC </w:t>
      </w:r>
      <w:r w:rsidRPr="000A1446">
        <w:t xml:space="preserve">so that </w:t>
      </w:r>
      <w:r w:rsidR="005C5D10" w:rsidRPr="000A1446">
        <w:t>it</w:t>
      </w:r>
      <w:r w:rsidRPr="000A1446">
        <w:t xml:space="preserve"> has the ability to enforce them. </w:t>
      </w:r>
    </w:p>
    <w:p w:rsidR="005118C2" w:rsidRPr="00610FDB" w:rsidRDefault="005118C2" w:rsidP="00610FDB">
      <w:pPr>
        <w:pStyle w:val="Heading3"/>
        <w:rPr>
          <w:b w:val="0"/>
          <w:i w:val="0"/>
        </w:rPr>
      </w:pPr>
      <w:bookmarkStart w:id="51" w:name="_Toc360012444"/>
      <w:r w:rsidRPr="00610FDB">
        <w:t>After acceptance of an undertaking</w:t>
      </w:r>
      <w:bookmarkEnd w:id="51"/>
    </w:p>
    <w:p w:rsidR="00E93AFA" w:rsidRPr="000A1446" w:rsidRDefault="005118C2" w:rsidP="000262D5">
      <w:pPr>
        <w:numPr>
          <w:ilvl w:val="1"/>
          <w:numId w:val="4"/>
        </w:numPr>
        <w:tabs>
          <w:tab w:val="left" w:pos="851"/>
        </w:tabs>
        <w:ind w:left="851" w:hanging="491"/>
      </w:pPr>
      <w:r w:rsidRPr="000A1446">
        <w:t>Once finalised and accepted by the ACCC, s. 87B undertakings will be made available on the merger public register and s. 87B undertaking register, subject to confidentiality considerations.</w:t>
      </w:r>
      <w:r w:rsidR="00B67732" w:rsidRPr="000A1446">
        <w:t xml:space="preserve"> </w:t>
      </w:r>
      <w:r w:rsidRPr="000A1446">
        <w:t>These undertakings can be accessed on the ACCC’s website at www.accc.gov.au under ‘Public Registers’.</w:t>
      </w:r>
    </w:p>
    <w:p w:rsidR="008D7D9D" w:rsidRPr="000A1446" w:rsidRDefault="008D7D9D" w:rsidP="000262D5">
      <w:pPr>
        <w:numPr>
          <w:ilvl w:val="1"/>
          <w:numId w:val="4"/>
        </w:numPr>
        <w:tabs>
          <w:tab w:val="left" w:pos="851"/>
        </w:tabs>
        <w:ind w:left="851" w:hanging="491"/>
      </w:pPr>
      <w:r w:rsidRPr="000A1446">
        <w:t>The ACCC’s ongoing role for accepted undertakings in relation to mergers includes:</w:t>
      </w:r>
    </w:p>
    <w:p w:rsidR="00BC1004" w:rsidRPr="000A1446" w:rsidRDefault="008D7D9D" w:rsidP="008D7D9D">
      <w:pPr>
        <w:numPr>
          <w:ilvl w:val="2"/>
          <w:numId w:val="36"/>
        </w:numPr>
        <w:tabs>
          <w:tab w:val="left" w:pos="1276"/>
        </w:tabs>
        <w:ind w:left="1276" w:hanging="425"/>
      </w:pPr>
      <w:r w:rsidRPr="000A1446">
        <w:t>M</w:t>
      </w:r>
      <w:r w:rsidR="00BC1004" w:rsidRPr="000A1446">
        <w:t>onitoring parties’ compliance with undertakings, including liaising with indep</w:t>
      </w:r>
      <w:r w:rsidRPr="000A1446">
        <w:t>endent auditors where relevant.</w:t>
      </w:r>
    </w:p>
    <w:p w:rsidR="00BC1004" w:rsidRPr="000A1446" w:rsidRDefault="008D7D9D" w:rsidP="008D7D9D">
      <w:pPr>
        <w:numPr>
          <w:ilvl w:val="2"/>
          <w:numId w:val="36"/>
        </w:numPr>
        <w:tabs>
          <w:tab w:val="left" w:pos="1276"/>
        </w:tabs>
        <w:ind w:left="1276" w:hanging="425"/>
      </w:pPr>
      <w:r w:rsidRPr="000A1446">
        <w:t>Investigating</w:t>
      </w:r>
      <w:r w:rsidR="00BC1004" w:rsidRPr="000A1446">
        <w:t xml:space="preserve"> suspected breaches and enforcing undertakings, including by pursuing litigation where appropriate.</w:t>
      </w:r>
    </w:p>
    <w:p w:rsidR="00E93AFA" w:rsidRPr="00610FDB" w:rsidRDefault="008D7D9D" w:rsidP="00610FDB">
      <w:pPr>
        <w:pStyle w:val="Heading2"/>
      </w:pPr>
      <w:r w:rsidRPr="008B6574">
        <w:br w:type="page"/>
      </w:r>
      <w:bookmarkStart w:id="52" w:name="_Toc360012445"/>
      <w:r w:rsidR="00C75808" w:rsidRPr="008B6574">
        <w:t>ACCC contact</w:t>
      </w:r>
      <w:bookmarkEnd w:id="52"/>
    </w:p>
    <w:p w:rsidR="00BE1556" w:rsidRPr="000A1446" w:rsidRDefault="00BE1556" w:rsidP="000262D5">
      <w:pPr>
        <w:numPr>
          <w:ilvl w:val="1"/>
          <w:numId w:val="4"/>
        </w:numPr>
        <w:tabs>
          <w:tab w:val="left" w:pos="851"/>
        </w:tabs>
        <w:ind w:left="851" w:hanging="491"/>
      </w:pPr>
      <w:r w:rsidRPr="000A1446">
        <w:t>For enquiries regarding the ACCC’s informal merger review processes, please contact:</w:t>
      </w:r>
    </w:p>
    <w:p w:rsidR="00BE1556" w:rsidRPr="000A1446" w:rsidRDefault="00C7358D" w:rsidP="00BE1556">
      <w:pPr>
        <w:tabs>
          <w:tab w:val="left" w:pos="851"/>
        </w:tabs>
        <w:spacing w:after="0" w:line="240" w:lineRule="auto"/>
        <w:ind w:left="851"/>
      </w:pPr>
      <w:r w:rsidRPr="000A1446">
        <w:t>Mergers &amp; Adjudication Group</w:t>
      </w:r>
    </w:p>
    <w:p w:rsidR="00C75808" w:rsidRPr="000A1446" w:rsidRDefault="00C75808" w:rsidP="00BE1556">
      <w:pPr>
        <w:tabs>
          <w:tab w:val="left" w:pos="851"/>
        </w:tabs>
        <w:spacing w:after="0" w:line="240" w:lineRule="auto"/>
        <w:ind w:left="851"/>
      </w:pPr>
      <w:r w:rsidRPr="000A1446">
        <w:t>Australian Competition and Consumer Commission</w:t>
      </w:r>
    </w:p>
    <w:p w:rsidR="00C75808" w:rsidRPr="000A1446" w:rsidRDefault="00C75808" w:rsidP="00BE1556">
      <w:pPr>
        <w:tabs>
          <w:tab w:val="left" w:pos="851"/>
        </w:tabs>
        <w:spacing w:after="0" w:line="240" w:lineRule="auto"/>
        <w:ind w:left="851"/>
      </w:pPr>
    </w:p>
    <w:p w:rsidR="00BE1556" w:rsidRPr="000A1446" w:rsidRDefault="00BE1556" w:rsidP="00BE1556">
      <w:pPr>
        <w:tabs>
          <w:tab w:val="left" w:pos="851"/>
        </w:tabs>
        <w:spacing w:after="0" w:line="240" w:lineRule="auto"/>
        <w:ind w:left="851"/>
      </w:pPr>
      <w:r w:rsidRPr="000A1446">
        <w:t>GPO Box 3131</w:t>
      </w:r>
    </w:p>
    <w:p w:rsidR="00BE1556" w:rsidRPr="000A1446" w:rsidRDefault="00BE1556" w:rsidP="00BE1556">
      <w:pPr>
        <w:tabs>
          <w:tab w:val="left" w:pos="851"/>
        </w:tabs>
        <w:spacing w:after="0" w:line="240" w:lineRule="auto"/>
        <w:ind w:left="851"/>
      </w:pPr>
      <w:r w:rsidRPr="000A1446">
        <w:t>Canberra ACT 2601</w:t>
      </w:r>
    </w:p>
    <w:p w:rsidR="00C75808" w:rsidRPr="000A1446" w:rsidRDefault="00C75808" w:rsidP="00BE1556">
      <w:pPr>
        <w:tabs>
          <w:tab w:val="left" w:pos="851"/>
        </w:tabs>
        <w:spacing w:after="0" w:line="240" w:lineRule="auto"/>
        <w:ind w:left="851"/>
      </w:pPr>
    </w:p>
    <w:p w:rsidR="00C75808" w:rsidRPr="000A1446" w:rsidRDefault="00C75808" w:rsidP="00BE1556">
      <w:pPr>
        <w:tabs>
          <w:tab w:val="left" w:pos="851"/>
        </w:tabs>
        <w:spacing w:after="0" w:line="240" w:lineRule="auto"/>
        <w:ind w:left="851"/>
      </w:pPr>
      <w:r w:rsidRPr="000A1446">
        <w:t xml:space="preserve">Email: </w:t>
      </w:r>
      <w:hyperlink r:id="rId25" w:history="1">
        <w:r w:rsidRPr="000A1446">
          <w:rPr>
            <w:rStyle w:val="Hyperlink"/>
          </w:rPr>
          <w:t>mergers@accc.gov.au</w:t>
        </w:r>
      </w:hyperlink>
      <w:r w:rsidRPr="000A1446">
        <w:t xml:space="preserve"> </w:t>
      </w:r>
    </w:p>
    <w:p w:rsidR="00BE1556" w:rsidRPr="000A1446" w:rsidRDefault="00BE1556" w:rsidP="00BE1556">
      <w:pPr>
        <w:tabs>
          <w:tab w:val="left" w:pos="851"/>
        </w:tabs>
        <w:spacing w:after="0" w:line="240" w:lineRule="auto"/>
        <w:ind w:left="851"/>
      </w:pPr>
    </w:p>
    <w:p w:rsidR="00BE1556" w:rsidRPr="000A1446" w:rsidRDefault="00C75808" w:rsidP="00BE1556">
      <w:pPr>
        <w:tabs>
          <w:tab w:val="left" w:pos="851"/>
        </w:tabs>
        <w:spacing w:after="0" w:line="240" w:lineRule="auto"/>
        <w:ind w:left="851"/>
      </w:pPr>
      <w:r w:rsidRPr="000A1446">
        <w:t xml:space="preserve">Telephone: </w:t>
      </w:r>
      <w:r w:rsidR="00BE1556" w:rsidRPr="000A1446">
        <w:t xml:space="preserve">(02) 6243 </w:t>
      </w:r>
      <w:r w:rsidR="00C7358D" w:rsidRPr="000A1446">
        <w:t>1368</w:t>
      </w:r>
    </w:p>
    <w:p w:rsidR="00BE1556" w:rsidRPr="000A1446" w:rsidRDefault="00BE1556" w:rsidP="00BE1556">
      <w:pPr>
        <w:tabs>
          <w:tab w:val="left" w:pos="851"/>
        </w:tabs>
        <w:spacing w:after="0" w:line="240" w:lineRule="auto"/>
        <w:ind w:left="851"/>
      </w:pPr>
    </w:p>
    <w:p w:rsidR="00BE1556" w:rsidRPr="000A1446" w:rsidRDefault="00BE1556" w:rsidP="00BE1556">
      <w:pPr>
        <w:tabs>
          <w:tab w:val="left" w:pos="851"/>
        </w:tabs>
        <w:spacing w:after="0"/>
        <w:ind w:left="851"/>
      </w:pPr>
    </w:p>
    <w:p w:rsidR="00B90375" w:rsidRPr="000A1446" w:rsidRDefault="00E201F1" w:rsidP="00610FDB">
      <w:pPr>
        <w:pStyle w:val="Heading1"/>
        <w:numPr>
          <w:ilvl w:val="0"/>
          <w:numId w:val="0"/>
        </w:numPr>
        <w:ind w:left="360" w:hanging="360"/>
      </w:pPr>
      <w:r w:rsidRPr="000A1446">
        <w:br w:type="page"/>
      </w:r>
      <w:bookmarkStart w:id="53" w:name="_Toc360012446"/>
      <w:r w:rsidRPr="000A1446">
        <w:t xml:space="preserve">Appendix A – information </w:t>
      </w:r>
      <w:r w:rsidR="007236ED" w:rsidRPr="000A1446">
        <w:t>requirements for</w:t>
      </w:r>
      <w:r w:rsidRPr="000A1446">
        <w:t xml:space="preserve"> ACCC’s review</w:t>
      </w:r>
      <w:bookmarkEnd w:id="53"/>
    </w:p>
    <w:p w:rsidR="00031AC2" w:rsidRPr="000A1446" w:rsidRDefault="00466FD0" w:rsidP="00031AC2">
      <w:pPr>
        <w:spacing w:before="240"/>
      </w:pPr>
      <w:r w:rsidRPr="000A1446">
        <w:t xml:space="preserve">As noted in these </w:t>
      </w:r>
      <w:r w:rsidRPr="000A1446">
        <w:rPr>
          <w:i/>
        </w:rPr>
        <w:t>Process Guidelines</w:t>
      </w:r>
      <w:r w:rsidRPr="000A1446">
        <w:t xml:space="preserve">, the ACCC takes a scaled approach to information requirements </w:t>
      </w:r>
      <w:r w:rsidR="00031AC2" w:rsidRPr="000A1446">
        <w:t>for its merger reviews. This section provides a guide to the level of information that the ACCC will generally require in order to undertake an informal review of a merger. The ACCC may request additional information of merger parties throughout its review.</w:t>
      </w:r>
      <w:r w:rsidR="00031AC2" w:rsidRPr="000A1446">
        <w:rPr>
          <w:rStyle w:val="FootnoteReference"/>
        </w:rPr>
        <w:t xml:space="preserve"> </w:t>
      </w:r>
      <w:r w:rsidR="00031AC2" w:rsidRPr="000A1446">
        <w:rPr>
          <w:rStyle w:val="FootnoteReference"/>
        </w:rPr>
        <w:footnoteReference w:id="18"/>
      </w:r>
    </w:p>
    <w:p w:rsidR="00466FD0" w:rsidRPr="000A1446" w:rsidRDefault="00031AC2" w:rsidP="00466FD0">
      <w:pPr>
        <w:spacing w:before="240"/>
      </w:pPr>
      <w:r w:rsidRPr="000A1446">
        <w:t>F</w:t>
      </w:r>
      <w:r w:rsidR="00466FD0" w:rsidRPr="000A1446">
        <w:t xml:space="preserve">ailure to provide the ACCC with </w:t>
      </w:r>
      <w:r w:rsidR="00A87312" w:rsidRPr="000A1446">
        <w:t>an adequate</w:t>
      </w:r>
      <w:r w:rsidR="00466FD0" w:rsidRPr="000A1446">
        <w:t xml:space="preserve"> level of information at the outset of a review may delay the ACCC’s review and final decision. </w:t>
      </w:r>
    </w:p>
    <w:p w:rsidR="00466FD0" w:rsidRPr="00610FDB" w:rsidRDefault="00284D80" w:rsidP="00610FDB">
      <w:pPr>
        <w:rPr>
          <w:b/>
          <w:color w:val="31849B" w:themeColor="accent5" w:themeShade="BF"/>
          <w:sz w:val="24"/>
        </w:rPr>
      </w:pPr>
      <w:r w:rsidRPr="000A1446">
        <w:rPr>
          <w:b/>
          <w:color w:val="31849B" w:themeColor="accent5" w:themeShade="BF"/>
          <w:sz w:val="24"/>
        </w:rPr>
        <w:t>L</w:t>
      </w:r>
      <w:r w:rsidR="007A474E" w:rsidRPr="00610FDB">
        <w:rPr>
          <w:b/>
          <w:color w:val="31849B" w:themeColor="accent5" w:themeShade="BF"/>
          <w:sz w:val="24"/>
        </w:rPr>
        <w:t>evel of information</w:t>
      </w:r>
      <w:r w:rsidRPr="000A1446">
        <w:rPr>
          <w:b/>
          <w:color w:val="31849B" w:themeColor="accent5" w:themeShade="BF"/>
          <w:sz w:val="24"/>
        </w:rPr>
        <w:t xml:space="preserve"> required </w:t>
      </w:r>
      <w:r w:rsidR="00A87312" w:rsidRPr="000A1446">
        <w:rPr>
          <w:b/>
          <w:color w:val="31849B" w:themeColor="accent5" w:themeShade="BF"/>
          <w:sz w:val="24"/>
        </w:rPr>
        <w:t xml:space="preserve">initially required by </w:t>
      </w:r>
      <w:r w:rsidR="008D672F" w:rsidRPr="000A1446">
        <w:rPr>
          <w:b/>
          <w:color w:val="31849B" w:themeColor="accent5" w:themeShade="BF"/>
          <w:sz w:val="24"/>
        </w:rPr>
        <w:t>the ACCC</w:t>
      </w:r>
    </w:p>
    <w:p w:rsidR="007A474E" w:rsidRPr="000A1446" w:rsidRDefault="007A474E" w:rsidP="007A474E">
      <w:r w:rsidRPr="000A1446">
        <w:t xml:space="preserve">The following list is considered by the ACCC to be the level of information </w:t>
      </w:r>
      <w:r w:rsidR="008D672F">
        <w:t xml:space="preserve">initially </w:t>
      </w:r>
      <w:r w:rsidRPr="000A1446">
        <w:t xml:space="preserve">required </w:t>
      </w:r>
      <w:r w:rsidR="00D75216" w:rsidRPr="000A1446">
        <w:t>to undertake an informal merger review</w:t>
      </w:r>
      <w:r w:rsidRPr="000A1446">
        <w:t>:</w:t>
      </w:r>
    </w:p>
    <w:p w:rsidR="008D672F" w:rsidRDefault="008D672F" w:rsidP="00610FDB">
      <w:pPr>
        <w:numPr>
          <w:ilvl w:val="0"/>
          <w:numId w:val="42"/>
        </w:numPr>
        <w:tabs>
          <w:tab w:val="left" w:pos="851"/>
        </w:tabs>
        <w:ind w:left="851" w:hanging="437"/>
      </w:pPr>
      <w:r>
        <w:t>Information about the parties to the transaction (including any rel</w:t>
      </w:r>
      <w:r w:rsidR="00640A60">
        <w:t>evant related bodies corporate) including trad</w:t>
      </w:r>
      <w:r w:rsidR="009B7C5E">
        <w:t>ing names and ownership details</w:t>
      </w:r>
    </w:p>
    <w:p w:rsidR="007A474E" w:rsidRPr="000A1446" w:rsidRDefault="007A474E" w:rsidP="00672ADD">
      <w:pPr>
        <w:numPr>
          <w:ilvl w:val="0"/>
          <w:numId w:val="42"/>
        </w:numPr>
        <w:tabs>
          <w:tab w:val="left" w:pos="851"/>
        </w:tabs>
        <w:ind w:left="851" w:hanging="437"/>
      </w:pPr>
      <w:r w:rsidRPr="000A1446">
        <w:t xml:space="preserve">Details of the proposed transaction including: </w:t>
      </w:r>
    </w:p>
    <w:p w:rsidR="00E2194E" w:rsidRDefault="00E2194E" w:rsidP="007A474E">
      <w:pPr>
        <w:numPr>
          <w:ilvl w:val="1"/>
          <w:numId w:val="42"/>
        </w:numPr>
        <w:tabs>
          <w:tab w:val="left" w:pos="1560"/>
        </w:tabs>
        <w:ind w:left="1560" w:hanging="426"/>
      </w:pPr>
      <w:r>
        <w:t>A description of the shares or assets to be acquired</w:t>
      </w:r>
    </w:p>
    <w:p w:rsidR="007A474E" w:rsidRPr="000A1446" w:rsidRDefault="007A474E" w:rsidP="007A474E">
      <w:pPr>
        <w:numPr>
          <w:ilvl w:val="1"/>
          <w:numId w:val="42"/>
        </w:numPr>
        <w:tabs>
          <w:tab w:val="left" w:pos="1560"/>
        </w:tabs>
        <w:ind w:left="1560" w:hanging="426"/>
      </w:pPr>
      <w:r w:rsidRPr="000A1446">
        <w:t xml:space="preserve">whether the transaction is confidential or public </w:t>
      </w:r>
    </w:p>
    <w:p w:rsidR="007A474E" w:rsidRPr="000A1446" w:rsidRDefault="00E2194E" w:rsidP="007A474E">
      <w:pPr>
        <w:numPr>
          <w:ilvl w:val="1"/>
          <w:numId w:val="42"/>
        </w:numPr>
        <w:tabs>
          <w:tab w:val="left" w:pos="1560"/>
        </w:tabs>
        <w:ind w:left="1560" w:hanging="426"/>
      </w:pPr>
      <w:r>
        <w:t>T</w:t>
      </w:r>
      <w:r w:rsidR="007A474E" w:rsidRPr="000A1446">
        <w:t xml:space="preserve">iming – expected </w:t>
      </w:r>
      <w:r w:rsidR="00672ADD" w:rsidRPr="000A1446">
        <w:t xml:space="preserve">or proposed </w:t>
      </w:r>
      <w:r w:rsidR="007A474E" w:rsidRPr="000A1446">
        <w:t xml:space="preserve">completion date </w:t>
      </w:r>
    </w:p>
    <w:p w:rsidR="007A474E" w:rsidRPr="000A1446" w:rsidRDefault="00E2194E" w:rsidP="007A474E">
      <w:pPr>
        <w:numPr>
          <w:ilvl w:val="1"/>
          <w:numId w:val="42"/>
        </w:numPr>
        <w:tabs>
          <w:tab w:val="left" w:pos="1560"/>
        </w:tabs>
        <w:ind w:left="1560" w:hanging="426"/>
      </w:pPr>
      <w:r>
        <w:t>K</w:t>
      </w:r>
      <w:r w:rsidR="007A474E" w:rsidRPr="000A1446">
        <w:t xml:space="preserve">ey information about the </w:t>
      </w:r>
      <w:r w:rsidR="00672ADD" w:rsidRPr="000A1446">
        <w:t xml:space="preserve">sale agreement (including </w:t>
      </w:r>
      <w:r w:rsidR="00284D80" w:rsidRPr="000A1446">
        <w:t xml:space="preserve">the value of the transaction and </w:t>
      </w:r>
      <w:r w:rsidR="007A474E" w:rsidRPr="000A1446">
        <w:t xml:space="preserve">whether </w:t>
      </w:r>
      <w:r w:rsidR="00672ADD" w:rsidRPr="000A1446">
        <w:t xml:space="preserve">the transaction is </w:t>
      </w:r>
      <w:r w:rsidR="007A474E" w:rsidRPr="000A1446">
        <w:t xml:space="preserve">conditional on ACCC clearance) </w:t>
      </w:r>
    </w:p>
    <w:p w:rsidR="00EF6908" w:rsidRPr="000A1446" w:rsidRDefault="00E2194E" w:rsidP="00EF6908">
      <w:pPr>
        <w:numPr>
          <w:ilvl w:val="1"/>
          <w:numId w:val="42"/>
        </w:numPr>
        <w:tabs>
          <w:tab w:val="left" w:pos="1560"/>
        </w:tabs>
      </w:pPr>
      <w:r>
        <w:t>R</w:t>
      </w:r>
      <w:r w:rsidR="00EF6908" w:rsidRPr="000A1446">
        <w:t>ationale for the proposed transaction</w:t>
      </w:r>
    </w:p>
    <w:p w:rsidR="007A474E" w:rsidRPr="000A1446" w:rsidRDefault="007A474E" w:rsidP="00672ADD">
      <w:pPr>
        <w:numPr>
          <w:ilvl w:val="0"/>
          <w:numId w:val="42"/>
        </w:numPr>
        <w:tabs>
          <w:tab w:val="left" w:pos="851"/>
        </w:tabs>
        <w:ind w:left="851" w:hanging="437"/>
      </w:pPr>
      <w:r w:rsidRPr="000A1446">
        <w:t xml:space="preserve">Details of the </w:t>
      </w:r>
      <w:r w:rsidR="00EF6908" w:rsidRPr="000A1446">
        <w:t xml:space="preserve">Australian </w:t>
      </w:r>
      <w:r w:rsidRPr="000A1446">
        <w:t>business operations</w:t>
      </w:r>
      <w:r w:rsidR="00E2194E">
        <w:t>, interests</w:t>
      </w:r>
      <w:r w:rsidRPr="000A1446">
        <w:t xml:space="preserve"> </w:t>
      </w:r>
      <w:r w:rsidR="00EF6908" w:rsidRPr="000A1446">
        <w:t xml:space="preserve">and assets </w:t>
      </w:r>
      <w:r w:rsidRPr="000A1446">
        <w:t>of the acquirer and target including:</w:t>
      </w:r>
    </w:p>
    <w:p w:rsidR="007A474E" w:rsidRPr="000A1446" w:rsidRDefault="00640A60" w:rsidP="00640A60">
      <w:pPr>
        <w:numPr>
          <w:ilvl w:val="1"/>
          <w:numId w:val="42"/>
        </w:numPr>
        <w:tabs>
          <w:tab w:val="left" w:pos="1560"/>
        </w:tabs>
        <w:ind w:left="1560" w:hanging="426"/>
      </w:pPr>
      <w:r>
        <w:t>A</w:t>
      </w:r>
      <w:r w:rsidRPr="00640A60">
        <w:t xml:space="preserve"> detailed description of </w:t>
      </w:r>
      <w:r>
        <w:t>the</w:t>
      </w:r>
      <w:r w:rsidR="00E2194E">
        <w:t>ir</w:t>
      </w:r>
      <w:r w:rsidRPr="00640A60">
        <w:t xml:space="preserve"> business activities</w:t>
      </w:r>
      <w:r>
        <w:t xml:space="preserve">, including the </w:t>
      </w:r>
      <w:r w:rsidRPr="00640A60">
        <w:t>nature of products</w:t>
      </w:r>
      <w:r>
        <w:t xml:space="preserve">/services </w:t>
      </w:r>
      <w:r w:rsidRPr="00640A60">
        <w:t xml:space="preserve">supplied and </w:t>
      </w:r>
      <w:r>
        <w:t xml:space="preserve">at which functional levels of the </w:t>
      </w:r>
      <w:r w:rsidR="009B7C5E">
        <w:t>market (e.g. retail, wholesale)</w:t>
      </w:r>
    </w:p>
    <w:p w:rsidR="007A474E" w:rsidRPr="000A1446" w:rsidRDefault="007A474E" w:rsidP="007A474E">
      <w:pPr>
        <w:numPr>
          <w:ilvl w:val="1"/>
          <w:numId w:val="42"/>
        </w:numPr>
        <w:tabs>
          <w:tab w:val="left" w:pos="1560"/>
        </w:tabs>
        <w:ind w:left="1560" w:hanging="426"/>
      </w:pPr>
      <w:r w:rsidRPr="000A1446">
        <w:t xml:space="preserve">The geographic location(s) of any </w:t>
      </w:r>
      <w:r w:rsidR="00E2194E">
        <w:t xml:space="preserve">relevant </w:t>
      </w:r>
      <w:r w:rsidRPr="000A1446">
        <w:t>manufacturing sites</w:t>
      </w:r>
      <w:r w:rsidR="00640A60">
        <w:t>, distribution centres or retail operations</w:t>
      </w:r>
      <w:r w:rsidRPr="000A1446">
        <w:t xml:space="preserve"> and/or the area in which products and/or services are supplied</w:t>
      </w:r>
    </w:p>
    <w:p w:rsidR="007A474E" w:rsidRPr="000A1446" w:rsidRDefault="007A474E" w:rsidP="007A474E">
      <w:pPr>
        <w:numPr>
          <w:ilvl w:val="1"/>
          <w:numId w:val="42"/>
        </w:numPr>
        <w:tabs>
          <w:tab w:val="left" w:pos="1560"/>
        </w:tabs>
        <w:ind w:left="1560" w:hanging="426"/>
      </w:pPr>
      <w:r w:rsidRPr="000A1446">
        <w:t xml:space="preserve">Actual or estimated revenues (to the extent possible, delineated by product or service </w:t>
      </w:r>
      <w:r w:rsidR="00456869" w:rsidRPr="000A1446">
        <w:t>market</w:t>
      </w:r>
      <w:r w:rsidRPr="000A1446">
        <w:t>)</w:t>
      </w:r>
      <w:r w:rsidR="00E2194E">
        <w:rPr>
          <w:rStyle w:val="FootnoteReference"/>
        </w:rPr>
        <w:footnoteReference w:id="19"/>
      </w:r>
    </w:p>
    <w:p w:rsidR="002F7EEA" w:rsidRPr="000A1446" w:rsidRDefault="002F7EEA" w:rsidP="00E2194E">
      <w:pPr>
        <w:numPr>
          <w:ilvl w:val="1"/>
          <w:numId w:val="42"/>
        </w:numPr>
        <w:tabs>
          <w:tab w:val="left" w:pos="1560"/>
        </w:tabs>
        <w:spacing w:before="120" w:after="120"/>
        <w:ind w:left="1560" w:hanging="426"/>
      </w:pPr>
      <w:r w:rsidRPr="000A1446">
        <w:t xml:space="preserve">Any significant contractual arrangements that exist in the industry (e.g. long term </w:t>
      </w:r>
      <w:r w:rsidR="00E2194E">
        <w:t xml:space="preserve">or exclusive </w:t>
      </w:r>
      <w:r w:rsidRPr="000A1446">
        <w:t>supply contracts</w:t>
      </w:r>
      <w:r w:rsidR="00E2194E">
        <w:t xml:space="preserve"> or distribution arrangements</w:t>
      </w:r>
      <w:r w:rsidRPr="000A1446">
        <w:t>)</w:t>
      </w:r>
    </w:p>
    <w:p w:rsidR="007A474E" w:rsidRPr="000A1446" w:rsidRDefault="007A474E" w:rsidP="00672ADD">
      <w:pPr>
        <w:numPr>
          <w:ilvl w:val="0"/>
          <w:numId w:val="42"/>
        </w:numPr>
        <w:tabs>
          <w:tab w:val="left" w:pos="851"/>
        </w:tabs>
        <w:ind w:left="851" w:hanging="437"/>
      </w:pPr>
      <w:r w:rsidRPr="000A1446">
        <w:t xml:space="preserve">For any markets in which both the acquirer and the target </w:t>
      </w:r>
      <w:r w:rsidR="00672ADD" w:rsidRPr="000A1446">
        <w:t xml:space="preserve">currently </w:t>
      </w:r>
      <w:r w:rsidRPr="000A1446">
        <w:t xml:space="preserve">supply goods or services, or for any market in which the acquirer and target </w:t>
      </w:r>
      <w:r w:rsidR="00672ADD" w:rsidRPr="000A1446">
        <w:t>have a customer/supplier relationship</w:t>
      </w:r>
      <w:r w:rsidR="002F7EEA" w:rsidRPr="000A1446">
        <w:t xml:space="preserve"> with one another</w:t>
      </w:r>
      <w:r w:rsidR="00672ADD" w:rsidRPr="000A1446">
        <w:t>:</w:t>
      </w:r>
    </w:p>
    <w:p w:rsidR="00672ADD" w:rsidRPr="000A1446" w:rsidRDefault="00672ADD" w:rsidP="00672ADD">
      <w:pPr>
        <w:numPr>
          <w:ilvl w:val="1"/>
          <w:numId w:val="42"/>
        </w:numPr>
        <w:tabs>
          <w:tab w:val="left" w:pos="1560"/>
        </w:tabs>
        <w:ind w:left="1560" w:hanging="426"/>
      </w:pPr>
      <w:r w:rsidRPr="000A1446">
        <w:t>Market shares of the suppliers for each market</w:t>
      </w:r>
      <w:r w:rsidR="00E2194E">
        <w:rPr>
          <w:rStyle w:val="FootnoteReference"/>
        </w:rPr>
        <w:footnoteReference w:id="20"/>
      </w:r>
    </w:p>
    <w:p w:rsidR="00672ADD" w:rsidRPr="000A1446" w:rsidRDefault="00672ADD" w:rsidP="00672ADD">
      <w:pPr>
        <w:numPr>
          <w:ilvl w:val="1"/>
          <w:numId w:val="42"/>
        </w:numPr>
        <w:tabs>
          <w:tab w:val="left" w:pos="1560"/>
        </w:tabs>
        <w:ind w:left="1560" w:hanging="426"/>
      </w:pPr>
      <w:r w:rsidRPr="000A1446">
        <w:t>The extent of imports to the market(s)</w:t>
      </w:r>
      <w:r w:rsidR="00E2194E">
        <w:t xml:space="preserve"> </w:t>
      </w:r>
    </w:p>
    <w:p w:rsidR="00672ADD" w:rsidRPr="000A1446" w:rsidRDefault="00672ADD" w:rsidP="00672ADD">
      <w:pPr>
        <w:numPr>
          <w:ilvl w:val="1"/>
          <w:numId w:val="42"/>
        </w:numPr>
        <w:tabs>
          <w:tab w:val="left" w:pos="1560"/>
        </w:tabs>
        <w:ind w:left="1560" w:hanging="426"/>
      </w:pPr>
      <w:r w:rsidRPr="000A1446">
        <w:t xml:space="preserve">Any evidence of recent or likely future new entry or expansion </w:t>
      </w:r>
    </w:p>
    <w:p w:rsidR="00753BEB" w:rsidRPr="000A1446" w:rsidRDefault="00753BEB" w:rsidP="00610FDB">
      <w:pPr>
        <w:numPr>
          <w:ilvl w:val="0"/>
          <w:numId w:val="42"/>
        </w:numPr>
        <w:tabs>
          <w:tab w:val="left" w:pos="851"/>
        </w:tabs>
        <w:ind w:left="851" w:hanging="437"/>
      </w:pPr>
      <w:r w:rsidRPr="000A1446">
        <w:t>For mergers which the ACCC considers require a public review:</w:t>
      </w:r>
    </w:p>
    <w:p w:rsidR="00753BEB" w:rsidRPr="000A1446" w:rsidRDefault="00753BEB" w:rsidP="00DA03B7">
      <w:pPr>
        <w:numPr>
          <w:ilvl w:val="1"/>
          <w:numId w:val="42"/>
        </w:numPr>
        <w:tabs>
          <w:tab w:val="left" w:pos="1560"/>
        </w:tabs>
        <w:ind w:left="1560" w:hanging="426"/>
      </w:pPr>
      <w:r w:rsidRPr="000A1446">
        <w:t xml:space="preserve">A list of key customer </w:t>
      </w:r>
      <w:r w:rsidR="00E2194E">
        <w:t xml:space="preserve">and supplier </w:t>
      </w:r>
      <w:r w:rsidRPr="000A1446">
        <w:t>names and contact details (for a range of small, medium and large customers)</w:t>
      </w:r>
    </w:p>
    <w:sectPr w:rsidR="00753BEB" w:rsidRPr="000A1446" w:rsidSect="005A36E7">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77" w:rsidRDefault="00935677" w:rsidP="00B87ED1">
      <w:pPr>
        <w:spacing w:after="0" w:line="240" w:lineRule="auto"/>
      </w:pPr>
      <w:r>
        <w:separator/>
      </w:r>
    </w:p>
  </w:endnote>
  <w:endnote w:type="continuationSeparator" w:id="0">
    <w:p w:rsidR="00935677" w:rsidRDefault="00935677" w:rsidP="00B8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NeueLT Std Lt">
    <w:altName w:val="Times New Roman"/>
    <w:charset w:val="00"/>
    <w:family w:val="auto"/>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E21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E2194E" w:rsidP="00285326">
    <w:pPr>
      <w:pStyle w:val="Footer"/>
      <w:tabs>
        <w:tab w:val="clear" w:pos="4513"/>
        <w:tab w:val="center" w:pos="7513"/>
      </w:tabs>
      <w:ind w:left="567" w:hanging="567"/>
    </w:pPr>
    <w:r>
      <w:t xml:space="preserve">Draft </w:t>
    </w:r>
    <w:r w:rsidRPr="00D9741F">
      <w:t>Authorisation Guidelines 201</w:t>
    </w:r>
    <w:r>
      <w:t>3</w:t>
    </w:r>
    <w:r w:rsidRPr="00D9741F">
      <w:tab/>
    </w:r>
    <w:r w:rsidRPr="00D9741F">
      <w:fldChar w:fldCharType="begin"/>
    </w:r>
    <w:r w:rsidRPr="00D9741F">
      <w:instrText xml:space="preserve"> PAGE   \* MERGEFORMAT </w:instrText>
    </w:r>
    <w:r w:rsidRPr="00D9741F">
      <w:fldChar w:fldCharType="separate"/>
    </w:r>
    <w:r>
      <w:rPr>
        <w:noProof/>
      </w:rPr>
      <w:t>2</w:t>
    </w:r>
    <w:r w:rsidRPr="00D974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Pr="00567AA6" w:rsidRDefault="00E2194E" w:rsidP="00285326">
    <w:pPr>
      <w:pStyle w:val="Footer"/>
      <w:ind w:lef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E2194E" w:rsidP="00285326">
    <w:pPr>
      <w:pStyle w:val="Footer"/>
      <w:tabs>
        <w:tab w:val="clear" w:pos="4513"/>
        <w:tab w:val="center" w:pos="7513"/>
      </w:tabs>
      <w:ind w:left="567" w:hanging="567"/>
    </w:pPr>
    <w:r>
      <w:t>Merger Review Process</w:t>
    </w:r>
    <w:r w:rsidRPr="00D9741F">
      <w:t xml:space="preserve"> Guidelines 201</w:t>
    </w:r>
    <w:r>
      <w:t>3</w:t>
    </w:r>
    <w:r w:rsidRPr="00D9741F">
      <w:tab/>
    </w:r>
    <w:r w:rsidRPr="00D9741F">
      <w:fldChar w:fldCharType="begin"/>
    </w:r>
    <w:r w:rsidRPr="00D9741F">
      <w:instrText xml:space="preserve"> PAGE   \* MERGEFORMAT </w:instrText>
    </w:r>
    <w:r w:rsidRPr="00D9741F">
      <w:fldChar w:fldCharType="separate"/>
    </w:r>
    <w:r w:rsidR="00A528AE">
      <w:rPr>
        <w:noProof/>
      </w:rPr>
      <w:t>1</w:t>
    </w:r>
    <w:r w:rsidRPr="00D9741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E2194E">
    <w:pPr>
      <w:pStyle w:val="Footer"/>
      <w:jc w:val="center"/>
    </w:pPr>
    <w:r>
      <w:fldChar w:fldCharType="begin"/>
    </w:r>
    <w:r>
      <w:instrText xml:space="preserve"> PAGE   \* MERGEFORMAT </w:instrText>
    </w:r>
    <w:r>
      <w:fldChar w:fldCharType="separate"/>
    </w:r>
    <w:r w:rsidR="00A528AE">
      <w:rPr>
        <w:noProof/>
      </w:rPr>
      <w:t>15</w:t>
    </w:r>
    <w:r>
      <w:fldChar w:fldCharType="end"/>
    </w:r>
  </w:p>
  <w:p w:rsidR="00E2194E" w:rsidRDefault="00E2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77" w:rsidRDefault="00935677" w:rsidP="00B87ED1">
      <w:pPr>
        <w:spacing w:after="0" w:line="240" w:lineRule="auto"/>
      </w:pPr>
      <w:r>
        <w:separator/>
      </w:r>
    </w:p>
  </w:footnote>
  <w:footnote w:type="continuationSeparator" w:id="0">
    <w:p w:rsidR="00935677" w:rsidRDefault="00935677" w:rsidP="00B87ED1">
      <w:pPr>
        <w:spacing w:after="0" w:line="240" w:lineRule="auto"/>
      </w:pPr>
      <w:r>
        <w:continuationSeparator/>
      </w:r>
    </w:p>
  </w:footnote>
  <w:footnote w:id="1">
    <w:p w:rsidR="00E2194E" w:rsidRDefault="00E2194E">
      <w:pPr>
        <w:pStyle w:val="FootnoteText"/>
      </w:pPr>
      <w:r>
        <w:rPr>
          <w:rStyle w:val="FootnoteReference"/>
        </w:rPr>
        <w:footnoteRef/>
      </w:r>
      <w:r>
        <w:t xml:space="preserve"> For convenience, the term ‘merger’ in these guidelines includes mergers and acquisitions of shares and assets</w:t>
      </w:r>
    </w:p>
  </w:footnote>
  <w:footnote w:id="2">
    <w:p w:rsidR="00E2194E" w:rsidRDefault="00E2194E">
      <w:pPr>
        <w:pStyle w:val="FootnoteText"/>
      </w:pPr>
      <w:r>
        <w:rPr>
          <w:rStyle w:val="FootnoteReference"/>
        </w:rPr>
        <w:footnoteRef/>
      </w:r>
      <w:r>
        <w:t xml:space="preserve"> </w:t>
      </w:r>
      <w:hyperlink r:id="rId1" w:history="1">
        <w:r w:rsidRPr="00E423A3">
          <w:rPr>
            <w:rStyle w:val="Hyperlink"/>
          </w:rPr>
          <w:t>www.internationalcompetitionnetwork.org/guidingprinciples.html</w:t>
        </w:r>
      </w:hyperlink>
      <w:r>
        <w:t xml:space="preserve">  </w:t>
      </w:r>
    </w:p>
  </w:footnote>
  <w:footnote w:id="3">
    <w:p w:rsidR="00E2194E" w:rsidRDefault="00E2194E">
      <w:pPr>
        <w:pStyle w:val="FootnoteText"/>
      </w:pPr>
      <w:r>
        <w:rPr>
          <w:rStyle w:val="FootnoteReference"/>
        </w:rPr>
        <w:footnoteRef/>
      </w:r>
      <w:r>
        <w:t xml:space="preserve"> For more information about the Formal Clearance process, refer to the ACCC’s</w:t>
      </w:r>
      <w:r>
        <w:rPr>
          <w:i/>
        </w:rPr>
        <w:t xml:space="preserve"> </w:t>
      </w:r>
      <w:r w:rsidRPr="00A91F67">
        <w:rPr>
          <w:i/>
        </w:rPr>
        <w:t>Formal merger review process guidelines 2008</w:t>
      </w:r>
      <w:r>
        <w:t xml:space="preserve">, available at </w:t>
      </w:r>
      <w:hyperlink r:id="rId2" w:history="1">
        <w:r w:rsidRPr="00E423A3">
          <w:rPr>
            <w:rStyle w:val="Hyperlink"/>
          </w:rPr>
          <w:t>www.accc.gov.au</w:t>
        </w:r>
      </w:hyperlink>
      <w:r>
        <w:t xml:space="preserve"> </w:t>
      </w:r>
    </w:p>
  </w:footnote>
  <w:footnote w:id="4">
    <w:p w:rsidR="00E2194E" w:rsidRDefault="00E2194E">
      <w:pPr>
        <w:pStyle w:val="FootnoteText"/>
      </w:pPr>
      <w:r>
        <w:rPr>
          <w:rStyle w:val="FootnoteReference"/>
        </w:rPr>
        <w:footnoteRef/>
      </w:r>
      <w:r>
        <w:t xml:space="preserve"> See </w:t>
      </w:r>
      <w:hyperlink r:id="rId3" w:history="1">
        <w:r w:rsidRPr="00E423A3">
          <w:rPr>
            <w:rStyle w:val="Hyperlink"/>
          </w:rPr>
          <w:t>http://www.competitiontribunal.gov.au</w:t>
        </w:r>
      </w:hyperlink>
      <w:r>
        <w:t xml:space="preserve"> and the </w:t>
      </w:r>
      <w:r>
        <w:rPr>
          <w:i/>
        </w:rPr>
        <w:t>Formal merger review process guidelines 2008</w:t>
      </w:r>
      <w:r>
        <w:t xml:space="preserve">. </w:t>
      </w:r>
    </w:p>
  </w:footnote>
  <w:footnote w:id="5">
    <w:p w:rsidR="00E2194E" w:rsidRDefault="00E2194E" w:rsidP="00873C0C">
      <w:pPr>
        <w:pStyle w:val="FootnoteText"/>
      </w:pPr>
      <w:r>
        <w:rPr>
          <w:rStyle w:val="FootnoteReference"/>
        </w:rPr>
        <w:footnoteRef/>
      </w:r>
      <w:r>
        <w:t xml:space="preserve"> </w:t>
      </w:r>
      <w:r w:rsidRPr="00225238">
        <w:t>For the purposes of these guidelines, merger parties may refer to either the acquirer and target or acquirer only.</w:t>
      </w:r>
    </w:p>
  </w:footnote>
  <w:footnote w:id="6">
    <w:p w:rsidR="00E2194E" w:rsidRDefault="00E2194E">
      <w:pPr>
        <w:pStyle w:val="FootnoteText"/>
      </w:pPr>
      <w:r>
        <w:rPr>
          <w:rStyle w:val="FootnoteReference"/>
        </w:rPr>
        <w:footnoteRef/>
      </w:r>
      <w:r>
        <w:t xml:space="preserve"> Although third party legal action is possible, it is extremely rare.</w:t>
      </w:r>
    </w:p>
  </w:footnote>
  <w:footnote w:id="7">
    <w:p w:rsidR="00E2194E" w:rsidRDefault="00E2194E">
      <w:pPr>
        <w:pStyle w:val="FootnoteText"/>
      </w:pPr>
      <w:r>
        <w:rPr>
          <w:rStyle w:val="FootnoteReference"/>
        </w:rPr>
        <w:footnoteRef/>
      </w:r>
      <w:r>
        <w:t xml:space="preserve"> </w:t>
      </w:r>
      <w:r w:rsidRPr="00DD3607">
        <w:t>A decision by the ACCC not to oppose an acquisition does not legally bind the ACCC, but indicates the ACCC’s view based on information available at the time of the decision.</w:t>
      </w:r>
      <w:r>
        <w:t xml:space="preserve"> </w:t>
      </w:r>
      <w:r w:rsidRPr="00DD3607">
        <w:t xml:space="preserve">The ACCC </w:t>
      </w:r>
      <w:r>
        <w:t xml:space="preserve">may </w:t>
      </w:r>
      <w:r w:rsidRPr="00DD3607">
        <w:t xml:space="preserve">reconsider a transaction </w:t>
      </w:r>
      <w:r w:rsidRPr="00F91D96">
        <w:t xml:space="preserve">should new information come to </w:t>
      </w:r>
      <w:r>
        <w:t>light</w:t>
      </w:r>
      <w:r w:rsidRPr="00F91D96">
        <w:t>, or should it become aware that any information upon which it has based its view is incorrect or incomplete</w:t>
      </w:r>
      <w:r w:rsidRPr="00DD3607">
        <w:t>.</w:t>
      </w:r>
      <w:r>
        <w:t xml:space="preserve"> </w:t>
      </w:r>
    </w:p>
  </w:footnote>
  <w:footnote w:id="8">
    <w:p w:rsidR="00E2194E" w:rsidRDefault="00E2194E">
      <w:pPr>
        <w:pStyle w:val="FootnoteText"/>
      </w:pPr>
      <w:r>
        <w:rPr>
          <w:rStyle w:val="FootnoteReference"/>
        </w:rPr>
        <w:footnoteRef/>
      </w:r>
      <w:r>
        <w:t xml:space="preserve"> </w:t>
      </w:r>
      <w:r w:rsidRPr="000754DC">
        <w:t>Mergers that fall outside the notification threshold will rarely require investigation by the ACCC. However, the notification threshold is indicative only. It is intended to provide a starting point for identifying those mergers that may raise competition concerns and therefore require investigation.</w:t>
      </w:r>
    </w:p>
  </w:footnote>
  <w:footnote w:id="9">
    <w:p w:rsidR="00E2194E" w:rsidRDefault="00E2194E" w:rsidP="00DE6180">
      <w:pPr>
        <w:pStyle w:val="FootnoteText"/>
      </w:pPr>
      <w:r>
        <w:rPr>
          <w:rStyle w:val="FootnoteReference"/>
        </w:rPr>
        <w:footnoteRef/>
      </w:r>
      <w:r>
        <w:t xml:space="preserve"> In the case of confidential mergers, this indicates that the ACCC does not consider that a public review will be required once the transaction becomes public.</w:t>
      </w:r>
    </w:p>
  </w:footnote>
  <w:footnote w:id="10">
    <w:p w:rsidR="00E2194E" w:rsidRDefault="00E2194E">
      <w:pPr>
        <w:pStyle w:val="FootnoteText"/>
      </w:pPr>
      <w:r>
        <w:rPr>
          <w:rStyle w:val="FootnoteReference"/>
        </w:rPr>
        <w:footnoteRef/>
      </w:r>
      <w:r>
        <w:t xml:space="preserve"> </w:t>
      </w:r>
      <w:r w:rsidRPr="006F649C">
        <w:t xml:space="preserve">Initially, the ACCC will assess </w:t>
      </w:r>
      <w:r>
        <w:t>a confidential merger</w:t>
      </w:r>
      <w:r w:rsidRPr="006F649C">
        <w:t xml:space="preserve"> to determine whether it can be pre-assessed under the process described from 2.</w:t>
      </w:r>
      <w:r>
        <w:t>10</w:t>
      </w:r>
      <w:r w:rsidRPr="006F649C">
        <w:t>, above</w:t>
      </w:r>
      <w:r>
        <w:t>.</w:t>
      </w:r>
    </w:p>
  </w:footnote>
  <w:footnote w:id="11">
    <w:p w:rsidR="00E2194E" w:rsidRDefault="00E2194E">
      <w:pPr>
        <w:pStyle w:val="FootnoteText"/>
      </w:pPr>
      <w:r>
        <w:rPr>
          <w:rStyle w:val="FootnoteReference"/>
        </w:rPr>
        <w:footnoteRef/>
      </w:r>
      <w:r>
        <w:t xml:space="preserve"> In some circumstances, where the merger parties request a confidential review, ACCC staff may indicate to the merger parties that</w:t>
      </w:r>
      <w:r w:rsidRPr="00020354">
        <w:t xml:space="preserve"> the ACCC </w:t>
      </w:r>
      <w:r>
        <w:t xml:space="preserve">is unlikely to </w:t>
      </w:r>
      <w:r w:rsidRPr="00020354">
        <w:t>be able to reach any view without market inquiries</w:t>
      </w:r>
      <w:r>
        <w:t>. In such cases,</w:t>
      </w:r>
      <w:r w:rsidRPr="00020354">
        <w:t xml:space="preserve"> </w:t>
      </w:r>
      <w:r>
        <w:t xml:space="preserve">this will allow </w:t>
      </w:r>
      <w:r w:rsidRPr="00020354">
        <w:t xml:space="preserve">merger parties </w:t>
      </w:r>
      <w:r>
        <w:t xml:space="preserve">to </w:t>
      </w:r>
      <w:r w:rsidRPr="00020354">
        <w:t xml:space="preserve">consider </w:t>
      </w:r>
      <w:r>
        <w:t>whether to proceed with their request for a confidential review (which may not result in the ACCC being able to form a view in the absence of market inquiries), or to request that the ACCC proceed to a public review</w:t>
      </w:r>
      <w:r w:rsidRPr="00020354">
        <w:t>.</w:t>
      </w:r>
    </w:p>
  </w:footnote>
  <w:footnote w:id="12">
    <w:p w:rsidR="00E2194E" w:rsidRDefault="00E2194E">
      <w:pPr>
        <w:pStyle w:val="FootnoteText"/>
      </w:pPr>
      <w:r>
        <w:rPr>
          <w:rStyle w:val="FootnoteReference"/>
        </w:rPr>
        <w:footnoteRef/>
      </w:r>
      <w:r>
        <w:t xml:space="preserve"> The ACCC’s experience is that this outcome in confidential review is less likely, given that, prior to conducting any confidential review, the ACCC will have previously decided that the matter could not be pre-assessed.</w:t>
      </w:r>
    </w:p>
  </w:footnote>
  <w:footnote w:id="13">
    <w:p w:rsidR="00E2194E" w:rsidRDefault="00E2194E">
      <w:pPr>
        <w:pStyle w:val="FootnoteText"/>
      </w:pPr>
      <w:r>
        <w:rPr>
          <w:rStyle w:val="FootnoteReference"/>
        </w:rPr>
        <w:footnoteRef/>
      </w:r>
      <w:r>
        <w:t xml:space="preserve"> An exception to this is where merger parties publicly disclose, in whole or in part, the substance of the ACCC’s confidential preliminary view. Then, the ACCC reserves the right to confirm the fact that a confidential review was requested and to make statements confirming, clarifying or explaining aspects of that view.</w:t>
      </w:r>
    </w:p>
  </w:footnote>
  <w:footnote w:id="14">
    <w:p w:rsidR="00E2194E" w:rsidRDefault="00E2194E">
      <w:pPr>
        <w:pStyle w:val="FootnoteText"/>
      </w:pPr>
      <w:r>
        <w:rPr>
          <w:rStyle w:val="FootnoteReference"/>
        </w:rPr>
        <w:footnoteRef/>
      </w:r>
      <w:r>
        <w:t xml:space="preserve"> While the indicative timeline is subject to amendment at any stage throughout a review, the ACCC’s experience is that the decision dates set at the beginning of a review are often amended following market inquiries, at which stage the ACCC has a better understanding of the scope of the issues involved in the review.</w:t>
      </w:r>
    </w:p>
  </w:footnote>
  <w:footnote w:id="15">
    <w:p w:rsidR="00E2194E" w:rsidRDefault="00E2194E" w:rsidP="00E93AFA">
      <w:pPr>
        <w:pStyle w:val="FootnoteText"/>
      </w:pPr>
      <w:r>
        <w:rPr>
          <w:rStyle w:val="FootnoteReference"/>
        </w:rPr>
        <w:footnoteRef/>
      </w:r>
      <w:r>
        <w:t xml:space="preserve"> In certain circumstances this period will necessarily be longer, particularly where complex competition concerns have been raised and are being considered by the ACCC.</w:t>
      </w:r>
    </w:p>
  </w:footnote>
  <w:footnote w:id="16">
    <w:p w:rsidR="00E2194E" w:rsidRPr="009F0422" w:rsidRDefault="00E2194E" w:rsidP="00842A87">
      <w:pPr>
        <w:pStyle w:val="FootnoteText"/>
      </w:pPr>
      <w:r>
        <w:rPr>
          <w:rStyle w:val="FootnoteReference"/>
        </w:rPr>
        <w:footnoteRef/>
      </w:r>
      <w:r>
        <w:t xml:space="preserve"> An exception to this is where the ACCC is compelled to disclose information by law, for example under the </w:t>
      </w:r>
      <w:r>
        <w:rPr>
          <w:i/>
        </w:rPr>
        <w:t xml:space="preserve">Freedom of Information Act 1982 </w:t>
      </w:r>
      <w:r>
        <w:t>or legal proceedings.</w:t>
      </w:r>
    </w:p>
  </w:footnote>
  <w:footnote w:id="17">
    <w:p w:rsidR="00E2194E" w:rsidRDefault="00E2194E" w:rsidP="007209B6">
      <w:pPr>
        <w:pStyle w:val="FootnoteText"/>
      </w:pPr>
      <w:r>
        <w:rPr>
          <w:rStyle w:val="FootnoteReference"/>
        </w:rPr>
        <w:footnoteRef/>
      </w:r>
      <w:r>
        <w:t xml:space="preserve"> In some circumstances there may be other times throughout a review where feedback of this nature is provided to merger parties, such as where public consultation on a proposed s. 87B undertaking has occurred.</w:t>
      </w:r>
    </w:p>
  </w:footnote>
  <w:footnote w:id="18">
    <w:p w:rsidR="00E2194E" w:rsidRPr="00456869" w:rsidRDefault="00E2194E" w:rsidP="00031AC2">
      <w:pPr>
        <w:pStyle w:val="FootnoteText"/>
      </w:pPr>
      <w:r>
        <w:rPr>
          <w:rStyle w:val="FootnoteReference"/>
        </w:rPr>
        <w:footnoteRef/>
      </w:r>
      <w:r>
        <w:t xml:space="preserve"> For more detail on the information which may be of use to the ACCC during a merger review, please refer to the </w:t>
      </w:r>
      <w:r>
        <w:rPr>
          <w:i/>
        </w:rPr>
        <w:t>Merger Guidelines</w:t>
      </w:r>
      <w:r>
        <w:t>, pages 19, 37, 41, 43, 46, 48-51.</w:t>
      </w:r>
    </w:p>
  </w:footnote>
  <w:footnote w:id="19">
    <w:p w:rsidR="00E2194E" w:rsidRDefault="00E2194E">
      <w:pPr>
        <w:pStyle w:val="FootnoteText"/>
      </w:pPr>
      <w:r>
        <w:rPr>
          <w:rStyle w:val="FootnoteReference"/>
        </w:rPr>
        <w:footnoteRef/>
      </w:r>
      <w:r>
        <w:t xml:space="preserve"> If a</w:t>
      </w:r>
      <w:r w:rsidR="004E5599">
        <w:t>vailable, a more detailed break</w:t>
      </w:r>
      <w:r>
        <w:t>down (e.g. by distribution channel or customer) will be of assistance to the ACCC.</w:t>
      </w:r>
    </w:p>
  </w:footnote>
  <w:footnote w:id="20">
    <w:p w:rsidR="00E2194E" w:rsidRDefault="00E2194E">
      <w:pPr>
        <w:pStyle w:val="FootnoteText"/>
      </w:pPr>
      <w:r>
        <w:rPr>
          <w:rStyle w:val="FootnoteReference"/>
        </w:rPr>
        <w:footnoteRef/>
      </w:r>
      <w:r>
        <w:t xml:space="preserve"> Market shares should generally be calculated for the most recent financial or calendar year for each relevant market. The calculation of market shares depends critically on market definition. If there is uncertainty as to the relevant market, it is preferable that market shares be calculated on the basis of the market definition most likely to raise competition concerns.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E21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Pr="004D0637" w:rsidRDefault="00E2194E" w:rsidP="00285326">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E219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4E" w:rsidRDefault="0093567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909"/>
    <w:multiLevelType w:val="multilevel"/>
    <w:tmpl w:val="D958B6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740374"/>
    <w:multiLevelType w:val="hybridMultilevel"/>
    <w:tmpl w:val="3B881B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0AF91A30"/>
    <w:multiLevelType w:val="multilevel"/>
    <w:tmpl w:val="B04E19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2D4E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5E7951"/>
    <w:multiLevelType w:val="multilevel"/>
    <w:tmpl w:val="B80A0F2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186854"/>
    <w:multiLevelType w:val="hybridMultilevel"/>
    <w:tmpl w:val="6CF45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A8425D"/>
    <w:multiLevelType w:val="hybridMultilevel"/>
    <w:tmpl w:val="42B2FBF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nsid w:val="14955905"/>
    <w:multiLevelType w:val="hybridMultilevel"/>
    <w:tmpl w:val="B8CAC7EC"/>
    <w:lvl w:ilvl="0" w:tplc="58C6336A">
      <w:numFmt w:val="bullet"/>
      <w:lvlText w:val="•"/>
      <w:lvlJc w:val="left"/>
      <w:pPr>
        <w:ind w:left="1211"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174CF1"/>
    <w:multiLevelType w:val="hybridMultilevel"/>
    <w:tmpl w:val="F9F0FD1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nsid w:val="1E3E6682"/>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7A5B53"/>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871340"/>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6429B1"/>
    <w:multiLevelType w:val="multilevel"/>
    <w:tmpl w:val="D958B6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860B5A"/>
    <w:multiLevelType w:val="hybridMultilevel"/>
    <w:tmpl w:val="60E49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CF0322E"/>
    <w:multiLevelType w:val="hybridMultilevel"/>
    <w:tmpl w:val="CEB20A8E"/>
    <w:lvl w:ilvl="0" w:tplc="58C6336A">
      <w:numFmt w:val="bullet"/>
      <w:lvlText w:val="•"/>
      <w:lvlJc w:val="left"/>
      <w:pPr>
        <w:ind w:left="1211" w:hanging="360"/>
      </w:pPr>
      <w:rPr>
        <w:rFonts w:ascii="Calibri" w:eastAsia="Calibri" w:hAnsi="Calibri"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nsid w:val="30270654"/>
    <w:multiLevelType w:val="hybridMultilevel"/>
    <w:tmpl w:val="D7CC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184DA5"/>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B16D43"/>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B97935"/>
    <w:multiLevelType w:val="multilevel"/>
    <w:tmpl w:val="D958B6F2"/>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DF1F62"/>
    <w:multiLevelType w:val="hybridMultilevel"/>
    <w:tmpl w:val="440A9528"/>
    <w:lvl w:ilvl="0" w:tplc="5F54AD7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0D3B16"/>
    <w:multiLevelType w:val="hybridMultilevel"/>
    <w:tmpl w:val="047685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93957B4"/>
    <w:multiLevelType w:val="hybridMultilevel"/>
    <w:tmpl w:val="BD2CD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BC62E29"/>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3D5C59"/>
    <w:multiLevelType w:val="multilevel"/>
    <w:tmpl w:val="127EC4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FB38D5"/>
    <w:multiLevelType w:val="hybridMultilevel"/>
    <w:tmpl w:val="2EB88E8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49D3FA8"/>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973FD9"/>
    <w:multiLevelType w:val="hybridMultilevel"/>
    <w:tmpl w:val="50A431EE"/>
    <w:lvl w:ilvl="0" w:tplc="0C090005">
      <w:start w:val="1"/>
      <w:numFmt w:val="bullet"/>
      <w:lvlText w:val=""/>
      <w:lvlJc w:val="left"/>
      <w:pPr>
        <w:tabs>
          <w:tab w:val="num" w:pos="1287"/>
        </w:tabs>
        <w:ind w:left="1287" w:hanging="360"/>
      </w:pPr>
      <w:rPr>
        <w:rFonts w:ascii="Wingdings" w:hAnsi="Wingdings"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nsid w:val="56BF258C"/>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C878BE"/>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E74735"/>
    <w:multiLevelType w:val="multilevel"/>
    <w:tmpl w:val="63C2991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217E9B"/>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591941"/>
    <w:multiLevelType w:val="hybridMultilevel"/>
    <w:tmpl w:val="EC6C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FC6ABF"/>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0E1312"/>
    <w:multiLevelType w:val="hybridMultilevel"/>
    <w:tmpl w:val="8270639A"/>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4">
    <w:nsid w:val="6C57107E"/>
    <w:multiLevelType w:val="multilevel"/>
    <w:tmpl w:val="2AE4C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70E3D"/>
    <w:multiLevelType w:val="hybridMultilevel"/>
    <w:tmpl w:val="C5FCDA3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6">
    <w:nsid w:val="6E9B7757"/>
    <w:multiLevelType w:val="multilevel"/>
    <w:tmpl w:val="D958B6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A77E7"/>
    <w:multiLevelType w:val="multilevel"/>
    <w:tmpl w:val="B04E19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E06A3A"/>
    <w:multiLevelType w:val="hybridMultilevel"/>
    <w:tmpl w:val="1EBC66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nsid w:val="73E860DA"/>
    <w:multiLevelType w:val="hybridMultilevel"/>
    <w:tmpl w:val="8F843B6E"/>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nsid w:val="77030CF3"/>
    <w:multiLevelType w:val="hybridMultilevel"/>
    <w:tmpl w:val="E3F4B58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1">
    <w:nsid w:val="780777F1"/>
    <w:multiLevelType w:val="hybridMultilevel"/>
    <w:tmpl w:val="2F80BB08"/>
    <w:lvl w:ilvl="0" w:tplc="58C6336A">
      <w:numFmt w:val="bullet"/>
      <w:lvlText w:val="•"/>
      <w:lvlJc w:val="left"/>
      <w:pPr>
        <w:ind w:left="1211"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29"/>
  </w:num>
  <w:num w:numId="5">
    <w:abstractNumId w:val="3"/>
  </w:num>
  <w:num w:numId="6">
    <w:abstractNumId w:val="38"/>
  </w:num>
  <w:num w:numId="7">
    <w:abstractNumId w:val="14"/>
  </w:num>
  <w:num w:numId="8">
    <w:abstractNumId w:val="36"/>
  </w:num>
  <w:num w:numId="9">
    <w:abstractNumId w:val="26"/>
  </w:num>
  <w:num w:numId="10">
    <w:abstractNumId w:val="9"/>
  </w:num>
  <w:num w:numId="11">
    <w:abstractNumId w:val="32"/>
  </w:num>
  <w:num w:numId="12">
    <w:abstractNumId w:val="23"/>
  </w:num>
  <w:num w:numId="13">
    <w:abstractNumId w:val="40"/>
  </w:num>
  <w:num w:numId="14">
    <w:abstractNumId w:val="34"/>
  </w:num>
  <w:num w:numId="15">
    <w:abstractNumId w:val="18"/>
  </w:num>
  <w:num w:numId="16">
    <w:abstractNumId w:val="10"/>
  </w:num>
  <w:num w:numId="17">
    <w:abstractNumId w:val="39"/>
  </w:num>
  <w:num w:numId="18">
    <w:abstractNumId w:val="15"/>
  </w:num>
  <w:num w:numId="19">
    <w:abstractNumId w:val="7"/>
  </w:num>
  <w:num w:numId="20">
    <w:abstractNumId w:val="41"/>
  </w:num>
  <w:num w:numId="21">
    <w:abstractNumId w:val="0"/>
  </w:num>
  <w:num w:numId="22">
    <w:abstractNumId w:val="30"/>
  </w:num>
  <w:num w:numId="23">
    <w:abstractNumId w:val="12"/>
  </w:num>
  <w:num w:numId="24">
    <w:abstractNumId w:val="28"/>
  </w:num>
  <w:num w:numId="25">
    <w:abstractNumId w:val="20"/>
  </w:num>
  <w:num w:numId="26">
    <w:abstractNumId w:val="22"/>
  </w:num>
  <w:num w:numId="27">
    <w:abstractNumId w:val="1"/>
  </w:num>
  <w:num w:numId="28">
    <w:abstractNumId w:val="6"/>
  </w:num>
  <w:num w:numId="29">
    <w:abstractNumId w:val="13"/>
  </w:num>
  <w:num w:numId="30">
    <w:abstractNumId w:val="25"/>
  </w:num>
  <w:num w:numId="31">
    <w:abstractNumId w:val="11"/>
  </w:num>
  <w:num w:numId="32">
    <w:abstractNumId w:val="27"/>
  </w:num>
  <w:num w:numId="33">
    <w:abstractNumId w:val="2"/>
  </w:num>
  <w:num w:numId="34">
    <w:abstractNumId w:val="16"/>
  </w:num>
  <w:num w:numId="35">
    <w:abstractNumId w:val="37"/>
  </w:num>
  <w:num w:numId="36">
    <w:abstractNumId w:val="4"/>
  </w:num>
  <w:num w:numId="37">
    <w:abstractNumId w:val="21"/>
  </w:num>
  <w:num w:numId="38">
    <w:abstractNumId w:val="33"/>
  </w:num>
  <w:num w:numId="39">
    <w:abstractNumId w:val="35"/>
  </w:num>
  <w:num w:numId="40">
    <w:abstractNumId w:val="17"/>
  </w:num>
  <w:num w:numId="41">
    <w:abstractNumId w:val="19"/>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BMull\TRIMDATA\Offline Records (AC)\Merger review process guidelines (incorporating MRC changes of 11 June).docx"/>
  </w:docVars>
  <w:rsids>
    <w:rsidRoot w:val="00B87ED1"/>
    <w:rsid w:val="00001487"/>
    <w:rsid w:val="00005A45"/>
    <w:rsid w:val="00013E7A"/>
    <w:rsid w:val="00014976"/>
    <w:rsid w:val="00017033"/>
    <w:rsid w:val="00020354"/>
    <w:rsid w:val="00020E8B"/>
    <w:rsid w:val="000214FB"/>
    <w:rsid w:val="00025FC5"/>
    <w:rsid w:val="000262D5"/>
    <w:rsid w:val="0003090F"/>
    <w:rsid w:val="00031AC2"/>
    <w:rsid w:val="00042E27"/>
    <w:rsid w:val="00043C7E"/>
    <w:rsid w:val="00044953"/>
    <w:rsid w:val="000505D6"/>
    <w:rsid w:val="00051F5B"/>
    <w:rsid w:val="00054DAF"/>
    <w:rsid w:val="00055947"/>
    <w:rsid w:val="0006512D"/>
    <w:rsid w:val="000658D1"/>
    <w:rsid w:val="00065C36"/>
    <w:rsid w:val="0007328C"/>
    <w:rsid w:val="000754DC"/>
    <w:rsid w:val="0007639A"/>
    <w:rsid w:val="000769EA"/>
    <w:rsid w:val="00077BBF"/>
    <w:rsid w:val="0008064D"/>
    <w:rsid w:val="00080867"/>
    <w:rsid w:val="00084193"/>
    <w:rsid w:val="00084F35"/>
    <w:rsid w:val="00085D4F"/>
    <w:rsid w:val="00087D20"/>
    <w:rsid w:val="000913D7"/>
    <w:rsid w:val="00092F98"/>
    <w:rsid w:val="0009498C"/>
    <w:rsid w:val="00096064"/>
    <w:rsid w:val="000A1371"/>
    <w:rsid w:val="000A1446"/>
    <w:rsid w:val="000A1C73"/>
    <w:rsid w:val="000A66EB"/>
    <w:rsid w:val="000A7F4C"/>
    <w:rsid w:val="000B15A0"/>
    <w:rsid w:val="000B46C2"/>
    <w:rsid w:val="000B6104"/>
    <w:rsid w:val="000B75C1"/>
    <w:rsid w:val="000C03EE"/>
    <w:rsid w:val="000C12AD"/>
    <w:rsid w:val="000C2D5B"/>
    <w:rsid w:val="000C5D6C"/>
    <w:rsid w:val="000D38E0"/>
    <w:rsid w:val="000D50B2"/>
    <w:rsid w:val="000D5759"/>
    <w:rsid w:val="000D5780"/>
    <w:rsid w:val="000E02B7"/>
    <w:rsid w:val="000E1BFF"/>
    <w:rsid w:val="000E5A0A"/>
    <w:rsid w:val="000E6DE0"/>
    <w:rsid w:val="000F2070"/>
    <w:rsid w:val="000F4E04"/>
    <w:rsid w:val="000F6671"/>
    <w:rsid w:val="000F6FBC"/>
    <w:rsid w:val="00107649"/>
    <w:rsid w:val="00107861"/>
    <w:rsid w:val="00113354"/>
    <w:rsid w:val="001141C2"/>
    <w:rsid w:val="0011762B"/>
    <w:rsid w:val="001176AB"/>
    <w:rsid w:val="0012039A"/>
    <w:rsid w:val="00121801"/>
    <w:rsid w:val="00127396"/>
    <w:rsid w:val="00127FE5"/>
    <w:rsid w:val="0013174C"/>
    <w:rsid w:val="00134BE7"/>
    <w:rsid w:val="0013721E"/>
    <w:rsid w:val="001412A9"/>
    <w:rsid w:val="0014360D"/>
    <w:rsid w:val="00143CF7"/>
    <w:rsid w:val="00145161"/>
    <w:rsid w:val="00145877"/>
    <w:rsid w:val="00145BE5"/>
    <w:rsid w:val="001515F1"/>
    <w:rsid w:val="001539B8"/>
    <w:rsid w:val="001542F5"/>
    <w:rsid w:val="00156E4A"/>
    <w:rsid w:val="001575C8"/>
    <w:rsid w:val="00162542"/>
    <w:rsid w:val="00165594"/>
    <w:rsid w:val="001708B4"/>
    <w:rsid w:val="00174393"/>
    <w:rsid w:val="0017445D"/>
    <w:rsid w:val="0018262D"/>
    <w:rsid w:val="00183DC0"/>
    <w:rsid w:val="001859AE"/>
    <w:rsid w:val="00186BEC"/>
    <w:rsid w:val="00187689"/>
    <w:rsid w:val="00187BC3"/>
    <w:rsid w:val="00190943"/>
    <w:rsid w:val="00190AA6"/>
    <w:rsid w:val="00191354"/>
    <w:rsid w:val="00191AA6"/>
    <w:rsid w:val="00191D0E"/>
    <w:rsid w:val="001925F6"/>
    <w:rsid w:val="00193CCC"/>
    <w:rsid w:val="00193DFC"/>
    <w:rsid w:val="00194729"/>
    <w:rsid w:val="001947AC"/>
    <w:rsid w:val="00195B84"/>
    <w:rsid w:val="00197B12"/>
    <w:rsid w:val="001A082C"/>
    <w:rsid w:val="001A16FD"/>
    <w:rsid w:val="001A1702"/>
    <w:rsid w:val="001A4FA2"/>
    <w:rsid w:val="001A5B00"/>
    <w:rsid w:val="001B4436"/>
    <w:rsid w:val="001B5CBF"/>
    <w:rsid w:val="001C07E8"/>
    <w:rsid w:val="001C3071"/>
    <w:rsid w:val="001C428F"/>
    <w:rsid w:val="001C5F89"/>
    <w:rsid w:val="001D0498"/>
    <w:rsid w:val="001D69C8"/>
    <w:rsid w:val="001E20E1"/>
    <w:rsid w:val="001E2EBD"/>
    <w:rsid w:val="001E4285"/>
    <w:rsid w:val="001E6292"/>
    <w:rsid w:val="001E6D10"/>
    <w:rsid w:val="001E6F15"/>
    <w:rsid w:val="001F4AAC"/>
    <w:rsid w:val="00201E03"/>
    <w:rsid w:val="002032A4"/>
    <w:rsid w:val="002101C2"/>
    <w:rsid w:val="002105D1"/>
    <w:rsid w:val="00211EE0"/>
    <w:rsid w:val="00220049"/>
    <w:rsid w:val="00224A32"/>
    <w:rsid w:val="00225238"/>
    <w:rsid w:val="00225744"/>
    <w:rsid w:val="0023031C"/>
    <w:rsid w:val="00240B6A"/>
    <w:rsid w:val="002425C5"/>
    <w:rsid w:val="00253995"/>
    <w:rsid w:val="00254E62"/>
    <w:rsid w:val="002560B4"/>
    <w:rsid w:val="0026131F"/>
    <w:rsid w:val="00261901"/>
    <w:rsid w:val="00267599"/>
    <w:rsid w:val="00270215"/>
    <w:rsid w:val="00271021"/>
    <w:rsid w:val="002801B7"/>
    <w:rsid w:val="00280E13"/>
    <w:rsid w:val="00283BC6"/>
    <w:rsid w:val="00284D80"/>
    <w:rsid w:val="00285326"/>
    <w:rsid w:val="00285BC8"/>
    <w:rsid w:val="00285C8B"/>
    <w:rsid w:val="00292991"/>
    <w:rsid w:val="00293E58"/>
    <w:rsid w:val="00295B94"/>
    <w:rsid w:val="002A056B"/>
    <w:rsid w:val="002A4027"/>
    <w:rsid w:val="002A4D85"/>
    <w:rsid w:val="002B2BAF"/>
    <w:rsid w:val="002B60F6"/>
    <w:rsid w:val="002B6B79"/>
    <w:rsid w:val="002C2780"/>
    <w:rsid w:val="002C2DB4"/>
    <w:rsid w:val="002C32C8"/>
    <w:rsid w:val="002C3DE7"/>
    <w:rsid w:val="002C7D72"/>
    <w:rsid w:val="002D043F"/>
    <w:rsid w:val="002D5429"/>
    <w:rsid w:val="002D7F66"/>
    <w:rsid w:val="002E3CFC"/>
    <w:rsid w:val="002E57D8"/>
    <w:rsid w:val="002F0D59"/>
    <w:rsid w:val="002F2917"/>
    <w:rsid w:val="002F422F"/>
    <w:rsid w:val="002F4682"/>
    <w:rsid w:val="002F55B5"/>
    <w:rsid w:val="002F7BBA"/>
    <w:rsid w:val="002F7EEA"/>
    <w:rsid w:val="003003A2"/>
    <w:rsid w:val="00300704"/>
    <w:rsid w:val="003045C4"/>
    <w:rsid w:val="0031055D"/>
    <w:rsid w:val="00312C7A"/>
    <w:rsid w:val="00314BD1"/>
    <w:rsid w:val="00316573"/>
    <w:rsid w:val="0031750C"/>
    <w:rsid w:val="0032169E"/>
    <w:rsid w:val="00331EF3"/>
    <w:rsid w:val="00341732"/>
    <w:rsid w:val="003437D1"/>
    <w:rsid w:val="00346E4A"/>
    <w:rsid w:val="00347392"/>
    <w:rsid w:val="003475D8"/>
    <w:rsid w:val="00350532"/>
    <w:rsid w:val="00352342"/>
    <w:rsid w:val="00355AA4"/>
    <w:rsid w:val="00356C48"/>
    <w:rsid w:val="00356F88"/>
    <w:rsid w:val="00360C8C"/>
    <w:rsid w:val="00361168"/>
    <w:rsid w:val="00361668"/>
    <w:rsid w:val="003617A9"/>
    <w:rsid w:val="003641E7"/>
    <w:rsid w:val="003667A2"/>
    <w:rsid w:val="003669E3"/>
    <w:rsid w:val="003669F5"/>
    <w:rsid w:val="003719AF"/>
    <w:rsid w:val="00372A52"/>
    <w:rsid w:val="00374A19"/>
    <w:rsid w:val="0038160F"/>
    <w:rsid w:val="00382F8C"/>
    <w:rsid w:val="00383884"/>
    <w:rsid w:val="00384E15"/>
    <w:rsid w:val="00384EB3"/>
    <w:rsid w:val="00385647"/>
    <w:rsid w:val="00386BDB"/>
    <w:rsid w:val="00392120"/>
    <w:rsid w:val="00392ECE"/>
    <w:rsid w:val="003A78C5"/>
    <w:rsid w:val="003A78F9"/>
    <w:rsid w:val="003A7A15"/>
    <w:rsid w:val="003B0379"/>
    <w:rsid w:val="003B29F4"/>
    <w:rsid w:val="003B6154"/>
    <w:rsid w:val="003B6A5B"/>
    <w:rsid w:val="003B7B3B"/>
    <w:rsid w:val="003C0B43"/>
    <w:rsid w:val="003C1DA7"/>
    <w:rsid w:val="003C3ED5"/>
    <w:rsid w:val="003D08C3"/>
    <w:rsid w:val="003D0BA1"/>
    <w:rsid w:val="003D26B4"/>
    <w:rsid w:val="003D3175"/>
    <w:rsid w:val="003D52B9"/>
    <w:rsid w:val="003D5E7D"/>
    <w:rsid w:val="003E0965"/>
    <w:rsid w:val="003E0A44"/>
    <w:rsid w:val="003E13EB"/>
    <w:rsid w:val="003E1C21"/>
    <w:rsid w:val="003E5AB6"/>
    <w:rsid w:val="003F3474"/>
    <w:rsid w:val="003F5C92"/>
    <w:rsid w:val="003F67D8"/>
    <w:rsid w:val="003F6EDC"/>
    <w:rsid w:val="00403528"/>
    <w:rsid w:val="00405D41"/>
    <w:rsid w:val="004065B1"/>
    <w:rsid w:val="004102F3"/>
    <w:rsid w:val="004114B5"/>
    <w:rsid w:val="00411E7D"/>
    <w:rsid w:val="0041224E"/>
    <w:rsid w:val="00417C89"/>
    <w:rsid w:val="00425A44"/>
    <w:rsid w:val="00425E09"/>
    <w:rsid w:val="004304D7"/>
    <w:rsid w:val="00430541"/>
    <w:rsid w:val="00430ECF"/>
    <w:rsid w:val="004343E5"/>
    <w:rsid w:val="00436912"/>
    <w:rsid w:val="00440631"/>
    <w:rsid w:val="00443692"/>
    <w:rsid w:val="00451594"/>
    <w:rsid w:val="004542AB"/>
    <w:rsid w:val="0045455A"/>
    <w:rsid w:val="004554AA"/>
    <w:rsid w:val="00456869"/>
    <w:rsid w:val="00460328"/>
    <w:rsid w:val="00464336"/>
    <w:rsid w:val="00466FD0"/>
    <w:rsid w:val="0046735A"/>
    <w:rsid w:val="00467A67"/>
    <w:rsid w:val="00471B0D"/>
    <w:rsid w:val="0047290B"/>
    <w:rsid w:val="0047314F"/>
    <w:rsid w:val="004734B0"/>
    <w:rsid w:val="004749C3"/>
    <w:rsid w:val="00477C80"/>
    <w:rsid w:val="00477D02"/>
    <w:rsid w:val="004825A7"/>
    <w:rsid w:val="00482BE5"/>
    <w:rsid w:val="0048419F"/>
    <w:rsid w:val="004907CC"/>
    <w:rsid w:val="004919DD"/>
    <w:rsid w:val="00493CB2"/>
    <w:rsid w:val="00494038"/>
    <w:rsid w:val="004A4C07"/>
    <w:rsid w:val="004A6CC5"/>
    <w:rsid w:val="004A7640"/>
    <w:rsid w:val="004B6AFD"/>
    <w:rsid w:val="004C3144"/>
    <w:rsid w:val="004C320B"/>
    <w:rsid w:val="004C4331"/>
    <w:rsid w:val="004C7AC8"/>
    <w:rsid w:val="004D26DC"/>
    <w:rsid w:val="004E181E"/>
    <w:rsid w:val="004E52FB"/>
    <w:rsid w:val="004E5599"/>
    <w:rsid w:val="004E70CD"/>
    <w:rsid w:val="004F32D5"/>
    <w:rsid w:val="004F4909"/>
    <w:rsid w:val="004F4BBB"/>
    <w:rsid w:val="004F6B14"/>
    <w:rsid w:val="005030F8"/>
    <w:rsid w:val="00511545"/>
    <w:rsid w:val="005118C2"/>
    <w:rsid w:val="00512F19"/>
    <w:rsid w:val="005216FD"/>
    <w:rsid w:val="00522629"/>
    <w:rsid w:val="00522F20"/>
    <w:rsid w:val="005231EF"/>
    <w:rsid w:val="0052434A"/>
    <w:rsid w:val="00526869"/>
    <w:rsid w:val="005331C2"/>
    <w:rsid w:val="0053325B"/>
    <w:rsid w:val="00535355"/>
    <w:rsid w:val="00537D54"/>
    <w:rsid w:val="00537D5E"/>
    <w:rsid w:val="00541E4E"/>
    <w:rsid w:val="005424D2"/>
    <w:rsid w:val="00543988"/>
    <w:rsid w:val="0054451F"/>
    <w:rsid w:val="005479F9"/>
    <w:rsid w:val="005508E7"/>
    <w:rsid w:val="00550B63"/>
    <w:rsid w:val="00555C19"/>
    <w:rsid w:val="00555E30"/>
    <w:rsid w:val="00564E9F"/>
    <w:rsid w:val="00566DD4"/>
    <w:rsid w:val="00572869"/>
    <w:rsid w:val="00574F63"/>
    <w:rsid w:val="00576370"/>
    <w:rsid w:val="005774E9"/>
    <w:rsid w:val="0058002D"/>
    <w:rsid w:val="00585A81"/>
    <w:rsid w:val="00587FC6"/>
    <w:rsid w:val="00591F2D"/>
    <w:rsid w:val="00596182"/>
    <w:rsid w:val="00596548"/>
    <w:rsid w:val="005A1530"/>
    <w:rsid w:val="005A36E7"/>
    <w:rsid w:val="005A4D87"/>
    <w:rsid w:val="005A70B6"/>
    <w:rsid w:val="005B0086"/>
    <w:rsid w:val="005B1C06"/>
    <w:rsid w:val="005B311A"/>
    <w:rsid w:val="005B4465"/>
    <w:rsid w:val="005B4CE1"/>
    <w:rsid w:val="005B5447"/>
    <w:rsid w:val="005C01C2"/>
    <w:rsid w:val="005C0E4A"/>
    <w:rsid w:val="005C0FCA"/>
    <w:rsid w:val="005C1FAF"/>
    <w:rsid w:val="005C2536"/>
    <w:rsid w:val="005C381D"/>
    <w:rsid w:val="005C5CF2"/>
    <w:rsid w:val="005C5D10"/>
    <w:rsid w:val="005C65CA"/>
    <w:rsid w:val="005C6FED"/>
    <w:rsid w:val="005D05EF"/>
    <w:rsid w:val="005D1980"/>
    <w:rsid w:val="005D326D"/>
    <w:rsid w:val="005D42DE"/>
    <w:rsid w:val="005D492B"/>
    <w:rsid w:val="005D4A67"/>
    <w:rsid w:val="005D643C"/>
    <w:rsid w:val="005E0602"/>
    <w:rsid w:val="005E5BB3"/>
    <w:rsid w:val="005E7973"/>
    <w:rsid w:val="005E7D40"/>
    <w:rsid w:val="005F021C"/>
    <w:rsid w:val="005F4BBC"/>
    <w:rsid w:val="005F6830"/>
    <w:rsid w:val="00600631"/>
    <w:rsid w:val="00601981"/>
    <w:rsid w:val="00601BB3"/>
    <w:rsid w:val="00602920"/>
    <w:rsid w:val="006045D5"/>
    <w:rsid w:val="006047AC"/>
    <w:rsid w:val="00610FDB"/>
    <w:rsid w:val="00611A5B"/>
    <w:rsid w:val="00611D27"/>
    <w:rsid w:val="00616F96"/>
    <w:rsid w:val="006176DB"/>
    <w:rsid w:val="006209A2"/>
    <w:rsid w:val="00623CA2"/>
    <w:rsid w:val="00626DBD"/>
    <w:rsid w:val="00626F16"/>
    <w:rsid w:val="00630802"/>
    <w:rsid w:val="00631E2A"/>
    <w:rsid w:val="006326EA"/>
    <w:rsid w:val="00634398"/>
    <w:rsid w:val="00637E71"/>
    <w:rsid w:val="00640A60"/>
    <w:rsid w:val="006474A3"/>
    <w:rsid w:val="00650530"/>
    <w:rsid w:val="006512C3"/>
    <w:rsid w:val="00652AD5"/>
    <w:rsid w:val="00653DDB"/>
    <w:rsid w:val="00654D68"/>
    <w:rsid w:val="00655043"/>
    <w:rsid w:val="00661510"/>
    <w:rsid w:val="006658FC"/>
    <w:rsid w:val="00672ADD"/>
    <w:rsid w:val="00673927"/>
    <w:rsid w:val="00680EBC"/>
    <w:rsid w:val="00681237"/>
    <w:rsid w:val="00684100"/>
    <w:rsid w:val="006871C1"/>
    <w:rsid w:val="0069576C"/>
    <w:rsid w:val="00697A9E"/>
    <w:rsid w:val="006A1772"/>
    <w:rsid w:val="006A22D5"/>
    <w:rsid w:val="006A370C"/>
    <w:rsid w:val="006A4AD0"/>
    <w:rsid w:val="006A6DD8"/>
    <w:rsid w:val="006B02B1"/>
    <w:rsid w:val="006C136A"/>
    <w:rsid w:val="006C314A"/>
    <w:rsid w:val="006C52C1"/>
    <w:rsid w:val="006C7F8A"/>
    <w:rsid w:val="006D7B91"/>
    <w:rsid w:val="006D7DF8"/>
    <w:rsid w:val="006E6DE7"/>
    <w:rsid w:val="006E73D2"/>
    <w:rsid w:val="006E795D"/>
    <w:rsid w:val="006F1375"/>
    <w:rsid w:val="006F3F93"/>
    <w:rsid w:val="006F649C"/>
    <w:rsid w:val="006F650A"/>
    <w:rsid w:val="0070090A"/>
    <w:rsid w:val="00701414"/>
    <w:rsid w:val="00703EEC"/>
    <w:rsid w:val="007045CE"/>
    <w:rsid w:val="0070735F"/>
    <w:rsid w:val="007209B6"/>
    <w:rsid w:val="00721D17"/>
    <w:rsid w:val="0072269E"/>
    <w:rsid w:val="007235B1"/>
    <w:rsid w:val="007236ED"/>
    <w:rsid w:val="00730D87"/>
    <w:rsid w:val="00732BF5"/>
    <w:rsid w:val="00733958"/>
    <w:rsid w:val="007374DB"/>
    <w:rsid w:val="00740491"/>
    <w:rsid w:val="00747D97"/>
    <w:rsid w:val="00752EFB"/>
    <w:rsid w:val="00753BEB"/>
    <w:rsid w:val="00756354"/>
    <w:rsid w:val="00757E81"/>
    <w:rsid w:val="00760BDF"/>
    <w:rsid w:val="0076451B"/>
    <w:rsid w:val="00765C71"/>
    <w:rsid w:val="0077062E"/>
    <w:rsid w:val="00774DE5"/>
    <w:rsid w:val="0077597D"/>
    <w:rsid w:val="00776E30"/>
    <w:rsid w:val="0078280D"/>
    <w:rsid w:val="00782BB3"/>
    <w:rsid w:val="00783545"/>
    <w:rsid w:val="00786ABC"/>
    <w:rsid w:val="00790F1B"/>
    <w:rsid w:val="0079197B"/>
    <w:rsid w:val="00793DD6"/>
    <w:rsid w:val="007A474E"/>
    <w:rsid w:val="007B042B"/>
    <w:rsid w:val="007B0FCF"/>
    <w:rsid w:val="007B187D"/>
    <w:rsid w:val="007B3B72"/>
    <w:rsid w:val="007B6BD7"/>
    <w:rsid w:val="007B791B"/>
    <w:rsid w:val="007C5000"/>
    <w:rsid w:val="007D29B1"/>
    <w:rsid w:val="007D2F6A"/>
    <w:rsid w:val="007D4449"/>
    <w:rsid w:val="007D56D1"/>
    <w:rsid w:val="007E2B95"/>
    <w:rsid w:val="007E3982"/>
    <w:rsid w:val="007F2B3F"/>
    <w:rsid w:val="007F54ED"/>
    <w:rsid w:val="00801748"/>
    <w:rsid w:val="00802F0E"/>
    <w:rsid w:val="008110AF"/>
    <w:rsid w:val="00811CBD"/>
    <w:rsid w:val="00813FCF"/>
    <w:rsid w:val="00816D24"/>
    <w:rsid w:val="00826B0F"/>
    <w:rsid w:val="00827994"/>
    <w:rsid w:val="00833CA3"/>
    <w:rsid w:val="00833EDF"/>
    <w:rsid w:val="008346DF"/>
    <w:rsid w:val="00834911"/>
    <w:rsid w:val="00836AF2"/>
    <w:rsid w:val="00837FB8"/>
    <w:rsid w:val="00840E42"/>
    <w:rsid w:val="00841202"/>
    <w:rsid w:val="008415B1"/>
    <w:rsid w:val="00842A87"/>
    <w:rsid w:val="00843A87"/>
    <w:rsid w:val="00844214"/>
    <w:rsid w:val="008457B7"/>
    <w:rsid w:val="00846D89"/>
    <w:rsid w:val="00852109"/>
    <w:rsid w:val="00852C06"/>
    <w:rsid w:val="008545F8"/>
    <w:rsid w:val="00856116"/>
    <w:rsid w:val="008574A2"/>
    <w:rsid w:val="00862580"/>
    <w:rsid w:val="00862A77"/>
    <w:rsid w:val="00864C42"/>
    <w:rsid w:val="008654C6"/>
    <w:rsid w:val="00871121"/>
    <w:rsid w:val="008717C3"/>
    <w:rsid w:val="0087207B"/>
    <w:rsid w:val="00873C0C"/>
    <w:rsid w:val="00880271"/>
    <w:rsid w:val="00881698"/>
    <w:rsid w:val="00882C6C"/>
    <w:rsid w:val="0088497D"/>
    <w:rsid w:val="00890243"/>
    <w:rsid w:val="0089303C"/>
    <w:rsid w:val="0089362F"/>
    <w:rsid w:val="00896F55"/>
    <w:rsid w:val="008B0DD5"/>
    <w:rsid w:val="008B6574"/>
    <w:rsid w:val="008C0812"/>
    <w:rsid w:val="008C4482"/>
    <w:rsid w:val="008C690C"/>
    <w:rsid w:val="008C7B24"/>
    <w:rsid w:val="008D1A07"/>
    <w:rsid w:val="008D1DF6"/>
    <w:rsid w:val="008D6689"/>
    <w:rsid w:val="008D672F"/>
    <w:rsid w:val="008D7D9D"/>
    <w:rsid w:val="008F1AF9"/>
    <w:rsid w:val="008F1E21"/>
    <w:rsid w:val="008F3239"/>
    <w:rsid w:val="008F55A1"/>
    <w:rsid w:val="008F5CD2"/>
    <w:rsid w:val="008F6AA5"/>
    <w:rsid w:val="00902216"/>
    <w:rsid w:val="009028E0"/>
    <w:rsid w:val="00904B83"/>
    <w:rsid w:val="009118DE"/>
    <w:rsid w:val="009176E1"/>
    <w:rsid w:val="0092012F"/>
    <w:rsid w:val="00920417"/>
    <w:rsid w:val="00924215"/>
    <w:rsid w:val="00933E0A"/>
    <w:rsid w:val="009345A9"/>
    <w:rsid w:val="00935677"/>
    <w:rsid w:val="009403A6"/>
    <w:rsid w:val="009437C0"/>
    <w:rsid w:val="0094462D"/>
    <w:rsid w:val="00950461"/>
    <w:rsid w:val="00950F67"/>
    <w:rsid w:val="00955509"/>
    <w:rsid w:val="0095760C"/>
    <w:rsid w:val="009619DE"/>
    <w:rsid w:val="00962B18"/>
    <w:rsid w:val="00966D4A"/>
    <w:rsid w:val="00967D25"/>
    <w:rsid w:val="009702F9"/>
    <w:rsid w:val="00972445"/>
    <w:rsid w:val="00972D12"/>
    <w:rsid w:val="009747A3"/>
    <w:rsid w:val="00975B0F"/>
    <w:rsid w:val="009770E4"/>
    <w:rsid w:val="00977423"/>
    <w:rsid w:val="00984155"/>
    <w:rsid w:val="00984E42"/>
    <w:rsid w:val="00987DCB"/>
    <w:rsid w:val="00990FDB"/>
    <w:rsid w:val="00992B9B"/>
    <w:rsid w:val="009964D7"/>
    <w:rsid w:val="00997397"/>
    <w:rsid w:val="009A0D3D"/>
    <w:rsid w:val="009A108C"/>
    <w:rsid w:val="009A1E3E"/>
    <w:rsid w:val="009A27D0"/>
    <w:rsid w:val="009A3D8C"/>
    <w:rsid w:val="009A3E2D"/>
    <w:rsid w:val="009A5B4D"/>
    <w:rsid w:val="009B0657"/>
    <w:rsid w:val="009B2636"/>
    <w:rsid w:val="009B391A"/>
    <w:rsid w:val="009B6707"/>
    <w:rsid w:val="009B7C5E"/>
    <w:rsid w:val="009C427F"/>
    <w:rsid w:val="009C7617"/>
    <w:rsid w:val="009E2C51"/>
    <w:rsid w:val="009E4151"/>
    <w:rsid w:val="009E4D72"/>
    <w:rsid w:val="009E5530"/>
    <w:rsid w:val="009E6107"/>
    <w:rsid w:val="009E6C09"/>
    <w:rsid w:val="009E7336"/>
    <w:rsid w:val="009F0422"/>
    <w:rsid w:val="00A0056F"/>
    <w:rsid w:val="00A00F27"/>
    <w:rsid w:val="00A01A2A"/>
    <w:rsid w:val="00A030E1"/>
    <w:rsid w:val="00A051C2"/>
    <w:rsid w:val="00A05E5D"/>
    <w:rsid w:val="00A11E77"/>
    <w:rsid w:val="00A20493"/>
    <w:rsid w:val="00A21991"/>
    <w:rsid w:val="00A22B58"/>
    <w:rsid w:val="00A250A7"/>
    <w:rsid w:val="00A319C9"/>
    <w:rsid w:val="00A36865"/>
    <w:rsid w:val="00A40191"/>
    <w:rsid w:val="00A44B10"/>
    <w:rsid w:val="00A46C09"/>
    <w:rsid w:val="00A51C1A"/>
    <w:rsid w:val="00A5258B"/>
    <w:rsid w:val="00A528AE"/>
    <w:rsid w:val="00A5407A"/>
    <w:rsid w:val="00A57BCC"/>
    <w:rsid w:val="00A60347"/>
    <w:rsid w:val="00A654A9"/>
    <w:rsid w:val="00A711D6"/>
    <w:rsid w:val="00A73649"/>
    <w:rsid w:val="00A756E8"/>
    <w:rsid w:val="00A75702"/>
    <w:rsid w:val="00A852EF"/>
    <w:rsid w:val="00A87312"/>
    <w:rsid w:val="00A87995"/>
    <w:rsid w:val="00A879ED"/>
    <w:rsid w:val="00A91F67"/>
    <w:rsid w:val="00A9436E"/>
    <w:rsid w:val="00A94B80"/>
    <w:rsid w:val="00AA25DD"/>
    <w:rsid w:val="00AA3BBA"/>
    <w:rsid w:val="00AA6588"/>
    <w:rsid w:val="00AA7D9B"/>
    <w:rsid w:val="00AB020B"/>
    <w:rsid w:val="00AB167B"/>
    <w:rsid w:val="00AB2850"/>
    <w:rsid w:val="00AB5C31"/>
    <w:rsid w:val="00AC1A83"/>
    <w:rsid w:val="00AC3090"/>
    <w:rsid w:val="00AC39A2"/>
    <w:rsid w:val="00AC6056"/>
    <w:rsid w:val="00AC7BA7"/>
    <w:rsid w:val="00AD0014"/>
    <w:rsid w:val="00AD08B3"/>
    <w:rsid w:val="00AD73E1"/>
    <w:rsid w:val="00AE3341"/>
    <w:rsid w:val="00AE5046"/>
    <w:rsid w:val="00AE524C"/>
    <w:rsid w:val="00AE5FEB"/>
    <w:rsid w:val="00AE7E14"/>
    <w:rsid w:val="00AF078F"/>
    <w:rsid w:val="00AF0B1B"/>
    <w:rsid w:val="00AF4615"/>
    <w:rsid w:val="00AF6F21"/>
    <w:rsid w:val="00B01418"/>
    <w:rsid w:val="00B024DB"/>
    <w:rsid w:val="00B05361"/>
    <w:rsid w:val="00B07FC1"/>
    <w:rsid w:val="00B117F5"/>
    <w:rsid w:val="00B13F47"/>
    <w:rsid w:val="00B16F39"/>
    <w:rsid w:val="00B176FC"/>
    <w:rsid w:val="00B22679"/>
    <w:rsid w:val="00B24B46"/>
    <w:rsid w:val="00B259FA"/>
    <w:rsid w:val="00B261D6"/>
    <w:rsid w:val="00B30391"/>
    <w:rsid w:val="00B3194B"/>
    <w:rsid w:val="00B350EF"/>
    <w:rsid w:val="00B3659E"/>
    <w:rsid w:val="00B37BEC"/>
    <w:rsid w:val="00B422A2"/>
    <w:rsid w:val="00B465FF"/>
    <w:rsid w:val="00B476B1"/>
    <w:rsid w:val="00B55159"/>
    <w:rsid w:val="00B55D32"/>
    <w:rsid w:val="00B55E8F"/>
    <w:rsid w:val="00B57B95"/>
    <w:rsid w:val="00B60B99"/>
    <w:rsid w:val="00B67732"/>
    <w:rsid w:val="00B709AB"/>
    <w:rsid w:val="00B71272"/>
    <w:rsid w:val="00B72925"/>
    <w:rsid w:val="00B7725D"/>
    <w:rsid w:val="00B80658"/>
    <w:rsid w:val="00B80F13"/>
    <w:rsid w:val="00B82676"/>
    <w:rsid w:val="00B83C5F"/>
    <w:rsid w:val="00B855AE"/>
    <w:rsid w:val="00B8752C"/>
    <w:rsid w:val="00B87ED1"/>
    <w:rsid w:val="00B90375"/>
    <w:rsid w:val="00B91E44"/>
    <w:rsid w:val="00B9340B"/>
    <w:rsid w:val="00BA168B"/>
    <w:rsid w:val="00BA388D"/>
    <w:rsid w:val="00BA471D"/>
    <w:rsid w:val="00BA569A"/>
    <w:rsid w:val="00BB154B"/>
    <w:rsid w:val="00BB2397"/>
    <w:rsid w:val="00BB3F95"/>
    <w:rsid w:val="00BB65A5"/>
    <w:rsid w:val="00BB691D"/>
    <w:rsid w:val="00BB7D93"/>
    <w:rsid w:val="00BC0F8D"/>
    <w:rsid w:val="00BC1004"/>
    <w:rsid w:val="00BC5A35"/>
    <w:rsid w:val="00BC72DB"/>
    <w:rsid w:val="00BD0763"/>
    <w:rsid w:val="00BE1556"/>
    <w:rsid w:val="00BE213B"/>
    <w:rsid w:val="00BE35C0"/>
    <w:rsid w:val="00BE3993"/>
    <w:rsid w:val="00BE449E"/>
    <w:rsid w:val="00BE7846"/>
    <w:rsid w:val="00BE7F9B"/>
    <w:rsid w:val="00BF026C"/>
    <w:rsid w:val="00BF0625"/>
    <w:rsid w:val="00BF4125"/>
    <w:rsid w:val="00BF629B"/>
    <w:rsid w:val="00BF70E6"/>
    <w:rsid w:val="00C04940"/>
    <w:rsid w:val="00C0630E"/>
    <w:rsid w:val="00C0703A"/>
    <w:rsid w:val="00C078BE"/>
    <w:rsid w:val="00C125C7"/>
    <w:rsid w:val="00C1429C"/>
    <w:rsid w:val="00C1503A"/>
    <w:rsid w:val="00C15B44"/>
    <w:rsid w:val="00C21775"/>
    <w:rsid w:val="00C221A9"/>
    <w:rsid w:val="00C2449B"/>
    <w:rsid w:val="00C34C17"/>
    <w:rsid w:val="00C35AFB"/>
    <w:rsid w:val="00C42692"/>
    <w:rsid w:val="00C42826"/>
    <w:rsid w:val="00C5182D"/>
    <w:rsid w:val="00C5229D"/>
    <w:rsid w:val="00C54325"/>
    <w:rsid w:val="00C549BA"/>
    <w:rsid w:val="00C54A95"/>
    <w:rsid w:val="00C55FA5"/>
    <w:rsid w:val="00C61C88"/>
    <w:rsid w:val="00C672DC"/>
    <w:rsid w:val="00C6765E"/>
    <w:rsid w:val="00C71F5C"/>
    <w:rsid w:val="00C7358D"/>
    <w:rsid w:val="00C75808"/>
    <w:rsid w:val="00C81351"/>
    <w:rsid w:val="00C83D18"/>
    <w:rsid w:val="00C931F9"/>
    <w:rsid w:val="00CA4B0D"/>
    <w:rsid w:val="00CB1FCE"/>
    <w:rsid w:val="00CB24F8"/>
    <w:rsid w:val="00CB2B79"/>
    <w:rsid w:val="00CB3366"/>
    <w:rsid w:val="00CB6661"/>
    <w:rsid w:val="00CC025A"/>
    <w:rsid w:val="00CC160F"/>
    <w:rsid w:val="00CD0BCF"/>
    <w:rsid w:val="00CE00A6"/>
    <w:rsid w:val="00CE11C3"/>
    <w:rsid w:val="00CE1CA1"/>
    <w:rsid w:val="00CE3A68"/>
    <w:rsid w:val="00CE7207"/>
    <w:rsid w:val="00CF13FF"/>
    <w:rsid w:val="00CF5A5B"/>
    <w:rsid w:val="00CF5B93"/>
    <w:rsid w:val="00CF5C25"/>
    <w:rsid w:val="00D016E4"/>
    <w:rsid w:val="00D05261"/>
    <w:rsid w:val="00D05BB4"/>
    <w:rsid w:val="00D14124"/>
    <w:rsid w:val="00D1516B"/>
    <w:rsid w:val="00D16058"/>
    <w:rsid w:val="00D2066B"/>
    <w:rsid w:val="00D222D0"/>
    <w:rsid w:val="00D24C95"/>
    <w:rsid w:val="00D25256"/>
    <w:rsid w:val="00D2752A"/>
    <w:rsid w:val="00D35684"/>
    <w:rsid w:val="00D419CA"/>
    <w:rsid w:val="00D43F29"/>
    <w:rsid w:val="00D519C9"/>
    <w:rsid w:val="00D522FB"/>
    <w:rsid w:val="00D52D49"/>
    <w:rsid w:val="00D5471D"/>
    <w:rsid w:val="00D549E2"/>
    <w:rsid w:val="00D61698"/>
    <w:rsid w:val="00D64E93"/>
    <w:rsid w:val="00D732AB"/>
    <w:rsid w:val="00D74C8E"/>
    <w:rsid w:val="00D74DC8"/>
    <w:rsid w:val="00D75216"/>
    <w:rsid w:val="00D80611"/>
    <w:rsid w:val="00D82715"/>
    <w:rsid w:val="00D83E94"/>
    <w:rsid w:val="00D866AA"/>
    <w:rsid w:val="00D9323A"/>
    <w:rsid w:val="00D93934"/>
    <w:rsid w:val="00D94E97"/>
    <w:rsid w:val="00D97133"/>
    <w:rsid w:val="00DA03B7"/>
    <w:rsid w:val="00DA0D7F"/>
    <w:rsid w:val="00DA6662"/>
    <w:rsid w:val="00DB0141"/>
    <w:rsid w:val="00DB4F1C"/>
    <w:rsid w:val="00DB77D8"/>
    <w:rsid w:val="00DB795C"/>
    <w:rsid w:val="00DC02E8"/>
    <w:rsid w:val="00DC0877"/>
    <w:rsid w:val="00DC1629"/>
    <w:rsid w:val="00DC4AA3"/>
    <w:rsid w:val="00DC4C6D"/>
    <w:rsid w:val="00DC5C16"/>
    <w:rsid w:val="00DC7311"/>
    <w:rsid w:val="00DD0875"/>
    <w:rsid w:val="00DD1A75"/>
    <w:rsid w:val="00DD3607"/>
    <w:rsid w:val="00DD3DBA"/>
    <w:rsid w:val="00DD3F3A"/>
    <w:rsid w:val="00DD4ACE"/>
    <w:rsid w:val="00DD5371"/>
    <w:rsid w:val="00DD671F"/>
    <w:rsid w:val="00DD7093"/>
    <w:rsid w:val="00DE6180"/>
    <w:rsid w:val="00DE65B4"/>
    <w:rsid w:val="00DE7911"/>
    <w:rsid w:val="00DE79FC"/>
    <w:rsid w:val="00DF057F"/>
    <w:rsid w:val="00DF0ACB"/>
    <w:rsid w:val="00DF0F84"/>
    <w:rsid w:val="00DF5162"/>
    <w:rsid w:val="00E00F91"/>
    <w:rsid w:val="00E0314D"/>
    <w:rsid w:val="00E07712"/>
    <w:rsid w:val="00E07AAD"/>
    <w:rsid w:val="00E10DE0"/>
    <w:rsid w:val="00E112C7"/>
    <w:rsid w:val="00E12769"/>
    <w:rsid w:val="00E1336C"/>
    <w:rsid w:val="00E15545"/>
    <w:rsid w:val="00E166DD"/>
    <w:rsid w:val="00E2015E"/>
    <w:rsid w:val="00E201F1"/>
    <w:rsid w:val="00E2194E"/>
    <w:rsid w:val="00E22C06"/>
    <w:rsid w:val="00E42499"/>
    <w:rsid w:val="00E42A44"/>
    <w:rsid w:val="00E5177B"/>
    <w:rsid w:val="00E51D4D"/>
    <w:rsid w:val="00E53942"/>
    <w:rsid w:val="00E53F31"/>
    <w:rsid w:val="00E55D51"/>
    <w:rsid w:val="00E611DC"/>
    <w:rsid w:val="00E62F1C"/>
    <w:rsid w:val="00E705DF"/>
    <w:rsid w:val="00E726D8"/>
    <w:rsid w:val="00E80C25"/>
    <w:rsid w:val="00E825C8"/>
    <w:rsid w:val="00E84D4C"/>
    <w:rsid w:val="00E8650D"/>
    <w:rsid w:val="00E87563"/>
    <w:rsid w:val="00E93AFA"/>
    <w:rsid w:val="00E952F2"/>
    <w:rsid w:val="00E97201"/>
    <w:rsid w:val="00E97A1F"/>
    <w:rsid w:val="00EA04C7"/>
    <w:rsid w:val="00EA0BDD"/>
    <w:rsid w:val="00EA14F1"/>
    <w:rsid w:val="00EA463E"/>
    <w:rsid w:val="00EA46D9"/>
    <w:rsid w:val="00EA51A8"/>
    <w:rsid w:val="00EA59BE"/>
    <w:rsid w:val="00EA71C1"/>
    <w:rsid w:val="00EB3242"/>
    <w:rsid w:val="00EB70F2"/>
    <w:rsid w:val="00EB726A"/>
    <w:rsid w:val="00EB7860"/>
    <w:rsid w:val="00EC0812"/>
    <w:rsid w:val="00EC3451"/>
    <w:rsid w:val="00ED25E9"/>
    <w:rsid w:val="00EE7D23"/>
    <w:rsid w:val="00EF09E8"/>
    <w:rsid w:val="00EF4446"/>
    <w:rsid w:val="00EF6276"/>
    <w:rsid w:val="00EF6502"/>
    <w:rsid w:val="00EF6908"/>
    <w:rsid w:val="00F00A75"/>
    <w:rsid w:val="00F04551"/>
    <w:rsid w:val="00F04B6D"/>
    <w:rsid w:val="00F12344"/>
    <w:rsid w:val="00F123A3"/>
    <w:rsid w:val="00F141D5"/>
    <w:rsid w:val="00F174CD"/>
    <w:rsid w:val="00F17D98"/>
    <w:rsid w:val="00F20A4A"/>
    <w:rsid w:val="00F24B60"/>
    <w:rsid w:val="00F24E10"/>
    <w:rsid w:val="00F27776"/>
    <w:rsid w:val="00F30EA1"/>
    <w:rsid w:val="00F31F6F"/>
    <w:rsid w:val="00F33AFD"/>
    <w:rsid w:val="00F33F68"/>
    <w:rsid w:val="00F350D1"/>
    <w:rsid w:val="00F3544B"/>
    <w:rsid w:val="00F37EA3"/>
    <w:rsid w:val="00F43A40"/>
    <w:rsid w:val="00F508C8"/>
    <w:rsid w:val="00F508DA"/>
    <w:rsid w:val="00F60C04"/>
    <w:rsid w:val="00F6229B"/>
    <w:rsid w:val="00F63EE1"/>
    <w:rsid w:val="00F66B1A"/>
    <w:rsid w:val="00F72F03"/>
    <w:rsid w:val="00F74783"/>
    <w:rsid w:val="00F803E7"/>
    <w:rsid w:val="00F811D4"/>
    <w:rsid w:val="00F8378A"/>
    <w:rsid w:val="00F83B6F"/>
    <w:rsid w:val="00F85F3E"/>
    <w:rsid w:val="00F86F2C"/>
    <w:rsid w:val="00F87081"/>
    <w:rsid w:val="00F90CFE"/>
    <w:rsid w:val="00F911B9"/>
    <w:rsid w:val="00F91D96"/>
    <w:rsid w:val="00F947E1"/>
    <w:rsid w:val="00F95153"/>
    <w:rsid w:val="00FA08F2"/>
    <w:rsid w:val="00FA5FCB"/>
    <w:rsid w:val="00FA67B4"/>
    <w:rsid w:val="00FB1D3D"/>
    <w:rsid w:val="00FB2E2E"/>
    <w:rsid w:val="00FC1AC0"/>
    <w:rsid w:val="00FC374E"/>
    <w:rsid w:val="00FC4630"/>
    <w:rsid w:val="00FC4F4D"/>
    <w:rsid w:val="00FC7CC6"/>
    <w:rsid w:val="00FD1ABC"/>
    <w:rsid w:val="00FD5063"/>
    <w:rsid w:val="00FD6DA0"/>
    <w:rsid w:val="00FD7BAE"/>
    <w:rsid w:val="00FE0547"/>
    <w:rsid w:val="00FE234D"/>
    <w:rsid w:val="00FE28A5"/>
    <w:rsid w:val="00FE2B56"/>
    <w:rsid w:val="00FE3979"/>
    <w:rsid w:val="00FE5A53"/>
    <w:rsid w:val="00FF1592"/>
    <w:rsid w:val="00FF4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E7"/>
    <w:pPr>
      <w:spacing w:after="200" w:line="276" w:lineRule="auto"/>
    </w:pPr>
    <w:rPr>
      <w:sz w:val="22"/>
      <w:szCs w:val="22"/>
      <w:lang w:eastAsia="en-US"/>
    </w:rPr>
  </w:style>
  <w:style w:type="paragraph" w:styleId="Heading1">
    <w:name w:val="heading 1"/>
    <w:basedOn w:val="Normal"/>
    <w:next w:val="Normal"/>
    <w:link w:val="Heading1Char"/>
    <w:uiPriority w:val="9"/>
    <w:qFormat/>
    <w:rsid w:val="00055947"/>
    <w:pPr>
      <w:keepNext/>
      <w:keepLines/>
      <w:numPr>
        <w:numId w:val="4"/>
      </w:numPr>
      <w:spacing w:before="480" w:after="240"/>
      <w:outlineLvl w:val="0"/>
    </w:pPr>
    <w:rPr>
      <w:rFonts w:eastAsia="Times New Roman" w:cs="Calibri"/>
      <w:b/>
      <w:bCs/>
      <w:color w:val="365F91"/>
      <w:sz w:val="28"/>
      <w:szCs w:val="28"/>
    </w:rPr>
  </w:style>
  <w:style w:type="paragraph" w:styleId="Heading2">
    <w:name w:val="heading 2"/>
    <w:basedOn w:val="Normal"/>
    <w:next w:val="Normal"/>
    <w:link w:val="Heading2Char"/>
    <w:uiPriority w:val="9"/>
    <w:unhideWhenUsed/>
    <w:qFormat/>
    <w:rsid w:val="00055947"/>
    <w:pPr>
      <w:keepNext/>
      <w:spacing w:before="240" w:after="60"/>
      <w:outlineLvl w:val="1"/>
    </w:pPr>
    <w:rPr>
      <w:rFonts w:eastAsia="Times New Roman" w:cs="Calibri"/>
      <w:b/>
      <w:bCs/>
      <w:iCs/>
      <w:color w:val="31849B"/>
      <w:sz w:val="24"/>
      <w:szCs w:val="28"/>
    </w:rPr>
  </w:style>
  <w:style w:type="paragraph" w:styleId="Heading3">
    <w:name w:val="heading 3"/>
    <w:basedOn w:val="Normal"/>
    <w:next w:val="Normal"/>
    <w:link w:val="Heading3Char"/>
    <w:uiPriority w:val="9"/>
    <w:unhideWhenUsed/>
    <w:qFormat/>
    <w:rsid w:val="00FD7BAE"/>
    <w:pPr>
      <w:tabs>
        <w:tab w:val="left" w:pos="851"/>
      </w:tabs>
      <w:outlineLvl w:val="2"/>
    </w:pPr>
    <w:rPr>
      <w:rFonts w:cs="Calibri"/>
      <w:b/>
      <w:i/>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D1"/>
  </w:style>
  <w:style w:type="paragraph" w:styleId="Footer">
    <w:name w:val="footer"/>
    <w:basedOn w:val="Normal"/>
    <w:link w:val="FooterChar"/>
    <w:uiPriority w:val="99"/>
    <w:unhideWhenUsed/>
    <w:rsid w:val="00B8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D1"/>
  </w:style>
  <w:style w:type="character" w:customStyle="1" w:styleId="Heading1Char">
    <w:name w:val="Heading 1 Char"/>
    <w:basedOn w:val="DefaultParagraphFont"/>
    <w:link w:val="Heading1"/>
    <w:uiPriority w:val="9"/>
    <w:rsid w:val="00055947"/>
    <w:rPr>
      <w:rFonts w:eastAsia="Times New Roman" w:cs="Calibri"/>
      <w:b/>
      <w:bCs/>
      <w:color w:val="365F91"/>
      <w:sz w:val="28"/>
      <w:szCs w:val="28"/>
      <w:lang w:eastAsia="en-US"/>
    </w:rPr>
  </w:style>
  <w:style w:type="paragraph" w:styleId="TOCHeading">
    <w:name w:val="TOC Heading"/>
    <w:basedOn w:val="Heading1"/>
    <w:next w:val="Normal"/>
    <w:uiPriority w:val="39"/>
    <w:unhideWhenUsed/>
    <w:qFormat/>
    <w:rsid w:val="00B87ED1"/>
    <w:pPr>
      <w:outlineLvl w:val="9"/>
    </w:pPr>
    <w:rPr>
      <w:lang w:val="en-US"/>
    </w:rPr>
  </w:style>
  <w:style w:type="paragraph" w:styleId="BalloonText">
    <w:name w:val="Balloon Text"/>
    <w:basedOn w:val="Normal"/>
    <w:link w:val="BalloonTextChar"/>
    <w:uiPriority w:val="99"/>
    <w:semiHidden/>
    <w:unhideWhenUsed/>
    <w:rsid w:val="00B87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D1"/>
    <w:rPr>
      <w:rFonts w:ascii="Tahoma" w:hAnsi="Tahoma" w:cs="Tahoma"/>
      <w:sz w:val="16"/>
      <w:szCs w:val="16"/>
    </w:rPr>
  </w:style>
  <w:style w:type="paragraph" w:styleId="ListParagraph">
    <w:name w:val="List Paragraph"/>
    <w:basedOn w:val="Normal"/>
    <w:uiPriority w:val="34"/>
    <w:qFormat/>
    <w:rsid w:val="006209A2"/>
    <w:pPr>
      <w:ind w:left="720"/>
      <w:contextualSpacing/>
    </w:pPr>
  </w:style>
  <w:style w:type="paragraph" w:styleId="TOC1">
    <w:name w:val="toc 1"/>
    <w:basedOn w:val="Normal"/>
    <w:next w:val="Normal"/>
    <w:autoRedefine/>
    <w:uiPriority w:val="39"/>
    <w:unhideWhenUsed/>
    <w:rsid w:val="006209A2"/>
    <w:pPr>
      <w:spacing w:after="100"/>
    </w:pPr>
  </w:style>
  <w:style w:type="character" w:styleId="Hyperlink">
    <w:name w:val="Hyperlink"/>
    <w:basedOn w:val="DefaultParagraphFont"/>
    <w:uiPriority w:val="99"/>
    <w:unhideWhenUsed/>
    <w:rsid w:val="006209A2"/>
    <w:rPr>
      <w:color w:val="0000FF"/>
      <w:u w:val="single"/>
    </w:rPr>
  </w:style>
  <w:style w:type="character" w:customStyle="1" w:styleId="Heading2Char">
    <w:name w:val="Heading 2 Char"/>
    <w:basedOn w:val="DefaultParagraphFont"/>
    <w:link w:val="Heading2"/>
    <w:uiPriority w:val="9"/>
    <w:rsid w:val="00055947"/>
    <w:rPr>
      <w:rFonts w:eastAsia="Times New Roman" w:cs="Calibri"/>
      <w:b/>
      <w:bCs/>
      <w:iCs/>
      <w:color w:val="31849B"/>
      <w:sz w:val="24"/>
      <w:szCs w:val="28"/>
      <w:lang w:eastAsia="en-US"/>
    </w:rPr>
  </w:style>
  <w:style w:type="paragraph" w:styleId="FootnoteText">
    <w:name w:val="footnote text"/>
    <w:basedOn w:val="Normal"/>
    <w:link w:val="FootnoteTextChar"/>
    <w:uiPriority w:val="99"/>
    <w:semiHidden/>
    <w:unhideWhenUsed/>
    <w:rsid w:val="0058002D"/>
    <w:rPr>
      <w:sz w:val="20"/>
      <w:szCs w:val="20"/>
    </w:rPr>
  </w:style>
  <w:style w:type="character" w:customStyle="1" w:styleId="FootnoteTextChar">
    <w:name w:val="Footnote Text Char"/>
    <w:basedOn w:val="DefaultParagraphFont"/>
    <w:link w:val="FootnoteText"/>
    <w:uiPriority w:val="99"/>
    <w:semiHidden/>
    <w:rsid w:val="0058002D"/>
    <w:rPr>
      <w:lang w:eastAsia="en-US"/>
    </w:rPr>
  </w:style>
  <w:style w:type="character" w:styleId="FootnoteReference">
    <w:name w:val="footnote reference"/>
    <w:basedOn w:val="DefaultParagraphFont"/>
    <w:uiPriority w:val="99"/>
    <w:semiHidden/>
    <w:unhideWhenUsed/>
    <w:rsid w:val="0058002D"/>
    <w:rPr>
      <w:vertAlign w:val="superscript"/>
    </w:rPr>
  </w:style>
  <w:style w:type="character" w:styleId="CommentReference">
    <w:name w:val="annotation reference"/>
    <w:basedOn w:val="DefaultParagraphFont"/>
    <w:uiPriority w:val="99"/>
    <w:semiHidden/>
    <w:unhideWhenUsed/>
    <w:rsid w:val="00AE5046"/>
    <w:rPr>
      <w:sz w:val="16"/>
      <w:szCs w:val="16"/>
    </w:rPr>
  </w:style>
  <w:style w:type="paragraph" w:styleId="CommentText">
    <w:name w:val="annotation text"/>
    <w:basedOn w:val="Normal"/>
    <w:link w:val="CommentTextChar"/>
    <w:uiPriority w:val="99"/>
    <w:semiHidden/>
    <w:unhideWhenUsed/>
    <w:rsid w:val="00AE5046"/>
    <w:rPr>
      <w:sz w:val="20"/>
      <w:szCs w:val="20"/>
    </w:rPr>
  </w:style>
  <w:style w:type="character" w:customStyle="1" w:styleId="CommentTextChar">
    <w:name w:val="Comment Text Char"/>
    <w:basedOn w:val="DefaultParagraphFont"/>
    <w:link w:val="CommentText"/>
    <w:uiPriority w:val="99"/>
    <w:semiHidden/>
    <w:rsid w:val="00AE5046"/>
    <w:rPr>
      <w:lang w:eastAsia="en-US"/>
    </w:rPr>
  </w:style>
  <w:style w:type="paragraph" w:styleId="CommentSubject">
    <w:name w:val="annotation subject"/>
    <w:basedOn w:val="CommentText"/>
    <w:next w:val="CommentText"/>
    <w:link w:val="CommentSubjectChar"/>
    <w:uiPriority w:val="99"/>
    <w:semiHidden/>
    <w:unhideWhenUsed/>
    <w:rsid w:val="00AE5046"/>
    <w:rPr>
      <w:b/>
      <w:bCs/>
    </w:rPr>
  </w:style>
  <w:style w:type="character" w:customStyle="1" w:styleId="CommentSubjectChar">
    <w:name w:val="Comment Subject Char"/>
    <w:basedOn w:val="CommentTextChar"/>
    <w:link w:val="CommentSubject"/>
    <w:uiPriority w:val="99"/>
    <w:semiHidden/>
    <w:rsid w:val="00AE5046"/>
    <w:rPr>
      <w:b/>
      <w:bCs/>
      <w:lang w:eastAsia="en-US"/>
    </w:rPr>
  </w:style>
  <w:style w:type="paragraph" w:customStyle="1" w:styleId="Default">
    <w:name w:val="Default"/>
    <w:uiPriority w:val="99"/>
    <w:rsid w:val="00F3544B"/>
    <w:pPr>
      <w:widowControl w:val="0"/>
      <w:autoSpaceDE w:val="0"/>
      <w:autoSpaceDN w:val="0"/>
      <w:adjustRightInd w:val="0"/>
    </w:pPr>
    <w:rPr>
      <w:rFonts w:ascii="Humnst777 Lt BT" w:eastAsia="Times New Roman" w:hAnsi="Humnst777 Lt BT" w:cs="Humnst777 Lt BT"/>
      <w:color w:val="000000"/>
      <w:sz w:val="24"/>
      <w:szCs w:val="24"/>
    </w:rPr>
  </w:style>
  <w:style w:type="paragraph" w:customStyle="1" w:styleId="CM34">
    <w:name w:val="CM34"/>
    <w:basedOn w:val="Default"/>
    <w:next w:val="Default"/>
    <w:uiPriority w:val="99"/>
    <w:rsid w:val="00F3544B"/>
    <w:pPr>
      <w:spacing w:after="120"/>
    </w:pPr>
    <w:rPr>
      <w:rFonts w:cs="Times New Roman"/>
      <w:color w:val="auto"/>
    </w:rPr>
  </w:style>
  <w:style w:type="paragraph" w:styleId="TOC2">
    <w:name w:val="toc 2"/>
    <w:basedOn w:val="Normal"/>
    <w:next w:val="Normal"/>
    <w:autoRedefine/>
    <w:uiPriority w:val="39"/>
    <w:unhideWhenUsed/>
    <w:rsid w:val="00E93AFA"/>
    <w:pPr>
      <w:ind w:left="220"/>
    </w:pPr>
  </w:style>
  <w:style w:type="character" w:customStyle="1" w:styleId="Heading3Char">
    <w:name w:val="Heading 3 Char"/>
    <w:basedOn w:val="DefaultParagraphFont"/>
    <w:link w:val="Heading3"/>
    <w:uiPriority w:val="9"/>
    <w:rsid w:val="00FD7BAE"/>
    <w:rPr>
      <w:rFonts w:cs="Calibri"/>
      <w:b/>
      <w:i/>
      <w:color w:val="31849B"/>
      <w:sz w:val="22"/>
      <w:szCs w:val="22"/>
      <w:lang w:eastAsia="en-US"/>
    </w:rPr>
  </w:style>
  <w:style w:type="character" w:styleId="FollowedHyperlink">
    <w:name w:val="FollowedHyperlink"/>
    <w:basedOn w:val="DefaultParagraphFont"/>
    <w:uiPriority w:val="99"/>
    <w:semiHidden/>
    <w:unhideWhenUsed/>
    <w:rsid w:val="004E70CD"/>
    <w:rPr>
      <w:color w:val="800080"/>
      <w:u w:val="single"/>
    </w:rPr>
  </w:style>
  <w:style w:type="paragraph" w:styleId="Caption">
    <w:name w:val="caption"/>
    <w:basedOn w:val="Normal"/>
    <w:next w:val="Normal"/>
    <w:uiPriority w:val="35"/>
    <w:unhideWhenUsed/>
    <w:qFormat/>
    <w:rsid w:val="008D1A07"/>
    <w:rPr>
      <w:b/>
      <w:bCs/>
      <w:sz w:val="20"/>
      <w:szCs w:val="20"/>
    </w:rPr>
  </w:style>
  <w:style w:type="paragraph" w:styleId="Revision">
    <w:name w:val="Revision"/>
    <w:hidden/>
    <w:uiPriority w:val="99"/>
    <w:semiHidden/>
    <w:rsid w:val="00A654A9"/>
    <w:rPr>
      <w:sz w:val="22"/>
      <w:szCs w:val="22"/>
      <w:lang w:eastAsia="en-US"/>
    </w:rPr>
  </w:style>
  <w:style w:type="table" w:styleId="TableGrid">
    <w:name w:val="Table Grid"/>
    <w:basedOn w:val="TableNormal"/>
    <w:uiPriority w:val="59"/>
    <w:rsid w:val="00DD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5455A"/>
    <w:pPr>
      <w:ind w:left="440"/>
    </w:pPr>
  </w:style>
  <w:style w:type="paragraph" w:styleId="Quote">
    <w:name w:val="Quote"/>
    <w:basedOn w:val="Normal"/>
    <w:next w:val="Normal"/>
    <w:link w:val="QuoteChar"/>
    <w:uiPriority w:val="29"/>
    <w:qFormat/>
    <w:rsid w:val="00AF4615"/>
    <w:pPr>
      <w:tabs>
        <w:tab w:val="left" w:pos="567"/>
      </w:tabs>
      <w:suppressAutoHyphens/>
      <w:autoSpaceDE w:val="0"/>
      <w:autoSpaceDN w:val="0"/>
      <w:adjustRightInd w:val="0"/>
      <w:spacing w:before="120" w:after="120" w:line="360" w:lineRule="auto"/>
      <w:ind w:left="1134"/>
      <w:textAlignment w:val="center"/>
    </w:pPr>
    <w:rPr>
      <w:rFonts w:ascii="Arial" w:eastAsia="Times New Roman" w:hAnsi="Arial" w:cs="Arial"/>
      <w:iCs/>
      <w:color w:val="000000"/>
      <w:sz w:val="18"/>
      <w:szCs w:val="18"/>
      <w:lang w:eastAsia="en-AU"/>
    </w:rPr>
  </w:style>
  <w:style w:type="character" w:customStyle="1" w:styleId="QuoteChar">
    <w:name w:val="Quote Char"/>
    <w:basedOn w:val="DefaultParagraphFont"/>
    <w:link w:val="Quote"/>
    <w:uiPriority w:val="29"/>
    <w:rsid w:val="00AF4615"/>
    <w:rPr>
      <w:rFonts w:ascii="Arial" w:eastAsia="Times New Roman" w:hAnsi="Arial" w:cs="Arial"/>
      <w:iCs/>
      <w:color w:val="000000"/>
      <w:sz w:val="18"/>
      <w:szCs w:val="18"/>
    </w:rPr>
  </w:style>
  <w:style w:type="paragraph" w:customStyle="1" w:styleId="01COVERHeading2">
    <w:name w:val="01 COVER Heading 2"/>
    <w:basedOn w:val="Normal"/>
    <w:qFormat/>
    <w:rsid w:val="00AF4615"/>
    <w:pPr>
      <w:spacing w:after="0" w:line="240" w:lineRule="auto"/>
    </w:pPr>
    <w:rPr>
      <w:rFonts w:ascii="Lucida Fax" w:eastAsia="MS Mincho" w:hAnsi="Lucida Fax"/>
      <w:b/>
      <w:color w:val="FFFFFF"/>
      <w:sz w:val="20"/>
      <w:lang w:val="en-US"/>
    </w:rPr>
  </w:style>
  <w:style w:type="paragraph" w:customStyle="1" w:styleId="01COVERHeading1">
    <w:name w:val="01 COVER Heading 1"/>
    <w:basedOn w:val="Normal"/>
    <w:qFormat/>
    <w:rsid w:val="00AF4615"/>
    <w:pPr>
      <w:spacing w:before="120" w:after="120" w:line="240" w:lineRule="auto"/>
      <w:outlineLvl w:val="0"/>
    </w:pPr>
    <w:rPr>
      <w:rFonts w:ascii="Lucida Fax" w:eastAsia="MS Mincho" w:hAnsi="Lucida Fax"/>
      <w:color w:val="FFFFFF"/>
      <w:sz w:val="96"/>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40768">
      <w:bodyDiv w:val="1"/>
      <w:marLeft w:val="0"/>
      <w:marRight w:val="0"/>
      <w:marTop w:val="0"/>
      <w:marBottom w:val="0"/>
      <w:divBdr>
        <w:top w:val="none" w:sz="0" w:space="0" w:color="auto"/>
        <w:left w:val="none" w:sz="0" w:space="0" w:color="auto"/>
        <w:bottom w:val="none" w:sz="0" w:space="0" w:color="auto"/>
        <w:right w:val="none" w:sz="0" w:space="0" w:color="auto"/>
      </w:divBdr>
    </w:div>
    <w:div w:id="1137063833">
      <w:bodyDiv w:val="1"/>
      <w:marLeft w:val="0"/>
      <w:marRight w:val="0"/>
      <w:marTop w:val="0"/>
      <w:marBottom w:val="0"/>
      <w:divBdr>
        <w:top w:val="none" w:sz="0" w:space="0" w:color="auto"/>
        <w:left w:val="none" w:sz="0" w:space="0" w:color="auto"/>
        <w:bottom w:val="none" w:sz="0" w:space="0" w:color="auto"/>
        <w:right w:val="none" w:sz="0" w:space="0" w:color="auto"/>
      </w:divBdr>
    </w:div>
    <w:div w:id="1372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ublishing.unit@accc.gov.a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ublishing.unit@accc.gov.au" TargetMode="External"/><Relationship Id="rId25" Type="http://schemas.openxmlformats.org/officeDocument/2006/relationships/hyperlink" Target="mailto:mergers@accc.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ccc.gov.au/mergersregis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ccc.gov.au/mergersregister"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ccc.gov.au/mergersregister"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accc.gov.au"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competitiontribunal.gov.au" TargetMode="External"/><Relationship Id="rId2" Type="http://schemas.openxmlformats.org/officeDocument/2006/relationships/hyperlink" Target="http://www.accc.gov.au" TargetMode="External"/><Relationship Id="rId1" Type="http://schemas.openxmlformats.org/officeDocument/2006/relationships/hyperlink" Target="http://www.internationalcompetitionnetwork.org/guidingprinci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1E7E3-3F8C-49BA-AE54-0F418CDB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ADEA752A</Template>
  <TotalTime>0</TotalTime>
  <Pages>1</Pages>
  <Words>8833</Words>
  <Characters>50352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59067</CharactersWithSpaces>
  <SharedDoc>false</SharedDoc>
  <HLinks>
    <vt:vector size="186" baseType="variant">
      <vt:variant>
        <vt:i4>7536650</vt:i4>
      </vt:variant>
      <vt:variant>
        <vt:i4>210</vt:i4>
      </vt:variant>
      <vt:variant>
        <vt:i4>0</vt:i4>
      </vt:variant>
      <vt:variant>
        <vt:i4>5</vt:i4>
      </vt:variant>
      <vt:variant>
        <vt:lpwstr>mailto:mergers@accc.gov.au</vt:lpwstr>
      </vt:variant>
      <vt:variant>
        <vt:lpwstr/>
      </vt:variant>
      <vt:variant>
        <vt:i4>3801215</vt:i4>
      </vt:variant>
      <vt:variant>
        <vt:i4>177</vt:i4>
      </vt:variant>
      <vt:variant>
        <vt:i4>0</vt:i4>
      </vt:variant>
      <vt:variant>
        <vt:i4>5</vt:i4>
      </vt:variant>
      <vt:variant>
        <vt:lpwstr>http://www.accc.gov.au/mergers</vt:lpwstr>
      </vt:variant>
      <vt:variant>
        <vt:lpwstr/>
      </vt:variant>
      <vt:variant>
        <vt:i4>3145852</vt:i4>
      </vt:variant>
      <vt:variant>
        <vt:i4>171</vt:i4>
      </vt:variant>
      <vt:variant>
        <vt:i4>0</vt:i4>
      </vt:variant>
      <vt:variant>
        <vt:i4>5</vt:i4>
      </vt:variant>
      <vt:variant>
        <vt:lpwstr>http://www.accc.gov.au/mergersregister</vt:lpwstr>
      </vt:variant>
      <vt:variant>
        <vt:lpwstr/>
      </vt:variant>
      <vt:variant>
        <vt:i4>3342368</vt:i4>
      </vt:variant>
      <vt:variant>
        <vt:i4>150</vt:i4>
      </vt:variant>
      <vt:variant>
        <vt:i4>0</vt:i4>
      </vt:variant>
      <vt:variant>
        <vt:i4>5</vt:i4>
      </vt:variant>
      <vt:variant>
        <vt:lpwstr>http://www.accc.gov.au/</vt:lpwstr>
      </vt:variant>
      <vt:variant>
        <vt:lpwstr/>
      </vt:variant>
      <vt:variant>
        <vt:i4>1114172</vt:i4>
      </vt:variant>
      <vt:variant>
        <vt:i4>140</vt:i4>
      </vt:variant>
      <vt:variant>
        <vt:i4>0</vt:i4>
      </vt:variant>
      <vt:variant>
        <vt:i4>5</vt:i4>
      </vt:variant>
      <vt:variant>
        <vt:lpwstr/>
      </vt:variant>
      <vt:variant>
        <vt:lpwstr>_Toc358310605</vt:lpwstr>
      </vt:variant>
      <vt:variant>
        <vt:i4>1114172</vt:i4>
      </vt:variant>
      <vt:variant>
        <vt:i4>134</vt:i4>
      </vt:variant>
      <vt:variant>
        <vt:i4>0</vt:i4>
      </vt:variant>
      <vt:variant>
        <vt:i4>5</vt:i4>
      </vt:variant>
      <vt:variant>
        <vt:lpwstr/>
      </vt:variant>
      <vt:variant>
        <vt:lpwstr>_Toc358310604</vt:lpwstr>
      </vt:variant>
      <vt:variant>
        <vt:i4>1114172</vt:i4>
      </vt:variant>
      <vt:variant>
        <vt:i4>128</vt:i4>
      </vt:variant>
      <vt:variant>
        <vt:i4>0</vt:i4>
      </vt:variant>
      <vt:variant>
        <vt:i4>5</vt:i4>
      </vt:variant>
      <vt:variant>
        <vt:lpwstr/>
      </vt:variant>
      <vt:variant>
        <vt:lpwstr>_Toc358310603</vt:lpwstr>
      </vt:variant>
      <vt:variant>
        <vt:i4>1114172</vt:i4>
      </vt:variant>
      <vt:variant>
        <vt:i4>122</vt:i4>
      </vt:variant>
      <vt:variant>
        <vt:i4>0</vt:i4>
      </vt:variant>
      <vt:variant>
        <vt:i4>5</vt:i4>
      </vt:variant>
      <vt:variant>
        <vt:lpwstr/>
      </vt:variant>
      <vt:variant>
        <vt:lpwstr>_Toc358310602</vt:lpwstr>
      </vt:variant>
      <vt:variant>
        <vt:i4>1114172</vt:i4>
      </vt:variant>
      <vt:variant>
        <vt:i4>116</vt:i4>
      </vt:variant>
      <vt:variant>
        <vt:i4>0</vt:i4>
      </vt:variant>
      <vt:variant>
        <vt:i4>5</vt:i4>
      </vt:variant>
      <vt:variant>
        <vt:lpwstr/>
      </vt:variant>
      <vt:variant>
        <vt:lpwstr>_Toc358310601</vt:lpwstr>
      </vt:variant>
      <vt:variant>
        <vt:i4>1114172</vt:i4>
      </vt:variant>
      <vt:variant>
        <vt:i4>110</vt:i4>
      </vt:variant>
      <vt:variant>
        <vt:i4>0</vt:i4>
      </vt:variant>
      <vt:variant>
        <vt:i4>5</vt:i4>
      </vt:variant>
      <vt:variant>
        <vt:lpwstr/>
      </vt:variant>
      <vt:variant>
        <vt:lpwstr>_Toc358310600</vt:lpwstr>
      </vt:variant>
      <vt:variant>
        <vt:i4>1572927</vt:i4>
      </vt:variant>
      <vt:variant>
        <vt:i4>104</vt:i4>
      </vt:variant>
      <vt:variant>
        <vt:i4>0</vt:i4>
      </vt:variant>
      <vt:variant>
        <vt:i4>5</vt:i4>
      </vt:variant>
      <vt:variant>
        <vt:lpwstr/>
      </vt:variant>
      <vt:variant>
        <vt:lpwstr>_Toc358310599</vt:lpwstr>
      </vt:variant>
      <vt:variant>
        <vt:i4>1572927</vt:i4>
      </vt:variant>
      <vt:variant>
        <vt:i4>98</vt:i4>
      </vt:variant>
      <vt:variant>
        <vt:i4>0</vt:i4>
      </vt:variant>
      <vt:variant>
        <vt:i4>5</vt:i4>
      </vt:variant>
      <vt:variant>
        <vt:lpwstr/>
      </vt:variant>
      <vt:variant>
        <vt:lpwstr>_Toc358310598</vt:lpwstr>
      </vt:variant>
      <vt:variant>
        <vt:i4>1572927</vt:i4>
      </vt:variant>
      <vt:variant>
        <vt:i4>92</vt:i4>
      </vt:variant>
      <vt:variant>
        <vt:i4>0</vt:i4>
      </vt:variant>
      <vt:variant>
        <vt:i4>5</vt:i4>
      </vt:variant>
      <vt:variant>
        <vt:lpwstr/>
      </vt:variant>
      <vt:variant>
        <vt:lpwstr>_Toc358310597</vt:lpwstr>
      </vt:variant>
      <vt:variant>
        <vt:i4>1572927</vt:i4>
      </vt:variant>
      <vt:variant>
        <vt:i4>86</vt:i4>
      </vt:variant>
      <vt:variant>
        <vt:i4>0</vt:i4>
      </vt:variant>
      <vt:variant>
        <vt:i4>5</vt:i4>
      </vt:variant>
      <vt:variant>
        <vt:lpwstr/>
      </vt:variant>
      <vt:variant>
        <vt:lpwstr>_Toc358310596</vt:lpwstr>
      </vt:variant>
      <vt:variant>
        <vt:i4>1572927</vt:i4>
      </vt:variant>
      <vt:variant>
        <vt:i4>80</vt:i4>
      </vt:variant>
      <vt:variant>
        <vt:i4>0</vt:i4>
      </vt:variant>
      <vt:variant>
        <vt:i4>5</vt:i4>
      </vt:variant>
      <vt:variant>
        <vt:lpwstr/>
      </vt:variant>
      <vt:variant>
        <vt:lpwstr>_Toc358310595</vt:lpwstr>
      </vt:variant>
      <vt:variant>
        <vt:i4>1572927</vt:i4>
      </vt:variant>
      <vt:variant>
        <vt:i4>74</vt:i4>
      </vt:variant>
      <vt:variant>
        <vt:i4>0</vt:i4>
      </vt:variant>
      <vt:variant>
        <vt:i4>5</vt:i4>
      </vt:variant>
      <vt:variant>
        <vt:lpwstr/>
      </vt:variant>
      <vt:variant>
        <vt:lpwstr>_Toc358310594</vt:lpwstr>
      </vt:variant>
      <vt:variant>
        <vt:i4>1572927</vt:i4>
      </vt:variant>
      <vt:variant>
        <vt:i4>68</vt:i4>
      </vt:variant>
      <vt:variant>
        <vt:i4>0</vt:i4>
      </vt:variant>
      <vt:variant>
        <vt:i4>5</vt:i4>
      </vt:variant>
      <vt:variant>
        <vt:lpwstr/>
      </vt:variant>
      <vt:variant>
        <vt:lpwstr>_Toc358310593</vt:lpwstr>
      </vt:variant>
      <vt:variant>
        <vt:i4>1572927</vt:i4>
      </vt:variant>
      <vt:variant>
        <vt:i4>62</vt:i4>
      </vt:variant>
      <vt:variant>
        <vt:i4>0</vt:i4>
      </vt:variant>
      <vt:variant>
        <vt:i4>5</vt:i4>
      </vt:variant>
      <vt:variant>
        <vt:lpwstr/>
      </vt:variant>
      <vt:variant>
        <vt:lpwstr>_Toc358310592</vt:lpwstr>
      </vt:variant>
      <vt:variant>
        <vt:i4>1572927</vt:i4>
      </vt:variant>
      <vt:variant>
        <vt:i4>56</vt:i4>
      </vt:variant>
      <vt:variant>
        <vt:i4>0</vt:i4>
      </vt:variant>
      <vt:variant>
        <vt:i4>5</vt:i4>
      </vt:variant>
      <vt:variant>
        <vt:lpwstr/>
      </vt:variant>
      <vt:variant>
        <vt:lpwstr>_Toc358310591</vt:lpwstr>
      </vt:variant>
      <vt:variant>
        <vt:i4>1572927</vt:i4>
      </vt:variant>
      <vt:variant>
        <vt:i4>50</vt:i4>
      </vt:variant>
      <vt:variant>
        <vt:i4>0</vt:i4>
      </vt:variant>
      <vt:variant>
        <vt:i4>5</vt:i4>
      </vt:variant>
      <vt:variant>
        <vt:lpwstr/>
      </vt:variant>
      <vt:variant>
        <vt:lpwstr>_Toc358310590</vt:lpwstr>
      </vt:variant>
      <vt:variant>
        <vt:i4>1638463</vt:i4>
      </vt:variant>
      <vt:variant>
        <vt:i4>44</vt:i4>
      </vt:variant>
      <vt:variant>
        <vt:i4>0</vt:i4>
      </vt:variant>
      <vt:variant>
        <vt:i4>5</vt:i4>
      </vt:variant>
      <vt:variant>
        <vt:lpwstr/>
      </vt:variant>
      <vt:variant>
        <vt:lpwstr>_Toc358310589</vt:lpwstr>
      </vt:variant>
      <vt:variant>
        <vt:i4>1638463</vt:i4>
      </vt:variant>
      <vt:variant>
        <vt:i4>38</vt:i4>
      </vt:variant>
      <vt:variant>
        <vt:i4>0</vt:i4>
      </vt:variant>
      <vt:variant>
        <vt:i4>5</vt:i4>
      </vt:variant>
      <vt:variant>
        <vt:lpwstr/>
      </vt:variant>
      <vt:variant>
        <vt:lpwstr>_Toc358310588</vt:lpwstr>
      </vt:variant>
      <vt:variant>
        <vt:i4>1638463</vt:i4>
      </vt:variant>
      <vt:variant>
        <vt:i4>32</vt:i4>
      </vt:variant>
      <vt:variant>
        <vt:i4>0</vt:i4>
      </vt:variant>
      <vt:variant>
        <vt:i4>5</vt:i4>
      </vt:variant>
      <vt:variant>
        <vt:lpwstr/>
      </vt:variant>
      <vt:variant>
        <vt:lpwstr>_Toc358310587</vt:lpwstr>
      </vt:variant>
      <vt:variant>
        <vt:i4>1638463</vt:i4>
      </vt:variant>
      <vt:variant>
        <vt:i4>26</vt:i4>
      </vt:variant>
      <vt:variant>
        <vt:i4>0</vt:i4>
      </vt:variant>
      <vt:variant>
        <vt:i4>5</vt:i4>
      </vt:variant>
      <vt:variant>
        <vt:lpwstr/>
      </vt:variant>
      <vt:variant>
        <vt:lpwstr>_Toc358310586</vt:lpwstr>
      </vt:variant>
      <vt:variant>
        <vt:i4>1638463</vt:i4>
      </vt:variant>
      <vt:variant>
        <vt:i4>20</vt:i4>
      </vt:variant>
      <vt:variant>
        <vt:i4>0</vt:i4>
      </vt:variant>
      <vt:variant>
        <vt:i4>5</vt:i4>
      </vt:variant>
      <vt:variant>
        <vt:lpwstr/>
      </vt:variant>
      <vt:variant>
        <vt:lpwstr>_Toc358310585</vt:lpwstr>
      </vt:variant>
      <vt:variant>
        <vt:i4>1638463</vt:i4>
      </vt:variant>
      <vt:variant>
        <vt:i4>14</vt:i4>
      </vt:variant>
      <vt:variant>
        <vt:i4>0</vt:i4>
      </vt:variant>
      <vt:variant>
        <vt:i4>5</vt:i4>
      </vt:variant>
      <vt:variant>
        <vt:lpwstr/>
      </vt:variant>
      <vt:variant>
        <vt:lpwstr>_Toc358310584</vt:lpwstr>
      </vt:variant>
      <vt:variant>
        <vt:i4>1638463</vt:i4>
      </vt:variant>
      <vt:variant>
        <vt:i4>8</vt:i4>
      </vt:variant>
      <vt:variant>
        <vt:i4>0</vt:i4>
      </vt:variant>
      <vt:variant>
        <vt:i4>5</vt:i4>
      </vt:variant>
      <vt:variant>
        <vt:lpwstr/>
      </vt:variant>
      <vt:variant>
        <vt:lpwstr>_Toc358310583</vt:lpwstr>
      </vt:variant>
      <vt:variant>
        <vt:i4>1638463</vt:i4>
      </vt:variant>
      <vt:variant>
        <vt:i4>2</vt:i4>
      </vt:variant>
      <vt:variant>
        <vt:i4>0</vt:i4>
      </vt:variant>
      <vt:variant>
        <vt:i4>5</vt:i4>
      </vt:variant>
      <vt:variant>
        <vt:lpwstr/>
      </vt:variant>
      <vt:variant>
        <vt:lpwstr>_Toc358310582</vt:lpwstr>
      </vt:variant>
      <vt:variant>
        <vt:i4>6488115</vt:i4>
      </vt:variant>
      <vt:variant>
        <vt:i4>6</vt:i4>
      </vt:variant>
      <vt:variant>
        <vt:i4>0</vt:i4>
      </vt:variant>
      <vt:variant>
        <vt:i4>5</vt:i4>
      </vt:variant>
      <vt:variant>
        <vt:lpwstr>http://www.competitiontribunal.gov.au/</vt:lpwstr>
      </vt:variant>
      <vt:variant>
        <vt:lpwstr/>
      </vt:variant>
      <vt:variant>
        <vt:i4>3342368</vt:i4>
      </vt:variant>
      <vt:variant>
        <vt:i4>3</vt:i4>
      </vt:variant>
      <vt:variant>
        <vt:i4>0</vt:i4>
      </vt:variant>
      <vt:variant>
        <vt:i4>5</vt:i4>
      </vt:variant>
      <vt:variant>
        <vt:lpwstr>http://www.accc.gov.au/</vt:lpwstr>
      </vt:variant>
      <vt:variant>
        <vt:lpwstr/>
      </vt:variant>
      <vt:variant>
        <vt:i4>4653075</vt:i4>
      </vt:variant>
      <vt:variant>
        <vt:i4>0</vt:i4>
      </vt:variant>
      <vt:variant>
        <vt:i4>0</vt:i4>
      </vt:variant>
      <vt:variant>
        <vt:i4>5</vt:i4>
      </vt:variant>
      <vt:variant>
        <vt:lpwstr>http://www.internationalcompetitionnetwork.org/guidingprinciples.html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2013-06-20T03:30:00Z</dcterms:created>
  <dcterms:modified xsi:type="dcterms:W3CDTF">2013-07-09T02:20:00Z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8007157</vt:lpwstr>
  </property>
  <property fmtid="{D5CDD505-2E9C-101B-9397-08002B2CF9AE}" pid="3" name="currfile">
    <vt:lpwstr>\\cbrvpwxfs01\home$\BMull\merger review process guidelin (MER2013-05320).docx</vt:lpwstr>
  </property>
</Properties>
</file>