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31" w:rsidRDefault="00D83F31" w:rsidP="00A72531">
      <w:pPr>
        <w:spacing w:before="100" w:beforeAutospacing="1" w:after="100" w:afterAutospacing="1"/>
        <w:outlineLvl w:val="1"/>
        <w:rPr>
          <w:rFonts w:eastAsia="Times New Roman" w:cs="Arial"/>
          <w:b/>
          <w:bCs/>
          <w:lang w:val="en" w:eastAsia="en-AU"/>
        </w:rPr>
      </w:pPr>
      <w:bookmarkStart w:id="0" w:name="_GoBack"/>
      <w:bookmarkEnd w:id="0"/>
      <w:r>
        <w:rPr>
          <w:rFonts w:eastAsia="Times New Roman" w:cs="Arial"/>
          <w:b/>
          <w:bCs/>
          <w:lang w:val="en" w:eastAsia="en-AU"/>
        </w:rPr>
        <w:t>NATIONAL ROADS AND MOTORISTS ASSOCIATION CTM APPLICATION 1568411</w:t>
      </w:r>
    </w:p>
    <w:p w:rsidR="00D83F31" w:rsidRDefault="00D83F31" w:rsidP="00D83F31">
      <w:pPr>
        <w:spacing w:before="100" w:beforeAutospacing="1" w:after="100" w:afterAutospacing="1"/>
        <w:jc w:val="center"/>
        <w:outlineLvl w:val="1"/>
        <w:rPr>
          <w:rFonts w:eastAsia="Times New Roman" w:cs="Arial"/>
          <w:b/>
          <w:bCs/>
          <w:lang w:val="en" w:eastAsia="en-AU"/>
        </w:rPr>
      </w:pPr>
      <w:r>
        <w:rPr>
          <w:rFonts w:eastAsia="Times New Roman" w:cs="Arial"/>
          <w:b/>
          <w:bCs/>
          <w:lang w:val="en" w:eastAsia="en-AU"/>
        </w:rPr>
        <w:t>ACCC ASSESSMENT</w:t>
      </w:r>
    </w:p>
    <w:p w:rsidR="00A72531" w:rsidRDefault="006052A1" w:rsidP="00A72531">
      <w:pPr>
        <w:spacing w:before="100" w:beforeAutospacing="1" w:after="100" w:afterAutospacing="1"/>
        <w:outlineLvl w:val="1"/>
        <w:rPr>
          <w:rFonts w:eastAsia="Times New Roman" w:cs="Arial"/>
          <w:b/>
          <w:bCs/>
          <w:lang w:val="en" w:eastAsia="en-AU"/>
        </w:rPr>
      </w:pPr>
      <w:r>
        <w:rPr>
          <w:rFonts w:eastAsia="Times New Roman" w:cs="Arial"/>
          <w:b/>
          <w:bCs/>
          <w:lang w:val="en" w:eastAsia="en-AU"/>
        </w:rPr>
        <w:t>The Application</w:t>
      </w:r>
    </w:p>
    <w:p w:rsidR="006052A1" w:rsidRPr="007623A7" w:rsidRDefault="006052A1" w:rsidP="006052A1">
      <w:pPr>
        <w:pStyle w:val="Bullet1"/>
        <w:numPr>
          <w:ilvl w:val="0"/>
          <w:numId w:val="38"/>
        </w:numPr>
        <w:spacing w:before="120" w:after="120"/>
        <w:ind w:left="357" w:hanging="357"/>
        <w:rPr>
          <w:rFonts w:asciiTheme="minorHAnsi" w:hAnsiTheme="minorHAnsi" w:cstheme="minorHAnsi"/>
          <w:b/>
          <w:bCs/>
          <w:sz w:val="22"/>
          <w:szCs w:val="22"/>
          <w:lang w:val="en"/>
        </w:rPr>
      </w:pPr>
      <w:r w:rsidRPr="006052A1">
        <w:rPr>
          <w:rFonts w:asciiTheme="minorHAnsi" w:hAnsiTheme="minorHAnsi" w:cstheme="minorHAnsi"/>
          <w:sz w:val="22"/>
          <w:szCs w:val="22"/>
          <w:lang w:val="en"/>
        </w:rPr>
        <w:t>National Roads and Motorists Association</w:t>
      </w:r>
      <w:r w:rsidR="00EC032F">
        <w:rPr>
          <w:rFonts w:asciiTheme="minorHAnsi" w:hAnsiTheme="minorHAnsi" w:cstheme="minorHAnsi"/>
          <w:sz w:val="22"/>
          <w:szCs w:val="22"/>
          <w:lang w:val="en"/>
        </w:rPr>
        <w:t>’s</w:t>
      </w:r>
      <w:r w:rsidRPr="006052A1">
        <w:rPr>
          <w:rFonts w:asciiTheme="minorHAnsi" w:hAnsiTheme="minorHAnsi" w:cstheme="minorHAnsi"/>
          <w:sz w:val="22"/>
          <w:szCs w:val="22"/>
          <w:lang w:val="en"/>
        </w:rPr>
        <w:t xml:space="preserve"> (NRMA) certification trade mark is intended to assist </w:t>
      </w:r>
      <w:r w:rsidR="00804D9D">
        <w:rPr>
          <w:rFonts w:asciiTheme="minorHAnsi" w:hAnsiTheme="minorHAnsi" w:cstheme="minorHAnsi"/>
          <w:sz w:val="22"/>
          <w:szCs w:val="22"/>
          <w:lang w:val="en"/>
        </w:rPr>
        <w:t>consumers to make informed decisions</w:t>
      </w:r>
      <w:r w:rsidRPr="006052A1">
        <w:rPr>
          <w:rFonts w:asciiTheme="minorHAnsi" w:hAnsiTheme="minorHAnsi" w:cstheme="minorHAnsi"/>
          <w:sz w:val="22"/>
          <w:szCs w:val="22"/>
          <w:lang w:val="en"/>
        </w:rPr>
        <w:t xml:space="preserve"> about Home Support, Care Homes and Retirement Villages</w:t>
      </w:r>
      <w:r>
        <w:rPr>
          <w:rFonts w:asciiTheme="minorHAnsi" w:hAnsiTheme="minorHAnsi" w:cstheme="minorHAnsi"/>
          <w:sz w:val="22"/>
          <w:szCs w:val="22"/>
          <w:lang w:val="en"/>
        </w:rPr>
        <w:t xml:space="preserve"> (Service Providers)</w:t>
      </w:r>
      <w:r w:rsidRPr="006052A1">
        <w:rPr>
          <w:rFonts w:asciiTheme="minorHAnsi" w:hAnsiTheme="minorHAnsi" w:cstheme="minorHAnsi"/>
          <w:sz w:val="22"/>
          <w:szCs w:val="22"/>
          <w:lang w:val="en"/>
        </w:rPr>
        <w:t xml:space="preserve">.  </w:t>
      </w:r>
    </w:p>
    <w:p w:rsidR="005C01D1" w:rsidRPr="0018269F" w:rsidRDefault="005C01D1" w:rsidP="005C01D1">
      <w:pPr>
        <w:pStyle w:val="Bullet1"/>
        <w:numPr>
          <w:ilvl w:val="0"/>
          <w:numId w:val="38"/>
        </w:numPr>
        <w:spacing w:before="120" w:after="120"/>
        <w:ind w:left="357" w:hanging="357"/>
        <w:rPr>
          <w:rFonts w:asciiTheme="minorHAnsi" w:hAnsiTheme="minorHAnsi" w:cstheme="minorHAnsi"/>
          <w:b/>
          <w:bCs/>
          <w:sz w:val="22"/>
          <w:szCs w:val="22"/>
          <w:lang w:val="en"/>
        </w:rPr>
      </w:pPr>
      <w:r>
        <w:rPr>
          <w:rFonts w:asciiTheme="minorHAnsi" w:hAnsiTheme="minorHAnsi" w:cstheme="minorHAnsi"/>
          <w:sz w:val="22"/>
          <w:szCs w:val="22"/>
          <w:lang w:val="en"/>
        </w:rPr>
        <w:t>Service Providers that apply to use the certification trade mark (CTM)</w:t>
      </w:r>
      <w:r w:rsidR="0018269F">
        <w:rPr>
          <w:rFonts w:asciiTheme="minorHAnsi" w:hAnsiTheme="minorHAnsi" w:cstheme="minorHAnsi"/>
          <w:sz w:val="22"/>
          <w:szCs w:val="22"/>
          <w:lang w:val="en"/>
        </w:rPr>
        <w:t xml:space="preserve"> and </w:t>
      </w:r>
      <w:r w:rsidR="007623A7">
        <w:rPr>
          <w:rFonts w:asciiTheme="minorHAnsi" w:hAnsiTheme="minorHAnsi" w:cstheme="minorHAnsi"/>
          <w:sz w:val="22"/>
          <w:szCs w:val="22"/>
          <w:lang w:val="en"/>
        </w:rPr>
        <w:t>attain a good to excellent customer engagement rating will</w:t>
      </w:r>
      <w:r w:rsidR="0018269F">
        <w:rPr>
          <w:rFonts w:asciiTheme="minorHAnsi" w:hAnsiTheme="minorHAnsi" w:cstheme="minorHAnsi"/>
          <w:sz w:val="22"/>
          <w:szCs w:val="22"/>
          <w:lang w:val="en"/>
        </w:rPr>
        <w:t xml:space="preserve"> be given an “</w:t>
      </w:r>
      <w:r w:rsidR="007623A7">
        <w:rPr>
          <w:rFonts w:asciiTheme="minorHAnsi" w:hAnsiTheme="minorHAnsi" w:cstheme="minorHAnsi"/>
          <w:sz w:val="22"/>
          <w:szCs w:val="22"/>
          <w:lang w:val="en"/>
        </w:rPr>
        <w:t>Owl R</w:t>
      </w:r>
      <w:r w:rsidR="0018269F">
        <w:rPr>
          <w:rFonts w:asciiTheme="minorHAnsi" w:hAnsiTheme="minorHAnsi" w:cstheme="minorHAnsi"/>
          <w:sz w:val="22"/>
          <w:szCs w:val="22"/>
          <w:lang w:val="en"/>
        </w:rPr>
        <w:t xml:space="preserve">ating” ranging from </w:t>
      </w:r>
      <w:r w:rsidRPr="006052A1">
        <w:rPr>
          <w:rFonts w:asciiTheme="minorHAnsi" w:hAnsiTheme="minorHAnsi" w:cstheme="minorHAnsi"/>
          <w:sz w:val="22"/>
          <w:szCs w:val="22"/>
          <w:lang w:val="en"/>
        </w:rPr>
        <w:t>one owl (good levels of engagement) to three owls (excellent levels of engagement</w:t>
      </w:r>
      <w:r>
        <w:rPr>
          <w:rFonts w:asciiTheme="minorHAnsi" w:hAnsiTheme="minorHAnsi" w:cstheme="minorHAnsi"/>
          <w:sz w:val="22"/>
          <w:szCs w:val="22"/>
          <w:lang w:val="en"/>
        </w:rPr>
        <w:t>).</w:t>
      </w:r>
    </w:p>
    <w:p w:rsidR="0018269F" w:rsidRPr="0018269F" w:rsidRDefault="0018269F" w:rsidP="0018269F">
      <w:pPr>
        <w:pStyle w:val="ListParagraph"/>
        <w:numPr>
          <w:ilvl w:val="0"/>
          <w:numId w:val="0"/>
        </w:numPr>
        <w:spacing w:after="240"/>
        <w:ind w:left="360"/>
        <w:rPr>
          <w:rFonts w:cs="Arial"/>
        </w:rPr>
      </w:pPr>
      <w:r w:rsidRPr="00515077">
        <w:rPr>
          <w:noProof/>
          <w:lang w:eastAsia="en-AU"/>
        </w:rPr>
        <w:drawing>
          <wp:inline distT="0" distB="0" distL="0" distR="0" wp14:anchorId="115F16C0" wp14:editId="07F88577">
            <wp:extent cx="1447800" cy="495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 grouped.jpg"/>
                    <pic:cNvPicPr/>
                  </pic:nvPicPr>
                  <pic:blipFill rotWithShape="1">
                    <a:blip r:embed="rId10" cstate="print">
                      <a:extLst>
                        <a:ext uri="{28A0092B-C50C-407E-A947-70E740481C1C}">
                          <a14:useLocalDpi xmlns:a14="http://schemas.microsoft.com/office/drawing/2010/main" val="0"/>
                        </a:ext>
                      </a:extLst>
                    </a:blip>
                    <a:srcRect r="40433" b="-130"/>
                    <a:stretch/>
                  </pic:blipFill>
                  <pic:spPr bwMode="auto">
                    <a:xfrm>
                      <a:off x="0" y="0"/>
                      <a:ext cx="1461661" cy="500509"/>
                    </a:xfrm>
                    <a:prstGeom prst="rect">
                      <a:avLst/>
                    </a:prstGeom>
                    <a:ln>
                      <a:noFill/>
                    </a:ln>
                    <a:extLst>
                      <a:ext uri="{53640926-AAD7-44D8-BBD7-CCE9431645EC}">
                        <a14:shadowObscured xmlns:a14="http://schemas.microsoft.com/office/drawing/2010/main"/>
                      </a:ext>
                    </a:extLst>
                  </pic:spPr>
                </pic:pic>
              </a:graphicData>
            </a:graphic>
          </wp:inline>
        </w:drawing>
      </w:r>
    </w:p>
    <w:p w:rsidR="0018269F" w:rsidRPr="0018269F" w:rsidRDefault="007623A7" w:rsidP="0018269F">
      <w:pPr>
        <w:pStyle w:val="Bullet1"/>
        <w:numPr>
          <w:ilvl w:val="0"/>
          <w:numId w:val="38"/>
        </w:numPr>
        <w:spacing w:before="120" w:after="120"/>
        <w:ind w:left="357" w:hanging="357"/>
        <w:rPr>
          <w:rFonts w:asciiTheme="minorHAnsi" w:hAnsiTheme="minorHAnsi" w:cstheme="minorHAnsi"/>
          <w:sz w:val="22"/>
          <w:szCs w:val="22"/>
        </w:rPr>
      </w:pPr>
      <w:r>
        <w:rPr>
          <w:rFonts w:asciiTheme="minorHAnsi" w:hAnsiTheme="minorHAnsi" w:cstheme="minorHAnsi"/>
          <w:sz w:val="22"/>
          <w:szCs w:val="22"/>
          <w:lang w:val="en"/>
        </w:rPr>
        <w:t>NRMA state</w:t>
      </w:r>
      <w:r w:rsidR="00EC032F">
        <w:rPr>
          <w:rFonts w:asciiTheme="minorHAnsi" w:hAnsiTheme="minorHAnsi" w:cstheme="minorHAnsi"/>
          <w:sz w:val="22"/>
          <w:szCs w:val="22"/>
          <w:lang w:val="en"/>
        </w:rPr>
        <w:t>s</w:t>
      </w:r>
      <w:r w:rsidR="0018269F">
        <w:rPr>
          <w:rFonts w:asciiTheme="minorHAnsi" w:hAnsiTheme="minorHAnsi" w:cstheme="minorHAnsi"/>
          <w:sz w:val="22"/>
          <w:szCs w:val="22"/>
          <w:lang w:val="en"/>
        </w:rPr>
        <w:t xml:space="preserve"> that </w:t>
      </w:r>
      <w:r w:rsidR="0018269F" w:rsidRPr="0018269F">
        <w:rPr>
          <w:rFonts w:asciiTheme="minorHAnsi" w:hAnsiTheme="minorHAnsi" w:cstheme="minorHAnsi"/>
          <w:sz w:val="22"/>
          <w:szCs w:val="22"/>
        </w:rPr>
        <w:t xml:space="preserve">Service Providers </w:t>
      </w:r>
      <w:r>
        <w:rPr>
          <w:rFonts w:asciiTheme="minorHAnsi" w:hAnsiTheme="minorHAnsi" w:cstheme="minorHAnsi"/>
          <w:sz w:val="22"/>
          <w:szCs w:val="22"/>
        </w:rPr>
        <w:t>will be</w:t>
      </w:r>
      <w:r w:rsidR="0018269F" w:rsidRPr="0018269F">
        <w:rPr>
          <w:rFonts w:asciiTheme="minorHAnsi" w:hAnsiTheme="minorHAnsi" w:cstheme="minorHAnsi"/>
          <w:sz w:val="22"/>
          <w:szCs w:val="22"/>
        </w:rPr>
        <w:t xml:space="preserve"> rated on factors that drive high levels of customer engagement.  The</w:t>
      </w:r>
      <w:r>
        <w:rPr>
          <w:rFonts w:asciiTheme="minorHAnsi" w:hAnsiTheme="minorHAnsi" w:cstheme="minorHAnsi"/>
          <w:sz w:val="22"/>
          <w:szCs w:val="22"/>
        </w:rPr>
        <w:t xml:space="preserve"> NRMA advi</w:t>
      </w:r>
      <w:r w:rsidR="0018269F" w:rsidRPr="0018269F">
        <w:rPr>
          <w:rFonts w:asciiTheme="minorHAnsi" w:hAnsiTheme="minorHAnsi" w:cstheme="minorHAnsi"/>
          <w:sz w:val="22"/>
          <w:szCs w:val="22"/>
        </w:rPr>
        <w:t>se</w:t>
      </w:r>
      <w:r w:rsidR="00EC032F">
        <w:rPr>
          <w:rFonts w:asciiTheme="minorHAnsi" w:hAnsiTheme="minorHAnsi" w:cstheme="minorHAnsi"/>
          <w:sz w:val="22"/>
          <w:szCs w:val="22"/>
        </w:rPr>
        <w:t>s</w:t>
      </w:r>
      <w:r>
        <w:rPr>
          <w:rFonts w:asciiTheme="minorHAnsi" w:hAnsiTheme="minorHAnsi" w:cstheme="minorHAnsi"/>
          <w:sz w:val="22"/>
          <w:szCs w:val="22"/>
        </w:rPr>
        <w:t xml:space="preserve"> that these</w:t>
      </w:r>
      <w:r w:rsidR="0018269F" w:rsidRPr="0018269F">
        <w:rPr>
          <w:rFonts w:asciiTheme="minorHAnsi" w:hAnsiTheme="minorHAnsi" w:cstheme="minorHAnsi"/>
          <w:sz w:val="22"/>
          <w:szCs w:val="22"/>
        </w:rPr>
        <w:t xml:space="preserve"> factors have been chosen because empirical evidence shows </w:t>
      </w:r>
      <w:r w:rsidR="0018269F">
        <w:rPr>
          <w:rFonts w:asciiTheme="minorHAnsi" w:hAnsiTheme="minorHAnsi" w:cstheme="minorHAnsi"/>
          <w:sz w:val="22"/>
          <w:szCs w:val="22"/>
        </w:rPr>
        <w:t xml:space="preserve">that </w:t>
      </w:r>
      <w:r w:rsidR="0018269F" w:rsidRPr="0018269F">
        <w:rPr>
          <w:rFonts w:asciiTheme="minorHAnsi" w:hAnsiTheme="minorHAnsi" w:cstheme="minorHAnsi"/>
          <w:sz w:val="22"/>
          <w:szCs w:val="22"/>
        </w:rPr>
        <w:t xml:space="preserve">customers who are fully engaged are more likely to be happy with the service they receive and recommend it to others as well as improving the financial performance of providers. </w:t>
      </w:r>
    </w:p>
    <w:p w:rsidR="0033317C" w:rsidRPr="0033317C" w:rsidRDefault="0018269F" w:rsidP="006052A1">
      <w:pPr>
        <w:pStyle w:val="Bullet1"/>
        <w:numPr>
          <w:ilvl w:val="0"/>
          <w:numId w:val="38"/>
        </w:numPr>
        <w:spacing w:before="120" w:after="120"/>
        <w:ind w:left="357" w:hanging="357"/>
        <w:rPr>
          <w:rFonts w:asciiTheme="minorHAnsi" w:hAnsiTheme="minorHAnsi" w:cstheme="minorHAnsi"/>
          <w:b/>
          <w:bCs/>
          <w:sz w:val="22"/>
          <w:szCs w:val="22"/>
          <w:lang w:val="en"/>
        </w:rPr>
      </w:pPr>
      <w:r>
        <w:rPr>
          <w:rFonts w:asciiTheme="minorHAnsi" w:hAnsiTheme="minorHAnsi" w:cstheme="minorHAnsi"/>
          <w:sz w:val="22"/>
          <w:szCs w:val="22"/>
          <w:lang w:val="en"/>
        </w:rPr>
        <w:t xml:space="preserve">The rating will be determined by </w:t>
      </w:r>
      <w:r w:rsidR="006052A1" w:rsidRPr="006052A1">
        <w:rPr>
          <w:rFonts w:asciiTheme="minorHAnsi" w:hAnsiTheme="minorHAnsi" w:cstheme="minorHAnsi"/>
          <w:sz w:val="22"/>
          <w:szCs w:val="22"/>
          <w:lang w:val="en"/>
        </w:rPr>
        <w:t>NRMA, assisted by Gallup Organisation Pty Ltd and COTA Australia Ltd</w:t>
      </w:r>
      <w:r>
        <w:rPr>
          <w:rFonts w:asciiTheme="minorHAnsi" w:hAnsiTheme="minorHAnsi" w:cstheme="minorHAnsi"/>
          <w:sz w:val="22"/>
          <w:szCs w:val="22"/>
          <w:lang w:val="en"/>
        </w:rPr>
        <w:t xml:space="preserve">.  </w:t>
      </w:r>
      <w:r w:rsidR="007623A7">
        <w:rPr>
          <w:rFonts w:asciiTheme="minorHAnsi" w:hAnsiTheme="minorHAnsi" w:cstheme="minorHAnsi"/>
          <w:sz w:val="22"/>
          <w:szCs w:val="22"/>
          <w:lang w:val="en"/>
        </w:rPr>
        <w:t>Further details about the rating process are</w:t>
      </w:r>
      <w:r>
        <w:rPr>
          <w:rFonts w:asciiTheme="minorHAnsi" w:hAnsiTheme="minorHAnsi" w:cstheme="minorHAnsi"/>
          <w:sz w:val="22"/>
          <w:szCs w:val="22"/>
          <w:lang w:val="en"/>
        </w:rPr>
        <w:t xml:space="preserve"> provided in the CTM Rules</w:t>
      </w:r>
      <w:r w:rsidR="0033317C">
        <w:rPr>
          <w:rFonts w:asciiTheme="minorHAnsi" w:hAnsiTheme="minorHAnsi" w:cstheme="minorHAnsi"/>
          <w:sz w:val="22"/>
          <w:szCs w:val="22"/>
          <w:lang w:val="en"/>
        </w:rPr>
        <w:t>.</w:t>
      </w:r>
    </w:p>
    <w:p w:rsidR="006052A1" w:rsidRPr="00A72531" w:rsidRDefault="006052A1" w:rsidP="00A72531">
      <w:pPr>
        <w:spacing w:before="100" w:beforeAutospacing="1" w:after="100" w:afterAutospacing="1"/>
        <w:outlineLvl w:val="1"/>
        <w:rPr>
          <w:rFonts w:eastAsia="Times New Roman" w:cs="Arial"/>
          <w:b/>
          <w:bCs/>
          <w:lang w:val="en" w:eastAsia="en-AU"/>
        </w:rPr>
      </w:pPr>
      <w:r>
        <w:rPr>
          <w:rFonts w:eastAsia="Times New Roman" w:cs="Arial"/>
          <w:b/>
          <w:bCs/>
          <w:lang w:val="en" w:eastAsia="en-AU"/>
        </w:rPr>
        <w:t>Consultation</w:t>
      </w:r>
    </w:p>
    <w:p w:rsidR="00A72531" w:rsidRDefault="00A72531" w:rsidP="00DF1E3F">
      <w:pPr>
        <w:pStyle w:val="Bullet1"/>
        <w:numPr>
          <w:ilvl w:val="0"/>
          <w:numId w:val="38"/>
        </w:numPr>
        <w:spacing w:before="120" w:after="120"/>
        <w:ind w:left="357" w:hanging="357"/>
        <w:rPr>
          <w:rFonts w:ascii="Arial" w:hAnsi="Arial" w:cs="Arial"/>
          <w:sz w:val="22"/>
          <w:szCs w:val="22"/>
        </w:rPr>
      </w:pPr>
      <w:r w:rsidRPr="00DF1E3F">
        <w:rPr>
          <w:rFonts w:ascii="Arial" w:hAnsi="Arial" w:cs="Arial"/>
          <w:sz w:val="22"/>
          <w:szCs w:val="22"/>
        </w:rPr>
        <w:t>The ACCC publicly consulted with industry bodies, large aged care providers, resident associations, private health insurance companies, relevant government departments and consumer organisations.</w:t>
      </w:r>
    </w:p>
    <w:p w:rsidR="009539E8" w:rsidRPr="009539E8" w:rsidRDefault="009539E8" w:rsidP="009539E8">
      <w:pPr>
        <w:pStyle w:val="Bullet1"/>
        <w:numPr>
          <w:ilvl w:val="0"/>
          <w:numId w:val="0"/>
        </w:numPr>
        <w:spacing w:before="120" w:after="120"/>
        <w:rPr>
          <w:rFonts w:ascii="Arial" w:hAnsi="Arial" w:cs="Arial"/>
          <w:i/>
          <w:sz w:val="22"/>
          <w:szCs w:val="22"/>
        </w:rPr>
      </w:pPr>
      <w:r>
        <w:rPr>
          <w:rFonts w:ascii="Arial" w:hAnsi="Arial" w:cs="Arial"/>
          <w:i/>
          <w:sz w:val="22"/>
          <w:szCs w:val="22"/>
        </w:rPr>
        <w:t>Submissions</w:t>
      </w:r>
    </w:p>
    <w:p w:rsidR="00C82207" w:rsidRDefault="00A72531" w:rsidP="00DF1E3F">
      <w:pPr>
        <w:pStyle w:val="Bullet1"/>
        <w:numPr>
          <w:ilvl w:val="0"/>
          <w:numId w:val="38"/>
        </w:numPr>
        <w:spacing w:before="120" w:after="120"/>
        <w:ind w:left="357" w:hanging="357"/>
        <w:rPr>
          <w:rFonts w:cs="Arial"/>
        </w:rPr>
      </w:pPr>
      <w:r w:rsidRPr="00DF1E3F">
        <w:rPr>
          <w:rFonts w:ascii="Arial" w:hAnsi="Arial" w:cs="Arial"/>
          <w:sz w:val="22"/>
          <w:szCs w:val="22"/>
        </w:rPr>
        <w:t>T</w:t>
      </w:r>
      <w:r w:rsidR="00C82207" w:rsidRPr="00DF1E3F">
        <w:rPr>
          <w:rFonts w:ascii="Arial" w:hAnsi="Arial" w:cs="Arial"/>
          <w:sz w:val="22"/>
          <w:szCs w:val="22"/>
        </w:rPr>
        <w:t xml:space="preserve">he ACCC received two public submissions (Residents of Retirement Villages Victoria and Western Australian Retirement Villages Residents Association </w:t>
      </w:r>
      <w:proofErr w:type="spellStart"/>
      <w:r w:rsidR="00C82207" w:rsidRPr="00DF1E3F">
        <w:rPr>
          <w:rFonts w:ascii="Arial" w:hAnsi="Arial" w:cs="Arial"/>
          <w:sz w:val="22"/>
          <w:szCs w:val="22"/>
        </w:rPr>
        <w:t>Inc</w:t>
      </w:r>
      <w:proofErr w:type="spellEnd"/>
      <w:r w:rsidR="00C82207" w:rsidRPr="00DF1E3F">
        <w:rPr>
          <w:rFonts w:ascii="Arial" w:hAnsi="Arial" w:cs="Arial"/>
          <w:sz w:val="22"/>
          <w:szCs w:val="22"/>
        </w:rPr>
        <w:t>) and one confidential submission</w:t>
      </w:r>
      <w:r w:rsidR="00C82207">
        <w:rPr>
          <w:rFonts w:cs="Arial"/>
        </w:rPr>
        <w:t>.</w:t>
      </w:r>
    </w:p>
    <w:p w:rsidR="00C82207" w:rsidRPr="007E0ED3" w:rsidRDefault="00A72531" w:rsidP="00C82207">
      <w:pPr>
        <w:pStyle w:val="Bullet1"/>
        <w:numPr>
          <w:ilvl w:val="0"/>
          <w:numId w:val="38"/>
        </w:numPr>
        <w:spacing w:before="120" w:after="120"/>
        <w:ind w:left="357" w:hanging="357"/>
        <w:rPr>
          <w:rFonts w:ascii="Arial" w:hAnsi="Arial" w:cs="Arial"/>
          <w:sz w:val="22"/>
          <w:szCs w:val="22"/>
        </w:rPr>
      </w:pPr>
      <w:r>
        <w:rPr>
          <w:rFonts w:ascii="Arial" w:hAnsi="Arial" w:cs="Arial"/>
          <w:sz w:val="22"/>
          <w:szCs w:val="22"/>
        </w:rPr>
        <w:t>P</w:t>
      </w:r>
      <w:r w:rsidR="00C82207" w:rsidRPr="007E0ED3">
        <w:rPr>
          <w:rFonts w:ascii="Arial" w:hAnsi="Arial" w:cs="Arial"/>
          <w:sz w:val="22"/>
          <w:szCs w:val="22"/>
        </w:rPr>
        <w:t xml:space="preserve">arties </w:t>
      </w:r>
      <w:r w:rsidR="00C82207">
        <w:rPr>
          <w:rFonts w:ascii="Arial" w:hAnsi="Arial" w:cs="Arial"/>
          <w:sz w:val="22"/>
          <w:szCs w:val="22"/>
        </w:rPr>
        <w:t xml:space="preserve">primarily </w:t>
      </w:r>
      <w:r w:rsidR="00C82207" w:rsidRPr="007E0ED3">
        <w:rPr>
          <w:rFonts w:ascii="Arial" w:hAnsi="Arial" w:cs="Arial"/>
          <w:sz w:val="22"/>
          <w:szCs w:val="22"/>
        </w:rPr>
        <w:t>raised concerns that the Scheme may mislead consumers and cause them to make decisions based on incorrect assumptions</w:t>
      </w:r>
      <w:r w:rsidR="00C82207">
        <w:rPr>
          <w:rFonts w:ascii="Arial" w:hAnsi="Arial" w:cs="Arial"/>
          <w:sz w:val="22"/>
          <w:szCs w:val="22"/>
        </w:rPr>
        <w:t>.  A summary of the main points raised in submissions is outlined below</w:t>
      </w:r>
      <w:r w:rsidR="00C82207" w:rsidRPr="007E0ED3">
        <w:rPr>
          <w:rFonts w:ascii="Arial" w:hAnsi="Arial" w:cs="Arial"/>
          <w:sz w:val="22"/>
          <w:szCs w:val="22"/>
        </w:rPr>
        <w:t>:</w:t>
      </w:r>
    </w:p>
    <w:p w:rsidR="00C82207" w:rsidRPr="007E0ED3" w:rsidRDefault="00C82207" w:rsidP="00C82207">
      <w:pPr>
        <w:pStyle w:val="Bullet1"/>
        <w:numPr>
          <w:ilvl w:val="1"/>
          <w:numId w:val="39"/>
        </w:numPr>
        <w:spacing w:before="120" w:after="120"/>
        <w:rPr>
          <w:rFonts w:ascii="Arial" w:hAnsi="Arial" w:cs="Arial"/>
          <w:sz w:val="22"/>
          <w:szCs w:val="22"/>
        </w:rPr>
      </w:pPr>
      <w:r w:rsidRPr="007E0ED3">
        <w:rPr>
          <w:rFonts w:ascii="Arial" w:hAnsi="Arial" w:cs="Arial"/>
          <w:sz w:val="22"/>
          <w:szCs w:val="22"/>
        </w:rPr>
        <w:t>Making decisions about aged care providers are significant and cannot be compared to booking accommodation in a holiday resort</w:t>
      </w:r>
      <w:r>
        <w:rPr>
          <w:rFonts w:ascii="Arial" w:hAnsi="Arial" w:cs="Arial"/>
          <w:sz w:val="22"/>
          <w:szCs w:val="22"/>
        </w:rPr>
        <w:t>.</w:t>
      </w:r>
    </w:p>
    <w:p w:rsidR="00C82207" w:rsidRPr="007E0ED3" w:rsidRDefault="00C82207" w:rsidP="00C82207">
      <w:pPr>
        <w:pStyle w:val="Bullet1"/>
        <w:numPr>
          <w:ilvl w:val="1"/>
          <w:numId w:val="39"/>
        </w:numPr>
        <w:spacing w:before="120" w:after="120"/>
        <w:rPr>
          <w:rFonts w:ascii="Arial" w:hAnsi="Arial" w:cs="Arial"/>
          <w:sz w:val="22"/>
          <w:szCs w:val="22"/>
        </w:rPr>
      </w:pPr>
      <w:r w:rsidRPr="007E0ED3">
        <w:rPr>
          <w:rFonts w:ascii="Arial" w:hAnsi="Arial" w:cs="Arial"/>
          <w:sz w:val="22"/>
          <w:szCs w:val="22"/>
        </w:rPr>
        <w:t xml:space="preserve">People who require </w:t>
      </w:r>
      <w:proofErr w:type="gramStart"/>
      <w:r w:rsidRPr="007E0ED3">
        <w:rPr>
          <w:rFonts w:ascii="Arial" w:hAnsi="Arial" w:cs="Arial"/>
          <w:sz w:val="22"/>
          <w:szCs w:val="22"/>
        </w:rPr>
        <w:t>care are</w:t>
      </w:r>
      <w:proofErr w:type="gramEnd"/>
      <w:r w:rsidRPr="007E0ED3">
        <w:rPr>
          <w:rFonts w:ascii="Arial" w:hAnsi="Arial" w:cs="Arial"/>
          <w:sz w:val="22"/>
          <w:szCs w:val="22"/>
        </w:rPr>
        <w:t xml:space="preserve"> vulnerable, have complex needs which vary significantly and a rating system will not accurately provide consumers with the information they need</w:t>
      </w:r>
      <w:r>
        <w:rPr>
          <w:rFonts w:ascii="Arial" w:hAnsi="Arial" w:cs="Arial"/>
          <w:sz w:val="22"/>
          <w:szCs w:val="22"/>
        </w:rPr>
        <w:t>.</w:t>
      </w:r>
    </w:p>
    <w:p w:rsidR="00C82207" w:rsidRPr="007E0ED3" w:rsidRDefault="00C82207" w:rsidP="00C82207">
      <w:pPr>
        <w:pStyle w:val="Bullet1"/>
        <w:numPr>
          <w:ilvl w:val="1"/>
          <w:numId w:val="39"/>
        </w:numPr>
        <w:spacing w:before="120" w:after="120"/>
        <w:rPr>
          <w:rFonts w:ascii="Arial" w:hAnsi="Arial" w:cs="Arial"/>
          <w:sz w:val="22"/>
          <w:szCs w:val="22"/>
        </w:rPr>
      </w:pPr>
      <w:r w:rsidRPr="007E0ED3">
        <w:rPr>
          <w:rFonts w:ascii="Arial" w:hAnsi="Arial" w:cs="Arial"/>
          <w:sz w:val="22"/>
          <w:szCs w:val="22"/>
        </w:rPr>
        <w:t>Consumers may assume the rating relates to the quality of health care provided and therefore make inappropriate decisions</w:t>
      </w:r>
      <w:r>
        <w:rPr>
          <w:rFonts w:ascii="Arial" w:hAnsi="Arial" w:cs="Arial"/>
          <w:sz w:val="22"/>
          <w:szCs w:val="22"/>
        </w:rPr>
        <w:t>.</w:t>
      </w:r>
    </w:p>
    <w:p w:rsidR="00C82207" w:rsidRPr="007E0ED3" w:rsidRDefault="00C82207" w:rsidP="00C82207">
      <w:pPr>
        <w:pStyle w:val="Bullet1"/>
        <w:numPr>
          <w:ilvl w:val="1"/>
          <w:numId w:val="39"/>
        </w:numPr>
        <w:spacing w:before="120" w:after="120"/>
        <w:rPr>
          <w:rFonts w:ascii="Arial" w:hAnsi="Arial" w:cs="Arial"/>
          <w:sz w:val="22"/>
          <w:szCs w:val="22"/>
        </w:rPr>
      </w:pPr>
      <w:r w:rsidRPr="007E0ED3">
        <w:rPr>
          <w:rFonts w:ascii="Arial" w:hAnsi="Arial" w:cs="Arial"/>
          <w:sz w:val="22"/>
          <w:szCs w:val="22"/>
        </w:rPr>
        <w:t>The different services are rated in a very similar way when they are not comparable</w:t>
      </w:r>
      <w:r>
        <w:rPr>
          <w:rFonts w:ascii="Arial" w:hAnsi="Arial" w:cs="Arial"/>
          <w:sz w:val="22"/>
          <w:szCs w:val="22"/>
        </w:rPr>
        <w:t>.</w:t>
      </w:r>
    </w:p>
    <w:p w:rsidR="00C82207" w:rsidRPr="007E0ED3" w:rsidRDefault="00C82207" w:rsidP="00C82207">
      <w:pPr>
        <w:pStyle w:val="Bullet1"/>
        <w:numPr>
          <w:ilvl w:val="1"/>
          <w:numId w:val="39"/>
        </w:numPr>
        <w:spacing w:before="120" w:after="120"/>
        <w:rPr>
          <w:rFonts w:ascii="Arial" w:hAnsi="Arial" w:cs="Arial"/>
          <w:sz w:val="22"/>
          <w:szCs w:val="22"/>
        </w:rPr>
      </w:pPr>
      <w:r w:rsidRPr="007E0ED3">
        <w:rPr>
          <w:rFonts w:ascii="Arial" w:hAnsi="Arial" w:cs="Arial"/>
          <w:sz w:val="22"/>
          <w:szCs w:val="22"/>
        </w:rPr>
        <w:t>Consumers may assume that Service Providers who choose not to be rated have been unable to attain a rating, or that they offer a lower quality of service compared to those with a rating</w:t>
      </w:r>
      <w:r>
        <w:rPr>
          <w:rFonts w:ascii="Arial" w:hAnsi="Arial" w:cs="Arial"/>
          <w:sz w:val="22"/>
          <w:szCs w:val="22"/>
        </w:rPr>
        <w:t xml:space="preserve">. </w:t>
      </w:r>
    </w:p>
    <w:p w:rsidR="00C82207" w:rsidRPr="007E0ED3" w:rsidRDefault="00C82207" w:rsidP="00C82207">
      <w:pPr>
        <w:pStyle w:val="Bullet1"/>
        <w:numPr>
          <w:ilvl w:val="1"/>
          <w:numId w:val="39"/>
        </w:numPr>
        <w:spacing w:before="120" w:after="120"/>
        <w:rPr>
          <w:rFonts w:ascii="Arial" w:hAnsi="Arial" w:cs="Arial"/>
          <w:sz w:val="22"/>
          <w:szCs w:val="22"/>
        </w:rPr>
      </w:pPr>
      <w:r>
        <w:rPr>
          <w:rFonts w:ascii="Arial" w:hAnsi="Arial" w:cs="Arial"/>
          <w:sz w:val="22"/>
          <w:szCs w:val="22"/>
        </w:rPr>
        <w:lastRenderedPageBreak/>
        <w:t>F</w:t>
      </w:r>
      <w:r w:rsidRPr="007E0ED3">
        <w:rPr>
          <w:rFonts w:ascii="Arial" w:hAnsi="Arial" w:cs="Arial"/>
          <w:sz w:val="22"/>
          <w:szCs w:val="22"/>
        </w:rPr>
        <w:t>acilities that cannot afford to be rated will be disadvantaged</w:t>
      </w:r>
      <w:r>
        <w:rPr>
          <w:rFonts w:ascii="Arial" w:hAnsi="Arial" w:cs="Arial"/>
          <w:sz w:val="22"/>
          <w:szCs w:val="22"/>
        </w:rPr>
        <w:t>.</w:t>
      </w:r>
    </w:p>
    <w:p w:rsidR="00C82207" w:rsidRPr="007E0ED3" w:rsidRDefault="00C82207" w:rsidP="00C82207">
      <w:pPr>
        <w:pStyle w:val="Bullet1"/>
        <w:numPr>
          <w:ilvl w:val="1"/>
          <w:numId w:val="39"/>
        </w:numPr>
        <w:spacing w:before="120" w:after="120"/>
        <w:rPr>
          <w:rFonts w:ascii="Arial" w:hAnsi="Arial" w:cs="Arial"/>
          <w:sz w:val="22"/>
          <w:szCs w:val="22"/>
        </w:rPr>
      </w:pPr>
      <w:r>
        <w:rPr>
          <w:rFonts w:ascii="Arial" w:hAnsi="Arial" w:cs="Arial"/>
          <w:sz w:val="22"/>
          <w:szCs w:val="22"/>
        </w:rPr>
        <w:t>There will be confusion with</w:t>
      </w:r>
      <w:r w:rsidRPr="007E0ED3">
        <w:rPr>
          <w:rFonts w:ascii="Arial" w:hAnsi="Arial" w:cs="Arial"/>
          <w:sz w:val="22"/>
          <w:szCs w:val="22"/>
        </w:rPr>
        <w:t xml:space="preserve"> accreditation schemes used in retirement villages</w:t>
      </w:r>
      <w:r>
        <w:rPr>
          <w:rFonts w:ascii="Arial" w:hAnsi="Arial" w:cs="Arial"/>
          <w:sz w:val="22"/>
          <w:szCs w:val="22"/>
        </w:rPr>
        <w:t>.</w:t>
      </w:r>
    </w:p>
    <w:p w:rsidR="00C82207" w:rsidRDefault="00C82207" w:rsidP="00C82207">
      <w:pPr>
        <w:pStyle w:val="Bullet1"/>
        <w:numPr>
          <w:ilvl w:val="0"/>
          <w:numId w:val="38"/>
        </w:numPr>
        <w:spacing w:before="120" w:after="120"/>
        <w:ind w:left="357" w:hanging="357"/>
        <w:rPr>
          <w:rFonts w:ascii="Arial" w:hAnsi="Arial" w:cs="Arial"/>
          <w:sz w:val="22"/>
          <w:szCs w:val="22"/>
        </w:rPr>
      </w:pPr>
      <w:r w:rsidRPr="007E0ED3">
        <w:rPr>
          <w:rFonts w:ascii="Arial" w:hAnsi="Arial" w:cs="Arial"/>
          <w:sz w:val="22"/>
          <w:szCs w:val="22"/>
        </w:rPr>
        <w:t xml:space="preserve">Concern was also raised in relation to the rating methodology.  In particular, there was concern that the Service Provider self-selects the consumers to be interviewed and this may be open to manipulation.  Further, </w:t>
      </w:r>
      <w:proofErr w:type="gramStart"/>
      <w:r w:rsidRPr="007E0ED3">
        <w:rPr>
          <w:rFonts w:ascii="Arial" w:hAnsi="Arial" w:cs="Arial"/>
          <w:sz w:val="22"/>
          <w:szCs w:val="22"/>
        </w:rPr>
        <w:t>that dementia patients</w:t>
      </w:r>
      <w:proofErr w:type="gramEnd"/>
      <w:r w:rsidRPr="007E0ED3">
        <w:rPr>
          <w:rFonts w:ascii="Arial" w:hAnsi="Arial" w:cs="Arial"/>
          <w:sz w:val="22"/>
          <w:szCs w:val="22"/>
        </w:rPr>
        <w:t xml:space="preserve"> who make up over 50% of residents in aged care facilities</w:t>
      </w:r>
      <w:r>
        <w:rPr>
          <w:rFonts w:ascii="Arial" w:hAnsi="Arial" w:cs="Arial"/>
          <w:sz w:val="22"/>
          <w:szCs w:val="22"/>
        </w:rPr>
        <w:t>,</w:t>
      </w:r>
      <w:r w:rsidRPr="007E0ED3">
        <w:rPr>
          <w:rFonts w:ascii="Arial" w:hAnsi="Arial" w:cs="Arial"/>
          <w:sz w:val="22"/>
          <w:szCs w:val="22"/>
        </w:rPr>
        <w:t xml:space="preserve"> may be excluded from participating, or </w:t>
      </w:r>
      <w:r>
        <w:rPr>
          <w:rFonts w:ascii="Arial" w:hAnsi="Arial" w:cs="Arial"/>
          <w:sz w:val="22"/>
          <w:szCs w:val="22"/>
        </w:rPr>
        <w:t xml:space="preserve">will </w:t>
      </w:r>
      <w:r w:rsidRPr="007E0ED3">
        <w:rPr>
          <w:rFonts w:ascii="Arial" w:hAnsi="Arial" w:cs="Arial"/>
          <w:sz w:val="22"/>
          <w:szCs w:val="22"/>
        </w:rPr>
        <w:t xml:space="preserve">not </w:t>
      </w:r>
      <w:r>
        <w:rPr>
          <w:rFonts w:ascii="Arial" w:hAnsi="Arial" w:cs="Arial"/>
          <w:sz w:val="22"/>
          <w:szCs w:val="22"/>
        </w:rPr>
        <w:t xml:space="preserve">be </w:t>
      </w:r>
      <w:r w:rsidRPr="007E0ED3">
        <w:rPr>
          <w:rFonts w:ascii="Arial" w:hAnsi="Arial" w:cs="Arial"/>
          <w:sz w:val="22"/>
          <w:szCs w:val="22"/>
        </w:rPr>
        <w:t xml:space="preserve">taken into account in the rating process which may impact the accuracy of the results and </w:t>
      </w:r>
      <w:r>
        <w:rPr>
          <w:rFonts w:ascii="Arial" w:hAnsi="Arial" w:cs="Arial"/>
          <w:sz w:val="22"/>
          <w:szCs w:val="22"/>
        </w:rPr>
        <w:t xml:space="preserve">therefore </w:t>
      </w:r>
      <w:r w:rsidRPr="007E0ED3">
        <w:rPr>
          <w:rFonts w:ascii="Arial" w:hAnsi="Arial" w:cs="Arial"/>
          <w:sz w:val="22"/>
          <w:szCs w:val="22"/>
        </w:rPr>
        <w:t>potentially mislead consumers.</w:t>
      </w:r>
    </w:p>
    <w:p w:rsidR="00C82207" w:rsidRDefault="00C82207" w:rsidP="00C82207">
      <w:pPr>
        <w:pStyle w:val="Bullet1"/>
        <w:numPr>
          <w:ilvl w:val="0"/>
          <w:numId w:val="38"/>
        </w:numPr>
        <w:spacing w:before="120" w:after="120"/>
        <w:ind w:left="357" w:hanging="357"/>
        <w:rPr>
          <w:rFonts w:ascii="Arial" w:hAnsi="Arial" w:cs="Arial"/>
          <w:sz w:val="22"/>
          <w:szCs w:val="22"/>
        </w:rPr>
      </w:pPr>
      <w:r>
        <w:rPr>
          <w:rFonts w:ascii="Arial" w:hAnsi="Arial" w:cs="Arial"/>
          <w:sz w:val="22"/>
          <w:szCs w:val="22"/>
        </w:rPr>
        <w:t>Finally, concern was raised that the certification fee will be added to residents’ monthly maintenance fees, thereby adding to the financial burden of aged care residents.</w:t>
      </w:r>
    </w:p>
    <w:p w:rsidR="00C82207" w:rsidRPr="00C82207" w:rsidRDefault="00C82207" w:rsidP="00C82207">
      <w:pPr>
        <w:pStyle w:val="Bullet1"/>
        <w:numPr>
          <w:ilvl w:val="0"/>
          <w:numId w:val="0"/>
        </w:numPr>
        <w:spacing w:before="120" w:after="120"/>
        <w:rPr>
          <w:rFonts w:ascii="Arial" w:hAnsi="Arial" w:cs="Arial"/>
          <w:i/>
          <w:sz w:val="22"/>
          <w:szCs w:val="22"/>
        </w:rPr>
      </w:pPr>
      <w:r w:rsidRPr="00C82207">
        <w:rPr>
          <w:rFonts w:ascii="Arial" w:hAnsi="Arial" w:cs="Arial"/>
          <w:i/>
          <w:sz w:val="22"/>
          <w:szCs w:val="22"/>
        </w:rPr>
        <w:t>NRMA’s response to concerns</w:t>
      </w:r>
    </w:p>
    <w:p w:rsidR="00C82207" w:rsidRPr="000A294B" w:rsidRDefault="00C82207" w:rsidP="00C82207">
      <w:pPr>
        <w:pStyle w:val="Bullet1"/>
        <w:numPr>
          <w:ilvl w:val="0"/>
          <w:numId w:val="38"/>
        </w:numPr>
        <w:spacing w:before="120" w:after="120"/>
        <w:ind w:left="357" w:hanging="357"/>
        <w:rPr>
          <w:rFonts w:ascii="Arial" w:hAnsi="Arial" w:cs="Arial"/>
          <w:sz w:val="22"/>
          <w:szCs w:val="22"/>
        </w:rPr>
      </w:pPr>
      <w:r w:rsidRPr="000A294B">
        <w:rPr>
          <w:rFonts w:ascii="Arial" w:hAnsi="Arial" w:cs="Arial"/>
          <w:sz w:val="22"/>
          <w:szCs w:val="22"/>
        </w:rPr>
        <w:t xml:space="preserve">NRMA </w:t>
      </w:r>
      <w:r>
        <w:rPr>
          <w:rFonts w:ascii="Arial" w:hAnsi="Arial" w:cs="Arial"/>
          <w:sz w:val="22"/>
          <w:szCs w:val="22"/>
        </w:rPr>
        <w:t>responded</w:t>
      </w:r>
      <w:r w:rsidRPr="000A294B">
        <w:rPr>
          <w:rFonts w:ascii="Arial" w:hAnsi="Arial" w:cs="Arial"/>
          <w:sz w:val="22"/>
          <w:szCs w:val="22"/>
        </w:rPr>
        <w:t xml:space="preserve"> </w:t>
      </w:r>
      <w:r>
        <w:rPr>
          <w:rFonts w:ascii="Arial" w:hAnsi="Arial" w:cs="Arial"/>
          <w:sz w:val="22"/>
          <w:szCs w:val="22"/>
        </w:rPr>
        <w:t xml:space="preserve">to the concerns raised by parties.  </w:t>
      </w:r>
      <w:r w:rsidR="005E3D5F">
        <w:rPr>
          <w:rFonts w:ascii="Arial" w:hAnsi="Arial" w:cs="Arial"/>
          <w:sz w:val="22"/>
          <w:szCs w:val="22"/>
        </w:rPr>
        <w:t xml:space="preserve">NRMA submitted </w:t>
      </w:r>
      <w:r w:rsidRPr="000A294B">
        <w:rPr>
          <w:rFonts w:ascii="Arial" w:hAnsi="Arial" w:cs="Arial"/>
          <w:sz w:val="22"/>
          <w:szCs w:val="22"/>
        </w:rPr>
        <w:t xml:space="preserve">that it has introduced the Owl Rating in response to strong member feedback that </w:t>
      </w:r>
      <w:r w:rsidR="005E3D5F">
        <w:rPr>
          <w:rFonts w:ascii="Arial" w:hAnsi="Arial" w:cs="Arial"/>
          <w:sz w:val="22"/>
          <w:szCs w:val="22"/>
        </w:rPr>
        <w:t>its members</w:t>
      </w:r>
      <w:r w:rsidR="00D83F31">
        <w:rPr>
          <w:rFonts w:ascii="Arial" w:hAnsi="Arial" w:cs="Arial"/>
          <w:sz w:val="22"/>
          <w:szCs w:val="22"/>
        </w:rPr>
        <w:t xml:space="preserve"> find it difficult to locate</w:t>
      </w:r>
      <w:r w:rsidRPr="000A294B">
        <w:rPr>
          <w:rFonts w:ascii="Arial" w:hAnsi="Arial" w:cs="Arial"/>
          <w:sz w:val="22"/>
          <w:szCs w:val="22"/>
        </w:rPr>
        <w:t xml:space="preserve"> independent information from a consumer perspective about aged care and retirement living.  NRMA </w:t>
      </w:r>
      <w:r w:rsidR="005E3D5F">
        <w:rPr>
          <w:rFonts w:ascii="Arial" w:hAnsi="Arial" w:cs="Arial"/>
          <w:sz w:val="22"/>
          <w:szCs w:val="22"/>
        </w:rPr>
        <w:t>also clarified</w:t>
      </w:r>
      <w:r w:rsidRPr="000A294B">
        <w:rPr>
          <w:rFonts w:ascii="Arial" w:hAnsi="Arial" w:cs="Arial"/>
          <w:sz w:val="22"/>
          <w:szCs w:val="22"/>
        </w:rPr>
        <w:t xml:space="preserve"> that the Owl Rating is not an accreditation scheme and should not be confused with aged care regulation for quality and clinical standards but rather </w:t>
      </w:r>
      <w:r w:rsidR="005E3D5F">
        <w:rPr>
          <w:rFonts w:ascii="Arial" w:hAnsi="Arial" w:cs="Arial"/>
          <w:sz w:val="22"/>
          <w:szCs w:val="22"/>
        </w:rPr>
        <w:t>it is intended to operate</w:t>
      </w:r>
      <w:r w:rsidRPr="000A294B">
        <w:rPr>
          <w:rFonts w:ascii="Arial" w:hAnsi="Arial" w:cs="Arial"/>
          <w:sz w:val="22"/>
          <w:szCs w:val="22"/>
        </w:rPr>
        <w:t xml:space="preserve"> alongside existing government or industry accreditation or certification schemes.  </w:t>
      </w:r>
    </w:p>
    <w:p w:rsidR="00C82207" w:rsidRPr="005E3D5F" w:rsidRDefault="005E3D5F" w:rsidP="00C82207">
      <w:pPr>
        <w:pStyle w:val="Bullet1"/>
        <w:numPr>
          <w:ilvl w:val="0"/>
          <w:numId w:val="38"/>
        </w:numPr>
        <w:spacing w:before="120" w:after="120"/>
        <w:ind w:left="357" w:hanging="357"/>
        <w:rPr>
          <w:rFonts w:ascii="Arial" w:hAnsi="Arial" w:cs="Arial"/>
          <w:sz w:val="22"/>
          <w:szCs w:val="22"/>
        </w:rPr>
      </w:pPr>
      <w:r w:rsidRPr="005E3D5F">
        <w:rPr>
          <w:rFonts w:ascii="Arial" w:hAnsi="Arial" w:cs="Arial"/>
          <w:sz w:val="22"/>
          <w:szCs w:val="22"/>
        </w:rPr>
        <w:t>The NRMA confirmed that</w:t>
      </w:r>
      <w:r>
        <w:rPr>
          <w:rFonts w:ascii="Arial" w:hAnsi="Arial" w:cs="Arial"/>
          <w:sz w:val="22"/>
          <w:szCs w:val="22"/>
        </w:rPr>
        <w:t xml:space="preserve"> t</w:t>
      </w:r>
      <w:r w:rsidR="00C82207" w:rsidRPr="005E3D5F">
        <w:rPr>
          <w:rFonts w:ascii="Arial" w:hAnsi="Arial" w:cs="Arial"/>
          <w:sz w:val="22"/>
          <w:szCs w:val="22"/>
        </w:rPr>
        <w:t xml:space="preserve">o be eligible to be rated, a Service Provider must also be governed by the </w:t>
      </w:r>
      <w:r w:rsidR="00C82207" w:rsidRPr="005E3D5F">
        <w:rPr>
          <w:rFonts w:ascii="Arial" w:hAnsi="Arial" w:cs="Arial"/>
          <w:i/>
          <w:sz w:val="22"/>
          <w:szCs w:val="22"/>
        </w:rPr>
        <w:t>Commonwealth Aged Care Act 1997</w:t>
      </w:r>
      <w:r w:rsidR="00C82207" w:rsidRPr="005E3D5F">
        <w:rPr>
          <w:rFonts w:ascii="Arial" w:hAnsi="Arial" w:cs="Arial"/>
          <w:sz w:val="22"/>
          <w:szCs w:val="22"/>
        </w:rPr>
        <w:t xml:space="preserve"> and/or Retirement Living legislation in each respective State and Territory.  The Service Provider must have an ABN for verification purposes and comply with all relevant government or appropriate industry accreditation or certification schemes.</w:t>
      </w:r>
    </w:p>
    <w:p w:rsidR="00C82207" w:rsidRDefault="00C82207" w:rsidP="00C82207">
      <w:pPr>
        <w:pStyle w:val="Bullet1"/>
        <w:numPr>
          <w:ilvl w:val="0"/>
          <w:numId w:val="38"/>
        </w:numPr>
        <w:spacing w:before="120" w:after="120"/>
        <w:ind w:left="357" w:hanging="357"/>
        <w:rPr>
          <w:rFonts w:ascii="Arial" w:hAnsi="Arial" w:cs="Arial"/>
          <w:sz w:val="22"/>
          <w:szCs w:val="22"/>
        </w:rPr>
      </w:pPr>
      <w:r w:rsidRPr="007A5C9E">
        <w:rPr>
          <w:rFonts w:ascii="Arial" w:hAnsi="Arial" w:cs="Arial"/>
          <w:sz w:val="22"/>
          <w:szCs w:val="22"/>
        </w:rPr>
        <w:t>A</w:t>
      </w:r>
      <w:r w:rsidR="005E3D5F">
        <w:rPr>
          <w:rFonts w:ascii="Arial" w:hAnsi="Arial" w:cs="Arial"/>
          <w:sz w:val="22"/>
          <w:szCs w:val="22"/>
        </w:rPr>
        <w:t>s part of the application, a Service Provider</w:t>
      </w:r>
      <w:r w:rsidRPr="007A5C9E">
        <w:rPr>
          <w:rFonts w:ascii="Arial" w:hAnsi="Arial" w:cs="Arial"/>
          <w:sz w:val="22"/>
          <w:szCs w:val="22"/>
        </w:rPr>
        <w:t xml:space="preserve"> must provide the Scheme Operator a list of </w:t>
      </w:r>
      <w:r>
        <w:rPr>
          <w:rFonts w:ascii="Arial" w:hAnsi="Arial" w:cs="Arial"/>
          <w:sz w:val="22"/>
          <w:szCs w:val="22"/>
        </w:rPr>
        <w:t xml:space="preserve">at least 70% of </w:t>
      </w:r>
      <w:r w:rsidRPr="007A5C9E">
        <w:rPr>
          <w:rFonts w:ascii="Arial" w:hAnsi="Arial" w:cs="Arial"/>
          <w:sz w:val="22"/>
          <w:szCs w:val="22"/>
        </w:rPr>
        <w:t>consumers</w:t>
      </w:r>
      <w:r>
        <w:rPr>
          <w:rFonts w:ascii="Arial" w:hAnsi="Arial" w:cs="Arial"/>
          <w:sz w:val="22"/>
          <w:szCs w:val="22"/>
        </w:rPr>
        <w:t xml:space="preserve"> (including carers or decision makers)</w:t>
      </w:r>
      <w:r w:rsidRPr="007A5C9E">
        <w:rPr>
          <w:rFonts w:ascii="Arial" w:hAnsi="Arial" w:cs="Arial"/>
          <w:sz w:val="22"/>
          <w:szCs w:val="22"/>
        </w:rPr>
        <w:t xml:space="preserve"> that use the service and their contact details.</w:t>
      </w:r>
    </w:p>
    <w:p w:rsidR="00C82207" w:rsidRPr="00D3285C" w:rsidRDefault="00C82207" w:rsidP="00C82207">
      <w:pPr>
        <w:pStyle w:val="Bullet1"/>
        <w:numPr>
          <w:ilvl w:val="0"/>
          <w:numId w:val="38"/>
        </w:numPr>
        <w:spacing w:before="120" w:after="120"/>
        <w:ind w:left="357" w:hanging="357"/>
        <w:rPr>
          <w:rFonts w:ascii="Arial" w:hAnsi="Arial" w:cs="Arial"/>
          <w:sz w:val="22"/>
          <w:szCs w:val="22"/>
        </w:rPr>
      </w:pPr>
      <w:r w:rsidRPr="00C669B0">
        <w:rPr>
          <w:rFonts w:ascii="Arial" w:hAnsi="Arial" w:cs="Arial"/>
          <w:sz w:val="22"/>
          <w:szCs w:val="22"/>
        </w:rPr>
        <w:t>NRMA and Ga</w:t>
      </w:r>
      <w:r>
        <w:rPr>
          <w:rFonts w:ascii="Arial" w:hAnsi="Arial" w:cs="Arial"/>
          <w:sz w:val="22"/>
          <w:szCs w:val="22"/>
        </w:rPr>
        <w:t>l</w:t>
      </w:r>
      <w:r w:rsidRPr="00C669B0">
        <w:rPr>
          <w:rFonts w:ascii="Arial" w:hAnsi="Arial" w:cs="Arial"/>
          <w:sz w:val="22"/>
          <w:szCs w:val="22"/>
        </w:rPr>
        <w:t>lup provided further detail about the requirement to provide details of at least 70% of consumers</w:t>
      </w:r>
      <w:r>
        <w:rPr>
          <w:rFonts w:ascii="Arial" w:hAnsi="Arial" w:cs="Arial"/>
          <w:sz w:val="22"/>
          <w:szCs w:val="22"/>
        </w:rPr>
        <w:t xml:space="preserve"> for the purpose of surveying them</w:t>
      </w:r>
      <w:r w:rsidRPr="00C669B0">
        <w:rPr>
          <w:rFonts w:ascii="Arial" w:hAnsi="Arial" w:cs="Arial"/>
          <w:sz w:val="22"/>
          <w:szCs w:val="22"/>
        </w:rPr>
        <w:t>.  NRMA advised that Gallup receives a full list of residents and their contact details at a particular village from NRMA.  However, some consumers are not eligible to be surveyed (for example</w:t>
      </w:r>
      <w:r w:rsidR="005E3D5F">
        <w:rPr>
          <w:rFonts w:ascii="Arial" w:hAnsi="Arial" w:cs="Arial"/>
          <w:sz w:val="22"/>
          <w:szCs w:val="22"/>
        </w:rPr>
        <w:t xml:space="preserve"> because</w:t>
      </w:r>
      <w:r w:rsidRPr="00C669B0">
        <w:rPr>
          <w:rFonts w:ascii="Arial" w:hAnsi="Arial" w:cs="Arial"/>
          <w:sz w:val="22"/>
          <w:szCs w:val="22"/>
        </w:rPr>
        <w:t xml:space="preserve"> the resident has requested to be marked as ‘Do Not Call’, the unit is unoccupied, or it has been indicated that the resident has a health condition that prevents them from responding </w:t>
      </w:r>
      <w:r w:rsidRPr="00D3285C">
        <w:rPr>
          <w:rFonts w:ascii="Arial" w:hAnsi="Arial" w:cs="Arial"/>
          <w:sz w:val="22"/>
          <w:szCs w:val="22"/>
        </w:rPr>
        <w:t>to a survey and the resident does not have a decision maker who is able or willing to respond to the survey). Gallup then works with the available sample of residents that can be called. This needs to be at least 70% of the total population of the village to be statistically representative. Gallup then has interview quotas based on the size of the village. These quotas are calculated based on reaching an acceptable margin of error.</w:t>
      </w:r>
    </w:p>
    <w:p w:rsidR="00C82207" w:rsidRPr="00C669B0" w:rsidRDefault="00C82207" w:rsidP="00C82207">
      <w:pPr>
        <w:pStyle w:val="Bullet1"/>
        <w:numPr>
          <w:ilvl w:val="0"/>
          <w:numId w:val="38"/>
        </w:numPr>
        <w:spacing w:before="120" w:after="120"/>
        <w:ind w:left="357" w:hanging="357"/>
        <w:rPr>
          <w:rFonts w:ascii="Arial" w:hAnsi="Arial" w:cs="Arial"/>
          <w:sz w:val="22"/>
          <w:szCs w:val="22"/>
        </w:rPr>
      </w:pPr>
      <w:r w:rsidRPr="00D3285C">
        <w:rPr>
          <w:rFonts w:ascii="Arial" w:hAnsi="Arial" w:cs="Arial"/>
          <w:sz w:val="22"/>
          <w:szCs w:val="22"/>
        </w:rPr>
        <w:t>NRMA submits that Gallup’s methods are consistent with industry best practice</w:t>
      </w:r>
      <w:r w:rsidR="005E3D5F" w:rsidRPr="00D3285C">
        <w:rPr>
          <w:rFonts w:ascii="Arial" w:hAnsi="Arial" w:cs="Arial"/>
          <w:sz w:val="22"/>
          <w:szCs w:val="22"/>
        </w:rPr>
        <w:t xml:space="preserve"> and that</w:t>
      </w:r>
      <w:r w:rsidRPr="00D3285C">
        <w:rPr>
          <w:rFonts w:ascii="Arial" w:hAnsi="Arial" w:cs="Arial"/>
          <w:sz w:val="22"/>
          <w:szCs w:val="22"/>
        </w:rPr>
        <w:t xml:space="preserve"> the 70% threshold is rigorously</w:t>
      </w:r>
      <w:r w:rsidRPr="00C669B0">
        <w:rPr>
          <w:rFonts w:ascii="Arial" w:hAnsi="Arial" w:cs="Arial"/>
          <w:sz w:val="22"/>
          <w:szCs w:val="22"/>
        </w:rPr>
        <w:t xml:space="preserve"> applied</w:t>
      </w:r>
      <w:r w:rsidR="005E3D5F">
        <w:rPr>
          <w:rFonts w:ascii="Arial" w:hAnsi="Arial" w:cs="Arial"/>
          <w:sz w:val="22"/>
          <w:szCs w:val="22"/>
        </w:rPr>
        <w:t>.  NRMA advised</w:t>
      </w:r>
      <w:r>
        <w:rPr>
          <w:rFonts w:ascii="Arial" w:hAnsi="Arial" w:cs="Arial"/>
          <w:sz w:val="22"/>
          <w:szCs w:val="22"/>
        </w:rPr>
        <w:t xml:space="preserve"> that </w:t>
      </w:r>
      <w:r w:rsidRPr="00C669B0">
        <w:rPr>
          <w:rFonts w:ascii="Arial" w:hAnsi="Arial" w:cs="Arial"/>
          <w:sz w:val="22"/>
          <w:szCs w:val="22"/>
        </w:rPr>
        <w:t xml:space="preserve">several facilities have had difficulty </w:t>
      </w:r>
      <w:r>
        <w:rPr>
          <w:rFonts w:ascii="Arial" w:hAnsi="Arial" w:cs="Arial"/>
          <w:sz w:val="22"/>
          <w:szCs w:val="22"/>
        </w:rPr>
        <w:t xml:space="preserve">meeting the minimum threshold of </w:t>
      </w:r>
      <w:r w:rsidRPr="00C669B0">
        <w:rPr>
          <w:rFonts w:ascii="Arial" w:hAnsi="Arial" w:cs="Arial"/>
          <w:sz w:val="22"/>
          <w:szCs w:val="22"/>
        </w:rPr>
        <w:t xml:space="preserve">70% </w:t>
      </w:r>
      <w:r>
        <w:rPr>
          <w:rFonts w:ascii="Arial" w:hAnsi="Arial" w:cs="Arial"/>
          <w:sz w:val="22"/>
          <w:szCs w:val="22"/>
        </w:rPr>
        <w:t xml:space="preserve">of residents </w:t>
      </w:r>
      <w:r w:rsidRPr="00C669B0">
        <w:rPr>
          <w:rFonts w:ascii="Arial" w:hAnsi="Arial" w:cs="Arial"/>
          <w:sz w:val="22"/>
          <w:szCs w:val="22"/>
        </w:rPr>
        <w:t>for interviews, which means they are ineligible to be rated.</w:t>
      </w:r>
    </w:p>
    <w:p w:rsidR="00C82207" w:rsidRDefault="00C82207" w:rsidP="00C82207">
      <w:pPr>
        <w:pStyle w:val="Bullet1"/>
        <w:numPr>
          <w:ilvl w:val="0"/>
          <w:numId w:val="38"/>
        </w:numPr>
        <w:spacing w:before="120" w:after="120"/>
        <w:ind w:left="357" w:hanging="357"/>
        <w:rPr>
          <w:rFonts w:ascii="Arial" w:hAnsi="Arial" w:cs="Arial"/>
          <w:sz w:val="22"/>
          <w:szCs w:val="22"/>
        </w:rPr>
      </w:pPr>
      <w:r>
        <w:rPr>
          <w:rFonts w:ascii="Arial" w:hAnsi="Arial" w:cs="Arial"/>
          <w:sz w:val="22"/>
          <w:szCs w:val="22"/>
        </w:rPr>
        <w:t>NRMA submits that the fee</w:t>
      </w:r>
      <w:r w:rsidR="00046739">
        <w:rPr>
          <w:rFonts w:ascii="Arial" w:hAnsi="Arial" w:cs="Arial"/>
          <w:sz w:val="22"/>
          <w:szCs w:val="22"/>
        </w:rPr>
        <w:t>s</w:t>
      </w:r>
      <w:r>
        <w:rPr>
          <w:rFonts w:ascii="Arial" w:hAnsi="Arial" w:cs="Arial"/>
          <w:sz w:val="22"/>
          <w:szCs w:val="22"/>
        </w:rPr>
        <w:t xml:space="preserve"> for the Owl Rating process are intended to be set at a level that is accessible to most Service Providers and at present </w:t>
      </w:r>
      <w:r w:rsidR="00046739">
        <w:rPr>
          <w:rFonts w:ascii="Arial" w:hAnsi="Arial" w:cs="Arial"/>
          <w:sz w:val="22"/>
          <w:szCs w:val="22"/>
        </w:rPr>
        <w:t xml:space="preserve">the fee for </w:t>
      </w:r>
      <w:r>
        <w:rPr>
          <w:rFonts w:ascii="Arial" w:hAnsi="Arial" w:cs="Arial"/>
          <w:sz w:val="22"/>
          <w:szCs w:val="22"/>
        </w:rPr>
        <w:t>retirement villages with fewer than 99 units is $2900 excluding GST, and with more than 99 units is $3900 excluding GST and instalment payment plans are offered to Service Providers.</w:t>
      </w:r>
    </w:p>
    <w:p w:rsidR="00520B9B" w:rsidRDefault="00520B9B" w:rsidP="00C82207">
      <w:pPr>
        <w:pStyle w:val="Bullet1"/>
        <w:numPr>
          <w:ilvl w:val="0"/>
          <w:numId w:val="38"/>
        </w:numPr>
        <w:spacing w:before="120" w:after="120"/>
        <w:ind w:left="357" w:hanging="357"/>
        <w:rPr>
          <w:rFonts w:ascii="Arial" w:hAnsi="Arial" w:cs="Arial"/>
          <w:sz w:val="22"/>
          <w:szCs w:val="22"/>
        </w:rPr>
      </w:pPr>
      <w:r>
        <w:rPr>
          <w:rFonts w:ascii="Arial" w:hAnsi="Arial" w:cs="Arial"/>
          <w:sz w:val="22"/>
          <w:szCs w:val="22"/>
        </w:rPr>
        <w:t>A link to NRMA’s response can be found on the Consultation home page.</w:t>
      </w:r>
    </w:p>
    <w:p w:rsidR="00804D9D" w:rsidRDefault="00804D9D" w:rsidP="00804D9D">
      <w:pPr>
        <w:pStyle w:val="Bullet1"/>
        <w:numPr>
          <w:ilvl w:val="0"/>
          <w:numId w:val="0"/>
        </w:numPr>
        <w:spacing w:before="120" w:after="120"/>
        <w:ind w:left="360" w:hanging="360"/>
        <w:rPr>
          <w:rFonts w:ascii="Arial" w:hAnsi="Arial" w:cs="Arial"/>
          <w:sz w:val="22"/>
          <w:szCs w:val="22"/>
        </w:rPr>
      </w:pPr>
    </w:p>
    <w:p w:rsidR="00804D9D" w:rsidRDefault="00804D9D" w:rsidP="00804D9D">
      <w:pPr>
        <w:pStyle w:val="Bullet1"/>
        <w:numPr>
          <w:ilvl w:val="0"/>
          <w:numId w:val="0"/>
        </w:numPr>
        <w:spacing w:before="120" w:after="120"/>
        <w:ind w:left="360" w:hanging="360"/>
        <w:rPr>
          <w:rFonts w:ascii="Arial" w:hAnsi="Arial" w:cs="Arial"/>
          <w:sz w:val="22"/>
          <w:szCs w:val="22"/>
        </w:rPr>
      </w:pPr>
    </w:p>
    <w:p w:rsidR="00520B9B" w:rsidRPr="006052A1" w:rsidRDefault="00520B9B" w:rsidP="00520B9B">
      <w:pPr>
        <w:pStyle w:val="Bullet1"/>
        <w:numPr>
          <w:ilvl w:val="0"/>
          <w:numId w:val="0"/>
        </w:numPr>
        <w:spacing w:before="120" w:after="120"/>
        <w:rPr>
          <w:rFonts w:ascii="Arial" w:hAnsi="Arial" w:cs="Arial"/>
          <w:b/>
          <w:sz w:val="22"/>
          <w:szCs w:val="22"/>
        </w:rPr>
      </w:pPr>
      <w:r w:rsidRPr="006052A1">
        <w:rPr>
          <w:rFonts w:ascii="Arial" w:hAnsi="Arial" w:cs="Arial"/>
          <w:b/>
          <w:sz w:val="22"/>
          <w:szCs w:val="22"/>
        </w:rPr>
        <w:lastRenderedPageBreak/>
        <w:t>ACCC Assessment</w:t>
      </w:r>
    </w:p>
    <w:p w:rsidR="00520B9B" w:rsidRPr="00520B9B" w:rsidRDefault="006052A1" w:rsidP="00520B9B">
      <w:pPr>
        <w:pStyle w:val="Bullet1"/>
        <w:numPr>
          <w:ilvl w:val="0"/>
          <w:numId w:val="38"/>
        </w:numPr>
        <w:tabs>
          <w:tab w:val="clear" w:pos="360"/>
          <w:tab w:val="num" w:pos="426"/>
        </w:tabs>
        <w:spacing w:before="240" w:after="0"/>
        <w:ind w:left="426" w:hanging="426"/>
        <w:rPr>
          <w:rFonts w:ascii="Arial" w:hAnsi="Arial" w:cs="Arial"/>
          <w:sz w:val="22"/>
          <w:szCs w:val="22"/>
        </w:rPr>
      </w:pPr>
      <w:r>
        <w:rPr>
          <w:rFonts w:ascii="Arial" w:hAnsi="Arial" w:cs="Arial"/>
          <w:sz w:val="22"/>
          <w:szCs w:val="22"/>
        </w:rPr>
        <w:t>The ACCC wa</w:t>
      </w:r>
      <w:r w:rsidR="00520B9B" w:rsidRPr="00520B9B">
        <w:rPr>
          <w:rFonts w:ascii="Arial" w:hAnsi="Arial" w:cs="Arial"/>
          <w:sz w:val="22"/>
          <w:szCs w:val="22"/>
        </w:rPr>
        <w:t xml:space="preserve">s satisfied that the CTM Rules which seek to assist consumers to identify aged care services with a high degree of customer satisfaction are unlikely to be misleading or deceptive to consumers. </w:t>
      </w:r>
      <w:r>
        <w:rPr>
          <w:rFonts w:ascii="Arial" w:hAnsi="Arial" w:cs="Arial"/>
          <w:sz w:val="22"/>
          <w:szCs w:val="22"/>
        </w:rPr>
        <w:t xml:space="preserve"> The ACCC noted</w:t>
      </w:r>
      <w:r w:rsidR="00520B9B" w:rsidRPr="00520B9B">
        <w:rPr>
          <w:rFonts w:ascii="Arial" w:hAnsi="Arial" w:cs="Arial"/>
          <w:sz w:val="22"/>
          <w:szCs w:val="22"/>
        </w:rPr>
        <w:t xml:space="preserve"> that </w:t>
      </w:r>
      <w:r w:rsidR="00C7765F">
        <w:rPr>
          <w:rFonts w:ascii="Arial" w:hAnsi="Arial" w:cs="Arial"/>
          <w:sz w:val="22"/>
          <w:szCs w:val="22"/>
        </w:rPr>
        <w:t>the Owl Rating</w:t>
      </w:r>
      <w:r w:rsidR="00520B9B" w:rsidRPr="00520B9B">
        <w:rPr>
          <w:rFonts w:ascii="Arial" w:hAnsi="Arial" w:cs="Arial"/>
          <w:sz w:val="22"/>
          <w:szCs w:val="22"/>
        </w:rPr>
        <w:t xml:space="preserve"> is not </w:t>
      </w:r>
      <w:r w:rsidR="00C7765F">
        <w:rPr>
          <w:rFonts w:ascii="Arial" w:hAnsi="Arial" w:cs="Arial"/>
          <w:sz w:val="22"/>
          <w:szCs w:val="22"/>
        </w:rPr>
        <w:t>intended to provide accreditation for aged care providers but rather it is intended to indicate Service Providers that have attained a good to excellent customer engagement rating</w:t>
      </w:r>
      <w:r w:rsidR="00520B9B" w:rsidRPr="00520B9B">
        <w:rPr>
          <w:rFonts w:ascii="Arial" w:hAnsi="Arial" w:cs="Arial"/>
          <w:sz w:val="22"/>
          <w:szCs w:val="22"/>
        </w:rPr>
        <w:t>.</w:t>
      </w:r>
      <w:r w:rsidR="00C7765F">
        <w:rPr>
          <w:rFonts w:ascii="Arial" w:hAnsi="Arial" w:cs="Arial"/>
          <w:sz w:val="22"/>
          <w:szCs w:val="22"/>
        </w:rPr>
        <w:t xml:space="preserve">  </w:t>
      </w:r>
      <w:r w:rsidR="00F322C7">
        <w:rPr>
          <w:rFonts w:ascii="Arial" w:hAnsi="Arial" w:cs="Arial"/>
          <w:sz w:val="22"/>
          <w:szCs w:val="22"/>
        </w:rPr>
        <w:t>Customer engagement can be used to measure customer loyalty and satisfaction with a service provider.</w:t>
      </w:r>
      <w:r w:rsidR="00520B9B" w:rsidRPr="00520B9B">
        <w:rPr>
          <w:rFonts w:ascii="Arial" w:hAnsi="Arial" w:cs="Arial"/>
          <w:sz w:val="22"/>
          <w:szCs w:val="22"/>
        </w:rPr>
        <w:t xml:space="preserve">  </w:t>
      </w:r>
      <w:r w:rsidR="00F322C7">
        <w:rPr>
          <w:rFonts w:ascii="Arial" w:hAnsi="Arial" w:cs="Arial"/>
          <w:sz w:val="22"/>
          <w:szCs w:val="22"/>
        </w:rPr>
        <w:t>NRMA’s</w:t>
      </w:r>
      <w:r w:rsidR="00520B9B" w:rsidRPr="00520B9B">
        <w:rPr>
          <w:rFonts w:ascii="Arial" w:hAnsi="Arial" w:cs="Arial"/>
          <w:sz w:val="22"/>
          <w:szCs w:val="22"/>
        </w:rPr>
        <w:t xml:space="preserve"> </w:t>
      </w:r>
      <w:r w:rsidR="00F322C7">
        <w:rPr>
          <w:rFonts w:ascii="Arial" w:hAnsi="Arial" w:cs="Arial"/>
          <w:sz w:val="22"/>
          <w:szCs w:val="22"/>
        </w:rPr>
        <w:t>“</w:t>
      </w:r>
      <w:r w:rsidR="00520B9B" w:rsidRPr="00520B9B">
        <w:rPr>
          <w:rFonts w:ascii="Arial" w:hAnsi="Arial" w:cs="Arial"/>
          <w:sz w:val="22"/>
          <w:szCs w:val="22"/>
        </w:rPr>
        <w:t>Living Well Navigator</w:t>
      </w:r>
      <w:r w:rsidR="00F322C7">
        <w:rPr>
          <w:rFonts w:ascii="Arial" w:hAnsi="Arial" w:cs="Arial"/>
          <w:sz w:val="22"/>
          <w:szCs w:val="22"/>
        </w:rPr>
        <w:t>”</w:t>
      </w:r>
      <w:r w:rsidR="00520B9B" w:rsidRPr="00520B9B">
        <w:rPr>
          <w:rFonts w:ascii="Arial" w:hAnsi="Arial" w:cs="Arial"/>
          <w:sz w:val="22"/>
          <w:szCs w:val="22"/>
        </w:rPr>
        <w:t xml:space="preserve"> website, where consumers may be able to search for Service Providers</w:t>
      </w:r>
      <w:r w:rsidR="00B91D6F">
        <w:rPr>
          <w:rFonts w:ascii="Arial" w:hAnsi="Arial" w:cs="Arial"/>
          <w:sz w:val="22"/>
          <w:szCs w:val="22"/>
        </w:rPr>
        <w:t xml:space="preserve"> among other things</w:t>
      </w:r>
      <w:r w:rsidR="00520B9B" w:rsidRPr="00520B9B">
        <w:rPr>
          <w:rFonts w:ascii="Arial" w:hAnsi="Arial" w:cs="Arial"/>
          <w:sz w:val="22"/>
          <w:szCs w:val="22"/>
        </w:rPr>
        <w:t xml:space="preserve">, is designed to provide information to older Australians to assist them in making more informed choices.  </w:t>
      </w:r>
    </w:p>
    <w:p w:rsidR="00520B9B" w:rsidRPr="002A1AD3" w:rsidRDefault="00520B9B" w:rsidP="00520B9B">
      <w:pPr>
        <w:pStyle w:val="Bullet1"/>
        <w:numPr>
          <w:ilvl w:val="0"/>
          <w:numId w:val="38"/>
        </w:numPr>
        <w:tabs>
          <w:tab w:val="clear" w:pos="360"/>
          <w:tab w:val="num" w:pos="426"/>
        </w:tabs>
        <w:spacing w:before="240" w:after="0"/>
        <w:ind w:left="426" w:hanging="426"/>
        <w:rPr>
          <w:rFonts w:ascii="Arial" w:hAnsi="Arial" w:cs="Arial"/>
          <w:sz w:val="22"/>
          <w:szCs w:val="22"/>
        </w:rPr>
      </w:pPr>
      <w:r w:rsidRPr="002A1AD3">
        <w:rPr>
          <w:rFonts w:ascii="Arial" w:hAnsi="Arial" w:cs="Arial"/>
          <w:sz w:val="22"/>
          <w:szCs w:val="22"/>
        </w:rPr>
        <w:t xml:space="preserve">Moreover, </w:t>
      </w:r>
      <w:r w:rsidR="006052A1">
        <w:rPr>
          <w:rFonts w:ascii="Arial" w:hAnsi="Arial" w:cs="Arial"/>
          <w:sz w:val="22"/>
          <w:szCs w:val="22"/>
        </w:rPr>
        <w:t>the ACCC noted</w:t>
      </w:r>
      <w:r w:rsidRPr="002A1AD3">
        <w:rPr>
          <w:rFonts w:ascii="Arial" w:hAnsi="Arial" w:cs="Arial"/>
          <w:sz w:val="22"/>
          <w:szCs w:val="22"/>
        </w:rPr>
        <w:t xml:space="preserve"> that to be eligible to apply for an Owl Rating a Service Provider must also be compliant with relevant federal and state government legislation and regulations. </w:t>
      </w:r>
      <w:r>
        <w:rPr>
          <w:rFonts w:ascii="Arial" w:hAnsi="Arial" w:cs="Arial"/>
          <w:sz w:val="22"/>
          <w:szCs w:val="22"/>
        </w:rPr>
        <w:t xml:space="preserve"> </w:t>
      </w:r>
      <w:r w:rsidRPr="002A1AD3">
        <w:rPr>
          <w:rFonts w:ascii="Arial" w:hAnsi="Arial" w:cs="Arial"/>
          <w:sz w:val="22"/>
          <w:szCs w:val="22"/>
        </w:rPr>
        <w:t>In this context</w:t>
      </w:r>
      <w:r>
        <w:rPr>
          <w:rFonts w:ascii="Arial" w:hAnsi="Arial" w:cs="Arial"/>
          <w:sz w:val="22"/>
          <w:szCs w:val="22"/>
        </w:rPr>
        <w:t xml:space="preserve">, </w:t>
      </w:r>
      <w:r w:rsidR="00804D9D">
        <w:rPr>
          <w:rFonts w:ascii="Arial" w:hAnsi="Arial" w:cs="Arial"/>
          <w:sz w:val="22"/>
          <w:szCs w:val="22"/>
        </w:rPr>
        <w:t>the ACCC considered</w:t>
      </w:r>
      <w:r>
        <w:rPr>
          <w:rFonts w:ascii="Arial" w:hAnsi="Arial" w:cs="Arial"/>
          <w:sz w:val="22"/>
          <w:szCs w:val="22"/>
        </w:rPr>
        <w:t xml:space="preserve"> that consumers will understand what the Owl Rating is intended to represent.</w:t>
      </w:r>
    </w:p>
    <w:p w:rsidR="00520B9B" w:rsidRPr="00E07C89" w:rsidRDefault="000849B3" w:rsidP="00520B9B">
      <w:pPr>
        <w:pStyle w:val="Bullet1"/>
        <w:numPr>
          <w:ilvl w:val="0"/>
          <w:numId w:val="38"/>
        </w:numPr>
        <w:tabs>
          <w:tab w:val="clear" w:pos="360"/>
          <w:tab w:val="num" w:pos="426"/>
        </w:tabs>
        <w:spacing w:before="240" w:after="0"/>
        <w:ind w:left="426" w:hanging="426"/>
        <w:rPr>
          <w:rFonts w:ascii="Arial" w:hAnsi="Arial" w:cs="Arial"/>
          <w:sz w:val="22"/>
          <w:szCs w:val="22"/>
        </w:rPr>
      </w:pPr>
      <w:r>
        <w:rPr>
          <w:rFonts w:ascii="Arial" w:hAnsi="Arial" w:cs="Arial"/>
          <w:sz w:val="22"/>
          <w:szCs w:val="22"/>
        </w:rPr>
        <w:t>The ACCC consider</w:t>
      </w:r>
      <w:r w:rsidR="00804D9D">
        <w:rPr>
          <w:rFonts w:ascii="Arial" w:hAnsi="Arial" w:cs="Arial"/>
          <w:sz w:val="22"/>
          <w:szCs w:val="22"/>
        </w:rPr>
        <w:t>ed</w:t>
      </w:r>
      <w:r>
        <w:rPr>
          <w:rFonts w:ascii="Arial" w:hAnsi="Arial" w:cs="Arial"/>
          <w:sz w:val="22"/>
          <w:szCs w:val="22"/>
        </w:rPr>
        <w:t xml:space="preserve"> that the</w:t>
      </w:r>
      <w:r w:rsidR="00520B9B" w:rsidRPr="00E07C89">
        <w:rPr>
          <w:rFonts w:ascii="Arial" w:hAnsi="Arial" w:cs="Arial"/>
          <w:sz w:val="22"/>
          <w:szCs w:val="22"/>
        </w:rPr>
        <w:t xml:space="preserve"> Rules are not to the detriment of the public. In this context, detriment to the public means ‘harm to the community in addition to the consumer protection concerns and competition concerns.</w:t>
      </w:r>
      <w:r w:rsidR="00520B9B" w:rsidRPr="00E07C89">
        <w:rPr>
          <w:rStyle w:val="FootnoteReference"/>
          <w:rFonts w:cs="Arial"/>
          <w:sz w:val="22"/>
          <w:szCs w:val="22"/>
        </w:rPr>
        <w:footnoteReference w:id="1"/>
      </w:r>
    </w:p>
    <w:p w:rsidR="00520B9B" w:rsidRDefault="00520B9B" w:rsidP="00520B9B">
      <w:pPr>
        <w:pStyle w:val="Bullet1"/>
        <w:numPr>
          <w:ilvl w:val="0"/>
          <w:numId w:val="38"/>
        </w:numPr>
        <w:tabs>
          <w:tab w:val="clear" w:pos="360"/>
          <w:tab w:val="num" w:pos="426"/>
        </w:tabs>
        <w:spacing w:before="240" w:after="0"/>
        <w:ind w:left="426" w:hanging="426"/>
        <w:rPr>
          <w:rFonts w:ascii="Arial" w:hAnsi="Arial" w:cs="Arial"/>
          <w:sz w:val="22"/>
          <w:szCs w:val="22"/>
        </w:rPr>
      </w:pPr>
      <w:r w:rsidRPr="000A294B">
        <w:rPr>
          <w:rFonts w:ascii="Arial" w:hAnsi="Arial" w:cs="Arial"/>
          <w:sz w:val="22"/>
          <w:szCs w:val="22"/>
        </w:rPr>
        <w:t xml:space="preserve">Broadly, CTMs are expected to provide public benefits by indicating to consumers that a product or service meets a particular standard. </w:t>
      </w:r>
      <w:r w:rsidR="000849B3">
        <w:rPr>
          <w:rFonts w:ascii="Arial" w:hAnsi="Arial" w:cs="Arial"/>
          <w:sz w:val="22"/>
          <w:szCs w:val="22"/>
        </w:rPr>
        <w:t>The ACCC consider</w:t>
      </w:r>
      <w:r w:rsidR="00804D9D">
        <w:rPr>
          <w:rFonts w:ascii="Arial" w:hAnsi="Arial" w:cs="Arial"/>
          <w:sz w:val="22"/>
          <w:szCs w:val="22"/>
        </w:rPr>
        <w:t>ed</w:t>
      </w:r>
      <w:r w:rsidRPr="000A294B">
        <w:rPr>
          <w:rFonts w:ascii="Arial" w:hAnsi="Arial" w:cs="Arial"/>
          <w:sz w:val="22"/>
          <w:szCs w:val="22"/>
        </w:rPr>
        <w:t xml:space="preserve"> that the CTM is</w:t>
      </w:r>
      <w:r w:rsidR="000849B3">
        <w:rPr>
          <w:rFonts w:ascii="Arial" w:hAnsi="Arial" w:cs="Arial"/>
          <w:sz w:val="22"/>
          <w:szCs w:val="22"/>
        </w:rPr>
        <w:t xml:space="preserve"> likely to provide this benefit and</w:t>
      </w:r>
      <w:r w:rsidRPr="000A294B">
        <w:rPr>
          <w:rFonts w:ascii="Arial" w:hAnsi="Arial" w:cs="Arial"/>
          <w:sz w:val="22"/>
          <w:szCs w:val="22"/>
        </w:rPr>
        <w:t xml:space="preserve"> any public detriment from the CTM requirement is likely to be limited.</w:t>
      </w:r>
    </w:p>
    <w:p w:rsidR="00D83F31" w:rsidRPr="007A15B9" w:rsidRDefault="00D83F31" w:rsidP="00520B9B">
      <w:pPr>
        <w:pStyle w:val="Bullet1"/>
        <w:numPr>
          <w:ilvl w:val="0"/>
          <w:numId w:val="38"/>
        </w:numPr>
        <w:tabs>
          <w:tab w:val="clear" w:pos="360"/>
          <w:tab w:val="num" w:pos="426"/>
        </w:tabs>
        <w:spacing w:before="240" w:after="0"/>
        <w:ind w:left="426" w:hanging="426"/>
        <w:rPr>
          <w:rFonts w:ascii="Arial" w:hAnsi="Arial" w:cs="Arial"/>
          <w:i/>
          <w:sz w:val="22"/>
          <w:szCs w:val="22"/>
        </w:rPr>
      </w:pPr>
      <w:r w:rsidRPr="00D83F31">
        <w:rPr>
          <w:rFonts w:ascii="Arial" w:hAnsi="Arial" w:cs="Arial"/>
          <w:sz w:val="22"/>
          <w:szCs w:val="22"/>
        </w:rPr>
        <w:t>T</w:t>
      </w:r>
      <w:r w:rsidR="00520B9B" w:rsidRPr="00D83F31">
        <w:rPr>
          <w:rFonts w:ascii="Arial" w:hAnsi="Arial" w:cs="Arial"/>
          <w:sz w:val="22"/>
          <w:szCs w:val="22"/>
        </w:rPr>
        <w:t>he</w:t>
      </w:r>
      <w:r w:rsidR="000849B3" w:rsidRPr="00D83F31">
        <w:rPr>
          <w:rFonts w:ascii="Arial" w:hAnsi="Arial" w:cs="Arial"/>
          <w:sz w:val="22"/>
          <w:szCs w:val="22"/>
        </w:rPr>
        <w:t xml:space="preserve"> ACCC</w:t>
      </w:r>
      <w:r w:rsidR="00804D9D">
        <w:rPr>
          <w:rFonts w:ascii="Arial" w:hAnsi="Arial" w:cs="Arial"/>
          <w:sz w:val="22"/>
          <w:szCs w:val="22"/>
        </w:rPr>
        <w:t xml:space="preserve"> considered</w:t>
      </w:r>
      <w:r w:rsidRPr="00D83F31">
        <w:rPr>
          <w:rFonts w:ascii="Arial" w:hAnsi="Arial" w:cs="Arial"/>
          <w:sz w:val="22"/>
          <w:szCs w:val="22"/>
        </w:rPr>
        <w:t xml:space="preserve"> that the CTM Rules are unlikely to raise concerns regarding misleading and deceptive conduct, competition concerns or concerns under other aspects of the </w:t>
      </w:r>
      <w:r w:rsidRPr="00D83F31">
        <w:rPr>
          <w:rFonts w:ascii="Arial" w:hAnsi="Arial" w:cs="Arial"/>
          <w:i/>
          <w:sz w:val="22"/>
          <w:szCs w:val="22"/>
        </w:rPr>
        <w:t>Competition and Consumer Act 2010</w:t>
      </w:r>
      <w:r w:rsidR="000849B3" w:rsidRPr="00D83F31">
        <w:rPr>
          <w:rFonts w:ascii="Arial" w:hAnsi="Arial" w:cs="Arial"/>
          <w:sz w:val="22"/>
          <w:szCs w:val="22"/>
        </w:rPr>
        <w:t xml:space="preserve"> </w:t>
      </w:r>
      <w:r w:rsidRPr="00D83F31">
        <w:rPr>
          <w:rFonts w:ascii="Arial" w:hAnsi="Arial" w:cs="Arial"/>
          <w:sz w:val="22"/>
          <w:szCs w:val="22"/>
        </w:rPr>
        <w:t xml:space="preserve">and </w:t>
      </w:r>
      <w:r w:rsidR="000849B3" w:rsidRPr="00D83F31">
        <w:rPr>
          <w:rFonts w:ascii="Arial" w:hAnsi="Arial" w:cs="Arial"/>
          <w:sz w:val="22"/>
          <w:szCs w:val="22"/>
        </w:rPr>
        <w:t xml:space="preserve">is </w:t>
      </w:r>
      <w:r w:rsidRPr="00D83F31">
        <w:rPr>
          <w:rFonts w:ascii="Arial" w:hAnsi="Arial" w:cs="Arial"/>
          <w:sz w:val="22"/>
          <w:szCs w:val="22"/>
        </w:rPr>
        <w:t xml:space="preserve">therefore </w:t>
      </w:r>
      <w:r w:rsidR="000849B3" w:rsidRPr="00D83F31">
        <w:rPr>
          <w:rFonts w:ascii="Arial" w:hAnsi="Arial" w:cs="Arial"/>
          <w:sz w:val="22"/>
          <w:szCs w:val="22"/>
        </w:rPr>
        <w:t xml:space="preserve">satisfied that </w:t>
      </w:r>
      <w:r w:rsidRPr="00D83F31">
        <w:rPr>
          <w:rFonts w:ascii="Arial" w:hAnsi="Arial" w:cs="Arial"/>
          <w:sz w:val="22"/>
          <w:szCs w:val="22"/>
        </w:rPr>
        <w:t xml:space="preserve">the CTM Rules satisfy the criteria in section 175(2) of the </w:t>
      </w:r>
      <w:r w:rsidRPr="00D83F31">
        <w:rPr>
          <w:rFonts w:ascii="Arial" w:hAnsi="Arial" w:cs="Arial"/>
          <w:i/>
          <w:sz w:val="22"/>
          <w:szCs w:val="22"/>
        </w:rPr>
        <w:t>Trade Marks Act (1995).</w:t>
      </w:r>
      <w:r w:rsidRPr="00D83F31">
        <w:rPr>
          <w:rFonts w:ascii="Arial" w:hAnsi="Arial" w:cs="Arial"/>
          <w:sz w:val="22"/>
          <w:szCs w:val="22"/>
        </w:rPr>
        <w:t xml:space="preserve">  The ACCC is also satisfied that the CTM Rules comply with section 173(2) of the </w:t>
      </w:r>
      <w:r w:rsidRPr="007A15B9">
        <w:rPr>
          <w:rFonts w:ascii="Arial" w:hAnsi="Arial" w:cs="Arial"/>
          <w:i/>
          <w:sz w:val="22"/>
          <w:szCs w:val="22"/>
        </w:rPr>
        <w:t>Trade Marks Act.</w:t>
      </w:r>
    </w:p>
    <w:p w:rsidR="00DF1E3F" w:rsidRDefault="00D83F31" w:rsidP="00D83F31">
      <w:pPr>
        <w:pStyle w:val="Bullet1"/>
        <w:numPr>
          <w:ilvl w:val="0"/>
          <w:numId w:val="38"/>
        </w:numPr>
        <w:tabs>
          <w:tab w:val="clear" w:pos="360"/>
          <w:tab w:val="num" w:pos="426"/>
        </w:tabs>
        <w:spacing w:before="240" w:after="0"/>
        <w:ind w:left="426" w:hanging="426"/>
        <w:rPr>
          <w:rFonts w:cs="Arial"/>
          <w:lang w:val="en"/>
        </w:rPr>
      </w:pPr>
      <w:r>
        <w:rPr>
          <w:rFonts w:ascii="Arial" w:hAnsi="Arial" w:cs="Arial"/>
          <w:sz w:val="22"/>
          <w:szCs w:val="22"/>
        </w:rPr>
        <w:t>Accordingly, o</w:t>
      </w:r>
      <w:r w:rsidR="00DF1E3F" w:rsidRPr="00D83F31">
        <w:rPr>
          <w:rFonts w:ascii="Arial" w:hAnsi="Arial" w:cs="Arial"/>
          <w:sz w:val="22"/>
          <w:szCs w:val="22"/>
        </w:rPr>
        <w:t>n 20 April 2015, the ACCC issued a Final Assessment approving the CTM appl</w:t>
      </w:r>
      <w:r>
        <w:rPr>
          <w:rFonts w:ascii="Arial" w:hAnsi="Arial" w:cs="Arial"/>
          <w:sz w:val="22"/>
          <w:szCs w:val="22"/>
        </w:rPr>
        <w:t xml:space="preserve">ication lodged by the </w:t>
      </w:r>
      <w:r w:rsidR="00DF1E3F" w:rsidRPr="00D83F31">
        <w:rPr>
          <w:rFonts w:ascii="Arial" w:hAnsi="Arial" w:cs="Arial"/>
          <w:sz w:val="22"/>
          <w:szCs w:val="22"/>
        </w:rPr>
        <w:t>NRMA.</w:t>
      </w:r>
      <w:r w:rsidR="00DF1E3F" w:rsidRPr="00DF1E3F">
        <w:rPr>
          <w:rFonts w:cs="Arial"/>
          <w:lang w:val="en"/>
        </w:rPr>
        <w:t xml:space="preserve">  </w:t>
      </w:r>
    </w:p>
    <w:p w:rsidR="00C82207" w:rsidRPr="009D6B46" w:rsidRDefault="00C82207" w:rsidP="009D6B46"/>
    <w:sectPr w:rsidR="00C82207" w:rsidRPr="009D6B46" w:rsidSect="0017410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07" w:rsidRDefault="00C82207" w:rsidP="004B4412">
      <w:pPr>
        <w:spacing w:before="0"/>
      </w:pPr>
      <w:r>
        <w:separator/>
      </w:r>
    </w:p>
  </w:endnote>
  <w:endnote w:type="continuationSeparator" w:id="0">
    <w:p w:rsidR="00C82207" w:rsidRDefault="00C82207"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07" w:rsidRDefault="00C82207" w:rsidP="004B4412">
      <w:pPr>
        <w:spacing w:before="0"/>
      </w:pPr>
      <w:r>
        <w:separator/>
      </w:r>
    </w:p>
  </w:footnote>
  <w:footnote w:type="continuationSeparator" w:id="0">
    <w:p w:rsidR="00C82207" w:rsidRDefault="00C82207" w:rsidP="004B4412">
      <w:pPr>
        <w:spacing w:before="0"/>
      </w:pPr>
      <w:r>
        <w:continuationSeparator/>
      </w:r>
    </w:p>
  </w:footnote>
  <w:footnote w:id="1">
    <w:p w:rsidR="00520B9B" w:rsidRPr="000D23E0" w:rsidRDefault="00520B9B" w:rsidP="00520B9B">
      <w:pPr>
        <w:pStyle w:val="FootnoteText"/>
      </w:pPr>
      <w:r>
        <w:rPr>
          <w:rStyle w:val="FootnoteReference"/>
        </w:rPr>
        <w:footnoteRef/>
      </w:r>
      <w:r>
        <w:t xml:space="preserve"> </w:t>
      </w:r>
      <w:r w:rsidRPr="000D23E0">
        <w:t>Section 175(2</w:t>
      </w:r>
      <w:proofErr w:type="gramStart"/>
      <w:r w:rsidRPr="000D23E0">
        <w:t>)(</w:t>
      </w:r>
      <w:proofErr w:type="gramEnd"/>
      <w:r w:rsidRPr="000D23E0">
        <w:t>b)(</w:t>
      </w:r>
      <w:proofErr w:type="spellStart"/>
      <w:r w:rsidRPr="000D23E0">
        <w:t>i</w:t>
      </w:r>
      <w:proofErr w:type="spellEnd"/>
      <w:r w:rsidRPr="000D23E0">
        <w:t xml:space="preserve">) of the </w:t>
      </w:r>
      <w:r w:rsidRPr="00B379AB">
        <w:rPr>
          <w:i/>
          <w:sz w:val="18"/>
          <w:szCs w:val="18"/>
        </w:rPr>
        <w:t>Trade Marks Act</w:t>
      </w:r>
      <w:r w:rsidRPr="000D23E0">
        <w:t xml:space="preserve">.  </w:t>
      </w:r>
      <w:r w:rsidRPr="000D23E0">
        <w:rPr>
          <w:i/>
          <w:iCs/>
        </w:rPr>
        <w:t xml:space="preserve">Certification </w:t>
      </w:r>
      <w:proofErr w:type="spellStart"/>
      <w:r w:rsidRPr="000D23E0">
        <w:rPr>
          <w:i/>
          <w:iCs/>
        </w:rPr>
        <w:t>trade marks</w:t>
      </w:r>
      <w:proofErr w:type="spellEnd"/>
      <w:r w:rsidRPr="000D23E0">
        <w:rPr>
          <w:i/>
          <w:iCs/>
        </w:rPr>
        <w:t xml:space="preserve"> – the role of the ACCC </w:t>
      </w:r>
      <w:r w:rsidRPr="000D23E0">
        <w:t>(2011) p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004CC0"/>
    <w:lvl w:ilvl="0">
      <w:start w:val="1"/>
      <w:numFmt w:val="decimal"/>
      <w:pStyle w:val="ListNumber"/>
      <w:lvlText w:val="%1."/>
      <w:lvlJc w:val="left"/>
      <w:pPr>
        <w:tabs>
          <w:tab w:val="num" w:pos="360"/>
        </w:tabs>
        <w:ind w:left="360" w:hanging="360"/>
      </w:pPr>
    </w:lvl>
  </w:abstractNum>
  <w:abstractNum w:abstractNumId="9">
    <w:nsid w:val="040E3D7A"/>
    <w:multiLevelType w:val="hybridMultilevel"/>
    <w:tmpl w:val="555E7ADA"/>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07E80C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641ED1"/>
    <w:multiLevelType w:val="hybridMultilevel"/>
    <w:tmpl w:val="8520B998"/>
    <w:lvl w:ilvl="0" w:tplc="92E4D2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E7A0BEC"/>
    <w:multiLevelType w:val="hybridMultilevel"/>
    <w:tmpl w:val="F79CDC40"/>
    <w:lvl w:ilvl="0" w:tplc="0C090001">
      <w:start w:val="1"/>
      <w:numFmt w:val="bullet"/>
      <w:lvlText w:val=""/>
      <w:lvlJc w:val="left"/>
      <w:pPr>
        <w:ind w:left="2210" w:hanging="360"/>
      </w:pPr>
      <w:rPr>
        <w:rFonts w:ascii="Symbol" w:hAnsi="Symbol" w:hint="default"/>
      </w:rPr>
    </w:lvl>
    <w:lvl w:ilvl="1" w:tplc="0C090003" w:tentative="1">
      <w:start w:val="1"/>
      <w:numFmt w:val="bullet"/>
      <w:lvlText w:val="o"/>
      <w:lvlJc w:val="left"/>
      <w:pPr>
        <w:ind w:left="2930" w:hanging="360"/>
      </w:pPr>
      <w:rPr>
        <w:rFonts w:ascii="Courier New" w:hAnsi="Courier New" w:cs="Courier New" w:hint="default"/>
      </w:rPr>
    </w:lvl>
    <w:lvl w:ilvl="2" w:tplc="0C090005" w:tentative="1">
      <w:start w:val="1"/>
      <w:numFmt w:val="bullet"/>
      <w:lvlText w:val=""/>
      <w:lvlJc w:val="left"/>
      <w:pPr>
        <w:ind w:left="3650" w:hanging="360"/>
      </w:pPr>
      <w:rPr>
        <w:rFonts w:ascii="Wingdings" w:hAnsi="Wingdings" w:hint="default"/>
      </w:rPr>
    </w:lvl>
    <w:lvl w:ilvl="3" w:tplc="0C090001" w:tentative="1">
      <w:start w:val="1"/>
      <w:numFmt w:val="bullet"/>
      <w:lvlText w:val=""/>
      <w:lvlJc w:val="left"/>
      <w:pPr>
        <w:ind w:left="4370" w:hanging="360"/>
      </w:pPr>
      <w:rPr>
        <w:rFonts w:ascii="Symbol" w:hAnsi="Symbol" w:hint="default"/>
      </w:rPr>
    </w:lvl>
    <w:lvl w:ilvl="4" w:tplc="0C090003" w:tentative="1">
      <w:start w:val="1"/>
      <w:numFmt w:val="bullet"/>
      <w:lvlText w:val="o"/>
      <w:lvlJc w:val="left"/>
      <w:pPr>
        <w:ind w:left="5090" w:hanging="360"/>
      </w:pPr>
      <w:rPr>
        <w:rFonts w:ascii="Courier New" w:hAnsi="Courier New" w:cs="Courier New" w:hint="default"/>
      </w:rPr>
    </w:lvl>
    <w:lvl w:ilvl="5" w:tplc="0C090005" w:tentative="1">
      <w:start w:val="1"/>
      <w:numFmt w:val="bullet"/>
      <w:lvlText w:val=""/>
      <w:lvlJc w:val="left"/>
      <w:pPr>
        <w:ind w:left="5810" w:hanging="360"/>
      </w:pPr>
      <w:rPr>
        <w:rFonts w:ascii="Wingdings" w:hAnsi="Wingdings" w:hint="default"/>
      </w:rPr>
    </w:lvl>
    <w:lvl w:ilvl="6" w:tplc="0C090001" w:tentative="1">
      <w:start w:val="1"/>
      <w:numFmt w:val="bullet"/>
      <w:lvlText w:val=""/>
      <w:lvlJc w:val="left"/>
      <w:pPr>
        <w:ind w:left="6530" w:hanging="360"/>
      </w:pPr>
      <w:rPr>
        <w:rFonts w:ascii="Symbol" w:hAnsi="Symbol" w:hint="default"/>
      </w:rPr>
    </w:lvl>
    <w:lvl w:ilvl="7" w:tplc="0C090003" w:tentative="1">
      <w:start w:val="1"/>
      <w:numFmt w:val="bullet"/>
      <w:lvlText w:val="o"/>
      <w:lvlJc w:val="left"/>
      <w:pPr>
        <w:ind w:left="7250" w:hanging="360"/>
      </w:pPr>
      <w:rPr>
        <w:rFonts w:ascii="Courier New" w:hAnsi="Courier New" w:cs="Courier New" w:hint="default"/>
      </w:rPr>
    </w:lvl>
    <w:lvl w:ilvl="8" w:tplc="0C090005" w:tentative="1">
      <w:start w:val="1"/>
      <w:numFmt w:val="bullet"/>
      <w:lvlText w:val=""/>
      <w:lvlJc w:val="left"/>
      <w:pPr>
        <w:ind w:left="7970" w:hanging="360"/>
      </w:pPr>
      <w:rPr>
        <w:rFonts w:ascii="Wingdings" w:hAnsi="Wingdings" w:hint="default"/>
      </w:rPr>
    </w:lvl>
  </w:abstractNum>
  <w:abstractNum w:abstractNumId="14">
    <w:nsid w:val="10FC3577"/>
    <w:multiLevelType w:val="multilevel"/>
    <w:tmpl w:val="8AE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nsid w:val="143A16BA"/>
    <w:multiLevelType w:val="hybridMultilevel"/>
    <w:tmpl w:val="B4582D26"/>
    <w:lvl w:ilvl="0" w:tplc="7270CC9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6656294"/>
    <w:multiLevelType w:val="hybridMultilevel"/>
    <w:tmpl w:val="F1E8E46E"/>
    <w:lvl w:ilvl="0" w:tplc="CAFCC1EA">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tplc="2F08C004">
      <w:start w:val="1"/>
      <w:numFmt w:val="bullet"/>
      <w:lvlText w:val="-"/>
      <w:lvlJc w:val="left"/>
      <w:pPr>
        <w:tabs>
          <w:tab w:val="num" w:pos="1080"/>
        </w:tabs>
        <w:ind w:left="1080" w:hanging="360"/>
      </w:pPr>
      <w:rPr>
        <w:rFonts w:ascii="Courier New" w:hAnsi="Courier New"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19B737F8"/>
    <w:multiLevelType w:val="multilevel"/>
    <w:tmpl w:val="6FB04A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1584" w:hanging="1584"/>
      </w:pPr>
      <w:rPr>
        <w:rFonts w:hint="default"/>
      </w:rPr>
    </w:lvl>
  </w:abstractNum>
  <w:abstractNum w:abstractNumId="19">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0">
    <w:nsid w:val="20DC4589"/>
    <w:multiLevelType w:val="hybridMultilevel"/>
    <w:tmpl w:val="CE309D86"/>
    <w:lvl w:ilvl="0" w:tplc="272AF908">
      <w:start w:val="1"/>
      <w:numFmt w:val="bullet"/>
      <w:lvlText w:val=""/>
      <w:lvlJc w:val="left"/>
      <w:pPr>
        <w:ind w:left="720" w:hanging="360"/>
      </w:pPr>
      <w:rPr>
        <w:rFonts w:ascii="Symbol" w:hAnsi="Symbol" w:hint="default"/>
      </w:rPr>
    </w:lvl>
    <w:lvl w:ilvl="1" w:tplc="57C8130E" w:tentative="1">
      <w:start w:val="1"/>
      <w:numFmt w:val="bullet"/>
      <w:lvlText w:val="o"/>
      <w:lvlJc w:val="left"/>
      <w:pPr>
        <w:ind w:left="1440" w:hanging="360"/>
      </w:pPr>
      <w:rPr>
        <w:rFonts w:ascii="Courier New" w:hAnsi="Courier New" w:cs="Courier New" w:hint="default"/>
      </w:rPr>
    </w:lvl>
    <w:lvl w:ilvl="2" w:tplc="5C8AAD36" w:tentative="1">
      <w:start w:val="1"/>
      <w:numFmt w:val="bullet"/>
      <w:lvlText w:val=""/>
      <w:lvlJc w:val="left"/>
      <w:pPr>
        <w:ind w:left="2160" w:hanging="360"/>
      </w:pPr>
      <w:rPr>
        <w:rFonts w:ascii="Wingdings" w:hAnsi="Wingdings" w:hint="default"/>
      </w:rPr>
    </w:lvl>
    <w:lvl w:ilvl="3" w:tplc="724C6AB0" w:tentative="1">
      <w:start w:val="1"/>
      <w:numFmt w:val="bullet"/>
      <w:lvlText w:val=""/>
      <w:lvlJc w:val="left"/>
      <w:pPr>
        <w:ind w:left="2880" w:hanging="360"/>
      </w:pPr>
      <w:rPr>
        <w:rFonts w:ascii="Symbol" w:hAnsi="Symbol" w:hint="default"/>
      </w:rPr>
    </w:lvl>
    <w:lvl w:ilvl="4" w:tplc="6FB25FB4" w:tentative="1">
      <w:start w:val="1"/>
      <w:numFmt w:val="bullet"/>
      <w:lvlText w:val="o"/>
      <w:lvlJc w:val="left"/>
      <w:pPr>
        <w:ind w:left="3600" w:hanging="360"/>
      </w:pPr>
      <w:rPr>
        <w:rFonts w:ascii="Courier New" w:hAnsi="Courier New" w:cs="Courier New" w:hint="default"/>
      </w:rPr>
    </w:lvl>
    <w:lvl w:ilvl="5" w:tplc="F5C2DFB0" w:tentative="1">
      <w:start w:val="1"/>
      <w:numFmt w:val="bullet"/>
      <w:lvlText w:val=""/>
      <w:lvlJc w:val="left"/>
      <w:pPr>
        <w:ind w:left="4320" w:hanging="360"/>
      </w:pPr>
      <w:rPr>
        <w:rFonts w:ascii="Wingdings" w:hAnsi="Wingdings" w:hint="default"/>
      </w:rPr>
    </w:lvl>
    <w:lvl w:ilvl="6" w:tplc="E8EC3EF6" w:tentative="1">
      <w:start w:val="1"/>
      <w:numFmt w:val="bullet"/>
      <w:lvlText w:val=""/>
      <w:lvlJc w:val="left"/>
      <w:pPr>
        <w:ind w:left="5040" w:hanging="360"/>
      </w:pPr>
      <w:rPr>
        <w:rFonts w:ascii="Symbol" w:hAnsi="Symbol" w:hint="default"/>
      </w:rPr>
    </w:lvl>
    <w:lvl w:ilvl="7" w:tplc="B2DE8D52" w:tentative="1">
      <w:start w:val="1"/>
      <w:numFmt w:val="bullet"/>
      <w:lvlText w:val="o"/>
      <w:lvlJc w:val="left"/>
      <w:pPr>
        <w:ind w:left="5760" w:hanging="360"/>
      </w:pPr>
      <w:rPr>
        <w:rFonts w:ascii="Courier New" w:hAnsi="Courier New" w:cs="Courier New" w:hint="default"/>
      </w:rPr>
    </w:lvl>
    <w:lvl w:ilvl="8" w:tplc="1C986682" w:tentative="1">
      <w:start w:val="1"/>
      <w:numFmt w:val="bullet"/>
      <w:lvlText w:val=""/>
      <w:lvlJc w:val="left"/>
      <w:pPr>
        <w:ind w:left="6480" w:hanging="360"/>
      </w:pPr>
      <w:rPr>
        <w:rFonts w:ascii="Wingdings" w:hAnsi="Wingdings" w:hint="default"/>
      </w:rPr>
    </w:lvl>
  </w:abstractNum>
  <w:abstractNum w:abstractNumId="21">
    <w:nsid w:val="238563B5"/>
    <w:multiLevelType w:val="multilevel"/>
    <w:tmpl w:val="7DF81E34"/>
    <w:lvl w:ilvl="0">
      <w:start w:val="1"/>
      <w:numFmt w:val="lowerLetter"/>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24E259F"/>
    <w:multiLevelType w:val="hybridMultilevel"/>
    <w:tmpl w:val="DF0C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18074A"/>
    <w:multiLevelType w:val="hybridMultilevel"/>
    <w:tmpl w:val="C8E20904"/>
    <w:lvl w:ilvl="0" w:tplc="0C090001">
      <w:start w:val="1"/>
      <w:numFmt w:val="decimal"/>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5">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065F76"/>
    <w:multiLevelType w:val="hybridMultilevel"/>
    <w:tmpl w:val="68D2BB3C"/>
    <w:lvl w:ilvl="0" w:tplc="A5BC9C30">
      <w:start w:val="1"/>
      <w:numFmt w:val="lowerLetter"/>
      <w:lvlText w:val="%1)"/>
      <w:lvlJc w:val="left"/>
      <w:pPr>
        <w:ind w:left="1003" w:hanging="360"/>
      </w:pPr>
    </w:lvl>
    <w:lvl w:ilvl="1" w:tplc="394A4642" w:tentative="1">
      <w:start w:val="1"/>
      <w:numFmt w:val="lowerLetter"/>
      <w:lvlText w:val="%2."/>
      <w:lvlJc w:val="left"/>
      <w:pPr>
        <w:ind w:left="1723" w:hanging="360"/>
      </w:pPr>
    </w:lvl>
    <w:lvl w:ilvl="2" w:tplc="DA3E1F4A" w:tentative="1">
      <w:start w:val="1"/>
      <w:numFmt w:val="lowerRoman"/>
      <w:lvlText w:val="%3."/>
      <w:lvlJc w:val="right"/>
      <w:pPr>
        <w:ind w:left="2443" w:hanging="180"/>
      </w:pPr>
    </w:lvl>
    <w:lvl w:ilvl="3" w:tplc="999EE412" w:tentative="1">
      <w:start w:val="1"/>
      <w:numFmt w:val="decimal"/>
      <w:lvlText w:val="%4."/>
      <w:lvlJc w:val="left"/>
      <w:pPr>
        <w:ind w:left="3163" w:hanging="360"/>
      </w:pPr>
    </w:lvl>
    <w:lvl w:ilvl="4" w:tplc="0C7C376E" w:tentative="1">
      <w:start w:val="1"/>
      <w:numFmt w:val="lowerLetter"/>
      <w:lvlText w:val="%5."/>
      <w:lvlJc w:val="left"/>
      <w:pPr>
        <w:ind w:left="3883" w:hanging="360"/>
      </w:pPr>
    </w:lvl>
    <w:lvl w:ilvl="5" w:tplc="C5F85718" w:tentative="1">
      <w:start w:val="1"/>
      <w:numFmt w:val="lowerRoman"/>
      <w:lvlText w:val="%6."/>
      <w:lvlJc w:val="right"/>
      <w:pPr>
        <w:ind w:left="4603" w:hanging="180"/>
      </w:pPr>
    </w:lvl>
    <w:lvl w:ilvl="6" w:tplc="A13E5A62" w:tentative="1">
      <w:start w:val="1"/>
      <w:numFmt w:val="decimal"/>
      <w:lvlText w:val="%7."/>
      <w:lvlJc w:val="left"/>
      <w:pPr>
        <w:ind w:left="5323" w:hanging="360"/>
      </w:pPr>
    </w:lvl>
    <w:lvl w:ilvl="7" w:tplc="DFD8E418" w:tentative="1">
      <w:start w:val="1"/>
      <w:numFmt w:val="lowerLetter"/>
      <w:lvlText w:val="%8."/>
      <w:lvlJc w:val="left"/>
      <w:pPr>
        <w:ind w:left="6043" w:hanging="360"/>
      </w:pPr>
    </w:lvl>
    <w:lvl w:ilvl="8" w:tplc="1030601A" w:tentative="1">
      <w:start w:val="1"/>
      <w:numFmt w:val="lowerRoman"/>
      <w:lvlText w:val="%9."/>
      <w:lvlJc w:val="right"/>
      <w:pPr>
        <w:ind w:left="6763" w:hanging="180"/>
      </w:pPr>
    </w:lvl>
  </w:abstractNum>
  <w:abstractNum w:abstractNumId="27">
    <w:nsid w:val="461B4F41"/>
    <w:multiLevelType w:val="hybridMultilevel"/>
    <w:tmpl w:val="7B5014C4"/>
    <w:lvl w:ilvl="0" w:tplc="50264B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0A18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C74D7"/>
    <w:multiLevelType w:val="multilevel"/>
    <w:tmpl w:val="D22EEB40"/>
    <w:lvl w:ilvl="0">
      <w:start w:val="1"/>
      <w:numFmt w:val="decimal"/>
      <w:lvlText w:val="%1."/>
      <w:lvlJc w:val="left"/>
      <w:pPr>
        <w:ind w:left="720" w:hanging="360"/>
      </w:pPr>
      <w:rPr>
        <w:rFonts w:hint="default"/>
      </w:rPr>
    </w:lvl>
    <w:lvl w:ilvl="1">
      <w:start w:val="1"/>
      <w:numFmt w:val="decimal"/>
      <w:lvlText w:val="%1.%2."/>
      <w:lvlJc w:val="left"/>
      <w:pPr>
        <w:ind w:left="964" w:hanging="96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10023BF"/>
    <w:multiLevelType w:val="singleLevel"/>
    <w:tmpl w:val="702CADA2"/>
    <w:lvl w:ilvl="0">
      <w:start w:val="1"/>
      <w:numFmt w:val="bullet"/>
      <w:pStyle w:val="Bullet1"/>
      <w:lvlText w:val=""/>
      <w:lvlJc w:val="left"/>
      <w:pPr>
        <w:tabs>
          <w:tab w:val="num" w:pos="360"/>
        </w:tabs>
        <w:ind w:left="360" w:hanging="360"/>
      </w:pPr>
      <w:rPr>
        <w:rFonts w:ascii="Wingdings" w:hAnsi="Wingdings" w:hint="default"/>
        <w:b w:val="0"/>
        <w:i w:val="0"/>
        <w:sz w:val="36"/>
      </w:rPr>
    </w:lvl>
  </w:abstractNum>
  <w:abstractNum w:abstractNumId="31">
    <w:nsid w:val="57384C50"/>
    <w:multiLevelType w:val="hybridMultilevel"/>
    <w:tmpl w:val="45CCF906"/>
    <w:lvl w:ilvl="0" w:tplc="8FF078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87C44DB"/>
    <w:multiLevelType w:val="hybridMultilevel"/>
    <w:tmpl w:val="A0E28A08"/>
    <w:lvl w:ilvl="0" w:tplc="CA943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C457CB"/>
    <w:multiLevelType w:val="hybridMultilevel"/>
    <w:tmpl w:val="8FC6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5">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EB6145"/>
    <w:multiLevelType w:val="hybridMultilevel"/>
    <w:tmpl w:val="DCB00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18"/>
  </w:num>
  <w:num w:numId="3">
    <w:abstractNumId w:val="15"/>
  </w:num>
  <w:num w:numId="4">
    <w:abstractNumId w:val="35"/>
  </w:num>
  <w:num w:numId="5">
    <w:abstractNumId w:val="14"/>
  </w:num>
  <w:num w:numId="6">
    <w:abstractNumId w:val="25"/>
  </w:num>
  <w:num w:numId="7">
    <w:abstractNumId w:val="3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4"/>
  </w:num>
  <w:num w:numId="18">
    <w:abstractNumId w:val="26"/>
  </w:num>
  <w:num w:numId="19">
    <w:abstractNumId w:val="18"/>
    <w:lvlOverride w:ilvl="0">
      <w:startOverride w:val="1"/>
    </w:lvlOverride>
  </w:num>
  <w:num w:numId="20">
    <w:abstractNumId w:val="22"/>
  </w:num>
  <w:num w:numId="21">
    <w:abstractNumId w:val="24"/>
  </w:num>
  <w:num w:numId="22">
    <w:abstractNumId w:val="20"/>
  </w:num>
  <w:num w:numId="23">
    <w:abstractNumId w:val="33"/>
  </w:num>
  <w:num w:numId="24">
    <w:abstractNumId w:val="36"/>
  </w:num>
  <w:num w:numId="25">
    <w:abstractNumId w:val="32"/>
  </w:num>
  <w:num w:numId="26">
    <w:abstractNumId w:val="16"/>
  </w:num>
  <w:num w:numId="27">
    <w:abstractNumId w:val="11"/>
  </w:num>
  <w:num w:numId="28">
    <w:abstractNumId w:val="23"/>
  </w:num>
  <w:num w:numId="29">
    <w:abstractNumId w:val="12"/>
  </w:num>
  <w:num w:numId="30">
    <w:abstractNumId w:val="27"/>
  </w:num>
  <w:num w:numId="31">
    <w:abstractNumId w:val="10"/>
  </w:num>
  <w:num w:numId="32">
    <w:abstractNumId w:val="19"/>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1"/>
  </w:num>
  <w:num w:numId="37">
    <w:abstractNumId w:val="30"/>
  </w:num>
  <w:num w:numId="38">
    <w:abstractNumId w:val="17"/>
  </w:num>
  <w:num w:numId="39">
    <w:abstractNumId w:val="9"/>
  </w:num>
  <w:num w:numId="40">
    <w:abstractNumId w:val="30"/>
  </w:num>
  <w:num w:numId="41">
    <w:abstractNumId w:val="30"/>
  </w:num>
  <w:num w:numId="42">
    <w:abstractNumId w:val="30"/>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4256\D15 52549  CTM1568411 - Final Assessment Decision Summary for Consultation page - 06.05.15.DOCX"/>
  </w:docVars>
  <w:rsids>
    <w:rsidRoot w:val="00C82207"/>
    <w:rsid w:val="00021202"/>
    <w:rsid w:val="0003578C"/>
    <w:rsid w:val="00046739"/>
    <w:rsid w:val="00063247"/>
    <w:rsid w:val="00070F9F"/>
    <w:rsid w:val="0007137B"/>
    <w:rsid w:val="000849B3"/>
    <w:rsid w:val="00085663"/>
    <w:rsid w:val="00085EBF"/>
    <w:rsid w:val="000D122C"/>
    <w:rsid w:val="000E1819"/>
    <w:rsid w:val="000E6C72"/>
    <w:rsid w:val="00116EB2"/>
    <w:rsid w:val="00124609"/>
    <w:rsid w:val="001449E6"/>
    <w:rsid w:val="001573E4"/>
    <w:rsid w:val="00160756"/>
    <w:rsid w:val="0017232E"/>
    <w:rsid w:val="00174102"/>
    <w:rsid w:val="00180157"/>
    <w:rsid w:val="0018269F"/>
    <w:rsid w:val="00186F77"/>
    <w:rsid w:val="001926A4"/>
    <w:rsid w:val="001B45A0"/>
    <w:rsid w:val="001D055E"/>
    <w:rsid w:val="001F492E"/>
    <w:rsid w:val="001F6DA3"/>
    <w:rsid w:val="00224DB9"/>
    <w:rsid w:val="00251745"/>
    <w:rsid w:val="00263AC0"/>
    <w:rsid w:val="0026772D"/>
    <w:rsid w:val="00286874"/>
    <w:rsid w:val="00296B65"/>
    <w:rsid w:val="002A7DEF"/>
    <w:rsid w:val="002F7986"/>
    <w:rsid w:val="00307F6D"/>
    <w:rsid w:val="003177A2"/>
    <w:rsid w:val="003271B5"/>
    <w:rsid w:val="00331264"/>
    <w:rsid w:val="0033317C"/>
    <w:rsid w:val="00334C8D"/>
    <w:rsid w:val="003518B3"/>
    <w:rsid w:val="003846F1"/>
    <w:rsid w:val="00480B4B"/>
    <w:rsid w:val="00485DC4"/>
    <w:rsid w:val="004B4412"/>
    <w:rsid w:val="004C348C"/>
    <w:rsid w:val="004D55BA"/>
    <w:rsid w:val="00520B9B"/>
    <w:rsid w:val="00530128"/>
    <w:rsid w:val="00532467"/>
    <w:rsid w:val="00564A4D"/>
    <w:rsid w:val="00571B35"/>
    <w:rsid w:val="00577A09"/>
    <w:rsid w:val="00584D8F"/>
    <w:rsid w:val="005A404D"/>
    <w:rsid w:val="005B1E3C"/>
    <w:rsid w:val="005C01D1"/>
    <w:rsid w:val="005C26CC"/>
    <w:rsid w:val="005E3D5F"/>
    <w:rsid w:val="006052A1"/>
    <w:rsid w:val="00615C6B"/>
    <w:rsid w:val="00632D6D"/>
    <w:rsid w:val="00642C3E"/>
    <w:rsid w:val="00663DAD"/>
    <w:rsid w:val="00676679"/>
    <w:rsid w:val="006B4CF9"/>
    <w:rsid w:val="006B7AC8"/>
    <w:rsid w:val="006D550F"/>
    <w:rsid w:val="00701CAB"/>
    <w:rsid w:val="00705BCE"/>
    <w:rsid w:val="00707563"/>
    <w:rsid w:val="0072348C"/>
    <w:rsid w:val="00724A37"/>
    <w:rsid w:val="007303C3"/>
    <w:rsid w:val="00743223"/>
    <w:rsid w:val="00746E01"/>
    <w:rsid w:val="007623A7"/>
    <w:rsid w:val="00763E5D"/>
    <w:rsid w:val="00767740"/>
    <w:rsid w:val="00777EE6"/>
    <w:rsid w:val="00782EEA"/>
    <w:rsid w:val="007A15B9"/>
    <w:rsid w:val="007B2C72"/>
    <w:rsid w:val="007C1C53"/>
    <w:rsid w:val="007E4904"/>
    <w:rsid w:val="007E4CB5"/>
    <w:rsid w:val="007F066B"/>
    <w:rsid w:val="008033C4"/>
    <w:rsid w:val="00804D9D"/>
    <w:rsid w:val="00806C88"/>
    <w:rsid w:val="0081034E"/>
    <w:rsid w:val="008344F6"/>
    <w:rsid w:val="0083510F"/>
    <w:rsid w:val="00851209"/>
    <w:rsid w:val="008837AC"/>
    <w:rsid w:val="008A587D"/>
    <w:rsid w:val="008C5486"/>
    <w:rsid w:val="008E7031"/>
    <w:rsid w:val="009233EE"/>
    <w:rsid w:val="009539E8"/>
    <w:rsid w:val="009661DE"/>
    <w:rsid w:val="009856B7"/>
    <w:rsid w:val="009B74B0"/>
    <w:rsid w:val="009D6B46"/>
    <w:rsid w:val="009F4940"/>
    <w:rsid w:val="00A4478A"/>
    <w:rsid w:val="00A44852"/>
    <w:rsid w:val="00A57D04"/>
    <w:rsid w:val="00A60A26"/>
    <w:rsid w:val="00A61598"/>
    <w:rsid w:val="00A72531"/>
    <w:rsid w:val="00A84F46"/>
    <w:rsid w:val="00A871F4"/>
    <w:rsid w:val="00AC1B2C"/>
    <w:rsid w:val="00AC3264"/>
    <w:rsid w:val="00AE1BF1"/>
    <w:rsid w:val="00AF0DD2"/>
    <w:rsid w:val="00B13048"/>
    <w:rsid w:val="00B1716D"/>
    <w:rsid w:val="00B17A1D"/>
    <w:rsid w:val="00B207A0"/>
    <w:rsid w:val="00B56E03"/>
    <w:rsid w:val="00B8080B"/>
    <w:rsid w:val="00B87C39"/>
    <w:rsid w:val="00B91D6F"/>
    <w:rsid w:val="00BA4665"/>
    <w:rsid w:val="00BB2FB2"/>
    <w:rsid w:val="00BB3304"/>
    <w:rsid w:val="00BD3446"/>
    <w:rsid w:val="00BE1F1B"/>
    <w:rsid w:val="00BE47B5"/>
    <w:rsid w:val="00C538A9"/>
    <w:rsid w:val="00C53B5A"/>
    <w:rsid w:val="00C54F5A"/>
    <w:rsid w:val="00C7765F"/>
    <w:rsid w:val="00C82207"/>
    <w:rsid w:val="00C86679"/>
    <w:rsid w:val="00CB666B"/>
    <w:rsid w:val="00D01CF0"/>
    <w:rsid w:val="00D0442A"/>
    <w:rsid w:val="00D3285C"/>
    <w:rsid w:val="00D61388"/>
    <w:rsid w:val="00D61A54"/>
    <w:rsid w:val="00D64DEA"/>
    <w:rsid w:val="00D80893"/>
    <w:rsid w:val="00D83F31"/>
    <w:rsid w:val="00D92CF1"/>
    <w:rsid w:val="00D92D38"/>
    <w:rsid w:val="00D950F5"/>
    <w:rsid w:val="00DB0F93"/>
    <w:rsid w:val="00DC7981"/>
    <w:rsid w:val="00DE4EFA"/>
    <w:rsid w:val="00DE5520"/>
    <w:rsid w:val="00DF1E3F"/>
    <w:rsid w:val="00E04818"/>
    <w:rsid w:val="00E0536E"/>
    <w:rsid w:val="00E06442"/>
    <w:rsid w:val="00E23993"/>
    <w:rsid w:val="00E25B8C"/>
    <w:rsid w:val="00E65C85"/>
    <w:rsid w:val="00E66199"/>
    <w:rsid w:val="00E755EC"/>
    <w:rsid w:val="00E7624D"/>
    <w:rsid w:val="00EA3D42"/>
    <w:rsid w:val="00EA6B1B"/>
    <w:rsid w:val="00EC032F"/>
    <w:rsid w:val="00EE28F3"/>
    <w:rsid w:val="00EF5110"/>
    <w:rsid w:val="00F15882"/>
    <w:rsid w:val="00F20BD3"/>
    <w:rsid w:val="00F322C7"/>
    <w:rsid w:val="00F373A5"/>
    <w:rsid w:val="00F47559"/>
    <w:rsid w:val="00F64C7B"/>
    <w:rsid w:val="00F676DD"/>
    <w:rsid w:val="00F75A26"/>
    <w:rsid w:val="00F83FAD"/>
    <w:rsid w:val="00F952A0"/>
    <w:rsid w:val="00FA3C7F"/>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34C8D"/>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32"/>
      </w:numPr>
      <w:ind w:left="680" w:hanging="680"/>
    </w:pPr>
  </w:style>
  <w:style w:type="paragraph" w:customStyle="1" w:styleId="Numbered11">
    <w:name w:val="Numbered 1.1"/>
    <w:basedOn w:val="Heading2"/>
    <w:next w:val="Normal"/>
    <w:qFormat/>
    <w:rsid w:val="00B17A1D"/>
    <w:pPr>
      <w:numPr>
        <w:ilvl w:val="1"/>
        <w:numId w:val="32"/>
      </w:numPr>
      <w:ind w:left="1021" w:hanging="1021"/>
    </w:pPr>
    <w:rPr>
      <w:rFonts w:cs="Arial"/>
      <w:b w:val="0"/>
    </w:rPr>
  </w:style>
  <w:style w:type="paragraph" w:customStyle="1" w:styleId="Numbered111">
    <w:name w:val="Numbered 1.1.1"/>
    <w:basedOn w:val="Heading3"/>
    <w:next w:val="Normal"/>
    <w:qFormat/>
    <w:rsid w:val="00B17A1D"/>
    <w:pPr>
      <w:numPr>
        <w:ilvl w:val="2"/>
        <w:numId w:val="32"/>
      </w:numPr>
      <w:ind w:left="1247" w:hanging="1247"/>
      <w:contextualSpacing/>
    </w:pPr>
  </w:style>
  <w:style w:type="paragraph" w:customStyle="1" w:styleId="Numbered1111">
    <w:name w:val="Numbered 1.1.1.1"/>
    <w:basedOn w:val="Heading4"/>
    <w:next w:val="Normal"/>
    <w:rsid w:val="00B17A1D"/>
    <w:pPr>
      <w:numPr>
        <w:ilvl w:val="3"/>
        <w:numId w:val="32"/>
      </w:numPr>
      <w:ind w:left="1474" w:hanging="1474"/>
    </w:pPr>
  </w:style>
  <w:style w:type="paragraph" w:customStyle="1" w:styleId="Numbered11111">
    <w:name w:val="Numbered 1.1.1.1.1"/>
    <w:basedOn w:val="Heading5"/>
    <w:next w:val="Normal"/>
    <w:uiPriority w:val="2"/>
    <w:rsid w:val="00B17A1D"/>
    <w:pPr>
      <w:numPr>
        <w:ilvl w:val="4"/>
        <w:numId w:val="32"/>
      </w:numPr>
      <w:ind w:left="1701" w:hanging="1701"/>
    </w:pPr>
  </w:style>
  <w:style w:type="paragraph" w:customStyle="1" w:styleId="Numbered111111">
    <w:name w:val="Numbered 1.1.1.1.1.1"/>
    <w:basedOn w:val="Heading6"/>
    <w:next w:val="Normal"/>
    <w:uiPriority w:val="2"/>
    <w:rsid w:val="00B17A1D"/>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7"/>
      </w:numPr>
      <w:ind w:left="357" w:hanging="357"/>
    </w:pPr>
    <w:rPr>
      <w:rFonts w:cs="Times New Roman"/>
    </w:rPr>
  </w:style>
  <w:style w:type="paragraph" w:styleId="ListBullet">
    <w:name w:val="List Bullet"/>
    <w:basedOn w:val="Normal"/>
    <w:uiPriority w:val="99"/>
    <w:unhideWhenUsed/>
    <w:rsid w:val="008033C4"/>
    <w:pPr>
      <w:numPr>
        <w:numId w:val="28"/>
      </w:numPr>
      <w:spacing w:before="120"/>
      <w:ind w:left="357" w:hanging="357"/>
    </w:pPr>
  </w:style>
  <w:style w:type="paragraph" w:customStyle="1" w:styleId="Bulletpoint2">
    <w:name w:val="Bullet point 2"/>
    <w:basedOn w:val="ListBullet2"/>
    <w:uiPriority w:val="1"/>
    <w:qFormat/>
    <w:rsid w:val="008033C4"/>
    <w:pPr>
      <w:numPr>
        <w:numId w:val="17"/>
      </w:numPr>
      <w:ind w:left="998" w:hanging="357"/>
    </w:pPr>
  </w:style>
  <w:style w:type="paragraph" w:styleId="ListNumber">
    <w:name w:val="List Number"/>
    <w:basedOn w:val="Normal"/>
    <w:uiPriority w:val="99"/>
    <w:rsid w:val="008033C4"/>
    <w:pPr>
      <w:numPr>
        <w:numId w:val="12"/>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8"/>
      </w:numPr>
      <w:spacing w:before="120"/>
      <w:ind w:left="641" w:hanging="357"/>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13"/>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29"/>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32"/>
      </w:numPr>
      <w:ind w:left="2381" w:hanging="2381"/>
    </w:pPr>
  </w:style>
  <w:style w:type="paragraph" w:customStyle="1" w:styleId="Numbered11111111">
    <w:name w:val="Numbered 1.1.1.1.1.1.1.1"/>
    <w:basedOn w:val="Heading8"/>
    <w:next w:val="Normal"/>
    <w:uiPriority w:val="2"/>
    <w:rsid w:val="00B17A1D"/>
    <w:pPr>
      <w:numPr>
        <w:ilvl w:val="7"/>
        <w:numId w:val="32"/>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615C6B"/>
    <w:pPr>
      <w:spacing w:before="60"/>
    </w:pPr>
    <w:rPr>
      <w:sz w:val="16"/>
      <w:szCs w:val="20"/>
    </w:rPr>
  </w:style>
  <w:style w:type="character" w:customStyle="1" w:styleId="FootnoteTextChar">
    <w:name w:val="Footnote Text Char"/>
    <w:basedOn w:val="DefaultParagraphFont"/>
    <w:link w:val="FootnoteText"/>
    <w:uiPriority w:val="99"/>
    <w:rsid w:val="00615C6B"/>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3"/>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17A1D"/>
    <w:pPr>
      <w:numPr>
        <w:ilvl w:val="8"/>
        <w:numId w:val="32"/>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9"/>
      </w:numPr>
      <w:spacing w:before="120"/>
      <w:ind w:left="924" w:hanging="357"/>
    </w:pPr>
  </w:style>
  <w:style w:type="paragraph" w:styleId="ListBullet4">
    <w:name w:val="List Bullet 4"/>
    <w:basedOn w:val="Normal"/>
    <w:uiPriority w:val="99"/>
    <w:unhideWhenUsed/>
    <w:rsid w:val="008033C4"/>
    <w:pPr>
      <w:numPr>
        <w:numId w:val="10"/>
      </w:numPr>
      <w:spacing w:before="120"/>
      <w:ind w:left="1208" w:hanging="357"/>
    </w:pPr>
  </w:style>
  <w:style w:type="paragraph" w:styleId="ListBullet5">
    <w:name w:val="List Bullet 5"/>
    <w:basedOn w:val="Normal"/>
    <w:uiPriority w:val="99"/>
    <w:unhideWhenUsed/>
    <w:rsid w:val="008033C4"/>
    <w:pPr>
      <w:numPr>
        <w:numId w:val="11"/>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14"/>
      </w:numPr>
      <w:spacing w:before="120"/>
      <w:ind w:left="924" w:hanging="357"/>
    </w:pPr>
  </w:style>
  <w:style w:type="paragraph" w:styleId="ListNumber4">
    <w:name w:val="List Number 4"/>
    <w:basedOn w:val="Normal"/>
    <w:uiPriority w:val="99"/>
    <w:unhideWhenUsed/>
    <w:rsid w:val="008033C4"/>
    <w:pPr>
      <w:numPr>
        <w:numId w:val="15"/>
      </w:numPr>
      <w:spacing w:before="120"/>
      <w:ind w:left="1208" w:hanging="357"/>
    </w:pPr>
  </w:style>
  <w:style w:type="paragraph" w:styleId="ListNumber5">
    <w:name w:val="List Number 5"/>
    <w:basedOn w:val="Normal"/>
    <w:uiPriority w:val="99"/>
    <w:unhideWhenUsed/>
    <w:rsid w:val="008033C4"/>
    <w:pPr>
      <w:numPr>
        <w:numId w:val="16"/>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paragraph" w:customStyle="1" w:styleId="Bullet1">
    <w:name w:val="Bullet1"/>
    <w:basedOn w:val="Normal"/>
    <w:rsid w:val="00C82207"/>
    <w:pPr>
      <w:numPr>
        <w:numId w:val="37"/>
      </w:numPr>
      <w:spacing w:before="0" w:after="240"/>
    </w:pPr>
    <w:rPr>
      <w:rFonts w:ascii="Times New Roman" w:eastAsia="Times New Roman" w:hAnsi="Times New Roman" w:cs="Times New Roman"/>
      <w:sz w:val="24"/>
      <w:szCs w:val="20"/>
      <w:lang w:eastAsia="en-AU"/>
    </w:rPr>
  </w:style>
  <w:style w:type="paragraph" w:styleId="NormalWeb">
    <w:name w:val="Normal (Web)"/>
    <w:basedOn w:val="Normal"/>
    <w:uiPriority w:val="99"/>
    <w:semiHidden/>
    <w:unhideWhenUsed/>
    <w:rsid w:val="00A72531"/>
    <w:pPr>
      <w:spacing w:before="100" w:beforeAutospacing="1" w:after="100" w:afterAutospacing="1"/>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34C8D"/>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32"/>
      </w:numPr>
      <w:ind w:left="680" w:hanging="680"/>
    </w:pPr>
  </w:style>
  <w:style w:type="paragraph" w:customStyle="1" w:styleId="Numbered11">
    <w:name w:val="Numbered 1.1"/>
    <w:basedOn w:val="Heading2"/>
    <w:next w:val="Normal"/>
    <w:qFormat/>
    <w:rsid w:val="00B17A1D"/>
    <w:pPr>
      <w:numPr>
        <w:ilvl w:val="1"/>
        <w:numId w:val="32"/>
      </w:numPr>
      <w:ind w:left="1021" w:hanging="1021"/>
    </w:pPr>
    <w:rPr>
      <w:rFonts w:cs="Arial"/>
      <w:b w:val="0"/>
    </w:rPr>
  </w:style>
  <w:style w:type="paragraph" w:customStyle="1" w:styleId="Numbered111">
    <w:name w:val="Numbered 1.1.1"/>
    <w:basedOn w:val="Heading3"/>
    <w:next w:val="Normal"/>
    <w:qFormat/>
    <w:rsid w:val="00B17A1D"/>
    <w:pPr>
      <w:numPr>
        <w:ilvl w:val="2"/>
        <w:numId w:val="32"/>
      </w:numPr>
      <w:ind w:left="1247" w:hanging="1247"/>
      <w:contextualSpacing/>
    </w:pPr>
  </w:style>
  <w:style w:type="paragraph" w:customStyle="1" w:styleId="Numbered1111">
    <w:name w:val="Numbered 1.1.1.1"/>
    <w:basedOn w:val="Heading4"/>
    <w:next w:val="Normal"/>
    <w:rsid w:val="00B17A1D"/>
    <w:pPr>
      <w:numPr>
        <w:ilvl w:val="3"/>
        <w:numId w:val="32"/>
      </w:numPr>
      <w:ind w:left="1474" w:hanging="1474"/>
    </w:pPr>
  </w:style>
  <w:style w:type="paragraph" w:customStyle="1" w:styleId="Numbered11111">
    <w:name w:val="Numbered 1.1.1.1.1"/>
    <w:basedOn w:val="Heading5"/>
    <w:next w:val="Normal"/>
    <w:uiPriority w:val="2"/>
    <w:rsid w:val="00B17A1D"/>
    <w:pPr>
      <w:numPr>
        <w:ilvl w:val="4"/>
        <w:numId w:val="32"/>
      </w:numPr>
      <w:ind w:left="1701" w:hanging="1701"/>
    </w:pPr>
  </w:style>
  <w:style w:type="paragraph" w:customStyle="1" w:styleId="Numbered111111">
    <w:name w:val="Numbered 1.1.1.1.1.1"/>
    <w:basedOn w:val="Heading6"/>
    <w:next w:val="Normal"/>
    <w:uiPriority w:val="2"/>
    <w:rsid w:val="00B17A1D"/>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7"/>
      </w:numPr>
      <w:ind w:left="357" w:hanging="357"/>
    </w:pPr>
    <w:rPr>
      <w:rFonts w:cs="Times New Roman"/>
    </w:rPr>
  </w:style>
  <w:style w:type="paragraph" w:styleId="ListBullet">
    <w:name w:val="List Bullet"/>
    <w:basedOn w:val="Normal"/>
    <w:uiPriority w:val="99"/>
    <w:unhideWhenUsed/>
    <w:rsid w:val="008033C4"/>
    <w:pPr>
      <w:numPr>
        <w:numId w:val="28"/>
      </w:numPr>
      <w:spacing w:before="120"/>
      <w:ind w:left="357" w:hanging="357"/>
    </w:pPr>
  </w:style>
  <w:style w:type="paragraph" w:customStyle="1" w:styleId="Bulletpoint2">
    <w:name w:val="Bullet point 2"/>
    <w:basedOn w:val="ListBullet2"/>
    <w:uiPriority w:val="1"/>
    <w:qFormat/>
    <w:rsid w:val="008033C4"/>
    <w:pPr>
      <w:numPr>
        <w:numId w:val="17"/>
      </w:numPr>
      <w:ind w:left="998" w:hanging="357"/>
    </w:pPr>
  </w:style>
  <w:style w:type="paragraph" w:styleId="ListNumber">
    <w:name w:val="List Number"/>
    <w:basedOn w:val="Normal"/>
    <w:uiPriority w:val="99"/>
    <w:rsid w:val="008033C4"/>
    <w:pPr>
      <w:numPr>
        <w:numId w:val="12"/>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8"/>
      </w:numPr>
      <w:spacing w:before="120"/>
      <w:ind w:left="641" w:hanging="357"/>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13"/>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29"/>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32"/>
      </w:numPr>
      <w:ind w:left="2381" w:hanging="2381"/>
    </w:pPr>
  </w:style>
  <w:style w:type="paragraph" w:customStyle="1" w:styleId="Numbered11111111">
    <w:name w:val="Numbered 1.1.1.1.1.1.1.1"/>
    <w:basedOn w:val="Heading8"/>
    <w:next w:val="Normal"/>
    <w:uiPriority w:val="2"/>
    <w:rsid w:val="00B17A1D"/>
    <w:pPr>
      <w:numPr>
        <w:ilvl w:val="7"/>
        <w:numId w:val="32"/>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615C6B"/>
    <w:pPr>
      <w:spacing w:before="60"/>
    </w:pPr>
    <w:rPr>
      <w:sz w:val="16"/>
      <w:szCs w:val="20"/>
    </w:rPr>
  </w:style>
  <w:style w:type="character" w:customStyle="1" w:styleId="FootnoteTextChar">
    <w:name w:val="Footnote Text Char"/>
    <w:basedOn w:val="DefaultParagraphFont"/>
    <w:link w:val="FootnoteText"/>
    <w:uiPriority w:val="99"/>
    <w:rsid w:val="00615C6B"/>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3"/>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17A1D"/>
    <w:pPr>
      <w:numPr>
        <w:ilvl w:val="8"/>
        <w:numId w:val="32"/>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9"/>
      </w:numPr>
      <w:spacing w:before="120"/>
      <w:ind w:left="924" w:hanging="357"/>
    </w:pPr>
  </w:style>
  <w:style w:type="paragraph" w:styleId="ListBullet4">
    <w:name w:val="List Bullet 4"/>
    <w:basedOn w:val="Normal"/>
    <w:uiPriority w:val="99"/>
    <w:unhideWhenUsed/>
    <w:rsid w:val="008033C4"/>
    <w:pPr>
      <w:numPr>
        <w:numId w:val="10"/>
      </w:numPr>
      <w:spacing w:before="120"/>
      <w:ind w:left="1208" w:hanging="357"/>
    </w:pPr>
  </w:style>
  <w:style w:type="paragraph" w:styleId="ListBullet5">
    <w:name w:val="List Bullet 5"/>
    <w:basedOn w:val="Normal"/>
    <w:uiPriority w:val="99"/>
    <w:unhideWhenUsed/>
    <w:rsid w:val="008033C4"/>
    <w:pPr>
      <w:numPr>
        <w:numId w:val="11"/>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14"/>
      </w:numPr>
      <w:spacing w:before="120"/>
      <w:ind w:left="924" w:hanging="357"/>
    </w:pPr>
  </w:style>
  <w:style w:type="paragraph" w:styleId="ListNumber4">
    <w:name w:val="List Number 4"/>
    <w:basedOn w:val="Normal"/>
    <w:uiPriority w:val="99"/>
    <w:unhideWhenUsed/>
    <w:rsid w:val="008033C4"/>
    <w:pPr>
      <w:numPr>
        <w:numId w:val="15"/>
      </w:numPr>
      <w:spacing w:before="120"/>
      <w:ind w:left="1208" w:hanging="357"/>
    </w:pPr>
  </w:style>
  <w:style w:type="paragraph" w:styleId="ListNumber5">
    <w:name w:val="List Number 5"/>
    <w:basedOn w:val="Normal"/>
    <w:uiPriority w:val="99"/>
    <w:unhideWhenUsed/>
    <w:rsid w:val="008033C4"/>
    <w:pPr>
      <w:numPr>
        <w:numId w:val="16"/>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paragraph" w:customStyle="1" w:styleId="Bullet1">
    <w:name w:val="Bullet1"/>
    <w:basedOn w:val="Normal"/>
    <w:rsid w:val="00C82207"/>
    <w:pPr>
      <w:numPr>
        <w:numId w:val="37"/>
      </w:numPr>
      <w:spacing w:before="0" w:after="240"/>
    </w:pPr>
    <w:rPr>
      <w:rFonts w:ascii="Times New Roman" w:eastAsia="Times New Roman" w:hAnsi="Times New Roman" w:cs="Times New Roman"/>
      <w:sz w:val="24"/>
      <w:szCs w:val="20"/>
      <w:lang w:eastAsia="en-AU"/>
    </w:rPr>
  </w:style>
  <w:style w:type="paragraph" w:styleId="NormalWeb">
    <w:name w:val="Normal (Web)"/>
    <w:basedOn w:val="Normal"/>
    <w:uiPriority w:val="99"/>
    <w:semiHidden/>
    <w:unhideWhenUsed/>
    <w:rsid w:val="00A72531"/>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686403601">
      <w:bodyDiv w:val="1"/>
      <w:marLeft w:val="0"/>
      <w:marRight w:val="0"/>
      <w:marTop w:val="0"/>
      <w:marBottom w:val="0"/>
      <w:divBdr>
        <w:top w:val="none" w:sz="0" w:space="0" w:color="auto"/>
        <w:left w:val="none" w:sz="0" w:space="0" w:color="auto"/>
        <w:bottom w:val="none" w:sz="0" w:space="0" w:color="auto"/>
        <w:right w:val="none" w:sz="0" w:space="0" w:color="auto"/>
      </w:divBdr>
      <w:divsChild>
        <w:div w:id="118838460">
          <w:marLeft w:val="0"/>
          <w:marRight w:val="0"/>
          <w:marTop w:val="0"/>
          <w:marBottom w:val="0"/>
          <w:divBdr>
            <w:top w:val="none" w:sz="0" w:space="0" w:color="auto"/>
            <w:left w:val="none" w:sz="0" w:space="0" w:color="auto"/>
            <w:bottom w:val="none" w:sz="0" w:space="0" w:color="auto"/>
            <w:right w:val="none" w:sz="0" w:space="0" w:color="auto"/>
          </w:divBdr>
          <w:divsChild>
            <w:div w:id="77019170">
              <w:marLeft w:val="0"/>
              <w:marRight w:val="0"/>
              <w:marTop w:val="0"/>
              <w:marBottom w:val="0"/>
              <w:divBdr>
                <w:top w:val="none" w:sz="0" w:space="0" w:color="auto"/>
                <w:left w:val="none" w:sz="0" w:space="0" w:color="auto"/>
                <w:bottom w:val="none" w:sz="0" w:space="0" w:color="auto"/>
                <w:right w:val="none" w:sz="0" w:space="0" w:color="auto"/>
              </w:divBdr>
              <w:divsChild>
                <w:div w:id="977219607">
                  <w:marLeft w:val="0"/>
                  <w:marRight w:val="0"/>
                  <w:marTop w:val="0"/>
                  <w:marBottom w:val="0"/>
                  <w:divBdr>
                    <w:top w:val="none" w:sz="0" w:space="0" w:color="auto"/>
                    <w:left w:val="none" w:sz="0" w:space="0" w:color="auto"/>
                    <w:bottom w:val="none" w:sz="0" w:space="0" w:color="auto"/>
                    <w:right w:val="none" w:sz="0" w:space="0" w:color="auto"/>
                  </w:divBdr>
                  <w:divsChild>
                    <w:div w:id="2009020882">
                      <w:marLeft w:val="0"/>
                      <w:marRight w:val="0"/>
                      <w:marTop w:val="0"/>
                      <w:marBottom w:val="0"/>
                      <w:divBdr>
                        <w:top w:val="none" w:sz="0" w:space="0" w:color="auto"/>
                        <w:left w:val="none" w:sz="0" w:space="0" w:color="auto"/>
                        <w:bottom w:val="none" w:sz="0" w:space="0" w:color="auto"/>
                        <w:right w:val="none" w:sz="0" w:space="0" w:color="auto"/>
                      </w:divBdr>
                      <w:divsChild>
                        <w:div w:id="7164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1ABE27-0293-4A71-B7BE-A9BCCBEB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82A7692A</Template>
  <TotalTime>1</TotalTime>
  <Pages>3</Pages>
  <Words>1222</Words>
  <Characters>6967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D'Ettorre, Gina</dc:creator>
  <cp:lastModifiedBy>Polmear, Erin</cp:lastModifiedBy>
  <cp:revision>2</cp:revision>
  <cp:lastPrinted>2015-04-24T00:35:00Z</cp:lastPrinted>
  <dcterms:created xsi:type="dcterms:W3CDTF">2015-05-18T05:14:00Z</dcterms:created>
  <dcterms:modified xsi:type="dcterms:W3CDTF">2015-05-18T05:14:00Z</dcterms:modified>
</cp:coreProperties>
</file>