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AC6EEF" w:rsidP="00935D49">
      <w:r>
        <w:rPr>
          <w:noProof/>
        </w:rPr>
        <w:pict>
          <v:rect id="Rectangle 7" o:spid="_x0000_s1026" style="position:absolute;margin-left:-48pt;margin-top:-50.5pt;width:546.75pt;height:800.25pt;z-index:-251658752;visibility:visible;mso-height-relative:margin;v-text-anchor:middle" fillcolor="#d5d6d2" stroked="f" strokeweight="2pt"/>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5.25pt;height:48.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8730"/>
      </w:tblGrid>
      <w:tr w:rsidR="00935D49" w:rsidRPr="00DD7648" w:rsidTr="00CE001E">
        <w:trPr>
          <w:trHeight w:val="3027"/>
        </w:trPr>
        <w:tc>
          <w:tcPr>
            <w:tcW w:w="8730" w:type="dxa"/>
            <w:shd w:val="clear" w:color="auto" w:fill="auto"/>
          </w:tcPr>
          <w:p w:rsidR="00935D49" w:rsidRPr="00DD7648" w:rsidRDefault="00935D49" w:rsidP="00370E6C">
            <w:pPr>
              <w:spacing w:before="720" w:after="60"/>
              <w:ind w:left="142"/>
              <w:contextualSpacing/>
              <w:outlineLvl w:val="0"/>
              <w:rPr>
                <w:rFonts w:ascii="Lucida Fax" w:eastAsia="Times New Roman" w:hAnsi="Lucida Fax"/>
                <w:color w:val="4F2D7D"/>
                <w:spacing w:val="5"/>
                <w:kern w:val="28"/>
                <w:sz w:val="72"/>
                <w:szCs w:val="52"/>
              </w:rPr>
            </w:pPr>
          </w:p>
        </w:tc>
      </w:tr>
      <w:tr w:rsidR="00935D49" w:rsidRPr="00DD7648" w:rsidTr="00CE001E">
        <w:trPr>
          <w:trHeight w:val="5150"/>
        </w:trPr>
        <w:tc>
          <w:tcPr>
            <w:tcW w:w="8730" w:type="dxa"/>
            <w:shd w:val="clear" w:color="auto" w:fill="auto"/>
          </w:tcPr>
          <w:p w:rsidR="00935D49" w:rsidRPr="00DD7648" w:rsidRDefault="00935D49" w:rsidP="00370E6C">
            <w:pPr>
              <w:pStyle w:val="NoSpacing"/>
              <w:spacing w:before="60" w:after="60"/>
              <w:ind w:left="142"/>
              <w:rPr>
                <w:rFonts w:ascii="Lucida Fax" w:hAnsi="Lucida Fax"/>
                <w:color w:val="4F2D7D"/>
                <w:sz w:val="72"/>
                <w:szCs w:val="72"/>
              </w:rPr>
            </w:pPr>
            <w:r w:rsidRPr="00DD7648">
              <w:rPr>
                <w:rFonts w:ascii="Lucida Fax" w:hAnsi="Lucida Fax"/>
                <w:color w:val="4F2D7D"/>
                <w:sz w:val="72"/>
                <w:szCs w:val="72"/>
              </w:rPr>
              <w:t xml:space="preserve">Review of </w:t>
            </w:r>
            <w:r w:rsidR="00A870F1">
              <w:rPr>
                <w:rFonts w:ascii="Lucida Fax" w:hAnsi="Lucida Fax"/>
                <w:color w:val="4F2D7D"/>
                <w:sz w:val="72"/>
                <w:szCs w:val="72"/>
              </w:rPr>
              <w:t xml:space="preserve">the </w:t>
            </w:r>
            <w:r w:rsidR="00242590" w:rsidRPr="00DD5C69">
              <w:rPr>
                <w:rFonts w:ascii="Lucida Fax" w:hAnsi="Lucida Fax"/>
                <w:color w:val="4F2D7D"/>
                <w:sz w:val="72"/>
                <w:szCs w:val="72"/>
              </w:rPr>
              <w:t xml:space="preserve">mandatory </w:t>
            </w:r>
            <w:r w:rsidR="003A4CB3" w:rsidRPr="00DD5C69">
              <w:rPr>
                <w:rFonts w:ascii="Lucida Fax" w:hAnsi="Lucida Fax"/>
                <w:color w:val="4F2D7D"/>
                <w:sz w:val="72"/>
                <w:szCs w:val="72"/>
              </w:rPr>
              <w:t xml:space="preserve">safety </w:t>
            </w:r>
            <w:r w:rsidR="00242590" w:rsidRPr="00DD5C69">
              <w:rPr>
                <w:rFonts w:ascii="Lucida Fax" w:hAnsi="Lucida Fax"/>
                <w:color w:val="4F2D7D"/>
                <w:sz w:val="72"/>
                <w:szCs w:val="72"/>
              </w:rPr>
              <w:t>standard</w:t>
            </w:r>
            <w:r w:rsidR="003A4CB3">
              <w:rPr>
                <w:rFonts w:ascii="Lucida Fax" w:hAnsi="Lucida Fax"/>
                <w:color w:val="4F2D7D"/>
                <w:sz w:val="72"/>
                <w:szCs w:val="72"/>
              </w:rPr>
              <w:t xml:space="preserve"> for </w:t>
            </w:r>
            <w:r w:rsidR="009804BC">
              <w:rPr>
                <w:rFonts w:ascii="Lucida Fax" w:hAnsi="Lucida Fax"/>
                <w:color w:val="4F2D7D"/>
                <w:sz w:val="72"/>
                <w:szCs w:val="72"/>
              </w:rPr>
              <w:t>baby bath aids</w:t>
            </w:r>
          </w:p>
          <w:p w:rsidR="00935D49" w:rsidRPr="00DD7648" w:rsidRDefault="00935D49" w:rsidP="00370E6C">
            <w:pPr>
              <w:pStyle w:val="NoSpacing"/>
              <w:spacing w:before="60" w:after="60"/>
              <w:ind w:left="142"/>
              <w:rPr>
                <w:rFonts w:ascii="Lucida Fax" w:hAnsi="Lucida Fax"/>
                <w:color w:val="4F2D7D"/>
                <w:sz w:val="52"/>
                <w:szCs w:val="52"/>
              </w:rPr>
            </w:pPr>
          </w:p>
          <w:p w:rsidR="00935D49" w:rsidRPr="00DD7648" w:rsidRDefault="00935D49" w:rsidP="00370E6C">
            <w:pPr>
              <w:pStyle w:val="NoSpacing"/>
              <w:spacing w:before="60" w:after="60"/>
              <w:ind w:left="142"/>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A870F1" w:rsidRPr="00DD5C69" w:rsidRDefault="00A870F1" w:rsidP="00370E6C">
            <w:pPr>
              <w:pStyle w:val="CoverDate"/>
              <w:ind w:left="142"/>
            </w:pPr>
            <w:r>
              <w:t>October</w:t>
            </w:r>
            <w:r w:rsidRPr="00DD5C69">
              <w:t xml:space="preserve"> 2016</w:t>
            </w:r>
          </w:p>
          <w:p w:rsidR="00D44E1E" w:rsidRDefault="00D44E1E" w:rsidP="00370E6C">
            <w:pPr>
              <w:pStyle w:val="NoSpacing"/>
              <w:spacing w:before="60" w:after="60"/>
              <w:ind w:left="142"/>
            </w:pPr>
          </w:p>
          <w:p w:rsidR="00D44E1E" w:rsidRPr="00DD7648" w:rsidRDefault="00AC6EEF" w:rsidP="00370E6C">
            <w:pPr>
              <w:pStyle w:val="NoSpacing"/>
              <w:spacing w:before="60" w:after="60"/>
              <w:ind w:left="142"/>
              <w:jc w:val="center"/>
              <w:rPr>
                <w:rFonts w:ascii="Lucida Fax" w:hAnsi="Lucida Fax"/>
                <w:sz w:val="52"/>
                <w:szCs w:val="52"/>
              </w:rPr>
            </w:pPr>
            <w:r>
              <w:rPr>
                <w:rFonts w:ascii="Lucida Fax" w:hAnsi="Lucida Fax"/>
                <w:noProof/>
                <w:color w:val="DC5034"/>
                <w:sz w:val="24"/>
                <w:szCs w:val="24"/>
              </w:rPr>
              <w:pict>
                <v:shape id="_x0000_s1068" type="#_x0000_t75" alt="Baby bath aids" href="http://www.productsafety.gov.au/products/babies-kids/kids-equipment/baby-bath-aids" style="position:absolute;left:0;text-align:left;margin-left:165.3pt;margin-top:42pt;width:111.75pt;height:111.75pt;z-index:251665920;mso-position-horizontal-relative:text;mso-position-vertical-relative:text;mso-width-relative:page;mso-height-relative:page" o:button="t">
                  <v:imagedata r:id="rId11" o:title="bath-aid"/>
                </v:shape>
              </w:pict>
            </w:r>
          </w:p>
        </w:tc>
      </w:tr>
      <w:tr w:rsidR="00935D49" w:rsidRPr="00DD7648" w:rsidTr="00CE001E">
        <w:trPr>
          <w:trHeight w:val="3300"/>
        </w:trPr>
        <w:tc>
          <w:tcPr>
            <w:tcW w:w="8730" w:type="dxa"/>
            <w:shd w:val="clear" w:color="auto" w:fill="auto"/>
          </w:tcPr>
          <w:p w:rsidR="009804BC" w:rsidRPr="00DD5C69" w:rsidRDefault="009804BC" w:rsidP="00370E6C">
            <w:pPr>
              <w:autoSpaceDE w:val="0"/>
              <w:autoSpaceDN w:val="0"/>
              <w:adjustRightInd w:val="0"/>
              <w:jc w:val="center"/>
            </w:pPr>
          </w:p>
        </w:tc>
      </w:tr>
    </w:tbl>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6B6636" w:rsidRDefault="006B6636" w:rsidP="0022438B">
      <w:pPr>
        <w:jc w:val="center"/>
        <w:rPr>
          <w:rFonts w:eastAsia="Calibri" w:cs="Arial"/>
          <w:u w:val="single"/>
          <w:lang w:val="en-GB"/>
        </w:rPr>
      </w:pPr>
    </w:p>
    <w:p w:rsidR="00A870F1" w:rsidRDefault="00A870F1" w:rsidP="00370E6C">
      <w:pPr>
        <w:pStyle w:val="Heading2"/>
        <w:rPr>
          <w:rFonts w:eastAsia="Calibri"/>
          <w:lang w:val="en-GB"/>
        </w:rPr>
      </w:pPr>
    </w:p>
    <w:p w:rsidR="00A870F1" w:rsidRPr="00370E6C" w:rsidRDefault="00A870F1" w:rsidP="00370E6C">
      <w:pPr>
        <w:rPr>
          <w:lang w:val="en-GB"/>
        </w:rPr>
      </w:pPr>
    </w:p>
    <w:p w:rsidR="00A870F1" w:rsidRDefault="00A870F1" w:rsidP="00370E6C">
      <w:pPr>
        <w:pStyle w:val="Heading2"/>
        <w:rPr>
          <w:rFonts w:eastAsia="Calibri"/>
          <w:lang w:val="en-GB"/>
        </w:rPr>
      </w:pPr>
    </w:p>
    <w:p w:rsidR="00A870F1" w:rsidRPr="00370E6C" w:rsidRDefault="00A870F1" w:rsidP="00370E6C">
      <w:pPr>
        <w:rPr>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DE17CC" w:rsidRDefault="00DE17CC" w:rsidP="00DE17CC">
      <w:pPr>
        <w:rPr>
          <w:lang w:val="en-US" w:eastAsia="ja-JP"/>
        </w:rPr>
      </w:pPr>
    </w:p>
    <w:p w:rsidR="00AF2073" w:rsidRDefault="00AC6EEF">
      <w:pPr>
        <w:pStyle w:val="TOC1"/>
        <w:rPr>
          <w:rFonts w:eastAsia="Calibri"/>
        </w:rPr>
      </w:pPr>
      <w:r>
        <w:pict>
          <v:shapetype id="_x0000_t202" coordsize="21600,21600" o:spt="202" path="m,l,21600r21600,l21600,xe">
            <v:stroke joinstyle="miter"/>
            <v:path gradientshapeok="t" o:connecttype="rect"/>
          </v:shapetype>
          <v:shape id="_x0000_s1034" type="#_x0000_t202" style="position:absolute;margin-left:0;margin-top:9.4pt;width:452.05pt;height:129.45pt;z-index:251661824;mso-wrap-style:none;mso-position-horizontal-relative:text;mso-position-vertical-relative:text">
            <v:textbox style="mso-next-textbox:#_x0000_s1034;mso-fit-shape-to-text:t">
              <w:txbxContent>
                <w:p w:rsidR="00FB2FB1" w:rsidRPr="004F2078" w:rsidRDefault="00FB2FB1"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baby bath aids</w:t>
                  </w:r>
                  <w:r w:rsidRPr="004F2078">
                    <w:rPr>
                      <w:rFonts w:eastAsia="Calibri" w:cs="Arial"/>
                      <w:sz w:val="20"/>
                      <w:szCs w:val="20"/>
                      <w:lang w:val="en-GB"/>
                    </w:rPr>
                    <w:t>.</w:t>
                  </w:r>
                </w:p>
                <w:p w:rsidR="00FB2FB1" w:rsidRPr="004F2078" w:rsidRDefault="00FB2FB1" w:rsidP="000F1573">
                  <w:pPr>
                    <w:spacing w:before="120" w:after="120"/>
                    <w:rPr>
                      <w:rFonts w:eastAsia="Calibri" w:cs="Arial"/>
                      <w:sz w:val="20"/>
                      <w:szCs w:val="20"/>
                    </w:rPr>
                  </w:pPr>
                  <w:r w:rsidRPr="004F2078">
                    <w:rPr>
                      <w:rFonts w:eastAsia="Calibri" w:cs="Arial"/>
                      <w:sz w:val="20"/>
                      <w:szCs w:val="20"/>
                    </w:rPr>
                    <w:t xml:space="preserve">© Commonwealth of Australia 2016.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r>
                    <w:rPr>
                      <w:rFonts w:eastAsia="Calibri" w:cs="Arial"/>
                      <w:sz w:val="20"/>
                      <w:szCs w:val="20"/>
                      <w:lang w:val="en-GB"/>
                    </w:rPr>
                    <w:t>.</w:t>
                  </w:r>
                </w:p>
              </w:txbxContent>
            </v:textbox>
            <w10:wrap type="square"/>
          </v:shape>
        </w:pict>
      </w:r>
      <w:r w:rsidR="00A870F1">
        <w:rPr>
          <w:b/>
        </w:rPr>
        <w:br w:type="page"/>
      </w:r>
      <w:r w:rsidR="00AF2073" w:rsidRPr="00DB6C88">
        <w:rPr>
          <w:b/>
        </w:rPr>
        <w:lastRenderedPageBreak/>
        <w:t>Table of contents</w:t>
      </w:r>
    </w:p>
    <w:p w:rsidR="00D957A9"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3364225" w:history="1">
        <w:r w:rsidR="00D957A9" w:rsidRPr="00435521">
          <w:rPr>
            <w:rStyle w:val="Hyperlink"/>
          </w:rPr>
          <w:t>1.</w:t>
        </w:r>
        <w:r w:rsidR="00D957A9">
          <w:rPr>
            <w:rFonts w:asciiTheme="minorHAnsi" w:eastAsiaTheme="minorEastAsia" w:hAnsiTheme="minorHAnsi" w:cstheme="minorBidi"/>
            <w:lang w:val="en-AU" w:eastAsia="en-AU"/>
          </w:rPr>
          <w:tab/>
        </w:r>
        <w:r w:rsidR="00D957A9" w:rsidRPr="00435521">
          <w:rPr>
            <w:rStyle w:val="Hyperlink"/>
          </w:rPr>
          <w:t>Introduction</w:t>
        </w:r>
        <w:r w:rsidR="00D957A9">
          <w:rPr>
            <w:webHidden/>
          </w:rPr>
          <w:tab/>
        </w:r>
        <w:r w:rsidR="00D957A9">
          <w:rPr>
            <w:webHidden/>
          </w:rPr>
          <w:fldChar w:fldCharType="begin"/>
        </w:r>
        <w:r w:rsidR="00D957A9">
          <w:rPr>
            <w:webHidden/>
          </w:rPr>
          <w:instrText xml:space="preserve"> PAGEREF _Toc463364225 \h </w:instrText>
        </w:r>
        <w:r w:rsidR="00D957A9">
          <w:rPr>
            <w:webHidden/>
          </w:rPr>
        </w:r>
        <w:r w:rsidR="00D957A9">
          <w:rPr>
            <w:webHidden/>
          </w:rPr>
          <w:fldChar w:fldCharType="separate"/>
        </w:r>
        <w:r w:rsidR="00D957A9">
          <w:rPr>
            <w:webHidden/>
          </w:rPr>
          <w:t>3</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26" w:history="1">
        <w:r w:rsidR="00D957A9" w:rsidRPr="00435521">
          <w:rPr>
            <w:rStyle w:val="Hyperlink"/>
          </w:rPr>
          <w:t>2.</w:t>
        </w:r>
        <w:r w:rsidR="00D957A9">
          <w:rPr>
            <w:rFonts w:asciiTheme="minorHAnsi" w:eastAsiaTheme="minorEastAsia" w:hAnsiTheme="minorHAnsi" w:cstheme="minorBidi"/>
            <w:lang w:val="en-AU" w:eastAsia="en-AU"/>
          </w:rPr>
          <w:tab/>
        </w:r>
        <w:r w:rsidR="00D957A9" w:rsidRPr="00435521">
          <w:rPr>
            <w:rStyle w:val="Hyperlink"/>
          </w:rPr>
          <w:t>Policy options</w:t>
        </w:r>
        <w:r w:rsidR="00D957A9">
          <w:rPr>
            <w:webHidden/>
          </w:rPr>
          <w:tab/>
        </w:r>
        <w:r w:rsidR="00D957A9">
          <w:rPr>
            <w:webHidden/>
          </w:rPr>
          <w:fldChar w:fldCharType="begin"/>
        </w:r>
        <w:r w:rsidR="00D957A9">
          <w:rPr>
            <w:webHidden/>
          </w:rPr>
          <w:instrText xml:space="preserve"> PAGEREF _Toc463364226 \h </w:instrText>
        </w:r>
        <w:r w:rsidR="00D957A9">
          <w:rPr>
            <w:webHidden/>
          </w:rPr>
        </w:r>
        <w:r w:rsidR="00D957A9">
          <w:rPr>
            <w:webHidden/>
          </w:rPr>
          <w:fldChar w:fldCharType="separate"/>
        </w:r>
        <w:r w:rsidR="00D957A9">
          <w:rPr>
            <w:webHidden/>
          </w:rPr>
          <w:t>3</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27" w:history="1">
        <w:r w:rsidR="00D957A9" w:rsidRPr="00435521">
          <w:rPr>
            <w:rStyle w:val="Hyperlink"/>
          </w:rPr>
          <w:t>3.</w:t>
        </w:r>
        <w:r w:rsidR="00D957A9">
          <w:rPr>
            <w:rFonts w:asciiTheme="minorHAnsi" w:eastAsiaTheme="minorEastAsia" w:hAnsiTheme="minorHAnsi" w:cstheme="minorBidi"/>
            <w:lang w:val="en-AU" w:eastAsia="en-AU"/>
          </w:rPr>
          <w:tab/>
        </w:r>
        <w:r w:rsidR="00D957A9" w:rsidRPr="00435521">
          <w:rPr>
            <w:rStyle w:val="Hyperlink"/>
          </w:rPr>
          <w:t>Background</w:t>
        </w:r>
        <w:r w:rsidR="00D957A9">
          <w:rPr>
            <w:webHidden/>
          </w:rPr>
          <w:tab/>
        </w:r>
        <w:r w:rsidR="00D957A9">
          <w:rPr>
            <w:webHidden/>
          </w:rPr>
          <w:fldChar w:fldCharType="begin"/>
        </w:r>
        <w:r w:rsidR="00D957A9">
          <w:rPr>
            <w:webHidden/>
          </w:rPr>
          <w:instrText xml:space="preserve"> PAGEREF _Toc463364227 \h </w:instrText>
        </w:r>
        <w:r w:rsidR="00D957A9">
          <w:rPr>
            <w:webHidden/>
          </w:rPr>
        </w:r>
        <w:r w:rsidR="00D957A9">
          <w:rPr>
            <w:webHidden/>
          </w:rPr>
          <w:fldChar w:fldCharType="separate"/>
        </w:r>
        <w:r w:rsidR="00D957A9">
          <w:rPr>
            <w:webHidden/>
          </w:rPr>
          <w:t>3</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28" w:history="1">
        <w:r w:rsidR="00D957A9" w:rsidRPr="00435521">
          <w:rPr>
            <w:rStyle w:val="Hyperlink"/>
          </w:rPr>
          <w:t>3.1</w:t>
        </w:r>
        <w:r w:rsidR="00D957A9">
          <w:rPr>
            <w:rFonts w:asciiTheme="minorHAnsi" w:eastAsiaTheme="minorEastAsia" w:hAnsiTheme="minorHAnsi" w:cstheme="minorBidi"/>
            <w:lang w:eastAsia="en-AU"/>
          </w:rPr>
          <w:tab/>
        </w:r>
        <w:r w:rsidR="00D957A9" w:rsidRPr="00435521">
          <w:rPr>
            <w:rStyle w:val="Hyperlink"/>
          </w:rPr>
          <w:t>Baby bath aids in Australia</w:t>
        </w:r>
        <w:r w:rsidR="00D957A9">
          <w:rPr>
            <w:webHidden/>
          </w:rPr>
          <w:tab/>
        </w:r>
        <w:r w:rsidR="00D957A9">
          <w:rPr>
            <w:webHidden/>
          </w:rPr>
          <w:fldChar w:fldCharType="begin"/>
        </w:r>
        <w:r w:rsidR="00D957A9">
          <w:rPr>
            <w:webHidden/>
          </w:rPr>
          <w:instrText xml:space="preserve"> PAGEREF _Toc463364228 \h </w:instrText>
        </w:r>
        <w:r w:rsidR="00D957A9">
          <w:rPr>
            <w:webHidden/>
          </w:rPr>
        </w:r>
        <w:r w:rsidR="00D957A9">
          <w:rPr>
            <w:webHidden/>
          </w:rPr>
          <w:fldChar w:fldCharType="separate"/>
        </w:r>
        <w:r w:rsidR="00D957A9">
          <w:rPr>
            <w:webHidden/>
          </w:rPr>
          <w:t>3</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29" w:history="1">
        <w:r w:rsidR="00D957A9" w:rsidRPr="00435521">
          <w:rPr>
            <w:rStyle w:val="Hyperlink"/>
          </w:rPr>
          <w:t>3.2</w:t>
        </w:r>
        <w:r w:rsidR="00D957A9">
          <w:rPr>
            <w:rFonts w:asciiTheme="minorHAnsi" w:eastAsiaTheme="minorEastAsia" w:hAnsiTheme="minorHAnsi" w:cstheme="minorBidi"/>
            <w:lang w:eastAsia="en-AU"/>
          </w:rPr>
          <w:tab/>
        </w:r>
        <w:r w:rsidR="00D957A9" w:rsidRPr="00435521">
          <w:rPr>
            <w:rStyle w:val="Hyperlink"/>
          </w:rPr>
          <w:t>Deaths and injuries</w:t>
        </w:r>
        <w:r w:rsidR="00D957A9">
          <w:rPr>
            <w:webHidden/>
          </w:rPr>
          <w:tab/>
        </w:r>
        <w:r w:rsidR="00D957A9">
          <w:rPr>
            <w:webHidden/>
          </w:rPr>
          <w:fldChar w:fldCharType="begin"/>
        </w:r>
        <w:r w:rsidR="00D957A9">
          <w:rPr>
            <w:webHidden/>
          </w:rPr>
          <w:instrText xml:space="preserve"> PAGEREF _Toc463364229 \h </w:instrText>
        </w:r>
        <w:r w:rsidR="00D957A9">
          <w:rPr>
            <w:webHidden/>
          </w:rPr>
        </w:r>
        <w:r w:rsidR="00D957A9">
          <w:rPr>
            <w:webHidden/>
          </w:rPr>
          <w:fldChar w:fldCharType="separate"/>
        </w:r>
        <w:r w:rsidR="00D957A9">
          <w:rPr>
            <w:webHidden/>
          </w:rPr>
          <w:t>3</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0" w:history="1">
        <w:r w:rsidR="00D957A9" w:rsidRPr="00435521">
          <w:rPr>
            <w:rStyle w:val="Hyperlink"/>
          </w:rPr>
          <w:t>3.3</w:t>
        </w:r>
        <w:r w:rsidR="00D957A9">
          <w:rPr>
            <w:rFonts w:asciiTheme="minorHAnsi" w:eastAsiaTheme="minorEastAsia" w:hAnsiTheme="minorHAnsi" w:cstheme="minorBidi"/>
            <w:lang w:eastAsia="en-AU"/>
          </w:rPr>
          <w:tab/>
        </w:r>
        <w:r w:rsidR="00D957A9" w:rsidRPr="00435521">
          <w:rPr>
            <w:rStyle w:val="Hyperlink"/>
          </w:rPr>
          <w:t>The safety standard</w:t>
        </w:r>
        <w:r w:rsidR="00D957A9">
          <w:rPr>
            <w:webHidden/>
          </w:rPr>
          <w:tab/>
        </w:r>
        <w:r w:rsidR="00D957A9">
          <w:rPr>
            <w:webHidden/>
          </w:rPr>
          <w:fldChar w:fldCharType="begin"/>
        </w:r>
        <w:r w:rsidR="00D957A9">
          <w:rPr>
            <w:webHidden/>
          </w:rPr>
          <w:instrText xml:space="preserve"> PAGEREF _Toc463364230 \h </w:instrText>
        </w:r>
        <w:r w:rsidR="00D957A9">
          <w:rPr>
            <w:webHidden/>
          </w:rPr>
        </w:r>
        <w:r w:rsidR="00D957A9">
          <w:rPr>
            <w:webHidden/>
          </w:rPr>
          <w:fldChar w:fldCharType="separate"/>
        </w:r>
        <w:r w:rsidR="00D957A9">
          <w:rPr>
            <w:webHidden/>
          </w:rPr>
          <w:t>4</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1" w:history="1">
        <w:r w:rsidR="00D957A9" w:rsidRPr="00435521">
          <w:rPr>
            <w:rStyle w:val="Hyperlink"/>
          </w:rPr>
          <w:t>3.4</w:t>
        </w:r>
        <w:r w:rsidR="00D957A9">
          <w:rPr>
            <w:rFonts w:asciiTheme="minorHAnsi" w:eastAsiaTheme="minorEastAsia" w:hAnsiTheme="minorHAnsi" w:cstheme="minorBidi"/>
            <w:lang w:eastAsia="en-AU"/>
          </w:rPr>
          <w:tab/>
        </w:r>
        <w:r w:rsidR="00D957A9" w:rsidRPr="00435521">
          <w:rPr>
            <w:rStyle w:val="Hyperlink"/>
          </w:rPr>
          <w:t>Compliance with the safety standard</w:t>
        </w:r>
        <w:r w:rsidR="00D957A9">
          <w:rPr>
            <w:webHidden/>
          </w:rPr>
          <w:tab/>
        </w:r>
        <w:r w:rsidR="00D957A9">
          <w:rPr>
            <w:webHidden/>
          </w:rPr>
          <w:fldChar w:fldCharType="begin"/>
        </w:r>
        <w:r w:rsidR="00D957A9">
          <w:rPr>
            <w:webHidden/>
          </w:rPr>
          <w:instrText xml:space="preserve"> PAGEREF _Toc463364231 \h </w:instrText>
        </w:r>
        <w:r w:rsidR="00D957A9">
          <w:rPr>
            <w:webHidden/>
          </w:rPr>
        </w:r>
        <w:r w:rsidR="00D957A9">
          <w:rPr>
            <w:webHidden/>
          </w:rPr>
          <w:fldChar w:fldCharType="separate"/>
        </w:r>
        <w:r w:rsidR="00D957A9">
          <w:rPr>
            <w:webHidden/>
          </w:rPr>
          <w:t>4</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32" w:history="1">
        <w:r w:rsidR="00D957A9" w:rsidRPr="00435521">
          <w:rPr>
            <w:rStyle w:val="Hyperlink"/>
          </w:rPr>
          <w:t>4.</w:t>
        </w:r>
        <w:r w:rsidR="00D957A9">
          <w:rPr>
            <w:rFonts w:asciiTheme="minorHAnsi" w:eastAsiaTheme="minorEastAsia" w:hAnsiTheme="minorHAnsi" w:cstheme="minorBidi"/>
            <w:lang w:val="en-AU" w:eastAsia="en-AU"/>
          </w:rPr>
          <w:tab/>
        </w:r>
        <w:r w:rsidR="00D957A9" w:rsidRPr="00435521">
          <w:rPr>
            <w:rStyle w:val="Hyperlink"/>
          </w:rPr>
          <w:t>Adopting trusted international standards</w:t>
        </w:r>
        <w:r w:rsidR="00D957A9">
          <w:rPr>
            <w:webHidden/>
          </w:rPr>
          <w:tab/>
        </w:r>
        <w:r w:rsidR="00D957A9">
          <w:rPr>
            <w:webHidden/>
          </w:rPr>
          <w:fldChar w:fldCharType="begin"/>
        </w:r>
        <w:r w:rsidR="00D957A9">
          <w:rPr>
            <w:webHidden/>
          </w:rPr>
          <w:instrText xml:space="preserve"> PAGEREF _Toc463364232 \h </w:instrText>
        </w:r>
        <w:r w:rsidR="00D957A9">
          <w:rPr>
            <w:webHidden/>
          </w:rPr>
        </w:r>
        <w:r w:rsidR="00D957A9">
          <w:rPr>
            <w:webHidden/>
          </w:rPr>
          <w:fldChar w:fldCharType="separate"/>
        </w:r>
        <w:r w:rsidR="00D957A9">
          <w:rPr>
            <w:webHidden/>
          </w:rPr>
          <w:t>5</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3" w:history="1">
        <w:r w:rsidR="00D957A9" w:rsidRPr="00435521">
          <w:rPr>
            <w:rStyle w:val="Hyperlink"/>
          </w:rPr>
          <w:t>4.1</w:t>
        </w:r>
        <w:r w:rsidR="00D957A9">
          <w:rPr>
            <w:rFonts w:asciiTheme="minorHAnsi" w:eastAsiaTheme="minorEastAsia" w:hAnsiTheme="minorHAnsi" w:cstheme="minorBidi"/>
            <w:lang w:eastAsia="en-AU"/>
          </w:rPr>
          <w:tab/>
        </w:r>
        <w:r w:rsidR="00D957A9" w:rsidRPr="00435521">
          <w:rPr>
            <w:rStyle w:val="Hyperlink"/>
          </w:rPr>
          <w:t>European standards</w:t>
        </w:r>
        <w:r w:rsidR="00D957A9">
          <w:rPr>
            <w:webHidden/>
          </w:rPr>
          <w:tab/>
        </w:r>
        <w:r w:rsidR="00D957A9">
          <w:rPr>
            <w:webHidden/>
          </w:rPr>
          <w:fldChar w:fldCharType="begin"/>
        </w:r>
        <w:r w:rsidR="00D957A9">
          <w:rPr>
            <w:webHidden/>
          </w:rPr>
          <w:instrText xml:space="preserve"> PAGEREF _Toc463364233 \h </w:instrText>
        </w:r>
        <w:r w:rsidR="00D957A9">
          <w:rPr>
            <w:webHidden/>
          </w:rPr>
        </w:r>
        <w:r w:rsidR="00D957A9">
          <w:rPr>
            <w:webHidden/>
          </w:rPr>
          <w:fldChar w:fldCharType="separate"/>
        </w:r>
        <w:r w:rsidR="00D957A9">
          <w:rPr>
            <w:webHidden/>
          </w:rPr>
          <w:t>5</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4" w:history="1">
        <w:r w:rsidR="00D957A9" w:rsidRPr="00435521">
          <w:rPr>
            <w:rStyle w:val="Hyperlink"/>
          </w:rPr>
          <w:t>4.2</w:t>
        </w:r>
        <w:r w:rsidR="00D957A9">
          <w:rPr>
            <w:rFonts w:asciiTheme="minorHAnsi" w:eastAsiaTheme="minorEastAsia" w:hAnsiTheme="minorHAnsi" w:cstheme="minorBidi"/>
            <w:lang w:eastAsia="en-AU"/>
          </w:rPr>
          <w:tab/>
        </w:r>
        <w:r w:rsidR="00D957A9" w:rsidRPr="00435521">
          <w:rPr>
            <w:rStyle w:val="Hyperlink"/>
          </w:rPr>
          <w:t>ASTM standard</w:t>
        </w:r>
        <w:r w:rsidR="00D957A9">
          <w:rPr>
            <w:webHidden/>
          </w:rPr>
          <w:tab/>
        </w:r>
        <w:r w:rsidR="00D957A9">
          <w:rPr>
            <w:webHidden/>
          </w:rPr>
          <w:fldChar w:fldCharType="begin"/>
        </w:r>
        <w:r w:rsidR="00D957A9">
          <w:rPr>
            <w:webHidden/>
          </w:rPr>
          <w:instrText xml:space="preserve"> PAGEREF _Toc463364234 \h </w:instrText>
        </w:r>
        <w:r w:rsidR="00D957A9">
          <w:rPr>
            <w:webHidden/>
          </w:rPr>
        </w:r>
        <w:r w:rsidR="00D957A9">
          <w:rPr>
            <w:webHidden/>
          </w:rPr>
          <w:fldChar w:fldCharType="separate"/>
        </w:r>
        <w:r w:rsidR="00D957A9">
          <w:rPr>
            <w:webHidden/>
          </w:rPr>
          <w:t>5</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35" w:history="1">
        <w:r w:rsidR="00D957A9" w:rsidRPr="00435521">
          <w:rPr>
            <w:rStyle w:val="Hyperlink"/>
          </w:rPr>
          <w:t>5.</w:t>
        </w:r>
        <w:r w:rsidR="00D957A9">
          <w:rPr>
            <w:rFonts w:asciiTheme="minorHAnsi" w:eastAsiaTheme="minorEastAsia" w:hAnsiTheme="minorHAnsi" w:cstheme="minorBidi"/>
            <w:lang w:val="en-AU" w:eastAsia="en-AU"/>
          </w:rPr>
          <w:tab/>
        </w:r>
        <w:r w:rsidR="00D957A9" w:rsidRPr="00435521">
          <w:rPr>
            <w:rStyle w:val="Hyperlink"/>
          </w:rPr>
          <w:t>Detailed description of policy options</w:t>
        </w:r>
        <w:r w:rsidR="00D957A9">
          <w:rPr>
            <w:webHidden/>
          </w:rPr>
          <w:tab/>
        </w:r>
        <w:r w:rsidR="00D957A9">
          <w:rPr>
            <w:webHidden/>
          </w:rPr>
          <w:fldChar w:fldCharType="begin"/>
        </w:r>
        <w:r w:rsidR="00D957A9">
          <w:rPr>
            <w:webHidden/>
          </w:rPr>
          <w:instrText xml:space="preserve"> PAGEREF _Toc463364235 \h </w:instrText>
        </w:r>
        <w:r w:rsidR="00D957A9">
          <w:rPr>
            <w:webHidden/>
          </w:rPr>
        </w:r>
        <w:r w:rsidR="00D957A9">
          <w:rPr>
            <w:webHidden/>
          </w:rPr>
          <w:fldChar w:fldCharType="separate"/>
        </w:r>
        <w:r w:rsidR="00D957A9">
          <w:rPr>
            <w:webHidden/>
          </w:rPr>
          <w:t>6</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6" w:history="1">
        <w:r w:rsidR="00D957A9" w:rsidRPr="00435521">
          <w:rPr>
            <w:rStyle w:val="Hyperlink"/>
          </w:rPr>
          <w:t>Option 1 - Keep the current mandatory standard (status quo)</w:t>
        </w:r>
        <w:r w:rsidR="00D957A9">
          <w:rPr>
            <w:webHidden/>
          </w:rPr>
          <w:tab/>
        </w:r>
        <w:r w:rsidR="00D957A9">
          <w:rPr>
            <w:webHidden/>
          </w:rPr>
          <w:fldChar w:fldCharType="begin"/>
        </w:r>
        <w:r w:rsidR="00D957A9">
          <w:rPr>
            <w:webHidden/>
          </w:rPr>
          <w:instrText xml:space="preserve"> PAGEREF _Toc463364236 \h </w:instrText>
        </w:r>
        <w:r w:rsidR="00D957A9">
          <w:rPr>
            <w:webHidden/>
          </w:rPr>
        </w:r>
        <w:r w:rsidR="00D957A9">
          <w:rPr>
            <w:webHidden/>
          </w:rPr>
          <w:fldChar w:fldCharType="separate"/>
        </w:r>
        <w:r w:rsidR="00D957A9">
          <w:rPr>
            <w:webHidden/>
          </w:rPr>
          <w:t>6</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7" w:history="1">
        <w:r w:rsidR="00D957A9" w:rsidRPr="00435521">
          <w:rPr>
            <w:rStyle w:val="Hyperlink"/>
          </w:rPr>
          <w:t>Option 2 – Improve the permanence and legibility of the safety warnings</w:t>
        </w:r>
        <w:r w:rsidR="00D957A9">
          <w:rPr>
            <w:webHidden/>
          </w:rPr>
          <w:tab/>
        </w:r>
        <w:r w:rsidR="00D957A9">
          <w:rPr>
            <w:webHidden/>
          </w:rPr>
          <w:fldChar w:fldCharType="begin"/>
        </w:r>
        <w:r w:rsidR="00D957A9">
          <w:rPr>
            <w:webHidden/>
          </w:rPr>
          <w:instrText xml:space="preserve"> PAGEREF _Toc463364237 \h </w:instrText>
        </w:r>
        <w:r w:rsidR="00D957A9">
          <w:rPr>
            <w:webHidden/>
          </w:rPr>
        </w:r>
        <w:r w:rsidR="00D957A9">
          <w:rPr>
            <w:webHidden/>
          </w:rPr>
          <w:fldChar w:fldCharType="separate"/>
        </w:r>
        <w:r w:rsidR="00D957A9">
          <w:rPr>
            <w:webHidden/>
          </w:rPr>
          <w:t>7</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8" w:history="1">
        <w:r w:rsidR="00D957A9" w:rsidRPr="00435521">
          <w:rPr>
            <w:rStyle w:val="Hyperlink"/>
          </w:rPr>
          <w:t>Option 3 - Accept the ASTM standard</w:t>
        </w:r>
        <w:r w:rsidR="00D957A9">
          <w:rPr>
            <w:webHidden/>
          </w:rPr>
          <w:tab/>
        </w:r>
        <w:r w:rsidR="00D957A9">
          <w:rPr>
            <w:webHidden/>
          </w:rPr>
          <w:fldChar w:fldCharType="begin"/>
        </w:r>
        <w:r w:rsidR="00D957A9">
          <w:rPr>
            <w:webHidden/>
          </w:rPr>
          <w:instrText xml:space="preserve"> PAGEREF _Toc463364238 \h </w:instrText>
        </w:r>
        <w:r w:rsidR="00D957A9">
          <w:rPr>
            <w:webHidden/>
          </w:rPr>
        </w:r>
        <w:r w:rsidR="00D957A9">
          <w:rPr>
            <w:webHidden/>
          </w:rPr>
          <w:fldChar w:fldCharType="separate"/>
        </w:r>
        <w:r w:rsidR="00D957A9">
          <w:rPr>
            <w:webHidden/>
          </w:rPr>
          <w:t>7</w:t>
        </w:r>
        <w:r w:rsidR="00D957A9">
          <w:rPr>
            <w:webHidden/>
          </w:rPr>
          <w:fldChar w:fldCharType="end"/>
        </w:r>
      </w:hyperlink>
    </w:p>
    <w:p w:rsidR="00D957A9" w:rsidRDefault="00AC6EEF">
      <w:pPr>
        <w:pStyle w:val="TOC2"/>
        <w:rPr>
          <w:rFonts w:asciiTheme="minorHAnsi" w:eastAsiaTheme="minorEastAsia" w:hAnsiTheme="minorHAnsi" w:cstheme="minorBidi"/>
          <w:lang w:eastAsia="en-AU"/>
        </w:rPr>
      </w:pPr>
      <w:hyperlink w:anchor="_Toc463364239" w:history="1">
        <w:r w:rsidR="00D957A9" w:rsidRPr="00435521">
          <w:rPr>
            <w:rStyle w:val="Hyperlink"/>
          </w:rPr>
          <w:t>Option 4 - Revoke the mandatory safety standard</w:t>
        </w:r>
        <w:r w:rsidR="00D957A9">
          <w:rPr>
            <w:webHidden/>
          </w:rPr>
          <w:tab/>
        </w:r>
        <w:r w:rsidR="00D957A9">
          <w:rPr>
            <w:webHidden/>
          </w:rPr>
          <w:fldChar w:fldCharType="begin"/>
        </w:r>
        <w:r w:rsidR="00D957A9">
          <w:rPr>
            <w:webHidden/>
          </w:rPr>
          <w:instrText xml:space="preserve"> PAGEREF _Toc463364239 \h </w:instrText>
        </w:r>
        <w:r w:rsidR="00D957A9">
          <w:rPr>
            <w:webHidden/>
          </w:rPr>
        </w:r>
        <w:r w:rsidR="00D957A9">
          <w:rPr>
            <w:webHidden/>
          </w:rPr>
          <w:fldChar w:fldCharType="separate"/>
        </w:r>
        <w:r w:rsidR="00D957A9">
          <w:rPr>
            <w:webHidden/>
          </w:rPr>
          <w:t>8</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40" w:history="1">
        <w:r w:rsidR="00D957A9" w:rsidRPr="00435521">
          <w:rPr>
            <w:rStyle w:val="Hyperlink"/>
          </w:rPr>
          <w:t>6.</w:t>
        </w:r>
        <w:r w:rsidR="00D957A9">
          <w:rPr>
            <w:rFonts w:asciiTheme="minorHAnsi" w:eastAsiaTheme="minorEastAsia" w:hAnsiTheme="minorHAnsi" w:cstheme="minorBidi"/>
            <w:lang w:val="en-AU" w:eastAsia="en-AU"/>
          </w:rPr>
          <w:tab/>
        </w:r>
        <w:r w:rsidR="00D957A9" w:rsidRPr="00435521">
          <w:rPr>
            <w:rStyle w:val="Hyperlink"/>
          </w:rPr>
          <w:t>Preliminary position</w:t>
        </w:r>
        <w:r w:rsidR="00D957A9">
          <w:rPr>
            <w:webHidden/>
          </w:rPr>
          <w:tab/>
        </w:r>
        <w:r w:rsidR="00D957A9">
          <w:rPr>
            <w:webHidden/>
          </w:rPr>
          <w:fldChar w:fldCharType="begin"/>
        </w:r>
        <w:r w:rsidR="00D957A9">
          <w:rPr>
            <w:webHidden/>
          </w:rPr>
          <w:instrText xml:space="preserve"> PAGEREF _Toc463364240 \h </w:instrText>
        </w:r>
        <w:r w:rsidR="00D957A9">
          <w:rPr>
            <w:webHidden/>
          </w:rPr>
        </w:r>
        <w:r w:rsidR="00D957A9">
          <w:rPr>
            <w:webHidden/>
          </w:rPr>
          <w:fldChar w:fldCharType="separate"/>
        </w:r>
        <w:r w:rsidR="00D957A9">
          <w:rPr>
            <w:webHidden/>
          </w:rPr>
          <w:t>9</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41" w:history="1">
        <w:r w:rsidR="00D957A9" w:rsidRPr="00435521">
          <w:rPr>
            <w:rStyle w:val="Hyperlink"/>
          </w:rPr>
          <w:t>7.</w:t>
        </w:r>
        <w:r w:rsidR="00D957A9">
          <w:rPr>
            <w:rFonts w:asciiTheme="minorHAnsi" w:eastAsiaTheme="minorEastAsia" w:hAnsiTheme="minorHAnsi" w:cstheme="minorBidi"/>
            <w:lang w:val="en-AU" w:eastAsia="en-AU"/>
          </w:rPr>
          <w:tab/>
        </w:r>
        <w:r w:rsidR="00D957A9" w:rsidRPr="00435521">
          <w:rPr>
            <w:rStyle w:val="Hyperlink"/>
          </w:rPr>
          <w:t>Consultation questions</w:t>
        </w:r>
        <w:r w:rsidR="00D957A9">
          <w:rPr>
            <w:webHidden/>
          </w:rPr>
          <w:tab/>
        </w:r>
        <w:r w:rsidR="00D957A9">
          <w:rPr>
            <w:webHidden/>
          </w:rPr>
          <w:fldChar w:fldCharType="begin"/>
        </w:r>
        <w:r w:rsidR="00D957A9">
          <w:rPr>
            <w:webHidden/>
          </w:rPr>
          <w:instrText xml:space="preserve"> PAGEREF _Toc463364241 \h </w:instrText>
        </w:r>
        <w:r w:rsidR="00D957A9">
          <w:rPr>
            <w:webHidden/>
          </w:rPr>
        </w:r>
        <w:r w:rsidR="00D957A9">
          <w:rPr>
            <w:webHidden/>
          </w:rPr>
          <w:fldChar w:fldCharType="separate"/>
        </w:r>
        <w:r w:rsidR="00D957A9">
          <w:rPr>
            <w:webHidden/>
          </w:rPr>
          <w:t>9</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42" w:history="1">
        <w:r w:rsidR="00D957A9" w:rsidRPr="00435521">
          <w:rPr>
            <w:rStyle w:val="Hyperlink"/>
          </w:rPr>
          <w:t>8.</w:t>
        </w:r>
        <w:r w:rsidR="00D957A9">
          <w:rPr>
            <w:rFonts w:asciiTheme="minorHAnsi" w:eastAsiaTheme="minorEastAsia" w:hAnsiTheme="minorHAnsi" w:cstheme="minorBidi"/>
            <w:lang w:val="en-AU" w:eastAsia="en-AU"/>
          </w:rPr>
          <w:tab/>
        </w:r>
        <w:r w:rsidR="00D957A9" w:rsidRPr="00435521">
          <w:rPr>
            <w:rStyle w:val="Hyperlink"/>
          </w:rPr>
          <w:t>Have your say</w:t>
        </w:r>
        <w:r w:rsidR="00D957A9">
          <w:rPr>
            <w:webHidden/>
          </w:rPr>
          <w:tab/>
        </w:r>
        <w:r w:rsidR="00D957A9">
          <w:rPr>
            <w:webHidden/>
          </w:rPr>
          <w:fldChar w:fldCharType="begin"/>
        </w:r>
        <w:r w:rsidR="00D957A9">
          <w:rPr>
            <w:webHidden/>
          </w:rPr>
          <w:instrText xml:space="preserve"> PAGEREF _Toc463364242 \h </w:instrText>
        </w:r>
        <w:r w:rsidR="00D957A9">
          <w:rPr>
            <w:webHidden/>
          </w:rPr>
        </w:r>
        <w:r w:rsidR="00D957A9">
          <w:rPr>
            <w:webHidden/>
          </w:rPr>
          <w:fldChar w:fldCharType="separate"/>
        </w:r>
        <w:r w:rsidR="00D957A9">
          <w:rPr>
            <w:webHidden/>
          </w:rPr>
          <w:t>10</w:t>
        </w:r>
        <w:r w:rsidR="00D957A9">
          <w:rPr>
            <w:webHidden/>
          </w:rPr>
          <w:fldChar w:fldCharType="end"/>
        </w:r>
      </w:hyperlink>
    </w:p>
    <w:p w:rsidR="00D957A9" w:rsidRDefault="00AC6EEF">
      <w:pPr>
        <w:pStyle w:val="TOC1"/>
        <w:rPr>
          <w:rFonts w:asciiTheme="minorHAnsi" w:eastAsiaTheme="minorEastAsia" w:hAnsiTheme="minorHAnsi" w:cstheme="minorBidi"/>
          <w:lang w:val="en-AU" w:eastAsia="en-AU"/>
        </w:rPr>
      </w:pPr>
      <w:hyperlink w:anchor="_Toc463364243" w:history="1">
        <w:r w:rsidR="00D957A9" w:rsidRPr="00435521">
          <w:rPr>
            <w:rStyle w:val="Hyperlink"/>
          </w:rPr>
          <w:t>Glossary</w:t>
        </w:r>
        <w:r w:rsidR="00D957A9">
          <w:rPr>
            <w:webHidden/>
          </w:rPr>
          <w:tab/>
        </w:r>
        <w:r w:rsidR="00D957A9">
          <w:rPr>
            <w:webHidden/>
          </w:rPr>
          <w:fldChar w:fldCharType="begin"/>
        </w:r>
        <w:r w:rsidR="00D957A9">
          <w:rPr>
            <w:webHidden/>
          </w:rPr>
          <w:instrText xml:space="preserve"> PAGEREF _Toc463364243 \h </w:instrText>
        </w:r>
        <w:r w:rsidR="00D957A9">
          <w:rPr>
            <w:webHidden/>
          </w:rPr>
        </w:r>
        <w:r w:rsidR="00D957A9">
          <w:rPr>
            <w:webHidden/>
          </w:rPr>
          <w:fldChar w:fldCharType="separate"/>
        </w:r>
        <w:r w:rsidR="00D957A9">
          <w:rPr>
            <w:webHidden/>
          </w:rPr>
          <w:t>10</w:t>
        </w:r>
        <w:r w:rsidR="00D957A9">
          <w:rPr>
            <w:webHidden/>
          </w:rPr>
          <w:fldChar w:fldCharType="end"/>
        </w:r>
      </w:hyperlink>
    </w:p>
    <w:p w:rsidR="00782C4B" w:rsidRDefault="0086325C" w:rsidP="00BD204E">
      <w:pPr>
        <w:ind w:right="401"/>
        <w:rPr>
          <w:rFonts w:ascii="Lucida Fax" w:eastAsia="Times New Roman" w:hAnsi="Lucida Fax"/>
          <w:bCs/>
          <w:color w:val="51626F"/>
          <w:sz w:val="32"/>
          <w:szCs w:val="28"/>
        </w:rPr>
      </w:pPr>
      <w:r w:rsidRPr="00242590">
        <w:rPr>
          <w:rFonts w:eastAsia="Times New Roman" w:cs="Arial"/>
          <w:bCs/>
          <w:color w:val="51626F"/>
          <w:sz w:val="20"/>
          <w:szCs w:val="20"/>
        </w:rPr>
        <w:fldChar w:fldCharType="end"/>
      </w:r>
      <w:bookmarkStart w:id="0" w:name="_Toc453759776"/>
      <w:bookmarkStart w:id="1" w:name="_Toc453749322"/>
    </w:p>
    <w:p w:rsidR="00935D49" w:rsidRDefault="00782C4B" w:rsidP="004B222C">
      <w:pPr>
        <w:pStyle w:val="Numbered1"/>
        <w:numPr>
          <w:ilvl w:val="0"/>
          <w:numId w:val="26"/>
        </w:numPr>
        <w:spacing w:before="0"/>
        <w:ind w:left="680" w:hanging="680"/>
      </w:pPr>
      <w:r>
        <w:br w:type="page"/>
      </w:r>
      <w:bookmarkStart w:id="2" w:name="_Toc459041398"/>
      <w:bookmarkStart w:id="3" w:name="_Toc463364225"/>
      <w:bookmarkEnd w:id="0"/>
      <w:r w:rsidR="00935D49" w:rsidRPr="00382011">
        <w:lastRenderedPageBreak/>
        <w:t>Introduction</w:t>
      </w:r>
      <w:bookmarkEnd w:id="1"/>
      <w:bookmarkEnd w:id="2"/>
      <w:bookmarkEnd w:id="3"/>
    </w:p>
    <w:p w:rsidR="00DE17CC" w:rsidRDefault="00935D49" w:rsidP="000C6D5B">
      <w:r w:rsidRPr="004421B4">
        <w:t>The</w:t>
      </w:r>
      <w:r>
        <w:t xml:space="preserve"> ACCC is reviewing the safet</w:t>
      </w:r>
      <w:r w:rsidR="00DE37CD">
        <w:t xml:space="preserve">y standard </w:t>
      </w:r>
      <w:r>
        <w:t xml:space="preserve">for </w:t>
      </w:r>
      <w:r w:rsidR="009804BC">
        <w:t>baby bath aids</w:t>
      </w:r>
      <w:r w:rsidR="00DE17CC">
        <w:t xml:space="preserve"> </w:t>
      </w:r>
      <w:r w:rsidR="00D726B7">
        <w:t>to</w:t>
      </w:r>
      <w:r w:rsidR="00DE17CC">
        <w:t>:</w:t>
      </w:r>
    </w:p>
    <w:p w:rsidR="00561277" w:rsidRDefault="00561277" w:rsidP="00561277">
      <w:pPr>
        <w:numPr>
          <w:ilvl w:val="0"/>
          <w:numId w:val="46"/>
        </w:numPr>
      </w:pPr>
      <w:r>
        <w:t>improve t</w:t>
      </w:r>
      <w:r w:rsidRPr="009F6F97">
        <w:t xml:space="preserve">he </w:t>
      </w:r>
      <w:r>
        <w:t>permanence and legibility of the safety warnings</w:t>
      </w:r>
    </w:p>
    <w:p w:rsidR="00561277" w:rsidRDefault="00561277" w:rsidP="00561277">
      <w:pPr>
        <w:numPr>
          <w:ilvl w:val="0"/>
          <w:numId w:val="46"/>
        </w:numPr>
      </w:pPr>
      <w:r>
        <w:t>assess whether international standards are suitable for Australia.</w:t>
      </w:r>
    </w:p>
    <w:p w:rsidR="00DE17CC" w:rsidRDefault="00691C5E" w:rsidP="00DE17CC">
      <w:r>
        <w:t xml:space="preserve">The ACCC seeks stakeholder information that could </w:t>
      </w:r>
      <w:r w:rsidR="00DE17CC">
        <w:t>assist</w:t>
      </w:r>
      <w:r w:rsidR="007F0D59">
        <w:t xml:space="preserve"> in </w:t>
      </w:r>
      <w:r w:rsidR="00DE17CC">
        <w:t>the review.</w:t>
      </w:r>
    </w:p>
    <w:p w:rsidR="006B6636" w:rsidRDefault="00AC6EEF" w:rsidP="006B6636">
      <w:pPr>
        <w:pStyle w:val="ListParagraph"/>
        <w:numPr>
          <w:ilvl w:val="0"/>
          <w:numId w:val="0"/>
        </w:numPr>
        <w:ind w:left="340" w:hanging="340"/>
      </w:pPr>
      <w:r>
        <w:rPr>
          <w:noProof/>
        </w:rPr>
        <w:pict>
          <v:shape id="Text Box 2" o:spid="_x0000_s1038" type="#_x0000_t202" style="position:absolute;left:0;text-align:left;margin-left:-1.6pt;margin-top:9.25pt;width:447.75pt;height:62.8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Text Box 2">
              <w:txbxContent>
                <w:p w:rsidR="00FB2FB1" w:rsidRDefault="00FB2FB1" w:rsidP="00370E6C">
                  <w:pPr>
                    <w:pStyle w:val="ListParagraph"/>
                    <w:numPr>
                      <w:ilvl w:val="0"/>
                      <w:numId w:val="0"/>
                    </w:numPr>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FB2FB1" w:rsidRDefault="00FB2FB1" w:rsidP="00370E6C">
                  <w:pPr>
                    <w:pStyle w:val="ListParagraph"/>
                    <w:numPr>
                      <w:ilvl w:val="0"/>
                      <w:numId w:val="0"/>
                    </w:numPr>
                    <w:rPr>
                      <w:b/>
                    </w:rPr>
                  </w:pPr>
                  <w:r>
                    <w:rPr>
                      <w:b/>
                    </w:rPr>
                    <w:t>You</w:t>
                  </w:r>
                  <w:r w:rsidRPr="00396799">
                    <w:rPr>
                      <w:b/>
                    </w:rPr>
                    <w:t xml:space="preserve"> are encouraged to make submissions</w:t>
                  </w:r>
                  <w:r>
                    <w:rPr>
                      <w:b/>
                    </w:rPr>
                    <w:t>.</w:t>
                  </w:r>
                </w:p>
                <w:p w:rsidR="00FB2FB1" w:rsidRDefault="00FB2FB1" w:rsidP="006B6636">
                  <w:pPr>
                    <w:jc w:val="both"/>
                  </w:pPr>
                </w:p>
              </w:txbxContent>
            </v:textbox>
          </v:shape>
        </w:pict>
      </w:r>
    </w:p>
    <w:p w:rsidR="006B6636" w:rsidRDefault="006B6636" w:rsidP="006B6636">
      <w:pPr>
        <w:pStyle w:val="ListParagraph"/>
        <w:numPr>
          <w:ilvl w:val="0"/>
          <w:numId w:val="0"/>
        </w:numPr>
        <w:ind w:left="340" w:hanging="340"/>
      </w:pPr>
    </w:p>
    <w:p w:rsidR="006B6636" w:rsidRDefault="006B6636" w:rsidP="006B6636">
      <w:pPr>
        <w:pStyle w:val="ListParagraph"/>
        <w:numPr>
          <w:ilvl w:val="0"/>
          <w:numId w:val="0"/>
        </w:numPr>
        <w:ind w:left="340" w:hanging="340"/>
      </w:pPr>
    </w:p>
    <w:p w:rsidR="006B6636" w:rsidRDefault="006B6636" w:rsidP="006B6636">
      <w:pPr>
        <w:pStyle w:val="ListParagraph"/>
        <w:numPr>
          <w:ilvl w:val="0"/>
          <w:numId w:val="0"/>
        </w:numPr>
        <w:ind w:left="340" w:hanging="340"/>
      </w:pPr>
    </w:p>
    <w:p w:rsidR="00CE6BCF" w:rsidRDefault="0011768F" w:rsidP="004B222C">
      <w:pPr>
        <w:pStyle w:val="Numbered1"/>
        <w:numPr>
          <w:ilvl w:val="0"/>
          <w:numId w:val="26"/>
        </w:numPr>
        <w:spacing w:before="360"/>
        <w:ind w:left="680" w:hanging="680"/>
      </w:pPr>
      <w:bookmarkStart w:id="4" w:name="_Toc459041399"/>
      <w:bookmarkStart w:id="5" w:name="_Toc463364226"/>
      <w:r>
        <w:t>Policy options</w:t>
      </w:r>
      <w:bookmarkEnd w:id="4"/>
      <w:bookmarkEnd w:id="5"/>
    </w:p>
    <w:p w:rsidR="007E2ECF" w:rsidRDefault="00DE17CC" w:rsidP="006B6636">
      <w:bookmarkStart w:id="6" w:name="_Toc448397926"/>
      <w:bookmarkStart w:id="7" w:name="_Toc453749080"/>
      <w:bookmarkStart w:id="8" w:name="_Toc453749326"/>
      <w:bookmarkStart w:id="9" w:name="_Toc453749376"/>
      <w:bookmarkStart w:id="10" w:name="_Toc453759781"/>
      <w:bookmarkStart w:id="11" w:name="_Toc453763179"/>
      <w:bookmarkStart w:id="12" w:name="_Toc453763864"/>
      <w:bookmarkStart w:id="13" w:name="_Toc453765774"/>
      <w:bookmarkStart w:id="14" w:name="_Toc454443989"/>
      <w:bookmarkStart w:id="15" w:name="_Toc454544413"/>
      <w:bookmarkStart w:id="16" w:name="_Toc455579995"/>
      <w:bookmarkStart w:id="17" w:name="_Toc456277613"/>
      <w:bookmarkStart w:id="18" w:name="_Toc456278982"/>
      <w:bookmarkStart w:id="19" w:name="_Toc457311805"/>
      <w:r w:rsidRPr="00DE17CC">
        <w:t xml:space="preserve">This consultation paper discusses </w:t>
      </w:r>
      <w:r>
        <w:t>four</w:t>
      </w:r>
      <w:r w:rsidRPr="00DE17CC">
        <w:t xml:space="preserve"> policy options:</w:t>
      </w:r>
    </w:p>
    <w:tbl>
      <w:tblPr>
        <w:tblW w:w="0" w:type="auto"/>
        <w:tblLook w:val="04A0" w:firstRow="1" w:lastRow="0" w:firstColumn="1" w:lastColumn="0" w:noHBand="0" w:noVBand="1"/>
      </w:tblPr>
      <w:tblGrid>
        <w:gridCol w:w="1526"/>
        <w:gridCol w:w="7229"/>
      </w:tblGrid>
      <w:tr w:rsidR="00F45892" w:rsidRPr="00F47A7B" w:rsidTr="00804D7E">
        <w:tc>
          <w:tcPr>
            <w:tcW w:w="1526" w:type="dxa"/>
            <w:shd w:val="clear" w:color="auto" w:fill="auto"/>
          </w:tcPr>
          <w:p w:rsidR="00F45892" w:rsidRPr="00F47A7B" w:rsidRDefault="00F45892" w:rsidP="00804D7E">
            <w:r w:rsidRPr="00F45892">
              <w:t>Option 1</w:t>
            </w:r>
          </w:p>
        </w:tc>
        <w:tc>
          <w:tcPr>
            <w:tcW w:w="7229" w:type="dxa"/>
            <w:shd w:val="clear" w:color="auto" w:fill="auto"/>
          </w:tcPr>
          <w:p w:rsidR="00F45892" w:rsidRPr="00F47A7B" w:rsidRDefault="00F45892" w:rsidP="008D4674">
            <w:r w:rsidRPr="00F45892">
              <w:t xml:space="preserve">Keep the current </w:t>
            </w:r>
            <w:r w:rsidR="006465DA">
              <w:t xml:space="preserve">mandatory </w:t>
            </w:r>
            <w:r w:rsidRPr="00F45892">
              <w:t>safety standard (status quo)</w:t>
            </w:r>
          </w:p>
        </w:tc>
      </w:tr>
      <w:tr w:rsidR="006B6636" w:rsidRPr="00F47A7B" w:rsidTr="00804D7E">
        <w:tc>
          <w:tcPr>
            <w:tcW w:w="1526" w:type="dxa"/>
            <w:shd w:val="clear" w:color="auto" w:fill="auto"/>
          </w:tcPr>
          <w:p w:rsidR="006B6636" w:rsidRPr="00F47A7B" w:rsidRDefault="006B6636" w:rsidP="00804D7E">
            <w:pPr>
              <w:rPr>
                <w:b/>
              </w:rPr>
            </w:pPr>
            <w:r w:rsidRPr="00F47A7B">
              <w:t>Option 2</w:t>
            </w:r>
          </w:p>
        </w:tc>
        <w:tc>
          <w:tcPr>
            <w:tcW w:w="7229" w:type="dxa"/>
            <w:shd w:val="clear" w:color="auto" w:fill="auto"/>
          </w:tcPr>
          <w:p w:rsidR="006B6636" w:rsidRPr="0086325C" w:rsidRDefault="006465DA" w:rsidP="008D4674">
            <w:pPr>
              <w:rPr>
                <w:b/>
              </w:rPr>
            </w:pPr>
            <w:r w:rsidRPr="006465DA">
              <w:t>Improve the permanence and legibility of the safety warnings</w:t>
            </w:r>
          </w:p>
        </w:tc>
      </w:tr>
      <w:tr w:rsidR="006B6636" w:rsidRPr="00F47A7B" w:rsidTr="00804D7E">
        <w:tc>
          <w:tcPr>
            <w:tcW w:w="1526" w:type="dxa"/>
            <w:shd w:val="clear" w:color="auto" w:fill="auto"/>
          </w:tcPr>
          <w:p w:rsidR="006B6636" w:rsidRPr="005A60B4" w:rsidRDefault="006B6636" w:rsidP="00804D7E">
            <w:pPr>
              <w:rPr>
                <w:b/>
              </w:rPr>
            </w:pPr>
            <w:r w:rsidRPr="005A60B4">
              <w:t>Option 3</w:t>
            </w:r>
          </w:p>
        </w:tc>
        <w:tc>
          <w:tcPr>
            <w:tcW w:w="7229" w:type="dxa"/>
            <w:shd w:val="clear" w:color="auto" w:fill="auto"/>
          </w:tcPr>
          <w:p w:rsidR="006B6636" w:rsidRPr="00FA039C" w:rsidRDefault="006465DA" w:rsidP="003C3ED3">
            <w:r w:rsidRPr="006465DA">
              <w:t xml:space="preserve">Accept the </w:t>
            </w:r>
            <w:r w:rsidR="003C3ED3">
              <w:t>ASTM</w:t>
            </w:r>
            <w:r w:rsidR="003C3ED3" w:rsidRPr="006465DA">
              <w:t xml:space="preserve"> </w:t>
            </w:r>
            <w:r w:rsidRPr="006465DA">
              <w:t>standard</w:t>
            </w:r>
          </w:p>
        </w:tc>
      </w:tr>
      <w:tr w:rsidR="006B6636" w:rsidRPr="005A60B4" w:rsidTr="00804D7E">
        <w:tc>
          <w:tcPr>
            <w:tcW w:w="1526" w:type="dxa"/>
            <w:shd w:val="clear" w:color="auto" w:fill="auto"/>
          </w:tcPr>
          <w:p w:rsidR="006B6636" w:rsidRPr="006839D7" w:rsidRDefault="006B6636" w:rsidP="00804D7E">
            <w:r w:rsidRPr="005A60B4">
              <w:t>Option 4</w:t>
            </w:r>
          </w:p>
        </w:tc>
        <w:tc>
          <w:tcPr>
            <w:tcW w:w="7229" w:type="dxa"/>
            <w:shd w:val="clear" w:color="auto" w:fill="auto"/>
          </w:tcPr>
          <w:p w:rsidR="005F19F6" w:rsidRPr="00FA039C" w:rsidRDefault="00471B3E" w:rsidP="009804BC">
            <w:r>
              <w:t>Revoke the</w:t>
            </w:r>
            <w:r w:rsidR="006465DA">
              <w:t xml:space="preserve"> mandatory</w:t>
            </w:r>
            <w:r>
              <w:t xml:space="preserve"> safety standard.</w:t>
            </w:r>
          </w:p>
        </w:tc>
      </w:tr>
    </w:tbl>
    <w:p w:rsidR="00DA1099" w:rsidRDefault="00A10CFD" w:rsidP="004B222C">
      <w:pPr>
        <w:pStyle w:val="Numbered1"/>
        <w:numPr>
          <w:ilvl w:val="0"/>
          <w:numId w:val="26"/>
        </w:numPr>
        <w:ind w:left="680" w:hanging="680"/>
      </w:pPr>
      <w:bookmarkStart w:id="20" w:name="_Toc459041400"/>
      <w:bookmarkStart w:id="21" w:name="_Toc463364227"/>
      <w:r>
        <w:t>Background</w:t>
      </w:r>
      <w:bookmarkEnd w:id="20"/>
      <w:bookmarkEnd w:id="21"/>
    </w:p>
    <w:p w:rsidR="00CE6BCF" w:rsidRDefault="009804BC" w:rsidP="004B222C">
      <w:pPr>
        <w:pStyle w:val="Numbered11"/>
        <w:numPr>
          <w:ilvl w:val="1"/>
          <w:numId w:val="28"/>
        </w:numPr>
      </w:pPr>
      <w:bookmarkStart w:id="22" w:name="_Toc457816062"/>
      <w:bookmarkStart w:id="23" w:name="_Toc457817009"/>
      <w:bookmarkStart w:id="24" w:name="_Toc459041401"/>
      <w:bookmarkStart w:id="25" w:name="_Toc463364228"/>
      <w:bookmarkEnd w:id="6"/>
      <w:bookmarkEnd w:id="7"/>
      <w:bookmarkEnd w:id="8"/>
      <w:bookmarkEnd w:id="9"/>
      <w:bookmarkEnd w:id="10"/>
      <w:bookmarkEnd w:id="11"/>
      <w:bookmarkEnd w:id="12"/>
      <w:bookmarkEnd w:id="13"/>
      <w:bookmarkEnd w:id="14"/>
      <w:bookmarkEnd w:id="15"/>
      <w:bookmarkEnd w:id="16"/>
      <w:bookmarkEnd w:id="17"/>
      <w:bookmarkEnd w:id="18"/>
      <w:bookmarkEnd w:id="19"/>
      <w:r>
        <w:t>Baby bath aids</w:t>
      </w:r>
      <w:r w:rsidR="00A10CFD">
        <w:t xml:space="preserve"> in Australia</w:t>
      </w:r>
      <w:bookmarkEnd w:id="22"/>
      <w:bookmarkEnd w:id="23"/>
      <w:bookmarkEnd w:id="24"/>
      <w:bookmarkEnd w:id="25"/>
    </w:p>
    <w:p w:rsidR="008D4674" w:rsidRDefault="00D20F23" w:rsidP="00AD0750">
      <w:r w:rsidRPr="00D20F23">
        <w:t>Baby bath aids are intended to</w:t>
      </w:r>
      <w:r w:rsidR="003B724E">
        <w:t xml:space="preserve"> provide limited</w:t>
      </w:r>
      <w:r w:rsidRPr="00D20F23">
        <w:t xml:space="preserve"> support in the water so that carers’ hands are free to bathe infants</w:t>
      </w:r>
      <w:r w:rsidR="003B724E">
        <w:t>. They</w:t>
      </w:r>
      <w:r w:rsidR="008B5918">
        <w:t xml:space="preserve"> have been in use in Australia since the 1980s.</w:t>
      </w:r>
      <w:r w:rsidR="00E75285">
        <w:t xml:space="preserve"> Based on 2004 figures, </w:t>
      </w:r>
      <w:r w:rsidR="004A58B1">
        <w:t>we</w:t>
      </w:r>
      <w:r w:rsidR="00CE001E">
        <w:t xml:space="preserve"> estimate that </w:t>
      </w:r>
      <w:r w:rsidR="004A58B1">
        <w:t xml:space="preserve">Australian consumers buy </w:t>
      </w:r>
      <w:r w:rsidR="00CE001E">
        <w:t xml:space="preserve">around </w:t>
      </w:r>
      <w:r w:rsidR="004A58B1">
        <w:t xml:space="preserve">190 </w:t>
      </w:r>
      <w:r w:rsidR="00E75285">
        <w:t>000</w:t>
      </w:r>
      <w:r w:rsidR="00CE001E">
        <w:t xml:space="preserve"> baby bath aids every year</w:t>
      </w:r>
      <w:r w:rsidR="00CF2849">
        <w:t>.</w:t>
      </w:r>
      <w:r w:rsidR="00CF2849">
        <w:rPr>
          <w:rStyle w:val="FootnoteReference"/>
        </w:rPr>
        <w:footnoteReference w:id="1"/>
      </w:r>
      <w:r w:rsidR="00B96232">
        <w:t xml:space="preserve"> </w:t>
      </w:r>
      <w:r w:rsidR="003B724E">
        <w:t>They</w:t>
      </w:r>
      <w:r w:rsidR="00A07259">
        <w:t xml:space="preserve"> are widely available </w:t>
      </w:r>
      <w:r w:rsidR="00CE001E">
        <w:t xml:space="preserve">from </w:t>
      </w:r>
      <w:r w:rsidR="008B5918" w:rsidRPr="008B5918">
        <w:t>specialist infant and nursery stores</w:t>
      </w:r>
      <w:r w:rsidR="008B5918">
        <w:t>,</w:t>
      </w:r>
      <w:r w:rsidR="008B5918" w:rsidRPr="008B5918">
        <w:t xml:space="preserve"> </w:t>
      </w:r>
      <w:r w:rsidR="0030440A">
        <w:t xml:space="preserve">major department stores, </w:t>
      </w:r>
      <w:r w:rsidR="00CE001E">
        <w:t>suppliers of</w:t>
      </w:r>
      <w:r w:rsidR="00972EE9">
        <w:t xml:space="preserve"> general merchandise</w:t>
      </w:r>
      <w:r w:rsidR="00CE001E">
        <w:t xml:space="preserve">, </w:t>
      </w:r>
      <w:r w:rsidR="0030440A">
        <w:t>discount and variety suppliers</w:t>
      </w:r>
      <w:r w:rsidR="004C6ABF">
        <w:t>,</w:t>
      </w:r>
      <w:r w:rsidR="007746A2">
        <w:t xml:space="preserve"> as well as online.</w:t>
      </w:r>
      <w:r w:rsidR="003B724E">
        <w:t xml:space="preserve"> </w:t>
      </w:r>
      <w:r w:rsidR="008D4674">
        <w:t>Most baby bath aids in Australia are imported and p</w:t>
      </w:r>
      <w:r w:rsidR="008D4674" w:rsidRPr="007746A2">
        <w:t>rice</w:t>
      </w:r>
      <w:r w:rsidR="008D4674">
        <w:t>s range from around $20 to $170.</w:t>
      </w:r>
    </w:p>
    <w:p w:rsidR="0080197F" w:rsidRDefault="008D4674" w:rsidP="00AD0750">
      <w:r>
        <w:t xml:space="preserve">Baby bath aids come in a </w:t>
      </w:r>
      <w:r w:rsidR="0030440A">
        <w:t>wide range of designs, with new types being developed from time to time</w:t>
      </w:r>
      <w:r w:rsidR="0041049F">
        <w:t xml:space="preserve"> such as shower chairs, combination products, change tables with baby baths and incorporated supports, or accessories. Products are made from a </w:t>
      </w:r>
      <w:r w:rsidR="00B96232">
        <w:t>wide</w:t>
      </w:r>
      <w:r w:rsidR="0041049F">
        <w:t xml:space="preserve"> range of materials, from fabric and foam, to rigid plastic constructions,</w:t>
      </w:r>
      <w:r w:rsidR="00B96232">
        <w:t xml:space="preserve"> and are made in various designs from </w:t>
      </w:r>
      <w:r w:rsidR="0041049F">
        <w:t>hammocks on frames to upright rings and seats.</w:t>
      </w:r>
      <w:r w:rsidR="007746A2" w:rsidRPr="007746A2">
        <w:t xml:space="preserve"> </w:t>
      </w:r>
      <w:r w:rsidR="003B724E">
        <w:t>T</w:t>
      </w:r>
      <w:r w:rsidR="007746A2">
        <w:t xml:space="preserve">heir durability means </w:t>
      </w:r>
      <w:r w:rsidR="00D957A9">
        <w:t xml:space="preserve">that consumers </w:t>
      </w:r>
      <w:r w:rsidR="007746A2">
        <w:t>often</w:t>
      </w:r>
      <w:r w:rsidR="0080197F">
        <w:t xml:space="preserve"> </w:t>
      </w:r>
      <w:r w:rsidR="00D957A9">
        <w:t xml:space="preserve">supply them </w:t>
      </w:r>
      <w:r w:rsidR="0080197F">
        <w:t xml:space="preserve">on the second hand market, </w:t>
      </w:r>
      <w:r w:rsidR="00D957A9">
        <w:t xml:space="preserve">give them </w:t>
      </w:r>
      <w:r w:rsidR="007746A2">
        <w:t xml:space="preserve">away, </w:t>
      </w:r>
      <w:r w:rsidR="0080197F">
        <w:t xml:space="preserve">or </w:t>
      </w:r>
      <w:r w:rsidR="003B724E">
        <w:t>store</w:t>
      </w:r>
      <w:r w:rsidR="0080197F">
        <w:t xml:space="preserve"> </w:t>
      </w:r>
      <w:r w:rsidR="00D957A9">
        <w:t xml:space="preserve">them </w:t>
      </w:r>
      <w:r w:rsidR="0080197F">
        <w:t>for future use</w:t>
      </w:r>
      <w:r w:rsidR="007746A2">
        <w:t xml:space="preserve">. </w:t>
      </w:r>
    </w:p>
    <w:p w:rsidR="00A10CFD" w:rsidRDefault="00431372" w:rsidP="004B222C">
      <w:pPr>
        <w:pStyle w:val="Numbered11"/>
        <w:numPr>
          <w:ilvl w:val="1"/>
          <w:numId w:val="28"/>
        </w:numPr>
      </w:pPr>
      <w:bookmarkStart w:id="26" w:name="_Toc463364229"/>
      <w:bookmarkStart w:id="27" w:name="_Toc457311806"/>
      <w:bookmarkStart w:id="28" w:name="_Toc457222699"/>
      <w:bookmarkStart w:id="29" w:name="_Toc440455032"/>
      <w:bookmarkStart w:id="30" w:name="_Toc457220018"/>
      <w:r>
        <w:t>Deaths and injuries</w:t>
      </w:r>
      <w:bookmarkEnd w:id="26"/>
    </w:p>
    <w:p w:rsidR="008D4674" w:rsidRDefault="008D4674" w:rsidP="008D4674">
      <w:r>
        <w:t>There have been infrequent but ongoing deaths of infants in baby bath aids overseas and in Australia for many years. T</w:t>
      </w:r>
      <w:r w:rsidRPr="00373C1C">
        <w:t xml:space="preserve">he most recent </w:t>
      </w:r>
      <w:r>
        <w:t xml:space="preserve">Australian death was </w:t>
      </w:r>
      <w:r w:rsidRPr="00373C1C">
        <w:t>in 2014</w:t>
      </w:r>
      <w:r>
        <w:t xml:space="preserve">.  </w:t>
      </w:r>
    </w:p>
    <w:p w:rsidR="008D4674" w:rsidRDefault="008D4674" w:rsidP="008D4674">
      <w:r>
        <w:t>Australian coronial investigations about babies who died when using bath aids</w:t>
      </w:r>
      <w:r w:rsidRPr="00E25029">
        <w:t xml:space="preserve"> </w:t>
      </w:r>
      <w:r>
        <w:t>found:</w:t>
      </w:r>
    </w:p>
    <w:p w:rsidR="008D4674" w:rsidRDefault="008D4674" w:rsidP="008D4674">
      <w:pPr>
        <w:pStyle w:val="Bulletpoint"/>
        <w:numPr>
          <w:ilvl w:val="0"/>
          <w:numId w:val="47"/>
        </w:numPr>
        <w:ind w:left="340" w:hanging="340"/>
      </w:pPr>
      <w:r>
        <w:t>all the deaths involved a lapse in adult supervision</w:t>
      </w:r>
    </w:p>
    <w:p w:rsidR="008D4674" w:rsidRDefault="008D4674" w:rsidP="008D4674">
      <w:pPr>
        <w:pStyle w:val="Bulletpoint"/>
        <w:numPr>
          <w:ilvl w:val="0"/>
          <w:numId w:val="47"/>
        </w:numPr>
        <w:ind w:left="340" w:hanging="340"/>
      </w:pPr>
      <w:r>
        <w:lastRenderedPageBreak/>
        <w:t>the risk increases when co-bathing other children.</w:t>
      </w:r>
    </w:p>
    <w:p w:rsidR="008D4674" w:rsidRDefault="008D4674" w:rsidP="008D4674">
      <w:r>
        <w:t>Coroners found that some carers had:</w:t>
      </w:r>
    </w:p>
    <w:p w:rsidR="008D4674" w:rsidRDefault="008D4674" w:rsidP="008D4674">
      <w:pPr>
        <w:pStyle w:val="Bulletpoint"/>
        <w:numPr>
          <w:ilvl w:val="0"/>
          <w:numId w:val="47"/>
        </w:numPr>
      </w:pPr>
      <w:r>
        <w:t>thought the water level was not ‘too high’ – however, although higher water levels increase the risk of drowning, no volume of water is safe</w:t>
      </w:r>
    </w:p>
    <w:p w:rsidR="008D4674" w:rsidRDefault="008D4674" w:rsidP="008D4674">
      <w:pPr>
        <w:pStyle w:val="Bulletpoint"/>
        <w:numPr>
          <w:ilvl w:val="0"/>
          <w:numId w:val="47"/>
        </w:numPr>
      </w:pPr>
      <w:r>
        <w:t>thought that they would hear something if the child was in distress</w:t>
      </w:r>
    </w:p>
    <w:p w:rsidR="008D4674" w:rsidRDefault="008D4674" w:rsidP="008D4674">
      <w:pPr>
        <w:pStyle w:val="Bulletpoint"/>
        <w:numPr>
          <w:ilvl w:val="0"/>
          <w:numId w:val="47"/>
        </w:numPr>
      </w:pPr>
      <w:r>
        <w:t>left the child in the care of a sibling</w:t>
      </w:r>
    </w:p>
    <w:p w:rsidR="008D4674" w:rsidRDefault="008D4674" w:rsidP="008D4674">
      <w:pPr>
        <w:pStyle w:val="Bulletpoint"/>
        <w:numPr>
          <w:ilvl w:val="0"/>
          <w:numId w:val="47"/>
        </w:numPr>
      </w:pPr>
      <w:r>
        <w:t xml:space="preserve">thought that they had not been away for ‘too long’ </w:t>
      </w:r>
    </w:p>
    <w:p w:rsidR="008D4674" w:rsidRDefault="008D4674" w:rsidP="00370E6C">
      <w:pPr>
        <w:pStyle w:val="Bulletpoint"/>
        <w:numPr>
          <w:ilvl w:val="0"/>
          <w:numId w:val="47"/>
        </w:numPr>
      </w:pPr>
      <w:r>
        <w:t>previously left the child unattended on several occasions and nothing had happened.</w:t>
      </w:r>
    </w:p>
    <w:p w:rsidR="008D4674" w:rsidRDefault="008D4674" w:rsidP="008D4674">
      <w:r>
        <w:t>Coroners also made findings about bath aid safety warnings:</w:t>
      </w:r>
    </w:p>
    <w:p w:rsidR="008D4674" w:rsidRDefault="008D4674" w:rsidP="008D4674">
      <w:pPr>
        <w:pStyle w:val="Bulletpoint"/>
        <w:numPr>
          <w:ilvl w:val="0"/>
          <w:numId w:val="47"/>
        </w:numPr>
      </w:pPr>
      <w:r>
        <w:t>some carers were distracted and had not heeded or noticed bath aid safety warnings</w:t>
      </w:r>
    </w:p>
    <w:p w:rsidR="008D4674" w:rsidRDefault="008D4674" w:rsidP="008D4674">
      <w:pPr>
        <w:pStyle w:val="Bulletpoint"/>
        <w:numPr>
          <w:ilvl w:val="0"/>
          <w:numId w:val="47"/>
        </w:numPr>
        <w:ind w:left="340" w:hanging="340"/>
      </w:pPr>
      <w:r>
        <w:t xml:space="preserve">some carers did not understand bath aid safety warnings in English. Note: three per cent of Australians speak English either not well or not at all (2011 Census) </w:t>
      </w:r>
    </w:p>
    <w:p w:rsidR="008D4674" w:rsidRDefault="008D4674" w:rsidP="008D4674">
      <w:pPr>
        <w:pStyle w:val="Bulletpoint"/>
        <w:numPr>
          <w:ilvl w:val="0"/>
          <w:numId w:val="47"/>
        </w:numPr>
      </w:pPr>
      <w:r>
        <w:t>some old baby bath aids did not have permanently affixed safety warnings</w:t>
      </w:r>
    </w:p>
    <w:p w:rsidR="008D4674" w:rsidRDefault="008D4674" w:rsidP="008D4674">
      <w:pPr>
        <w:pStyle w:val="Bulletpoint"/>
        <w:numPr>
          <w:ilvl w:val="0"/>
          <w:numId w:val="47"/>
        </w:numPr>
      </w:pPr>
      <w:r>
        <w:t>marketing baby bath aids as promoting safety undermines safety warnings</w:t>
      </w:r>
      <w:r w:rsidRPr="005E296B">
        <w:t xml:space="preserve"> </w:t>
      </w:r>
      <w:r w:rsidR="004C6ABF">
        <w:t>–</w:t>
      </w:r>
      <w:r>
        <w:t xml:space="preserve"> some</w:t>
      </w:r>
      <w:r w:rsidR="004C6ABF">
        <w:t xml:space="preserve"> </w:t>
      </w:r>
      <w:r>
        <w:t>carers ignored safety warnings because they believed baby bath aids improved safety.</w:t>
      </w:r>
    </w:p>
    <w:p w:rsidR="00F75460" w:rsidRDefault="0011768F" w:rsidP="004B222C">
      <w:pPr>
        <w:pStyle w:val="Numbered11"/>
        <w:numPr>
          <w:ilvl w:val="1"/>
          <w:numId w:val="28"/>
        </w:numPr>
      </w:pPr>
      <w:bookmarkStart w:id="31" w:name="_Toc463341230"/>
      <w:bookmarkStart w:id="32" w:name="_Toc463341364"/>
      <w:bookmarkStart w:id="33" w:name="_Toc463341231"/>
      <w:bookmarkStart w:id="34" w:name="_Toc463341365"/>
      <w:bookmarkStart w:id="35" w:name="_Toc463341232"/>
      <w:bookmarkStart w:id="36" w:name="_Toc463341366"/>
      <w:bookmarkStart w:id="37" w:name="_Toc463341233"/>
      <w:bookmarkStart w:id="38" w:name="_Toc463341367"/>
      <w:bookmarkStart w:id="39" w:name="_Toc463341234"/>
      <w:bookmarkStart w:id="40" w:name="_Toc463341368"/>
      <w:bookmarkStart w:id="41" w:name="_Toc463341235"/>
      <w:bookmarkStart w:id="42" w:name="_Toc463341369"/>
      <w:bookmarkStart w:id="43" w:name="_Toc463341236"/>
      <w:bookmarkStart w:id="44" w:name="_Toc463341370"/>
      <w:bookmarkStart w:id="45" w:name="_Toc463341237"/>
      <w:bookmarkStart w:id="46" w:name="_Toc463341371"/>
      <w:bookmarkStart w:id="47" w:name="_Toc463341238"/>
      <w:bookmarkStart w:id="48" w:name="_Toc463341372"/>
      <w:bookmarkStart w:id="49" w:name="_Toc463341239"/>
      <w:bookmarkStart w:id="50" w:name="_Toc463341373"/>
      <w:bookmarkStart w:id="51" w:name="_Toc463341240"/>
      <w:bookmarkStart w:id="52" w:name="_Toc463341374"/>
      <w:bookmarkStart w:id="53" w:name="_Toc463341241"/>
      <w:bookmarkStart w:id="54" w:name="_Toc463341375"/>
      <w:bookmarkStart w:id="55" w:name="_Toc463341242"/>
      <w:bookmarkStart w:id="56" w:name="_Toc463341376"/>
      <w:bookmarkStart w:id="57" w:name="_Toc457816064"/>
      <w:bookmarkStart w:id="58" w:name="_Toc457817011"/>
      <w:bookmarkStart w:id="59" w:name="_Toc459041403"/>
      <w:bookmarkStart w:id="60" w:name="_Toc4633642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The safety standard</w:t>
      </w:r>
      <w:bookmarkEnd w:id="57"/>
      <w:bookmarkEnd w:id="58"/>
      <w:bookmarkEnd w:id="59"/>
      <w:bookmarkEnd w:id="60"/>
    </w:p>
    <w:p w:rsidR="00894A8F" w:rsidRDefault="0043414C" w:rsidP="00D957A9">
      <w:bookmarkStart w:id="61" w:name="_Toc457816065"/>
      <w:bookmarkStart w:id="62" w:name="_Toc457817012"/>
      <w:bookmarkStart w:id="63" w:name="_Toc459041404"/>
      <w:bookmarkEnd w:id="27"/>
      <w:bookmarkEnd w:id="28"/>
      <w:bookmarkEnd w:id="29"/>
      <w:bookmarkEnd w:id="30"/>
      <w:r>
        <w:t>T</w:t>
      </w:r>
      <w:r w:rsidRPr="00B3309B">
        <w:t xml:space="preserve">here is no voluntary Australian standard for </w:t>
      </w:r>
      <w:r>
        <w:t>baby bath aids</w:t>
      </w:r>
      <w:r w:rsidRPr="00B3309B">
        <w:t>.</w:t>
      </w:r>
      <w:r>
        <w:t xml:space="preserve"> </w:t>
      </w:r>
      <w:r w:rsidR="00894A8F">
        <w:t>The mandatory safety standard (</w:t>
      </w:r>
      <w:r w:rsidR="00894A8F" w:rsidRPr="009C44EF">
        <w:t>Trade Practices (Consumer Product Safety Standard) (Baby Bath Aids) Regulations 2005</w:t>
      </w:r>
      <w:r w:rsidR="00894A8F">
        <w:t xml:space="preserve">) was introduced in 2005 following three reported deaths </w:t>
      </w:r>
      <w:r w:rsidR="00894A8F" w:rsidRPr="00D957A9">
        <w:t xml:space="preserve">in 2002. </w:t>
      </w:r>
      <w:r w:rsidR="00C52B8E">
        <w:t xml:space="preserve">We have </w:t>
      </w:r>
      <w:r w:rsidR="00894A8F">
        <w:t xml:space="preserve">not reviewed </w:t>
      </w:r>
      <w:r w:rsidR="009612BF">
        <w:t xml:space="preserve">the mandatory standard </w:t>
      </w:r>
      <w:r w:rsidR="00894A8F">
        <w:t>since it was introduced.</w:t>
      </w:r>
    </w:p>
    <w:p w:rsidR="00894A8F" w:rsidRDefault="00894A8F" w:rsidP="00D957A9">
      <w:r>
        <w:t xml:space="preserve">The mandatory safety standard requires a permanently affixed safety warning on baby bath aids to alert carers to not leave children unsupervised in the bath aid. The warning must be positioned so that it can easily be seen at all times while in use. </w:t>
      </w:r>
      <w:r w:rsidRPr="00CA5B23">
        <w:t xml:space="preserve">The </w:t>
      </w:r>
      <w:r>
        <w:t>mandatory</w:t>
      </w:r>
      <w:r w:rsidRPr="00CA5B23">
        <w:t xml:space="preserve"> standard does not have any performance, design or construction requirements.</w:t>
      </w:r>
    </w:p>
    <w:p w:rsidR="00B746EC" w:rsidRDefault="007B27A8" w:rsidP="00D957A9">
      <w:r>
        <w:t xml:space="preserve">The following is an </w:t>
      </w:r>
      <w:r w:rsidR="007744FE" w:rsidRPr="009859CB">
        <w:t xml:space="preserve">example </w:t>
      </w:r>
      <w:r>
        <w:t xml:space="preserve">of the </w:t>
      </w:r>
      <w:r w:rsidR="0083488A">
        <w:t xml:space="preserve">safety </w:t>
      </w:r>
      <w:r>
        <w:t xml:space="preserve">warning </w:t>
      </w:r>
      <w:r w:rsidR="007744FE" w:rsidRPr="009859CB">
        <w:t>(not to scale)</w:t>
      </w:r>
      <w:r w:rsidR="00B746EC" w:rsidRPr="009859CB">
        <w:t>:</w:t>
      </w:r>
    </w:p>
    <w:tbl>
      <w:tblPr>
        <w:tblStyle w:val="TableGrid"/>
        <w:tblW w:w="6975" w:type="dxa"/>
        <w:jc w:val="center"/>
        <w:tblInd w:w="13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7"/>
        <w:gridCol w:w="4111"/>
        <w:gridCol w:w="1417"/>
      </w:tblGrid>
      <w:tr w:rsidR="009F6F97" w:rsidTr="005A0638">
        <w:trPr>
          <w:cnfStyle w:val="100000000000" w:firstRow="1" w:lastRow="0" w:firstColumn="0" w:lastColumn="0" w:oddVBand="0" w:evenVBand="0" w:oddHBand="0" w:evenHBand="0" w:firstRowFirstColumn="0" w:firstRowLastColumn="0" w:lastRowFirstColumn="0" w:lastRowLastColumn="0"/>
          <w:trHeight w:val="1132"/>
          <w:jc w:val="center"/>
        </w:trPr>
        <w:tc>
          <w:tcPr>
            <w:cnfStyle w:val="001000000000" w:firstRow="0" w:lastRow="0" w:firstColumn="1" w:lastColumn="0" w:oddVBand="0" w:evenVBand="0" w:oddHBand="0" w:evenHBand="0" w:firstRowFirstColumn="0" w:firstRowLastColumn="0" w:lastRowFirstColumn="0" w:lastRowLastColumn="0"/>
            <w:tcW w:w="1447" w:type="dxa"/>
            <w:vAlign w:val="center"/>
          </w:tcPr>
          <w:p w:rsidR="009F6F97" w:rsidRPr="00124D86" w:rsidRDefault="00AC6EEF" w:rsidP="005A0638">
            <w:pPr>
              <w:jc w:val="center"/>
              <w:rPr>
                <w:b w:val="0"/>
              </w:rPr>
            </w:pPr>
            <w:hyperlink r:id="rId13" w:history="1">
              <w:r>
                <w:rPr>
                  <w:b w:val="0"/>
                  <w:noProof/>
                  <w:color w:val="0000FF"/>
                  <w:lang w:eastAsia="en-AU"/>
                </w:rPr>
                <w:pict>
                  <v:shape id="_x0000_i1026" type="#_x0000_t75" alt="http://www.thecuresafety.com/v/vspfiles/photos/ISO236AP-1.jpg" href="http://www.google.com.au/url?sa=i&amp;rct=j&amp;q=&amp;esrc=s&amp;source=images&amp;cd=&amp;cad=rja&amp;uact=8&amp;ved=0ahUKEwjl_JOxkanOAhXFM48KHWLBAgIQjRwIBw&amp;url=http://www.thecuresafety.com/Hand_Safety_s/307.htm&amp;bvm=bv.128987424,bs.1,d.amc&amp;psig=AFQjCNEeKmZSKwI3DDWm_Jq9dvK1XQ9pXQ&amp;ust=1470447340167970" style="width:41.25pt;height:36pt;visibility:visible;mso-wrap-style:square" o:button="t">
                    <v:fill o:detectmouseclick="t"/>
                    <v:imagedata r:id="rId14" o:title="ISO236AP-1"/>
                  </v:shape>
                </w:pict>
              </w:r>
            </w:hyperlink>
          </w:p>
        </w:tc>
        <w:tc>
          <w:tcPr>
            <w:tcW w:w="4111" w:type="dxa"/>
          </w:tcPr>
          <w:p w:rsidR="009F6F97" w:rsidRPr="00694936" w:rsidRDefault="009F6F97" w:rsidP="005A0638">
            <w:pPr>
              <w:jc w:val="center"/>
              <w:cnfStyle w:val="100000000000" w:firstRow="1" w:lastRow="0" w:firstColumn="0" w:lastColumn="0" w:oddVBand="0" w:evenVBand="0" w:oddHBand="0" w:evenHBand="0" w:firstRowFirstColumn="0" w:firstRowLastColumn="0" w:lastRowFirstColumn="0" w:lastRowLastColumn="0"/>
              <w:rPr>
                <w:b w:val="0"/>
              </w:rPr>
            </w:pPr>
            <w:r w:rsidRPr="001C013B">
              <w:rPr>
                <w:b w:val="0"/>
                <w:sz w:val="40"/>
                <w:szCs w:val="40"/>
              </w:rPr>
              <w:t>WARNING</w:t>
            </w:r>
            <w:r>
              <w:rPr>
                <w:b w:val="0"/>
                <w:sz w:val="40"/>
                <w:szCs w:val="40"/>
              </w:rPr>
              <w:br/>
            </w:r>
            <w:r w:rsidRPr="001C013B">
              <w:rPr>
                <w:b w:val="0"/>
                <w:sz w:val="16"/>
                <w:szCs w:val="16"/>
              </w:rPr>
              <w:t>Children have</w:t>
            </w:r>
            <w:r w:rsidRPr="00694936">
              <w:rPr>
                <w:b w:val="0"/>
              </w:rPr>
              <w:t xml:space="preserve"> DROWNED </w:t>
            </w:r>
            <w:r w:rsidRPr="001C013B">
              <w:rPr>
                <w:b w:val="0"/>
                <w:sz w:val="16"/>
                <w:szCs w:val="16"/>
              </w:rPr>
              <w:t xml:space="preserve">while using bath aids. </w:t>
            </w:r>
            <w:r>
              <w:rPr>
                <w:b w:val="0"/>
                <w:sz w:val="16"/>
                <w:szCs w:val="16"/>
              </w:rPr>
              <w:br/>
            </w:r>
            <w:r w:rsidRPr="001C013B">
              <w:rPr>
                <w:b w:val="0"/>
                <w:sz w:val="16"/>
                <w:szCs w:val="16"/>
              </w:rPr>
              <w:t>This is</w:t>
            </w:r>
            <w:r w:rsidRPr="00694936">
              <w:rPr>
                <w:b w:val="0"/>
              </w:rPr>
              <w:t xml:space="preserve"> NOT </w:t>
            </w:r>
            <w:r w:rsidRPr="001C013B">
              <w:rPr>
                <w:b w:val="0"/>
                <w:sz w:val="16"/>
                <w:szCs w:val="16"/>
              </w:rPr>
              <w:t>a safety device.</w:t>
            </w:r>
            <w:r>
              <w:rPr>
                <w:b w:val="0"/>
                <w:sz w:val="16"/>
                <w:szCs w:val="16"/>
              </w:rPr>
              <w:br/>
            </w:r>
            <w:r w:rsidRPr="00694936">
              <w:rPr>
                <w:b w:val="0"/>
              </w:rPr>
              <w:t xml:space="preserve">ALWAYS </w:t>
            </w:r>
            <w:r w:rsidRPr="001C013B">
              <w:rPr>
                <w:b w:val="0"/>
                <w:sz w:val="16"/>
                <w:szCs w:val="16"/>
              </w:rPr>
              <w:t>keep baby within arm’s reach.</w:t>
            </w:r>
            <w:r w:rsidRPr="00694936">
              <w:rPr>
                <w:b w:val="0"/>
              </w:rPr>
              <w:t xml:space="preserve"> </w:t>
            </w:r>
            <w:r>
              <w:rPr>
                <w:b w:val="0"/>
              </w:rPr>
              <w:br/>
            </w:r>
            <w:r w:rsidRPr="00694936">
              <w:rPr>
                <w:b w:val="0"/>
              </w:rPr>
              <w:t xml:space="preserve">NEVER </w:t>
            </w:r>
            <w:r w:rsidRPr="001C013B">
              <w:rPr>
                <w:b w:val="0"/>
                <w:sz w:val="16"/>
                <w:szCs w:val="16"/>
              </w:rPr>
              <w:t>leave baby in care of children</w:t>
            </w:r>
            <w:r>
              <w:rPr>
                <w:b w:val="0"/>
                <w:sz w:val="16"/>
                <w:szCs w:val="16"/>
              </w:rPr>
              <w:t>.</w:t>
            </w:r>
          </w:p>
        </w:tc>
        <w:tc>
          <w:tcPr>
            <w:tcW w:w="1417" w:type="dxa"/>
            <w:vAlign w:val="center"/>
          </w:tcPr>
          <w:p w:rsidR="009F6F97" w:rsidRDefault="00AC6EEF" w:rsidP="005A0638">
            <w:pPr>
              <w:jc w:val="center"/>
              <w:cnfStyle w:val="100000000000" w:firstRow="1" w:lastRow="0" w:firstColumn="0" w:lastColumn="0" w:oddVBand="0" w:evenVBand="0" w:oddHBand="0" w:evenHBand="0" w:firstRowFirstColumn="0" w:firstRowLastColumn="0" w:lastRowFirstColumn="0" w:lastRowLastColumn="0"/>
            </w:pPr>
            <w:hyperlink r:id="rId15" w:history="1">
              <w:r>
                <w:rPr>
                  <w:b w:val="0"/>
                  <w:noProof/>
                  <w:color w:val="0000FF"/>
                  <w:lang w:eastAsia="en-AU"/>
                </w:rPr>
                <w:pict>
                  <v:shape id="_x0000_i1027" type="#_x0000_t75" alt="http://www.thecuresafety.com/v/vspfiles/photos/ISO236AP-1.jpg" href="http://www.google.com.au/url?sa=i&amp;rct=j&amp;q=&amp;esrc=s&amp;source=images&amp;cd=&amp;cad=rja&amp;uact=8&amp;ved=0ahUKEwjl_JOxkanOAhXFM48KHWLBAgIQjRwIBw&amp;url=http://www.thecuresafety.com/Hand_Safety_s/307.htm&amp;bvm=bv.128987424,bs.1,d.amc&amp;psig=AFQjCNEeKmZSKwI3DDWm_Jq9dvK1XQ9pXQ&amp;ust=1470447340167970" style="width:41.25pt;height:36pt;visibility:visible;mso-wrap-style:square" o:button="t">
                    <v:fill o:detectmouseclick="t"/>
                    <v:imagedata r:id="rId14" o:title="ISO236AP-1"/>
                  </v:shape>
                </w:pict>
              </w:r>
            </w:hyperlink>
          </w:p>
        </w:tc>
      </w:tr>
    </w:tbl>
    <w:p w:rsidR="004A58B1" w:rsidRDefault="004A58B1" w:rsidP="004A58B1">
      <w:pPr>
        <w:pStyle w:val="Bulletpoint"/>
        <w:numPr>
          <w:ilvl w:val="0"/>
          <w:numId w:val="0"/>
        </w:numPr>
      </w:pPr>
      <w:r>
        <w:t>At least three deaths in Australia in recent years involved bath aids that had the mandated safety warnings.</w:t>
      </w:r>
    </w:p>
    <w:p w:rsidR="00AD73EF" w:rsidRDefault="00AD73EF" w:rsidP="00D957A9">
      <w:pPr>
        <w:pStyle w:val="Numbered11"/>
        <w:numPr>
          <w:ilvl w:val="1"/>
          <w:numId w:val="28"/>
        </w:numPr>
      </w:pPr>
      <w:bookmarkStart w:id="64" w:name="_Toc463364231"/>
      <w:r>
        <w:t>Compliance with the safety standard</w:t>
      </w:r>
      <w:bookmarkEnd w:id="64"/>
    </w:p>
    <w:p w:rsidR="00F2284E" w:rsidRDefault="00F2284E" w:rsidP="00F2284E">
      <w:r w:rsidRPr="009970B4">
        <w:t xml:space="preserve">Most suppliers in Australia provide </w:t>
      </w:r>
      <w:r>
        <w:t xml:space="preserve">the mandated safety </w:t>
      </w:r>
      <w:r w:rsidRPr="009970B4">
        <w:t xml:space="preserve">warning on baby bath aids and the packaging. </w:t>
      </w:r>
      <w:r>
        <w:t>However, there have been compliance issues where the safety warning was:</w:t>
      </w:r>
    </w:p>
    <w:p w:rsidR="00F2284E" w:rsidRPr="00F2284E" w:rsidRDefault="00F2284E" w:rsidP="00370E6C">
      <w:pPr>
        <w:pStyle w:val="Bulletpoint"/>
      </w:pPr>
      <w:r w:rsidRPr="00F2284E">
        <w:t>hard to read because of low contrast (e.g. black writing on a dark blue label). The safety standard requires ‘a contrasting colour to the colour of the baby bath aid’ but does not specify contrast with the background of the label</w:t>
      </w:r>
    </w:p>
    <w:p w:rsidR="00F2284E" w:rsidRPr="00F2284E" w:rsidRDefault="00F2284E" w:rsidP="00370E6C">
      <w:pPr>
        <w:pStyle w:val="Bulletpoint"/>
      </w:pPr>
      <w:r w:rsidRPr="00F2284E">
        <w:t xml:space="preserve">on a label that was poorly bonded to the product, water-absorbing or not water resistant </w:t>
      </w:r>
    </w:p>
    <w:p w:rsidR="00F2284E" w:rsidRPr="00F2284E" w:rsidRDefault="00F2284E" w:rsidP="00370E6C">
      <w:pPr>
        <w:pStyle w:val="Bulletpoint"/>
      </w:pPr>
      <w:r w:rsidRPr="00F2284E">
        <w:lastRenderedPageBreak/>
        <w:t>easy to peel off by hand because it did not mould to the shape of the product, had overhanging edges or was poorly applied</w:t>
      </w:r>
    </w:p>
    <w:p w:rsidR="002226A5" w:rsidRPr="00553F38" w:rsidRDefault="00F2284E" w:rsidP="00370E6C">
      <w:pPr>
        <w:pStyle w:val="Bulletpoint"/>
        <w:rPr>
          <w:bCs/>
        </w:rPr>
      </w:pPr>
      <w:r w:rsidRPr="00F2284E">
        <w:t xml:space="preserve">affixed via alternative technologies to adhesive labels, such as hot-stamping onto the product. The standard refers to ‘a notice’ so the compliance status of alternative technologies is less clear. </w:t>
      </w:r>
      <w:bookmarkStart w:id="65" w:name="_Toc458681576"/>
      <w:bookmarkStart w:id="66" w:name="_Toc455066801"/>
      <w:bookmarkStart w:id="67" w:name="_Toc455066836"/>
      <w:bookmarkStart w:id="68" w:name="_Toc455499192"/>
      <w:bookmarkStart w:id="69" w:name="_Toc455756327"/>
      <w:bookmarkStart w:id="70" w:name="_Toc456098882"/>
      <w:bookmarkStart w:id="71" w:name="_Toc456623858"/>
      <w:bookmarkStart w:id="72" w:name="_Toc457222705"/>
      <w:bookmarkStart w:id="73" w:name="_Toc459041406"/>
      <w:bookmarkEnd w:id="61"/>
      <w:bookmarkEnd w:id="62"/>
      <w:bookmarkEnd w:id="63"/>
      <w:r w:rsidR="00813A07" w:rsidRPr="009F6F97" w:rsidDel="00813A07">
        <w:t xml:space="preserve"> </w:t>
      </w:r>
      <w:bookmarkEnd w:id="65"/>
    </w:p>
    <w:p w:rsidR="002B1ABD" w:rsidRDefault="002B1ABD" w:rsidP="004B222C">
      <w:pPr>
        <w:pStyle w:val="Numbered1"/>
        <w:numPr>
          <w:ilvl w:val="0"/>
          <w:numId w:val="28"/>
        </w:numPr>
        <w:ind w:left="680" w:hanging="680"/>
      </w:pPr>
      <w:bookmarkStart w:id="74" w:name="_Toc463341245"/>
      <w:bookmarkStart w:id="75" w:name="_Toc463341379"/>
      <w:bookmarkStart w:id="76" w:name="_Toc463341246"/>
      <w:bookmarkStart w:id="77" w:name="_Toc463341380"/>
      <w:bookmarkStart w:id="78" w:name="_Toc463341247"/>
      <w:bookmarkStart w:id="79" w:name="_Toc463341381"/>
      <w:bookmarkStart w:id="80" w:name="_Toc463341248"/>
      <w:bookmarkStart w:id="81" w:name="_Toc463341382"/>
      <w:bookmarkStart w:id="82" w:name="_Toc463341249"/>
      <w:bookmarkStart w:id="83" w:name="_Toc463341383"/>
      <w:bookmarkStart w:id="84" w:name="_Toc463341250"/>
      <w:bookmarkStart w:id="85" w:name="_Toc463341384"/>
      <w:bookmarkStart w:id="86" w:name="_Toc463341251"/>
      <w:bookmarkStart w:id="87" w:name="_Toc463341385"/>
      <w:bookmarkStart w:id="88" w:name="_Toc463341252"/>
      <w:bookmarkStart w:id="89" w:name="_Toc463341386"/>
      <w:bookmarkStart w:id="90" w:name="_Toc463341253"/>
      <w:bookmarkStart w:id="91" w:name="_Toc463341387"/>
      <w:bookmarkStart w:id="92" w:name="_Toc463341254"/>
      <w:bookmarkStart w:id="93" w:name="_Toc463341388"/>
      <w:bookmarkStart w:id="94" w:name="_Toc463341255"/>
      <w:bookmarkStart w:id="95" w:name="_Toc463341389"/>
      <w:bookmarkStart w:id="96" w:name="_Toc463341256"/>
      <w:bookmarkStart w:id="97" w:name="_Toc463341390"/>
      <w:bookmarkStart w:id="98" w:name="_Toc463341257"/>
      <w:bookmarkStart w:id="99" w:name="_Toc463341391"/>
      <w:bookmarkStart w:id="100" w:name="_Toc463341258"/>
      <w:bookmarkStart w:id="101" w:name="_Toc463341392"/>
      <w:bookmarkStart w:id="102" w:name="_Toc463341259"/>
      <w:bookmarkStart w:id="103" w:name="_Toc463341393"/>
      <w:bookmarkStart w:id="104" w:name="_Toc463341260"/>
      <w:bookmarkStart w:id="105" w:name="_Toc463341394"/>
      <w:bookmarkStart w:id="106" w:name="_Toc463341261"/>
      <w:bookmarkStart w:id="107" w:name="_Toc463341395"/>
      <w:bookmarkStart w:id="108" w:name="_Toc463341262"/>
      <w:bookmarkStart w:id="109" w:name="_Toc463341396"/>
      <w:bookmarkStart w:id="110" w:name="_Toc46336423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Adopting</w:t>
      </w:r>
      <w:r w:rsidR="00C65139">
        <w:t xml:space="preserve"> trusted</w:t>
      </w:r>
      <w:r>
        <w:t xml:space="preserve"> i</w:t>
      </w:r>
      <w:r w:rsidRPr="00844B87">
        <w:t>nternational standards</w:t>
      </w:r>
      <w:bookmarkEnd w:id="66"/>
      <w:bookmarkEnd w:id="67"/>
      <w:bookmarkEnd w:id="68"/>
      <w:bookmarkEnd w:id="69"/>
      <w:bookmarkEnd w:id="70"/>
      <w:bookmarkEnd w:id="71"/>
      <w:bookmarkEnd w:id="72"/>
      <w:bookmarkEnd w:id="73"/>
      <w:bookmarkEnd w:id="110"/>
    </w:p>
    <w:p w:rsidR="00C65139" w:rsidRDefault="00C65139" w:rsidP="00700A32">
      <w:r w:rsidRPr="00C65139">
        <w:rPr>
          <w:rFonts w:eastAsia="Cambria"/>
        </w:rPr>
        <w:t xml:space="preserve">The ACCC has </w:t>
      </w:r>
      <w:r w:rsidR="002927E5">
        <w:rPr>
          <w:rFonts w:eastAsia="Cambria"/>
        </w:rPr>
        <w:t>assessed</w:t>
      </w:r>
      <w:r w:rsidRPr="00C65139">
        <w:rPr>
          <w:rFonts w:eastAsia="Cambria"/>
        </w:rPr>
        <w:t xml:space="preserve"> the US and </w:t>
      </w:r>
      <w:r w:rsidR="002927E5" w:rsidRPr="00C65139">
        <w:rPr>
          <w:rFonts w:eastAsia="Cambria"/>
        </w:rPr>
        <w:t>E</w:t>
      </w:r>
      <w:r w:rsidR="002927E5">
        <w:rPr>
          <w:rFonts w:eastAsia="Cambria"/>
        </w:rPr>
        <w:t>uropean</w:t>
      </w:r>
      <w:r w:rsidR="002927E5" w:rsidRPr="00C65139">
        <w:rPr>
          <w:rFonts w:eastAsia="Cambria"/>
        </w:rPr>
        <w:t xml:space="preserve"> </w:t>
      </w:r>
      <w:r w:rsidR="002927E5">
        <w:rPr>
          <w:rFonts w:eastAsia="Cambria"/>
        </w:rPr>
        <w:t xml:space="preserve">requirements </w:t>
      </w:r>
      <w:r w:rsidR="00A83188">
        <w:rPr>
          <w:rFonts w:eastAsia="Cambria"/>
        </w:rPr>
        <w:t xml:space="preserve">for baby bath aids </w:t>
      </w:r>
      <w:r w:rsidRPr="00C65139">
        <w:t xml:space="preserve">against the following criteria: </w:t>
      </w:r>
    </w:p>
    <w:p w:rsidR="00056C4F" w:rsidRPr="00DB6C88" w:rsidRDefault="00056C4F" w:rsidP="005616D0">
      <w:pPr>
        <w:numPr>
          <w:ilvl w:val="0"/>
          <w:numId w:val="39"/>
        </w:numPr>
      </w:pPr>
      <w:r w:rsidRPr="00DB6C88">
        <w:t>Addressing safety concerns: Is there evidence that the international standard provides an acceptable level of consumer safety?</w:t>
      </w:r>
    </w:p>
    <w:p w:rsidR="00056C4F" w:rsidRDefault="00056C4F" w:rsidP="005616D0">
      <w:pPr>
        <w:numPr>
          <w:ilvl w:val="0"/>
          <w:numId w:val="39"/>
        </w:numPr>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056C4F" w:rsidRDefault="00056C4F" w:rsidP="005616D0">
      <w:pPr>
        <w:numPr>
          <w:ilvl w:val="0"/>
          <w:numId w:val="39"/>
        </w:numPr>
      </w:pPr>
      <w:r w:rsidRPr="00EE5651">
        <w:t>Applicability to the Australian context:</w:t>
      </w:r>
      <w:r w:rsidRPr="009256BA">
        <w:rPr>
          <w:bCs/>
        </w:rPr>
        <w:t xml:space="preserve"> </w:t>
      </w:r>
      <w:r w:rsidRPr="00DB6C88">
        <w:t>Is the international standard applicable and sufficient in the Australian context?</w:t>
      </w:r>
    </w:p>
    <w:p w:rsidR="0043414C" w:rsidRPr="00FF3B40" w:rsidRDefault="0043414C" w:rsidP="00D957A9">
      <w:pPr>
        <w:pStyle w:val="Numbered11"/>
        <w:numPr>
          <w:ilvl w:val="1"/>
          <w:numId w:val="28"/>
        </w:numPr>
      </w:pPr>
      <w:bookmarkStart w:id="111" w:name="_Toc463364233"/>
      <w:bookmarkStart w:id="112" w:name="_Toc457311811"/>
      <w:bookmarkStart w:id="113" w:name="_Toc457816069"/>
      <w:bookmarkStart w:id="114" w:name="_Toc457817016"/>
      <w:bookmarkStart w:id="115" w:name="_Toc459041408"/>
      <w:r>
        <w:t>European</w:t>
      </w:r>
      <w:r w:rsidRPr="00FF3B40">
        <w:t xml:space="preserve"> standard</w:t>
      </w:r>
      <w:r>
        <w:t>s</w:t>
      </w:r>
      <w:bookmarkEnd w:id="111"/>
    </w:p>
    <w:p w:rsidR="0043414C" w:rsidRDefault="00A83188" w:rsidP="0043414C">
      <w:r>
        <w:t>The</w:t>
      </w:r>
      <w:r w:rsidRPr="00C04691">
        <w:t xml:space="preserve"> </w:t>
      </w:r>
      <w:r>
        <w:rPr>
          <w:rFonts w:eastAsia="Cambria"/>
        </w:rPr>
        <w:t xml:space="preserve">European </w:t>
      </w:r>
      <w:r w:rsidRPr="005A4850">
        <w:rPr>
          <w:rFonts w:eastAsia="Cambria"/>
        </w:rPr>
        <w:t xml:space="preserve">Commission </w:t>
      </w:r>
      <w:r>
        <w:rPr>
          <w:rFonts w:eastAsia="Cambria"/>
        </w:rPr>
        <w:t>has directed</w:t>
      </w:r>
      <w:r>
        <w:rPr>
          <w:rStyle w:val="FootnoteReference"/>
          <w:rFonts w:eastAsia="Cambria"/>
        </w:rPr>
        <w:footnoteReference w:id="2"/>
      </w:r>
      <w:r>
        <w:rPr>
          <w:rFonts w:eastAsia="Cambria"/>
        </w:rPr>
        <w:t xml:space="preserve"> the</w:t>
      </w:r>
      <w:r w:rsidRPr="005A4850">
        <w:rPr>
          <w:rFonts w:eastAsia="Cambria"/>
        </w:rPr>
        <w:t xml:space="preserve"> European Committee for Standardization (CEN) </w:t>
      </w:r>
      <w:r>
        <w:rPr>
          <w:rFonts w:eastAsia="Cambria"/>
        </w:rPr>
        <w:t xml:space="preserve">technical </w:t>
      </w:r>
      <w:r w:rsidRPr="005A4850">
        <w:rPr>
          <w:rFonts w:eastAsia="Cambria"/>
        </w:rPr>
        <w:t>committee</w:t>
      </w:r>
      <w:r>
        <w:rPr>
          <w:rFonts w:eastAsia="Cambria"/>
        </w:rPr>
        <w:t xml:space="preserve"> for</w:t>
      </w:r>
      <w:r w:rsidRPr="005A4850">
        <w:rPr>
          <w:rFonts w:eastAsia="Cambria"/>
        </w:rPr>
        <w:t xml:space="preserve"> </w:t>
      </w:r>
      <w:r>
        <w:rPr>
          <w:rFonts w:eastAsia="Cambria"/>
        </w:rPr>
        <w:t>c</w:t>
      </w:r>
      <w:r w:rsidRPr="00E37B7D">
        <w:rPr>
          <w:rFonts w:eastAsia="Cambria"/>
        </w:rPr>
        <w:t>hild use and care articles</w:t>
      </w:r>
      <w:r w:rsidRPr="005A4850">
        <w:rPr>
          <w:rFonts w:eastAsia="Cambria"/>
        </w:rPr>
        <w:t xml:space="preserve"> </w:t>
      </w:r>
      <w:r>
        <w:rPr>
          <w:rFonts w:eastAsia="Cambria"/>
        </w:rPr>
        <w:t>(</w:t>
      </w:r>
      <w:r w:rsidRPr="005A4850">
        <w:rPr>
          <w:rFonts w:eastAsia="Cambria"/>
        </w:rPr>
        <w:t>TC 252</w:t>
      </w:r>
      <w:r>
        <w:rPr>
          <w:rFonts w:eastAsia="Cambria"/>
        </w:rPr>
        <w:t>) to</w:t>
      </w:r>
      <w:r w:rsidRPr="005A4850">
        <w:rPr>
          <w:rFonts w:eastAsia="Cambria"/>
        </w:rPr>
        <w:t xml:space="preserve"> develop European standard</w:t>
      </w:r>
      <w:r>
        <w:rPr>
          <w:rFonts w:eastAsia="Cambria"/>
        </w:rPr>
        <w:t xml:space="preserve">s. </w:t>
      </w:r>
      <w:r w:rsidR="0043414C" w:rsidRPr="00C90AE7">
        <w:t>CEN develo</w:t>
      </w:r>
      <w:r w:rsidR="0043414C">
        <w:t xml:space="preserve">ps standards for use in Europe and </w:t>
      </w:r>
      <w:r w:rsidR="0043414C" w:rsidRPr="006E6D6A">
        <w:t>is a reput</w:t>
      </w:r>
      <w:r w:rsidR="0043414C">
        <w:t>able standards development body. Europe</w:t>
      </w:r>
      <w:r w:rsidR="0043414C" w:rsidRPr="006E6D6A">
        <w:t xml:space="preserve"> is a jurisdiction with comparable economic and reg</w:t>
      </w:r>
      <w:r w:rsidR="0043414C">
        <w:t xml:space="preserve">ulatory processes to Australia. </w:t>
      </w:r>
    </w:p>
    <w:p w:rsidR="0043414C" w:rsidRPr="00565FFD" w:rsidRDefault="0043414C" w:rsidP="0043414C">
      <w:r w:rsidRPr="00565FFD">
        <w:t>The CEN</w:t>
      </w:r>
      <w:r>
        <w:t xml:space="preserve"> Technical Committee</w:t>
      </w:r>
      <w:r w:rsidRPr="00565FFD">
        <w:t xml:space="preserve"> 252</w:t>
      </w:r>
      <w:r>
        <w:t xml:space="preserve"> for</w:t>
      </w:r>
      <w:r w:rsidRPr="00565FFD">
        <w:t xml:space="preserve"> </w:t>
      </w:r>
      <w:r w:rsidRPr="00F97091">
        <w:rPr>
          <w:i/>
        </w:rPr>
        <w:t>Child use and care articles</w:t>
      </w:r>
      <w:r w:rsidRPr="00565FFD">
        <w:t xml:space="preserve"> </w:t>
      </w:r>
      <w:r>
        <w:t xml:space="preserve">is currently working on two </w:t>
      </w:r>
      <w:r w:rsidRPr="00565FFD">
        <w:t>project</w:t>
      </w:r>
      <w:r>
        <w:t>s</w:t>
      </w:r>
      <w:r w:rsidRPr="00565FFD">
        <w:t xml:space="preserve"> </w:t>
      </w:r>
      <w:r>
        <w:t>(WI) for</w:t>
      </w:r>
      <w:r w:rsidRPr="00565FFD">
        <w:t xml:space="preserve"> </w:t>
      </w:r>
      <w:r>
        <w:t>baby bath seats and baby bath tubs standards:</w:t>
      </w:r>
    </w:p>
    <w:p w:rsidR="0043414C" w:rsidRPr="00565FFD" w:rsidRDefault="0043414C" w:rsidP="0043414C">
      <w:pPr>
        <w:pStyle w:val="Bulletpoint"/>
      </w:pPr>
      <w:r>
        <w:t xml:space="preserve">prEN 17022 (WI=00252099) </w:t>
      </w:r>
      <w:r w:rsidRPr="00565FFD">
        <w:t>Child care articles - Bathing aids - Safety requirements and test methods</w:t>
      </w:r>
      <w:r>
        <w:t xml:space="preserve">, expected voting date, 22 May </w:t>
      </w:r>
      <w:r w:rsidRPr="00565FFD">
        <w:t>2017</w:t>
      </w:r>
    </w:p>
    <w:p w:rsidR="0043414C" w:rsidRDefault="0043414C" w:rsidP="0043414C">
      <w:pPr>
        <w:pStyle w:val="Bulletpoint"/>
      </w:pPr>
      <w:r w:rsidRPr="00565FFD">
        <w:t>prEN 17072</w:t>
      </w:r>
      <w:r>
        <w:t xml:space="preserve"> (WI=00252100) </w:t>
      </w:r>
      <w:r w:rsidRPr="00565FFD">
        <w:t>Child care articles — Bath tubs and stands — Safety requirements and test methods</w:t>
      </w:r>
      <w:r>
        <w:t xml:space="preserve">, expected voting date 2 November </w:t>
      </w:r>
      <w:r w:rsidRPr="00565FFD">
        <w:t>2017</w:t>
      </w:r>
    </w:p>
    <w:p w:rsidR="0043414C" w:rsidRDefault="00E55CA2" w:rsidP="0043414C">
      <w:r>
        <w:rPr>
          <w:rFonts w:eastAsia="Cambria"/>
        </w:rPr>
        <w:t xml:space="preserve">As </w:t>
      </w:r>
      <w:r w:rsidR="0043414C">
        <w:rPr>
          <w:rFonts w:eastAsia="Cambria"/>
        </w:rPr>
        <w:t>CEN is unlikely to complete and publish these European standards before 2018, we have not considered their suitability for Australia</w:t>
      </w:r>
      <w:r>
        <w:t>.</w:t>
      </w:r>
    </w:p>
    <w:p w:rsidR="00A10CFD" w:rsidRDefault="00A83188" w:rsidP="00D957A9">
      <w:pPr>
        <w:pStyle w:val="Numbered11"/>
        <w:numPr>
          <w:ilvl w:val="1"/>
          <w:numId w:val="28"/>
        </w:numPr>
      </w:pPr>
      <w:bookmarkStart w:id="117" w:name="_Toc463364234"/>
      <w:r>
        <w:t>ASTM</w:t>
      </w:r>
      <w:r w:rsidRPr="00FF3B40">
        <w:t xml:space="preserve"> </w:t>
      </w:r>
      <w:r w:rsidR="00A10CFD" w:rsidRPr="00FF3B40">
        <w:t>standard</w:t>
      </w:r>
      <w:bookmarkEnd w:id="112"/>
      <w:bookmarkEnd w:id="113"/>
      <w:bookmarkEnd w:id="114"/>
      <w:bookmarkEnd w:id="115"/>
      <w:bookmarkEnd w:id="117"/>
    </w:p>
    <w:p w:rsidR="00892AC1" w:rsidRPr="00370E6C" w:rsidRDefault="00892AC1" w:rsidP="00370E6C">
      <w:r>
        <w:t xml:space="preserve">The US regulations for baby bath aids are in the </w:t>
      </w:r>
      <w:r w:rsidRPr="00C65139">
        <w:t>Code of Federal R</w:t>
      </w:r>
      <w:r w:rsidR="00EC0256">
        <w:t xml:space="preserve">egulations at 16 CFR Part 1215 and are based on the </w:t>
      </w:r>
      <w:r w:rsidRPr="00C65139">
        <w:t xml:space="preserve">American Standard ASTM F 1967– 11a </w:t>
      </w:r>
      <w:r w:rsidRPr="00C65139">
        <w:rPr>
          <w:i/>
        </w:rPr>
        <w:t>Standard Consumer Safety Specification for Infant Bath Seats</w:t>
      </w:r>
      <w:r w:rsidRPr="00C65139">
        <w:t xml:space="preserve"> (ASTM)</w:t>
      </w:r>
      <w:r>
        <w:t xml:space="preserve">. </w:t>
      </w:r>
    </w:p>
    <w:p w:rsidR="002927E5" w:rsidRDefault="002927E5" w:rsidP="002927E5">
      <w:bookmarkStart w:id="118" w:name="_Toc453749099"/>
      <w:bookmarkStart w:id="119" w:name="_Toc453749345"/>
      <w:bookmarkStart w:id="120" w:name="_Toc453759798"/>
      <w:bookmarkStart w:id="121" w:name="_Toc453763883"/>
      <w:bookmarkStart w:id="122" w:name="_Toc453765793"/>
      <w:bookmarkStart w:id="123" w:name="_Toc454444003"/>
      <w:bookmarkStart w:id="124" w:name="_Toc454544421"/>
      <w:bookmarkStart w:id="125" w:name="_Toc455580004"/>
      <w:bookmarkStart w:id="126" w:name="_Toc456277622"/>
      <w:bookmarkStart w:id="127" w:name="_Toc456278991"/>
      <w:bookmarkStart w:id="128" w:name="_Toc457311813"/>
      <w:bookmarkStart w:id="129" w:name="_Toc457816071"/>
      <w:bookmarkStart w:id="130" w:name="_Toc457817018"/>
      <w:r w:rsidRPr="00C65139">
        <w:t xml:space="preserve">The US Consumer Product Safety Commission (CPSC) administers </w:t>
      </w:r>
      <w:r>
        <w:t>the US regulations for baby bath aids</w:t>
      </w:r>
      <w:r w:rsidRPr="00C65139">
        <w:t>, and fulfils a similar role to the ACCC</w:t>
      </w:r>
      <w:r>
        <w:t>’s</w:t>
      </w:r>
      <w:r w:rsidRPr="00C65139">
        <w:t xml:space="preserve"> </w:t>
      </w:r>
      <w:r>
        <w:t>c</w:t>
      </w:r>
      <w:r w:rsidRPr="00C65139">
        <w:t xml:space="preserve">onsumer </w:t>
      </w:r>
      <w:r>
        <w:t>p</w:t>
      </w:r>
      <w:r w:rsidRPr="00C65139">
        <w:t xml:space="preserve">roduct </w:t>
      </w:r>
      <w:r>
        <w:t>s</w:t>
      </w:r>
      <w:r w:rsidRPr="00C65139">
        <w:t>afety function.</w:t>
      </w:r>
      <w:r>
        <w:t xml:space="preserve"> ASTM </w:t>
      </w:r>
      <w:r w:rsidRPr="006E6D6A">
        <w:t xml:space="preserve">is a reputable standards development body and the </w:t>
      </w:r>
      <w:r>
        <w:t>US</w:t>
      </w:r>
      <w:r w:rsidRPr="006E6D6A">
        <w:t xml:space="preserve"> is a jurisdiction with comparable economic and reg</w:t>
      </w:r>
      <w:r>
        <w:t>ulatory processes to Australia.</w:t>
      </w:r>
    </w:p>
    <w:p w:rsidR="00A83188" w:rsidRPr="00C65139" w:rsidRDefault="00BC4CBF" w:rsidP="00A83188">
      <w:r>
        <w:lastRenderedPageBreak/>
        <w:t>The ASTM standard does not apply to every type of baby bath aid but</w:t>
      </w:r>
      <w:r w:rsidR="004C6ABF">
        <w:t>,</w:t>
      </w:r>
      <w:r>
        <w:t xml:space="preserve"> for most bath aids, it specifies </w:t>
      </w:r>
      <w:r w:rsidRPr="000D147A">
        <w:t>performance, construction,</w:t>
      </w:r>
      <w:r>
        <w:t xml:space="preserve"> testing</w:t>
      </w:r>
      <w:r w:rsidRPr="000D147A">
        <w:t xml:space="preserve"> </w:t>
      </w:r>
      <w:r>
        <w:t>and</w:t>
      </w:r>
      <w:r w:rsidRPr="000D147A">
        <w:t xml:space="preserve"> design requirements</w:t>
      </w:r>
      <w:r>
        <w:t>.</w:t>
      </w:r>
      <w:r w:rsidRPr="00012523">
        <w:t xml:space="preserve"> </w:t>
      </w:r>
      <w:r w:rsidR="00A83188">
        <w:t>The</w:t>
      </w:r>
      <w:r w:rsidR="00A83188" w:rsidRPr="00C65139">
        <w:t xml:space="preserve"> ASTM </w:t>
      </w:r>
      <w:r w:rsidR="00A83188">
        <w:t xml:space="preserve">standard </w:t>
      </w:r>
      <w:r w:rsidR="00A83188" w:rsidRPr="00C65139">
        <w:t xml:space="preserve">includes performance requirements that </w:t>
      </w:r>
      <w:r w:rsidR="00A83188">
        <w:t>address additional safety</w:t>
      </w:r>
      <w:r w:rsidR="00A83188" w:rsidRPr="00C65139">
        <w:t xml:space="preserve"> risks</w:t>
      </w:r>
      <w:r w:rsidR="00A83188">
        <w:t xml:space="preserve"> of falls, lacerations and choking. The Australian mandatory safety standard does not address these issues but targets the most common factor in</w:t>
      </w:r>
      <w:r w:rsidR="00A83188" w:rsidRPr="00C65139">
        <w:t xml:space="preserve"> baby bath aid</w:t>
      </w:r>
      <w:r w:rsidR="00A83188">
        <w:t>-related deaths in Australia, which is lapse in adult supervision</w:t>
      </w:r>
      <w:r w:rsidR="00A83188" w:rsidRPr="00C65139">
        <w:t>.</w:t>
      </w:r>
    </w:p>
    <w:p w:rsidR="00BC4CBF" w:rsidRPr="005B3634" w:rsidRDefault="00BC4CBF" w:rsidP="00BC4CBF">
      <w:r>
        <w:t>The standard specifies t</w:t>
      </w:r>
      <w:r w:rsidRPr="005B3634">
        <w:t>ests for label and warning permanence.</w:t>
      </w:r>
      <w:r>
        <w:t xml:space="preserve"> This could provide a solution to some of the permanence issues that have happened with the </w:t>
      </w:r>
      <w:r w:rsidR="002927E5">
        <w:t xml:space="preserve">Australian </w:t>
      </w:r>
      <w:r>
        <w:t>mandatory safety standard.</w:t>
      </w:r>
    </w:p>
    <w:p w:rsidR="00BC4CBF" w:rsidRDefault="00BC4CBF" w:rsidP="00D957A9">
      <w:r>
        <w:t xml:space="preserve">The ASTM safety warnings align closely with those required by the </w:t>
      </w:r>
      <w:r w:rsidR="002927E5">
        <w:t xml:space="preserve">Australian </w:t>
      </w:r>
      <w:r>
        <w:t>mandatory safety standard, except it does not require</w:t>
      </w:r>
      <w:r w:rsidRPr="00B3309B">
        <w:t xml:space="preserve"> </w:t>
      </w:r>
      <w:r>
        <w:t xml:space="preserve">a warning against co-bathing. </w:t>
      </w:r>
      <w:r w:rsidR="00A83188">
        <w:t>The ASTM standard specifies that i</w:t>
      </w:r>
      <w:r w:rsidR="00A83188" w:rsidRPr="005B3634">
        <w:t xml:space="preserve">nformation </w:t>
      </w:r>
      <w:r w:rsidR="00A83188">
        <w:t xml:space="preserve">with the product </w:t>
      </w:r>
      <w:r w:rsidR="00A83188" w:rsidRPr="005B3634">
        <w:t>must not indicate or imply that the infant may be</w:t>
      </w:r>
      <w:r w:rsidR="00A83188">
        <w:t xml:space="preserve"> safely</w:t>
      </w:r>
      <w:r w:rsidR="00A83188" w:rsidRPr="005B3634">
        <w:t xml:space="preserve"> left in the device without a caregiver in attendance. </w:t>
      </w:r>
      <w:r>
        <w:t>The ASTM</w:t>
      </w:r>
      <w:r w:rsidRPr="00B3309B">
        <w:t xml:space="preserve"> </w:t>
      </w:r>
      <w:r>
        <w:t>standard requires the following safety warnings:</w:t>
      </w:r>
    </w:p>
    <w:p w:rsidR="00BC4CBF" w:rsidRPr="005B3634" w:rsidRDefault="00BC4CBF" w:rsidP="00BC4CBF">
      <w:pPr>
        <w:pBdr>
          <w:top w:val="single" w:sz="4" w:space="1" w:color="auto"/>
          <w:left w:val="single" w:sz="4" w:space="4" w:color="auto"/>
          <w:bottom w:val="single" w:sz="4" w:space="1" w:color="auto"/>
          <w:right w:val="single" w:sz="4" w:space="4" w:color="auto"/>
        </w:pBdr>
        <w:jc w:val="center"/>
        <w:rPr>
          <w:rFonts w:cs="Arial"/>
          <w:color w:val="333333"/>
          <w:sz w:val="28"/>
          <w:szCs w:val="28"/>
        </w:rPr>
      </w:pPr>
      <w:r w:rsidRPr="005B3634">
        <w:rPr>
          <w:rFonts w:cs="Arial"/>
          <w:color w:val="333333"/>
          <w:sz w:val="28"/>
          <w:szCs w:val="28"/>
        </w:rPr>
        <w:t>WARNING – NOT A SAFETY DEVICE</w:t>
      </w:r>
    </w:p>
    <w:p w:rsidR="00BC4CBF" w:rsidRPr="005B3634" w:rsidRDefault="00BC4CBF" w:rsidP="00BC4CBF">
      <w:pPr>
        <w:pBdr>
          <w:top w:val="single" w:sz="4" w:space="1" w:color="auto"/>
          <w:left w:val="single" w:sz="4" w:space="4" w:color="auto"/>
          <w:bottom w:val="single" w:sz="4" w:space="1" w:color="auto"/>
          <w:right w:val="single" w:sz="4" w:space="4" w:color="auto"/>
        </w:pBdr>
        <w:jc w:val="center"/>
        <w:rPr>
          <w:rFonts w:cs="Arial"/>
          <w:color w:val="333333"/>
          <w:sz w:val="28"/>
          <w:szCs w:val="28"/>
        </w:rPr>
      </w:pPr>
      <w:r w:rsidRPr="005B3634">
        <w:rPr>
          <w:rFonts w:cs="Arial"/>
          <w:color w:val="333333"/>
          <w:sz w:val="28"/>
          <w:szCs w:val="28"/>
        </w:rPr>
        <w:t>Babies have DROWNED while using bath seats</w:t>
      </w:r>
    </w:p>
    <w:p w:rsidR="00BC4CBF" w:rsidRPr="005B3634" w:rsidRDefault="00BC4CBF" w:rsidP="00BC4CBF">
      <w:pPr>
        <w:pBdr>
          <w:top w:val="single" w:sz="4" w:space="1" w:color="auto"/>
          <w:left w:val="single" w:sz="4" w:space="4" w:color="auto"/>
          <w:bottom w:val="single" w:sz="4" w:space="1" w:color="auto"/>
          <w:right w:val="single" w:sz="4" w:space="4" w:color="auto"/>
        </w:pBdr>
        <w:jc w:val="center"/>
        <w:rPr>
          <w:rFonts w:cs="Arial"/>
          <w:color w:val="333333"/>
          <w:sz w:val="28"/>
          <w:szCs w:val="28"/>
        </w:rPr>
      </w:pPr>
      <w:r w:rsidRPr="005B3634">
        <w:rPr>
          <w:rFonts w:cs="Arial"/>
          <w:color w:val="333333"/>
          <w:sz w:val="28"/>
          <w:szCs w:val="28"/>
        </w:rPr>
        <w:t>ALWAYS keep baby within adult’s reach</w:t>
      </w:r>
    </w:p>
    <w:p w:rsidR="00BC4CBF" w:rsidRPr="005B3634" w:rsidRDefault="00BC4CBF" w:rsidP="00BC4CBF">
      <w:pPr>
        <w:pBdr>
          <w:top w:val="single" w:sz="4" w:space="1" w:color="auto"/>
          <w:left w:val="single" w:sz="4" w:space="4" w:color="auto"/>
          <w:bottom w:val="single" w:sz="4" w:space="1" w:color="auto"/>
          <w:right w:val="single" w:sz="4" w:space="4" w:color="auto"/>
        </w:pBdr>
        <w:jc w:val="center"/>
        <w:rPr>
          <w:rFonts w:cs="Arial"/>
          <w:color w:val="333333"/>
          <w:sz w:val="28"/>
          <w:szCs w:val="28"/>
        </w:rPr>
      </w:pPr>
      <w:r w:rsidRPr="005B3634">
        <w:rPr>
          <w:rFonts w:cs="Arial"/>
          <w:color w:val="333333"/>
          <w:sz w:val="28"/>
          <w:szCs w:val="28"/>
        </w:rPr>
        <w:t>STOP using when baby begins pulling to a standing position</w:t>
      </w:r>
    </w:p>
    <w:p w:rsidR="00EA2FFE" w:rsidRPr="00EA2FFE" w:rsidRDefault="00A83188" w:rsidP="00700A32">
      <w:pPr>
        <w:rPr>
          <w:lang w:val="en"/>
        </w:rPr>
      </w:pPr>
      <w:bookmarkStart w:id="131" w:name="_Toc457816075"/>
      <w:bookmarkStart w:id="132" w:name="_Toc457817022"/>
      <w:bookmarkStart w:id="133" w:name="_Toc459041414"/>
      <w:bookmarkEnd w:id="118"/>
      <w:bookmarkEnd w:id="119"/>
      <w:bookmarkEnd w:id="120"/>
      <w:bookmarkEnd w:id="121"/>
      <w:bookmarkEnd w:id="122"/>
      <w:bookmarkEnd w:id="123"/>
      <w:bookmarkEnd w:id="124"/>
      <w:bookmarkEnd w:id="125"/>
      <w:bookmarkEnd w:id="126"/>
      <w:bookmarkEnd w:id="127"/>
      <w:bookmarkEnd w:id="128"/>
      <w:bookmarkEnd w:id="129"/>
      <w:bookmarkEnd w:id="130"/>
      <w:r>
        <w:t>We are considering if t</w:t>
      </w:r>
      <w:r w:rsidR="00EA2FFE" w:rsidRPr="00EA2FFE">
        <w:rPr>
          <w:lang w:val="en"/>
        </w:rPr>
        <w:t xml:space="preserve">he </w:t>
      </w:r>
      <w:r>
        <w:rPr>
          <w:lang w:val="en"/>
        </w:rPr>
        <w:t>ASTM</w:t>
      </w:r>
      <w:r w:rsidRPr="00EA2FFE">
        <w:rPr>
          <w:lang w:val="en"/>
        </w:rPr>
        <w:t xml:space="preserve"> standard </w:t>
      </w:r>
      <w:r w:rsidR="00041D45">
        <w:rPr>
          <w:lang w:val="en"/>
        </w:rPr>
        <w:t xml:space="preserve">warning </w:t>
      </w:r>
      <w:r w:rsidR="00EA2FFE" w:rsidRPr="00EA2FFE">
        <w:rPr>
          <w:lang w:val="en"/>
        </w:rPr>
        <w:t xml:space="preserve">requirements are suitable </w:t>
      </w:r>
      <w:r>
        <w:rPr>
          <w:lang w:val="en"/>
        </w:rPr>
        <w:t>for Australia</w:t>
      </w:r>
      <w:r w:rsidR="00EA2FFE" w:rsidRPr="00EA2FFE">
        <w:rPr>
          <w:lang w:val="en"/>
        </w:rPr>
        <w:t>.</w:t>
      </w:r>
    </w:p>
    <w:p w:rsidR="00A10CFD" w:rsidRPr="00A10CFD" w:rsidRDefault="00A10CFD" w:rsidP="00AC7412">
      <w:pPr>
        <w:pStyle w:val="Numbered1"/>
        <w:keepNext/>
        <w:numPr>
          <w:ilvl w:val="0"/>
          <w:numId w:val="28"/>
        </w:numPr>
        <w:ind w:left="680" w:hanging="680"/>
      </w:pPr>
      <w:bookmarkStart w:id="134" w:name="_Toc463341270"/>
      <w:bookmarkStart w:id="135" w:name="_Toc463341404"/>
      <w:bookmarkStart w:id="136" w:name="_Toc463341271"/>
      <w:bookmarkStart w:id="137" w:name="_Toc463341405"/>
      <w:bookmarkStart w:id="138" w:name="_Toc463341272"/>
      <w:bookmarkStart w:id="139" w:name="_Toc463341406"/>
      <w:bookmarkStart w:id="140" w:name="_Toc463341273"/>
      <w:bookmarkStart w:id="141" w:name="_Toc463341407"/>
      <w:bookmarkStart w:id="142" w:name="_Toc463341274"/>
      <w:bookmarkStart w:id="143" w:name="_Toc463341408"/>
      <w:bookmarkStart w:id="144" w:name="_Toc463341275"/>
      <w:bookmarkStart w:id="145" w:name="_Toc463341409"/>
      <w:bookmarkStart w:id="146" w:name="_Toc463341276"/>
      <w:bookmarkStart w:id="147" w:name="_Toc463341410"/>
      <w:bookmarkStart w:id="148" w:name="_Toc463341277"/>
      <w:bookmarkStart w:id="149" w:name="_Toc463341411"/>
      <w:bookmarkStart w:id="150" w:name="_Toc463341278"/>
      <w:bookmarkStart w:id="151" w:name="_Toc463341412"/>
      <w:bookmarkStart w:id="152" w:name="_Toc463341279"/>
      <w:bookmarkStart w:id="153" w:name="_Toc463341413"/>
      <w:bookmarkStart w:id="154" w:name="_Toc463341280"/>
      <w:bookmarkStart w:id="155" w:name="_Toc463341414"/>
      <w:bookmarkStart w:id="156" w:name="_Toc463341281"/>
      <w:bookmarkStart w:id="157" w:name="_Toc463341415"/>
      <w:bookmarkStart w:id="158" w:name="_Toc463341282"/>
      <w:bookmarkStart w:id="159" w:name="_Toc463341416"/>
      <w:bookmarkStart w:id="160" w:name="_Toc463341283"/>
      <w:bookmarkStart w:id="161" w:name="_Toc463341417"/>
      <w:bookmarkStart w:id="162" w:name="_Toc463341284"/>
      <w:bookmarkStart w:id="163" w:name="_Toc463341418"/>
      <w:bookmarkStart w:id="164" w:name="TAAJ"/>
      <w:bookmarkStart w:id="165" w:name="CTH_REG_1979-134_REG11B"/>
      <w:bookmarkStart w:id="166" w:name="TAAK"/>
      <w:bookmarkStart w:id="167" w:name="CTH_REG_1979-134_REG11C"/>
      <w:bookmarkStart w:id="168" w:name="_Toc459041422"/>
      <w:bookmarkStart w:id="169" w:name="_Toc463364235"/>
      <w:bookmarkStart w:id="170" w:name="_Toc44839793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10CFD">
        <w:t>Detailed description of policy options</w:t>
      </w:r>
      <w:bookmarkEnd w:id="168"/>
      <w:bookmarkEnd w:id="169"/>
    </w:p>
    <w:p w:rsidR="00A10CFD" w:rsidRPr="00FF3B40" w:rsidRDefault="00A10CFD" w:rsidP="00370E6C">
      <w:pPr>
        <w:pStyle w:val="Numbered11"/>
        <w:numPr>
          <w:ilvl w:val="0"/>
          <w:numId w:val="0"/>
        </w:numPr>
        <w:spacing w:before="360"/>
      </w:pPr>
      <w:bookmarkStart w:id="171" w:name="_Toc453749109"/>
      <w:bookmarkStart w:id="172" w:name="_Toc453749355"/>
      <w:bookmarkStart w:id="173" w:name="_Toc453759808"/>
      <w:bookmarkStart w:id="174" w:name="_Toc453763206"/>
      <w:bookmarkStart w:id="175" w:name="_Toc453763893"/>
      <w:bookmarkStart w:id="176" w:name="_Toc453765803"/>
      <w:bookmarkStart w:id="177" w:name="_Toc454544436"/>
      <w:bookmarkStart w:id="178" w:name="_Toc455580020"/>
      <w:bookmarkStart w:id="179" w:name="_Toc456277638"/>
      <w:bookmarkStart w:id="180" w:name="_Toc456279007"/>
      <w:bookmarkStart w:id="181" w:name="_Toc457311817"/>
      <w:bookmarkStart w:id="182" w:name="_Toc457816090"/>
      <w:bookmarkStart w:id="183" w:name="_Toc457817037"/>
      <w:bookmarkStart w:id="184" w:name="_Toc459041423"/>
      <w:bookmarkStart w:id="185" w:name="_Toc463364236"/>
      <w:r w:rsidRPr="00FF3B40">
        <w:t>Option 1 - Keep the current mandatory standard (status quo)</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A10CFD" w:rsidRPr="00D957A9" w:rsidRDefault="00A10CFD" w:rsidP="00D957A9">
      <w:pPr>
        <w:rPr>
          <w:b/>
          <w:sz w:val="24"/>
          <w:szCs w:val="24"/>
        </w:rPr>
      </w:pPr>
      <w:bookmarkStart w:id="186" w:name="_Toc453749110"/>
      <w:bookmarkStart w:id="187" w:name="_Toc453749356"/>
      <w:bookmarkStart w:id="188" w:name="_Toc453763894"/>
      <w:bookmarkStart w:id="189" w:name="_Toc453765804"/>
      <w:bookmarkStart w:id="190" w:name="_Toc454444014"/>
      <w:bookmarkStart w:id="191" w:name="_Toc454544437"/>
      <w:bookmarkStart w:id="192" w:name="_Toc455580021"/>
      <w:bookmarkStart w:id="193" w:name="_Toc456277639"/>
      <w:bookmarkStart w:id="194" w:name="_Toc456279008"/>
      <w:bookmarkStart w:id="195" w:name="_Toc457311818"/>
      <w:bookmarkStart w:id="196" w:name="_Toc457816091"/>
      <w:bookmarkStart w:id="197" w:name="_Toc457817038"/>
      <w:bookmarkStart w:id="198" w:name="_Toc459041424"/>
      <w:bookmarkStart w:id="199" w:name="_Toc463341287"/>
      <w:bookmarkStart w:id="200" w:name="_Toc463341421"/>
      <w:r w:rsidRPr="00D957A9">
        <w:rPr>
          <w:b/>
          <w:sz w:val="24"/>
          <w:szCs w:val="24"/>
        </w:rPr>
        <w:t>Description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990CBB" w:rsidRPr="00990CBB" w:rsidRDefault="00990CBB" w:rsidP="00700A32">
      <w:bookmarkStart w:id="201" w:name="_Toc453749111"/>
      <w:bookmarkStart w:id="202" w:name="_Toc453749357"/>
      <w:bookmarkStart w:id="203" w:name="_Toc453763895"/>
      <w:bookmarkStart w:id="204" w:name="_Toc453765805"/>
      <w:bookmarkStart w:id="205" w:name="_Toc454444015"/>
      <w:bookmarkStart w:id="206" w:name="_Toc454544438"/>
      <w:bookmarkStart w:id="207" w:name="_Toc455580022"/>
      <w:bookmarkStart w:id="208" w:name="_Toc456277640"/>
      <w:bookmarkStart w:id="209" w:name="_Toc456279009"/>
      <w:bookmarkStart w:id="210" w:name="_Toc457311819"/>
      <w:bookmarkStart w:id="211" w:name="_Toc457816092"/>
      <w:bookmarkStart w:id="212" w:name="_Toc457817039"/>
      <w:bookmarkStart w:id="213" w:name="_Toc459041425"/>
      <w:r w:rsidRPr="00990CBB">
        <w:t>Maintaining the status quo would mean no changes to the mandatory safety standard.</w:t>
      </w:r>
    </w:p>
    <w:p w:rsidR="00A10CFD" w:rsidRPr="00D957A9" w:rsidRDefault="00A10CFD" w:rsidP="00D957A9">
      <w:pPr>
        <w:rPr>
          <w:b/>
          <w:sz w:val="24"/>
          <w:szCs w:val="24"/>
        </w:rPr>
      </w:pPr>
      <w:bookmarkStart w:id="214" w:name="_Toc463341288"/>
      <w:bookmarkStart w:id="215" w:name="_Toc463341422"/>
      <w:r w:rsidRPr="00D957A9">
        <w:rPr>
          <w:b/>
          <w:sz w:val="24"/>
          <w:szCs w:val="24"/>
        </w:rPr>
        <w:t>Benefits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439A6" w:rsidRDefault="00A6052E" w:rsidP="00700A32">
      <w:bookmarkStart w:id="216" w:name="_Toc457311820"/>
      <w:bookmarkStart w:id="217" w:name="_Toc457816093"/>
      <w:bookmarkStart w:id="218" w:name="_Toc457817040"/>
      <w:r w:rsidRPr="00522BCC">
        <w:t xml:space="preserve">The products </w:t>
      </w:r>
      <w:r>
        <w:t>would</w:t>
      </w:r>
      <w:r w:rsidRPr="00522BCC">
        <w:t xml:space="preserve"> be subject to the same mandatory safety standards that suppliers must currently meet before they can legally supply them. There would be no increase in costs to</w:t>
      </w:r>
      <w:r>
        <w:t xml:space="preserve"> business. Consumers would have the same level of protection they have now. The mandatory safety standard has operated for a number of years and is well known in the infant products industry.</w:t>
      </w:r>
    </w:p>
    <w:p w:rsidR="00A10CFD" w:rsidRPr="00D957A9" w:rsidRDefault="00A10CFD" w:rsidP="00D957A9">
      <w:pPr>
        <w:rPr>
          <w:b/>
          <w:sz w:val="24"/>
          <w:szCs w:val="24"/>
        </w:rPr>
      </w:pPr>
      <w:bookmarkStart w:id="219" w:name="_Toc459041426"/>
      <w:bookmarkStart w:id="220" w:name="_Toc463341289"/>
      <w:bookmarkStart w:id="221" w:name="_Toc463341423"/>
      <w:r w:rsidRPr="00D957A9">
        <w:rPr>
          <w:b/>
          <w:sz w:val="24"/>
          <w:szCs w:val="24"/>
        </w:rPr>
        <w:t>Limitations</w:t>
      </w:r>
      <w:bookmarkEnd w:id="216"/>
      <w:bookmarkEnd w:id="217"/>
      <w:bookmarkEnd w:id="218"/>
      <w:bookmarkEnd w:id="219"/>
      <w:bookmarkEnd w:id="220"/>
      <w:bookmarkEnd w:id="221"/>
    </w:p>
    <w:p w:rsidR="00A6052E" w:rsidRDefault="00A6052E" w:rsidP="00A6052E">
      <w:bookmarkStart w:id="222" w:name="_Toc453749113"/>
      <w:bookmarkStart w:id="223" w:name="_Toc453749359"/>
      <w:bookmarkStart w:id="224" w:name="_Toc453759809"/>
      <w:bookmarkStart w:id="225" w:name="_Toc453763207"/>
      <w:bookmarkStart w:id="226" w:name="_Toc453763897"/>
      <w:bookmarkStart w:id="227" w:name="_Toc453765807"/>
      <w:bookmarkStart w:id="228" w:name="_Toc454544440"/>
      <w:bookmarkStart w:id="229" w:name="_Toc455580024"/>
      <w:bookmarkStart w:id="230" w:name="_Toc456277642"/>
      <w:bookmarkStart w:id="231" w:name="_Toc456279011"/>
      <w:bookmarkStart w:id="232" w:name="_Toc457311821"/>
      <w:bookmarkStart w:id="233" w:name="_Toc457816094"/>
      <w:bookmarkStart w:id="234" w:name="_Toc457817041"/>
      <w:bookmarkStart w:id="235" w:name="_Toc459041427"/>
      <w:r w:rsidRPr="00522BCC">
        <w:t xml:space="preserve">Leaving the safety standard as is would not address the </w:t>
      </w:r>
      <w:r>
        <w:t>problems with t</w:t>
      </w:r>
      <w:r w:rsidRPr="009F6F97">
        <w:t xml:space="preserve">he </w:t>
      </w:r>
      <w:r>
        <w:t>permanence and legibility of the safety warnings.</w:t>
      </w:r>
    </w:p>
    <w:p w:rsidR="00990CBB" w:rsidRPr="00990CBB" w:rsidRDefault="00A6052E" w:rsidP="00700A32">
      <w:r>
        <w:t>The status quo would not give suppliers the opportunity to reduce compliance costs via more flexible requirements.</w:t>
      </w:r>
    </w:p>
    <w:p w:rsidR="00A10CFD" w:rsidRPr="00FF3B40" w:rsidRDefault="003C3ED3" w:rsidP="00370E6C">
      <w:pPr>
        <w:pStyle w:val="Numbered11"/>
        <w:numPr>
          <w:ilvl w:val="0"/>
          <w:numId w:val="0"/>
        </w:numPr>
        <w:spacing w:before="360"/>
      </w:pPr>
      <w:bookmarkStart w:id="236" w:name="_Toc454544444"/>
      <w:bookmarkStart w:id="237" w:name="_Toc455580028"/>
      <w:bookmarkStart w:id="238" w:name="_Toc448397938"/>
      <w:bookmarkStart w:id="239" w:name="_Toc453749117"/>
      <w:bookmarkStart w:id="240" w:name="_Toc453749363"/>
      <w:bookmarkStart w:id="241" w:name="_Toc453759810"/>
      <w:bookmarkStart w:id="242" w:name="_Toc453763208"/>
      <w:bookmarkStart w:id="243" w:name="_Toc453763901"/>
      <w:bookmarkStart w:id="244" w:name="_Toc453765811"/>
      <w:bookmarkStart w:id="245" w:name="_Toc456277646"/>
      <w:bookmarkStart w:id="246" w:name="_Toc456279015"/>
      <w:bookmarkStart w:id="247" w:name="_Toc457311824"/>
      <w:bookmarkStart w:id="248" w:name="_Toc457816097"/>
      <w:bookmarkStart w:id="249" w:name="_Toc457817044"/>
      <w:bookmarkStart w:id="250" w:name="_Toc45904143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br w:type="page"/>
      </w:r>
      <w:bookmarkStart w:id="251" w:name="_Toc463364237"/>
      <w:r w:rsidR="00A10CFD" w:rsidRPr="00FF3B40">
        <w:lastRenderedPageBreak/>
        <w:t xml:space="preserve">Option </w:t>
      </w:r>
      <w:r w:rsidR="00BD14C0">
        <w:t>2</w:t>
      </w:r>
      <w:r w:rsidR="00A10CFD" w:rsidRPr="00FF3B40">
        <w:t xml:space="preserve"> – </w:t>
      </w:r>
      <w:bookmarkStart w:id="252" w:name="_Toc453749118"/>
      <w:bookmarkStart w:id="253" w:name="_Toc453749364"/>
      <w:bookmarkStart w:id="254" w:name="_Toc453763902"/>
      <w:bookmarkStart w:id="255" w:name="_Toc453765812"/>
      <w:bookmarkStart w:id="256" w:name="_Toc454444022"/>
      <w:bookmarkStart w:id="257" w:name="_Toc45454444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A15E33" w:rsidRPr="00A15E33">
        <w:t>Improve the permanence and legibility of the safety warnings</w:t>
      </w:r>
      <w:bookmarkEnd w:id="251"/>
    </w:p>
    <w:p w:rsidR="00A10CFD" w:rsidRPr="00D957A9" w:rsidRDefault="00A10CFD" w:rsidP="00D957A9">
      <w:pPr>
        <w:rPr>
          <w:b/>
          <w:sz w:val="24"/>
          <w:szCs w:val="24"/>
        </w:rPr>
      </w:pPr>
      <w:bookmarkStart w:id="258" w:name="_Toc455580029"/>
      <w:bookmarkStart w:id="259" w:name="_Toc456277647"/>
      <w:bookmarkStart w:id="260" w:name="_Toc456279016"/>
      <w:bookmarkStart w:id="261" w:name="_Toc457311825"/>
      <w:bookmarkStart w:id="262" w:name="_Toc457816098"/>
      <w:bookmarkStart w:id="263" w:name="_Toc457817045"/>
      <w:bookmarkStart w:id="264" w:name="_Toc459041432"/>
      <w:bookmarkStart w:id="265" w:name="_Toc463341291"/>
      <w:bookmarkStart w:id="266" w:name="_Toc463341425"/>
      <w:r w:rsidRPr="00D957A9">
        <w:rPr>
          <w:b/>
          <w:sz w:val="24"/>
          <w:szCs w:val="24"/>
        </w:rPr>
        <w:t>Description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A15E33" w:rsidRDefault="00A15E33" w:rsidP="00A15E33">
      <w:bookmarkStart w:id="267" w:name="_Toc453749119"/>
      <w:bookmarkStart w:id="268" w:name="_Toc453749365"/>
      <w:bookmarkStart w:id="269" w:name="_Toc453763903"/>
      <w:bookmarkStart w:id="270" w:name="_Toc453765813"/>
      <w:bookmarkStart w:id="271" w:name="_Toc454444023"/>
      <w:bookmarkStart w:id="272" w:name="_Toc454544446"/>
      <w:bookmarkStart w:id="273" w:name="_Toc455580030"/>
      <w:bookmarkStart w:id="274" w:name="_Toc456277648"/>
      <w:bookmarkStart w:id="275" w:name="_Toc456279017"/>
      <w:bookmarkStart w:id="276" w:name="_Toc457311826"/>
      <w:bookmarkStart w:id="277" w:name="_Toc457816099"/>
      <w:bookmarkStart w:id="278" w:name="_Toc457817046"/>
      <w:r w:rsidRPr="00826C9F">
        <w:t>Th</w:t>
      </w:r>
      <w:r>
        <w:t>is would</w:t>
      </w:r>
      <w:r w:rsidRPr="00826C9F">
        <w:t xml:space="preserve"> update</w:t>
      </w:r>
      <w:r>
        <w:t xml:space="preserve"> the</w:t>
      </w:r>
      <w:r w:rsidRPr="00826C9F">
        <w:t xml:space="preserve"> mandatory safety standard </w:t>
      </w:r>
      <w:r>
        <w:t>to clarify the permanence and legibility requirements for the safety warnings. This would improve the effectiveness of the warnings throughout the life of the product and make compliance easier for suppliers by:</w:t>
      </w:r>
    </w:p>
    <w:p w:rsidR="00A15E33" w:rsidRDefault="00A15E33" w:rsidP="00370E6C">
      <w:pPr>
        <w:pStyle w:val="Bulletpoint"/>
      </w:pPr>
      <w:r>
        <w:t xml:space="preserve">clarifying </w:t>
      </w:r>
      <w:r w:rsidRPr="00370E6C">
        <w:rPr>
          <w:rFonts w:eastAsiaTheme="minorHAnsi"/>
        </w:rPr>
        <w:t>the</w:t>
      </w:r>
      <w:r>
        <w:t xml:space="preserve"> permanence requirements in the standard or via guidance</w:t>
      </w:r>
    </w:p>
    <w:p w:rsidR="00A15E33" w:rsidRPr="004E4E98" w:rsidRDefault="00A15E33" w:rsidP="00370E6C">
      <w:pPr>
        <w:pStyle w:val="Bulletpoint"/>
      </w:pPr>
      <w:r w:rsidRPr="009018A3">
        <w:t xml:space="preserve">amending the </w:t>
      </w:r>
      <w:r w:rsidRPr="004E4E98">
        <w:t>colour contrast requirements  to specify that the warning must be in a contrasting colour to the colour of the warning’s background</w:t>
      </w:r>
    </w:p>
    <w:p w:rsidR="00A15E33" w:rsidRPr="00F2284E" w:rsidRDefault="00A15E33" w:rsidP="00370E6C">
      <w:pPr>
        <w:pStyle w:val="Bulletpoint"/>
      </w:pPr>
      <w:r w:rsidRPr="00CE2611">
        <w:t xml:space="preserve">specifying performance requirements that are technology-neutral, rather than prescriptive requirements that assume </w:t>
      </w:r>
      <w:r w:rsidRPr="00561277">
        <w:t xml:space="preserve">particular labelling techniques – for example, </w:t>
      </w:r>
      <w:r w:rsidRPr="008D4674">
        <w:t xml:space="preserve">deleting the term </w:t>
      </w:r>
      <w:r w:rsidRPr="00670689">
        <w:t xml:space="preserve">‘notice’ </w:t>
      </w:r>
      <w:r w:rsidRPr="00F2284E">
        <w:t>from the standard.</w:t>
      </w:r>
    </w:p>
    <w:p w:rsidR="004E4E98" w:rsidRDefault="00A15E33" w:rsidP="00A15E33">
      <w:r w:rsidRPr="00522BCC">
        <w:t xml:space="preserve">This option would </w:t>
      </w:r>
      <w:r>
        <w:t xml:space="preserve">clarify compliance </w:t>
      </w:r>
      <w:r w:rsidRPr="00522BCC">
        <w:t xml:space="preserve">and give consumers </w:t>
      </w:r>
      <w:r>
        <w:t>better</w:t>
      </w:r>
      <w:r w:rsidRPr="00522BCC">
        <w:t xml:space="preserve"> protection</w:t>
      </w:r>
      <w:r>
        <w:t>, without introducing any substantively new requirements.</w:t>
      </w:r>
    </w:p>
    <w:p w:rsidR="00FD7970" w:rsidRPr="00311008" w:rsidRDefault="004E4E98" w:rsidP="00370E6C">
      <w:pPr>
        <w:rPr>
          <w:rFonts w:eastAsia="Cambria"/>
          <w:sz w:val="20"/>
          <w:szCs w:val="20"/>
        </w:rPr>
      </w:pPr>
      <w:r w:rsidRPr="00D957A9">
        <w:t>S</w:t>
      </w:r>
      <w:r w:rsidRPr="00D957A9">
        <w:rPr>
          <w:rFonts w:cs="Arial"/>
        </w:rPr>
        <w:t xml:space="preserve">uppliers would have a transition period of between 12 to 24 months to adjust to the updated regulations, where they </w:t>
      </w:r>
      <w:r w:rsidR="003C3ED3">
        <w:rPr>
          <w:rFonts w:cs="Arial"/>
        </w:rPr>
        <w:t>would</w:t>
      </w:r>
      <w:r w:rsidR="003C3ED3" w:rsidRPr="00D957A9">
        <w:rPr>
          <w:rFonts w:cs="Arial"/>
        </w:rPr>
        <w:t xml:space="preserve"> </w:t>
      </w:r>
      <w:r w:rsidRPr="00D957A9">
        <w:rPr>
          <w:rFonts w:cs="Arial"/>
        </w:rPr>
        <w:t>still have the option to comply with the existing regulations and sell through existing stock.</w:t>
      </w:r>
    </w:p>
    <w:p w:rsidR="00A10CFD" w:rsidRPr="00D957A9" w:rsidRDefault="00A10CFD" w:rsidP="00D957A9">
      <w:pPr>
        <w:rPr>
          <w:b/>
          <w:sz w:val="24"/>
          <w:szCs w:val="24"/>
        </w:rPr>
      </w:pPr>
      <w:bookmarkStart w:id="279" w:name="_Toc459041433"/>
      <w:bookmarkStart w:id="280" w:name="_Toc463341292"/>
      <w:bookmarkStart w:id="281" w:name="_Toc463341426"/>
      <w:r w:rsidRPr="00D957A9">
        <w:rPr>
          <w:b/>
          <w:sz w:val="24"/>
          <w:szCs w:val="24"/>
        </w:rPr>
        <w:t>Benefits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6052E" w:rsidRDefault="00A6052E" w:rsidP="00A6052E">
      <w:bookmarkStart w:id="282" w:name="_Toc457311827"/>
      <w:bookmarkStart w:id="283" w:name="_Toc457816100"/>
      <w:bookmarkStart w:id="284" w:name="_Toc457817047"/>
      <w:bookmarkStart w:id="285" w:name="_Toc459041435"/>
      <w:r>
        <w:t xml:space="preserve">The updated standard would address </w:t>
      </w:r>
      <w:r w:rsidRPr="00522BCC">
        <w:t xml:space="preserve">the </w:t>
      </w:r>
      <w:r>
        <w:t>problems with t</w:t>
      </w:r>
      <w:r w:rsidRPr="009F6F97">
        <w:t xml:space="preserve">he </w:t>
      </w:r>
      <w:r>
        <w:t>permanence and legibility of the safety warnings</w:t>
      </w:r>
      <w:r w:rsidDel="001050E7">
        <w:t xml:space="preserve"> </w:t>
      </w:r>
      <w:r>
        <w:t>and give consumers a higher level of protection.</w:t>
      </w:r>
    </w:p>
    <w:p w:rsidR="00990CBB" w:rsidRPr="00990CBB" w:rsidRDefault="00A6052E" w:rsidP="00700A32">
      <w:r>
        <w:t>This would also make compliance easier for businesses.</w:t>
      </w:r>
    </w:p>
    <w:p w:rsidR="00AC7412" w:rsidRPr="00D957A9" w:rsidRDefault="00A10CFD" w:rsidP="00D957A9">
      <w:pPr>
        <w:rPr>
          <w:b/>
          <w:sz w:val="24"/>
          <w:szCs w:val="24"/>
        </w:rPr>
      </w:pPr>
      <w:bookmarkStart w:id="286" w:name="_Toc463341293"/>
      <w:bookmarkStart w:id="287" w:name="_Toc463341427"/>
      <w:r w:rsidRPr="00D957A9">
        <w:rPr>
          <w:b/>
          <w:sz w:val="24"/>
          <w:szCs w:val="24"/>
        </w:rPr>
        <w:t>Limitations</w:t>
      </w:r>
      <w:bookmarkStart w:id="288" w:name="_Toc448397939"/>
      <w:bookmarkStart w:id="289" w:name="_Toc453749121"/>
      <w:bookmarkStart w:id="290" w:name="_Toc453749367"/>
      <w:bookmarkStart w:id="291" w:name="_Toc453759811"/>
      <w:bookmarkStart w:id="292" w:name="_Toc453763209"/>
      <w:bookmarkStart w:id="293" w:name="_Toc453763905"/>
      <w:bookmarkStart w:id="294" w:name="_Toc453765815"/>
      <w:bookmarkStart w:id="295" w:name="_Toc454544448"/>
      <w:bookmarkStart w:id="296" w:name="_Toc455580032"/>
      <w:bookmarkStart w:id="297" w:name="_Toc456277650"/>
      <w:bookmarkStart w:id="298" w:name="_Toc456279019"/>
      <w:bookmarkStart w:id="299" w:name="_Toc457311828"/>
      <w:bookmarkStart w:id="300" w:name="_Toc457816101"/>
      <w:bookmarkStart w:id="301" w:name="_Toc457817048"/>
      <w:bookmarkStart w:id="302" w:name="_Toc459041436"/>
      <w:bookmarkEnd w:id="282"/>
      <w:bookmarkEnd w:id="283"/>
      <w:bookmarkEnd w:id="284"/>
      <w:bookmarkEnd w:id="285"/>
      <w:bookmarkEnd w:id="286"/>
      <w:bookmarkEnd w:id="287"/>
    </w:p>
    <w:p w:rsidR="00530140" w:rsidRDefault="006040BA" w:rsidP="00700A32">
      <w:r>
        <w:t>W</w:t>
      </w:r>
      <w:r w:rsidR="00A6052E">
        <w:t>e expect the compliance burden would be about the same as the status quo.</w:t>
      </w:r>
    </w:p>
    <w:p w:rsidR="000278D8" w:rsidRDefault="00AC6EEF" w:rsidP="00700A32">
      <w:r>
        <w:rPr>
          <w:noProof/>
          <w:lang w:eastAsia="en-AU"/>
        </w:rPr>
        <w:pict>
          <v:shape id="_x0000_s1052" type="#_x0000_t202" style="position:absolute;margin-left:-.75pt;margin-top:9.55pt;width:447.75pt;height:58.6pt;z-index:2516628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_x0000_s1052">
              <w:txbxContent>
                <w:p w:rsidR="00FB2FB1" w:rsidRDefault="00FB2FB1" w:rsidP="004E4E98">
                  <w:pPr>
                    <w:pStyle w:val="ListParagraph"/>
                    <w:numPr>
                      <w:ilvl w:val="0"/>
                      <w:numId w:val="0"/>
                    </w:numPr>
                  </w:pPr>
                  <w:r>
                    <w:rPr>
                      <w:b/>
                    </w:rPr>
                    <w:t>We encourage s</w:t>
                  </w:r>
                  <w:r w:rsidRPr="00D1421B">
                    <w:rPr>
                      <w:b/>
                    </w:rPr>
                    <w:t xml:space="preserve">uppliers to </w:t>
                  </w:r>
                  <w:r>
                    <w:rPr>
                      <w:b/>
                    </w:rPr>
                    <w:t>comment on</w:t>
                  </w:r>
                  <w:r w:rsidRPr="00D1421B">
                    <w:rPr>
                      <w:b/>
                    </w:rPr>
                    <w:t xml:space="preserve"> </w:t>
                  </w:r>
                  <w:r>
                    <w:rPr>
                      <w:b/>
                    </w:rPr>
                    <w:t>any</w:t>
                  </w:r>
                  <w:r w:rsidRPr="00D1421B">
                    <w:rPr>
                      <w:b/>
                    </w:rPr>
                    <w:t xml:space="preserve"> </w:t>
                  </w:r>
                  <w:r>
                    <w:rPr>
                      <w:b/>
                    </w:rPr>
                    <w:t>changes to compliance costs if the mandatory safety standard were updated to clarify the permanence and legibility requirements for the safety warnings.</w:t>
                  </w:r>
                </w:p>
              </w:txbxContent>
            </v:textbox>
          </v:shape>
        </w:pict>
      </w:r>
    </w:p>
    <w:p w:rsidR="004E4E98" w:rsidRDefault="004E4E98" w:rsidP="00370E6C">
      <w:pPr>
        <w:pStyle w:val="Heading2"/>
      </w:pPr>
    </w:p>
    <w:p w:rsidR="00530140" w:rsidRPr="00CE2611" w:rsidRDefault="00530140"/>
    <w:p w:rsidR="00A10CFD" w:rsidRPr="00FF3B40" w:rsidRDefault="006B008A" w:rsidP="00370E6C">
      <w:pPr>
        <w:pStyle w:val="Numbered11"/>
        <w:numPr>
          <w:ilvl w:val="0"/>
          <w:numId w:val="0"/>
        </w:numPr>
        <w:spacing w:before="360"/>
      </w:pPr>
      <w:bookmarkStart w:id="303" w:name="_Toc463364238"/>
      <w:r>
        <w:t>Option 3</w:t>
      </w:r>
      <w:r w:rsidR="00A10CFD" w:rsidRPr="00FF3B40">
        <w:t xml:space="preserve"> - </w:t>
      </w:r>
      <w:bookmarkEnd w:id="288"/>
      <w:bookmarkEnd w:id="289"/>
      <w:bookmarkEnd w:id="290"/>
      <w:bookmarkEnd w:id="291"/>
      <w:bookmarkEnd w:id="292"/>
      <w:bookmarkEnd w:id="293"/>
      <w:bookmarkEnd w:id="294"/>
      <w:bookmarkEnd w:id="295"/>
      <w:bookmarkEnd w:id="296"/>
      <w:r w:rsidR="00A15E33" w:rsidRPr="00A15E33">
        <w:t xml:space="preserve">Accept the </w:t>
      </w:r>
      <w:r w:rsidR="003C3ED3">
        <w:t>ASTM</w:t>
      </w:r>
      <w:r w:rsidR="003C3ED3" w:rsidRPr="00A15E33">
        <w:t xml:space="preserve"> </w:t>
      </w:r>
      <w:r w:rsidR="00A15E33" w:rsidRPr="00A15E33">
        <w:t>standard</w:t>
      </w:r>
      <w:bookmarkEnd w:id="297"/>
      <w:bookmarkEnd w:id="298"/>
      <w:bookmarkEnd w:id="299"/>
      <w:bookmarkEnd w:id="300"/>
      <w:bookmarkEnd w:id="301"/>
      <w:bookmarkEnd w:id="302"/>
      <w:bookmarkEnd w:id="303"/>
    </w:p>
    <w:p w:rsidR="00A10CFD" w:rsidRPr="00D957A9" w:rsidRDefault="00A10CFD" w:rsidP="00D957A9">
      <w:pPr>
        <w:rPr>
          <w:b/>
          <w:sz w:val="24"/>
          <w:szCs w:val="24"/>
        </w:rPr>
      </w:pPr>
      <w:bookmarkStart w:id="304" w:name="_Toc453749122"/>
      <w:bookmarkStart w:id="305" w:name="_Toc453749368"/>
      <w:bookmarkStart w:id="306" w:name="_Toc453763906"/>
      <w:bookmarkStart w:id="307" w:name="_Toc453765816"/>
      <w:bookmarkStart w:id="308" w:name="_Toc454444026"/>
      <w:bookmarkStart w:id="309" w:name="_Toc454544449"/>
      <w:bookmarkStart w:id="310" w:name="_Toc455580033"/>
      <w:bookmarkStart w:id="311" w:name="_Toc456277651"/>
      <w:bookmarkStart w:id="312" w:name="_Toc456279020"/>
      <w:bookmarkStart w:id="313" w:name="_Toc457311829"/>
      <w:bookmarkStart w:id="314" w:name="_Toc457816102"/>
      <w:bookmarkStart w:id="315" w:name="_Toc457817049"/>
      <w:bookmarkStart w:id="316" w:name="_Toc459041437"/>
      <w:bookmarkStart w:id="317" w:name="_Toc463341295"/>
      <w:bookmarkStart w:id="318" w:name="_Toc463341429"/>
      <w:r w:rsidRPr="00D957A9">
        <w:rPr>
          <w:b/>
          <w:sz w:val="24"/>
          <w:szCs w:val="24"/>
        </w:rPr>
        <w:t>Description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A6052E" w:rsidRDefault="00A6052E" w:rsidP="00A6052E">
      <w:bookmarkStart w:id="319" w:name="_Toc459041438"/>
      <w:bookmarkStart w:id="320" w:name="_Toc453749123"/>
      <w:bookmarkStart w:id="321" w:name="_Toc453749369"/>
      <w:bookmarkStart w:id="322" w:name="_Toc453763907"/>
      <w:bookmarkStart w:id="323" w:name="_Toc453765817"/>
      <w:bookmarkStart w:id="324" w:name="_Toc454444027"/>
      <w:bookmarkStart w:id="325" w:name="_Toc454544450"/>
      <w:bookmarkStart w:id="326" w:name="_Toc455580034"/>
      <w:bookmarkStart w:id="327" w:name="_Toc456277652"/>
      <w:bookmarkStart w:id="328" w:name="_Toc456279021"/>
      <w:bookmarkStart w:id="329" w:name="_Toc457311830"/>
      <w:bookmarkStart w:id="330" w:name="_Toc457816103"/>
      <w:bookmarkStart w:id="331" w:name="_Toc457817050"/>
      <w:r w:rsidRPr="00826C9F">
        <w:t>Th</w:t>
      </w:r>
      <w:r>
        <w:t>is would</w:t>
      </w:r>
      <w:r w:rsidRPr="00826C9F">
        <w:t xml:space="preserve"> update</w:t>
      </w:r>
      <w:r>
        <w:t xml:space="preserve"> the</w:t>
      </w:r>
      <w:r w:rsidRPr="00826C9F">
        <w:t xml:space="preserve"> mandatory safety standard</w:t>
      </w:r>
      <w:r>
        <w:t xml:space="preserve"> to specify parts of the ASTM standard as an alternative. This would improve the effectiveness of the warnings throughout the life of the product and make compliance easier for suppliers by:</w:t>
      </w:r>
    </w:p>
    <w:p w:rsidR="00A6052E" w:rsidRDefault="00A6052E" w:rsidP="00370E6C">
      <w:pPr>
        <w:pStyle w:val="Bulletpoint"/>
      </w:pPr>
      <w:r>
        <w:t>clarifying the permanence requirements via the relevant clauses of the ASTM standard</w:t>
      </w:r>
    </w:p>
    <w:p w:rsidR="00435622" w:rsidRPr="009018A3" w:rsidRDefault="00A6052E" w:rsidP="00370E6C">
      <w:pPr>
        <w:pStyle w:val="Bulletpoint"/>
      </w:pPr>
      <w:r>
        <w:t>accepting the safety warnings of the ASTM standard as an alternative to the current warning.</w:t>
      </w:r>
      <w:r w:rsidR="00435622">
        <w:t xml:space="preserve"> </w:t>
      </w:r>
    </w:p>
    <w:p w:rsidR="00A10CFD" w:rsidRPr="00D957A9" w:rsidRDefault="003C3ED3" w:rsidP="00D957A9">
      <w:pPr>
        <w:rPr>
          <w:b/>
          <w:sz w:val="24"/>
          <w:szCs w:val="24"/>
        </w:rPr>
      </w:pPr>
      <w:bookmarkStart w:id="332" w:name="_Toc459041439"/>
      <w:bookmarkStart w:id="333" w:name="_Toc463341296"/>
      <w:bookmarkStart w:id="334" w:name="_Toc463341430"/>
      <w:bookmarkEnd w:id="319"/>
      <w:r>
        <w:br w:type="page"/>
      </w:r>
      <w:r w:rsidR="00A10CFD" w:rsidRPr="00D957A9">
        <w:rPr>
          <w:b/>
          <w:sz w:val="24"/>
          <w:szCs w:val="24"/>
        </w:rPr>
        <w:lastRenderedPageBreak/>
        <w:t>Benefits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9018A3" w:rsidRDefault="009018A3" w:rsidP="009018A3">
      <w:bookmarkStart w:id="335" w:name="_Toc459041441"/>
      <w:bookmarkStart w:id="336" w:name="_Toc457311831"/>
      <w:bookmarkStart w:id="337" w:name="_Toc457816104"/>
      <w:bookmarkStart w:id="338" w:name="_Toc457817051"/>
      <w:r>
        <w:t xml:space="preserve">The updated standard would address </w:t>
      </w:r>
      <w:r w:rsidRPr="00522BCC">
        <w:t xml:space="preserve">the </w:t>
      </w:r>
      <w:r>
        <w:t>problems with t</w:t>
      </w:r>
      <w:r w:rsidRPr="009F6F97">
        <w:t xml:space="preserve">he </w:t>
      </w:r>
      <w:r>
        <w:t>permanence and legibility of the safety warnings</w:t>
      </w:r>
      <w:r w:rsidDel="001050E7">
        <w:t xml:space="preserve"> </w:t>
      </w:r>
      <w:r>
        <w:t>and give consumers a higher level of protection.</w:t>
      </w:r>
    </w:p>
    <w:p w:rsidR="00E9762C" w:rsidRPr="0071375D" w:rsidRDefault="009018A3" w:rsidP="00700A32">
      <w:pPr>
        <w:rPr>
          <w:bCs/>
        </w:rPr>
      </w:pPr>
      <w:r>
        <w:t>Under this option, suppliers could supply products that already comply with the ASTM standard without needing to retest or re-assess the products for uniquely Australian requirements.</w:t>
      </w:r>
      <w:bookmarkEnd w:id="335"/>
    </w:p>
    <w:p w:rsidR="00A10CFD" w:rsidRPr="00D957A9" w:rsidRDefault="00A10CFD" w:rsidP="00D957A9">
      <w:pPr>
        <w:rPr>
          <w:b/>
          <w:sz w:val="24"/>
          <w:szCs w:val="24"/>
        </w:rPr>
      </w:pPr>
      <w:bookmarkStart w:id="339" w:name="_Toc459041443"/>
      <w:bookmarkStart w:id="340" w:name="_Toc463341297"/>
      <w:bookmarkStart w:id="341" w:name="_Toc463341431"/>
      <w:r w:rsidRPr="00D957A9">
        <w:rPr>
          <w:b/>
          <w:sz w:val="24"/>
          <w:szCs w:val="24"/>
        </w:rPr>
        <w:t>Limitations</w:t>
      </w:r>
      <w:bookmarkEnd w:id="336"/>
      <w:bookmarkEnd w:id="337"/>
      <w:bookmarkEnd w:id="338"/>
      <w:bookmarkEnd w:id="339"/>
      <w:bookmarkEnd w:id="340"/>
      <w:bookmarkEnd w:id="341"/>
    </w:p>
    <w:p w:rsidR="006040BA" w:rsidRDefault="009018A3" w:rsidP="00700A32">
      <w:r>
        <w:t>The ASTM standard specifies warnings that are similar to those of the current mandatory safety standard. However, this standard</w:t>
      </w:r>
      <w:r w:rsidRPr="00462C01">
        <w:t xml:space="preserve"> </w:t>
      </w:r>
      <w:r>
        <w:t xml:space="preserve">does not address the hazard of co-bathing </w:t>
      </w:r>
      <w:r w:rsidRPr="00462C01">
        <w:t xml:space="preserve">and </w:t>
      </w:r>
      <w:r>
        <w:t>this could mean some us</w:t>
      </w:r>
      <w:r w:rsidRPr="00462C01">
        <w:t xml:space="preserve">ers </w:t>
      </w:r>
      <w:r>
        <w:t>are not aware of</w:t>
      </w:r>
      <w:r w:rsidRPr="00462C01">
        <w:t xml:space="preserve"> th</w:t>
      </w:r>
      <w:r>
        <w:t>is risk. We seek specific stakeholder feedback about the significance of this difference, in light of the other benefits of the ASTM standard.</w:t>
      </w:r>
    </w:p>
    <w:p w:rsidR="006040BA" w:rsidRDefault="00AC6EEF" w:rsidP="00700A32">
      <w:r>
        <w:rPr>
          <w:noProof/>
          <w:lang w:eastAsia="en-AU"/>
        </w:rPr>
        <w:pict>
          <v:shape id="_x0000_s1053" type="#_x0000_t202" style="position:absolute;margin-left:.35pt;margin-top:6.65pt;width:447.75pt;height:88.9pt;z-index:251663872;visibility:visible;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v:textbox style="mso-next-textbox:#_x0000_s1053">
              <w:txbxContent>
                <w:p w:rsidR="007F6720" w:rsidRDefault="00FB2FB1" w:rsidP="006040BA">
                  <w:pPr>
                    <w:pStyle w:val="ListParagraph"/>
                    <w:numPr>
                      <w:ilvl w:val="0"/>
                      <w:numId w:val="0"/>
                    </w:numPr>
                    <w:rPr>
                      <w:b/>
                    </w:rPr>
                  </w:pPr>
                  <w:r>
                    <w:rPr>
                      <w:b/>
                    </w:rPr>
                    <w:t>We encourage stakeholders</w:t>
                  </w:r>
                  <w:r w:rsidRPr="00D1421B">
                    <w:rPr>
                      <w:b/>
                    </w:rPr>
                    <w:t xml:space="preserve"> to </w:t>
                  </w:r>
                  <w:r>
                    <w:rPr>
                      <w:b/>
                    </w:rPr>
                    <w:t>comment on</w:t>
                  </w:r>
                  <w:r w:rsidRPr="00D1421B">
                    <w:rPr>
                      <w:b/>
                    </w:rPr>
                    <w:t xml:space="preserve"> </w:t>
                  </w:r>
                  <w:r>
                    <w:rPr>
                      <w:b/>
                    </w:rPr>
                    <w:t>whether it is important for the warning to address the hazard of co-bathing</w:t>
                  </w:r>
                  <w:r w:rsidRPr="006040BA">
                    <w:rPr>
                      <w:b/>
                    </w:rPr>
                    <w:t>, in light of the other benefits of the ASTM standard</w:t>
                  </w:r>
                  <w:r>
                    <w:rPr>
                      <w:b/>
                    </w:rPr>
                    <w:t>.</w:t>
                  </w:r>
                </w:p>
                <w:p w:rsidR="00FB2FB1" w:rsidRDefault="007F6720" w:rsidP="006040BA">
                  <w:pPr>
                    <w:pStyle w:val="ListParagraph"/>
                    <w:numPr>
                      <w:ilvl w:val="0"/>
                      <w:numId w:val="0"/>
                    </w:numPr>
                  </w:pPr>
                  <w:r>
                    <w:rPr>
                      <w:b/>
                    </w:rPr>
                    <w:t>We also encourage stakeholders</w:t>
                  </w:r>
                  <w:r w:rsidRPr="00D1421B">
                    <w:rPr>
                      <w:b/>
                    </w:rPr>
                    <w:t xml:space="preserve"> to </w:t>
                  </w:r>
                  <w:r>
                    <w:rPr>
                      <w:b/>
                    </w:rPr>
                    <w:t>comment on</w:t>
                  </w:r>
                  <w:r w:rsidRPr="00D1421B">
                    <w:rPr>
                      <w:b/>
                    </w:rPr>
                    <w:t xml:space="preserve"> </w:t>
                  </w:r>
                  <w:r>
                    <w:rPr>
                      <w:b/>
                    </w:rPr>
                    <w:t>whether Australia should accept specific parts of the ASTM standard</w:t>
                  </w:r>
                  <w:r w:rsidR="003C3ED3">
                    <w:rPr>
                      <w:b/>
                    </w:rPr>
                    <w:t xml:space="preserve"> or only parts of it</w:t>
                  </w:r>
                  <w:r>
                    <w:rPr>
                      <w:b/>
                    </w:rPr>
                    <w:t>.</w:t>
                  </w:r>
                </w:p>
              </w:txbxContent>
            </v:textbox>
          </v:shape>
        </w:pict>
      </w:r>
    </w:p>
    <w:p w:rsidR="006040BA" w:rsidRDefault="006040BA" w:rsidP="00700A32"/>
    <w:p w:rsidR="007F6720" w:rsidRDefault="007F6720" w:rsidP="00700A32"/>
    <w:p w:rsidR="00B660B8" w:rsidRPr="00B660B8" w:rsidRDefault="00B660B8" w:rsidP="00700A32"/>
    <w:p w:rsidR="006B008A" w:rsidRPr="00FF3B40" w:rsidRDefault="006B008A" w:rsidP="00370E6C">
      <w:pPr>
        <w:pStyle w:val="Numbered11"/>
        <w:keepNext/>
        <w:numPr>
          <w:ilvl w:val="0"/>
          <w:numId w:val="0"/>
        </w:numPr>
        <w:spacing w:before="360"/>
      </w:pPr>
      <w:bookmarkStart w:id="342" w:name="_Toc463364239"/>
      <w:r w:rsidRPr="00FF3B40">
        <w:t xml:space="preserve">Option </w:t>
      </w:r>
      <w:r>
        <w:t>4</w:t>
      </w:r>
      <w:r w:rsidRPr="00FF3B40">
        <w:t xml:space="preserve"> - Revoke the mandatory safety standard</w:t>
      </w:r>
      <w:bookmarkEnd w:id="342"/>
    </w:p>
    <w:p w:rsidR="006B008A" w:rsidRPr="00D957A9" w:rsidRDefault="006B008A" w:rsidP="00D957A9">
      <w:pPr>
        <w:rPr>
          <w:b/>
          <w:sz w:val="24"/>
          <w:szCs w:val="24"/>
        </w:rPr>
      </w:pPr>
      <w:bookmarkStart w:id="343" w:name="_Toc453749114"/>
      <w:bookmarkStart w:id="344" w:name="_Toc453749360"/>
      <w:bookmarkStart w:id="345" w:name="_Toc453763898"/>
      <w:bookmarkStart w:id="346" w:name="_Toc453765808"/>
      <w:bookmarkStart w:id="347" w:name="_Toc454444018"/>
      <w:bookmarkStart w:id="348" w:name="_Toc454544441"/>
      <w:bookmarkStart w:id="349" w:name="_Toc455580025"/>
      <w:bookmarkStart w:id="350" w:name="_Toc456277643"/>
      <w:bookmarkStart w:id="351" w:name="_Toc456279012"/>
      <w:bookmarkStart w:id="352" w:name="_Toc457311822"/>
      <w:bookmarkStart w:id="353" w:name="_Toc457816095"/>
      <w:bookmarkStart w:id="354" w:name="_Toc457817042"/>
      <w:bookmarkStart w:id="355" w:name="_Toc459041428"/>
      <w:bookmarkStart w:id="356" w:name="_Toc463341299"/>
      <w:bookmarkStart w:id="357" w:name="_Toc463341433"/>
      <w:r w:rsidRPr="00D957A9">
        <w:rPr>
          <w:b/>
          <w:sz w:val="24"/>
          <w:szCs w:val="24"/>
        </w:rPr>
        <w:t>Description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052E" w:rsidRDefault="00A6052E" w:rsidP="00A6052E">
      <w:bookmarkStart w:id="358" w:name="_Toc453749115"/>
      <w:bookmarkStart w:id="359" w:name="_Toc453749361"/>
      <w:bookmarkStart w:id="360" w:name="_Toc453763899"/>
      <w:bookmarkStart w:id="361" w:name="_Toc453765809"/>
      <w:bookmarkStart w:id="362" w:name="_Toc454444019"/>
      <w:bookmarkStart w:id="363" w:name="_Toc454544442"/>
      <w:bookmarkStart w:id="364" w:name="_Toc455580026"/>
      <w:bookmarkStart w:id="365" w:name="_Toc456277644"/>
      <w:bookmarkStart w:id="366" w:name="_Toc456279013"/>
      <w:bookmarkStart w:id="367" w:name="_Toc457311823"/>
      <w:bookmarkStart w:id="368" w:name="_Toc457816096"/>
      <w:bookmarkStart w:id="369" w:name="_Toc457817043"/>
      <w:bookmarkStart w:id="370" w:name="_Toc459041429"/>
      <w:r>
        <w:t>The mandatory safety standard for baby bath aids would be revoked. Suppliers of baby bath aids would no longer need to provide prescribed safety warnings to consumers.</w:t>
      </w:r>
    </w:p>
    <w:p w:rsidR="006B008A" w:rsidRDefault="00A6052E" w:rsidP="00700A32">
      <w:r>
        <w:t xml:space="preserve">Some suppliers may voluntarily provide warnings on products and consumers would retain general protections under the Australian Consumer Law (ACL). </w:t>
      </w:r>
    </w:p>
    <w:p w:rsidR="006B008A" w:rsidRPr="00D957A9" w:rsidRDefault="006B008A" w:rsidP="00D957A9">
      <w:pPr>
        <w:rPr>
          <w:b/>
          <w:sz w:val="24"/>
          <w:szCs w:val="24"/>
        </w:rPr>
      </w:pPr>
      <w:bookmarkStart w:id="371" w:name="_Toc463341300"/>
      <w:bookmarkStart w:id="372" w:name="_Toc463341434"/>
      <w:r w:rsidRPr="00D957A9">
        <w:rPr>
          <w:b/>
          <w:sz w:val="24"/>
          <w:szCs w:val="24"/>
        </w:rPr>
        <w:t>Benefits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6B008A" w:rsidRDefault="006B008A" w:rsidP="00700A32">
      <w:r>
        <w:t xml:space="preserve">Revoking the mandatory standard would remove compliance costs by allowing suppliers to import and supply products without needing to provide prescribed warnings. </w:t>
      </w:r>
      <w:r w:rsidR="00952CB1">
        <w:t>This would reduce compliance costs for suppliers</w:t>
      </w:r>
      <w:r w:rsidR="00952CB1" w:rsidRPr="00315E8E">
        <w:t>.</w:t>
      </w:r>
    </w:p>
    <w:p w:rsidR="006B008A" w:rsidRPr="00A81761" w:rsidRDefault="006B008A" w:rsidP="00700A32">
      <w:r>
        <w:t>The government would no longer incur the costs of administering the standard. The general provisions of the ACL would remain available.</w:t>
      </w:r>
    </w:p>
    <w:p w:rsidR="006B008A" w:rsidRPr="00D957A9" w:rsidRDefault="006B008A" w:rsidP="00D957A9">
      <w:pPr>
        <w:rPr>
          <w:b/>
          <w:sz w:val="24"/>
          <w:szCs w:val="24"/>
        </w:rPr>
      </w:pPr>
      <w:bookmarkStart w:id="373" w:name="_Toc459041430"/>
      <w:bookmarkStart w:id="374" w:name="_Toc463341301"/>
      <w:bookmarkStart w:id="375" w:name="_Toc463341435"/>
      <w:r w:rsidRPr="00D957A9">
        <w:rPr>
          <w:b/>
          <w:sz w:val="24"/>
          <w:szCs w:val="24"/>
        </w:rPr>
        <w:t>Limitations</w:t>
      </w:r>
      <w:bookmarkEnd w:id="373"/>
      <w:bookmarkEnd w:id="374"/>
      <w:bookmarkEnd w:id="375"/>
    </w:p>
    <w:p w:rsidR="006B008A" w:rsidRPr="00990CBB" w:rsidRDefault="006B008A" w:rsidP="00700A32">
      <w:r w:rsidRPr="00990CBB">
        <w:t xml:space="preserve">Revoking the mandatory standard presents an unreasonable degree of risk to a highly vulnerable category of consumers – babies. </w:t>
      </w:r>
    </w:p>
    <w:p w:rsidR="006B008A" w:rsidRPr="00990CBB" w:rsidRDefault="00952CB1" w:rsidP="00700A32">
      <w:r w:rsidRPr="00315E8E">
        <w:t xml:space="preserve">The risk of </w:t>
      </w:r>
      <w:r>
        <w:t>babies drowning</w:t>
      </w:r>
      <w:r w:rsidRPr="00315E8E">
        <w:t xml:space="preserve"> from incorrect use of baby bath aids could increase with deregulation. </w:t>
      </w:r>
      <w:r>
        <w:t>C</w:t>
      </w:r>
      <w:r w:rsidRPr="00315E8E">
        <w:t xml:space="preserve">onsumers would be </w:t>
      </w:r>
      <w:r>
        <w:t xml:space="preserve">less </w:t>
      </w:r>
      <w:r w:rsidRPr="00315E8E">
        <w:t xml:space="preserve">able to identify potential hazards. This may </w:t>
      </w:r>
      <w:r>
        <w:t>reduce</w:t>
      </w:r>
      <w:r w:rsidRPr="00315E8E">
        <w:t xml:space="preserve"> consumer confidence in the products.</w:t>
      </w:r>
    </w:p>
    <w:p w:rsidR="00A10CFD" w:rsidRDefault="00450FB3" w:rsidP="004B222C">
      <w:pPr>
        <w:pStyle w:val="Numbered1"/>
        <w:numPr>
          <w:ilvl w:val="0"/>
          <w:numId w:val="28"/>
        </w:numPr>
        <w:ind w:left="680" w:hanging="680"/>
      </w:pPr>
      <w:bookmarkStart w:id="376" w:name="_Toc459041444"/>
      <w:bookmarkStart w:id="377" w:name="_Toc453749371"/>
      <w:bookmarkEnd w:id="170"/>
      <w:r>
        <w:br w:type="page"/>
      </w:r>
      <w:bookmarkStart w:id="378" w:name="_Toc463364240"/>
      <w:r w:rsidR="00A10CFD" w:rsidRPr="00A10CFD">
        <w:lastRenderedPageBreak/>
        <w:t>Preliminary position</w:t>
      </w:r>
      <w:bookmarkEnd w:id="376"/>
      <w:bookmarkEnd w:id="378"/>
    </w:p>
    <w:p w:rsidR="005A201D" w:rsidRDefault="00FF3B40" w:rsidP="00FF3B40">
      <w:r>
        <w:t>The ACCC is currently of the view that</w:t>
      </w:r>
      <w:r w:rsidR="004E4E98">
        <w:t xml:space="preserve"> both</w:t>
      </w:r>
      <w:r>
        <w:t xml:space="preserve"> Option</w:t>
      </w:r>
      <w:r w:rsidR="004E4E98">
        <w:t>s 2 and</w:t>
      </w:r>
      <w:r>
        <w:t xml:space="preserve"> 3 provide the greatest benefit for consumers, suppliers and </w:t>
      </w:r>
      <w:r w:rsidR="005A201D">
        <w:t>regulators</w:t>
      </w:r>
      <w:r>
        <w:t>.</w:t>
      </w:r>
      <w:r w:rsidR="00487C81">
        <w:t xml:space="preserve"> </w:t>
      </w:r>
      <w:r w:rsidR="004E4E98">
        <w:t>Options 2 and 3 are compatible and are not mutually exclusive.</w:t>
      </w:r>
      <w:r w:rsidR="00487C81">
        <w:t xml:space="preserve"> They</w:t>
      </w:r>
      <w:r w:rsidR="00487C81" w:rsidRPr="008644F7">
        <w:t xml:space="preserve"> will not increase any compliance requirements nor introduce any new underlying requirements.</w:t>
      </w:r>
    </w:p>
    <w:p w:rsidR="0029303B" w:rsidRPr="00553F38" w:rsidRDefault="0029303B" w:rsidP="00553F38">
      <w:r w:rsidRPr="0029303B">
        <w:t>Maintaining the status quo (option 1) or r</w:t>
      </w:r>
      <w:r w:rsidR="00273A90">
        <w:t>evoking the standard (option 4)</w:t>
      </w:r>
      <w:r w:rsidRPr="0029303B">
        <w:t xml:space="preserve"> will not address the problems we are trying to resolve and are unlikely to result in an acceptable level of consumer safety and confidence.</w:t>
      </w:r>
    </w:p>
    <w:p w:rsidR="00FF3B40" w:rsidRDefault="00FF3B40" w:rsidP="00FF3B40">
      <w:r>
        <w:t xml:space="preserve">Stakeholder submissions to this consultation will help us test </w:t>
      </w:r>
      <w:r w:rsidR="005A201D">
        <w:t xml:space="preserve">the above </w:t>
      </w:r>
      <w:r>
        <w:t>position</w:t>
      </w:r>
      <w:r w:rsidR="005A201D">
        <w:t>s and to recommend the most appropriate option to the Minister</w:t>
      </w:r>
      <w:r>
        <w:t>.</w:t>
      </w:r>
    </w:p>
    <w:p w:rsidR="00FF3B40" w:rsidRDefault="00F47DAD" w:rsidP="00FF3B40">
      <w:r w:rsidRPr="00D77880">
        <w:t xml:space="preserve">The Office of Best Practice Regulation (OBPR) has advised that a Regulation Impact Statement (RIS) </w:t>
      </w:r>
      <w:r>
        <w:t xml:space="preserve">may not be required as the proposed changes are likely to be </w:t>
      </w:r>
      <w:r w:rsidRPr="00D77880">
        <w:t>administrative and minor.</w:t>
      </w:r>
      <w:r>
        <w:t xml:space="preserve"> </w:t>
      </w:r>
    </w:p>
    <w:p w:rsidR="009E5FC7" w:rsidRPr="000122BA" w:rsidRDefault="00E4197A" w:rsidP="00553F38">
      <w:pPr>
        <w:pStyle w:val="Numbered1"/>
        <w:keepNext/>
        <w:numPr>
          <w:ilvl w:val="0"/>
          <w:numId w:val="28"/>
        </w:numPr>
        <w:spacing w:after="240"/>
        <w:ind w:left="680" w:hanging="680"/>
      </w:pPr>
      <w:bookmarkStart w:id="379" w:name="_Toc459041446"/>
      <w:bookmarkStart w:id="380" w:name="_Toc463364241"/>
      <w:r w:rsidRPr="000122BA">
        <w:t>C</w:t>
      </w:r>
      <w:r w:rsidR="009E5FC7" w:rsidRPr="000122BA">
        <w:t>onsultation questions</w:t>
      </w:r>
      <w:bookmarkEnd w:id="377"/>
      <w:bookmarkEnd w:id="379"/>
      <w:bookmarkEnd w:id="380"/>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C38BE" w:rsidRPr="000122BA" w:rsidTr="0001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4E98" w:rsidRPr="004E4E98" w:rsidRDefault="008C38BE" w:rsidP="00370E6C">
            <w:pPr>
              <w:keepNext/>
              <w:keepLines/>
              <w:numPr>
                <w:ilvl w:val="0"/>
                <w:numId w:val="27"/>
              </w:numPr>
              <w:spacing w:before="240" w:after="200"/>
              <w:ind w:left="697" w:hanging="340"/>
              <w:rPr>
                <w:b w:val="0"/>
              </w:rPr>
            </w:pPr>
            <w:r w:rsidRPr="006B5743">
              <w:rPr>
                <w:b w:val="0"/>
              </w:rPr>
              <w:t xml:space="preserve">Do you support </w:t>
            </w:r>
            <w:r w:rsidR="002E1113" w:rsidRPr="006B5743">
              <w:rPr>
                <w:b w:val="0"/>
              </w:rPr>
              <w:t>the ACCC’s</w:t>
            </w:r>
            <w:r w:rsidRPr="006B5743">
              <w:rPr>
                <w:b w:val="0"/>
              </w:rPr>
              <w:t xml:space="preserve"> preliminary position to adopt Option</w:t>
            </w:r>
            <w:r w:rsidR="004E4E98">
              <w:rPr>
                <w:b w:val="0"/>
              </w:rPr>
              <w:t xml:space="preserve"> 2 or</w:t>
            </w:r>
            <w:r w:rsidRPr="006B5743">
              <w:rPr>
                <w:b w:val="0"/>
              </w:rPr>
              <w:t xml:space="preserve"> 3?</w:t>
            </w:r>
            <w:r w:rsidR="004E4E98">
              <w:rPr>
                <w:b w:val="0"/>
              </w:rPr>
              <w:t xml:space="preserve"> If so, please specify the option you prefer best or whether you support combining the two.  </w:t>
            </w:r>
          </w:p>
          <w:p w:rsidR="00AD30E4" w:rsidRDefault="00AD30E4" w:rsidP="00370E6C">
            <w:pPr>
              <w:keepNext/>
              <w:keepLines/>
              <w:numPr>
                <w:ilvl w:val="0"/>
                <w:numId w:val="27"/>
              </w:numPr>
              <w:spacing w:before="240" w:after="200"/>
              <w:ind w:left="697" w:hanging="340"/>
              <w:rPr>
                <w:b w:val="0"/>
              </w:rPr>
            </w:pPr>
            <w:r>
              <w:rPr>
                <w:b w:val="0"/>
              </w:rPr>
              <w:t xml:space="preserve">Would there be any increase or decrease in compliance costs </w:t>
            </w:r>
            <w:r w:rsidR="00CE2611">
              <w:rPr>
                <w:b w:val="0"/>
              </w:rPr>
              <w:t>if Option 2 were adopted?</w:t>
            </w:r>
          </w:p>
          <w:p w:rsidR="0029303B" w:rsidRDefault="00AD30E4" w:rsidP="00370E6C">
            <w:pPr>
              <w:keepNext/>
              <w:keepLines/>
              <w:numPr>
                <w:ilvl w:val="0"/>
                <w:numId w:val="27"/>
              </w:numPr>
              <w:spacing w:before="240" w:after="200"/>
              <w:ind w:left="697" w:hanging="340"/>
              <w:rPr>
                <w:b w:val="0"/>
              </w:rPr>
            </w:pPr>
            <w:r>
              <w:rPr>
                <w:b w:val="0"/>
              </w:rPr>
              <w:t xml:space="preserve">Do you believe that the US standard provides a suitable level of safety for baby bath aids in Australia? </w:t>
            </w:r>
            <w:r w:rsidR="0029303B">
              <w:rPr>
                <w:b w:val="0"/>
              </w:rPr>
              <w:t>Should Australia accept the entire ASTM standard</w:t>
            </w:r>
            <w:r w:rsidR="00450FB3">
              <w:rPr>
                <w:b w:val="0"/>
              </w:rPr>
              <w:t xml:space="preserve"> or only specific parts of it</w:t>
            </w:r>
            <w:r w:rsidR="0029303B">
              <w:rPr>
                <w:b w:val="0"/>
              </w:rPr>
              <w:t>?</w:t>
            </w:r>
          </w:p>
          <w:p w:rsidR="00AD30E4" w:rsidRDefault="00AD30E4" w:rsidP="00370E6C">
            <w:pPr>
              <w:keepNext/>
              <w:keepLines/>
              <w:numPr>
                <w:ilvl w:val="0"/>
                <w:numId w:val="27"/>
              </w:numPr>
              <w:spacing w:before="240" w:after="200"/>
              <w:ind w:left="697" w:hanging="340"/>
              <w:rPr>
                <w:b w:val="0"/>
              </w:rPr>
            </w:pPr>
            <w:r>
              <w:rPr>
                <w:b w:val="0"/>
              </w:rPr>
              <w:t>Is it important for the warning label to address the hazard of co-bathing?</w:t>
            </w:r>
          </w:p>
          <w:p w:rsidR="0029303B" w:rsidRPr="00450FB3" w:rsidRDefault="0029303B" w:rsidP="00370E6C">
            <w:pPr>
              <w:keepNext/>
              <w:keepLines/>
              <w:numPr>
                <w:ilvl w:val="0"/>
                <w:numId w:val="27"/>
              </w:numPr>
              <w:spacing w:before="240" w:after="200"/>
              <w:ind w:left="697" w:hanging="340"/>
              <w:rPr>
                <w:b w:val="0"/>
              </w:rPr>
            </w:pPr>
            <w:r w:rsidRPr="00450FB3">
              <w:rPr>
                <w:b w:val="0"/>
              </w:rPr>
              <w:t xml:space="preserve">Are there any other safety issues or policy options that the ACCC should consider? </w:t>
            </w:r>
          </w:p>
          <w:p w:rsidR="008C38BE" w:rsidRPr="006B5743" w:rsidRDefault="008C38BE" w:rsidP="00370E6C">
            <w:pPr>
              <w:keepNext/>
              <w:keepLines/>
              <w:numPr>
                <w:ilvl w:val="0"/>
                <w:numId w:val="27"/>
              </w:numPr>
              <w:spacing w:before="120" w:after="240"/>
              <w:ind w:left="697" w:hanging="340"/>
              <w:rPr>
                <w:b w:val="0"/>
              </w:rPr>
            </w:pPr>
            <w:r w:rsidRPr="006B5743">
              <w:rPr>
                <w:b w:val="0"/>
              </w:rPr>
              <w:t>Do you have any other comments or information?</w:t>
            </w:r>
          </w:p>
        </w:tc>
      </w:tr>
    </w:tbl>
    <w:p w:rsidR="00A10CFD" w:rsidRPr="005A60B4" w:rsidRDefault="00D957A9" w:rsidP="00D957A9">
      <w:pPr>
        <w:pStyle w:val="Numbered1"/>
        <w:keepNext/>
        <w:numPr>
          <w:ilvl w:val="0"/>
          <w:numId w:val="28"/>
        </w:numPr>
        <w:spacing w:after="240"/>
        <w:ind w:left="680" w:hanging="680"/>
      </w:pPr>
      <w:bookmarkStart w:id="381" w:name="_Toc453749078"/>
      <w:bookmarkStart w:id="382" w:name="_Toc453749324"/>
      <w:bookmarkStart w:id="383" w:name="_Toc459041447"/>
      <w:r>
        <w:br w:type="page"/>
      </w:r>
      <w:bookmarkStart w:id="384" w:name="_Toc463364242"/>
      <w:r w:rsidR="00A10CFD" w:rsidRPr="005A60B4">
        <w:lastRenderedPageBreak/>
        <w:t xml:space="preserve">Have </w:t>
      </w:r>
      <w:r w:rsidR="00A10CFD" w:rsidRPr="00382011">
        <w:t>your</w:t>
      </w:r>
      <w:r w:rsidR="00A10CFD" w:rsidRPr="005A60B4">
        <w:t xml:space="preserve"> say</w:t>
      </w:r>
      <w:bookmarkEnd w:id="381"/>
      <w:bookmarkEnd w:id="382"/>
      <w:bookmarkEnd w:id="383"/>
      <w:bookmarkEnd w:id="384"/>
    </w:p>
    <w:p w:rsidR="00A10CFD" w:rsidRDefault="00A10CFD" w:rsidP="000122BA">
      <w:r w:rsidRPr="002B2F74">
        <w:t>The ACCC invites</w:t>
      </w:r>
      <w:r>
        <w:t xml:space="preserve"> stakeholders and</w:t>
      </w:r>
      <w:r w:rsidRPr="002B2F74">
        <w:t xml:space="preserve"> interested parties to</w:t>
      </w:r>
      <w:r>
        <w:t xml:space="preserve"> comment on these policy options.</w:t>
      </w:r>
    </w:p>
    <w:p w:rsidR="00A10CFD" w:rsidRDefault="00A10CFD" w:rsidP="000122BA">
      <w:r>
        <w:t>Consultation is open fro</w:t>
      </w:r>
      <w:r w:rsidRPr="007F68F7">
        <w:t xml:space="preserve">m </w:t>
      </w:r>
      <w:r w:rsidR="00D957A9">
        <w:t xml:space="preserve">12 </w:t>
      </w:r>
      <w:r w:rsidR="006B5743">
        <w:t xml:space="preserve">October </w:t>
      </w:r>
      <w:r w:rsidRPr="007F68F7">
        <w:t xml:space="preserve">to </w:t>
      </w:r>
      <w:r w:rsidR="00450FB3">
        <w:t>25 November</w:t>
      </w:r>
      <w:r w:rsidR="00450FB3" w:rsidRPr="007F68F7">
        <w:t xml:space="preserve"> </w:t>
      </w:r>
      <w:r w:rsidRPr="007F68F7">
        <w:t>2016.</w:t>
      </w:r>
      <w:r>
        <w:t xml:space="preserve"> </w:t>
      </w:r>
    </w:p>
    <w:p w:rsidR="00A10CFD" w:rsidRDefault="00A10CFD" w:rsidP="000122BA">
      <w:r>
        <w:t xml:space="preserve">The ACCC prefers submissions via the </w:t>
      </w:r>
      <w:r w:rsidRPr="0039574F">
        <w:t>ACCC consultation hub</w:t>
      </w:r>
      <w:r>
        <w:t xml:space="preserve"> at </w:t>
      </w:r>
      <w:hyperlink r:id="rId16" w:history="1">
        <w:r w:rsidRPr="00020736">
          <w:rPr>
            <w:rStyle w:val="Hyperlink"/>
          </w:rPr>
          <w:t>consultation.accc.gov.au</w:t>
        </w:r>
      </w:hyperlink>
      <w:r>
        <w:t xml:space="preserve">. </w:t>
      </w:r>
    </w:p>
    <w:p w:rsidR="00A10CFD" w:rsidRDefault="00A10CFD" w:rsidP="000122BA">
      <w:r>
        <w:t xml:space="preserve">The ACCC will </w:t>
      </w:r>
      <w:r w:rsidRPr="007A03C1">
        <w:t xml:space="preserve">alert stakeholders and interested parties to the consultation through the Product Safety Australia website </w:t>
      </w:r>
      <w:hyperlink r:id="rId17" w:history="1">
        <w:r w:rsidRPr="007A03C1">
          <w:rPr>
            <w:rStyle w:val="Hyperlink"/>
          </w:rPr>
          <w:t>www.productsafety.gov.au</w:t>
        </w:r>
      </w:hyperlink>
      <w:r w:rsidRPr="007A03C1">
        <w:t xml:space="preserve"> and </w:t>
      </w:r>
      <w:hyperlink r:id="rId18" w:history="1">
        <w:r w:rsidRPr="007A03C1">
          <w:rPr>
            <w:rStyle w:val="Hyperlink"/>
          </w:rPr>
          <w:t>www.business.gov.au</w:t>
        </w:r>
      </w:hyperlink>
      <w:r w:rsidRPr="007A03C1">
        <w:t>.</w:t>
      </w:r>
      <w:r>
        <w:t xml:space="preserve"> </w:t>
      </w:r>
    </w:p>
    <w:p w:rsidR="00A10CFD" w:rsidRDefault="00A10CFD" w:rsidP="000122BA">
      <w:r>
        <w:t xml:space="preserve">Alternatively, email submissions to </w:t>
      </w:r>
      <w:hyperlink r:id="rId19" w:history="1">
        <w:r w:rsidRPr="007556AB">
          <w:rPr>
            <w:rStyle w:val="Hyperlink"/>
          </w:rPr>
          <w:t>productsafety.regulation@accc.gov.au</w:t>
        </w:r>
      </w:hyperlink>
      <w:r>
        <w:t xml:space="preserve"> or via post:</w:t>
      </w:r>
    </w:p>
    <w:p w:rsidR="00A10CFD" w:rsidRDefault="00A10CFD" w:rsidP="000122BA">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A10CFD" w:rsidRDefault="00A10CFD" w:rsidP="000122BA">
      <w:r>
        <w:t xml:space="preserve">Submissions will be published on the ACCC website at the end of the consultation period. </w:t>
      </w:r>
    </w:p>
    <w:p w:rsidR="00A10CFD" w:rsidRDefault="00A10CFD" w:rsidP="000122BA">
      <w:pPr>
        <w:rPr>
          <w:rFonts w:cs="Arial"/>
          <w:szCs w:val="24"/>
        </w:rPr>
      </w:pPr>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F75525" w:rsidRPr="00F75525" w:rsidRDefault="00F75525" w:rsidP="00F75525">
      <w:pPr>
        <w:pStyle w:val="Heading2"/>
      </w:pPr>
    </w:p>
    <w:p w:rsidR="00A10CFD" w:rsidRDefault="00A10CFD" w:rsidP="00370E6C">
      <w:pPr>
        <w:pStyle w:val="Heading1"/>
      </w:pPr>
      <w:bookmarkStart w:id="385" w:name="_Toc463364243"/>
      <w:r w:rsidRPr="005616D0">
        <w:t>Glossary</w:t>
      </w:r>
      <w:bookmarkEnd w:id="385"/>
    </w:p>
    <w:p w:rsidR="00EC0256" w:rsidRPr="00553F38" w:rsidRDefault="00EC0256" w:rsidP="00370E6C"/>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A10CFD" w:rsidRPr="00EC0256" w:rsidTr="00370E6C">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A10CFD" w:rsidRPr="00370E6C" w:rsidRDefault="00A10CFD" w:rsidP="00370E6C">
            <w:pPr>
              <w:spacing w:after="120"/>
              <w:rPr>
                <w:b/>
                <w:bCs/>
                <w:sz w:val="20"/>
                <w:szCs w:val="20"/>
              </w:rPr>
            </w:pPr>
            <w:r w:rsidRPr="00370E6C">
              <w:rPr>
                <w:b/>
                <w:bCs/>
                <w:sz w:val="20"/>
                <w:szCs w:val="20"/>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A10CFD" w:rsidRPr="00370E6C" w:rsidRDefault="00A10CFD" w:rsidP="00370E6C">
            <w:pPr>
              <w:spacing w:after="120"/>
              <w:rPr>
                <w:b/>
                <w:bCs/>
                <w:sz w:val="20"/>
                <w:szCs w:val="20"/>
              </w:rPr>
            </w:pPr>
            <w:r w:rsidRPr="00370E6C">
              <w:rPr>
                <w:b/>
                <w:bCs/>
                <w:sz w:val="20"/>
                <w:szCs w:val="20"/>
              </w:rPr>
              <w:t>Definition</w:t>
            </w:r>
          </w:p>
        </w:tc>
      </w:tr>
      <w:tr w:rsidR="00AD73EF" w:rsidRPr="00EC0256" w:rsidTr="00804D7E">
        <w:tc>
          <w:tcPr>
            <w:tcW w:w="2376" w:type="dxa"/>
            <w:shd w:val="clear" w:color="auto" w:fill="auto"/>
            <w:vAlign w:val="center"/>
          </w:tcPr>
          <w:p w:rsidR="00AD73EF" w:rsidRPr="00370E6C" w:rsidRDefault="00AD73EF" w:rsidP="00370E6C">
            <w:pPr>
              <w:spacing w:after="120"/>
              <w:rPr>
                <w:b/>
                <w:bCs/>
                <w:sz w:val="20"/>
                <w:szCs w:val="20"/>
              </w:rPr>
            </w:pPr>
            <w:r w:rsidRPr="00370E6C">
              <w:rPr>
                <w:b/>
                <w:bCs/>
                <w:sz w:val="20"/>
                <w:szCs w:val="20"/>
              </w:rPr>
              <w:t>Baby bath aids</w:t>
            </w:r>
          </w:p>
        </w:tc>
        <w:tc>
          <w:tcPr>
            <w:tcW w:w="6866" w:type="dxa"/>
            <w:shd w:val="clear" w:color="auto" w:fill="auto"/>
            <w:vAlign w:val="center"/>
          </w:tcPr>
          <w:p w:rsidR="00AD73EF" w:rsidRPr="00370E6C" w:rsidRDefault="00BF5A93" w:rsidP="00370E6C">
            <w:pPr>
              <w:spacing w:after="120"/>
              <w:rPr>
                <w:bCs/>
                <w:sz w:val="20"/>
                <w:szCs w:val="20"/>
              </w:rPr>
            </w:pPr>
            <w:r>
              <w:rPr>
                <w:bCs/>
                <w:sz w:val="20"/>
                <w:szCs w:val="20"/>
              </w:rPr>
              <w:t>A b</w:t>
            </w:r>
            <w:r w:rsidR="00EC0256" w:rsidRPr="00553F38">
              <w:rPr>
                <w:bCs/>
                <w:sz w:val="20"/>
                <w:szCs w:val="20"/>
              </w:rPr>
              <w:t>aby</w:t>
            </w:r>
            <w:r w:rsidR="00603318" w:rsidRPr="00370E6C">
              <w:rPr>
                <w:bCs/>
                <w:sz w:val="20"/>
                <w:szCs w:val="20"/>
              </w:rPr>
              <w:t xml:space="preserve"> bath aid </w:t>
            </w:r>
            <w:r w:rsidR="00EC0256">
              <w:rPr>
                <w:bCs/>
                <w:sz w:val="20"/>
                <w:szCs w:val="20"/>
              </w:rPr>
              <w:t>is</w:t>
            </w:r>
            <w:r w:rsidR="00EC0256" w:rsidRPr="00370E6C">
              <w:rPr>
                <w:bCs/>
                <w:sz w:val="20"/>
                <w:szCs w:val="20"/>
              </w:rPr>
              <w:t xml:space="preserve"> </w:t>
            </w:r>
            <w:r w:rsidR="00603318" w:rsidRPr="00370E6C">
              <w:rPr>
                <w:bCs/>
                <w:sz w:val="20"/>
                <w:szCs w:val="20"/>
              </w:rPr>
              <w:t>a device designed to support a baby while the baby is being bathed.</w:t>
            </w:r>
          </w:p>
        </w:tc>
      </w:tr>
      <w:tr w:rsidR="00EC0256" w:rsidRPr="00EC0256" w:rsidTr="000C3717">
        <w:tc>
          <w:tcPr>
            <w:tcW w:w="2376" w:type="dxa"/>
            <w:shd w:val="clear" w:color="auto" w:fill="auto"/>
            <w:vAlign w:val="center"/>
          </w:tcPr>
          <w:p w:rsidR="00EC0256" w:rsidRPr="00370E6C" w:rsidRDefault="00EC0256" w:rsidP="00370E6C">
            <w:pPr>
              <w:spacing w:after="120"/>
              <w:rPr>
                <w:b/>
                <w:bCs/>
                <w:sz w:val="20"/>
                <w:szCs w:val="20"/>
              </w:rPr>
            </w:pPr>
            <w:r w:rsidRPr="00370E6C">
              <w:rPr>
                <w:b/>
                <w:bCs/>
                <w:sz w:val="20"/>
                <w:szCs w:val="20"/>
              </w:rPr>
              <w:t>Mandatory safety standard</w:t>
            </w:r>
          </w:p>
        </w:tc>
        <w:tc>
          <w:tcPr>
            <w:tcW w:w="6866" w:type="dxa"/>
            <w:shd w:val="clear" w:color="auto" w:fill="auto"/>
            <w:vAlign w:val="center"/>
          </w:tcPr>
          <w:p w:rsidR="00EC0256" w:rsidRPr="00370E6C" w:rsidRDefault="00EC0256" w:rsidP="00370E6C">
            <w:pPr>
              <w:spacing w:after="120"/>
              <w:rPr>
                <w:bCs/>
                <w:sz w:val="20"/>
                <w:szCs w:val="20"/>
              </w:rPr>
            </w:pPr>
            <w:r w:rsidRPr="00370E6C">
              <w:rPr>
                <w:bCs/>
                <w:sz w:val="20"/>
                <w:szCs w:val="20"/>
              </w:rPr>
              <w:t>Trade Practices (Consumer Product Safety Standard) (Baby Bath Aids) Regulations 2005.</w:t>
            </w:r>
          </w:p>
        </w:tc>
      </w:tr>
      <w:tr w:rsidR="00EC0256" w:rsidRPr="00EC0256" w:rsidTr="00370E6C">
        <w:trPr>
          <w:trHeight w:val="990"/>
        </w:trPr>
        <w:tc>
          <w:tcPr>
            <w:tcW w:w="2376" w:type="dxa"/>
            <w:shd w:val="clear" w:color="auto" w:fill="auto"/>
            <w:vAlign w:val="center"/>
          </w:tcPr>
          <w:p w:rsidR="00EC0256" w:rsidRPr="00370E6C" w:rsidRDefault="00D957A9" w:rsidP="00370E6C">
            <w:pPr>
              <w:spacing w:after="120"/>
              <w:rPr>
                <w:b/>
                <w:bCs/>
                <w:sz w:val="20"/>
                <w:szCs w:val="20"/>
              </w:rPr>
            </w:pPr>
            <w:r>
              <w:rPr>
                <w:b/>
                <w:bCs/>
                <w:sz w:val="20"/>
                <w:szCs w:val="20"/>
              </w:rPr>
              <w:t>ASTM</w:t>
            </w:r>
            <w:r w:rsidRPr="00370E6C">
              <w:rPr>
                <w:b/>
                <w:bCs/>
                <w:sz w:val="20"/>
                <w:szCs w:val="20"/>
              </w:rPr>
              <w:t xml:space="preserve"> </w:t>
            </w:r>
            <w:r w:rsidR="00EC0256" w:rsidRPr="00370E6C">
              <w:rPr>
                <w:b/>
                <w:bCs/>
                <w:sz w:val="20"/>
                <w:szCs w:val="20"/>
              </w:rPr>
              <w:t>standard</w:t>
            </w:r>
          </w:p>
        </w:tc>
        <w:tc>
          <w:tcPr>
            <w:tcW w:w="6866" w:type="dxa"/>
            <w:shd w:val="clear" w:color="auto" w:fill="auto"/>
            <w:vAlign w:val="center"/>
          </w:tcPr>
          <w:p w:rsidR="00EC0256" w:rsidRPr="00553F38" w:rsidRDefault="00EC0256" w:rsidP="00D957A9">
            <w:pPr>
              <w:spacing w:after="120"/>
              <w:rPr>
                <w:bCs/>
                <w:sz w:val="20"/>
                <w:szCs w:val="20"/>
              </w:rPr>
            </w:pPr>
            <w:r w:rsidRPr="00370E6C">
              <w:rPr>
                <w:bCs/>
                <w:sz w:val="20"/>
                <w:szCs w:val="20"/>
              </w:rPr>
              <w:t xml:space="preserve">American Standard ASTM F 1967– 11a </w:t>
            </w:r>
            <w:r w:rsidRPr="00D957A9">
              <w:rPr>
                <w:bCs/>
                <w:i/>
                <w:sz w:val="20"/>
                <w:szCs w:val="20"/>
              </w:rPr>
              <w:t>Standard Consumer Safety Specification for Infant Bath Seats</w:t>
            </w:r>
            <w:r w:rsidRPr="00370E6C">
              <w:rPr>
                <w:bCs/>
                <w:sz w:val="20"/>
                <w:szCs w:val="20"/>
              </w:rPr>
              <w:t xml:space="preserve"> </w:t>
            </w:r>
            <w:r w:rsidR="00D957A9">
              <w:rPr>
                <w:bCs/>
                <w:sz w:val="20"/>
                <w:szCs w:val="20"/>
              </w:rPr>
              <w:t xml:space="preserve">mandated in the US </w:t>
            </w:r>
            <w:r w:rsidR="00D957A9" w:rsidRPr="00370E6C">
              <w:rPr>
                <w:bCs/>
                <w:sz w:val="20"/>
                <w:szCs w:val="20"/>
              </w:rPr>
              <w:t>Code of Federal Regulations at 16 CFR Part 1215</w:t>
            </w:r>
          </w:p>
        </w:tc>
      </w:tr>
    </w:tbl>
    <w:p w:rsidR="00F75525" w:rsidRPr="00370E6C" w:rsidRDefault="00F75525" w:rsidP="00370E6C">
      <w:pPr>
        <w:spacing w:after="120"/>
        <w:rPr>
          <w:b/>
          <w:bCs/>
          <w:sz w:val="20"/>
          <w:szCs w:val="20"/>
        </w:rPr>
      </w:pPr>
    </w:p>
    <w:sectPr w:rsidR="00F75525" w:rsidRPr="00370E6C" w:rsidSect="00AD0750">
      <w:footerReference w:type="default" r:id="rId20"/>
      <w:footerReference w:type="first" r:id="rId21"/>
      <w:pgSz w:w="11906" w:h="16838"/>
      <w:pgMar w:top="1276"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B1" w:rsidRDefault="00FB2FB1" w:rsidP="004B4412">
      <w:pPr>
        <w:spacing w:before="0"/>
      </w:pPr>
      <w:r>
        <w:separator/>
      </w:r>
    </w:p>
  </w:endnote>
  <w:endnote w:type="continuationSeparator" w:id="0">
    <w:p w:rsidR="00FB2FB1" w:rsidRDefault="00FB2FB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1" w:rsidRDefault="00FB2FB1">
    <w:pPr>
      <w:pStyle w:val="Footer"/>
      <w:jc w:val="right"/>
    </w:pPr>
    <w:r>
      <w:fldChar w:fldCharType="begin"/>
    </w:r>
    <w:r>
      <w:instrText xml:space="preserve"> PAGE   \* MERGEFORMAT </w:instrText>
    </w:r>
    <w:r>
      <w:fldChar w:fldCharType="separate"/>
    </w:r>
    <w:r w:rsidR="00AC6EEF">
      <w:rPr>
        <w:noProof/>
      </w:rPr>
      <w:t>6</w:t>
    </w:r>
    <w:r>
      <w:rPr>
        <w:noProof/>
      </w:rPr>
      <w:fldChar w:fldCharType="end"/>
    </w:r>
  </w:p>
  <w:p w:rsidR="00FB2FB1" w:rsidRDefault="00FB2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1" w:rsidRDefault="00FB2FB1">
    <w:pPr>
      <w:pStyle w:val="Footer"/>
      <w:jc w:val="right"/>
    </w:pPr>
    <w:r>
      <w:fldChar w:fldCharType="begin"/>
    </w:r>
    <w:r>
      <w:instrText xml:space="preserve"> PAGE   \* MERGEFORMAT </w:instrText>
    </w:r>
    <w:r>
      <w:fldChar w:fldCharType="separate"/>
    </w:r>
    <w:r>
      <w:rPr>
        <w:noProof/>
      </w:rPr>
      <w:t>2</w:t>
    </w:r>
    <w:r>
      <w:rPr>
        <w:noProof/>
      </w:rPr>
      <w:fldChar w:fldCharType="end"/>
    </w:r>
  </w:p>
  <w:p w:rsidR="00FB2FB1" w:rsidRDefault="00FB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B1" w:rsidRDefault="00FB2FB1" w:rsidP="004B4412">
      <w:pPr>
        <w:spacing w:before="0"/>
      </w:pPr>
      <w:r>
        <w:separator/>
      </w:r>
    </w:p>
  </w:footnote>
  <w:footnote w:type="continuationSeparator" w:id="0">
    <w:p w:rsidR="00FB2FB1" w:rsidRDefault="00FB2FB1" w:rsidP="004B4412">
      <w:pPr>
        <w:spacing w:before="0"/>
      </w:pPr>
      <w:r>
        <w:continuationSeparator/>
      </w:r>
    </w:p>
  </w:footnote>
  <w:footnote w:id="1">
    <w:p w:rsidR="00FB2FB1" w:rsidRDefault="00FB2FB1" w:rsidP="00E75285">
      <w:pPr>
        <w:pStyle w:val="FootnoteText"/>
      </w:pPr>
      <w:r>
        <w:rPr>
          <w:rStyle w:val="FootnoteReference"/>
        </w:rPr>
        <w:footnoteRef/>
      </w:r>
      <w:r w:rsidR="0057777F">
        <w:t xml:space="preserve"> Sydney Morning Herald ‘</w:t>
      </w:r>
      <w:r>
        <w:t>Revealed: deadly bath cradles in thousands of homes’ May 24, 2004</w:t>
      </w:r>
    </w:p>
  </w:footnote>
  <w:footnote w:id="2">
    <w:p w:rsidR="00A83188" w:rsidRDefault="00A83188" w:rsidP="00A83188">
      <w:pPr>
        <w:pStyle w:val="FootnoteText"/>
        <w:ind w:left="0" w:firstLine="0"/>
      </w:pPr>
      <w:r>
        <w:rPr>
          <w:rStyle w:val="FootnoteReference"/>
        </w:rPr>
        <w:footnoteRef/>
      </w:r>
      <w:r>
        <w:t xml:space="preserve"> </w:t>
      </w:r>
      <w:r>
        <w:rPr>
          <w:rFonts w:eastAsia="Cambria"/>
        </w:rPr>
        <w:t xml:space="preserve">European </w:t>
      </w:r>
      <w:r w:rsidRPr="005A4850">
        <w:rPr>
          <w:rFonts w:eastAsia="Cambria"/>
        </w:rPr>
        <w:t xml:space="preserve">Commission Decision of 6 January 2010 </w:t>
      </w:r>
      <w:r>
        <w:rPr>
          <w:rFonts w:eastAsia="Cambria"/>
        </w:rPr>
        <w:t>on the saf</w:t>
      </w:r>
      <w:bookmarkStart w:id="116" w:name="_GoBack"/>
      <w:bookmarkEnd w:id="116"/>
      <w:r>
        <w:rPr>
          <w:rFonts w:eastAsia="Cambria"/>
        </w:rPr>
        <w:t xml:space="preserve">ety requirements to be met by European standards for bath rings, bathing aids and bath tubs and stands for infants and young children </w:t>
      </w:r>
      <w:r w:rsidRPr="005A4850">
        <w:rPr>
          <w:rFonts w:eastAsia="Cambria"/>
        </w:rPr>
        <w:t>(2010/9/EU)</w:t>
      </w:r>
      <w:r>
        <w:rPr>
          <w:rFonts w:eastAsia="Cambria"/>
        </w:rPr>
        <w:t xml:space="preserve"> under the General Product Safety</w:t>
      </w:r>
      <w:r w:rsidRPr="005A4850">
        <w:rPr>
          <w:rFonts w:eastAsia="Cambria"/>
        </w:rPr>
        <w:t xml:space="preserve"> Directive 2001/95/EC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7F570FA"/>
    <w:multiLevelType w:val="hybridMultilevel"/>
    <w:tmpl w:val="F7B8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9B5838"/>
    <w:multiLevelType w:val="hybridMultilevel"/>
    <w:tmpl w:val="628AC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00078D7"/>
    <w:multiLevelType w:val="hybridMultilevel"/>
    <w:tmpl w:val="233C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A82668"/>
    <w:multiLevelType w:val="multilevel"/>
    <w:tmpl w:val="DA381976"/>
    <w:lvl w:ilvl="0">
      <w:start w:val="3"/>
      <w:numFmt w:val="decimal"/>
      <w:lvlText w:val="%1."/>
      <w:lvlJc w:val="left"/>
      <w:pPr>
        <w:ind w:left="844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8B220A6"/>
    <w:multiLevelType w:val="multilevel"/>
    <w:tmpl w:val="1F30B864"/>
    <w:lvl w:ilvl="0">
      <w:start w:val="1"/>
      <w:numFmt w:val="bullet"/>
      <w:lvlText w:val=""/>
      <w:lvlJc w:val="left"/>
      <w:pPr>
        <w:ind w:left="697" w:hanging="357"/>
      </w:pPr>
      <w:rPr>
        <w:rFonts w:ascii="Symbol" w:hAnsi="Symbol" w:hint="default"/>
      </w:rPr>
    </w:lvl>
    <w:lvl w:ilvl="1">
      <w:start w:val="1"/>
      <w:numFmt w:val="decimal"/>
      <w:lvlText w:val="%1.%2."/>
      <w:lvlJc w:val="left"/>
      <w:pPr>
        <w:ind w:left="1037" w:hanging="357"/>
      </w:pPr>
      <w:rPr>
        <w:rFonts w:hint="default"/>
      </w:rPr>
    </w:lvl>
    <w:lvl w:ilvl="2">
      <w:start w:val="1"/>
      <w:numFmt w:val="decimal"/>
      <w:lvlText w:val="%1.%2.%3."/>
      <w:lvlJc w:val="left"/>
      <w:pPr>
        <w:ind w:left="1377" w:hanging="357"/>
      </w:pPr>
      <w:rPr>
        <w:rFonts w:hint="default"/>
      </w:rPr>
    </w:lvl>
    <w:lvl w:ilvl="3">
      <w:start w:val="1"/>
      <w:numFmt w:val="decimal"/>
      <w:lvlText w:val="%1.%2.%3.%4."/>
      <w:lvlJc w:val="left"/>
      <w:pPr>
        <w:ind w:left="1717"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397" w:hanging="357"/>
      </w:pPr>
      <w:rPr>
        <w:rFonts w:hint="default"/>
      </w:rPr>
    </w:lvl>
    <w:lvl w:ilvl="6">
      <w:start w:val="1"/>
      <w:numFmt w:val="decimal"/>
      <w:lvlText w:val="%1.%2.%3.%4.%5.%6.%7."/>
      <w:lvlJc w:val="left"/>
      <w:pPr>
        <w:ind w:left="2737" w:hanging="357"/>
      </w:pPr>
      <w:rPr>
        <w:rFonts w:hint="default"/>
      </w:rPr>
    </w:lvl>
    <w:lvl w:ilvl="7">
      <w:start w:val="1"/>
      <w:numFmt w:val="decimal"/>
      <w:lvlText w:val="%1.%2.%3.%4.%5.%6.%7.%8."/>
      <w:lvlJc w:val="left"/>
      <w:pPr>
        <w:ind w:left="3077" w:hanging="357"/>
      </w:pPr>
      <w:rPr>
        <w:rFonts w:hint="default"/>
      </w:rPr>
    </w:lvl>
    <w:lvl w:ilvl="8">
      <w:start w:val="1"/>
      <w:numFmt w:val="decimal"/>
      <w:lvlText w:val="%1.%2.%3.%4.%5.%6.%7.%8.%9."/>
      <w:lvlJc w:val="left"/>
      <w:pPr>
        <w:ind w:left="3417" w:hanging="357"/>
      </w:pPr>
      <w:rPr>
        <w:rFonts w:hint="default"/>
      </w:rPr>
    </w:lvl>
  </w:abstractNum>
  <w:abstractNum w:abstractNumId="17">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9737919"/>
    <w:multiLevelType w:val="hybridMultilevel"/>
    <w:tmpl w:val="F9E8E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F519CE"/>
    <w:multiLevelType w:val="multilevel"/>
    <w:tmpl w:val="3AD8CB48"/>
    <w:lvl w:ilvl="0">
      <w:start w:val="1"/>
      <w:numFmt w:val="decimal"/>
      <w:pStyle w:val="Numbered1"/>
      <w:lvlText w:val="%1."/>
      <w:lvlJc w:val="left"/>
      <w:pPr>
        <w:ind w:left="1040" w:hanging="360"/>
      </w:pPr>
    </w:lvl>
    <w:lvl w:ilvl="1">
      <w:start w:val="1"/>
      <w:numFmt w:val="decimal"/>
      <w:pStyle w:val="Numbered11"/>
      <w:lvlText w:val="%1.%2."/>
      <w:lvlJc w:val="left"/>
      <w:pPr>
        <w:ind w:left="1472" w:hanging="432"/>
      </w:pPr>
    </w:lvl>
    <w:lvl w:ilvl="2">
      <w:start w:val="1"/>
      <w:numFmt w:val="decimal"/>
      <w:pStyle w:val="Numbered111"/>
      <w:lvlText w:val="%1.%2.%3."/>
      <w:lvlJc w:val="left"/>
      <w:pPr>
        <w:ind w:left="1904" w:hanging="504"/>
      </w:pPr>
    </w:lvl>
    <w:lvl w:ilvl="3">
      <w:start w:val="1"/>
      <w:numFmt w:val="decimal"/>
      <w:pStyle w:val="Numbered1111"/>
      <w:lvlText w:val="%1.%2.%3.%4."/>
      <w:lvlJc w:val="left"/>
      <w:pPr>
        <w:ind w:left="2408" w:hanging="648"/>
      </w:pPr>
    </w:lvl>
    <w:lvl w:ilvl="4">
      <w:start w:val="1"/>
      <w:numFmt w:val="decimal"/>
      <w:pStyle w:val="Numbered11111"/>
      <w:lvlText w:val="%1.%2.%3.%4.%5."/>
      <w:lvlJc w:val="left"/>
      <w:pPr>
        <w:ind w:left="2912" w:hanging="792"/>
      </w:pPr>
    </w:lvl>
    <w:lvl w:ilvl="5">
      <w:start w:val="1"/>
      <w:numFmt w:val="decimal"/>
      <w:pStyle w:val="Numbered111111"/>
      <w:lvlText w:val="%1.%2.%3.%4.%5.%6."/>
      <w:lvlJc w:val="left"/>
      <w:pPr>
        <w:ind w:left="3416" w:hanging="936"/>
      </w:pPr>
    </w:lvl>
    <w:lvl w:ilvl="6">
      <w:start w:val="1"/>
      <w:numFmt w:val="decimal"/>
      <w:pStyle w:val="Numbered1111111"/>
      <w:lvlText w:val="%1.%2.%3.%4.%5.%6.%7."/>
      <w:lvlJc w:val="left"/>
      <w:pPr>
        <w:ind w:left="3920" w:hanging="1080"/>
      </w:pPr>
    </w:lvl>
    <w:lvl w:ilvl="7">
      <w:start w:val="1"/>
      <w:numFmt w:val="decimal"/>
      <w:pStyle w:val="Numbered11111111"/>
      <w:lvlText w:val="%1.%2.%3.%4.%5.%6.%7.%8."/>
      <w:lvlJc w:val="left"/>
      <w:pPr>
        <w:ind w:left="4424" w:hanging="1224"/>
      </w:pPr>
    </w:lvl>
    <w:lvl w:ilvl="8">
      <w:start w:val="1"/>
      <w:numFmt w:val="decimal"/>
      <w:pStyle w:val="Numbered111111111"/>
      <w:lvlText w:val="%1.%2.%3.%4.%5.%6.%7.%8.%9."/>
      <w:lvlJc w:val="left"/>
      <w:pPr>
        <w:ind w:left="5000" w:hanging="1440"/>
      </w:pPr>
    </w:lvl>
  </w:abstractNum>
  <w:abstractNum w:abstractNumId="20">
    <w:nsid w:val="280B5C27"/>
    <w:multiLevelType w:val="hybridMultilevel"/>
    <w:tmpl w:val="16620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C6900D7"/>
    <w:multiLevelType w:val="hybridMultilevel"/>
    <w:tmpl w:val="AD089E8E"/>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18444B4"/>
    <w:multiLevelType w:val="hybridMultilevel"/>
    <w:tmpl w:val="DF36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9E6293"/>
    <w:multiLevelType w:val="hybridMultilevel"/>
    <w:tmpl w:val="BA76D870"/>
    <w:lvl w:ilvl="0" w:tplc="8EBC4F06">
      <w:start w:val="6"/>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nsid w:val="367E43E1"/>
    <w:multiLevelType w:val="hybridMultilevel"/>
    <w:tmpl w:val="90E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9">
    <w:nsid w:val="3DE82E52"/>
    <w:multiLevelType w:val="hybridMultilevel"/>
    <w:tmpl w:val="860E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850BF8"/>
    <w:multiLevelType w:val="multilevel"/>
    <w:tmpl w:val="A56A3D7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272FDE"/>
    <w:multiLevelType w:val="hybridMultilevel"/>
    <w:tmpl w:val="FE4EA740"/>
    <w:lvl w:ilvl="0" w:tplc="067C0FD6">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21D70D1"/>
    <w:multiLevelType w:val="hybridMultilevel"/>
    <w:tmpl w:val="AB3EF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5">
    <w:nsid w:val="5EB05864"/>
    <w:multiLevelType w:val="hybridMultilevel"/>
    <w:tmpl w:val="9D681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4C06824"/>
    <w:multiLevelType w:val="hybridMultilevel"/>
    <w:tmpl w:val="E5989068"/>
    <w:lvl w:ilvl="0" w:tplc="6E30A1D8">
      <w:start w:val="1"/>
      <w:numFmt w:val="bullet"/>
      <w:pStyle w:val="Bulletpoin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60A5F55"/>
    <w:multiLevelType w:val="hybridMultilevel"/>
    <w:tmpl w:val="2548A590"/>
    <w:lvl w:ilvl="0" w:tplc="AC24869E">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1">
    <w:nsid w:val="67F20161"/>
    <w:multiLevelType w:val="hybridMultilevel"/>
    <w:tmpl w:val="2460D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D8E33C5"/>
    <w:multiLevelType w:val="hybridMultilevel"/>
    <w:tmpl w:val="B5668DC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7">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6"/>
  </w:num>
  <w:num w:numId="4">
    <w:abstractNumId w:val="5"/>
  </w:num>
  <w:num w:numId="5">
    <w:abstractNumId w:val="4"/>
  </w:num>
  <w:num w:numId="6">
    <w:abstractNumId w:val="1"/>
  </w:num>
  <w:num w:numId="7">
    <w:abstractNumId w:val="0"/>
  </w:num>
  <w:num w:numId="8">
    <w:abstractNumId w:val="40"/>
  </w:num>
  <w:num w:numId="9">
    <w:abstractNumId w:val="27"/>
  </w:num>
  <w:num w:numId="10">
    <w:abstractNumId w:val="11"/>
  </w:num>
  <w:num w:numId="11">
    <w:abstractNumId w:val="26"/>
  </w:num>
  <w:num w:numId="12">
    <w:abstractNumId w:val="2"/>
  </w:num>
  <w:num w:numId="13">
    <w:abstractNumId w:val="43"/>
  </w:num>
  <w:num w:numId="14">
    <w:abstractNumId w:val="46"/>
  </w:num>
  <w:num w:numId="15">
    <w:abstractNumId w:val="45"/>
  </w:num>
  <w:num w:numId="16">
    <w:abstractNumId w:val="34"/>
  </w:num>
  <w:num w:numId="17">
    <w:abstractNumId w:val="24"/>
  </w:num>
  <w:num w:numId="18">
    <w:abstractNumId w:val="28"/>
  </w:num>
  <w:num w:numId="19">
    <w:abstractNumId w:val="44"/>
  </w:num>
  <w:num w:numId="20">
    <w:abstractNumId w:val="36"/>
  </w:num>
  <w:num w:numId="21">
    <w:abstractNumId w:val="8"/>
  </w:num>
  <w:num w:numId="22">
    <w:abstractNumId w:val="3"/>
  </w:num>
  <w:num w:numId="23">
    <w:abstractNumId w:val="30"/>
  </w:num>
  <w:num w:numId="24">
    <w:abstractNumId w:val="15"/>
  </w:num>
  <w:num w:numId="25">
    <w:abstractNumId w:val="39"/>
  </w:num>
  <w:num w:numId="26">
    <w:abstractNumId w:val="17"/>
  </w:num>
  <w:num w:numId="27">
    <w:abstractNumId w:val="32"/>
  </w:num>
  <w:num w:numId="28">
    <w:abstractNumId w:val="14"/>
  </w:num>
  <w:num w:numId="29">
    <w:abstractNumId w:val="16"/>
  </w:num>
  <w:num w:numId="30">
    <w:abstractNumId w:val="19"/>
  </w:num>
  <w:num w:numId="31">
    <w:abstractNumId w:val="25"/>
  </w:num>
  <w:num w:numId="32">
    <w:abstractNumId w:val="35"/>
  </w:num>
  <w:num w:numId="33">
    <w:abstractNumId w:val="10"/>
  </w:num>
  <w:num w:numId="34">
    <w:abstractNumId w:val="9"/>
  </w:num>
  <w:num w:numId="35">
    <w:abstractNumId w:val="12"/>
  </w:num>
  <w:num w:numId="36">
    <w:abstractNumId w:val="18"/>
  </w:num>
  <w:num w:numId="37">
    <w:abstractNumId w:val="29"/>
  </w:num>
  <w:num w:numId="38">
    <w:abstractNumId w:val="33"/>
  </w:num>
  <w:num w:numId="39">
    <w:abstractNumId w:val="20"/>
  </w:num>
  <w:num w:numId="40">
    <w:abstractNumId w:val="22"/>
  </w:num>
  <w:num w:numId="41">
    <w:abstractNumId w:val="21"/>
  </w:num>
  <w:num w:numId="42">
    <w:abstractNumId w:val="38"/>
  </w:num>
  <w:num w:numId="43">
    <w:abstractNumId w:val="23"/>
  </w:num>
  <w:num w:numId="44">
    <w:abstractNumId w:val="42"/>
  </w:num>
  <w:num w:numId="45">
    <w:abstractNumId w:val="41"/>
  </w:num>
  <w:num w:numId="46">
    <w:abstractNumId w:val="37"/>
  </w:num>
  <w:num w:numId="47">
    <w:abstractNumId w:val="47"/>
  </w:num>
  <w:num w:numId="48">
    <w:abstractNumId w:val="31"/>
  </w:num>
  <w:num w:numId="49">
    <w:abstractNumId w:val="11"/>
  </w:num>
  <w:num w:numId="50">
    <w:abstractNumId w:val="11"/>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2037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488\D16 132059  CPS - SP - Draft consultation paper September 2016 - Baby bath aids - V2.DOCX"/>
  </w:docVars>
  <w:rsids>
    <w:rsidRoot w:val="00935D49"/>
    <w:rsid w:val="00004E4F"/>
    <w:rsid w:val="00005966"/>
    <w:rsid w:val="000122BA"/>
    <w:rsid w:val="000123DD"/>
    <w:rsid w:val="00014359"/>
    <w:rsid w:val="00016D93"/>
    <w:rsid w:val="00017DA1"/>
    <w:rsid w:val="0002115F"/>
    <w:rsid w:val="00021202"/>
    <w:rsid w:val="000225C4"/>
    <w:rsid w:val="00023EAC"/>
    <w:rsid w:val="00026086"/>
    <w:rsid w:val="000278D8"/>
    <w:rsid w:val="0003050E"/>
    <w:rsid w:val="00033A6D"/>
    <w:rsid w:val="00033E57"/>
    <w:rsid w:val="0003578C"/>
    <w:rsid w:val="00035886"/>
    <w:rsid w:val="000415DA"/>
    <w:rsid w:val="00041D45"/>
    <w:rsid w:val="00052D2C"/>
    <w:rsid w:val="00053EB8"/>
    <w:rsid w:val="00053F7C"/>
    <w:rsid w:val="00056C4F"/>
    <w:rsid w:val="00063247"/>
    <w:rsid w:val="00063F9F"/>
    <w:rsid w:val="000643B6"/>
    <w:rsid w:val="00070F9F"/>
    <w:rsid w:val="0007137B"/>
    <w:rsid w:val="00074E04"/>
    <w:rsid w:val="00084813"/>
    <w:rsid w:val="00085663"/>
    <w:rsid w:val="00085EBF"/>
    <w:rsid w:val="00093119"/>
    <w:rsid w:val="000A1304"/>
    <w:rsid w:val="000A4FA8"/>
    <w:rsid w:val="000A625E"/>
    <w:rsid w:val="000B66DD"/>
    <w:rsid w:val="000C0E3C"/>
    <w:rsid w:val="000C16A1"/>
    <w:rsid w:val="000C5EE8"/>
    <w:rsid w:val="000C6D5B"/>
    <w:rsid w:val="000D122C"/>
    <w:rsid w:val="000D3868"/>
    <w:rsid w:val="000D4ACD"/>
    <w:rsid w:val="000D65D2"/>
    <w:rsid w:val="000D72BE"/>
    <w:rsid w:val="000D7C9A"/>
    <w:rsid w:val="000E0926"/>
    <w:rsid w:val="000E1819"/>
    <w:rsid w:val="000E38A0"/>
    <w:rsid w:val="000E4338"/>
    <w:rsid w:val="000E57D9"/>
    <w:rsid w:val="000E6C72"/>
    <w:rsid w:val="000E7F3F"/>
    <w:rsid w:val="000F1573"/>
    <w:rsid w:val="000F2368"/>
    <w:rsid w:val="000F349F"/>
    <w:rsid w:val="00102C0C"/>
    <w:rsid w:val="001127C2"/>
    <w:rsid w:val="001149A6"/>
    <w:rsid w:val="00116EB2"/>
    <w:rsid w:val="0011768F"/>
    <w:rsid w:val="0012155D"/>
    <w:rsid w:val="00124609"/>
    <w:rsid w:val="00125BA1"/>
    <w:rsid w:val="00132DAF"/>
    <w:rsid w:val="00133B87"/>
    <w:rsid w:val="00134466"/>
    <w:rsid w:val="001417FE"/>
    <w:rsid w:val="001431A4"/>
    <w:rsid w:val="00146256"/>
    <w:rsid w:val="00146A47"/>
    <w:rsid w:val="00147F1E"/>
    <w:rsid w:val="00150167"/>
    <w:rsid w:val="001573E4"/>
    <w:rsid w:val="00160756"/>
    <w:rsid w:val="00166B41"/>
    <w:rsid w:val="0017232E"/>
    <w:rsid w:val="00172B84"/>
    <w:rsid w:val="00173FF2"/>
    <w:rsid w:val="00174102"/>
    <w:rsid w:val="00174935"/>
    <w:rsid w:val="00174DB4"/>
    <w:rsid w:val="00180157"/>
    <w:rsid w:val="00180E2D"/>
    <w:rsid w:val="00181223"/>
    <w:rsid w:val="0018287A"/>
    <w:rsid w:val="00183645"/>
    <w:rsid w:val="00183C2A"/>
    <w:rsid w:val="001856BE"/>
    <w:rsid w:val="00186F77"/>
    <w:rsid w:val="00187BA3"/>
    <w:rsid w:val="001913A0"/>
    <w:rsid w:val="001926A4"/>
    <w:rsid w:val="001933F3"/>
    <w:rsid w:val="001936BA"/>
    <w:rsid w:val="00193922"/>
    <w:rsid w:val="00195D8C"/>
    <w:rsid w:val="001A3A19"/>
    <w:rsid w:val="001A6DAB"/>
    <w:rsid w:val="001B1A4A"/>
    <w:rsid w:val="001B246B"/>
    <w:rsid w:val="001B313A"/>
    <w:rsid w:val="001B45A0"/>
    <w:rsid w:val="001B65AA"/>
    <w:rsid w:val="001B7A2E"/>
    <w:rsid w:val="001C18EE"/>
    <w:rsid w:val="001C203D"/>
    <w:rsid w:val="001C62C1"/>
    <w:rsid w:val="001D055E"/>
    <w:rsid w:val="001D07BE"/>
    <w:rsid w:val="001D4CDD"/>
    <w:rsid w:val="001D6E42"/>
    <w:rsid w:val="001E4369"/>
    <w:rsid w:val="001F2D29"/>
    <w:rsid w:val="001F2F13"/>
    <w:rsid w:val="001F3AD4"/>
    <w:rsid w:val="001F492E"/>
    <w:rsid w:val="001F6520"/>
    <w:rsid w:val="001F6DA3"/>
    <w:rsid w:val="002008C0"/>
    <w:rsid w:val="002019B5"/>
    <w:rsid w:val="00204D28"/>
    <w:rsid w:val="002065B1"/>
    <w:rsid w:val="002124FE"/>
    <w:rsid w:val="00212737"/>
    <w:rsid w:val="002135C9"/>
    <w:rsid w:val="00215EF4"/>
    <w:rsid w:val="0021752D"/>
    <w:rsid w:val="002226A5"/>
    <w:rsid w:val="0022438B"/>
    <w:rsid w:val="00224DB9"/>
    <w:rsid w:val="0022519C"/>
    <w:rsid w:val="00225425"/>
    <w:rsid w:val="00234E2D"/>
    <w:rsid w:val="00242590"/>
    <w:rsid w:val="00244335"/>
    <w:rsid w:val="00245758"/>
    <w:rsid w:val="00246408"/>
    <w:rsid w:val="00247779"/>
    <w:rsid w:val="00251745"/>
    <w:rsid w:val="00253DAC"/>
    <w:rsid w:val="00253F53"/>
    <w:rsid w:val="00255616"/>
    <w:rsid w:val="00257109"/>
    <w:rsid w:val="002601F2"/>
    <w:rsid w:val="0026284D"/>
    <w:rsid w:val="00262A59"/>
    <w:rsid w:val="0026378C"/>
    <w:rsid w:val="00263AC0"/>
    <w:rsid w:val="0026661A"/>
    <w:rsid w:val="0026772D"/>
    <w:rsid w:val="002712AA"/>
    <w:rsid w:val="00271931"/>
    <w:rsid w:val="00272C35"/>
    <w:rsid w:val="00273A90"/>
    <w:rsid w:val="00276214"/>
    <w:rsid w:val="0028290F"/>
    <w:rsid w:val="00283E58"/>
    <w:rsid w:val="00285E42"/>
    <w:rsid w:val="00286874"/>
    <w:rsid w:val="00286F5D"/>
    <w:rsid w:val="00291B08"/>
    <w:rsid w:val="002927E5"/>
    <w:rsid w:val="0029303B"/>
    <w:rsid w:val="002935DA"/>
    <w:rsid w:val="00294726"/>
    <w:rsid w:val="0029535F"/>
    <w:rsid w:val="00296B65"/>
    <w:rsid w:val="00296F53"/>
    <w:rsid w:val="00296F8D"/>
    <w:rsid w:val="00297D3B"/>
    <w:rsid w:val="002A12F9"/>
    <w:rsid w:val="002A1973"/>
    <w:rsid w:val="002A466D"/>
    <w:rsid w:val="002A71AA"/>
    <w:rsid w:val="002A7A15"/>
    <w:rsid w:val="002A7DEF"/>
    <w:rsid w:val="002B19CE"/>
    <w:rsid w:val="002B1ABD"/>
    <w:rsid w:val="002B1BA7"/>
    <w:rsid w:val="002B2200"/>
    <w:rsid w:val="002C0C82"/>
    <w:rsid w:val="002D0C4D"/>
    <w:rsid w:val="002E067C"/>
    <w:rsid w:val="002E1113"/>
    <w:rsid w:val="002E4A3C"/>
    <w:rsid w:val="002F3FAA"/>
    <w:rsid w:val="002F447C"/>
    <w:rsid w:val="002F455D"/>
    <w:rsid w:val="002F7986"/>
    <w:rsid w:val="003001BD"/>
    <w:rsid w:val="00302BDE"/>
    <w:rsid w:val="00303C4A"/>
    <w:rsid w:val="0030440A"/>
    <w:rsid w:val="00304EB9"/>
    <w:rsid w:val="00307F6D"/>
    <w:rsid w:val="003104BA"/>
    <w:rsid w:val="00311008"/>
    <w:rsid w:val="00312DEB"/>
    <w:rsid w:val="003139DB"/>
    <w:rsid w:val="00314196"/>
    <w:rsid w:val="003177A2"/>
    <w:rsid w:val="00317E3B"/>
    <w:rsid w:val="003241F5"/>
    <w:rsid w:val="003271B5"/>
    <w:rsid w:val="003301BA"/>
    <w:rsid w:val="00330715"/>
    <w:rsid w:val="00330CA0"/>
    <w:rsid w:val="00331264"/>
    <w:rsid w:val="0033433E"/>
    <w:rsid w:val="00334C8D"/>
    <w:rsid w:val="00335F4D"/>
    <w:rsid w:val="00340655"/>
    <w:rsid w:val="003410F4"/>
    <w:rsid w:val="003459E6"/>
    <w:rsid w:val="00346B38"/>
    <w:rsid w:val="00350ABB"/>
    <w:rsid w:val="00351389"/>
    <w:rsid w:val="003518B3"/>
    <w:rsid w:val="00351F62"/>
    <w:rsid w:val="00353DCE"/>
    <w:rsid w:val="00364E4B"/>
    <w:rsid w:val="0036710E"/>
    <w:rsid w:val="00367AAF"/>
    <w:rsid w:val="0037012D"/>
    <w:rsid w:val="003703E4"/>
    <w:rsid w:val="00370B8F"/>
    <w:rsid w:val="00370E6C"/>
    <w:rsid w:val="00371641"/>
    <w:rsid w:val="00372D9A"/>
    <w:rsid w:val="00374294"/>
    <w:rsid w:val="0037565E"/>
    <w:rsid w:val="0037572F"/>
    <w:rsid w:val="00382011"/>
    <w:rsid w:val="00382184"/>
    <w:rsid w:val="003846F1"/>
    <w:rsid w:val="00392827"/>
    <w:rsid w:val="00393F8D"/>
    <w:rsid w:val="0039487B"/>
    <w:rsid w:val="0039574F"/>
    <w:rsid w:val="003A0A08"/>
    <w:rsid w:val="003A1334"/>
    <w:rsid w:val="003A2AF7"/>
    <w:rsid w:val="003A4CB3"/>
    <w:rsid w:val="003A53AB"/>
    <w:rsid w:val="003A673F"/>
    <w:rsid w:val="003B334F"/>
    <w:rsid w:val="003B3A60"/>
    <w:rsid w:val="003B5A70"/>
    <w:rsid w:val="003B64FE"/>
    <w:rsid w:val="003B724E"/>
    <w:rsid w:val="003C008D"/>
    <w:rsid w:val="003C24B1"/>
    <w:rsid w:val="003C3ED3"/>
    <w:rsid w:val="003C4908"/>
    <w:rsid w:val="003C5076"/>
    <w:rsid w:val="003D0732"/>
    <w:rsid w:val="003D14E8"/>
    <w:rsid w:val="003D45FD"/>
    <w:rsid w:val="003E114F"/>
    <w:rsid w:val="003E349F"/>
    <w:rsid w:val="003E398F"/>
    <w:rsid w:val="003E60A5"/>
    <w:rsid w:val="003E6685"/>
    <w:rsid w:val="003E7D13"/>
    <w:rsid w:val="003E7E2C"/>
    <w:rsid w:val="003F36F0"/>
    <w:rsid w:val="003F604E"/>
    <w:rsid w:val="003F73E5"/>
    <w:rsid w:val="00400CF9"/>
    <w:rsid w:val="004032B5"/>
    <w:rsid w:val="0041049F"/>
    <w:rsid w:val="00411DBB"/>
    <w:rsid w:val="0041713D"/>
    <w:rsid w:val="004211D4"/>
    <w:rsid w:val="00421B91"/>
    <w:rsid w:val="00423003"/>
    <w:rsid w:val="004237A0"/>
    <w:rsid w:val="00424548"/>
    <w:rsid w:val="00424AE4"/>
    <w:rsid w:val="00425040"/>
    <w:rsid w:val="00430BEC"/>
    <w:rsid w:val="00431372"/>
    <w:rsid w:val="0043256D"/>
    <w:rsid w:val="0043414C"/>
    <w:rsid w:val="0043436E"/>
    <w:rsid w:val="00435622"/>
    <w:rsid w:val="00437C4E"/>
    <w:rsid w:val="0044235F"/>
    <w:rsid w:val="00442DFA"/>
    <w:rsid w:val="004438EC"/>
    <w:rsid w:val="00443BBF"/>
    <w:rsid w:val="00447CD6"/>
    <w:rsid w:val="00450FB3"/>
    <w:rsid w:val="00451126"/>
    <w:rsid w:val="00453E07"/>
    <w:rsid w:val="00454028"/>
    <w:rsid w:val="0046160D"/>
    <w:rsid w:val="00462F92"/>
    <w:rsid w:val="0046316B"/>
    <w:rsid w:val="00465C89"/>
    <w:rsid w:val="004664A7"/>
    <w:rsid w:val="00471B3E"/>
    <w:rsid w:val="00475DDE"/>
    <w:rsid w:val="004762F9"/>
    <w:rsid w:val="00477244"/>
    <w:rsid w:val="0047737C"/>
    <w:rsid w:val="004804BE"/>
    <w:rsid w:val="00480B4B"/>
    <w:rsid w:val="00483BD5"/>
    <w:rsid w:val="00485DC4"/>
    <w:rsid w:val="004872AD"/>
    <w:rsid w:val="00487C81"/>
    <w:rsid w:val="00490F50"/>
    <w:rsid w:val="0049212B"/>
    <w:rsid w:val="00492F94"/>
    <w:rsid w:val="0049588C"/>
    <w:rsid w:val="00496AF8"/>
    <w:rsid w:val="00496C4C"/>
    <w:rsid w:val="00497C7E"/>
    <w:rsid w:val="004A1654"/>
    <w:rsid w:val="004A2306"/>
    <w:rsid w:val="004A40C6"/>
    <w:rsid w:val="004A493D"/>
    <w:rsid w:val="004A58B1"/>
    <w:rsid w:val="004A6FC9"/>
    <w:rsid w:val="004B0123"/>
    <w:rsid w:val="004B02E6"/>
    <w:rsid w:val="004B0528"/>
    <w:rsid w:val="004B222C"/>
    <w:rsid w:val="004B23D6"/>
    <w:rsid w:val="004B4412"/>
    <w:rsid w:val="004B552E"/>
    <w:rsid w:val="004C348C"/>
    <w:rsid w:val="004C3631"/>
    <w:rsid w:val="004C4271"/>
    <w:rsid w:val="004C6A5C"/>
    <w:rsid w:val="004C6ABF"/>
    <w:rsid w:val="004D3B5C"/>
    <w:rsid w:val="004D424C"/>
    <w:rsid w:val="004D55BA"/>
    <w:rsid w:val="004D6831"/>
    <w:rsid w:val="004D6B0A"/>
    <w:rsid w:val="004E1A12"/>
    <w:rsid w:val="004E4E98"/>
    <w:rsid w:val="004F0A93"/>
    <w:rsid w:val="004F2078"/>
    <w:rsid w:val="004F268D"/>
    <w:rsid w:val="004F5048"/>
    <w:rsid w:val="004F7BFC"/>
    <w:rsid w:val="0050110D"/>
    <w:rsid w:val="00501692"/>
    <w:rsid w:val="00501971"/>
    <w:rsid w:val="005025F3"/>
    <w:rsid w:val="005038DB"/>
    <w:rsid w:val="00503993"/>
    <w:rsid w:val="00505B58"/>
    <w:rsid w:val="0050656C"/>
    <w:rsid w:val="00506A72"/>
    <w:rsid w:val="005073FC"/>
    <w:rsid w:val="00510C04"/>
    <w:rsid w:val="0051245B"/>
    <w:rsid w:val="00515357"/>
    <w:rsid w:val="0052046D"/>
    <w:rsid w:val="0052379B"/>
    <w:rsid w:val="005252D6"/>
    <w:rsid w:val="00530128"/>
    <w:rsid w:val="00530140"/>
    <w:rsid w:val="005304E8"/>
    <w:rsid w:val="00532467"/>
    <w:rsid w:val="00534AEE"/>
    <w:rsid w:val="005361E8"/>
    <w:rsid w:val="00540674"/>
    <w:rsid w:val="00542C91"/>
    <w:rsid w:val="00547AC2"/>
    <w:rsid w:val="00547AF3"/>
    <w:rsid w:val="00547BA2"/>
    <w:rsid w:val="00547CCF"/>
    <w:rsid w:val="00550681"/>
    <w:rsid w:val="00551E1B"/>
    <w:rsid w:val="00551E82"/>
    <w:rsid w:val="00553F38"/>
    <w:rsid w:val="00554293"/>
    <w:rsid w:val="00555A70"/>
    <w:rsid w:val="00555F84"/>
    <w:rsid w:val="00560B70"/>
    <w:rsid w:val="00561277"/>
    <w:rsid w:val="005616D0"/>
    <w:rsid w:val="00561932"/>
    <w:rsid w:val="00564A4D"/>
    <w:rsid w:val="00565FFD"/>
    <w:rsid w:val="0056786E"/>
    <w:rsid w:val="00571801"/>
    <w:rsid w:val="00571828"/>
    <w:rsid w:val="00571B35"/>
    <w:rsid w:val="00571C9F"/>
    <w:rsid w:val="00573932"/>
    <w:rsid w:val="00573D7B"/>
    <w:rsid w:val="0057777F"/>
    <w:rsid w:val="00577A09"/>
    <w:rsid w:val="00580339"/>
    <w:rsid w:val="00580B78"/>
    <w:rsid w:val="00581D21"/>
    <w:rsid w:val="005823D9"/>
    <w:rsid w:val="00584D8F"/>
    <w:rsid w:val="00585141"/>
    <w:rsid w:val="00585FB8"/>
    <w:rsid w:val="00587642"/>
    <w:rsid w:val="0059005C"/>
    <w:rsid w:val="005931AD"/>
    <w:rsid w:val="00595360"/>
    <w:rsid w:val="00596D42"/>
    <w:rsid w:val="005A0638"/>
    <w:rsid w:val="005A201D"/>
    <w:rsid w:val="005A253A"/>
    <w:rsid w:val="005A404D"/>
    <w:rsid w:val="005A58F0"/>
    <w:rsid w:val="005A5BC5"/>
    <w:rsid w:val="005A60B4"/>
    <w:rsid w:val="005A7FFE"/>
    <w:rsid w:val="005B1E3C"/>
    <w:rsid w:val="005B74F1"/>
    <w:rsid w:val="005C0CD5"/>
    <w:rsid w:val="005C13A8"/>
    <w:rsid w:val="005C24AC"/>
    <w:rsid w:val="005C26CC"/>
    <w:rsid w:val="005C59D1"/>
    <w:rsid w:val="005C5F8C"/>
    <w:rsid w:val="005C7264"/>
    <w:rsid w:val="005C7B40"/>
    <w:rsid w:val="005D1342"/>
    <w:rsid w:val="005D1761"/>
    <w:rsid w:val="005D185E"/>
    <w:rsid w:val="005D23DA"/>
    <w:rsid w:val="005D4B28"/>
    <w:rsid w:val="005D5694"/>
    <w:rsid w:val="005E216C"/>
    <w:rsid w:val="005E53E0"/>
    <w:rsid w:val="005E6636"/>
    <w:rsid w:val="005E6C0E"/>
    <w:rsid w:val="005F0B7C"/>
    <w:rsid w:val="005F0D33"/>
    <w:rsid w:val="005F134C"/>
    <w:rsid w:val="005F19B6"/>
    <w:rsid w:val="005F19F6"/>
    <w:rsid w:val="005F26C4"/>
    <w:rsid w:val="005F7350"/>
    <w:rsid w:val="0060025A"/>
    <w:rsid w:val="00601853"/>
    <w:rsid w:val="00601E98"/>
    <w:rsid w:val="00603318"/>
    <w:rsid w:val="00603892"/>
    <w:rsid w:val="006040BA"/>
    <w:rsid w:val="00604648"/>
    <w:rsid w:val="00605D6C"/>
    <w:rsid w:val="00607826"/>
    <w:rsid w:val="0061252F"/>
    <w:rsid w:val="00615C6B"/>
    <w:rsid w:val="00617053"/>
    <w:rsid w:val="006313B8"/>
    <w:rsid w:val="00632D6D"/>
    <w:rsid w:val="0063437B"/>
    <w:rsid w:val="00634E46"/>
    <w:rsid w:val="0063778D"/>
    <w:rsid w:val="006417EE"/>
    <w:rsid w:val="00642C3E"/>
    <w:rsid w:val="006456B6"/>
    <w:rsid w:val="00646025"/>
    <w:rsid w:val="006465DA"/>
    <w:rsid w:val="006468F8"/>
    <w:rsid w:val="00650DE9"/>
    <w:rsid w:val="00655773"/>
    <w:rsid w:val="00660D0C"/>
    <w:rsid w:val="00663DAD"/>
    <w:rsid w:val="006668D6"/>
    <w:rsid w:val="00670689"/>
    <w:rsid w:val="006749E0"/>
    <w:rsid w:val="00675690"/>
    <w:rsid w:val="00676679"/>
    <w:rsid w:val="00677EDB"/>
    <w:rsid w:val="00682554"/>
    <w:rsid w:val="006839D7"/>
    <w:rsid w:val="006847DF"/>
    <w:rsid w:val="006853FF"/>
    <w:rsid w:val="00687649"/>
    <w:rsid w:val="00691616"/>
    <w:rsid w:val="00691C5E"/>
    <w:rsid w:val="00692FB2"/>
    <w:rsid w:val="00694802"/>
    <w:rsid w:val="006A1538"/>
    <w:rsid w:val="006A19B3"/>
    <w:rsid w:val="006A312D"/>
    <w:rsid w:val="006A595C"/>
    <w:rsid w:val="006B008A"/>
    <w:rsid w:val="006B4CF9"/>
    <w:rsid w:val="006B5743"/>
    <w:rsid w:val="006B6636"/>
    <w:rsid w:val="006B6E5D"/>
    <w:rsid w:val="006B6FE1"/>
    <w:rsid w:val="006B78BA"/>
    <w:rsid w:val="006B7AC8"/>
    <w:rsid w:val="006C63D5"/>
    <w:rsid w:val="006C6EAC"/>
    <w:rsid w:val="006C756C"/>
    <w:rsid w:val="006C77DC"/>
    <w:rsid w:val="006D110A"/>
    <w:rsid w:val="006D112C"/>
    <w:rsid w:val="006D550F"/>
    <w:rsid w:val="006D6662"/>
    <w:rsid w:val="006D77F3"/>
    <w:rsid w:val="006F7F9E"/>
    <w:rsid w:val="00700A32"/>
    <w:rsid w:val="007015B8"/>
    <w:rsid w:val="00701CAB"/>
    <w:rsid w:val="007022AA"/>
    <w:rsid w:val="007051CE"/>
    <w:rsid w:val="00706C4D"/>
    <w:rsid w:val="00707098"/>
    <w:rsid w:val="00707340"/>
    <w:rsid w:val="00707563"/>
    <w:rsid w:val="0071185C"/>
    <w:rsid w:val="00711AFB"/>
    <w:rsid w:val="007123B4"/>
    <w:rsid w:val="0071375D"/>
    <w:rsid w:val="00720BB3"/>
    <w:rsid w:val="00722AF4"/>
    <w:rsid w:val="0072348C"/>
    <w:rsid w:val="00724A37"/>
    <w:rsid w:val="0072656B"/>
    <w:rsid w:val="00726F0E"/>
    <w:rsid w:val="00727DEF"/>
    <w:rsid w:val="0073035B"/>
    <w:rsid w:val="007303C3"/>
    <w:rsid w:val="00730DCF"/>
    <w:rsid w:val="00732C01"/>
    <w:rsid w:val="00733BE6"/>
    <w:rsid w:val="007346B8"/>
    <w:rsid w:val="00734AC9"/>
    <w:rsid w:val="00743223"/>
    <w:rsid w:val="00743A7E"/>
    <w:rsid w:val="007442D9"/>
    <w:rsid w:val="00746E01"/>
    <w:rsid w:val="00747A29"/>
    <w:rsid w:val="007512C9"/>
    <w:rsid w:val="00751696"/>
    <w:rsid w:val="00755613"/>
    <w:rsid w:val="00755C2E"/>
    <w:rsid w:val="007566DC"/>
    <w:rsid w:val="0075688B"/>
    <w:rsid w:val="00757944"/>
    <w:rsid w:val="0076207E"/>
    <w:rsid w:val="00763D70"/>
    <w:rsid w:val="00763E5D"/>
    <w:rsid w:val="007652A0"/>
    <w:rsid w:val="0076627B"/>
    <w:rsid w:val="007663B4"/>
    <w:rsid w:val="00766C5E"/>
    <w:rsid w:val="00767740"/>
    <w:rsid w:val="007744FE"/>
    <w:rsid w:val="007746A2"/>
    <w:rsid w:val="00777EE6"/>
    <w:rsid w:val="00782C4B"/>
    <w:rsid w:val="00782EEA"/>
    <w:rsid w:val="00783000"/>
    <w:rsid w:val="007852DE"/>
    <w:rsid w:val="00785FF4"/>
    <w:rsid w:val="00787463"/>
    <w:rsid w:val="00787889"/>
    <w:rsid w:val="007928AA"/>
    <w:rsid w:val="00797BD2"/>
    <w:rsid w:val="007A6F2A"/>
    <w:rsid w:val="007A7F02"/>
    <w:rsid w:val="007B1A44"/>
    <w:rsid w:val="007B27A8"/>
    <w:rsid w:val="007B2C72"/>
    <w:rsid w:val="007B59BD"/>
    <w:rsid w:val="007C0427"/>
    <w:rsid w:val="007C0DFE"/>
    <w:rsid w:val="007C1C53"/>
    <w:rsid w:val="007C3314"/>
    <w:rsid w:val="007C3834"/>
    <w:rsid w:val="007C5BE9"/>
    <w:rsid w:val="007C5CCC"/>
    <w:rsid w:val="007C73F3"/>
    <w:rsid w:val="007D275E"/>
    <w:rsid w:val="007D3928"/>
    <w:rsid w:val="007D43C1"/>
    <w:rsid w:val="007E1347"/>
    <w:rsid w:val="007E26A9"/>
    <w:rsid w:val="007E2ECF"/>
    <w:rsid w:val="007E4904"/>
    <w:rsid w:val="007E4CB5"/>
    <w:rsid w:val="007E5E03"/>
    <w:rsid w:val="007F066B"/>
    <w:rsid w:val="007F0D59"/>
    <w:rsid w:val="007F3BFA"/>
    <w:rsid w:val="007F6720"/>
    <w:rsid w:val="007F68F7"/>
    <w:rsid w:val="007F6A63"/>
    <w:rsid w:val="0080197F"/>
    <w:rsid w:val="008033C4"/>
    <w:rsid w:val="00804060"/>
    <w:rsid w:val="00804D7E"/>
    <w:rsid w:val="0080682D"/>
    <w:rsid w:val="00806C88"/>
    <w:rsid w:val="0081018D"/>
    <w:rsid w:val="0081034E"/>
    <w:rsid w:val="00811C01"/>
    <w:rsid w:val="00813A07"/>
    <w:rsid w:val="0081524E"/>
    <w:rsid w:val="00815A04"/>
    <w:rsid w:val="00816A49"/>
    <w:rsid w:val="00816CC1"/>
    <w:rsid w:val="008207AF"/>
    <w:rsid w:val="00822713"/>
    <w:rsid w:val="00823BBF"/>
    <w:rsid w:val="00825899"/>
    <w:rsid w:val="00830234"/>
    <w:rsid w:val="0083148F"/>
    <w:rsid w:val="00833932"/>
    <w:rsid w:val="008344F6"/>
    <w:rsid w:val="0083488A"/>
    <w:rsid w:val="0083510F"/>
    <w:rsid w:val="00836556"/>
    <w:rsid w:val="00836B15"/>
    <w:rsid w:val="00837B2D"/>
    <w:rsid w:val="008404BC"/>
    <w:rsid w:val="00840AF6"/>
    <w:rsid w:val="00841513"/>
    <w:rsid w:val="00842D92"/>
    <w:rsid w:val="00844541"/>
    <w:rsid w:val="00851209"/>
    <w:rsid w:val="00852112"/>
    <w:rsid w:val="00854BF0"/>
    <w:rsid w:val="00854CEE"/>
    <w:rsid w:val="00857EBD"/>
    <w:rsid w:val="00860FAC"/>
    <w:rsid w:val="008619C9"/>
    <w:rsid w:val="0086325C"/>
    <w:rsid w:val="00863CC2"/>
    <w:rsid w:val="00866D34"/>
    <w:rsid w:val="00875056"/>
    <w:rsid w:val="00875E6F"/>
    <w:rsid w:val="00877D34"/>
    <w:rsid w:val="0088007E"/>
    <w:rsid w:val="00881EDE"/>
    <w:rsid w:val="008823D0"/>
    <w:rsid w:val="0088377C"/>
    <w:rsid w:val="008837AC"/>
    <w:rsid w:val="00890A5A"/>
    <w:rsid w:val="00891595"/>
    <w:rsid w:val="00892093"/>
    <w:rsid w:val="00892AC1"/>
    <w:rsid w:val="008938E0"/>
    <w:rsid w:val="008945B4"/>
    <w:rsid w:val="00894A8F"/>
    <w:rsid w:val="0089538C"/>
    <w:rsid w:val="008A2330"/>
    <w:rsid w:val="008A587D"/>
    <w:rsid w:val="008A65E2"/>
    <w:rsid w:val="008A7E47"/>
    <w:rsid w:val="008B0088"/>
    <w:rsid w:val="008B3349"/>
    <w:rsid w:val="008B5918"/>
    <w:rsid w:val="008B5B08"/>
    <w:rsid w:val="008B62D6"/>
    <w:rsid w:val="008C16BB"/>
    <w:rsid w:val="008C38BE"/>
    <w:rsid w:val="008C5486"/>
    <w:rsid w:val="008D0743"/>
    <w:rsid w:val="008D4674"/>
    <w:rsid w:val="008D48E3"/>
    <w:rsid w:val="008D5626"/>
    <w:rsid w:val="008E641B"/>
    <w:rsid w:val="008E7031"/>
    <w:rsid w:val="008E7162"/>
    <w:rsid w:val="008E7ECD"/>
    <w:rsid w:val="008F34C2"/>
    <w:rsid w:val="008F7CD3"/>
    <w:rsid w:val="009018A3"/>
    <w:rsid w:val="00906798"/>
    <w:rsid w:val="00907A91"/>
    <w:rsid w:val="009120A1"/>
    <w:rsid w:val="00913E47"/>
    <w:rsid w:val="00915360"/>
    <w:rsid w:val="00915DCD"/>
    <w:rsid w:val="009214E7"/>
    <w:rsid w:val="009218A0"/>
    <w:rsid w:val="00921DE8"/>
    <w:rsid w:val="00922C95"/>
    <w:rsid w:val="009233EE"/>
    <w:rsid w:val="00925508"/>
    <w:rsid w:val="00935D49"/>
    <w:rsid w:val="00941858"/>
    <w:rsid w:val="009420C5"/>
    <w:rsid w:val="00942E10"/>
    <w:rsid w:val="00943796"/>
    <w:rsid w:val="009439A6"/>
    <w:rsid w:val="00943AEA"/>
    <w:rsid w:val="00944DB2"/>
    <w:rsid w:val="009453F9"/>
    <w:rsid w:val="00947513"/>
    <w:rsid w:val="00952CB1"/>
    <w:rsid w:val="00955269"/>
    <w:rsid w:val="00955E60"/>
    <w:rsid w:val="0095683B"/>
    <w:rsid w:val="0095704E"/>
    <w:rsid w:val="009612BF"/>
    <w:rsid w:val="009661DE"/>
    <w:rsid w:val="00967670"/>
    <w:rsid w:val="00967C14"/>
    <w:rsid w:val="00971C4D"/>
    <w:rsid w:val="00972E73"/>
    <w:rsid w:val="00972EE9"/>
    <w:rsid w:val="00977B38"/>
    <w:rsid w:val="00977F0E"/>
    <w:rsid w:val="009804BC"/>
    <w:rsid w:val="00980F42"/>
    <w:rsid w:val="00980F47"/>
    <w:rsid w:val="009814BE"/>
    <w:rsid w:val="009827EB"/>
    <w:rsid w:val="00984235"/>
    <w:rsid w:val="009856B7"/>
    <w:rsid w:val="009859CB"/>
    <w:rsid w:val="0098602B"/>
    <w:rsid w:val="00990CBB"/>
    <w:rsid w:val="00991B3B"/>
    <w:rsid w:val="00993BF6"/>
    <w:rsid w:val="0099438B"/>
    <w:rsid w:val="009962BA"/>
    <w:rsid w:val="009A110A"/>
    <w:rsid w:val="009A3DE4"/>
    <w:rsid w:val="009A5D68"/>
    <w:rsid w:val="009B254D"/>
    <w:rsid w:val="009B72E4"/>
    <w:rsid w:val="009B74B0"/>
    <w:rsid w:val="009C1EAE"/>
    <w:rsid w:val="009C2938"/>
    <w:rsid w:val="009C4A7F"/>
    <w:rsid w:val="009C4ACD"/>
    <w:rsid w:val="009C6F21"/>
    <w:rsid w:val="009D0899"/>
    <w:rsid w:val="009D4414"/>
    <w:rsid w:val="009D4EFD"/>
    <w:rsid w:val="009D6B46"/>
    <w:rsid w:val="009E11DD"/>
    <w:rsid w:val="009E480C"/>
    <w:rsid w:val="009E5FC7"/>
    <w:rsid w:val="009E62C6"/>
    <w:rsid w:val="009E6503"/>
    <w:rsid w:val="009E7EEA"/>
    <w:rsid w:val="009F221A"/>
    <w:rsid w:val="009F4940"/>
    <w:rsid w:val="009F4EB3"/>
    <w:rsid w:val="009F6F97"/>
    <w:rsid w:val="009F77DD"/>
    <w:rsid w:val="00A037E9"/>
    <w:rsid w:val="00A07259"/>
    <w:rsid w:val="00A07335"/>
    <w:rsid w:val="00A10CFD"/>
    <w:rsid w:val="00A15600"/>
    <w:rsid w:val="00A15E33"/>
    <w:rsid w:val="00A1665B"/>
    <w:rsid w:val="00A22CEF"/>
    <w:rsid w:val="00A24C82"/>
    <w:rsid w:val="00A256E2"/>
    <w:rsid w:val="00A26920"/>
    <w:rsid w:val="00A31D68"/>
    <w:rsid w:val="00A37CE5"/>
    <w:rsid w:val="00A407FB"/>
    <w:rsid w:val="00A43506"/>
    <w:rsid w:val="00A4478A"/>
    <w:rsid w:val="00A44852"/>
    <w:rsid w:val="00A478CF"/>
    <w:rsid w:val="00A47C24"/>
    <w:rsid w:val="00A506AF"/>
    <w:rsid w:val="00A50C1F"/>
    <w:rsid w:val="00A51F53"/>
    <w:rsid w:val="00A5373D"/>
    <w:rsid w:val="00A57D04"/>
    <w:rsid w:val="00A6052E"/>
    <w:rsid w:val="00A60A26"/>
    <w:rsid w:val="00A61598"/>
    <w:rsid w:val="00A634E8"/>
    <w:rsid w:val="00A65F43"/>
    <w:rsid w:val="00A6611D"/>
    <w:rsid w:val="00A6693D"/>
    <w:rsid w:val="00A66D3E"/>
    <w:rsid w:val="00A67030"/>
    <w:rsid w:val="00A70CBA"/>
    <w:rsid w:val="00A736A8"/>
    <w:rsid w:val="00A77DC2"/>
    <w:rsid w:val="00A80BBF"/>
    <w:rsid w:val="00A81761"/>
    <w:rsid w:val="00A81A8A"/>
    <w:rsid w:val="00A83188"/>
    <w:rsid w:val="00A84F46"/>
    <w:rsid w:val="00A870F1"/>
    <w:rsid w:val="00A871F4"/>
    <w:rsid w:val="00A911FC"/>
    <w:rsid w:val="00A92F23"/>
    <w:rsid w:val="00A9354C"/>
    <w:rsid w:val="00A95514"/>
    <w:rsid w:val="00A97B2B"/>
    <w:rsid w:val="00AA36E7"/>
    <w:rsid w:val="00AA51E0"/>
    <w:rsid w:val="00AB310D"/>
    <w:rsid w:val="00AB49E1"/>
    <w:rsid w:val="00AB4B90"/>
    <w:rsid w:val="00AB537D"/>
    <w:rsid w:val="00AB6528"/>
    <w:rsid w:val="00AC0ACA"/>
    <w:rsid w:val="00AC0CDA"/>
    <w:rsid w:val="00AC119A"/>
    <w:rsid w:val="00AC1AA6"/>
    <w:rsid w:val="00AC1B2C"/>
    <w:rsid w:val="00AC1FB8"/>
    <w:rsid w:val="00AC3264"/>
    <w:rsid w:val="00AC3378"/>
    <w:rsid w:val="00AC6EEF"/>
    <w:rsid w:val="00AC6F01"/>
    <w:rsid w:val="00AC7412"/>
    <w:rsid w:val="00AC7784"/>
    <w:rsid w:val="00AD0750"/>
    <w:rsid w:val="00AD0B30"/>
    <w:rsid w:val="00AD16C0"/>
    <w:rsid w:val="00AD24CF"/>
    <w:rsid w:val="00AD30E4"/>
    <w:rsid w:val="00AD3382"/>
    <w:rsid w:val="00AD73EF"/>
    <w:rsid w:val="00AE0FE2"/>
    <w:rsid w:val="00AE16B5"/>
    <w:rsid w:val="00AE1BF1"/>
    <w:rsid w:val="00AE269D"/>
    <w:rsid w:val="00AE5048"/>
    <w:rsid w:val="00AF0DD2"/>
    <w:rsid w:val="00AF2073"/>
    <w:rsid w:val="00AF2667"/>
    <w:rsid w:val="00AF29ED"/>
    <w:rsid w:val="00B07BBE"/>
    <w:rsid w:val="00B10314"/>
    <w:rsid w:val="00B10E48"/>
    <w:rsid w:val="00B12C0A"/>
    <w:rsid w:val="00B13048"/>
    <w:rsid w:val="00B145BE"/>
    <w:rsid w:val="00B15998"/>
    <w:rsid w:val="00B16838"/>
    <w:rsid w:val="00B1716D"/>
    <w:rsid w:val="00B17A1D"/>
    <w:rsid w:val="00B207A0"/>
    <w:rsid w:val="00B20A46"/>
    <w:rsid w:val="00B227FA"/>
    <w:rsid w:val="00B23856"/>
    <w:rsid w:val="00B26B6F"/>
    <w:rsid w:val="00B279DD"/>
    <w:rsid w:val="00B31BF6"/>
    <w:rsid w:val="00B31FB7"/>
    <w:rsid w:val="00B343B6"/>
    <w:rsid w:val="00B503C5"/>
    <w:rsid w:val="00B50BC9"/>
    <w:rsid w:val="00B54278"/>
    <w:rsid w:val="00B55E50"/>
    <w:rsid w:val="00B56E03"/>
    <w:rsid w:val="00B60F5D"/>
    <w:rsid w:val="00B60F8A"/>
    <w:rsid w:val="00B61D85"/>
    <w:rsid w:val="00B636D5"/>
    <w:rsid w:val="00B6475E"/>
    <w:rsid w:val="00B660B8"/>
    <w:rsid w:val="00B67E91"/>
    <w:rsid w:val="00B71210"/>
    <w:rsid w:val="00B71EF9"/>
    <w:rsid w:val="00B73C53"/>
    <w:rsid w:val="00B746EC"/>
    <w:rsid w:val="00B7480F"/>
    <w:rsid w:val="00B76790"/>
    <w:rsid w:val="00B8080B"/>
    <w:rsid w:val="00B81452"/>
    <w:rsid w:val="00B831ED"/>
    <w:rsid w:val="00B87C39"/>
    <w:rsid w:val="00B87D2F"/>
    <w:rsid w:val="00B951CE"/>
    <w:rsid w:val="00B96232"/>
    <w:rsid w:val="00B97D27"/>
    <w:rsid w:val="00BA1262"/>
    <w:rsid w:val="00BA4442"/>
    <w:rsid w:val="00BA4665"/>
    <w:rsid w:val="00BA5784"/>
    <w:rsid w:val="00BB2965"/>
    <w:rsid w:val="00BB2BE7"/>
    <w:rsid w:val="00BB2FB2"/>
    <w:rsid w:val="00BB3304"/>
    <w:rsid w:val="00BB429F"/>
    <w:rsid w:val="00BC25D3"/>
    <w:rsid w:val="00BC4A98"/>
    <w:rsid w:val="00BC4CBF"/>
    <w:rsid w:val="00BC4E36"/>
    <w:rsid w:val="00BC5F01"/>
    <w:rsid w:val="00BD14C0"/>
    <w:rsid w:val="00BD204E"/>
    <w:rsid w:val="00BD2F0F"/>
    <w:rsid w:val="00BD3446"/>
    <w:rsid w:val="00BD3761"/>
    <w:rsid w:val="00BD4AEE"/>
    <w:rsid w:val="00BD4D0C"/>
    <w:rsid w:val="00BD4F7D"/>
    <w:rsid w:val="00BE09EE"/>
    <w:rsid w:val="00BE0A1D"/>
    <w:rsid w:val="00BE1F1B"/>
    <w:rsid w:val="00BE3C42"/>
    <w:rsid w:val="00BE47B5"/>
    <w:rsid w:val="00BE4C99"/>
    <w:rsid w:val="00BF1FFB"/>
    <w:rsid w:val="00BF3ED7"/>
    <w:rsid w:val="00BF5A93"/>
    <w:rsid w:val="00BF661B"/>
    <w:rsid w:val="00C04691"/>
    <w:rsid w:val="00C058AB"/>
    <w:rsid w:val="00C05FAE"/>
    <w:rsid w:val="00C06739"/>
    <w:rsid w:val="00C14382"/>
    <w:rsid w:val="00C144E0"/>
    <w:rsid w:val="00C16994"/>
    <w:rsid w:val="00C17052"/>
    <w:rsid w:val="00C2220B"/>
    <w:rsid w:val="00C23298"/>
    <w:rsid w:val="00C25279"/>
    <w:rsid w:val="00C25A65"/>
    <w:rsid w:val="00C305CD"/>
    <w:rsid w:val="00C34CF8"/>
    <w:rsid w:val="00C35A55"/>
    <w:rsid w:val="00C36573"/>
    <w:rsid w:val="00C369F4"/>
    <w:rsid w:val="00C410E3"/>
    <w:rsid w:val="00C412AB"/>
    <w:rsid w:val="00C4151B"/>
    <w:rsid w:val="00C52B8E"/>
    <w:rsid w:val="00C538A9"/>
    <w:rsid w:val="00C53B5A"/>
    <w:rsid w:val="00C54F5A"/>
    <w:rsid w:val="00C56453"/>
    <w:rsid w:val="00C61D35"/>
    <w:rsid w:val="00C65139"/>
    <w:rsid w:val="00C6681E"/>
    <w:rsid w:val="00C71291"/>
    <w:rsid w:val="00C723C3"/>
    <w:rsid w:val="00C72C99"/>
    <w:rsid w:val="00C755AD"/>
    <w:rsid w:val="00C8175E"/>
    <w:rsid w:val="00C8389C"/>
    <w:rsid w:val="00C86679"/>
    <w:rsid w:val="00C922B3"/>
    <w:rsid w:val="00C93DC7"/>
    <w:rsid w:val="00C959DF"/>
    <w:rsid w:val="00C96F55"/>
    <w:rsid w:val="00CA130D"/>
    <w:rsid w:val="00CA2F26"/>
    <w:rsid w:val="00CA37CA"/>
    <w:rsid w:val="00CA5B23"/>
    <w:rsid w:val="00CB0F0C"/>
    <w:rsid w:val="00CB666B"/>
    <w:rsid w:val="00CB75D7"/>
    <w:rsid w:val="00CB7638"/>
    <w:rsid w:val="00CC2659"/>
    <w:rsid w:val="00CC75B7"/>
    <w:rsid w:val="00CD1AC8"/>
    <w:rsid w:val="00CD252C"/>
    <w:rsid w:val="00CD262E"/>
    <w:rsid w:val="00CD27BD"/>
    <w:rsid w:val="00CD443A"/>
    <w:rsid w:val="00CD4F4E"/>
    <w:rsid w:val="00CD614C"/>
    <w:rsid w:val="00CE001E"/>
    <w:rsid w:val="00CE0EC7"/>
    <w:rsid w:val="00CE2611"/>
    <w:rsid w:val="00CE2D4C"/>
    <w:rsid w:val="00CE6BCF"/>
    <w:rsid w:val="00CF0739"/>
    <w:rsid w:val="00CF23EB"/>
    <w:rsid w:val="00CF2849"/>
    <w:rsid w:val="00CF361F"/>
    <w:rsid w:val="00CF39BC"/>
    <w:rsid w:val="00CF4762"/>
    <w:rsid w:val="00CF5CF4"/>
    <w:rsid w:val="00CF799E"/>
    <w:rsid w:val="00D0062C"/>
    <w:rsid w:val="00D01A6E"/>
    <w:rsid w:val="00D01CF0"/>
    <w:rsid w:val="00D0253C"/>
    <w:rsid w:val="00D041A0"/>
    <w:rsid w:val="00D0442A"/>
    <w:rsid w:val="00D06837"/>
    <w:rsid w:val="00D07FBB"/>
    <w:rsid w:val="00D106E6"/>
    <w:rsid w:val="00D1293B"/>
    <w:rsid w:val="00D16700"/>
    <w:rsid w:val="00D203E1"/>
    <w:rsid w:val="00D205E8"/>
    <w:rsid w:val="00D20609"/>
    <w:rsid w:val="00D20F23"/>
    <w:rsid w:val="00D2102F"/>
    <w:rsid w:val="00D25035"/>
    <w:rsid w:val="00D256E0"/>
    <w:rsid w:val="00D25E41"/>
    <w:rsid w:val="00D30556"/>
    <w:rsid w:val="00D3614B"/>
    <w:rsid w:val="00D37889"/>
    <w:rsid w:val="00D44E1E"/>
    <w:rsid w:val="00D44F03"/>
    <w:rsid w:val="00D45479"/>
    <w:rsid w:val="00D45CEF"/>
    <w:rsid w:val="00D46345"/>
    <w:rsid w:val="00D507D3"/>
    <w:rsid w:val="00D52317"/>
    <w:rsid w:val="00D52E21"/>
    <w:rsid w:val="00D530B4"/>
    <w:rsid w:val="00D537C5"/>
    <w:rsid w:val="00D544B8"/>
    <w:rsid w:val="00D5661F"/>
    <w:rsid w:val="00D57582"/>
    <w:rsid w:val="00D60A9B"/>
    <w:rsid w:val="00D61388"/>
    <w:rsid w:val="00D61A54"/>
    <w:rsid w:val="00D64DEA"/>
    <w:rsid w:val="00D65E90"/>
    <w:rsid w:val="00D65EB4"/>
    <w:rsid w:val="00D726B7"/>
    <w:rsid w:val="00D73E67"/>
    <w:rsid w:val="00D74E55"/>
    <w:rsid w:val="00D7776D"/>
    <w:rsid w:val="00D80893"/>
    <w:rsid w:val="00D828C1"/>
    <w:rsid w:val="00D829A9"/>
    <w:rsid w:val="00D83813"/>
    <w:rsid w:val="00D85E96"/>
    <w:rsid w:val="00D90F43"/>
    <w:rsid w:val="00D92752"/>
    <w:rsid w:val="00D92CF1"/>
    <w:rsid w:val="00D92D38"/>
    <w:rsid w:val="00D94B9E"/>
    <w:rsid w:val="00D950F5"/>
    <w:rsid w:val="00D957A9"/>
    <w:rsid w:val="00D96549"/>
    <w:rsid w:val="00D965A8"/>
    <w:rsid w:val="00D971DF"/>
    <w:rsid w:val="00DA02EA"/>
    <w:rsid w:val="00DA1099"/>
    <w:rsid w:val="00DA5176"/>
    <w:rsid w:val="00DA6168"/>
    <w:rsid w:val="00DB00D1"/>
    <w:rsid w:val="00DB0194"/>
    <w:rsid w:val="00DB08B9"/>
    <w:rsid w:val="00DB0F93"/>
    <w:rsid w:val="00DB52E9"/>
    <w:rsid w:val="00DB748C"/>
    <w:rsid w:val="00DC01B3"/>
    <w:rsid w:val="00DC18A0"/>
    <w:rsid w:val="00DC26B0"/>
    <w:rsid w:val="00DC2EEC"/>
    <w:rsid w:val="00DC390E"/>
    <w:rsid w:val="00DC542F"/>
    <w:rsid w:val="00DC5EF4"/>
    <w:rsid w:val="00DC65CF"/>
    <w:rsid w:val="00DC7314"/>
    <w:rsid w:val="00DC7981"/>
    <w:rsid w:val="00DD2499"/>
    <w:rsid w:val="00DD5C69"/>
    <w:rsid w:val="00DD7648"/>
    <w:rsid w:val="00DE0450"/>
    <w:rsid w:val="00DE17CC"/>
    <w:rsid w:val="00DE1E14"/>
    <w:rsid w:val="00DE37CD"/>
    <w:rsid w:val="00DE3BF7"/>
    <w:rsid w:val="00DE4EFA"/>
    <w:rsid w:val="00DE5520"/>
    <w:rsid w:val="00DE5B43"/>
    <w:rsid w:val="00DE7132"/>
    <w:rsid w:val="00DE7161"/>
    <w:rsid w:val="00DE7CA0"/>
    <w:rsid w:val="00DE7F36"/>
    <w:rsid w:val="00DF389A"/>
    <w:rsid w:val="00DF79BF"/>
    <w:rsid w:val="00E0130C"/>
    <w:rsid w:val="00E01A14"/>
    <w:rsid w:val="00E0407F"/>
    <w:rsid w:val="00E04818"/>
    <w:rsid w:val="00E06442"/>
    <w:rsid w:val="00E10727"/>
    <w:rsid w:val="00E10E3F"/>
    <w:rsid w:val="00E12412"/>
    <w:rsid w:val="00E16FF7"/>
    <w:rsid w:val="00E22333"/>
    <w:rsid w:val="00E23993"/>
    <w:rsid w:val="00E24C11"/>
    <w:rsid w:val="00E2546F"/>
    <w:rsid w:val="00E25B8C"/>
    <w:rsid w:val="00E26A12"/>
    <w:rsid w:val="00E303D4"/>
    <w:rsid w:val="00E34830"/>
    <w:rsid w:val="00E35713"/>
    <w:rsid w:val="00E360C6"/>
    <w:rsid w:val="00E4197A"/>
    <w:rsid w:val="00E42F24"/>
    <w:rsid w:val="00E44210"/>
    <w:rsid w:val="00E44780"/>
    <w:rsid w:val="00E4674F"/>
    <w:rsid w:val="00E50575"/>
    <w:rsid w:val="00E530BF"/>
    <w:rsid w:val="00E532A8"/>
    <w:rsid w:val="00E5501C"/>
    <w:rsid w:val="00E558D7"/>
    <w:rsid w:val="00E55910"/>
    <w:rsid w:val="00E55CA2"/>
    <w:rsid w:val="00E614CF"/>
    <w:rsid w:val="00E65C85"/>
    <w:rsid w:val="00E66199"/>
    <w:rsid w:val="00E671C0"/>
    <w:rsid w:val="00E71DE6"/>
    <w:rsid w:val="00E72BAD"/>
    <w:rsid w:val="00E75285"/>
    <w:rsid w:val="00E755EC"/>
    <w:rsid w:val="00E7624D"/>
    <w:rsid w:val="00E7774B"/>
    <w:rsid w:val="00E80D20"/>
    <w:rsid w:val="00E83306"/>
    <w:rsid w:val="00E9762C"/>
    <w:rsid w:val="00E97960"/>
    <w:rsid w:val="00EA034D"/>
    <w:rsid w:val="00EA0388"/>
    <w:rsid w:val="00EA2FFE"/>
    <w:rsid w:val="00EA3D42"/>
    <w:rsid w:val="00EA417D"/>
    <w:rsid w:val="00EA5A35"/>
    <w:rsid w:val="00EA5E10"/>
    <w:rsid w:val="00EA6B1B"/>
    <w:rsid w:val="00EA7EC0"/>
    <w:rsid w:val="00EB1461"/>
    <w:rsid w:val="00EB1823"/>
    <w:rsid w:val="00EB2415"/>
    <w:rsid w:val="00EB292C"/>
    <w:rsid w:val="00EB2D19"/>
    <w:rsid w:val="00EB340B"/>
    <w:rsid w:val="00EB35A9"/>
    <w:rsid w:val="00EB4255"/>
    <w:rsid w:val="00EB5B5B"/>
    <w:rsid w:val="00EB6C22"/>
    <w:rsid w:val="00EC0256"/>
    <w:rsid w:val="00EC1068"/>
    <w:rsid w:val="00EC2671"/>
    <w:rsid w:val="00EC3D8E"/>
    <w:rsid w:val="00EC5196"/>
    <w:rsid w:val="00ED3A3F"/>
    <w:rsid w:val="00ED4C11"/>
    <w:rsid w:val="00ED7300"/>
    <w:rsid w:val="00EE28F3"/>
    <w:rsid w:val="00EE6C54"/>
    <w:rsid w:val="00EE7DA4"/>
    <w:rsid w:val="00EF0061"/>
    <w:rsid w:val="00EF103D"/>
    <w:rsid w:val="00EF2485"/>
    <w:rsid w:val="00EF29C5"/>
    <w:rsid w:val="00EF5110"/>
    <w:rsid w:val="00F01344"/>
    <w:rsid w:val="00F033B3"/>
    <w:rsid w:val="00F04F27"/>
    <w:rsid w:val="00F058DE"/>
    <w:rsid w:val="00F064D5"/>
    <w:rsid w:val="00F12CDC"/>
    <w:rsid w:val="00F13E1E"/>
    <w:rsid w:val="00F15882"/>
    <w:rsid w:val="00F15B98"/>
    <w:rsid w:val="00F1773B"/>
    <w:rsid w:val="00F20771"/>
    <w:rsid w:val="00F20BD3"/>
    <w:rsid w:val="00F227C6"/>
    <w:rsid w:val="00F2284E"/>
    <w:rsid w:val="00F24F0B"/>
    <w:rsid w:val="00F32EB2"/>
    <w:rsid w:val="00F3693D"/>
    <w:rsid w:val="00F373A5"/>
    <w:rsid w:val="00F373F0"/>
    <w:rsid w:val="00F40612"/>
    <w:rsid w:val="00F41835"/>
    <w:rsid w:val="00F45892"/>
    <w:rsid w:val="00F47559"/>
    <w:rsid w:val="00F47A7B"/>
    <w:rsid w:val="00F47DAD"/>
    <w:rsid w:val="00F57109"/>
    <w:rsid w:val="00F57300"/>
    <w:rsid w:val="00F60BE4"/>
    <w:rsid w:val="00F60F2D"/>
    <w:rsid w:val="00F61B84"/>
    <w:rsid w:val="00F63587"/>
    <w:rsid w:val="00F64C7B"/>
    <w:rsid w:val="00F671BE"/>
    <w:rsid w:val="00F676DD"/>
    <w:rsid w:val="00F67D05"/>
    <w:rsid w:val="00F7157B"/>
    <w:rsid w:val="00F721A0"/>
    <w:rsid w:val="00F7233F"/>
    <w:rsid w:val="00F75460"/>
    <w:rsid w:val="00F75525"/>
    <w:rsid w:val="00F75900"/>
    <w:rsid w:val="00F75A26"/>
    <w:rsid w:val="00F81F7A"/>
    <w:rsid w:val="00F82104"/>
    <w:rsid w:val="00F82673"/>
    <w:rsid w:val="00F82BFA"/>
    <w:rsid w:val="00F83A0E"/>
    <w:rsid w:val="00F83FAD"/>
    <w:rsid w:val="00F90E23"/>
    <w:rsid w:val="00F9197B"/>
    <w:rsid w:val="00F91DC6"/>
    <w:rsid w:val="00F93BF0"/>
    <w:rsid w:val="00F952A0"/>
    <w:rsid w:val="00F96A85"/>
    <w:rsid w:val="00F97091"/>
    <w:rsid w:val="00F97C67"/>
    <w:rsid w:val="00FA1C20"/>
    <w:rsid w:val="00FA3C7F"/>
    <w:rsid w:val="00FA6A33"/>
    <w:rsid w:val="00FB01E5"/>
    <w:rsid w:val="00FB1A65"/>
    <w:rsid w:val="00FB2F0E"/>
    <w:rsid w:val="00FB2FB1"/>
    <w:rsid w:val="00FB43A2"/>
    <w:rsid w:val="00FB52D7"/>
    <w:rsid w:val="00FB6617"/>
    <w:rsid w:val="00FB74E2"/>
    <w:rsid w:val="00FC7DC7"/>
    <w:rsid w:val="00FD2658"/>
    <w:rsid w:val="00FD273B"/>
    <w:rsid w:val="00FD5614"/>
    <w:rsid w:val="00FD7474"/>
    <w:rsid w:val="00FD7970"/>
    <w:rsid w:val="00FE0BE1"/>
    <w:rsid w:val="00FE0F17"/>
    <w:rsid w:val="00FE1164"/>
    <w:rsid w:val="00FE1DE9"/>
    <w:rsid w:val="00FE38E5"/>
    <w:rsid w:val="00FE39C2"/>
    <w:rsid w:val="00FE4D7B"/>
    <w:rsid w:val="00FE5E61"/>
    <w:rsid w:val="00FE6417"/>
    <w:rsid w:val="00FE64AE"/>
    <w:rsid w:val="00FE700E"/>
    <w:rsid w:val="00FF0B92"/>
    <w:rsid w:val="00FF3B40"/>
    <w:rsid w:val="00FF7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next w:val="Heading2"/>
    <w:qFormat/>
    <w:rsid w:val="002E1113"/>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5"/>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30"/>
      </w:numPr>
      <w:tabs>
        <w:tab w:val="left" w:pos="680"/>
      </w:tabs>
    </w:pPr>
  </w:style>
  <w:style w:type="paragraph" w:customStyle="1" w:styleId="Numbered11">
    <w:name w:val="Numbered 1.1"/>
    <w:basedOn w:val="Heading2"/>
    <w:next w:val="Normal"/>
    <w:qFormat/>
    <w:rsid w:val="00F61B84"/>
    <w:pPr>
      <w:numPr>
        <w:ilvl w:val="1"/>
        <w:numId w:val="30"/>
      </w:numPr>
      <w:tabs>
        <w:tab w:val="left" w:pos="1021"/>
      </w:tabs>
    </w:pPr>
    <w:rPr>
      <w:rFonts w:cs="Arial"/>
      <w:b w:val="0"/>
    </w:rPr>
  </w:style>
  <w:style w:type="paragraph" w:customStyle="1" w:styleId="Numbered111">
    <w:name w:val="Numbered 1.1.1"/>
    <w:basedOn w:val="Heading3"/>
    <w:next w:val="Normal"/>
    <w:qFormat/>
    <w:rsid w:val="00F61B84"/>
    <w:pPr>
      <w:numPr>
        <w:ilvl w:val="2"/>
        <w:numId w:val="30"/>
      </w:numPr>
      <w:tabs>
        <w:tab w:val="left" w:pos="1361"/>
      </w:tabs>
      <w:contextualSpacing/>
    </w:pPr>
  </w:style>
  <w:style w:type="paragraph" w:customStyle="1" w:styleId="Numbered1111">
    <w:name w:val="Numbered 1.1.1.1"/>
    <w:basedOn w:val="Heading4"/>
    <w:next w:val="Normal"/>
    <w:rsid w:val="00F61B84"/>
    <w:pPr>
      <w:numPr>
        <w:ilvl w:val="3"/>
        <w:numId w:val="30"/>
      </w:numPr>
      <w:tabs>
        <w:tab w:val="left" w:pos="1361"/>
      </w:tabs>
    </w:pPr>
  </w:style>
  <w:style w:type="paragraph" w:customStyle="1" w:styleId="Numbered11111">
    <w:name w:val="Numbered 1.1.1.1.1"/>
    <w:basedOn w:val="Heading5"/>
    <w:next w:val="Normal"/>
    <w:uiPriority w:val="2"/>
    <w:rsid w:val="00F61B84"/>
    <w:pPr>
      <w:numPr>
        <w:ilvl w:val="4"/>
        <w:numId w:val="30"/>
      </w:numPr>
      <w:tabs>
        <w:tab w:val="left" w:pos="1701"/>
      </w:tabs>
    </w:pPr>
  </w:style>
  <w:style w:type="paragraph" w:customStyle="1" w:styleId="Numbered111111">
    <w:name w:val="Numbered 1.1.1.1.1.1"/>
    <w:basedOn w:val="Heading6"/>
    <w:next w:val="Normal"/>
    <w:uiPriority w:val="2"/>
    <w:rsid w:val="00F61B84"/>
    <w:pPr>
      <w:numPr>
        <w:ilvl w:val="5"/>
        <w:numId w:val="30"/>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9018A3"/>
    <w:pPr>
      <w:numPr>
        <w:numId w:val="46"/>
      </w:numPr>
    </w:pPr>
  </w:style>
  <w:style w:type="paragraph" w:styleId="ListBullet">
    <w:name w:val="List Bullet"/>
    <w:basedOn w:val="Normal"/>
    <w:uiPriority w:val="99"/>
    <w:rsid w:val="00DC542F"/>
    <w:pPr>
      <w:numPr>
        <w:numId w:val="9"/>
      </w:numPr>
      <w:tabs>
        <w:tab w:val="left" w:pos="340"/>
      </w:tabs>
      <w:spacing w:before="120"/>
      <w:ind w:left="340" w:hanging="340"/>
    </w:pPr>
  </w:style>
  <w:style w:type="paragraph" w:customStyle="1" w:styleId="Bulletpoint2">
    <w:name w:val="Bullet point 2"/>
    <w:basedOn w:val="ListBullet2"/>
    <w:uiPriority w:val="1"/>
    <w:qFormat/>
    <w:rsid w:val="00E4674F"/>
    <w:pPr>
      <w:numPr>
        <w:numId w:val="8"/>
      </w:numPr>
      <w:tabs>
        <w:tab w:val="left" w:pos="680"/>
      </w:tabs>
      <w:ind w:left="680" w:hanging="340"/>
    </w:pPr>
  </w:style>
  <w:style w:type="paragraph" w:styleId="ListNumber">
    <w:name w:val="List Number"/>
    <w:basedOn w:val="Normal"/>
    <w:uiPriority w:val="99"/>
    <w:rsid w:val="000F2368"/>
    <w:pPr>
      <w:numPr>
        <w:numId w:val="21"/>
      </w:numPr>
      <w:spacing w:before="120"/>
    </w:pPr>
    <w:rPr>
      <w:color w:val="000000"/>
    </w:rPr>
  </w:style>
  <w:style w:type="paragraph" w:styleId="ListBullet2">
    <w:name w:val="List Bullet 2"/>
    <w:basedOn w:val="Normal"/>
    <w:uiPriority w:val="99"/>
    <w:rsid w:val="00DC542F"/>
    <w:pPr>
      <w:numPr>
        <w:numId w:val="2"/>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2"/>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0"/>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numPr>
        <w:ilvl w:val="6"/>
        <w:numId w:val="30"/>
      </w:numPr>
      <w:tabs>
        <w:tab w:val="left" w:pos="2041"/>
      </w:tabs>
    </w:pPr>
  </w:style>
  <w:style w:type="paragraph" w:customStyle="1" w:styleId="Numbered11111111">
    <w:name w:val="Numbered 1.1.1.1.1.1.1.1"/>
    <w:basedOn w:val="Heading8"/>
    <w:next w:val="Normal"/>
    <w:uiPriority w:val="2"/>
    <w:rsid w:val="00F61B84"/>
    <w:pPr>
      <w:numPr>
        <w:ilvl w:val="7"/>
        <w:numId w:val="30"/>
      </w:num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ilvl w:val="8"/>
        <w:numId w:val="3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3"/>
      </w:numPr>
      <w:tabs>
        <w:tab w:val="clear" w:pos="926"/>
        <w:tab w:val="num" w:pos="1021"/>
      </w:tabs>
      <w:spacing w:before="120"/>
      <w:ind w:left="1020" w:hanging="340"/>
    </w:pPr>
  </w:style>
  <w:style w:type="paragraph" w:styleId="ListBullet4">
    <w:name w:val="List Bullet 4"/>
    <w:basedOn w:val="Normal"/>
    <w:uiPriority w:val="99"/>
    <w:rsid w:val="00547CCF"/>
    <w:pPr>
      <w:numPr>
        <w:numId w:val="4"/>
      </w:numPr>
      <w:tabs>
        <w:tab w:val="clear" w:pos="1209"/>
        <w:tab w:val="num" w:pos="1361"/>
      </w:tabs>
      <w:spacing w:before="120"/>
      <w:ind w:left="1361" w:hanging="340"/>
    </w:pPr>
  </w:style>
  <w:style w:type="paragraph" w:styleId="ListBullet5">
    <w:name w:val="List Bullet 5"/>
    <w:basedOn w:val="Normal"/>
    <w:uiPriority w:val="99"/>
    <w:rsid w:val="00547CCF"/>
    <w:pPr>
      <w:numPr>
        <w:numId w:val="5"/>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2"/>
      </w:numPr>
      <w:tabs>
        <w:tab w:val="left" w:pos="1021"/>
      </w:tabs>
      <w:spacing w:before="120"/>
    </w:pPr>
  </w:style>
  <w:style w:type="paragraph" w:styleId="ListNumber4">
    <w:name w:val="List Number 4"/>
    <w:basedOn w:val="Normal"/>
    <w:uiPriority w:val="99"/>
    <w:rsid w:val="00BE4C99"/>
    <w:pPr>
      <w:numPr>
        <w:numId w:val="6"/>
      </w:numPr>
      <w:tabs>
        <w:tab w:val="left" w:pos="1701"/>
      </w:tabs>
      <w:spacing w:before="120"/>
    </w:pPr>
  </w:style>
  <w:style w:type="paragraph" w:styleId="ListNumber5">
    <w:name w:val="List Number 5"/>
    <w:basedOn w:val="Normal"/>
    <w:uiPriority w:val="99"/>
    <w:rsid w:val="00BE4C99"/>
    <w:pPr>
      <w:numPr>
        <w:numId w:val="7"/>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1"/>
      </w:numPr>
      <w:tabs>
        <w:tab w:val="left" w:pos="680"/>
      </w:tabs>
      <w:spacing w:before="120"/>
    </w:pPr>
    <w:rPr>
      <w:sz w:val="22"/>
      <w:szCs w:val="22"/>
      <w:lang w:eastAsia="en-US"/>
    </w:rPr>
  </w:style>
  <w:style w:type="paragraph" w:customStyle="1" w:styleId="Listalphabet3">
    <w:name w:val="List alphabet 3"/>
    <w:rsid w:val="00CF799E"/>
    <w:pPr>
      <w:numPr>
        <w:numId w:val="17"/>
      </w:numPr>
      <w:tabs>
        <w:tab w:val="left" w:pos="1021"/>
      </w:tabs>
      <w:spacing w:before="120"/>
    </w:pPr>
    <w:rPr>
      <w:sz w:val="22"/>
      <w:szCs w:val="22"/>
      <w:lang w:eastAsia="en-US"/>
    </w:rPr>
  </w:style>
  <w:style w:type="paragraph" w:customStyle="1" w:styleId="Listalphabet4">
    <w:name w:val="List alphabet 4"/>
    <w:rsid w:val="00CF799E"/>
    <w:pPr>
      <w:numPr>
        <w:numId w:val="18"/>
      </w:numPr>
      <w:tabs>
        <w:tab w:val="left" w:pos="1361"/>
      </w:tabs>
      <w:spacing w:before="120"/>
    </w:pPr>
    <w:rPr>
      <w:sz w:val="22"/>
      <w:szCs w:val="22"/>
      <w:lang w:eastAsia="en-US"/>
    </w:rPr>
  </w:style>
  <w:style w:type="paragraph" w:customStyle="1" w:styleId="Listalphabet5">
    <w:name w:val="List alphabet 5"/>
    <w:rsid w:val="00CF799E"/>
    <w:pPr>
      <w:numPr>
        <w:numId w:val="19"/>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0"/>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3"/>
      </w:numPr>
      <w:tabs>
        <w:tab w:val="clear" w:pos="340"/>
        <w:tab w:val="left" w:pos="680"/>
      </w:tabs>
    </w:pPr>
  </w:style>
  <w:style w:type="paragraph" w:customStyle="1" w:styleId="ListLegal2">
    <w:name w:val="List Legal 2"/>
    <w:basedOn w:val="ListLegal"/>
    <w:rsid w:val="00C06739"/>
    <w:pPr>
      <w:numPr>
        <w:numId w:val="14"/>
      </w:numPr>
      <w:tabs>
        <w:tab w:val="clear" w:pos="680"/>
        <w:tab w:val="left" w:pos="1021"/>
      </w:tabs>
    </w:pPr>
  </w:style>
  <w:style w:type="paragraph" w:customStyle="1" w:styleId="ListLegal3">
    <w:name w:val="List Legal 3"/>
    <w:basedOn w:val="ListNumber3"/>
    <w:rsid w:val="00CF799E"/>
    <w:pPr>
      <w:numPr>
        <w:numId w:val="13"/>
      </w:numPr>
      <w:tabs>
        <w:tab w:val="clear" w:pos="1021"/>
        <w:tab w:val="left" w:pos="1361"/>
      </w:tabs>
    </w:pPr>
  </w:style>
  <w:style w:type="paragraph" w:customStyle="1" w:styleId="ListLegal4">
    <w:name w:val="List Legal 4"/>
    <w:basedOn w:val="ListLegal3"/>
    <w:rsid w:val="00CF799E"/>
    <w:pPr>
      <w:numPr>
        <w:numId w:val="15"/>
      </w:numPr>
      <w:tabs>
        <w:tab w:val="clear" w:pos="1361"/>
        <w:tab w:val="left" w:pos="1701"/>
      </w:tabs>
    </w:pPr>
  </w:style>
  <w:style w:type="paragraph" w:customStyle="1" w:styleId="ListLegal5">
    <w:name w:val="List Legal 5"/>
    <w:basedOn w:val="ListLegal4"/>
    <w:rsid w:val="000F2368"/>
    <w:pPr>
      <w:numPr>
        <w:numId w:val="24"/>
      </w:numPr>
      <w:tabs>
        <w:tab w:val="clear" w:pos="1701"/>
        <w:tab w:val="left" w:pos="2041"/>
      </w:tabs>
    </w:pPr>
  </w:style>
  <w:style w:type="paragraph" w:customStyle="1" w:styleId="LegalNumbering">
    <w:name w:val="Legal Numbering"/>
    <w:basedOn w:val="Normal"/>
    <w:qFormat/>
    <w:rsid w:val="0002115F"/>
    <w:pPr>
      <w:numPr>
        <w:numId w:val="16"/>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 w:type="table" w:customStyle="1" w:styleId="TableGrid1">
    <w:name w:val="Table Grid1"/>
    <w:basedOn w:val="TableNormal"/>
    <w:next w:val="TableGrid"/>
    <w:uiPriority w:val="59"/>
    <w:rsid w:val="005406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CTable1">
    <w:name w:val="ACCC Table1"/>
    <w:basedOn w:val="TableNormal"/>
    <w:next w:val="TableGrid"/>
    <w:uiPriority w:val="59"/>
    <w:rsid w:val="00E10727"/>
    <w:pPr>
      <w:spacing w:before="60" w:after="60"/>
    </w:pPr>
    <w:rPr>
      <w:rFonts w:eastAsia="Cambria"/>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386488279">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au/url?sa=i&amp;rct=j&amp;q=&amp;esrc=s&amp;source=images&amp;cd=&amp;cad=rja&amp;uact=8&amp;ved=0ahUKEwjl_JOxkanOAhXFM48KHWLBAgIQjRwIBw&amp;url=http://www.thecuresafety.com/Hand_Safety_s/307.htm&amp;bvm=bv.128987424,bs.1,d.amc&amp;psig=AFQjCNEeKmZSKwI3DDWm_Jq9dvK1XQ9pXQ&amp;ust=1470447340167970" TargetMode="External"/><Relationship Id="rId18" Type="http://schemas.openxmlformats.org/officeDocument/2006/relationships/hyperlink" Target="http://www.business.gov.a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hyperlink" Target="http://www.productsafety.gov.au/" TargetMode="External"/><Relationship Id="rId2" Type="http://schemas.openxmlformats.org/officeDocument/2006/relationships/customXml" Target="../customXml/item2.xml"/><Relationship Id="rId16" Type="http://schemas.openxmlformats.org/officeDocument/2006/relationships/hyperlink" Target="https://consultation.acc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google.com.au/url?sa=i&amp;rct=j&amp;q=&amp;esrc=s&amp;source=images&amp;cd=&amp;cad=rja&amp;uact=8&amp;ved=0ahUKEwjl_JOxkanOAhXFM48KHWLBAgIQjRwIBw&amp;url=http://www.thecuresafety.com/Hand_Safety_s/307.htm&amp;bvm=bv.128987424,bs.1,d.amc&amp;psig=AFQjCNEeKmZSKwI3DDWm_Jq9dvK1XQ9pXQ&amp;ust=147044734016797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productsafety.regulation@acc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392B9-80DE-4FFD-AD0E-A2A70051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511F9180</Template>
  <TotalTime>1</TotalTime>
  <Pages>11</Pages>
  <Words>2793</Words>
  <Characters>15926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18682</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Kaloudis, Janelle</cp:lastModifiedBy>
  <cp:revision>2</cp:revision>
  <cp:lastPrinted>2016-08-19T00:10:00Z</cp:lastPrinted>
  <dcterms:created xsi:type="dcterms:W3CDTF">2016-10-12T02:24:00Z</dcterms:created>
  <dcterms:modified xsi:type="dcterms:W3CDTF">2016-10-12T02:24:00Z</dcterms:modified>
</cp:coreProperties>
</file>