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9" w:rsidRDefault="002E2ECA" w:rsidP="00935D49">
      <w:bookmarkStart w:id="0" w:name="_GoBack"/>
      <w:bookmarkEnd w:id="0"/>
      <w:r>
        <w:rPr>
          <w:noProof/>
        </w:rPr>
        <w:pict>
          <v:rect id="Rectangle 7" o:spid="_x0000_s1026" style="position:absolute;margin-left:-51pt;margin-top:-50.5pt;width:555.75pt;height:800.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" fillcolor="#d5d6d2" stroked="f" strokeweight="2pt"/>
        </w:pict>
      </w:r>
      <w:r w:rsidR="00935D49">
        <w:t xml:space="preserve"> </w: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tle: ACCC Logo" style="width:214.5pt;height:47.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">
            <v:imagedata r:id="rId10" o:title=""/>
          </v:shape>
        </w:pict>
      </w:r>
    </w:p>
    <w:p w:rsidR="00935D49" w:rsidRPr="005E6C0E" w:rsidRDefault="00935D49" w:rsidP="00935D49"/>
    <w:tbl>
      <w:tblPr>
        <w:tblW w:w="0" w:type="auto"/>
        <w:tblLook w:val="0400" w:firstRow="0" w:lastRow="0" w:firstColumn="0" w:lastColumn="0" w:noHBand="0" w:noVBand="1"/>
      </w:tblPr>
      <w:tblGrid>
        <w:gridCol w:w="9242"/>
      </w:tblGrid>
      <w:tr w:rsidR="00935D49" w:rsidRPr="00DD7648" w:rsidTr="00532F49">
        <w:trPr>
          <w:trHeight w:val="2230"/>
        </w:trPr>
        <w:tc>
          <w:tcPr>
            <w:tcW w:w="9242" w:type="dxa"/>
            <w:shd w:val="clear" w:color="auto" w:fill="auto"/>
          </w:tcPr>
          <w:p w:rsidR="00935D49" w:rsidRPr="00DD7648" w:rsidRDefault="00935D49" w:rsidP="00DD7648">
            <w:pPr>
              <w:spacing w:before="720" w:after="60"/>
              <w:contextualSpacing/>
              <w:outlineLvl w:val="0"/>
              <w:rPr>
                <w:rFonts w:ascii="Lucida Fax" w:eastAsia="Times New Roman" w:hAnsi="Lucida Fax"/>
                <w:color w:val="4F2D7D"/>
                <w:spacing w:val="5"/>
                <w:kern w:val="28"/>
                <w:sz w:val="72"/>
                <w:szCs w:val="52"/>
              </w:rPr>
            </w:pPr>
          </w:p>
        </w:tc>
      </w:tr>
      <w:tr w:rsidR="00935D49" w:rsidRPr="00DD7648" w:rsidTr="00DD7648">
        <w:tc>
          <w:tcPr>
            <w:tcW w:w="9242" w:type="dxa"/>
            <w:shd w:val="clear" w:color="auto" w:fill="auto"/>
          </w:tcPr>
          <w:p w:rsidR="00935D49" w:rsidRPr="00532F49" w:rsidRDefault="00566461" w:rsidP="00242590">
            <w:pPr>
              <w:pStyle w:val="NoSpacing"/>
              <w:spacing w:before="60" w:after="60"/>
              <w:rPr>
                <w:rFonts w:ascii="Lucida Fax" w:hAnsi="Lucida Fax"/>
                <w:color w:val="4F2D7D"/>
                <w:sz w:val="72"/>
                <w:szCs w:val="72"/>
              </w:rPr>
            </w:pPr>
            <w:r w:rsidRPr="00532F49">
              <w:rPr>
                <w:rFonts w:ascii="Lucida Fax" w:hAnsi="Lucida Fax"/>
                <w:color w:val="4F2D7D"/>
                <w:sz w:val="72"/>
                <w:szCs w:val="72"/>
              </w:rPr>
              <w:t>Review of</w:t>
            </w:r>
            <w:r w:rsidR="00E72B9B" w:rsidRPr="00532F49">
              <w:rPr>
                <w:rFonts w:ascii="Lucida Fax" w:hAnsi="Lucida Fax"/>
                <w:color w:val="4F2D7D"/>
                <w:sz w:val="72"/>
                <w:szCs w:val="72"/>
              </w:rPr>
              <w:t xml:space="preserve"> </w:t>
            </w:r>
            <w:r w:rsidR="00532F49">
              <w:rPr>
                <w:rFonts w:ascii="Lucida Fax" w:hAnsi="Lucida Fax"/>
                <w:color w:val="4F2D7D"/>
                <w:sz w:val="72"/>
                <w:szCs w:val="72"/>
              </w:rPr>
              <w:t xml:space="preserve">the </w:t>
            </w:r>
            <w:r w:rsidR="00E72B9B" w:rsidRPr="00532F49">
              <w:rPr>
                <w:rFonts w:ascii="Lucida Fax" w:hAnsi="Lucida Fax"/>
                <w:color w:val="4F2D7D"/>
                <w:sz w:val="72"/>
                <w:szCs w:val="72"/>
              </w:rPr>
              <w:t>mandatory</w:t>
            </w:r>
            <w:r w:rsidR="00242590" w:rsidRPr="00532F49">
              <w:rPr>
                <w:rFonts w:ascii="Lucida Fax" w:hAnsi="Lucida Fax"/>
                <w:color w:val="4F2D7D"/>
                <w:sz w:val="72"/>
                <w:szCs w:val="72"/>
              </w:rPr>
              <w:t xml:space="preserve"> </w:t>
            </w:r>
            <w:r w:rsidR="003A4CB3" w:rsidRPr="00532F49">
              <w:rPr>
                <w:rFonts w:ascii="Lucida Fax" w:hAnsi="Lucida Fax"/>
                <w:color w:val="4F2D7D"/>
                <w:sz w:val="72"/>
                <w:szCs w:val="72"/>
              </w:rPr>
              <w:t xml:space="preserve">safety </w:t>
            </w:r>
            <w:r w:rsidR="00242590" w:rsidRPr="00532F49">
              <w:rPr>
                <w:rFonts w:ascii="Lucida Fax" w:hAnsi="Lucida Fax"/>
                <w:color w:val="4F2D7D"/>
                <w:sz w:val="72"/>
                <w:szCs w:val="72"/>
              </w:rPr>
              <w:t>standard</w:t>
            </w:r>
            <w:r w:rsidR="00591AA3" w:rsidRPr="00532F49">
              <w:rPr>
                <w:rFonts w:ascii="Lucida Fax" w:hAnsi="Lucida Fax"/>
                <w:color w:val="4F2D7D"/>
                <w:sz w:val="72"/>
                <w:szCs w:val="72"/>
              </w:rPr>
              <w:t xml:space="preserve"> for balloon blowing kits</w:t>
            </w:r>
          </w:p>
          <w:p w:rsidR="00935D49" w:rsidRPr="00DD7648" w:rsidRDefault="00935D49" w:rsidP="00DD7648">
            <w:pPr>
              <w:pStyle w:val="NoSpacing"/>
              <w:spacing w:before="60" w:after="60"/>
              <w:rPr>
                <w:rFonts w:ascii="Lucida Fax" w:hAnsi="Lucida Fax"/>
                <w:color w:val="4F2D7D"/>
                <w:sz w:val="52"/>
                <w:szCs w:val="52"/>
              </w:rPr>
            </w:pPr>
          </w:p>
          <w:p w:rsidR="00935D49" w:rsidRPr="00DD7648" w:rsidRDefault="00935D49" w:rsidP="00DD7648">
            <w:pPr>
              <w:pStyle w:val="NoSpacing"/>
              <w:spacing w:before="60" w:after="60"/>
              <w:rPr>
                <w:rFonts w:ascii="Lucida Fax" w:hAnsi="Lucida Fax"/>
                <w:color w:val="4F2D7D"/>
                <w:sz w:val="52"/>
                <w:szCs w:val="52"/>
              </w:rPr>
            </w:pPr>
            <w:r w:rsidRPr="00DD7648">
              <w:rPr>
                <w:rFonts w:ascii="Lucida Fax" w:hAnsi="Lucida Fax"/>
                <w:color w:val="4F2D7D"/>
                <w:sz w:val="52"/>
                <w:szCs w:val="52"/>
              </w:rPr>
              <w:t xml:space="preserve">Consultation </w:t>
            </w:r>
            <w:r w:rsidR="00063F9F">
              <w:rPr>
                <w:rFonts w:ascii="Lucida Fax" w:hAnsi="Lucida Fax"/>
                <w:color w:val="4F2D7D"/>
                <w:sz w:val="52"/>
                <w:szCs w:val="52"/>
              </w:rPr>
              <w:t>paper</w:t>
            </w:r>
          </w:p>
          <w:p w:rsidR="00D44E1E" w:rsidRDefault="00D44E1E" w:rsidP="00DD7648">
            <w:pPr>
              <w:pStyle w:val="NoSpacing"/>
              <w:spacing w:before="60" w:after="60"/>
            </w:pPr>
          </w:p>
          <w:p w:rsidR="00935D49" w:rsidRPr="00D44E1E" w:rsidRDefault="00F90C03" w:rsidP="00DD7648">
            <w:pPr>
              <w:pStyle w:val="NoSpacing"/>
              <w:spacing w:before="60" w:after="60"/>
              <w:rPr>
                <w:rFonts w:ascii="Lucida Fax" w:hAnsi="Lucida Fax"/>
                <w:color w:val="FF0000"/>
                <w:sz w:val="24"/>
                <w:szCs w:val="24"/>
              </w:rPr>
            </w:pPr>
            <w:r>
              <w:rPr>
                <w:rFonts w:ascii="Lucida Fax" w:hAnsi="Lucida Fax"/>
                <w:color w:val="FF0000"/>
                <w:sz w:val="24"/>
                <w:szCs w:val="24"/>
              </w:rPr>
              <w:t>December</w:t>
            </w:r>
            <w:r w:rsidRPr="00D44E1E">
              <w:rPr>
                <w:rFonts w:ascii="Lucida Fax" w:hAnsi="Lucida Fax"/>
                <w:color w:val="FF0000"/>
                <w:sz w:val="24"/>
                <w:szCs w:val="24"/>
              </w:rPr>
              <w:t xml:space="preserve"> </w:t>
            </w:r>
            <w:r w:rsidR="00D44E1E" w:rsidRPr="00D44E1E">
              <w:rPr>
                <w:rFonts w:ascii="Lucida Fax" w:hAnsi="Lucida Fax"/>
                <w:color w:val="FF0000"/>
                <w:sz w:val="24"/>
                <w:szCs w:val="24"/>
              </w:rPr>
              <w:t>2016</w:t>
            </w:r>
          </w:p>
          <w:p w:rsidR="00D44E1E" w:rsidRPr="00DD7648" w:rsidRDefault="00D44E1E" w:rsidP="00D44E1E">
            <w:pPr>
              <w:pStyle w:val="NoSpacing"/>
              <w:spacing w:before="60" w:after="60"/>
              <w:jc w:val="center"/>
              <w:rPr>
                <w:rFonts w:ascii="Lucida Fax" w:hAnsi="Lucida Fax"/>
                <w:sz w:val="52"/>
                <w:szCs w:val="52"/>
              </w:rPr>
            </w:pPr>
          </w:p>
        </w:tc>
      </w:tr>
      <w:tr w:rsidR="00935D49" w:rsidRPr="00DD7648" w:rsidTr="00DD7648">
        <w:tc>
          <w:tcPr>
            <w:tcW w:w="9242" w:type="dxa"/>
            <w:shd w:val="clear" w:color="auto" w:fill="auto"/>
          </w:tcPr>
          <w:p w:rsidR="00935D49" w:rsidRPr="00DD7648" w:rsidRDefault="00935D49" w:rsidP="00D44E1E">
            <w:pPr>
              <w:pStyle w:val="CoverDate"/>
              <w:spacing w:before="60" w:after="60"/>
              <w:jc w:val="center"/>
            </w:pPr>
          </w:p>
          <w:p w:rsidR="00935D49" w:rsidRPr="00DD7648" w:rsidRDefault="002E2ECA" w:rsidP="00242590">
            <w:pPr>
              <w:pStyle w:val="CoverDate"/>
              <w:spacing w:before="60" w:after="60"/>
              <w:jc w:val="center"/>
            </w:pPr>
            <w:hyperlink r:id="rId11" w:history="1">
              <w:r>
                <w:rPr>
                  <w:rFonts w:ascii="Source Sans Pro" w:hAnsi="Source Sans Pro" w:cs="Arial"/>
                  <w:noProof/>
                  <w:color w:val="30808F"/>
                  <w:lang w:eastAsia="en-AU"/>
                </w:rPr>
                <w:pict>
                  <v:shape id="_x0000_i1026" type="#_x0000_t75" alt="Balloon blowing kits" href="http://rc.psa.appsdev/products/babies-kids/toys/balloon-blowing-kits" style="width:170.25pt;height:170.25pt;visibility:visible;mso-wrap-style:square" o:button="t">
                    <v:imagedata r:id="rId12" o:title="Balloon blowing kits"/>
                  </v:shape>
                </w:pict>
              </w:r>
            </w:hyperlink>
          </w:p>
          <w:p w:rsidR="00935D49" w:rsidRPr="00DD7648" w:rsidRDefault="00935D49" w:rsidP="00DD7648">
            <w:pPr>
              <w:pStyle w:val="CoverDate"/>
              <w:spacing w:before="60" w:after="60"/>
            </w:pPr>
          </w:p>
          <w:p w:rsidR="00935D49" w:rsidRPr="00DD7648" w:rsidRDefault="00935D49" w:rsidP="00DD7648">
            <w:pPr>
              <w:pStyle w:val="CoverDate"/>
              <w:spacing w:before="60" w:after="60"/>
            </w:pPr>
          </w:p>
          <w:p w:rsidR="00935D49" w:rsidRPr="00DD7648" w:rsidRDefault="00935D49" w:rsidP="00DD7648">
            <w:pPr>
              <w:pStyle w:val="CoverDate"/>
              <w:spacing w:before="60" w:after="60"/>
            </w:pPr>
          </w:p>
        </w:tc>
      </w:tr>
    </w:tbl>
    <w:p w:rsidR="00935D49" w:rsidRDefault="00935D49" w:rsidP="00262A59"/>
    <w:p w:rsidR="0022438B" w:rsidRDefault="0022438B">
      <w:pPr>
        <w:pStyle w:val="TOC1"/>
        <w:rPr>
          <w:b/>
        </w:rPr>
      </w:pPr>
    </w:p>
    <w:p w:rsidR="0022438B" w:rsidRDefault="0022438B">
      <w:pPr>
        <w:pStyle w:val="TOC1"/>
        <w:rPr>
          <w: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551E4C" w:rsidRDefault="00551E4C" w:rsidP="00867A05">
      <w:pPr>
        <w:rPr>
          <w:rFonts w:eastAsia="Calibri" w:cs="Arial"/>
          <w:u w:val="single"/>
          <w:lang w:val="en-GB"/>
        </w:rPr>
      </w:pPr>
    </w:p>
    <w:p w:rsidR="00532F49" w:rsidRDefault="00532F49" w:rsidP="0022438B">
      <w:pPr>
        <w:jc w:val="center"/>
        <w:rPr>
          <w:rFonts w:eastAsia="Calibri" w:cs="Arial"/>
          <w:u w:val="single"/>
          <w:lang w:val="en-GB"/>
        </w:rPr>
      </w:pPr>
    </w:p>
    <w:p w:rsidR="0022438B" w:rsidRPr="0022438B" w:rsidRDefault="0022438B" w:rsidP="000C44EE">
      <w:pPr>
        <w:ind w:left="3400"/>
        <w:rPr>
          <w:rFonts w:eastAsia="Calibri" w:cs="Arial"/>
          <w:u w:val="single"/>
          <w:lang w:val="en-GB"/>
        </w:rPr>
      </w:pPr>
      <w:r w:rsidRPr="0022438B">
        <w:rPr>
          <w:rFonts w:eastAsia="Calibri" w:cs="Arial"/>
          <w:u w:val="single"/>
          <w:lang w:val="en-GB"/>
        </w:rPr>
        <w:t>Disclaimer</w:t>
      </w:r>
    </w:p>
    <w:p w:rsidR="0022438B" w:rsidRDefault="0022438B">
      <w:pPr>
        <w:pStyle w:val="TOC1"/>
        <w:rPr>
          <w:b/>
        </w:rPr>
      </w:pPr>
    </w:p>
    <w:p w:rsidR="0022438B" w:rsidRDefault="002E2ECA">
      <w:pPr>
        <w:pStyle w:val="TOC1"/>
        <w:rPr>
          <w:b/>
        </w:rPr>
      </w:pPr>
      <w:r>
        <w:pict>
          <v:shapetype id="_x0000_t202" coordsize="21600,21600" o:spt="202" path="m,l,21600r21600,l21600,xe">
            <v:stroke joinstyle="miter"/>
            <v:path gradientshapeok="t" o:connecttype="rect"/>
          </v:shapetype>
          <v:shape id="_x0000_s1034" type="#_x0000_t202" style="position:absolute;margin-left:0;margin-top:0;width:2in;height:2in;z-index:251661824;mso-wrap-style:none;mso-position-horizontal-relative:text;mso-position-vertical-relative:text">
            <v:textbox style="mso-next-textbox:#_x0000_s1034;mso-fit-shape-to-text:t">
              <w:txbxContent>
                <w:p w:rsidR="00281344" w:rsidRPr="004F2078" w:rsidRDefault="00281344" w:rsidP="0022438B">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w:t>
                  </w:r>
                  <w:r>
                    <w:rPr>
                      <w:rFonts w:eastAsia="Calibri" w:cs="Arial"/>
                      <w:sz w:val="20"/>
                      <w:szCs w:val="20"/>
                      <w:lang w:val="en-GB"/>
                    </w:rPr>
                    <w:t xml:space="preserve">mandatory </w:t>
                  </w:r>
                  <w:r w:rsidRPr="004F2078">
                    <w:rPr>
                      <w:rFonts w:eastAsia="Calibri" w:cs="Arial"/>
                      <w:sz w:val="20"/>
                      <w:szCs w:val="20"/>
                      <w:lang w:val="en-GB"/>
                    </w:rPr>
                    <w:t xml:space="preserve">safety standard for </w:t>
                  </w:r>
                  <w:r>
                    <w:rPr>
                      <w:rFonts w:eastAsia="Calibri" w:cs="Arial"/>
                      <w:sz w:val="20"/>
                      <w:szCs w:val="20"/>
                      <w:lang w:val="en-GB"/>
                    </w:rPr>
                    <w:t>balloon blowing kits</w:t>
                  </w:r>
                  <w:r w:rsidRPr="004F2078">
                    <w:rPr>
                      <w:rFonts w:eastAsia="Calibri" w:cs="Arial"/>
                      <w:sz w:val="20"/>
                      <w:szCs w:val="20"/>
                      <w:lang w:val="en-GB"/>
                    </w:rPr>
                    <w:t>.</w:t>
                  </w:r>
                </w:p>
                <w:p w:rsidR="00281344" w:rsidRPr="004F2078" w:rsidRDefault="00281344" w:rsidP="00281344">
                  <w:pPr>
                    <w:spacing w:before="120" w:after="120"/>
                    <w:rPr>
                      <w:rFonts w:eastAsia="Calibri" w:cs="Arial"/>
                      <w:sz w:val="20"/>
                      <w:szCs w:val="20"/>
                    </w:rPr>
                  </w:pPr>
                  <w:r w:rsidRPr="004F2078">
                    <w:rPr>
                      <w:rFonts w:eastAsia="Calibri" w:cs="Arial"/>
                      <w:sz w:val="20"/>
                      <w:szCs w:val="20"/>
                    </w:rPr>
                    <w:t xml:space="preserve">© Commonwealth of Australia 2016. </w:t>
                  </w:r>
                  <w:r w:rsidRPr="004F2078">
                    <w:rPr>
                      <w:rFonts w:eastAsia="Calibri" w:cs="Arial"/>
                      <w:sz w:val="20"/>
                      <w:szCs w:val="20"/>
                      <w:lang w:val="en-GB"/>
                    </w:rPr>
                    <w:t>All material contained within this work is provided under a Creative Commons Attribution 3.0 Australia licence (</w:t>
                  </w:r>
                  <w:hyperlink r:id="rId13"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w:r>
    </w:p>
    <w:p w:rsidR="0022438B" w:rsidRDefault="0022438B">
      <w:pPr>
        <w:pStyle w:val="TOC1"/>
        <w:rPr>
          <w:b/>
        </w:rPr>
      </w:pPr>
    </w:p>
    <w:p w:rsidR="00AF2073" w:rsidRDefault="00AF2073">
      <w:pPr>
        <w:pStyle w:val="TOC1"/>
        <w:rPr>
          <w:rFonts w:eastAsia="Calibri"/>
        </w:rPr>
      </w:pPr>
      <w:r w:rsidRPr="00DB6C88">
        <w:rPr>
          <w:b/>
        </w:rPr>
        <w:t>Table of contents</w:t>
      </w:r>
    </w:p>
    <w:p w:rsidR="00854EFB" w:rsidRDefault="0086325C">
      <w:pPr>
        <w:pStyle w:val="TOC1"/>
        <w:rPr>
          <w:rFonts w:asciiTheme="minorHAnsi" w:eastAsiaTheme="minorEastAsia" w:hAnsiTheme="minorHAnsi" w:cstheme="minorBidi"/>
          <w:lang w:val="en-AU" w:eastAsia="en-AU"/>
        </w:rPr>
      </w:pPr>
      <w:r w:rsidRPr="00242590">
        <w:rPr>
          <w:rFonts w:eastAsia="Calibri" w:cs="Arial"/>
          <w:sz w:val="20"/>
          <w:szCs w:val="20"/>
        </w:rPr>
        <w:fldChar w:fldCharType="begin"/>
      </w:r>
      <w:r w:rsidRPr="00242590">
        <w:rPr>
          <w:rFonts w:cs="Arial"/>
          <w:sz w:val="20"/>
          <w:szCs w:val="20"/>
        </w:rPr>
        <w:instrText xml:space="preserve"> TOC \o \h \z \u </w:instrText>
      </w:r>
      <w:r w:rsidRPr="00242590">
        <w:rPr>
          <w:rFonts w:eastAsia="Calibri" w:cs="Arial"/>
          <w:sz w:val="20"/>
          <w:szCs w:val="20"/>
        </w:rPr>
        <w:fldChar w:fldCharType="separate"/>
      </w:r>
      <w:hyperlink w:anchor="_Toc468457517" w:history="1">
        <w:r w:rsidR="00854EFB" w:rsidRPr="00833876">
          <w:rPr>
            <w:rStyle w:val="Hyperlink"/>
          </w:rPr>
          <w:t>1.</w:t>
        </w:r>
        <w:r w:rsidR="00854EFB">
          <w:rPr>
            <w:rFonts w:asciiTheme="minorHAnsi" w:eastAsiaTheme="minorEastAsia" w:hAnsiTheme="minorHAnsi" w:cstheme="minorBidi"/>
            <w:lang w:val="en-AU" w:eastAsia="en-AU"/>
          </w:rPr>
          <w:tab/>
        </w:r>
        <w:r w:rsidR="00854EFB" w:rsidRPr="00833876">
          <w:rPr>
            <w:rStyle w:val="Hyperlink"/>
          </w:rPr>
          <w:t>Introduction</w:t>
        </w:r>
        <w:r w:rsidR="00854EFB">
          <w:rPr>
            <w:webHidden/>
          </w:rPr>
          <w:tab/>
        </w:r>
        <w:r w:rsidR="00854EFB">
          <w:rPr>
            <w:webHidden/>
          </w:rPr>
          <w:fldChar w:fldCharType="begin"/>
        </w:r>
        <w:r w:rsidR="00854EFB">
          <w:rPr>
            <w:webHidden/>
          </w:rPr>
          <w:instrText xml:space="preserve"> PAGEREF _Toc468457517 \h </w:instrText>
        </w:r>
        <w:r w:rsidR="00854EFB">
          <w:rPr>
            <w:webHidden/>
          </w:rPr>
        </w:r>
        <w:r w:rsidR="00854EFB">
          <w:rPr>
            <w:webHidden/>
          </w:rPr>
          <w:fldChar w:fldCharType="separate"/>
        </w:r>
        <w:r w:rsidR="00854EFB">
          <w:rPr>
            <w:webHidden/>
          </w:rPr>
          <w:t>3</w:t>
        </w:r>
        <w:r w:rsidR="00854EFB">
          <w:rPr>
            <w:webHidden/>
          </w:rPr>
          <w:fldChar w:fldCharType="end"/>
        </w:r>
      </w:hyperlink>
    </w:p>
    <w:p w:rsidR="00854EFB" w:rsidRDefault="002E2ECA">
      <w:pPr>
        <w:pStyle w:val="TOC1"/>
        <w:rPr>
          <w:rFonts w:asciiTheme="minorHAnsi" w:eastAsiaTheme="minorEastAsia" w:hAnsiTheme="minorHAnsi" w:cstheme="minorBidi"/>
          <w:lang w:val="en-AU" w:eastAsia="en-AU"/>
        </w:rPr>
      </w:pPr>
      <w:hyperlink w:anchor="_Toc468457518" w:history="1">
        <w:r w:rsidR="00854EFB" w:rsidRPr="00833876">
          <w:rPr>
            <w:rStyle w:val="Hyperlink"/>
          </w:rPr>
          <w:t>2.</w:t>
        </w:r>
        <w:r w:rsidR="00854EFB">
          <w:rPr>
            <w:rFonts w:asciiTheme="minorHAnsi" w:eastAsiaTheme="minorEastAsia" w:hAnsiTheme="minorHAnsi" w:cstheme="minorBidi"/>
            <w:lang w:val="en-AU" w:eastAsia="en-AU"/>
          </w:rPr>
          <w:tab/>
        </w:r>
        <w:r w:rsidR="00854EFB" w:rsidRPr="00833876">
          <w:rPr>
            <w:rStyle w:val="Hyperlink"/>
          </w:rPr>
          <w:t>Policy options</w:t>
        </w:r>
        <w:r w:rsidR="00854EFB">
          <w:rPr>
            <w:webHidden/>
          </w:rPr>
          <w:tab/>
        </w:r>
        <w:r w:rsidR="00854EFB">
          <w:rPr>
            <w:webHidden/>
          </w:rPr>
          <w:fldChar w:fldCharType="begin"/>
        </w:r>
        <w:r w:rsidR="00854EFB">
          <w:rPr>
            <w:webHidden/>
          </w:rPr>
          <w:instrText xml:space="preserve"> PAGEREF _Toc468457518 \h </w:instrText>
        </w:r>
        <w:r w:rsidR="00854EFB">
          <w:rPr>
            <w:webHidden/>
          </w:rPr>
        </w:r>
        <w:r w:rsidR="00854EFB">
          <w:rPr>
            <w:webHidden/>
          </w:rPr>
          <w:fldChar w:fldCharType="separate"/>
        </w:r>
        <w:r w:rsidR="00854EFB">
          <w:rPr>
            <w:webHidden/>
          </w:rPr>
          <w:t>3</w:t>
        </w:r>
        <w:r w:rsidR="00854EFB">
          <w:rPr>
            <w:webHidden/>
          </w:rPr>
          <w:fldChar w:fldCharType="end"/>
        </w:r>
      </w:hyperlink>
    </w:p>
    <w:p w:rsidR="00854EFB" w:rsidRDefault="002E2ECA">
      <w:pPr>
        <w:pStyle w:val="TOC1"/>
        <w:rPr>
          <w:rFonts w:asciiTheme="minorHAnsi" w:eastAsiaTheme="minorEastAsia" w:hAnsiTheme="minorHAnsi" w:cstheme="minorBidi"/>
          <w:lang w:val="en-AU" w:eastAsia="en-AU"/>
        </w:rPr>
      </w:pPr>
      <w:hyperlink w:anchor="_Toc468457519" w:history="1">
        <w:r w:rsidR="00854EFB" w:rsidRPr="00833876">
          <w:rPr>
            <w:rStyle w:val="Hyperlink"/>
          </w:rPr>
          <w:t>3.</w:t>
        </w:r>
        <w:r w:rsidR="00854EFB">
          <w:rPr>
            <w:rFonts w:asciiTheme="minorHAnsi" w:eastAsiaTheme="minorEastAsia" w:hAnsiTheme="minorHAnsi" w:cstheme="minorBidi"/>
            <w:lang w:val="en-AU" w:eastAsia="en-AU"/>
          </w:rPr>
          <w:tab/>
        </w:r>
        <w:r w:rsidR="00854EFB" w:rsidRPr="00833876">
          <w:rPr>
            <w:rStyle w:val="Hyperlink"/>
          </w:rPr>
          <w:t>Background</w:t>
        </w:r>
        <w:r w:rsidR="00854EFB">
          <w:rPr>
            <w:webHidden/>
          </w:rPr>
          <w:tab/>
        </w:r>
        <w:r w:rsidR="00854EFB">
          <w:rPr>
            <w:webHidden/>
          </w:rPr>
          <w:fldChar w:fldCharType="begin"/>
        </w:r>
        <w:r w:rsidR="00854EFB">
          <w:rPr>
            <w:webHidden/>
          </w:rPr>
          <w:instrText xml:space="preserve"> PAGEREF _Toc468457519 \h </w:instrText>
        </w:r>
        <w:r w:rsidR="00854EFB">
          <w:rPr>
            <w:webHidden/>
          </w:rPr>
        </w:r>
        <w:r w:rsidR="00854EFB">
          <w:rPr>
            <w:webHidden/>
          </w:rPr>
          <w:fldChar w:fldCharType="separate"/>
        </w:r>
        <w:r w:rsidR="00854EFB">
          <w:rPr>
            <w:webHidden/>
          </w:rPr>
          <w:t>3</w:t>
        </w:r>
        <w:r w:rsidR="00854EFB">
          <w:rPr>
            <w:webHidden/>
          </w:rPr>
          <w:fldChar w:fldCharType="end"/>
        </w:r>
      </w:hyperlink>
    </w:p>
    <w:p w:rsidR="00854EFB" w:rsidRDefault="002E2ECA">
      <w:pPr>
        <w:pStyle w:val="TOC2"/>
        <w:rPr>
          <w:rFonts w:asciiTheme="minorHAnsi" w:eastAsiaTheme="minorEastAsia" w:hAnsiTheme="minorHAnsi" w:cstheme="minorBidi"/>
          <w:lang w:eastAsia="en-AU"/>
        </w:rPr>
      </w:pPr>
      <w:hyperlink w:anchor="_Toc468457520" w:history="1">
        <w:r w:rsidR="00854EFB" w:rsidRPr="00833876">
          <w:rPr>
            <w:rStyle w:val="Hyperlink"/>
          </w:rPr>
          <w:t>3.1</w:t>
        </w:r>
        <w:r w:rsidR="00854EFB">
          <w:rPr>
            <w:rFonts w:asciiTheme="minorHAnsi" w:eastAsiaTheme="minorEastAsia" w:hAnsiTheme="minorHAnsi" w:cstheme="minorBidi"/>
            <w:lang w:eastAsia="en-AU"/>
          </w:rPr>
          <w:tab/>
        </w:r>
        <w:r w:rsidR="00854EFB" w:rsidRPr="00833876">
          <w:rPr>
            <w:rStyle w:val="Hyperlink"/>
          </w:rPr>
          <w:t>Hazard</w:t>
        </w:r>
        <w:r w:rsidR="00854EFB">
          <w:rPr>
            <w:webHidden/>
          </w:rPr>
          <w:tab/>
        </w:r>
        <w:r w:rsidR="00854EFB">
          <w:rPr>
            <w:webHidden/>
          </w:rPr>
          <w:fldChar w:fldCharType="begin"/>
        </w:r>
        <w:r w:rsidR="00854EFB">
          <w:rPr>
            <w:webHidden/>
          </w:rPr>
          <w:instrText xml:space="preserve"> PAGEREF _Toc468457520 \h </w:instrText>
        </w:r>
        <w:r w:rsidR="00854EFB">
          <w:rPr>
            <w:webHidden/>
          </w:rPr>
        </w:r>
        <w:r w:rsidR="00854EFB">
          <w:rPr>
            <w:webHidden/>
          </w:rPr>
          <w:fldChar w:fldCharType="separate"/>
        </w:r>
        <w:r w:rsidR="00854EFB">
          <w:rPr>
            <w:webHidden/>
          </w:rPr>
          <w:t>3</w:t>
        </w:r>
        <w:r w:rsidR="00854EFB">
          <w:rPr>
            <w:webHidden/>
          </w:rPr>
          <w:fldChar w:fldCharType="end"/>
        </w:r>
      </w:hyperlink>
    </w:p>
    <w:p w:rsidR="00854EFB" w:rsidRDefault="002E2ECA">
      <w:pPr>
        <w:pStyle w:val="TOC2"/>
        <w:rPr>
          <w:rFonts w:asciiTheme="minorHAnsi" w:eastAsiaTheme="minorEastAsia" w:hAnsiTheme="minorHAnsi" w:cstheme="minorBidi"/>
          <w:lang w:eastAsia="en-AU"/>
        </w:rPr>
      </w:pPr>
      <w:hyperlink w:anchor="_Toc468457521" w:history="1">
        <w:r w:rsidR="00854EFB" w:rsidRPr="00833876">
          <w:rPr>
            <w:rStyle w:val="Hyperlink"/>
          </w:rPr>
          <w:t>3.2</w:t>
        </w:r>
        <w:r w:rsidR="00854EFB">
          <w:rPr>
            <w:rFonts w:asciiTheme="minorHAnsi" w:eastAsiaTheme="minorEastAsia" w:hAnsiTheme="minorHAnsi" w:cstheme="minorBidi"/>
            <w:lang w:eastAsia="en-AU"/>
          </w:rPr>
          <w:tab/>
        </w:r>
        <w:r w:rsidR="00854EFB" w:rsidRPr="00833876">
          <w:rPr>
            <w:rStyle w:val="Hyperlink"/>
          </w:rPr>
          <w:t>The mandatory safety standard</w:t>
        </w:r>
        <w:r w:rsidR="00854EFB">
          <w:rPr>
            <w:webHidden/>
          </w:rPr>
          <w:tab/>
        </w:r>
        <w:r w:rsidR="00854EFB">
          <w:rPr>
            <w:webHidden/>
          </w:rPr>
          <w:fldChar w:fldCharType="begin"/>
        </w:r>
        <w:r w:rsidR="00854EFB">
          <w:rPr>
            <w:webHidden/>
          </w:rPr>
          <w:instrText xml:space="preserve"> PAGEREF _Toc468457521 \h </w:instrText>
        </w:r>
        <w:r w:rsidR="00854EFB">
          <w:rPr>
            <w:webHidden/>
          </w:rPr>
        </w:r>
        <w:r w:rsidR="00854EFB">
          <w:rPr>
            <w:webHidden/>
          </w:rPr>
          <w:fldChar w:fldCharType="separate"/>
        </w:r>
        <w:r w:rsidR="00854EFB">
          <w:rPr>
            <w:webHidden/>
          </w:rPr>
          <w:t>4</w:t>
        </w:r>
        <w:r w:rsidR="00854EFB">
          <w:rPr>
            <w:webHidden/>
          </w:rPr>
          <w:fldChar w:fldCharType="end"/>
        </w:r>
      </w:hyperlink>
    </w:p>
    <w:p w:rsidR="00854EFB" w:rsidRDefault="002E2ECA">
      <w:pPr>
        <w:pStyle w:val="TOC1"/>
        <w:rPr>
          <w:rFonts w:asciiTheme="minorHAnsi" w:eastAsiaTheme="minorEastAsia" w:hAnsiTheme="minorHAnsi" w:cstheme="minorBidi"/>
          <w:lang w:val="en-AU" w:eastAsia="en-AU"/>
        </w:rPr>
      </w:pPr>
      <w:hyperlink w:anchor="_Toc468457522" w:history="1">
        <w:r w:rsidR="00854EFB" w:rsidRPr="00833876">
          <w:rPr>
            <w:rStyle w:val="Hyperlink"/>
          </w:rPr>
          <w:t>4.</w:t>
        </w:r>
        <w:r w:rsidR="00854EFB">
          <w:rPr>
            <w:rFonts w:asciiTheme="minorHAnsi" w:eastAsiaTheme="minorEastAsia" w:hAnsiTheme="minorHAnsi" w:cstheme="minorBidi"/>
            <w:lang w:val="en-AU" w:eastAsia="en-AU"/>
          </w:rPr>
          <w:tab/>
        </w:r>
        <w:r w:rsidR="00854EFB" w:rsidRPr="00833876">
          <w:rPr>
            <w:rStyle w:val="Hyperlink"/>
          </w:rPr>
          <w:t>Adopting trusted international standards</w:t>
        </w:r>
        <w:r w:rsidR="00854EFB">
          <w:rPr>
            <w:webHidden/>
          </w:rPr>
          <w:tab/>
        </w:r>
        <w:r w:rsidR="00854EFB">
          <w:rPr>
            <w:webHidden/>
          </w:rPr>
          <w:fldChar w:fldCharType="begin"/>
        </w:r>
        <w:r w:rsidR="00854EFB">
          <w:rPr>
            <w:webHidden/>
          </w:rPr>
          <w:instrText xml:space="preserve"> PAGEREF _Toc468457522 \h </w:instrText>
        </w:r>
        <w:r w:rsidR="00854EFB">
          <w:rPr>
            <w:webHidden/>
          </w:rPr>
        </w:r>
        <w:r w:rsidR="00854EFB">
          <w:rPr>
            <w:webHidden/>
          </w:rPr>
          <w:fldChar w:fldCharType="separate"/>
        </w:r>
        <w:r w:rsidR="00854EFB">
          <w:rPr>
            <w:webHidden/>
          </w:rPr>
          <w:t>4</w:t>
        </w:r>
        <w:r w:rsidR="00854EFB">
          <w:rPr>
            <w:webHidden/>
          </w:rPr>
          <w:fldChar w:fldCharType="end"/>
        </w:r>
      </w:hyperlink>
    </w:p>
    <w:p w:rsidR="00854EFB" w:rsidRDefault="002E2ECA">
      <w:pPr>
        <w:pStyle w:val="TOC2"/>
        <w:rPr>
          <w:rFonts w:asciiTheme="minorHAnsi" w:eastAsiaTheme="minorEastAsia" w:hAnsiTheme="minorHAnsi" w:cstheme="minorBidi"/>
          <w:lang w:eastAsia="en-AU"/>
        </w:rPr>
      </w:pPr>
      <w:hyperlink w:anchor="_Toc468457523" w:history="1">
        <w:r w:rsidR="00854EFB" w:rsidRPr="00833876">
          <w:rPr>
            <w:rStyle w:val="Hyperlink"/>
          </w:rPr>
          <w:t>4.1</w:t>
        </w:r>
        <w:r w:rsidR="00854EFB">
          <w:rPr>
            <w:rFonts w:asciiTheme="minorHAnsi" w:eastAsiaTheme="minorEastAsia" w:hAnsiTheme="minorHAnsi" w:cstheme="minorBidi"/>
            <w:lang w:eastAsia="en-AU"/>
          </w:rPr>
          <w:tab/>
        </w:r>
        <w:r w:rsidR="00854EFB" w:rsidRPr="00833876">
          <w:rPr>
            <w:rStyle w:val="Hyperlink"/>
          </w:rPr>
          <w:t>Canadian regulation</w:t>
        </w:r>
        <w:r w:rsidR="00854EFB">
          <w:rPr>
            <w:webHidden/>
          </w:rPr>
          <w:tab/>
        </w:r>
        <w:r w:rsidR="00854EFB">
          <w:rPr>
            <w:webHidden/>
          </w:rPr>
          <w:fldChar w:fldCharType="begin"/>
        </w:r>
        <w:r w:rsidR="00854EFB">
          <w:rPr>
            <w:webHidden/>
          </w:rPr>
          <w:instrText xml:space="preserve"> PAGEREF _Toc468457523 \h </w:instrText>
        </w:r>
        <w:r w:rsidR="00854EFB">
          <w:rPr>
            <w:webHidden/>
          </w:rPr>
        </w:r>
        <w:r w:rsidR="00854EFB">
          <w:rPr>
            <w:webHidden/>
          </w:rPr>
          <w:fldChar w:fldCharType="separate"/>
        </w:r>
        <w:r w:rsidR="00854EFB">
          <w:rPr>
            <w:webHidden/>
          </w:rPr>
          <w:t>5</w:t>
        </w:r>
        <w:r w:rsidR="00854EFB">
          <w:rPr>
            <w:webHidden/>
          </w:rPr>
          <w:fldChar w:fldCharType="end"/>
        </w:r>
      </w:hyperlink>
    </w:p>
    <w:p w:rsidR="00854EFB" w:rsidRDefault="002E2ECA">
      <w:pPr>
        <w:pStyle w:val="TOC2"/>
        <w:rPr>
          <w:rFonts w:asciiTheme="minorHAnsi" w:eastAsiaTheme="minorEastAsia" w:hAnsiTheme="minorHAnsi" w:cstheme="minorBidi"/>
          <w:lang w:eastAsia="en-AU"/>
        </w:rPr>
      </w:pPr>
      <w:hyperlink w:anchor="_Toc468457524" w:history="1">
        <w:r w:rsidR="00854EFB" w:rsidRPr="00833876">
          <w:rPr>
            <w:rStyle w:val="Hyperlink"/>
          </w:rPr>
          <w:t>4.2</w:t>
        </w:r>
        <w:r w:rsidR="00854EFB">
          <w:rPr>
            <w:rFonts w:asciiTheme="minorHAnsi" w:eastAsiaTheme="minorEastAsia" w:hAnsiTheme="minorHAnsi" w:cstheme="minorBidi"/>
            <w:lang w:eastAsia="en-AU"/>
          </w:rPr>
          <w:tab/>
        </w:r>
        <w:r w:rsidR="00854EFB" w:rsidRPr="00833876">
          <w:rPr>
            <w:rStyle w:val="Hyperlink"/>
          </w:rPr>
          <w:t>European regulation</w:t>
        </w:r>
        <w:r w:rsidR="00854EFB">
          <w:rPr>
            <w:webHidden/>
          </w:rPr>
          <w:tab/>
        </w:r>
        <w:r w:rsidR="00854EFB">
          <w:rPr>
            <w:webHidden/>
          </w:rPr>
          <w:fldChar w:fldCharType="begin"/>
        </w:r>
        <w:r w:rsidR="00854EFB">
          <w:rPr>
            <w:webHidden/>
          </w:rPr>
          <w:instrText xml:space="preserve"> PAGEREF _Toc468457524 \h </w:instrText>
        </w:r>
        <w:r w:rsidR="00854EFB">
          <w:rPr>
            <w:webHidden/>
          </w:rPr>
        </w:r>
        <w:r w:rsidR="00854EFB">
          <w:rPr>
            <w:webHidden/>
          </w:rPr>
          <w:fldChar w:fldCharType="separate"/>
        </w:r>
        <w:r w:rsidR="00854EFB">
          <w:rPr>
            <w:webHidden/>
          </w:rPr>
          <w:t>5</w:t>
        </w:r>
        <w:r w:rsidR="00854EFB">
          <w:rPr>
            <w:webHidden/>
          </w:rPr>
          <w:fldChar w:fldCharType="end"/>
        </w:r>
      </w:hyperlink>
    </w:p>
    <w:p w:rsidR="00854EFB" w:rsidRDefault="002E2ECA">
      <w:pPr>
        <w:pStyle w:val="TOC2"/>
        <w:rPr>
          <w:rFonts w:asciiTheme="minorHAnsi" w:eastAsiaTheme="minorEastAsia" w:hAnsiTheme="minorHAnsi" w:cstheme="minorBidi"/>
          <w:lang w:eastAsia="en-AU"/>
        </w:rPr>
      </w:pPr>
      <w:hyperlink w:anchor="_Toc468457525" w:history="1">
        <w:r w:rsidR="00854EFB" w:rsidRPr="00833876">
          <w:rPr>
            <w:rStyle w:val="Hyperlink"/>
          </w:rPr>
          <w:t>4.3</w:t>
        </w:r>
        <w:r w:rsidR="00854EFB">
          <w:rPr>
            <w:rFonts w:asciiTheme="minorHAnsi" w:eastAsiaTheme="minorEastAsia" w:hAnsiTheme="minorHAnsi" w:cstheme="minorBidi"/>
            <w:lang w:eastAsia="en-AU"/>
          </w:rPr>
          <w:tab/>
        </w:r>
        <w:r w:rsidR="00854EFB" w:rsidRPr="00833876">
          <w:rPr>
            <w:rStyle w:val="Hyperlink"/>
          </w:rPr>
          <w:t>US regulation</w:t>
        </w:r>
        <w:r w:rsidR="00854EFB">
          <w:rPr>
            <w:webHidden/>
          </w:rPr>
          <w:tab/>
        </w:r>
        <w:r w:rsidR="00854EFB">
          <w:rPr>
            <w:webHidden/>
          </w:rPr>
          <w:fldChar w:fldCharType="begin"/>
        </w:r>
        <w:r w:rsidR="00854EFB">
          <w:rPr>
            <w:webHidden/>
          </w:rPr>
          <w:instrText xml:space="preserve"> PAGEREF _Toc468457525 \h </w:instrText>
        </w:r>
        <w:r w:rsidR="00854EFB">
          <w:rPr>
            <w:webHidden/>
          </w:rPr>
        </w:r>
        <w:r w:rsidR="00854EFB">
          <w:rPr>
            <w:webHidden/>
          </w:rPr>
          <w:fldChar w:fldCharType="separate"/>
        </w:r>
        <w:r w:rsidR="00854EFB">
          <w:rPr>
            <w:webHidden/>
          </w:rPr>
          <w:t>5</w:t>
        </w:r>
        <w:r w:rsidR="00854EFB">
          <w:rPr>
            <w:webHidden/>
          </w:rPr>
          <w:fldChar w:fldCharType="end"/>
        </w:r>
      </w:hyperlink>
    </w:p>
    <w:p w:rsidR="00854EFB" w:rsidRDefault="002E2ECA">
      <w:pPr>
        <w:pStyle w:val="TOC1"/>
        <w:rPr>
          <w:rFonts w:asciiTheme="minorHAnsi" w:eastAsiaTheme="minorEastAsia" w:hAnsiTheme="minorHAnsi" w:cstheme="minorBidi"/>
          <w:lang w:val="en-AU" w:eastAsia="en-AU"/>
        </w:rPr>
      </w:pPr>
      <w:hyperlink w:anchor="_Toc468457526" w:history="1">
        <w:r w:rsidR="00854EFB" w:rsidRPr="00833876">
          <w:rPr>
            <w:rStyle w:val="Hyperlink"/>
          </w:rPr>
          <w:t>5.</w:t>
        </w:r>
        <w:r w:rsidR="00854EFB">
          <w:rPr>
            <w:rFonts w:asciiTheme="minorHAnsi" w:eastAsiaTheme="minorEastAsia" w:hAnsiTheme="minorHAnsi" w:cstheme="minorBidi"/>
            <w:lang w:val="en-AU" w:eastAsia="en-AU"/>
          </w:rPr>
          <w:tab/>
        </w:r>
        <w:r w:rsidR="00854EFB" w:rsidRPr="00833876">
          <w:rPr>
            <w:rStyle w:val="Hyperlink"/>
          </w:rPr>
          <w:t>Detailed description of policy options</w:t>
        </w:r>
        <w:r w:rsidR="00854EFB">
          <w:rPr>
            <w:webHidden/>
          </w:rPr>
          <w:tab/>
        </w:r>
        <w:r w:rsidR="00854EFB">
          <w:rPr>
            <w:webHidden/>
          </w:rPr>
          <w:fldChar w:fldCharType="begin"/>
        </w:r>
        <w:r w:rsidR="00854EFB">
          <w:rPr>
            <w:webHidden/>
          </w:rPr>
          <w:instrText xml:space="preserve"> PAGEREF _Toc468457526 \h </w:instrText>
        </w:r>
        <w:r w:rsidR="00854EFB">
          <w:rPr>
            <w:webHidden/>
          </w:rPr>
        </w:r>
        <w:r w:rsidR="00854EFB">
          <w:rPr>
            <w:webHidden/>
          </w:rPr>
          <w:fldChar w:fldCharType="separate"/>
        </w:r>
        <w:r w:rsidR="00854EFB">
          <w:rPr>
            <w:webHidden/>
          </w:rPr>
          <w:t>6</w:t>
        </w:r>
        <w:r w:rsidR="00854EFB">
          <w:rPr>
            <w:webHidden/>
          </w:rPr>
          <w:fldChar w:fldCharType="end"/>
        </w:r>
      </w:hyperlink>
    </w:p>
    <w:p w:rsidR="00854EFB" w:rsidRDefault="002E2ECA">
      <w:pPr>
        <w:pStyle w:val="TOC2"/>
        <w:rPr>
          <w:rFonts w:asciiTheme="minorHAnsi" w:eastAsiaTheme="minorEastAsia" w:hAnsiTheme="minorHAnsi" w:cstheme="minorBidi"/>
          <w:lang w:eastAsia="en-AU"/>
        </w:rPr>
      </w:pPr>
      <w:hyperlink w:anchor="_Toc468457527" w:history="1">
        <w:r w:rsidR="00854EFB" w:rsidRPr="00833876">
          <w:rPr>
            <w:rStyle w:val="Hyperlink"/>
          </w:rPr>
          <w:t>Option 1 - Keep the current mandatory safety standard (status quo: no benzene)</w:t>
        </w:r>
        <w:r w:rsidR="00854EFB">
          <w:rPr>
            <w:webHidden/>
          </w:rPr>
          <w:tab/>
        </w:r>
        <w:r w:rsidR="00854EFB">
          <w:rPr>
            <w:webHidden/>
          </w:rPr>
          <w:fldChar w:fldCharType="begin"/>
        </w:r>
        <w:r w:rsidR="00854EFB">
          <w:rPr>
            <w:webHidden/>
          </w:rPr>
          <w:instrText xml:space="preserve"> PAGEREF _Toc468457527 \h </w:instrText>
        </w:r>
        <w:r w:rsidR="00854EFB">
          <w:rPr>
            <w:webHidden/>
          </w:rPr>
        </w:r>
        <w:r w:rsidR="00854EFB">
          <w:rPr>
            <w:webHidden/>
          </w:rPr>
          <w:fldChar w:fldCharType="separate"/>
        </w:r>
        <w:r w:rsidR="00854EFB">
          <w:rPr>
            <w:webHidden/>
          </w:rPr>
          <w:t>6</w:t>
        </w:r>
        <w:r w:rsidR="00854EFB">
          <w:rPr>
            <w:webHidden/>
          </w:rPr>
          <w:fldChar w:fldCharType="end"/>
        </w:r>
      </w:hyperlink>
    </w:p>
    <w:p w:rsidR="00854EFB" w:rsidRDefault="002E2ECA">
      <w:pPr>
        <w:pStyle w:val="TOC2"/>
        <w:rPr>
          <w:rFonts w:asciiTheme="minorHAnsi" w:eastAsiaTheme="minorEastAsia" w:hAnsiTheme="minorHAnsi" w:cstheme="minorBidi"/>
          <w:lang w:eastAsia="en-AU"/>
        </w:rPr>
      </w:pPr>
      <w:hyperlink w:anchor="_Toc468457528" w:history="1">
        <w:r w:rsidR="00854EFB" w:rsidRPr="00833876">
          <w:rPr>
            <w:rStyle w:val="Hyperlink"/>
          </w:rPr>
          <w:t>Option 2 - Set a maximum benzene level of 5 parts per million (same as Europe)</w:t>
        </w:r>
        <w:r w:rsidR="00854EFB">
          <w:rPr>
            <w:webHidden/>
          </w:rPr>
          <w:tab/>
        </w:r>
        <w:r w:rsidR="00854EFB">
          <w:rPr>
            <w:webHidden/>
          </w:rPr>
          <w:fldChar w:fldCharType="begin"/>
        </w:r>
        <w:r w:rsidR="00854EFB">
          <w:rPr>
            <w:webHidden/>
          </w:rPr>
          <w:instrText xml:space="preserve"> PAGEREF _Toc468457528 \h </w:instrText>
        </w:r>
        <w:r w:rsidR="00854EFB">
          <w:rPr>
            <w:webHidden/>
          </w:rPr>
        </w:r>
        <w:r w:rsidR="00854EFB">
          <w:rPr>
            <w:webHidden/>
          </w:rPr>
          <w:fldChar w:fldCharType="separate"/>
        </w:r>
        <w:r w:rsidR="00854EFB">
          <w:rPr>
            <w:webHidden/>
          </w:rPr>
          <w:t>6</w:t>
        </w:r>
        <w:r w:rsidR="00854EFB">
          <w:rPr>
            <w:webHidden/>
          </w:rPr>
          <w:fldChar w:fldCharType="end"/>
        </w:r>
      </w:hyperlink>
    </w:p>
    <w:p w:rsidR="00854EFB" w:rsidRDefault="002E2ECA">
      <w:pPr>
        <w:pStyle w:val="TOC2"/>
        <w:rPr>
          <w:rFonts w:asciiTheme="minorHAnsi" w:eastAsiaTheme="minorEastAsia" w:hAnsiTheme="minorHAnsi" w:cstheme="minorBidi"/>
          <w:lang w:eastAsia="en-AU"/>
        </w:rPr>
      </w:pPr>
      <w:hyperlink w:anchor="_Toc468457529" w:history="1">
        <w:r w:rsidR="00854EFB" w:rsidRPr="00833876">
          <w:rPr>
            <w:rStyle w:val="Hyperlink"/>
          </w:rPr>
          <w:t>Option 3 - Revoke the mandatory safety standard</w:t>
        </w:r>
        <w:r w:rsidR="00854EFB">
          <w:rPr>
            <w:webHidden/>
          </w:rPr>
          <w:tab/>
        </w:r>
        <w:r w:rsidR="00854EFB">
          <w:rPr>
            <w:webHidden/>
          </w:rPr>
          <w:fldChar w:fldCharType="begin"/>
        </w:r>
        <w:r w:rsidR="00854EFB">
          <w:rPr>
            <w:webHidden/>
          </w:rPr>
          <w:instrText xml:space="preserve"> PAGEREF _Toc468457529 \h </w:instrText>
        </w:r>
        <w:r w:rsidR="00854EFB">
          <w:rPr>
            <w:webHidden/>
          </w:rPr>
        </w:r>
        <w:r w:rsidR="00854EFB">
          <w:rPr>
            <w:webHidden/>
          </w:rPr>
          <w:fldChar w:fldCharType="separate"/>
        </w:r>
        <w:r w:rsidR="00854EFB">
          <w:rPr>
            <w:webHidden/>
          </w:rPr>
          <w:t>7</w:t>
        </w:r>
        <w:r w:rsidR="00854EFB">
          <w:rPr>
            <w:webHidden/>
          </w:rPr>
          <w:fldChar w:fldCharType="end"/>
        </w:r>
      </w:hyperlink>
    </w:p>
    <w:p w:rsidR="00854EFB" w:rsidRDefault="002E2ECA">
      <w:pPr>
        <w:pStyle w:val="TOC1"/>
        <w:rPr>
          <w:rFonts w:asciiTheme="minorHAnsi" w:eastAsiaTheme="minorEastAsia" w:hAnsiTheme="minorHAnsi" w:cstheme="minorBidi"/>
          <w:lang w:val="en-AU" w:eastAsia="en-AU"/>
        </w:rPr>
      </w:pPr>
      <w:hyperlink w:anchor="_Toc468457530" w:history="1">
        <w:r w:rsidR="00854EFB" w:rsidRPr="00833876">
          <w:rPr>
            <w:rStyle w:val="Hyperlink"/>
          </w:rPr>
          <w:t>6.</w:t>
        </w:r>
        <w:r w:rsidR="00854EFB">
          <w:rPr>
            <w:rFonts w:asciiTheme="minorHAnsi" w:eastAsiaTheme="minorEastAsia" w:hAnsiTheme="minorHAnsi" w:cstheme="minorBidi"/>
            <w:lang w:val="en-AU" w:eastAsia="en-AU"/>
          </w:rPr>
          <w:tab/>
        </w:r>
        <w:r w:rsidR="00854EFB" w:rsidRPr="00833876">
          <w:rPr>
            <w:rStyle w:val="Hyperlink"/>
          </w:rPr>
          <w:t>Preliminary position</w:t>
        </w:r>
        <w:r w:rsidR="00854EFB">
          <w:rPr>
            <w:webHidden/>
          </w:rPr>
          <w:tab/>
        </w:r>
        <w:r w:rsidR="00854EFB">
          <w:rPr>
            <w:webHidden/>
          </w:rPr>
          <w:fldChar w:fldCharType="begin"/>
        </w:r>
        <w:r w:rsidR="00854EFB">
          <w:rPr>
            <w:webHidden/>
          </w:rPr>
          <w:instrText xml:space="preserve"> PAGEREF _Toc468457530 \h </w:instrText>
        </w:r>
        <w:r w:rsidR="00854EFB">
          <w:rPr>
            <w:webHidden/>
          </w:rPr>
        </w:r>
        <w:r w:rsidR="00854EFB">
          <w:rPr>
            <w:webHidden/>
          </w:rPr>
          <w:fldChar w:fldCharType="separate"/>
        </w:r>
        <w:r w:rsidR="00854EFB">
          <w:rPr>
            <w:webHidden/>
          </w:rPr>
          <w:t>7</w:t>
        </w:r>
        <w:r w:rsidR="00854EFB">
          <w:rPr>
            <w:webHidden/>
          </w:rPr>
          <w:fldChar w:fldCharType="end"/>
        </w:r>
      </w:hyperlink>
    </w:p>
    <w:p w:rsidR="00854EFB" w:rsidRDefault="002E2ECA">
      <w:pPr>
        <w:pStyle w:val="TOC1"/>
        <w:rPr>
          <w:rFonts w:asciiTheme="minorHAnsi" w:eastAsiaTheme="minorEastAsia" w:hAnsiTheme="minorHAnsi" w:cstheme="minorBidi"/>
          <w:lang w:val="en-AU" w:eastAsia="en-AU"/>
        </w:rPr>
      </w:pPr>
      <w:hyperlink w:anchor="_Toc468457531" w:history="1">
        <w:r w:rsidR="00854EFB" w:rsidRPr="00833876">
          <w:rPr>
            <w:rStyle w:val="Hyperlink"/>
          </w:rPr>
          <w:t>7.</w:t>
        </w:r>
        <w:r w:rsidR="00854EFB">
          <w:rPr>
            <w:rFonts w:asciiTheme="minorHAnsi" w:eastAsiaTheme="minorEastAsia" w:hAnsiTheme="minorHAnsi" w:cstheme="minorBidi"/>
            <w:lang w:val="en-AU" w:eastAsia="en-AU"/>
          </w:rPr>
          <w:tab/>
        </w:r>
        <w:r w:rsidR="00854EFB" w:rsidRPr="00833876">
          <w:rPr>
            <w:rStyle w:val="Hyperlink"/>
          </w:rPr>
          <w:t>Consultation questions</w:t>
        </w:r>
        <w:r w:rsidR="00854EFB">
          <w:rPr>
            <w:webHidden/>
          </w:rPr>
          <w:tab/>
        </w:r>
        <w:r w:rsidR="00854EFB">
          <w:rPr>
            <w:webHidden/>
          </w:rPr>
          <w:fldChar w:fldCharType="begin"/>
        </w:r>
        <w:r w:rsidR="00854EFB">
          <w:rPr>
            <w:webHidden/>
          </w:rPr>
          <w:instrText xml:space="preserve"> PAGEREF _Toc468457531 \h </w:instrText>
        </w:r>
        <w:r w:rsidR="00854EFB">
          <w:rPr>
            <w:webHidden/>
          </w:rPr>
        </w:r>
        <w:r w:rsidR="00854EFB">
          <w:rPr>
            <w:webHidden/>
          </w:rPr>
          <w:fldChar w:fldCharType="separate"/>
        </w:r>
        <w:r w:rsidR="00854EFB">
          <w:rPr>
            <w:webHidden/>
          </w:rPr>
          <w:t>8</w:t>
        </w:r>
        <w:r w:rsidR="00854EFB">
          <w:rPr>
            <w:webHidden/>
          </w:rPr>
          <w:fldChar w:fldCharType="end"/>
        </w:r>
      </w:hyperlink>
    </w:p>
    <w:p w:rsidR="00854EFB" w:rsidRDefault="002E2ECA">
      <w:pPr>
        <w:pStyle w:val="TOC1"/>
        <w:rPr>
          <w:rFonts w:asciiTheme="minorHAnsi" w:eastAsiaTheme="minorEastAsia" w:hAnsiTheme="minorHAnsi" w:cstheme="minorBidi"/>
          <w:lang w:val="en-AU" w:eastAsia="en-AU"/>
        </w:rPr>
      </w:pPr>
      <w:hyperlink w:anchor="_Toc468457532" w:history="1">
        <w:r w:rsidR="00854EFB" w:rsidRPr="00833876">
          <w:rPr>
            <w:rStyle w:val="Hyperlink"/>
          </w:rPr>
          <w:t>8.</w:t>
        </w:r>
        <w:r w:rsidR="00854EFB">
          <w:rPr>
            <w:rFonts w:asciiTheme="minorHAnsi" w:eastAsiaTheme="minorEastAsia" w:hAnsiTheme="minorHAnsi" w:cstheme="minorBidi"/>
            <w:lang w:val="en-AU" w:eastAsia="en-AU"/>
          </w:rPr>
          <w:tab/>
        </w:r>
        <w:r w:rsidR="00854EFB" w:rsidRPr="00833876">
          <w:rPr>
            <w:rStyle w:val="Hyperlink"/>
          </w:rPr>
          <w:t>Have your say</w:t>
        </w:r>
        <w:r w:rsidR="00854EFB">
          <w:rPr>
            <w:webHidden/>
          </w:rPr>
          <w:tab/>
        </w:r>
        <w:r w:rsidR="00854EFB">
          <w:rPr>
            <w:webHidden/>
          </w:rPr>
          <w:fldChar w:fldCharType="begin"/>
        </w:r>
        <w:r w:rsidR="00854EFB">
          <w:rPr>
            <w:webHidden/>
          </w:rPr>
          <w:instrText xml:space="preserve"> PAGEREF _Toc468457532 \h </w:instrText>
        </w:r>
        <w:r w:rsidR="00854EFB">
          <w:rPr>
            <w:webHidden/>
          </w:rPr>
        </w:r>
        <w:r w:rsidR="00854EFB">
          <w:rPr>
            <w:webHidden/>
          </w:rPr>
          <w:fldChar w:fldCharType="separate"/>
        </w:r>
        <w:r w:rsidR="00854EFB">
          <w:rPr>
            <w:webHidden/>
          </w:rPr>
          <w:t>8</w:t>
        </w:r>
        <w:r w:rsidR="00854EFB">
          <w:rPr>
            <w:webHidden/>
          </w:rPr>
          <w:fldChar w:fldCharType="end"/>
        </w:r>
      </w:hyperlink>
    </w:p>
    <w:p w:rsidR="00854EFB" w:rsidRDefault="002E2ECA">
      <w:pPr>
        <w:pStyle w:val="TOC1"/>
        <w:rPr>
          <w:rStyle w:val="Hyperlink"/>
        </w:rPr>
      </w:pPr>
      <w:hyperlink w:anchor="_Toc468457533" w:history="1">
        <w:r w:rsidR="00854EFB" w:rsidRPr="00833876">
          <w:rPr>
            <w:rStyle w:val="Hyperlink"/>
          </w:rPr>
          <w:t>9.</w:t>
        </w:r>
        <w:r w:rsidR="00854EFB">
          <w:rPr>
            <w:rFonts w:asciiTheme="minorHAnsi" w:eastAsiaTheme="minorEastAsia" w:hAnsiTheme="minorHAnsi" w:cstheme="minorBidi"/>
            <w:lang w:val="en-AU" w:eastAsia="en-AU"/>
          </w:rPr>
          <w:tab/>
        </w:r>
        <w:r w:rsidR="00854EFB" w:rsidRPr="00833876">
          <w:rPr>
            <w:rStyle w:val="Hyperlink"/>
          </w:rPr>
          <w:t>Glossary</w:t>
        </w:r>
        <w:r w:rsidR="00854EFB">
          <w:rPr>
            <w:webHidden/>
          </w:rPr>
          <w:tab/>
        </w:r>
        <w:r w:rsidR="00854EFB">
          <w:rPr>
            <w:webHidden/>
          </w:rPr>
          <w:fldChar w:fldCharType="begin"/>
        </w:r>
        <w:r w:rsidR="00854EFB">
          <w:rPr>
            <w:webHidden/>
          </w:rPr>
          <w:instrText xml:space="preserve"> PAGEREF _Toc468457533 \h </w:instrText>
        </w:r>
        <w:r w:rsidR="00854EFB">
          <w:rPr>
            <w:webHidden/>
          </w:rPr>
        </w:r>
        <w:r w:rsidR="00854EFB">
          <w:rPr>
            <w:webHidden/>
          </w:rPr>
          <w:fldChar w:fldCharType="separate"/>
        </w:r>
        <w:r w:rsidR="00854EFB">
          <w:rPr>
            <w:webHidden/>
          </w:rPr>
          <w:t>9</w:t>
        </w:r>
        <w:r w:rsidR="00854EFB">
          <w:rPr>
            <w:webHidden/>
          </w:rPr>
          <w:fldChar w:fldCharType="end"/>
        </w:r>
      </w:hyperlink>
    </w:p>
    <w:p w:rsidR="00854EFB" w:rsidRDefault="00854EFB">
      <w:pPr>
        <w:pStyle w:val="TOC1"/>
        <w:rPr>
          <w:rFonts w:asciiTheme="minorHAnsi" w:eastAsiaTheme="minorEastAsia" w:hAnsiTheme="minorHAnsi" w:cstheme="minorBidi"/>
          <w:lang w:val="en-AU" w:eastAsia="en-AU"/>
        </w:rPr>
      </w:pPr>
      <w:r>
        <w:rPr>
          <w:rStyle w:val="Hyperlink"/>
        </w:rPr>
        <w:br w:type="page"/>
      </w:r>
    </w:p>
    <w:p w:rsidR="00935D49" w:rsidRPr="000351A7" w:rsidRDefault="0086325C" w:rsidP="0039060F">
      <w:pPr>
        <w:pStyle w:val="Numbered1"/>
        <w:numPr>
          <w:ilvl w:val="0"/>
          <w:numId w:val="27"/>
        </w:numPr>
        <w:ind w:left="680" w:hanging="680"/>
      </w:pPr>
      <w:r w:rsidRPr="00242590">
        <w:rPr>
          <w:sz w:val="20"/>
          <w:szCs w:val="20"/>
        </w:rPr>
        <w:fldChar w:fldCharType="end"/>
      </w:r>
      <w:bookmarkStart w:id="1" w:name="_Toc467003328"/>
      <w:bookmarkStart w:id="2" w:name="_Toc453749322"/>
      <w:bookmarkStart w:id="3" w:name="_Toc468457517"/>
      <w:bookmarkEnd w:id="1"/>
      <w:r w:rsidR="00935D49" w:rsidRPr="000351A7">
        <w:t>Introduction</w:t>
      </w:r>
      <w:bookmarkEnd w:id="2"/>
      <w:bookmarkEnd w:id="3"/>
    </w:p>
    <w:p w:rsidR="00B010A5" w:rsidRDefault="00935D49" w:rsidP="008B5330">
      <w:r w:rsidRPr="004421B4">
        <w:t>The</w:t>
      </w:r>
      <w:r>
        <w:t xml:space="preserve"> ACCC is reviewing the</w:t>
      </w:r>
      <w:r w:rsidR="0008440A">
        <w:t xml:space="preserve"> mandatory</w:t>
      </w:r>
      <w:r>
        <w:t xml:space="preserve"> safet</w:t>
      </w:r>
      <w:r w:rsidR="00DE37CD">
        <w:t xml:space="preserve">y standard </w:t>
      </w:r>
      <w:r>
        <w:t xml:space="preserve">for </w:t>
      </w:r>
      <w:r w:rsidR="00591AA3">
        <w:t>balloon blowing kits</w:t>
      </w:r>
      <w:r w:rsidR="00242590">
        <w:t xml:space="preserve"> </w:t>
      </w:r>
      <w:r w:rsidR="00B010A5">
        <w:t>that prohibits the presence of benzene.</w:t>
      </w:r>
    </w:p>
    <w:p w:rsidR="00A05517" w:rsidRDefault="00B010A5" w:rsidP="008B5330">
      <w:r>
        <w:t xml:space="preserve">We seek information and </w:t>
      </w:r>
      <w:r w:rsidR="00A05517">
        <w:t>comment</w:t>
      </w:r>
      <w:r>
        <w:t xml:space="preserve"> from stakeholders</w:t>
      </w:r>
      <w:r w:rsidR="00A05517">
        <w:t xml:space="preserve"> to assist in the review.</w:t>
      </w:r>
    </w:p>
    <w:p w:rsidR="00532F49" w:rsidRDefault="002E2ECA" w:rsidP="00532F49">
      <w:pPr>
        <w:pStyle w:val="Bulletpoint"/>
        <w:numPr>
          <w:ilvl w:val="0"/>
          <w:numId w:val="0"/>
        </w:numPr>
      </w:pPr>
      <w:bookmarkStart w:id="4" w:name="_Toc453749323"/>
      <w:r>
        <w:rPr>
          <w:noProof/>
        </w:rPr>
        <w:pict>
          <v:shape id="_x0000_s1043" type="#_x0000_t202" style="position:absolute;margin-left:-6.55pt;margin-top:14.8pt;width:447.75pt;height:80.1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">
            <v:textbox style="mso-next-textbox:#_x0000_s1043">
              <w:txbxContent>
                <w:p w:rsidR="00281344" w:rsidRDefault="00281344" w:rsidP="00532F49">
                  <w:pPr>
                    <w:jc w:val="both"/>
                    <w:rPr>
                      <w:b/>
                    </w:rPr>
                  </w:pPr>
                  <w:r w:rsidRPr="00396799">
                    <w:rPr>
                      <w:b/>
                    </w:rPr>
                    <w:t xml:space="preserve">The consultation process outlined in this paper may be the only opportunity for </w:t>
                  </w:r>
                  <w:r>
                    <w:rPr>
                      <w:b/>
                    </w:rPr>
                    <w:t xml:space="preserve">you </w:t>
                  </w:r>
                  <w:r w:rsidRPr="00396799">
                    <w:rPr>
                      <w:b/>
                    </w:rPr>
                    <w:t xml:space="preserve">to provide </w:t>
                  </w:r>
                  <w:r>
                    <w:rPr>
                      <w:b/>
                    </w:rPr>
                    <w:t>input into this review.</w:t>
                  </w:r>
                </w:p>
                <w:p w:rsidR="00281344" w:rsidRDefault="00281344" w:rsidP="00532F49">
                  <w:pPr>
                    <w:jc w:val="both"/>
                    <w:rPr>
                      <w:b/>
                    </w:rPr>
                  </w:pPr>
                  <w:r>
                    <w:rPr>
                      <w:b/>
                    </w:rPr>
                    <w:t xml:space="preserve">We encourage you to </w:t>
                  </w:r>
                  <w:r w:rsidRPr="00396799">
                    <w:rPr>
                      <w:b/>
                    </w:rPr>
                    <w:t xml:space="preserve">make </w:t>
                  </w:r>
                  <w:r>
                    <w:rPr>
                      <w:b/>
                    </w:rPr>
                    <w:t xml:space="preserve">a </w:t>
                  </w:r>
                  <w:r w:rsidRPr="00396799">
                    <w:rPr>
                      <w:b/>
                    </w:rPr>
                    <w:t>submission</w:t>
                  </w:r>
                  <w:r>
                    <w:rPr>
                      <w:b/>
                    </w:rPr>
                    <w:t>.</w:t>
                  </w:r>
                </w:p>
              </w:txbxContent>
            </v:textbox>
          </v:shape>
        </w:pict>
      </w:r>
    </w:p>
    <w:p w:rsidR="00532F49" w:rsidRDefault="00532F49" w:rsidP="002D4CDE">
      <w:pPr>
        <w:pStyle w:val="Bulletpoint"/>
        <w:numPr>
          <w:ilvl w:val="0"/>
          <w:numId w:val="0"/>
        </w:numPr>
        <w:ind w:left="360" w:hanging="360"/>
      </w:pPr>
    </w:p>
    <w:p w:rsidR="00532F49" w:rsidRDefault="00532F49" w:rsidP="002D4CDE">
      <w:pPr>
        <w:pStyle w:val="Bulletpoint"/>
        <w:numPr>
          <w:ilvl w:val="0"/>
          <w:numId w:val="0"/>
        </w:numPr>
        <w:ind w:left="360" w:hanging="360"/>
      </w:pPr>
    </w:p>
    <w:p w:rsidR="00532F49" w:rsidRDefault="00532F49" w:rsidP="002D4CDE">
      <w:pPr>
        <w:pStyle w:val="Bulletpoint"/>
        <w:numPr>
          <w:ilvl w:val="0"/>
          <w:numId w:val="0"/>
        </w:numPr>
        <w:ind w:left="360" w:hanging="360"/>
      </w:pPr>
    </w:p>
    <w:p w:rsidR="00532F49" w:rsidRDefault="00532F49" w:rsidP="00532F49">
      <w:pPr>
        <w:pStyle w:val="Bulletpoint"/>
        <w:numPr>
          <w:ilvl w:val="0"/>
          <w:numId w:val="0"/>
        </w:numPr>
      </w:pPr>
    </w:p>
    <w:p w:rsidR="00F47A7B" w:rsidRPr="00F47A7B" w:rsidRDefault="00F47A7B" w:rsidP="00564A1E">
      <w:pPr>
        <w:pStyle w:val="Numbered1"/>
        <w:numPr>
          <w:ilvl w:val="0"/>
          <w:numId w:val="27"/>
        </w:numPr>
        <w:ind w:left="680" w:hanging="680"/>
      </w:pPr>
      <w:bookmarkStart w:id="5" w:name="_Toc468457518"/>
      <w:r w:rsidRPr="00F47A7B">
        <w:t xml:space="preserve">Policy </w:t>
      </w:r>
      <w:r w:rsidRPr="00382011">
        <w:t>options</w:t>
      </w:r>
      <w:bookmarkEnd w:id="4"/>
      <w:bookmarkEnd w:id="5"/>
    </w:p>
    <w:p w:rsidR="00F47A7B" w:rsidRDefault="00515357" w:rsidP="00F47A7B">
      <w:r>
        <w:t>This consultation paper</w:t>
      </w:r>
      <w:r w:rsidRPr="00F47A7B">
        <w:t xml:space="preserve"> discuss</w:t>
      </w:r>
      <w:r>
        <w:t>es</w:t>
      </w:r>
      <w:r w:rsidRPr="00F47A7B">
        <w:t xml:space="preserve"> </w:t>
      </w:r>
      <w:r w:rsidR="00B95DF2">
        <w:t>three</w:t>
      </w:r>
      <w:r w:rsidR="00591AA3">
        <w:t xml:space="preserve"> </w:t>
      </w:r>
      <w:r w:rsidR="00F47A7B" w:rsidRPr="00F47A7B">
        <w:t>policy options:</w:t>
      </w:r>
    </w:p>
    <w:tbl>
      <w:tblPr>
        <w:tblW w:w="9365" w:type="dxa"/>
        <w:tblLook w:val="04A0" w:firstRow="1" w:lastRow="0" w:firstColumn="1" w:lastColumn="0" w:noHBand="0" w:noVBand="1"/>
      </w:tblPr>
      <w:tblGrid>
        <w:gridCol w:w="2235"/>
        <w:gridCol w:w="7130"/>
      </w:tblGrid>
      <w:tr w:rsidR="00057DC5" w:rsidRPr="0028653F" w:rsidTr="008F2B58">
        <w:trPr>
          <w:trHeight w:val="387"/>
        </w:trPr>
        <w:tc>
          <w:tcPr>
            <w:tcW w:w="2235" w:type="dxa"/>
          </w:tcPr>
          <w:p w:rsidR="00057DC5" w:rsidRPr="002E07CA" w:rsidRDefault="00057DC5" w:rsidP="00281344">
            <w:r w:rsidRPr="002E07CA">
              <w:t xml:space="preserve">Option </w:t>
            </w:r>
            <w:r w:rsidR="00934FA1">
              <w:t>1</w:t>
            </w:r>
          </w:p>
        </w:tc>
        <w:tc>
          <w:tcPr>
            <w:tcW w:w="7130" w:type="dxa"/>
          </w:tcPr>
          <w:p w:rsidR="00057DC5" w:rsidRPr="0028653F" w:rsidRDefault="00590B0C" w:rsidP="0037193E">
            <w:pPr>
              <w:rPr>
                <w:rFonts w:cs="Arial"/>
              </w:rPr>
            </w:pPr>
            <w:r>
              <w:rPr>
                <w:rFonts w:cs="Arial"/>
              </w:rPr>
              <w:t>Keep the current mandatory safety standard (status quo</w:t>
            </w:r>
            <w:r w:rsidR="00A05517">
              <w:rPr>
                <w:rFonts w:cs="Arial"/>
              </w:rPr>
              <w:t>: no benzene</w:t>
            </w:r>
            <w:r w:rsidR="0037193E">
              <w:rPr>
                <w:rFonts w:cs="Arial"/>
              </w:rPr>
              <w:t>)</w:t>
            </w:r>
          </w:p>
        </w:tc>
      </w:tr>
      <w:tr w:rsidR="00057DC5" w:rsidTr="008F2B58">
        <w:trPr>
          <w:trHeight w:val="365"/>
        </w:trPr>
        <w:tc>
          <w:tcPr>
            <w:tcW w:w="2235" w:type="dxa"/>
          </w:tcPr>
          <w:p w:rsidR="00E72B9B" w:rsidRPr="002E07CA" w:rsidRDefault="00057DC5" w:rsidP="00281344">
            <w:r>
              <w:t xml:space="preserve">Option </w:t>
            </w:r>
            <w:r w:rsidR="00934FA1">
              <w:t>2</w:t>
            </w:r>
          </w:p>
        </w:tc>
        <w:tc>
          <w:tcPr>
            <w:tcW w:w="7130" w:type="dxa"/>
          </w:tcPr>
          <w:p w:rsidR="00DF2558" w:rsidRDefault="00FF5CB3" w:rsidP="00FF5CB3">
            <w:pPr>
              <w:rPr>
                <w:rFonts w:cs="Arial"/>
              </w:rPr>
            </w:pPr>
            <w:r>
              <w:t>S</w:t>
            </w:r>
            <w:r w:rsidR="0037193E">
              <w:t xml:space="preserve">et a maximum benzene </w:t>
            </w:r>
            <w:r>
              <w:t xml:space="preserve">level </w:t>
            </w:r>
            <w:r w:rsidR="00B010A5" w:rsidRPr="00913820">
              <w:t>of 5 parts per million</w:t>
            </w:r>
            <w:r w:rsidR="00B010A5">
              <w:t xml:space="preserve"> </w:t>
            </w:r>
            <w:r w:rsidR="0037193E">
              <w:t>(</w:t>
            </w:r>
            <w:r>
              <w:t>same</w:t>
            </w:r>
            <w:r w:rsidR="00B010A5">
              <w:t xml:space="preserve"> </w:t>
            </w:r>
            <w:r>
              <w:t>as</w:t>
            </w:r>
            <w:r w:rsidR="008A5FCD">
              <w:t xml:space="preserve"> </w:t>
            </w:r>
            <w:r w:rsidR="00B010A5">
              <w:t>Europe</w:t>
            </w:r>
            <w:r w:rsidR="0037193E">
              <w:t>)</w:t>
            </w:r>
          </w:p>
        </w:tc>
      </w:tr>
      <w:tr w:rsidR="00DF4034" w:rsidTr="008F2B58">
        <w:trPr>
          <w:trHeight w:val="485"/>
        </w:trPr>
        <w:tc>
          <w:tcPr>
            <w:tcW w:w="2235" w:type="dxa"/>
          </w:tcPr>
          <w:p w:rsidR="00DF4034" w:rsidRDefault="00DF4034" w:rsidP="00281344">
            <w:r>
              <w:t>Option 3</w:t>
            </w:r>
          </w:p>
        </w:tc>
        <w:tc>
          <w:tcPr>
            <w:tcW w:w="7130" w:type="dxa"/>
          </w:tcPr>
          <w:p w:rsidR="00DF4034" w:rsidRDefault="00DF4034" w:rsidP="00281344">
            <w:r>
              <w:t>Revoke the mandatory safety standard</w:t>
            </w:r>
            <w:r w:rsidR="008F2B58">
              <w:t>.</w:t>
            </w:r>
          </w:p>
        </w:tc>
      </w:tr>
    </w:tbl>
    <w:p w:rsidR="00CE6BCF" w:rsidRPr="00AC1FB8" w:rsidRDefault="00CE6BCF" w:rsidP="00564A1E">
      <w:pPr>
        <w:pStyle w:val="Numbered1"/>
        <w:numPr>
          <w:ilvl w:val="0"/>
          <w:numId w:val="27"/>
        </w:numPr>
        <w:ind w:left="680" w:hanging="680"/>
      </w:pPr>
      <w:bookmarkStart w:id="6" w:name="_Toc448397925"/>
      <w:bookmarkStart w:id="7" w:name="_Toc453749325"/>
      <w:bookmarkStart w:id="8" w:name="_Toc468457519"/>
      <w:r w:rsidRPr="00382011">
        <w:t>Background</w:t>
      </w:r>
      <w:bookmarkEnd w:id="6"/>
      <w:bookmarkEnd w:id="7"/>
      <w:bookmarkEnd w:id="8"/>
    </w:p>
    <w:p w:rsidR="0037193E" w:rsidRDefault="0037193E" w:rsidP="0040589F">
      <w:r>
        <w:t>Balloon blowing kits</w:t>
      </w:r>
      <w:r w:rsidRPr="0037193E">
        <w:t xml:space="preserve"> contain a glue</w:t>
      </w:r>
      <w:r w:rsidR="00AD0D82">
        <w:t>-</w:t>
      </w:r>
      <w:r w:rsidRPr="0037193E">
        <w:t xml:space="preserve">like substance used to make balloons when </w:t>
      </w:r>
      <w:r w:rsidR="007E78E5">
        <w:t>a consumer, often a child, blows into a pipe or tube to create and then inflate a balloon. These are distinct from kits used to inflate ready-made latex party balloons.</w:t>
      </w:r>
    </w:p>
    <w:p w:rsidR="0040589F" w:rsidRDefault="001A1CEF" w:rsidP="0040589F">
      <w:r w:rsidRPr="001A1CEF">
        <w:t xml:space="preserve">Balloon </w:t>
      </w:r>
      <w:r w:rsidR="0040589F" w:rsidRPr="001A1CEF">
        <w:t xml:space="preserve">blowing kits </w:t>
      </w:r>
      <w:r w:rsidRPr="001A1CEF">
        <w:t xml:space="preserve">are normally available </w:t>
      </w:r>
      <w:r w:rsidR="00913820" w:rsidRPr="001A1CEF">
        <w:t xml:space="preserve">online </w:t>
      </w:r>
      <w:r w:rsidR="003533E7" w:rsidRPr="001A1CEF">
        <w:t>and</w:t>
      </w:r>
      <w:r w:rsidR="003533E7">
        <w:t xml:space="preserve"> these products</w:t>
      </w:r>
      <w:r w:rsidR="00913820">
        <w:t xml:space="preserve"> are </w:t>
      </w:r>
      <w:r w:rsidR="00D83027">
        <w:t>not commonly</w:t>
      </w:r>
      <w:r w:rsidR="0040589F" w:rsidRPr="003277CD">
        <w:t xml:space="preserve"> available from </w:t>
      </w:r>
      <w:r w:rsidR="0040589F" w:rsidRPr="00D15F2B">
        <w:t>bricks and mortar retailers</w:t>
      </w:r>
      <w:r w:rsidR="0040589F" w:rsidRPr="003277CD">
        <w:t xml:space="preserve"> in Australia. </w:t>
      </w:r>
      <w:r w:rsidR="0040589F" w:rsidRPr="008916D3">
        <w:t>The ACCC conducted comprehensive surveys from 2</w:t>
      </w:r>
      <w:r w:rsidR="002920C6" w:rsidRPr="008916D3">
        <w:t>005-2016</w:t>
      </w:r>
      <w:r w:rsidR="0040589F" w:rsidRPr="008916D3">
        <w:t xml:space="preserve"> with State and Territory fair trading agencies and only t</w:t>
      </w:r>
      <w:r w:rsidR="00C57B0D" w:rsidRPr="008916D3">
        <w:t>hree brands, Magic Balloon,</w:t>
      </w:r>
      <w:r w:rsidR="0040589F" w:rsidRPr="008916D3">
        <w:t xml:space="preserve"> Magic Goo Balloon</w:t>
      </w:r>
      <w:r w:rsidR="00C57B0D" w:rsidRPr="008916D3">
        <w:t xml:space="preserve"> and Magic Plastic</w:t>
      </w:r>
      <w:r w:rsidR="003611B4" w:rsidRPr="008916D3">
        <w:t xml:space="preserve"> Balloons</w:t>
      </w:r>
      <w:r w:rsidR="00397DFD" w:rsidRPr="008916D3">
        <w:t xml:space="preserve">, were available </w:t>
      </w:r>
      <w:r w:rsidR="0040589F" w:rsidRPr="008916D3">
        <w:t>for purchase in limited numbers.</w:t>
      </w:r>
    </w:p>
    <w:p w:rsidR="00F37531" w:rsidRPr="0040589F" w:rsidRDefault="00F37531" w:rsidP="0040589F">
      <w:r>
        <w:t>All balloon blowing kit</w:t>
      </w:r>
      <w:r w:rsidRPr="003277CD">
        <w:t xml:space="preserve"> manufacture</w:t>
      </w:r>
      <w:r>
        <w:t>rs</w:t>
      </w:r>
      <w:r w:rsidRPr="003277CD">
        <w:t xml:space="preserve"> are overseas. </w:t>
      </w:r>
      <w:r>
        <w:t>Most</w:t>
      </w:r>
      <w:r w:rsidRPr="003277CD">
        <w:t xml:space="preserve"> man</w:t>
      </w:r>
      <w:r>
        <w:t>ufacturers are in China.</w:t>
      </w:r>
    </w:p>
    <w:p w:rsidR="007E78E5" w:rsidRDefault="007E78E5" w:rsidP="007E78E5">
      <w:pPr>
        <w:pStyle w:val="Numbered11"/>
        <w:numPr>
          <w:ilvl w:val="1"/>
          <w:numId w:val="34"/>
        </w:numPr>
      </w:pPr>
      <w:bookmarkStart w:id="9" w:name="_Toc468457520"/>
      <w:bookmarkStart w:id="10" w:name="_Toc457311806"/>
      <w:bookmarkStart w:id="11" w:name="_Toc457222699"/>
      <w:bookmarkStart w:id="12" w:name="_Toc440455032"/>
      <w:bookmarkStart w:id="13" w:name="_Toc457220018"/>
      <w:r>
        <w:t>Hazard</w:t>
      </w:r>
      <w:bookmarkEnd w:id="9"/>
    </w:p>
    <w:p w:rsidR="007E78E5" w:rsidRDefault="007E78E5" w:rsidP="007E78E5">
      <w:r>
        <w:t xml:space="preserve">Benzene is a naturally occurring organic compound and a common industrial chemical used in manufacturing plastics and some types of rubbers, detergents, drugs and pesticides. Benzene is also an automotive petroleum additive. </w:t>
      </w:r>
      <w:r w:rsidR="007436C0">
        <w:t>Exposure to b</w:t>
      </w:r>
      <w:r w:rsidR="00E31ECD">
        <w:t xml:space="preserve">enzene </w:t>
      </w:r>
      <w:r>
        <w:t xml:space="preserve">is common through car fuel, cigarette smoke, domestic solvents, groundwater and soil contamination. Benzene has been found in food </w:t>
      </w:r>
      <w:r w:rsidR="007436C0">
        <w:t xml:space="preserve">associated with </w:t>
      </w:r>
      <w:r>
        <w:t xml:space="preserve">cooking and its migration from food packaging and plastic cookware.   </w:t>
      </w:r>
    </w:p>
    <w:p w:rsidR="007E78E5" w:rsidRDefault="007E78E5" w:rsidP="00556095">
      <w:r>
        <w:t xml:space="preserve">Benzene is a carcinogen, increasing the risk of leukaemia and other illnesses leading to bone marrow failure. </w:t>
      </w:r>
      <w:r w:rsidR="007436C0">
        <w:t xml:space="preserve">It </w:t>
      </w:r>
      <w:r>
        <w:t xml:space="preserve">has the potential to cause harm at low exposure and requires special precautions during its manufacture, handling or use. </w:t>
      </w:r>
      <w:r w:rsidR="007436C0" w:rsidRPr="007436C0">
        <w:t>Schedule 7 of The Poisons Standard controls its use in Australia as a ‘Dangerous Poison’.</w:t>
      </w:r>
    </w:p>
    <w:p w:rsidR="007436C0" w:rsidRDefault="00881B18" w:rsidP="00556095">
      <w:r>
        <w:lastRenderedPageBreak/>
        <w:t>We commissioned i</w:t>
      </w:r>
      <w:r w:rsidR="007E78E5">
        <w:t xml:space="preserve">ndependent toxicological advice </w:t>
      </w:r>
      <w:r>
        <w:t>that</w:t>
      </w:r>
      <w:r w:rsidR="007E78E5">
        <w:t xml:space="preserve"> concluded that there is unlikely to be a risk of cancer to school-age children exposed to benzene at or below </w:t>
      </w:r>
      <w:r w:rsidR="007E78E5" w:rsidRPr="00913820">
        <w:t>5</w:t>
      </w:r>
      <w:r w:rsidR="008A5FCD" w:rsidRPr="00913820">
        <w:t xml:space="preserve"> parts per million</w:t>
      </w:r>
      <w:r w:rsidR="007E78E5" w:rsidRPr="00913820">
        <w:t xml:space="preserve"> (5 </w:t>
      </w:r>
      <w:r w:rsidR="008A5FCD" w:rsidRPr="00913820">
        <w:t>mg/kg</w:t>
      </w:r>
      <w:r w:rsidR="007E78E5" w:rsidRPr="00913820">
        <w:t>),</w:t>
      </w:r>
      <w:r w:rsidR="007E78E5">
        <w:t xml:space="preserve"> if the child uses the </w:t>
      </w:r>
      <w:r w:rsidR="009F3BD4">
        <w:t>balloon blowing kit</w:t>
      </w:r>
      <w:r w:rsidR="007E78E5">
        <w:t xml:space="preserve"> under plausible circumstances (one hour a day, ten days a year for 13 years, from age 5 to 18). </w:t>
      </w:r>
    </w:p>
    <w:p w:rsidR="00926B3C" w:rsidRPr="007E78E5" w:rsidRDefault="003533E7" w:rsidP="00556095">
      <w:r>
        <w:t>The toxicological a</w:t>
      </w:r>
      <w:r w:rsidR="007436C0">
        <w:t xml:space="preserve">dvice </w:t>
      </w:r>
      <w:r>
        <w:t>also concluded</w:t>
      </w:r>
      <w:r w:rsidR="007436C0">
        <w:t xml:space="preserve"> that t</w:t>
      </w:r>
      <w:r w:rsidR="007E78E5">
        <w:t xml:space="preserve">he plausible long-term cancer risk starts at </w:t>
      </w:r>
      <w:r w:rsidR="009A5E01">
        <w:t>6</w:t>
      </w:r>
      <w:r w:rsidR="007E78E5" w:rsidRPr="00913820">
        <w:t xml:space="preserve"> </w:t>
      </w:r>
      <w:r w:rsidR="008A5FCD" w:rsidRPr="00913820">
        <w:t xml:space="preserve">parts per million </w:t>
      </w:r>
      <w:r w:rsidR="007E78E5" w:rsidRPr="00913820">
        <w:t>(</w:t>
      </w:r>
      <w:r w:rsidR="009A5E01">
        <w:t>6</w:t>
      </w:r>
      <w:r w:rsidR="007E78E5" w:rsidRPr="00913820">
        <w:t xml:space="preserve"> </w:t>
      </w:r>
      <w:r w:rsidR="008A5FCD" w:rsidRPr="00913820">
        <w:t>mg/kg</w:t>
      </w:r>
      <w:r w:rsidR="007E78E5" w:rsidRPr="00913820">
        <w:t>)</w:t>
      </w:r>
      <w:r w:rsidR="007E78E5">
        <w:t xml:space="preserve"> of benzene</w:t>
      </w:r>
      <w:r w:rsidR="007436C0">
        <w:t xml:space="preserve"> and the plausible short-term risk of imminent harm starts at 16 parts per million (16 mg/kg).</w:t>
      </w:r>
    </w:p>
    <w:bookmarkEnd w:id="10"/>
    <w:bookmarkEnd w:id="11"/>
    <w:bookmarkEnd w:id="12"/>
    <w:bookmarkEnd w:id="13"/>
    <w:p w:rsidR="00761F91" w:rsidRDefault="00761F91" w:rsidP="0040589F">
      <w:r>
        <w:t xml:space="preserve">On expert </w:t>
      </w:r>
      <w:r w:rsidR="004F2FDE">
        <w:t>advice,</w:t>
      </w:r>
      <w:r>
        <w:t xml:space="preserve"> </w:t>
      </w:r>
      <w:r w:rsidR="004F2FDE">
        <w:t xml:space="preserve">we do not assess </w:t>
      </w:r>
      <w:r>
        <w:t>the plausible long and short-term risk levels as cumulative. T</w:t>
      </w:r>
      <w:r w:rsidRPr="00761F91">
        <w:t xml:space="preserve">he environmental risk of exposure </w:t>
      </w:r>
      <w:r w:rsidR="00A412E5">
        <w:t>to children is low</w:t>
      </w:r>
      <w:r w:rsidRPr="00761F91">
        <w:t xml:space="preserve"> except when around petroleum (and children don’t generally refuel cars).</w:t>
      </w:r>
    </w:p>
    <w:p w:rsidR="0040589F" w:rsidRPr="00A037E9" w:rsidRDefault="009F32A1" w:rsidP="0040589F">
      <w:r>
        <w:t>We are not aware of any</w:t>
      </w:r>
      <w:r w:rsidR="0040589F" w:rsidRPr="00C137D4">
        <w:t xml:space="preserve"> reported</w:t>
      </w:r>
      <w:r w:rsidR="00170151">
        <w:t xml:space="preserve"> deaths or injuries</w:t>
      </w:r>
      <w:r w:rsidR="0040589F" w:rsidRPr="00C137D4">
        <w:t xml:space="preserve"> associated with exposure to benzene from balloon blowing kits.</w:t>
      </w:r>
    </w:p>
    <w:p w:rsidR="00E0130C" w:rsidRDefault="00E0130C" w:rsidP="0025598F">
      <w:pPr>
        <w:pStyle w:val="Numbered11"/>
        <w:numPr>
          <w:ilvl w:val="1"/>
          <w:numId w:val="34"/>
        </w:numPr>
      </w:pPr>
      <w:bookmarkStart w:id="14" w:name="_Toc448397928"/>
      <w:bookmarkStart w:id="15" w:name="_Toc453749081"/>
      <w:bookmarkStart w:id="16" w:name="_Toc453749327"/>
      <w:bookmarkStart w:id="17" w:name="_Toc453749377"/>
      <w:bookmarkStart w:id="18" w:name="_Toc453759782"/>
      <w:bookmarkStart w:id="19" w:name="_Toc453763180"/>
      <w:bookmarkStart w:id="20" w:name="_Toc453763865"/>
      <w:bookmarkStart w:id="21" w:name="_Toc453765775"/>
      <w:bookmarkStart w:id="22" w:name="_Toc454443990"/>
      <w:bookmarkStart w:id="23" w:name="_Toc454544414"/>
      <w:bookmarkStart w:id="24" w:name="_Toc455579996"/>
      <w:bookmarkStart w:id="25" w:name="_Toc456277614"/>
      <w:bookmarkStart w:id="26" w:name="_Toc456278983"/>
      <w:bookmarkStart w:id="27" w:name="_Toc457311807"/>
      <w:bookmarkStart w:id="28" w:name="_Toc468457521"/>
      <w:r w:rsidRPr="00382011">
        <w:t xml:space="preserve">The </w:t>
      </w:r>
      <w:r w:rsidR="003C3EDE">
        <w:t xml:space="preserve">mandatory </w:t>
      </w:r>
      <w:r w:rsidRPr="00382011">
        <w:t>safety standard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0589F" w:rsidRPr="00AD284E" w:rsidRDefault="0040589F" w:rsidP="0040589F">
      <w:r w:rsidRPr="004F1AF6">
        <w:t xml:space="preserve">The </w:t>
      </w:r>
      <w:r w:rsidR="00944143">
        <w:t xml:space="preserve">current </w:t>
      </w:r>
      <w:r w:rsidR="00EF1018">
        <w:t xml:space="preserve">mandatory </w:t>
      </w:r>
      <w:r w:rsidRPr="004F1AF6">
        <w:t xml:space="preserve">safety standard came into effect </w:t>
      </w:r>
      <w:r>
        <w:t>i</w:t>
      </w:r>
      <w:r w:rsidRPr="004F1AF6">
        <w:t>n 19</w:t>
      </w:r>
      <w:r w:rsidR="00063AEE">
        <w:t>7</w:t>
      </w:r>
      <w:r w:rsidRPr="004F1AF6">
        <w:t>9</w:t>
      </w:r>
      <w:r>
        <w:t xml:space="preserve"> and</w:t>
      </w:r>
      <w:r w:rsidRPr="006D670C">
        <w:t xml:space="preserve"> </w:t>
      </w:r>
      <w:r w:rsidR="00B010A5">
        <w:t>requires</w:t>
      </w:r>
      <w:r w:rsidRPr="006D670C">
        <w:t xml:space="preserve"> that the substance contained in balloon blowing kits </w:t>
      </w:r>
      <w:r w:rsidR="00B010A5">
        <w:t>does</w:t>
      </w:r>
      <w:r w:rsidRPr="006D670C">
        <w:t xml:space="preserve"> not contain benzene.</w:t>
      </w:r>
      <w:r w:rsidR="004E634B">
        <w:rPr>
          <w:rStyle w:val="FootnoteReference"/>
        </w:rPr>
        <w:footnoteReference w:id="1"/>
      </w:r>
      <w:r>
        <w:t xml:space="preserve"> </w:t>
      </w:r>
    </w:p>
    <w:p w:rsidR="00AC5222" w:rsidRPr="009814BE" w:rsidRDefault="00063AEE" w:rsidP="00AC5222">
      <w:r>
        <w:t xml:space="preserve">Measurement techniques have improved considerably since </w:t>
      </w:r>
      <w:r w:rsidR="00AC5222">
        <w:t xml:space="preserve">1979. Such techniques, including gas chromatography, are readily available and can detect benzene at much lower concentrations.  </w:t>
      </w:r>
    </w:p>
    <w:p w:rsidR="009814BE" w:rsidRDefault="00AE6EC3" w:rsidP="009814BE">
      <w:bookmarkStart w:id="29" w:name="_Toc453749341"/>
      <w:r>
        <w:t xml:space="preserve">There has been </w:t>
      </w:r>
      <w:r w:rsidR="0040589F" w:rsidRPr="004605E8">
        <w:t>one recall</w:t>
      </w:r>
      <w:r>
        <w:t xml:space="preserve"> for balloon blowing kits</w:t>
      </w:r>
      <w:r w:rsidR="0040589F" w:rsidRPr="004605E8">
        <w:t xml:space="preserve"> in Australia</w:t>
      </w:r>
      <w:r w:rsidR="0040589F">
        <w:t>:</w:t>
      </w:r>
      <w:r w:rsidR="0040589F" w:rsidRPr="004605E8">
        <w:t xml:space="preserve"> Big W recalled </w:t>
      </w:r>
      <w:hyperlink r:id="rId14" w:history="1">
        <w:r w:rsidR="0040589F" w:rsidRPr="00C9119C">
          <w:rPr>
            <w:rStyle w:val="Hyperlink"/>
          </w:rPr>
          <w:t>B’loonie balloon blowing kits</w:t>
        </w:r>
      </w:hyperlink>
      <w:r w:rsidR="0040589F" w:rsidRPr="004605E8">
        <w:t xml:space="preserve"> in October 2004 because the product contained solvents that may be harmful if ingested or inhaled. </w:t>
      </w:r>
      <w:r w:rsidR="009F32A1">
        <w:t>We do</w:t>
      </w:r>
      <w:r w:rsidR="0040589F">
        <w:t xml:space="preserve"> </w:t>
      </w:r>
      <w:r w:rsidR="009F32A1">
        <w:t xml:space="preserve">not </w:t>
      </w:r>
      <w:r w:rsidR="0040589F">
        <w:t xml:space="preserve">know </w:t>
      </w:r>
      <w:r w:rsidR="009F32A1">
        <w:t>if</w:t>
      </w:r>
      <w:r w:rsidR="0040589F" w:rsidRPr="004605E8">
        <w:t xml:space="preserve"> the product contained benzene.</w:t>
      </w:r>
    </w:p>
    <w:p w:rsidR="002B1ABD" w:rsidRDefault="00812925" w:rsidP="0025598F">
      <w:pPr>
        <w:pStyle w:val="Numbered1"/>
        <w:numPr>
          <w:ilvl w:val="0"/>
          <w:numId w:val="34"/>
        </w:numPr>
        <w:ind w:left="680" w:hanging="680"/>
      </w:pPr>
      <w:bookmarkStart w:id="30" w:name="_Toc455066801"/>
      <w:bookmarkStart w:id="31" w:name="_Toc455066836"/>
      <w:bookmarkStart w:id="32" w:name="_Toc455499192"/>
      <w:bookmarkStart w:id="33" w:name="_Toc455756327"/>
      <w:bookmarkStart w:id="34" w:name="_Toc456098882"/>
      <w:bookmarkStart w:id="35" w:name="_Toc456623858"/>
      <w:bookmarkStart w:id="36" w:name="_Toc457222705"/>
      <w:bookmarkStart w:id="37" w:name="_Toc468457522"/>
      <w:bookmarkEnd w:id="29"/>
      <w:r>
        <w:t>Adopting trusted</w:t>
      </w:r>
      <w:r w:rsidR="002B1ABD">
        <w:t xml:space="preserve"> i</w:t>
      </w:r>
      <w:r w:rsidR="002B1ABD" w:rsidRPr="00844B87">
        <w:t>nternational standards</w:t>
      </w:r>
      <w:bookmarkEnd w:id="30"/>
      <w:bookmarkEnd w:id="31"/>
      <w:bookmarkEnd w:id="32"/>
      <w:bookmarkEnd w:id="33"/>
      <w:bookmarkEnd w:id="34"/>
      <w:bookmarkEnd w:id="35"/>
      <w:bookmarkEnd w:id="36"/>
      <w:bookmarkEnd w:id="37"/>
    </w:p>
    <w:p w:rsidR="002B1ABD" w:rsidRPr="00DB6C88" w:rsidRDefault="002B1ABD" w:rsidP="002B1ABD">
      <w:bookmarkStart w:id="38" w:name="_Toc453749097"/>
      <w:bookmarkStart w:id="39" w:name="_Toc453749343"/>
      <w:bookmarkStart w:id="40" w:name="_Toc453759796"/>
      <w:bookmarkStart w:id="41" w:name="_Toc453763881"/>
      <w:bookmarkStart w:id="42" w:name="_Toc453765791"/>
      <w:bookmarkStart w:id="43" w:name="_Toc454544419"/>
      <w:bookmarkStart w:id="44" w:name="_Toc455580002"/>
      <w:bookmarkStart w:id="45" w:name="_Toc456277620"/>
      <w:bookmarkStart w:id="46" w:name="_Toc456278989"/>
      <w:r w:rsidRPr="00DB6C88">
        <w:t>The ACCC uses the following c</w:t>
      </w:r>
      <w:r w:rsidR="00752F42">
        <w:t xml:space="preserve">riteria when assessing </w:t>
      </w:r>
      <w:r w:rsidRPr="00DB6C88">
        <w:t>internation</w:t>
      </w:r>
      <w:r w:rsidR="00752F42">
        <w:t>al standards for use</w:t>
      </w:r>
      <w:r w:rsidRPr="00DB6C88">
        <w:t xml:space="preserve"> in Australia:</w:t>
      </w:r>
      <w:r w:rsidRPr="00DB6C88">
        <w:rPr>
          <w:vertAlign w:val="superscript"/>
        </w:rPr>
        <w:footnoteReference w:id="2"/>
      </w:r>
      <w:r w:rsidRPr="00DB6C88">
        <w:t xml:space="preserve"> </w:t>
      </w:r>
    </w:p>
    <w:p w:rsidR="002B1ABD" w:rsidRPr="00DB6C88" w:rsidRDefault="002B1ABD" w:rsidP="002C3B3A">
      <w:pPr>
        <w:pStyle w:val="Bulletpoint"/>
        <w:numPr>
          <w:ilvl w:val="0"/>
          <w:numId w:val="35"/>
        </w:numPr>
      </w:pPr>
      <w:r w:rsidRPr="00DB6C88">
        <w:t>Addressing safety concerns: Is there evidence that the international standard provides an acceptable level of consumer safety?</w:t>
      </w:r>
    </w:p>
    <w:p w:rsidR="002B1ABD" w:rsidRDefault="002B1ABD" w:rsidP="002C3B3A">
      <w:pPr>
        <w:pStyle w:val="Bulletpoint"/>
        <w:numPr>
          <w:ilvl w:val="0"/>
          <w:numId w:val="35"/>
        </w:numPr>
      </w:pPr>
      <w:r w:rsidRPr="00EE5651">
        <w:t xml:space="preserve">Comparable jurisdiction to Australia: </w:t>
      </w:r>
      <w:r w:rsidRPr="00DB6C88">
        <w:t>Is the international standard published or developed by a legitimate standards body or government agency from an economy or nation with comparable economic and regulatory processes to Australia?</w:t>
      </w:r>
    </w:p>
    <w:p w:rsidR="007E78E5" w:rsidRDefault="002B1ABD" w:rsidP="00556095">
      <w:pPr>
        <w:pStyle w:val="Bulletpoint"/>
        <w:numPr>
          <w:ilvl w:val="0"/>
          <w:numId w:val="35"/>
        </w:numPr>
      </w:pPr>
      <w:r w:rsidRPr="00EE5651">
        <w:t>Applicability to the Australian context:</w:t>
      </w:r>
      <w:r w:rsidRPr="009256BA">
        <w:rPr>
          <w:bCs/>
        </w:rPr>
        <w:t xml:space="preserve"> </w:t>
      </w:r>
      <w:r w:rsidRPr="00DB6C88">
        <w:t>Is the international standard applicable and sufficient in the Australian context?</w:t>
      </w:r>
    </w:p>
    <w:p w:rsidR="007E78E5" w:rsidRDefault="007E78E5" w:rsidP="00556095">
      <w:pPr>
        <w:pStyle w:val="Bulletpoint"/>
        <w:numPr>
          <w:ilvl w:val="0"/>
          <w:numId w:val="0"/>
        </w:numPr>
        <w:tabs>
          <w:tab w:val="clear" w:pos="340"/>
          <w:tab w:val="left" w:pos="0"/>
        </w:tabs>
      </w:pPr>
      <w:r>
        <w:t>The following comparable jurisdictions regulate the supply of balloon blowing kits:</w:t>
      </w:r>
    </w:p>
    <w:p w:rsidR="007E78E5" w:rsidRDefault="007E78E5" w:rsidP="007E78E5">
      <w:pPr>
        <w:pStyle w:val="Bulletpoint"/>
      </w:pPr>
      <w:r>
        <w:t xml:space="preserve">Canada: Toys Regulations SOR/2011-17 ss.22, 24 annexed in the Canada Consumer Product Safety Act 2011 </w:t>
      </w:r>
    </w:p>
    <w:p w:rsidR="00556095" w:rsidRDefault="007E78E5" w:rsidP="00556095">
      <w:pPr>
        <w:pStyle w:val="Bulletpoint"/>
      </w:pPr>
      <w:r>
        <w:t xml:space="preserve">Europe: EU Toy Safety Directive 2009/48/EC  </w:t>
      </w:r>
    </w:p>
    <w:p w:rsidR="007E78E5" w:rsidRDefault="007E78E5" w:rsidP="00556095">
      <w:pPr>
        <w:pStyle w:val="Bulletpoint"/>
      </w:pPr>
      <w:r>
        <w:t xml:space="preserve">USA: Federal Hazardous Substances Act Regulations 16 CFR 1500.14- Regulations requiring special labelling under section 3(b) of the Act.  </w:t>
      </w:r>
    </w:p>
    <w:p w:rsidR="00063AEE" w:rsidRDefault="00063AEE" w:rsidP="00063AEE">
      <w:pPr>
        <w:pStyle w:val="Bulletpoint"/>
        <w:numPr>
          <w:ilvl w:val="0"/>
          <w:numId w:val="0"/>
        </w:numPr>
        <w:ind w:left="360"/>
      </w:pPr>
    </w:p>
    <w:p w:rsidR="0035213E" w:rsidRPr="001936BA" w:rsidRDefault="0035213E" w:rsidP="0035213E">
      <w:pPr>
        <w:pStyle w:val="Numbered11"/>
        <w:numPr>
          <w:ilvl w:val="1"/>
          <w:numId w:val="34"/>
        </w:numPr>
      </w:pPr>
      <w:bookmarkStart w:id="47" w:name="_Toc468457523"/>
      <w:bookmarkStart w:id="48" w:name="_Toc457311811"/>
      <w:r>
        <w:lastRenderedPageBreak/>
        <w:t>Canadian</w:t>
      </w:r>
      <w:r w:rsidRPr="001936BA">
        <w:t xml:space="preserve"> </w:t>
      </w:r>
      <w:r>
        <w:t>regulation</w:t>
      </w:r>
      <w:bookmarkEnd w:id="47"/>
    </w:p>
    <w:p w:rsidR="0035213E" w:rsidRPr="00CE054D" w:rsidRDefault="0035213E" w:rsidP="0035213E">
      <w:r>
        <w:t xml:space="preserve">In Canada, balloon blowing kits have been </w:t>
      </w:r>
      <w:r w:rsidRPr="005E402E">
        <w:t xml:space="preserve">subject to a product safety ban </w:t>
      </w:r>
      <w:r w:rsidRPr="003E7437">
        <w:t>since</w:t>
      </w:r>
      <w:r>
        <w:t xml:space="preserve"> 1973.</w:t>
      </w:r>
      <w:r w:rsidRPr="002A51E0">
        <w:rPr>
          <w:rStyle w:val="FootnoteReference"/>
        </w:rPr>
        <w:footnoteReference w:id="3"/>
      </w:r>
      <w:r>
        <w:t xml:space="preserve"> </w:t>
      </w:r>
      <w:r w:rsidRPr="00EE582A">
        <w:t>A toy that a child uses to blow balloons must not contain</w:t>
      </w:r>
      <w:r>
        <w:t xml:space="preserve"> an</w:t>
      </w:r>
      <w:r w:rsidRPr="00EE582A">
        <w:t xml:space="preserve"> aromatic, aliphatic</w:t>
      </w:r>
      <w:r>
        <w:t xml:space="preserve"> or another</w:t>
      </w:r>
      <w:r w:rsidRPr="00EE582A">
        <w:t xml:space="preserve"> organic solvent if the solvent or any vapour</w:t>
      </w:r>
      <w:r>
        <w:t xml:space="preserve"> </w:t>
      </w:r>
      <w:r w:rsidRPr="00005AE5">
        <w:t>coming from the solvent</w:t>
      </w:r>
      <w:r>
        <w:t>,</w:t>
      </w:r>
      <w:r w:rsidRPr="00EE582A">
        <w:t xml:space="preserve"> may be released directly into the mouth during or as a result of the normal use of the toy.</w:t>
      </w:r>
      <w:r w:rsidRPr="00932789">
        <w:rPr>
          <w:rStyle w:val="FootnoteReference"/>
        </w:rPr>
        <w:footnoteReference w:id="4"/>
      </w:r>
      <w:r>
        <w:t xml:space="preserve"> Canadian regulation bans benzene in toys.</w:t>
      </w:r>
      <w:r>
        <w:rPr>
          <w:rStyle w:val="FootnoteReference"/>
        </w:rPr>
        <w:footnoteReference w:id="5"/>
      </w:r>
      <w:r>
        <w:t xml:space="preserve"> </w:t>
      </w:r>
    </w:p>
    <w:p w:rsidR="0035213E" w:rsidRDefault="0035213E" w:rsidP="0035213E">
      <w:r>
        <w:t xml:space="preserve">Health Canada </w:t>
      </w:r>
      <w:r w:rsidRPr="004B0819">
        <w:t>advised the ACCC in January 2013</w:t>
      </w:r>
      <w:r>
        <w:t xml:space="preserve"> that they do not test balloon blowing kits for benzene as the ban applies to groups of organic solvents.</w:t>
      </w:r>
    </w:p>
    <w:p w:rsidR="0035213E" w:rsidRPr="009165D0" w:rsidRDefault="0035213E" w:rsidP="0035213E">
      <w:pPr>
        <w:rPr>
          <w:lang w:val="en"/>
        </w:rPr>
      </w:pPr>
      <w:r w:rsidRPr="005E402E">
        <w:rPr>
          <w:lang w:val="en"/>
        </w:rPr>
        <w:t>The AC</w:t>
      </w:r>
      <w:r>
        <w:rPr>
          <w:lang w:val="en"/>
        </w:rPr>
        <w:t xml:space="preserve">CC does not propose to </w:t>
      </w:r>
      <w:r w:rsidRPr="005E402E">
        <w:rPr>
          <w:lang w:val="en"/>
        </w:rPr>
        <w:t>ban balloon blowing kits.</w:t>
      </w:r>
      <w:r>
        <w:rPr>
          <w:lang w:val="en"/>
        </w:rPr>
        <w:t xml:space="preserve"> </w:t>
      </w:r>
    </w:p>
    <w:p w:rsidR="0035213E" w:rsidRPr="00F45891" w:rsidRDefault="0035213E" w:rsidP="0035213E">
      <w:pPr>
        <w:pStyle w:val="Numbered11"/>
        <w:numPr>
          <w:ilvl w:val="1"/>
          <w:numId w:val="34"/>
        </w:numPr>
      </w:pPr>
      <w:bookmarkStart w:id="49" w:name="_Toc468457524"/>
      <w:r w:rsidRPr="00F45891">
        <w:t xml:space="preserve">European </w:t>
      </w:r>
      <w:r>
        <w:t>regulation</w:t>
      </w:r>
      <w:bookmarkEnd w:id="49"/>
    </w:p>
    <w:p w:rsidR="0035213E" w:rsidRDefault="0035213E" w:rsidP="0035213E">
      <w:r w:rsidRPr="00F45891">
        <w:t xml:space="preserve">The </w:t>
      </w:r>
      <w:r w:rsidRPr="00D26427">
        <w:t>E</w:t>
      </w:r>
      <w:r>
        <w:t xml:space="preserve">uropean </w:t>
      </w:r>
      <w:r w:rsidRPr="00D26427">
        <w:t>U</w:t>
      </w:r>
      <w:r>
        <w:t>nion</w:t>
      </w:r>
      <w:r w:rsidRPr="00D26427">
        <w:t xml:space="preserve"> </w:t>
      </w:r>
      <w:r>
        <w:t xml:space="preserve">(EU) </w:t>
      </w:r>
      <w:r w:rsidRPr="00F45891">
        <w:t xml:space="preserve">Toy Safety Directive 2009/48/EC requires toys to comply with the </w:t>
      </w:r>
      <w:r>
        <w:t xml:space="preserve">EU </w:t>
      </w:r>
      <w:r w:rsidRPr="00F45891">
        <w:t>Registration, Evaluation, Authorisation and Restriction of Chemicals (REACH) regulation.</w:t>
      </w:r>
      <w:r w:rsidRPr="00F45891">
        <w:rPr>
          <w:rStyle w:val="FootnoteReference"/>
        </w:rPr>
        <w:footnoteReference w:id="6"/>
      </w:r>
      <w:r w:rsidRPr="00F45891">
        <w:t xml:space="preserve"> The </w:t>
      </w:r>
      <w:r>
        <w:t xml:space="preserve">European </w:t>
      </w:r>
      <w:r w:rsidRPr="00F45891">
        <w:t>regulation restrict</w:t>
      </w:r>
      <w:r>
        <w:t>s</w:t>
      </w:r>
      <w:r w:rsidRPr="00F45891">
        <w:t xml:space="preserve"> benzene in toys in concentrations above </w:t>
      </w:r>
      <w:r>
        <w:br/>
      </w:r>
      <w:r w:rsidRPr="00F45891">
        <w:t>5 mg/kg (5 parts per million) of the weight of the toy or part of the toy.</w:t>
      </w:r>
      <w:r w:rsidRPr="00F45891">
        <w:rPr>
          <w:rStyle w:val="FootnoteReference"/>
        </w:rPr>
        <w:footnoteReference w:id="7"/>
      </w:r>
      <w:r w:rsidRPr="00F45891">
        <w:t xml:space="preserve"> Non-compliant toys or parts of toys cannot be placed on the market, or used as a substance, as a constituent of other substances or in mixtures, in concentrations equal to or greater than 0.1</w:t>
      </w:r>
      <w:r>
        <w:t xml:space="preserve"> per cent</w:t>
      </w:r>
      <w:r w:rsidRPr="00F45891">
        <w:t xml:space="preserve"> by weight.</w:t>
      </w:r>
      <w:r w:rsidRPr="00F45891">
        <w:rPr>
          <w:rStyle w:val="FootnoteReference"/>
        </w:rPr>
        <w:footnoteReference w:id="8"/>
      </w:r>
      <w:r w:rsidRPr="00F45891">
        <w:t xml:space="preserve"> </w:t>
      </w:r>
      <w:r w:rsidRPr="00D26427">
        <w:t xml:space="preserve">Similar restrictions existed before the current </w:t>
      </w:r>
      <w:r>
        <w:t xml:space="preserve">EU </w:t>
      </w:r>
      <w:r w:rsidRPr="00D26427">
        <w:t>Toy Safety Directive</w:t>
      </w:r>
      <w:r>
        <w:t>.</w:t>
      </w:r>
    </w:p>
    <w:p w:rsidR="0035213E" w:rsidRPr="00D26427" w:rsidRDefault="0035213E" w:rsidP="0035213E">
      <w:r>
        <w:t>I</w:t>
      </w:r>
      <w:r w:rsidRPr="00D26427">
        <w:t>n 2008, a balloon blowing kit was recalled</w:t>
      </w:r>
      <w:r>
        <w:t xml:space="preserve"> in Germany</w:t>
      </w:r>
      <w:r w:rsidRPr="00D26427">
        <w:t xml:space="preserve"> because it contained excessive benzene. </w:t>
      </w:r>
    </w:p>
    <w:p w:rsidR="0035213E" w:rsidRPr="002831A6" w:rsidRDefault="0035213E" w:rsidP="0035213E">
      <w:r w:rsidRPr="002831A6">
        <w:t xml:space="preserve">We seek stakeholder feedback on the option to </w:t>
      </w:r>
      <w:r w:rsidRPr="004F2FDE">
        <w:t>set a limit of 5 parts per million for benzene in balloon blowing kits in Australia. This is equivalent to the European standard.</w:t>
      </w:r>
      <w:r w:rsidRPr="002831A6">
        <w:t xml:space="preserve">  </w:t>
      </w:r>
    </w:p>
    <w:p w:rsidR="0035213E" w:rsidRPr="00281344" w:rsidRDefault="0035213E" w:rsidP="0035213E">
      <w:pPr>
        <w:pStyle w:val="Numbered11"/>
        <w:numPr>
          <w:ilvl w:val="1"/>
          <w:numId w:val="34"/>
        </w:numPr>
      </w:pPr>
      <w:bookmarkStart w:id="50" w:name="_Toc468457525"/>
      <w:r w:rsidRPr="00281344">
        <w:t xml:space="preserve">US </w:t>
      </w:r>
      <w:r>
        <w:t>regulation</w:t>
      </w:r>
      <w:bookmarkEnd w:id="50"/>
    </w:p>
    <w:p w:rsidR="0035213E" w:rsidRPr="00281344" w:rsidRDefault="0035213E" w:rsidP="0035213E">
      <w:r w:rsidRPr="00281344">
        <w:t>The Consumer Product Safety Commission is a federal agency of the US Government that administers the Federal Hazardous Substances Act (FHSA) Regulations. FHSA Regulations 16 CFR 1500.14 imposes mandatory labelling requirements for products containing benzene.</w:t>
      </w:r>
      <w:r w:rsidRPr="00281344">
        <w:rPr>
          <w:rStyle w:val="FootnoteReference"/>
        </w:rPr>
        <w:footnoteReference w:id="9"/>
      </w:r>
      <w:r w:rsidRPr="00281344">
        <w:t xml:space="preserve"> Products containing five per cent or more by weight of benzene </w:t>
      </w:r>
      <w:r>
        <w:t>must</w:t>
      </w:r>
      <w:r w:rsidRPr="00281344">
        <w:t xml:space="preserve"> be labelled with the signal word “</w:t>
      </w:r>
      <w:r>
        <w:t>D</w:t>
      </w:r>
      <w:r w:rsidRPr="00281344">
        <w:t xml:space="preserve">anger”, the </w:t>
      </w:r>
      <w:r>
        <w:t>statement of hazard “Vapour</w:t>
      </w:r>
      <w:r w:rsidRPr="00281344">
        <w:t xml:space="preserve"> harmful”, the word “poison” and the skull and crossbones symbol. Products containing 10 per cent or more by weight of benzene </w:t>
      </w:r>
      <w:r>
        <w:t>must</w:t>
      </w:r>
      <w:r w:rsidRPr="00281344">
        <w:t xml:space="preserve"> carry the additional statements: “Harmful or fatal if swallowed” and “Call physician immediately”.    </w:t>
      </w:r>
    </w:p>
    <w:p w:rsidR="0035213E" w:rsidRPr="007D6274" w:rsidRDefault="0035213E" w:rsidP="0035213E">
      <w:pPr>
        <w:rPr>
          <w:lang w:val="en"/>
        </w:rPr>
      </w:pPr>
      <w:r>
        <w:rPr>
          <w:lang w:val="en"/>
        </w:rPr>
        <w:t>If applied to balloon blowing kits, the US regulation would allow an unacceptable level</w:t>
      </w:r>
      <w:r w:rsidRPr="00D32A1D">
        <w:rPr>
          <w:lang w:val="en"/>
        </w:rPr>
        <w:t xml:space="preserve"> of benzene</w:t>
      </w:r>
      <w:r>
        <w:rPr>
          <w:lang w:val="en"/>
        </w:rPr>
        <w:t xml:space="preserve"> in the product</w:t>
      </w:r>
      <w:r w:rsidRPr="00D32A1D">
        <w:rPr>
          <w:lang w:val="en"/>
        </w:rPr>
        <w:t>.</w:t>
      </w:r>
      <w:r>
        <w:rPr>
          <w:lang w:val="en"/>
        </w:rPr>
        <w:t xml:space="preserve"> W</w:t>
      </w:r>
      <w:r w:rsidRPr="001F39FB">
        <w:rPr>
          <w:lang w:val="en"/>
        </w:rPr>
        <w:t xml:space="preserve">arning labels </w:t>
      </w:r>
      <w:r>
        <w:rPr>
          <w:lang w:val="en"/>
        </w:rPr>
        <w:t xml:space="preserve">also </w:t>
      </w:r>
      <w:r w:rsidRPr="001F39FB">
        <w:rPr>
          <w:lang w:val="en"/>
        </w:rPr>
        <w:t>control risk less effective</w:t>
      </w:r>
      <w:r>
        <w:rPr>
          <w:lang w:val="en"/>
        </w:rPr>
        <w:t>ly</w:t>
      </w:r>
      <w:r w:rsidRPr="001F39FB">
        <w:rPr>
          <w:lang w:val="en"/>
        </w:rPr>
        <w:t xml:space="preserve"> than </w:t>
      </w:r>
      <w:r>
        <w:rPr>
          <w:lang w:val="en"/>
        </w:rPr>
        <w:t>addressing</w:t>
      </w:r>
      <w:r w:rsidRPr="001F39FB">
        <w:rPr>
          <w:lang w:val="en"/>
        </w:rPr>
        <w:t xml:space="preserve"> the </w:t>
      </w:r>
      <w:r>
        <w:rPr>
          <w:lang w:val="en"/>
        </w:rPr>
        <w:t xml:space="preserve">underlying </w:t>
      </w:r>
      <w:r w:rsidRPr="001F39FB">
        <w:rPr>
          <w:lang w:val="en"/>
        </w:rPr>
        <w:t>hazard</w:t>
      </w:r>
      <w:r>
        <w:rPr>
          <w:lang w:val="en"/>
        </w:rPr>
        <w:t>, particularly when children use the product.</w:t>
      </w:r>
      <w:r w:rsidRPr="00A4177B">
        <w:rPr>
          <w:lang w:val="en"/>
        </w:rPr>
        <w:t xml:space="preserve"> </w:t>
      </w:r>
      <w:r w:rsidRPr="00D32A1D">
        <w:rPr>
          <w:lang w:val="en"/>
        </w:rPr>
        <w:t xml:space="preserve">The ACCC </w:t>
      </w:r>
      <w:r>
        <w:rPr>
          <w:lang w:val="en"/>
        </w:rPr>
        <w:t xml:space="preserve">therefore </w:t>
      </w:r>
      <w:r w:rsidRPr="00D32A1D">
        <w:rPr>
          <w:lang w:val="en"/>
        </w:rPr>
        <w:t xml:space="preserve">does not propose to </w:t>
      </w:r>
      <w:r>
        <w:rPr>
          <w:lang w:val="en"/>
        </w:rPr>
        <w:t>accept</w:t>
      </w:r>
      <w:r w:rsidRPr="00D32A1D">
        <w:rPr>
          <w:lang w:val="en"/>
        </w:rPr>
        <w:t xml:space="preserve"> </w:t>
      </w:r>
      <w:r>
        <w:rPr>
          <w:lang w:val="en"/>
        </w:rPr>
        <w:t>the US regulation</w:t>
      </w:r>
      <w:r w:rsidRPr="00D32A1D">
        <w:rPr>
          <w:lang w:val="en"/>
        </w:rPr>
        <w:t xml:space="preserve"> for balloon blowing kits</w:t>
      </w:r>
      <w:r>
        <w:rPr>
          <w:lang w:val="en"/>
        </w:rPr>
        <w:t xml:space="preserve"> in Australia.</w:t>
      </w:r>
    </w:p>
    <w:p w:rsidR="0035213E" w:rsidRDefault="0035213E" w:rsidP="0035213E">
      <w:pPr>
        <w:pStyle w:val="Numbered1"/>
        <w:numPr>
          <w:ilvl w:val="0"/>
          <w:numId w:val="28"/>
        </w:numPr>
        <w:ind w:left="680" w:hanging="680"/>
      </w:pPr>
      <w:bookmarkStart w:id="51" w:name="_Toc468457526"/>
      <w:r>
        <w:lastRenderedPageBreak/>
        <w:t xml:space="preserve">Detailed </w:t>
      </w:r>
      <w:r w:rsidRPr="00382011">
        <w:t>description</w:t>
      </w:r>
      <w:r>
        <w:t xml:space="preserve"> of policy options</w:t>
      </w:r>
      <w:bookmarkEnd w:id="51"/>
    </w:p>
    <w:p w:rsidR="0035213E" w:rsidRPr="00297D3B" w:rsidRDefault="0035213E" w:rsidP="0035213E">
      <w:pPr>
        <w:pStyle w:val="Heading2"/>
        <w:rPr>
          <w:b w:val="0"/>
        </w:rPr>
      </w:pPr>
      <w:bookmarkStart w:id="52" w:name="_Toc468457527"/>
      <w:r>
        <w:rPr>
          <w:b w:val="0"/>
        </w:rPr>
        <w:t>Option 1 - Keep the current mandatory safety</w:t>
      </w:r>
      <w:r w:rsidRPr="00297D3B">
        <w:rPr>
          <w:b w:val="0"/>
        </w:rPr>
        <w:t xml:space="preserve"> standard (status quo</w:t>
      </w:r>
      <w:r>
        <w:rPr>
          <w:b w:val="0"/>
        </w:rPr>
        <w:t>: no benzene</w:t>
      </w:r>
      <w:r w:rsidRPr="00297D3B">
        <w:rPr>
          <w:b w:val="0"/>
        </w:rPr>
        <w:t>)</w:t>
      </w:r>
      <w:bookmarkEnd w:id="52"/>
    </w:p>
    <w:p w:rsidR="0035213E" w:rsidRPr="0059622D" w:rsidRDefault="0035213E" w:rsidP="0035213E">
      <w:pPr>
        <w:rPr>
          <w:b/>
        </w:rPr>
      </w:pPr>
      <w:r w:rsidRPr="0059622D">
        <w:rPr>
          <w:b/>
        </w:rPr>
        <w:t>Description</w:t>
      </w:r>
    </w:p>
    <w:p w:rsidR="0035213E" w:rsidRPr="00564A1E" w:rsidRDefault="0035213E" w:rsidP="0035213E">
      <w:pPr>
        <w:rPr>
          <w:i/>
        </w:rPr>
      </w:pPr>
      <w:r>
        <w:t>The mandatory</w:t>
      </w:r>
      <w:r w:rsidRPr="00C06821">
        <w:t xml:space="preserve"> safety </w:t>
      </w:r>
      <w:r>
        <w:t>standard does not allow b</w:t>
      </w:r>
      <w:r w:rsidRPr="00A76D1F">
        <w:t xml:space="preserve">alloon blowing kits </w:t>
      </w:r>
      <w:r>
        <w:t>to contain any benzene</w:t>
      </w:r>
      <w:r w:rsidRPr="00A76D1F">
        <w:t>.</w:t>
      </w:r>
    </w:p>
    <w:p w:rsidR="0035213E" w:rsidRPr="0059622D" w:rsidRDefault="0035213E" w:rsidP="0035213E">
      <w:pPr>
        <w:rPr>
          <w:b/>
        </w:rPr>
      </w:pPr>
      <w:r w:rsidRPr="0059622D">
        <w:rPr>
          <w:b/>
        </w:rPr>
        <w:t>Benefits</w:t>
      </w:r>
    </w:p>
    <w:p w:rsidR="0035213E" w:rsidRPr="00564A1E" w:rsidRDefault="0035213E" w:rsidP="0035213E">
      <w:r>
        <w:t>The penalties associated with breaching a mandatory safety standard under the Australian Consumer Law (ACL) would continue to apply and provide an incentive for suppliers to supply products with no measurable levels of benzene.</w:t>
      </w:r>
    </w:p>
    <w:p w:rsidR="0035213E" w:rsidRPr="002352A3" w:rsidRDefault="0035213E" w:rsidP="0035213E">
      <w:r w:rsidRPr="00A50F45">
        <w:t xml:space="preserve">There would be no </w:t>
      </w:r>
      <w:r>
        <w:t>new</w:t>
      </w:r>
      <w:r w:rsidRPr="00A50F45">
        <w:t xml:space="preserve"> compliance </w:t>
      </w:r>
      <w:r>
        <w:t>or</w:t>
      </w:r>
      <w:r w:rsidRPr="00A50F45">
        <w:t xml:space="preserve"> regulatory costs. </w:t>
      </w:r>
    </w:p>
    <w:p w:rsidR="0035213E" w:rsidRPr="0059622D" w:rsidRDefault="0035213E" w:rsidP="0035213E">
      <w:pPr>
        <w:rPr>
          <w:b/>
        </w:rPr>
      </w:pPr>
      <w:r w:rsidRPr="0059622D">
        <w:rPr>
          <w:b/>
        </w:rPr>
        <w:t>Limitations</w:t>
      </w:r>
    </w:p>
    <w:p w:rsidR="0035213E" w:rsidRDefault="0035213E" w:rsidP="0035213E">
      <w:r>
        <w:t>There has been significant research on what level of benzene represents a danger to children and increased technical ability to detect benzene since this standard began in 1979. The mandatory safety standard would continue to prevent the supply of products with low benzene levels that represent no danger to children. The ongoing regulatory burden for suppliers may not be necessary.</w:t>
      </w:r>
    </w:p>
    <w:p w:rsidR="0035213E" w:rsidRPr="00297D3B" w:rsidRDefault="0035213E" w:rsidP="0035213E">
      <w:pPr>
        <w:pStyle w:val="Heading2"/>
        <w:rPr>
          <w:b w:val="0"/>
        </w:rPr>
      </w:pPr>
      <w:bookmarkStart w:id="53" w:name="_Toc468457528"/>
      <w:r>
        <w:rPr>
          <w:b w:val="0"/>
        </w:rPr>
        <w:t>Option 2 - Set a maximum benzene level of 5 parts per million (same as Europe)</w:t>
      </w:r>
      <w:bookmarkEnd w:id="53"/>
      <w:r>
        <w:rPr>
          <w:b w:val="0"/>
        </w:rPr>
        <w:t xml:space="preserve"> </w:t>
      </w:r>
    </w:p>
    <w:p w:rsidR="0035213E" w:rsidRPr="0059622D" w:rsidRDefault="0035213E" w:rsidP="0035213E">
      <w:pPr>
        <w:rPr>
          <w:b/>
        </w:rPr>
      </w:pPr>
      <w:r w:rsidRPr="0059622D">
        <w:rPr>
          <w:b/>
        </w:rPr>
        <w:t>Description</w:t>
      </w:r>
    </w:p>
    <w:p w:rsidR="0035213E" w:rsidRPr="00E9011D" w:rsidRDefault="0035213E" w:rsidP="0035213E">
      <w:r>
        <w:t xml:space="preserve">The Minister would amend the mandatory safety standard to set a limit for benzene in balloon blowing kits at 5 parts per million (5 mg/kg). This level is consistent with the EU REACH regulation referenced in the </w:t>
      </w:r>
      <w:r>
        <w:rPr>
          <w:lang w:val="en"/>
        </w:rPr>
        <w:t>EU Toy S</w:t>
      </w:r>
      <w:r w:rsidRPr="00E9011D">
        <w:rPr>
          <w:lang w:val="en"/>
        </w:rPr>
        <w:t>afety Directive 2009/48/EU.</w:t>
      </w:r>
      <w:r>
        <w:rPr>
          <w:lang w:val="en"/>
        </w:rPr>
        <w:t xml:space="preserve"> </w:t>
      </w:r>
      <w:r>
        <w:t xml:space="preserve">  </w:t>
      </w:r>
    </w:p>
    <w:p w:rsidR="0035213E" w:rsidRPr="0059622D" w:rsidRDefault="0035213E" w:rsidP="0035213E">
      <w:pPr>
        <w:rPr>
          <w:b/>
        </w:rPr>
      </w:pPr>
      <w:r w:rsidRPr="0059622D">
        <w:rPr>
          <w:b/>
        </w:rPr>
        <w:t>Benefits</w:t>
      </w:r>
    </w:p>
    <w:p w:rsidR="0035213E" w:rsidRDefault="0035213E" w:rsidP="0035213E">
      <w:r w:rsidRPr="003F4F6F">
        <w:t>Th</w:t>
      </w:r>
      <w:r>
        <w:t>is would reduce the</w:t>
      </w:r>
      <w:r w:rsidRPr="003F4F6F">
        <w:t xml:space="preserve"> regulatory burden and compliance costs for suppliers. Suppliers could </w:t>
      </w:r>
      <w:r>
        <w:t>rely on compliance with European regulation for products they supplied in Australia</w:t>
      </w:r>
      <w:r w:rsidRPr="003F4F6F">
        <w:t xml:space="preserve">. </w:t>
      </w:r>
      <w:r>
        <w:t>They would not need to arrange</w:t>
      </w:r>
      <w:r w:rsidRPr="003F4F6F">
        <w:t xml:space="preserve"> additional testing to ensure zero levels of benzene</w:t>
      </w:r>
      <w:r>
        <w:t>. The level of safety would remain the same</w:t>
      </w:r>
      <w:r w:rsidRPr="009C7D6E">
        <w:t xml:space="preserve">. </w:t>
      </w:r>
    </w:p>
    <w:p w:rsidR="0035213E" w:rsidRPr="009C7D6E" w:rsidRDefault="0035213E" w:rsidP="0035213E">
      <w:r>
        <w:t>The A</w:t>
      </w:r>
      <w:r w:rsidRPr="009C7D6E">
        <w:t xml:space="preserve">ustralian regulatory requirement would harmonise with </w:t>
      </w:r>
      <w:r>
        <w:t>a</w:t>
      </w:r>
      <w:r w:rsidRPr="009C7D6E">
        <w:t xml:space="preserve"> major international market.</w:t>
      </w:r>
      <w:r>
        <w:t xml:space="preserve"> </w:t>
      </w:r>
    </w:p>
    <w:p w:rsidR="0035213E" w:rsidRPr="009C7D6E" w:rsidRDefault="0035213E" w:rsidP="0035213E">
      <w:r>
        <w:rPr>
          <w:rFonts w:cs="Arial"/>
        </w:rPr>
        <w:t xml:space="preserve">As all products are imported, the use of an international benchmark may result in </w:t>
      </w:r>
      <w:r w:rsidRPr="009C7D6E">
        <w:rPr>
          <w:rFonts w:cs="Arial"/>
        </w:rPr>
        <w:t>a wider range of products becoming available to Australian consumers.</w:t>
      </w:r>
      <w:r>
        <w:rPr>
          <w:rFonts w:cs="Arial"/>
        </w:rPr>
        <w:t xml:space="preserve"> Greater availability and competition may exert downward pressure on prices.</w:t>
      </w:r>
    </w:p>
    <w:p w:rsidR="0035213E" w:rsidRPr="0059622D" w:rsidRDefault="0035213E" w:rsidP="0035213E">
      <w:pPr>
        <w:rPr>
          <w:b/>
        </w:rPr>
      </w:pPr>
      <w:r w:rsidRPr="0059622D">
        <w:rPr>
          <w:b/>
        </w:rPr>
        <w:t>Limitations</w:t>
      </w:r>
    </w:p>
    <w:p w:rsidR="0035213E" w:rsidRPr="00DF20A7" w:rsidRDefault="0035213E" w:rsidP="0035213E">
      <w:r>
        <w:t xml:space="preserve">Allowing some </w:t>
      </w:r>
      <w:r w:rsidRPr="00B04832">
        <w:t xml:space="preserve">benzene in balloon blowing kits might </w:t>
      </w:r>
      <w:r>
        <w:t>increase consumer concern over safety. However, the independent toxicological advice concluded that the risk from benzene in balloon blowing kits at 5 parts per million was negligible and the risk did not become plausible until the higher concentration of 6 parts per million.</w:t>
      </w:r>
    </w:p>
    <w:p w:rsidR="0035213E" w:rsidRPr="00297D3B" w:rsidRDefault="00854EFB" w:rsidP="0035213E">
      <w:pPr>
        <w:pStyle w:val="Heading2"/>
        <w:rPr>
          <w:b w:val="0"/>
        </w:rPr>
      </w:pPr>
      <w:r>
        <w:rPr>
          <w:b w:val="0"/>
        </w:rPr>
        <w:br w:type="page"/>
      </w:r>
      <w:bookmarkStart w:id="54" w:name="_Toc468457529"/>
      <w:r w:rsidR="0035213E" w:rsidRPr="001D67D1">
        <w:rPr>
          <w:b w:val="0"/>
        </w:rPr>
        <w:lastRenderedPageBreak/>
        <w:t>Option 3 - Revoke the mandatory safety standard</w:t>
      </w:r>
      <w:bookmarkEnd w:id="54"/>
    </w:p>
    <w:p w:rsidR="0035213E" w:rsidRPr="0059622D" w:rsidRDefault="0035213E" w:rsidP="0035213E">
      <w:pPr>
        <w:rPr>
          <w:b/>
        </w:rPr>
      </w:pPr>
      <w:r w:rsidRPr="0059622D">
        <w:rPr>
          <w:b/>
        </w:rPr>
        <w:t>Description</w:t>
      </w:r>
    </w:p>
    <w:p w:rsidR="0035213E" w:rsidRDefault="0035213E" w:rsidP="0035213E">
      <w:r>
        <w:t>Very few consumer goods in Australia are regulated by mandatory safety standards. Revoking the mandatory safety standard would mean suppliers would still need to have regard to</w:t>
      </w:r>
      <w:r w:rsidRPr="00EB0DB0">
        <w:t xml:space="preserve"> </w:t>
      </w:r>
      <w:r>
        <w:t>the consumer</w:t>
      </w:r>
      <w:r w:rsidRPr="00EB0DB0">
        <w:t xml:space="preserve"> protection</w:t>
      </w:r>
      <w:r>
        <w:t xml:space="preserve"> provisions</w:t>
      </w:r>
      <w:r w:rsidRPr="00EB0DB0">
        <w:t xml:space="preserve"> of the Australian Consumer Law (ACL). The</w:t>
      </w:r>
      <w:r>
        <w:t xml:space="preserve"> ACL provides consumers with specific protections for consumer transactions called statutory consumer guarantees every time they purchase goods or services. One of those guarantees is that goods will be of acceptable quality, meaning they are safe and fit for purpose.</w:t>
      </w:r>
    </w:p>
    <w:p w:rsidR="0035213E" w:rsidRDefault="0035213E" w:rsidP="0035213E">
      <w:r w:rsidRPr="00BE1086">
        <w:t>Consumer protections also exist to safeguard against suppliers engaging in conduct that is likely to be misleading or deceptive. Additionally, there are provisions for injury reporting, recalls and product liability.</w:t>
      </w:r>
      <w:r>
        <w:t xml:space="preserve"> </w:t>
      </w:r>
      <w:r w:rsidRPr="00BE1086">
        <w:t xml:space="preserve">These provisions give suppliers an incentive to ensure that the goods they supply are safe. </w:t>
      </w:r>
    </w:p>
    <w:p w:rsidR="0035213E" w:rsidRDefault="0035213E" w:rsidP="0035213E">
      <w:r>
        <w:t>Suppliers of balloon blowing kits may independently choose to limit the amount of benzene in the product, but this would not be legally required.</w:t>
      </w:r>
      <w:r w:rsidRPr="00547FBC">
        <w:t xml:space="preserve"> </w:t>
      </w:r>
      <w:r>
        <w:t>Without a specific regulation, the European limit of 5 parts per million would effectively become the benchmark limit for benzene in these products.</w:t>
      </w:r>
      <w:r w:rsidRPr="00EE654A">
        <w:t xml:space="preserve"> </w:t>
      </w:r>
      <w:r w:rsidRPr="00F90C03">
        <w:t>The ACCC would provide guidance on acceptable levels of benzene and make the advice it has received on the risk available to the public.</w:t>
      </w:r>
      <w:r>
        <w:t xml:space="preserve"> </w:t>
      </w:r>
    </w:p>
    <w:p w:rsidR="0035213E" w:rsidRPr="00B34A29" w:rsidRDefault="0035213E" w:rsidP="0035213E">
      <w:r w:rsidRPr="00BE1086">
        <w:t>The ACCC would still be able to take safety action if needed – for example, through recalls</w:t>
      </w:r>
      <w:r>
        <w:t xml:space="preserve"> of balloon blowing kits found to contain benzene at concentrations of 6 parts per million or higher</w:t>
      </w:r>
      <w:r w:rsidRPr="00BE1086">
        <w:t>.</w:t>
      </w:r>
    </w:p>
    <w:p w:rsidR="0035213E" w:rsidRPr="0059622D" w:rsidRDefault="0035213E" w:rsidP="0035213E">
      <w:pPr>
        <w:rPr>
          <w:b/>
        </w:rPr>
      </w:pPr>
      <w:r w:rsidRPr="0059622D">
        <w:rPr>
          <w:b/>
        </w:rPr>
        <w:t>Benefits</w:t>
      </w:r>
    </w:p>
    <w:p w:rsidR="0035213E" w:rsidRDefault="0035213E" w:rsidP="0035213E">
      <w:r w:rsidRPr="003F4F6F">
        <w:t>Th</w:t>
      </w:r>
      <w:r>
        <w:t>is would reduce the</w:t>
      </w:r>
      <w:r w:rsidRPr="003F4F6F">
        <w:t xml:space="preserve"> regulatory burden and compliance costs for suppliers. Suppliers </w:t>
      </w:r>
      <w:r>
        <w:t>would not need to arrange</w:t>
      </w:r>
      <w:r w:rsidRPr="003F4F6F">
        <w:t xml:space="preserve"> additional testing to ensure zero levels of benzene</w:t>
      </w:r>
      <w:r>
        <w:t xml:space="preserve"> and could rely on European regulation limits to ensure safety. </w:t>
      </w:r>
      <w:r w:rsidRPr="001A6055">
        <w:t xml:space="preserve">The level of safety would therefore remain about the same. </w:t>
      </w:r>
    </w:p>
    <w:p w:rsidR="0035213E" w:rsidRPr="00564A1E" w:rsidRDefault="0035213E" w:rsidP="0035213E">
      <w:r>
        <w:t xml:space="preserve">Governments would also save the costs associated with maintaining a specific safety regulation for balloon blowing kits. Regulators could deploy resources to bigger safety concerns. </w:t>
      </w:r>
    </w:p>
    <w:p w:rsidR="0035213E" w:rsidRPr="0059622D" w:rsidRDefault="0035213E" w:rsidP="0035213E">
      <w:pPr>
        <w:rPr>
          <w:b/>
        </w:rPr>
      </w:pPr>
      <w:r w:rsidRPr="0059622D">
        <w:rPr>
          <w:b/>
        </w:rPr>
        <w:t>Limitations</w:t>
      </w:r>
    </w:p>
    <w:p w:rsidR="0035213E" w:rsidRDefault="0035213E" w:rsidP="0035213E">
      <w:r w:rsidRPr="001A6055">
        <w:t xml:space="preserve">The absence of a mandatory </w:t>
      </w:r>
      <w:r>
        <w:t xml:space="preserve">safety </w:t>
      </w:r>
      <w:r w:rsidRPr="001A6055">
        <w:t>standard might, over time, reduce supplier awareness of acceptable limits for benzene</w:t>
      </w:r>
      <w:r>
        <w:t>.</w:t>
      </w:r>
      <w:r w:rsidRPr="001A6055">
        <w:t xml:space="preserve"> </w:t>
      </w:r>
      <w:r>
        <w:t xml:space="preserve">Without the </w:t>
      </w:r>
      <w:r w:rsidRPr="001A6055">
        <w:t xml:space="preserve">penalties </w:t>
      </w:r>
      <w:r>
        <w:t>associated</w:t>
      </w:r>
      <w:r w:rsidRPr="001A6055">
        <w:t xml:space="preserve"> </w:t>
      </w:r>
      <w:r>
        <w:t xml:space="preserve">with a specific mandatory safety standard, </w:t>
      </w:r>
      <w:r w:rsidRPr="001A6055">
        <w:t>the</w:t>
      </w:r>
      <w:r>
        <w:t>re may be less</w:t>
      </w:r>
      <w:r w:rsidRPr="001A6055">
        <w:t xml:space="preserve"> incentive to ensure the products </w:t>
      </w:r>
      <w:r>
        <w:t>contain acceptable levels of benzene</w:t>
      </w:r>
      <w:r w:rsidRPr="001A6055">
        <w:t>. This could reduce consumer and retailer confidence in toy safety.</w:t>
      </w:r>
      <w:r>
        <w:t xml:space="preserve"> </w:t>
      </w:r>
    </w:p>
    <w:p w:rsidR="0035213E" w:rsidRDefault="0035213E" w:rsidP="0035213E">
      <w:pPr>
        <w:pStyle w:val="Numbered1"/>
        <w:numPr>
          <w:ilvl w:val="0"/>
          <w:numId w:val="28"/>
        </w:numPr>
        <w:ind w:left="680" w:hanging="680"/>
      </w:pPr>
      <w:bookmarkStart w:id="55" w:name="_Toc468457530"/>
      <w:r>
        <w:t>Preliminary position</w:t>
      </w:r>
      <w:bookmarkEnd w:id="55"/>
    </w:p>
    <w:p w:rsidR="0035213E" w:rsidRPr="00F90C03" w:rsidRDefault="0035213E" w:rsidP="0035213E">
      <w:r w:rsidRPr="00F90C03">
        <w:t>The preliminary position of the ACCC is that, on balance, setting a maximum level of benzene at 5 parts per million (Option 2) is the most appropriate option.</w:t>
      </w:r>
    </w:p>
    <w:p w:rsidR="0035213E" w:rsidRDefault="0035213E" w:rsidP="0035213E">
      <w:pPr>
        <w:rPr>
          <w:rFonts w:cs="Arial"/>
        </w:rPr>
      </w:pPr>
      <w:r w:rsidRPr="00F90C03">
        <w:t xml:space="preserve">This option is consistent with the safety advice on benzene and adapts the regulation to current information and benzene testing capabilities. It would also allow alignment with the European standard. A mandatory safety standard </w:t>
      </w:r>
      <w:r w:rsidR="00F90C03">
        <w:t xml:space="preserve">empowers regulators </w:t>
      </w:r>
      <w:r w:rsidRPr="00F90C03">
        <w:t>to stop sale and to take action against suppliers. Stakeholder submissions to this consultation will help us test this position</w:t>
      </w:r>
      <w:r w:rsidRPr="00F90C03">
        <w:rPr>
          <w:rFonts w:cs="Arial"/>
        </w:rPr>
        <w:t xml:space="preserve"> before we settle on a final recommendation to the Minister.</w:t>
      </w:r>
    </w:p>
    <w:p w:rsidR="0035213E" w:rsidRDefault="0035213E" w:rsidP="0035213E">
      <w:r w:rsidRPr="006756DE">
        <w:lastRenderedPageBreak/>
        <w:t xml:space="preserve">The Office of Best Practice Regulation (OBPR) has advised that a Regulation Impact Statement (RIS) is </w:t>
      </w:r>
      <w:r>
        <w:t>unnecessary</w:t>
      </w:r>
      <w:r w:rsidRPr="006756DE">
        <w:t>, as the current proposal</w:t>
      </w:r>
      <w:r>
        <w:t xml:space="preserve"> to revoke</w:t>
      </w:r>
      <w:r w:rsidRPr="006756DE">
        <w:t xml:space="preserve"> will have a minor regulatory impact on business, community organisations and individuals.</w:t>
      </w:r>
      <w:r w:rsidRPr="004D5577">
        <w:t xml:space="preserve"> </w:t>
      </w:r>
    </w:p>
    <w:p w:rsidR="0035213E" w:rsidRPr="007663B4" w:rsidRDefault="0035213E" w:rsidP="0035213E">
      <w:pPr>
        <w:pStyle w:val="Numbered1"/>
        <w:numPr>
          <w:ilvl w:val="0"/>
          <w:numId w:val="28"/>
        </w:numPr>
        <w:ind w:left="680" w:hanging="680"/>
      </w:pPr>
      <w:bookmarkStart w:id="56" w:name="_Toc468457531"/>
      <w:r>
        <w:t>C</w:t>
      </w:r>
      <w:r w:rsidRPr="002B2F74">
        <w:t>onsultation</w:t>
      </w:r>
      <w:r>
        <w:t xml:space="preserve"> questions</w:t>
      </w:r>
      <w:bookmarkEnd w:id="56"/>
      <w:r w:rsidRPr="009E5FC7">
        <w:t xml:space="preserve"> </w:t>
      </w:r>
    </w:p>
    <w:p w:rsidR="0035213E" w:rsidRDefault="002E2ECA" w:rsidP="0035213E">
      <w:pPr>
        <w:pStyle w:val="ListParagraph"/>
        <w:numPr>
          <w:ilvl w:val="0"/>
          <w:numId w:val="0"/>
        </w:numPr>
        <w:spacing w:after="240"/>
      </w:pPr>
      <w:r>
        <w:rPr>
          <w:noProof/>
        </w:rPr>
        <w:pict>
          <v:shape id="Text Box 307" o:spid="_x0000_s1048" type="#_x0000_t202" style="position:absolute;margin-left:1.5pt;margin-top:5.85pt;width:486pt;height:181.8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TjKQIAAFA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">
            <v:textbox style="mso-next-textbox:#Text Box 307">
              <w:txbxContent>
                <w:p w:rsidR="0035213E" w:rsidRDefault="0035213E" w:rsidP="0035213E">
                  <w:pPr>
                    <w:spacing w:after="240"/>
                  </w:pPr>
                  <w:r>
                    <w:t>Please consider the following questions when making a submission:</w:t>
                  </w:r>
                </w:p>
                <w:p w:rsidR="0035213E" w:rsidRPr="000F3C09" w:rsidRDefault="0035213E" w:rsidP="0035213E">
                  <w:pPr>
                    <w:numPr>
                      <w:ilvl w:val="0"/>
                      <w:numId w:val="30"/>
                    </w:numPr>
                  </w:pPr>
                  <w:r w:rsidRPr="000F3C09">
                    <w:t>Does the hazard still exist in balloon blowing kits?</w:t>
                  </w:r>
                </w:p>
                <w:p w:rsidR="0035213E" w:rsidRDefault="0035213E" w:rsidP="0035213E">
                  <w:pPr>
                    <w:pStyle w:val="ListParagraph"/>
                    <w:numPr>
                      <w:ilvl w:val="0"/>
                      <w:numId w:val="30"/>
                    </w:numPr>
                    <w:spacing w:after="240"/>
                  </w:pPr>
                  <w:r>
                    <w:t>Are there any other policy options that the ACCC should consider?</w:t>
                  </w:r>
                </w:p>
                <w:p w:rsidR="0035213E" w:rsidRPr="00F90C03" w:rsidRDefault="0035213E" w:rsidP="0035213E">
                  <w:pPr>
                    <w:pStyle w:val="ListParagraph"/>
                    <w:numPr>
                      <w:ilvl w:val="0"/>
                      <w:numId w:val="30"/>
                    </w:numPr>
                    <w:spacing w:after="240"/>
                  </w:pPr>
                  <w:r>
                    <w:t xml:space="preserve">Do you support the ACCC’s preferred option to </w:t>
                  </w:r>
                  <w:r w:rsidRPr="00F90C03">
                    <w:t>set a maximum 5 parts per million level for benzene? Why/why not?</w:t>
                  </w:r>
                </w:p>
                <w:p w:rsidR="0035213E" w:rsidRDefault="0035213E" w:rsidP="0035213E">
                  <w:pPr>
                    <w:pStyle w:val="ListParagraph"/>
                    <w:numPr>
                      <w:ilvl w:val="0"/>
                      <w:numId w:val="30"/>
                    </w:numPr>
                    <w:spacing w:after="240"/>
                  </w:pPr>
                  <w:r>
                    <w:t xml:space="preserve">If you do not </w:t>
                  </w:r>
                  <w:r w:rsidRPr="00F90C03">
                    <w:t>support setting a maximum level for benzene, do you support the existing standard or support r</w:t>
                  </w:r>
                  <w:r>
                    <w:t>evoking the standard? Why?</w:t>
                  </w:r>
                </w:p>
                <w:p w:rsidR="0035213E" w:rsidRDefault="0035213E" w:rsidP="0035213E">
                  <w:pPr>
                    <w:pStyle w:val="ListParagraph"/>
                    <w:numPr>
                      <w:ilvl w:val="0"/>
                      <w:numId w:val="30"/>
                    </w:numPr>
                    <w:spacing w:after="240"/>
                  </w:pPr>
                  <w:r>
                    <w:t>Do you have any other comments?</w:t>
                  </w:r>
                </w:p>
                <w:p w:rsidR="0035213E" w:rsidRDefault="0035213E" w:rsidP="0035213E"/>
              </w:txbxContent>
            </v:textbox>
          </v:shape>
        </w:pict>
      </w:r>
    </w:p>
    <w:p w:rsidR="0035213E" w:rsidRDefault="0035213E" w:rsidP="0035213E">
      <w:pPr>
        <w:pStyle w:val="ListParagraph"/>
        <w:numPr>
          <w:ilvl w:val="0"/>
          <w:numId w:val="0"/>
        </w:numPr>
        <w:spacing w:after="240"/>
      </w:pPr>
    </w:p>
    <w:p w:rsidR="0035213E" w:rsidRDefault="0035213E" w:rsidP="0035213E">
      <w:pPr>
        <w:pStyle w:val="ListParagraph"/>
        <w:numPr>
          <w:ilvl w:val="0"/>
          <w:numId w:val="0"/>
        </w:numPr>
        <w:spacing w:after="240"/>
      </w:pPr>
    </w:p>
    <w:p w:rsidR="0035213E" w:rsidRDefault="0035213E" w:rsidP="0035213E"/>
    <w:p w:rsidR="0035213E" w:rsidRDefault="0035213E" w:rsidP="0035213E"/>
    <w:p w:rsidR="0035213E" w:rsidRDefault="0035213E" w:rsidP="0035213E"/>
    <w:p w:rsidR="0035213E" w:rsidRDefault="0035213E" w:rsidP="0035213E"/>
    <w:p w:rsidR="0035213E" w:rsidRPr="007663B4" w:rsidRDefault="0035213E" w:rsidP="0035213E">
      <w:pPr>
        <w:spacing w:before="0"/>
      </w:pPr>
    </w:p>
    <w:p w:rsidR="0035213E" w:rsidRDefault="0035213E" w:rsidP="0035213E"/>
    <w:p w:rsidR="0035213E" w:rsidRPr="005A60B4" w:rsidRDefault="0035213E" w:rsidP="0035213E">
      <w:pPr>
        <w:pStyle w:val="Numbered1"/>
        <w:numPr>
          <w:ilvl w:val="0"/>
          <w:numId w:val="28"/>
        </w:numPr>
        <w:ind w:left="680" w:hanging="680"/>
      </w:pPr>
      <w:bookmarkStart w:id="57" w:name="_Toc468457532"/>
      <w:r w:rsidRPr="005A60B4">
        <w:t xml:space="preserve">Have </w:t>
      </w:r>
      <w:r w:rsidRPr="00382011">
        <w:t>your</w:t>
      </w:r>
      <w:r w:rsidRPr="005A60B4">
        <w:t xml:space="preserve"> say</w:t>
      </w:r>
      <w:bookmarkEnd w:id="57"/>
    </w:p>
    <w:p w:rsidR="0035213E" w:rsidRDefault="0035213E" w:rsidP="0035213E">
      <w:r w:rsidRPr="002B2F74">
        <w:t>The ACCC invites</w:t>
      </w:r>
      <w:r>
        <w:t xml:space="preserve"> stakeholders and</w:t>
      </w:r>
      <w:r w:rsidRPr="002B2F74">
        <w:t xml:space="preserve"> interested parties to</w:t>
      </w:r>
      <w:r>
        <w:t xml:space="preserve"> comment on these policy options.</w:t>
      </w:r>
    </w:p>
    <w:p w:rsidR="0035213E" w:rsidRDefault="0035213E" w:rsidP="0035213E">
      <w:r>
        <w:t xml:space="preserve">Consultation is open from </w:t>
      </w:r>
      <w:r w:rsidR="00F90C03" w:rsidRPr="00F90C03">
        <w:rPr>
          <w:b/>
        </w:rPr>
        <w:t>7</w:t>
      </w:r>
      <w:r w:rsidR="00F90C03" w:rsidRPr="00F90C03">
        <w:rPr>
          <w:b/>
          <w:vertAlign w:val="superscript"/>
        </w:rPr>
        <w:t>th</w:t>
      </w:r>
      <w:r w:rsidR="00F90C03" w:rsidRPr="00F90C03">
        <w:rPr>
          <w:b/>
        </w:rPr>
        <w:t xml:space="preserve"> December </w:t>
      </w:r>
      <w:r w:rsidRPr="00F90C03">
        <w:rPr>
          <w:b/>
        </w:rPr>
        <w:t>2016</w:t>
      </w:r>
      <w:r w:rsidRPr="00075678">
        <w:rPr>
          <w:b/>
        </w:rPr>
        <w:t xml:space="preserve"> to </w:t>
      </w:r>
      <w:r w:rsidR="00CB1089">
        <w:rPr>
          <w:b/>
        </w:rPr>
        <w:t>24</w:t>
      </w:r>
      <w:r w:rsidRPr="00075678">
        <w:rPr>
          <w:b/>
          <w:vertAlign w:val="superscript"/>
        </w:rPr>
        <w:t>th</w:t>
      </w:r>
      <w:r w:rsidRPr="00075678">
        <w:rPr>
          <w:b/>
        </w:rPr>
        <w:t xml:space="preserve"> February 2017.</w:t>
      </w:r>
      <w:r>
        <w:t xml:space="preserve"> </w:t>
      </w:r>
    </w:p>
    <w:p w:rsidR="0035213E" w:rsidRDefault="0035213E" w:rsidP="0035213E">
      <w:r>
        <w:t xml:space="preserve">The ACCC prefers submissions via the </w:t>
      </w:r>
      <w:r w:rsidRPr="0039574F">
        <w:t>ACCC consultation hub</w:t>
      </w:r>
      <w:r>
        <w:t xml:space="preserve"> at </w:t>
      </w:r>
      <w:hyperlink r:id="rId15" w:history="1">
        <w:r w:rsidRPr="00020736">
          <w:rPr>
            <w:rStyle w:val="Hyperlink"/>
          </w:rPr>
          <w:t>consultation.accc.gov.au</w:t>
        </w:r>
      </w:hyperlink>
      <w:r>
        <w:t xml:space="preserve">. </w:t>
      </w:r>
    </w:p>
    <w:p w:rsidR="0035213E" w:rsidRDefault="0035213E" w:rsidP="0035213E">
      <w:r>
        <w:t xml:space="preserve">The ACCC will </w:t>
      </w:r>
      <w:r w:rsidRPr="007A03C1">
        <w:t xml:space="preserve">alert stakeholders and interested parties to the consultation through the Product Safety Australia website </w:t>
      </w:r>
      <w:hyperlink r:id="rId16" w:history="1">
        <w:r w:rsidRPr="007A03C1">
          <w:rPr>
            <w:rStyle w:val="Hyperlink"/>
          </w:rPr>
          <w:t>www.productsafety.gov.au</w:t>
        </w:r>
      </w:hyperlink>
      <w:r w:rsidRPr="007A03C1">
        <w:t xml:space="preserve"> and </w:t>
      </w:r>
      <w:hyperlink r:id="rId17" w:history="1">
        <w:r w:rsidRPr="007A03C1">
          <w:rPr>
            <w:rStyle w:val="Hyperlink"/>
          </w:rPr>
          <w:t>www.business.gov.au</w:t>
        </w:r>
      </w:hyperlink>
      <w:r w:rsidRPr="007A03C1">
        <w:t>.</w:t>
      </w:r>
      <w:r>
        <w:t xml:space="preserve"> </w:t>
      </w:r>
    </w:p>
    <w:p w:rsidR="0035213E" w:rsidRDefault="0035213E" w:rsidP="0035213E">
      <w:r>
        <w:t xml:space="preserve">Alternatively, email submissions to </w:t>
      </w:r>
      <w:hyperlink r:id="rId18" w:history="1">
        <w:r w:rsidRPr="007556AB">
          <w:rPr>
            <w:rStyle w:val="Hyperlink"/>
          </w:rPr>
          <w:t>productsafety.regulation@accc.gov.au</w:t>
        </w:r>
      </w:hyperlink>
      <w:r>
        <w:t xml:space="preserve"> or via post:</w:t>
      </w:r>
    </w:p>
    <w:p w:rsidR="0035213E" w:rsidRDefault="0035213E" w:rsidP="0035213E">
      <w:pPr>
        <w:ind w:left="340"/>
      </w:pPr>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35213E" w:rsidRDefault="0035213E" w:rsidP="0035213E">
      <w:r>
        <w:t xml:space="preserve">Submissions will be published on the ACCC website at the end of the consultation period. </w:t>
      </w:r>
    </w:p>
    <w:p w:rsidR="0035213E" w:rsidRPr="00962700" w:rsidRDefault="0035213E" w:rsidP="0035213E">
      <w:r>
        <w:rPr>
          <w:rFonts w:cs="Arial"/>
          <w:szCs w:val="24"/>
        </w:rPr>
        <w:t>Please note any</w:t>
      </w:r>
      <w:r w:rsidRPr="00530AFB">
        <w:rPr>
          <w:rFonts w:cs="Arial"/>
          <w:szCs w:val="24"/>
        </w:rPr>
        <w:t xml:space="preserve"> information that you believe to be of a confidential nature should be clearly marked or identified as confidential</w:t>
      </w:r>
      <w:r>
        <w:rPr>
          <w:rFonts w:cs="Arial"/>
          <w:szCs w:val="24"/>
        </w:rPr>
        <w:t>. T</w:t>
      </w:r>
      <w:r w:rsidRPr="00530AFB">
        <w:rPr>
          <w:rFonts w:cs="Arial"/>
          <w:szCs w:val="24"/>
        </w:rPr>
        <w:t>he ACCC will not disclose the confidential information to third parties, other than advisors or consultants engaged directly by the ACCC, without first providing you with notice of its intention to do so, such as where it is compelled to do so by law.</w:t>
      </w:r>
    </w:p>
    <w:p w:rsidR="0035213E" w:rsidRDefault="0035213E" w:rsidP="0035213E">
      <w:pPr>
        <w:rPr>
          <w:rFonts w:eastAsia="Calibri"/>
          <w:b/>
        </w:rPr>
      </w:pPr>
    </w:p>
    <w:p w:rsidR="0035213E" w:rsidRDefault="0035213E" w:rsidP="0035213E">
      <w:pPr>
        <w:rPr>
          <w:rFonts w:eastAsia="Calibri"/>
          <w:b/>
        </w:rPr>
      </w:pPr>
    </w:p>
    <w:p w:rsidR="0035213E" w:rsidRDefault="0035213E" w:rsidP="0035213E">
      <w:pPr>
        <w:rPr>
          <w:rFonts w:eastAsia="Calibri"/>
          <w:b/>
        </w:rPr>
      </w:pPr>
    </w:p>
    <w:p w:rsidR="0035213E" w:rsidRDefault="0035213E" w:rsidP="0035213E">
      <w:pPr>
        <w:rPr>
          <w:rFonts w:eastAsia="Calibri"/>
          <w:b/>
        </w:rPr>
      </w:pPr>
    </w:p>
    <w:p w:rsidR="0035213E" w:rsidRPr="00176713" w:rsidRDefault="0035213E" w:rsidP="0035213E">
      <w:pPr>
        <w:pStyle w:val="Numbered1"/>
        <w:numPr>
          <w:ilvl w:val="0"/>
          <w:numId w:val="28"/>
        </w:numPr>
        <w:ind w:left="680" w:hanging="680"/>
      </w:pPr>
      <w:bookmarkStart w:id="58" w:name="_Toc468457533"/>
      <w:r w:rsidRPr="00176713">
        <w:lastRenderedPageBreak/>
        <w:t>Glossary</w:t>
      </w:r>
      <w:bookmarkEnd w:id="58"/>
    </w:p>
    <w:p w:rsidR="0035213E" w:rsidRPr="00382011" w:rsidRDefault="0035213E" w:rsidP="0035213E">
      <w:pPr>
        <w:rPr>
          <w:rFonts w:eastAsia="Calibri"/>
          <w:b/>
        </w:rPr>
      </w:pPr>
    </w:p>
    <w:tbl>
      <w:tblPr>
        <w:tblW w:w="0" w:type="auto"/>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Look w:val="04A0" w:firstRow="1" w:lastRow="0" w:firstColumn="1" w:lastColumn="0" w:noHBand="0" w:noVBand="1"/>
      </w:tblPr>
      <w:tblGrid>
        <w:gridCol w:w="2376"/>
        <w:gridCol w:w="6866"/>
      </w:tblGrid>
      <w:tr w:rsidR="0035213E" w:rsidTr="004A1ED6">
        <w:tc>
          <w:tcPr>
            <w:tcW w:w="2376" w:type="dxa"/>
            <w:tcBorders>
              <w:top w:val="single" w:sz="4" w:space="0" w:color="D5D6D2"/>
              <w:left w:val="single" w:sz="4" w:space="0" w:color="D5D6D2"/>
              <w:bottom w:val="single" w:sz="4" w:space="0" w:color="D5D6D2"/>
              <w:right w:val="single" w:sz="4" w:space="0" w:color="D5D6D2"/>
            </w:tcBorders>
            <w:shd w:val="clear" w:color="auto" w:fill="auto"/>
            <w:vAlign w:val="center"/>
          </w:tcPr>
          <w:p w:rsidR="0035213E" w:rsidRPr="00382011" w:rsidRDefault="0035213E" w:rsidP="004A1ED6">
            <w:pPr>
              <w:spacing w:after="120"/>
              <w:rPr>
                <w:b/>
                <w:bCs/>
                <w:sz w:val="20"/>
                <w:szCs w:val="20"/>
              </w:rPr>
            </w:pPr>
            <w:r w:rsidRPr="00382011">
              <w:rPr>
                <w:b/>
                <w:bCs/>
                <w:sz w:val="20"/>
                <w:szCs w:val="20"/>
              </w:rPr>
              <w:t>Term</w:t>
            </w:r>
          </w:p>
        </w:tc>
        <w:tc>
          <w:tcPr>
            <w:tcW w:w="6866" w:type="dxa"/>
            <w:tcBorders>
              <w:top w:val="single" w:sz="4" w:space="0" w:color="D5D6D2"/>
              <w:left w:val="single" w:sz="4" w:space="0" w:color="D5D6D2"/>
              <w:bottom w:val="single" w:sz="4" w:space="0" w:color="D5D6D2"/>
              <w:right w:val="single" w:sz="4" w:space="0" w:color="D5D6D2"/>
            </w:tcBorders>
            <w:shd w:val="clear" w:color="auto" w:fill="auto"/>
            <w:vAlign w:val="center"/>
          </w:tcPr>
          <w:p w:rsidR="0035213E" w:rsidRPr="00382011" w:rsidRDefault="0035213E" w:rsidP="004A1ED6">
            <w:pPr>
              <w:spacing w:after="120"/>
              <w:rPr>
                <w:b/>
                <w:bCs/>
                <w:sz w:val="20"/>
                <w:szCs w:val="20"/>
              </w:rPr>
            </w:pPr>
            <w:r w:rsidRPr="00382011">
              <w:rPr>
                <w:b/>
                <w:bCs/>
                <w:sz w:val="20"/>
                <w:szCs w:val="20"/>
              </w:rPr>
              <w:t>Definition</w:t>
            </w:r>
          </w:p>
        </w:tc>
      </w:tr>
      <w:tr w:rsidR="0035213E" w:rsidTr="004A1ED6">
        <w:tc>
          <w:tcPr>
            <w:tcW w:w="2376" w:type="dxa"/>
            <w:shd w:val="clear" w:color="auto" w:fill="auto"/>
            <w:vAlign w:val="center"/>
          </w:tcPr>
          <w:p w:rsidR="0035213E" w:rsidRPr="00591AA3" w:rsidRDefault="0035213E" w:rsidP="004A1ED6">
            <w:pPr>
              <w:rPr>
                <w:b/>
                <w:szCs w:val="20"/>
              </w:rPr>
            </w:pPr>
            <w:r w:rsidRPr="00591AA3">
              <w:rPr>
                <w:b/>
                <w:szCs w:val="20"/>
              </w:rPr>
              <w:t>Australian Consumer Law (ACL)</w:t>
            </w:r>
          </w:p>
        </w:tc>
        <w:tc>
          <w:tcPr>
            <w:tcW w:w="6866" w:type="dxa"/>
            <w:shd w:val="clear" w:color="auto" w:fill="auto"/>
            <w:vAlign w:val="center"/>
          </w:tcPr>
          <w:p w:rsidR="0035213E" w:rsidRPr="00591AA3" w:rsidRDefault="0035213E" w:rsidP="004A1ED6">
            <w:pPr>
              <w:rPr>
                <w:rFonts w:cs="Arial"/>
                <w:szCs w:val="20"/>
              </w:rPr>
            </w:pPr>
            <w:r w:rsidRPr="00591AA3">
              <w:rPr>
                <w:rFonts w:cs="Arial"/>
                <w:szCs w:val="20"/>
              </w:rPr>
              <w:t>Legislation enacted in Schedule 2 of the</w:t>
            </w:r>
            <w:r w:rsidRPr="00591AA3">
              <w:rPr>
                <w:rFonts w:cs="Arial"/>
                <w:i/>
                <w:szCs w:val="20"/>
              </w:rPr>
              <w:t xml:space="preserve"> Competition and Consumer Act 2010</w:t>
            </w:r>
            <w:r w:rsidRPr="00591AA3">
              <w:rPr>
                <w:rFonts w:cs="Arial"/>
                <w:szCs w:val="20"/>
              </w:rPr>
              <w:t xml:space="preserve"> (Cth) and applied nationally through State and Territory legislation in accordance with the Intergovernmental Agreement of July 2009. </w:t>
            </w:r>
          </w:p>
        </w:tc>
      </w:tr>
      <w:tr w:rsidR="0035213E" w:rsidTr="004A1ED6">
        <w:tc>
          <w:tcPr>
            <w:tcW w:w="2376" w:type="dxa"/>
            <w:shd w:val="clear" w:color="auto" w:fill="auto"/>
            <w:vAlign w:val="center"/>
          </w:tcPr>
          <w:p w:rsidR="0035213E" w:rsidRPr="00591AA3" w:rsidRDefault="0035213E" w:rsidP="004A1ED6">
            <w:pPr>
              <w:rPr>
                <w:b/>
                <w:szCs w:val="20"/>
              </w:rPr>
            </w:pPr>
            <w:r w:rsidRPr="00591AA3">
              <w:rPr>
                <w:b/>
                <w:szCs w:val="20"/>
              </w:rPr>
              <w:t>Balloon blowing kit</w:t>
            </w:r>
          </w:p>
        </w:tc>
        <w:tc>
          <w:tcPr>
            <w:tcW w:w="6866" w:type="dxa"/>
            <w:shd w:val="clear" w:color="auto" w:fill="auto"/>
            <w:vAlign w:val="center"/>
          </w:tcPr>
          <w:p w:rsidR="0035213E" w:rsidRPr="00591AA3" w:rsidRDefault="0035213E" w:rsidP="004A1ED6">
            <w:pPr>
              <w:rPr>
                <w:rFonts w:cs="Arial"/>
                <w:szCs w:val="20"/>
              </w:rPr>
            </w:pPr>
            <w:r w:rsidRPr="00591AA3">
              <w:rPr>
                <w:rFonts w:cs="Arial"/>
                <w:szCs w:val="20"/>
              </w:rPr>
              <w:t>A good that contains a substance capable of being used to make inflated balloons by the action of blowing the whole or a portion of the substance from a tube (not being a container) contained in the goods.</w:t>
            </w:r>
          </w:p>
        </w:tc>
      </w:tr>
      <w:tr w:rsidR="0035213E" w:rsidTr="004A1ED6">
        <w:tc>
          <w:tcPr>
            <w:tcW w:w="2376" w:type="dxa"/>
            <w:shd w:val="clear" w:color="auto" w:fill="auto"/>
            <w:vAlign w:val="center"/>
          </w:tcPr>
          <w:p w:rsidR="0035213E" w:rsidRPr="00591AA3" w:rsidRDefault="0035213E" w:rsidP="004A1ED6">
            <w:pPr>
              <w:rPr>
                <w:b/>
                <w:szCs w:val="20"/>
              </w:rPr>
            </w:pPr>
            <w:r>
              <w:rPr>
                <w:b/>
                <w:szCs w:val="20"/>
              </w:rPr>
              <w:t>Mandatory s</w:t>
            </w:r>
            <w:r w:rsidRPr="00591AA3">
              <w:rPr>
                <w:b/>
                <w:szCs w:val="20"/>
              </w:rPr>
              <w:t xml:space="preserve">afety standard </w:t>
            </w:r>
          </w:p>
        </w:tc>
        <w:tc>
          <w:tcPr>
            <w:tcW w:w="6866" w:type="dxa"/>
            <w:shd w:val="clear" w:color="auto" w:fill="auto"/>
            <w:vAlign w:val="center"/>
          </w:tcPr>
          <w:p w:rsidR="0035213E" w:rsidRPr="00591AA3" w:rsidRDefault="0035213E" w:rsidP="004A1ED6">
            <w:pPr>
              <w:rPr>
                <w:rFonts w:cs="Arial"/>
                <w:szCs w:val="20"/>
              </w:rPr>
            </w:pPr>
            <w:r w:rsidRPr="00591AA3">
              <w:rPr>
                <w:rFonts w:cs="Arial"/>
                <w:szCs w:val="20"/>
              </w:rPr>
              <w:t>The Australian mandatory safety standard for balloon blowing kits (</w:t>
            </w:r>
            <w:hyperlink r:id="rId19" w:history="1">
              <w:r w:rsidRPr="00591AA3">
                <w:rPr>
                  <w:rStyle w:val="Hyperlink"/>
                  <w:rFonts w:cs="Arial"/>
                  <w:sz w:val="18"/>
                  <w:szCs w:val="18"/>
                </w:rPr>
                <w:t>Trade Practices (Consumer Product Safety Standards) Regulations 1979</w:t>
              </w:r>
            </w:hyperlink>
            <w:r w:rsidRPr="00CE209A">
              <w:rPr>
                <w:rFonts w:cs="Arial"/>
                <w:color w:val="333333"/>
              </w:rPr>
              <w:t>)</w:t>
            </w:r>
            <w:r>
              <w:rPr>
                <w:rFonts w:cs="Arial"/>
                <w:color w:val="333333"/>
              </w:rPr>
              <w:t>.</w:t>
            </w:r>
          </w:p>
        </w:tc>
      </w:tr>
      <w:tr w:rsidR="0035213E" w:rsidTr="004A1ED6">
        <w:tc>
          <w:tcPr>
            <w:tcW w:w="2376" w:type="dxa"/>
            <w:shd w:val="clear" w:color="auto" w:fill="auto"/>
            <w:vAlign w:val="center"/>
          </w:tcPr>
          <w:p w:rsidR="0035213E" w:rsidRPr="00CE209A" w:rsidRDefault="0035213E" w:rsidP="004A1ED6">
            <w:pPr>
              <w:rPr>
                <w:b/>
                <w:szCs w:val="20"/>
              </w:rPr>
            </w:pPr>
            <w:r w:rsidRPr="00CE209A">
              <w:rPr>
                <w:b/>
                <w:szCs w:val="20"/>
              </w:rPr>
              <w:t>Trusted international standards</w:t>
            </w:r>
          </w:p>
        </w:tc>
        <w:tc>
          <w:tcPr>
            <w:tcW w:w="6866" w:type="dxa"/>
            <w:shd w:val="clear" w:color="auto" w:fill="auto"/>
            <w:vAlign w:val="center"/>
          </w:tcPr>
          <w:p w:rsidR="0035213E" w:rsidRPr="00CE209A" w:rsidRDefault="0035213E" w:rsidP="004A1ED6">
            <w:r w:rsidRPr="00CE209A">
              <w:t>Canada: Toys Regulations SOR/2011-17 annexed in the Canada Consumer Product Safety Act 2011 ss. 22, 24</w:t>
            </w:r>
          </w:p>
          <w:p w:rsidR="0035213E" w:rsidRPr="00CE209A" w:rsidRDefault="0035213E" w:rsidP="004A1ED6">
            <w:r w:rsidRPr="00CE209A">
              <w:t>Europe: EU Toy Safety Directive 2009/48/EC</w:t>
            </w:r>
          </w:p>
          <w:p w:rsidR="0035213E" w:rsidRPr="00591AA3" w:rsidRDefault="0035213E" w:rsidP="004A1ED6">
            <w:pPr>
              <w:rPr>
                <w:rFonts w:cs="Arial"/>
                <w:szCs w:val="20"/>
              </w:rPr>
            </w:pPr>
            <w:r w:rsidRPr="00CE209A">
              <w:t>USA: Federal Hazardous Substances Act Regulations 16 CFR 1500.14- Regulations requiring special labelling under section 3(b) of the Act.</w:t>
            </w:r>
          </w:p>
        </w:tc>
      </w:tr>
    </w:tbl>
    <w:p w:rsidR="0035213E" w:rsidRDefault="0035213E" w:rsidP="0035213E"/>
    <w:p w:rsidR="0035213E" w:rsidRDefault="0035213E" w:rsidP="0035213E">
      <w:pPr>
        <w:pStyle w:val="ListNumber"/>
        <w:numPr>
          <w:ilvl w:val="0"/>
          <w:numId w:val="0"/>
        </w:numPr>
        <w:ind w:left="340" w:hanging="340"/>
      </w:pPr>
    </w:p>
    <w:bookmarkEnd w:id="38"/>
    <w:bookmarkEnd w:id="39"/>
    <w:bookmarkEnd w:id="40"/>
    <w:bookmarkEnd w:id="41"/>
    <w:bookmarkEnd w:id="42"/>
    <w:bookmarkEnd w:id="43"/>
    <w:bookmarkEnd w:id="44"/>
    <w:bookmarkEnd w:id="45"/>
    <w:bookmarkEnd w:id="46"/>
    <w:bookmarkEnd w:id="48"/>
    <w:p w:rsidR="00AB6528" w:rsidRDefault="00AB6528" w:rsidP="0035213E">
      <w:pPr>
        <w:pStyle w:val="Heading2"/>
      </w:pPr>
    </w:p>
    <w:sectPr w:rsidR="00AB6528" w:rsidSect="00782C4B">
      <w:footerReference w:type="default" r:id="rId20"/>
      <w:footerReference w:type="first" r:id="rId21"/>
      <w:pgSz w:w="11906" w:h="16838"/>
      <w:pgMar w:top="1276"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44" w:rsidRDefault="00281344" w:rsidP="004B4412">
      <w:pPr>
        <w:spacing w:before="0"/>
      </w:pPr>
      <w:r>
        <w:separator/>
      </w:r>
    </w:p>
  </w:endnote>
  <w:endnote w:type="continuationSeparator" w:id="0">
    <w:p w:rsidR="00281344" w:rsidRDefault="00281344"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44" w:rsidRDefault="00281344">
    <w:pPr>
      <w:pStyle w:val="Footer"/>
      <w:jc w:val="right"/>
    </w:pPr>
    <w:r>
      <w:fldChar w:fldCharType="begin"/>
    </w:r>
    <w:r>
      <w:instrText xml:space="preserve"> PAGE   \* MERGEFORMAT </w:instrText>
    </w:r>
    <w:r>
      <w:fldChar w:fldCharType="separate"/>
    </w:r>
    <w:r w:rsidR="002E2ECA">
      <w:rPr>
        <w:noProof/>
      </w:rPr>
      <w:t>7</w:t>
    </w:r>
    <w:r>
      <w:rPr>
        <w:noProof/>
      </w:rPr>
      <w:fldChar w:fldCharType="end"/>
    </w:r>
  </w:p>
  <w:p w:rsidR="00281344" w:rsidRDefault="00281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44" w:rsidRDefault="00281344">
    <w:pPr>
      <w:pStyle w:val="Footer"/>
      <w:jc w:val="right"/>
    </w:pPr>
    <w:r>
      <w:fldChar w:fldCharType="begin"/>
    </w:r>
    <w:r>
      <w:instrText xml:space="preserve"> PAGE   \* MERGEFORMAT </w:instrText>
    </w:r>
    <w:r>
      <w:fldChar w:fldCharType="separate"/>
    </w:r>
    <w:r>
      <w:rPr>
        <w:noProof/>
      </w:rPr>
      <w:t>2</w:t>
    </w:r>
    <w:r>
      <w:rPr>
        <w:noProof/>
      </w:rPr>
      <w:fldChar w:fldCharType="end"/>
    </w:r>
  </w:p>
  <w:p w:rsidR="00281344" w:rsidRDefault="00281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44" w:rsidRDefault="00281344" w:rsidP="004B4412">
      <w:pPr>
        <w:spacing w:before="0"/>
      </w:pPr>
      <w:r>
        <w:separator/>
      </w:r>
    </w:p>
  </w:footnote>
  <w:footnote w:type="continuationSeparator" w:id="0">
    <w:p w:rsidR="00281344" w:rsidRDefault="00281344" w:rsidP="004B4412">
      <w:pPr>
        <w:spacing w:before="0"/>
      </w:pPr>
      <w:r>
        <w:continuationSeparator/>
      </w:r>
    </w:p>
  </w:footnote>
  <w:footnote w:id="1">
    <w:p w:rsidR="00281344" w:rsidRDefault="00281344">
      <w:pPr>
        <w:pStyle w:val="FootnoteText"/>
      </w:pPr>
      <w:r>
        <w:rPr>
          <w:rStyle w:val="FootnoteReference"/>
        </w:rPr>
        <w:footnoteRef/>
      </w:r>
      <w:r>
        <w:t xml:space="preserve"> Trade Practices (Consumer Product Safety Standards) Regulations 1979 r.10</w:t>
      </w:r>
      <w:r w:rsidR="007E6813">
        <w:t xml:space="preserve">, </w:t>
      </w:r>
      <w:hyperlink r:id="rId1" w:history="1">
        <w:r w:rsidR="009F32A1" w:rsidRPr="006A612C">
          <w:rPr>
            <w:rStyle w:val="Hyperlink"/>
            <w:sz w:val="16"/>
          </w:rPr>
          <w:t>www.legislation.gov.au/Details/F2004C00303</w:t>
        </w:r>
      </w:hyperlink>
      <w:r w:rsidR="007E6813">
        <w:t xml:space="preserve"> </w:t>
      </w:r>
    </w:p>
  </w:footnote>
  <w:footnote w:id="2">
    <w:p w:rsidR="00281344" w:rsidRDefault="00281344" w:rsidP="002B1ABD">
      <w:pPr>
        <w:pStyle w:val="FootnoteText"/>
      </w:pPr>
      <w:r w:rsidRPr="00A77A9B">
        <w:rPr>
          <w:rStyle w:val="FootnoteReference"/>
        </w:rPr>
        <w:footnoteRef/>
      </w:r>
      <w:r w:rsidRPr="00A77A9B">
        <w:t xml:space="preserve"> ACCC, </w:t>
      </w:r>
      <w:r w:rsidRPr="00A77A9B">
        <w:rPr>
          <w:i/>
          <w:szCs w:val="16"/>
        </w:rPr>
        <w:t>International standards for the safety of consumer products - criteria for acceptance</w:t>
      </w:r>
      <w:r w:rsidRPr="00A77A9B">
        <w:rPr>
          <w:szCs w:val="16"/>
        </w:rPr>
        <w:t>, ACCC policy principles,</w:t>
      </w:r>
      <w:r>
        <w:rPr>
          <w:szCs w:val="16"/>
        </w:rPr>
        <w:t xml:space="preserve"> viewed</w:t>
      </w:r>
      <w:r w:rsidRPr="00A77A9B">
        <w:rPr>
          <w:szCs w:val="16"/>
        </w:rPr>
        <w:t xml:space="preserve"> 22 July 2015, </w:t>
      </w:r>
      <w:hyperlink r:id="rId2" w:history="1">
        <w:r w:rsidRPr="00A77A9B">
          <w:rPr>
            <w:rStyle w:val="Hyperlink"/>
            <w:sz w:val="16"/>
            <w:szCs w:val="16"/>
          </w:rPr>
          <w:t>www.productsafety.gov.au/content/index.phtml/itemId/1014180</w:t>
        </w:r>
      </w:hyperlink>
    </w:p>
  </w:footnote>
  <w:footnote w:id="3">
    <w:p w:rsidR="0035213E" w:rsidRPr="00127F57" w:rsidRDefault="0035213E" w:rsidP="0035213E">
      <w:pPr>
        <w:pStyle w:val="FootnoteText"/>
      </w:pPr>
      <w:r>
        <w:rPr>
          <w:rStyle w:val="FootnoteReference"/>
        </w:rPr>
        <w:footnoteRef/>
      </w:r>
      <w:r>
        <w:t xml:space="preserve"> </w:t>
      </w:r>
      <w:r w:rsidRPr="00127F57">
        <w:t xml:space="preserve">Toys Regulations SOR/2011-17 annexed in the Canada Consumer Product Safety Act 2011 s.24, viewed 26 September 2016,  </w:t>
      </w:r>
      <w:hyperlink r:id="rId3" w:history="1">
        <w:r w:rsidRPr="00127F57">
          <w:rPr>
            <w:rStyle w:val="Hyperlink"/>
            <w:sz w:val="16"/>
          </w:rPr>
          <w:t>laws-lois.justice.gc.ca/eng/regulations/SOR-2011-17/</w:t>
        </w:r>
      </w:hyperlink>
    </w:p>
  </w:footnote>
  <w:footnote w:id="4">
    <w:p w:rsidR="0035213E" w:rsidRPr="00127F57" w:rsidRDefault="0035213E" w:rsidP="0035213E">
      <w:pPr>
        <w:pStyle w:val="FootnoteText"/>
      </w:pPr>
      <w:r w:rsidRPr="00127F57">
        <w:rPr>
          <w:rStyle w:val="FootnoteReference"/>
        </w:rPr>
        <w:footnoteRef/>
      </w:r>
      <w:r w:rsidRPr="00127F57">
        <w:t xml:space="preserve"> </w:t>
      </w:r>
      <w:r>
        <w:t>Ibid</w:t>
      </w:r>
      <w:r w:rsidRPr="00127F57">
        <w:t xml:space="preserve"> </w:t>
      </w:r>
    </w:p>
  </w:footnote>
  <w:footnote w:id="5">
    <w:p w:rsidR="0035213E" w:rsidRDefault="0035213E" w:rsidP="0035213E">
      <w:pPr>
        <w:pStyle w:val="FootnoteText"/>
      </w:pPr>
      <w:r w:rsidRPr="00127F57">
        <w:rPr>
          <w:rStyle w:val="FootnoteReference"/>
        </w:rPr>
        <w:footnoteRef/>
      </w:r>
      <w:r w:rsidRPr="00127F57">
        <w:t xml:space="preserve"> Toys Regulations SOR/2011-17 annexed in the Canada Consumer Product Safety Act 2011 s.22, viewed 26 September 2016,  </w:t>
      </w:r>
      <w:hyperlink r:id="rId4" w:anchor="h-8" w:history="1">
        <w:r w:rsidRPr="00127F57">
          <w:rPr>
            <w:rStyle w:val="Hyperlink"/>
            <w:sz w:val="16"/>
          </w:rPr>
          <w:t>laws-lois.justice.gc.ca/eng/regulations/SOR-2011-17/page-1.html#h-8</w:t>
        </w:r>
      </w:hyperlink>
      <w:r>
        <w:t xml:space="preserve"> </w:t>
      </w:r>
    </w:p>
  </w:footnote>
  <w:footnote w:id="6">
    <w:p w:rsidR="0035213E" w:rsidRDefault="0035213E" w:rsidP="0035213E">
      <w:pPr>
        <w:pStyle w:val="FootnoteText"/>
      </w:pPr>
      <w:r>
        <w:rPr>
          <w:rStyle w:val="FootnoteReference"/>
        </w:rPr>
        <w:footnoteRef/>
      </w:r>
      <w:r>
        <w:t xml:space="preserve"> European Union Toy Safety Directive 2009/48/EC, viewed 26 September 2016, </w:t>
      </w:r>
      <w:hyperlink r:id="rId5" w:history="1">
        <w:r w:rsidRPr="003364BB">
          <w:rPr>
            <w:rStyle w:val="Hyperlink"/>
            <w:sz w:val="16"/>
          </w:rPr>
          <w:t>eur-lex.europa.eu/legal-content/EN/TXT/?qid=1474862539207&amp;uri=CELEX:32009L0048</w:t>
        </w:r>
      </w:hyperlink>
    </w:p>
  </w:footnote>
  <w:footnote w:id="7">
    <w:p w:rsidR="0035213E" w:rsidRDefault="0035213E" w:rsidP="0035213E">
      <w:pPr>
        <w:pStyle w:val="FootnoteText"/>
      </w:pPr>
      <w:r>
        <w:rPr>
          <w:rStyle w:val="FootnoteReference"/>
        </w:rPr>
        <w:footnoteRef/>
      </w:r>
      <w:r>
        <w:t xml:space="preserve"> European Union, Regulation (EC) No 1907/2006 of the European Parliament and of the Council of 18 December 2006 concerning the Registration, Evaluation, Authorisation and Restriction of Chemicals (REACH),viewed 26 September 2016, </w:t>
      </w:r>
      <w:hyperlink r:id="rId6" w:history="1">
        <w:r w:rsidRPr="003364BB">
          <w:rPr>
            <w:rStyle w:val="Hyperlink"/>
            <w:sz w:val="16"/>
          </w:rPr>
          <w:t>eur-lex.europa.eu/legal-content/EN/TXT/?uri=CELEX:02006R1907-20140410</w:t>
        </w:r>
      </w:hyperlink>
      <w:r>
        <w:t xml:space="preserve"> </w:t>
      </w:r>
    </w:p>
  </w:footnote>
  <w:footnote w:id="8">
    <w:p w:rsidR="0035213E" w:rsidRPr="008A67DF" w:rsidRDefault="0035213E" w:rsidP="0035213E">
      <w:pPr>
        <w:pStyle w:val="FootnoteText"/>
      </w:pPr>
      <w:r w:rsidRPr="008A67DF">
        <w:rPr>
          <w:rStyle w:val="FootnoteReference"/>
        </w:rPr>
        <w:footnoteRef/>
      </w:r>
      <w:r w:rsidRPr="008A67DF">
        <w:t xml:space="preserve"> Ibid</w:t>
      </w:r>
    </w:p>
  </w:footnote>
  <w:footnote w:id="9">
    <w:p w:rsidR="0035213E" w:rsidRDefault="0035213E" w:rsidP="0035213E">
      <w:pPr>
        <w:pStyle w:val="FootnoteText"/>
      </w:pPr>
      <w:r w:rsidRPr="00575DD1">
        <w:rPr>
          <w:rStyle w:val="FootnoteReference"/>
          <w:i/>
        </w:rPr>
        <w:footnoteRef/>
      </w:r>
      <w:r w:rsidRPr="00575DD1">
        <w:rPr>
          <w:i/>
        </w:rPr>
        <w:t xml:space="preserve"> </w:t>
      </w:r>
      <w:r w:rsidRPr="00575DD1">
        <w:t xml:space="preserve">Federal Hazardous Substances Act Regulations </w:t>
      </w:r>
      <w:r>
        <w:t xml:space="preserve">(US) 16 CFR 1500.14- Regulations requiring special labelling under section 3(b) of the Act, viewed 28 September, </w:t>
      </w:r>
      <w:hyperlink r:id="rId7" w:history="1">
        <w:r w:rsidRPr="00ED380A">
          <w:rPr>
            <w:rStyle w:val="Hyperlink"/>
            <w:sz w:val="16"/>
          </w:rPr>
          <w:t>www.law.cornell.edu/cfr/text/16/1500.14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8875E"/>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25F062A"/>
    <w:multiLevelType w:val="multilevel"/>
    <w:tmpl w:val="4A425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31C50D6"/>
    <w:multiLevelType w:val="multilevel"/>
    <w:tmpl w:val="2C80B854"/>
    <w:lvl w:ilvl="0">
      <w:start w:val="5"/>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8F179D2"/>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CF519CE"/>
    <w:multiLevelType w:val="multilevel"/>
    <w:tmpl w:val="3AD8CB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BE02212"/>
    <w:multiLevelType w:val="multilevel"/>
    <w:tmpl w:val="F70626B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3D42374"/>
    <w:multiLevelType w:val="multilevel"/>
    <w:tmpl w:val="9F422F3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AA5250"/>
    <w:multiLevelType w:val="hybridMultilevel"/>
    <w:tmpl w:val="3978FB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5">
    <w:nsid w:val="594E52D8"/>
    <w:multiLevelType w:val="hybridMultilevel"/>
    <w:tmpl w:val="F772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1DA32D4"/>
    <w:multiLevelType w:val="hybridMultilevel"/>
    <w:tmpl w:val="64D0E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0">
    <w:nsid w:val="6CF4145F"/>
    <w:multiLevelType w:val="hybridMultilevel"/>
    <w:tmpl w:val="52B2D7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2">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3">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4">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5">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5"/>
  </w:num>
  <w:num w:numId="3">
    <w:abstractNumId w:val="7"/>
  </w:num>
  <w:num w:numId="4">
    <w:abstractNumId w:val="6"/>
  </w:num>
  <w:num w:numId="5">
    <w:abstractNumId w:val="5"/>
  </w:num>
  <w:num w:numId="6">
    <w:abstractNumId w:val="4"/>
  </w:num>
  <w:num w:numId="7">
    <w:abstractNumId w:val="1"/>
  </w:num>
  <w:num w:numId="8">
    <w:abstractNumId w:val="0"/>
  </w:num>
  <w:num w:numId="9">
    <w:abstractNumId w:val="29"/>
  </w:num>
  <w:num w:numId="10">
    <w:abstractNumId w:val="18"/>
  </w:num>
  <w:num w:numId="11">
    <w:abstractNumId w:val="9"/>
  </w:num>
  <w:num w:numId="12">
    <w:abstractNumId w:val="17"/>
  </w:num>
  <w:num w:numId="13">
    <w:abstractNumId w:val="2"/>
  </w:num>
  <w:num w:numId="14">
    <w:abstractNumId w:val="31"/>
  </w:num>
  <w:num w:numId="15">
    <w:abstractNumId w:val="34"/>
  </w:num>
  <w:num w:numId="16">
    <w:abstractNumId w:val="33"/>
  </w:num>
  <w:num w:numId="17">
    <w:abstractNumId w:val="24"/>
  </w:num>
  <w:num w:numId="18">
    <w:abstractNumId w:val="16"/>
  </w:num>
  <w:num w:numId="19">
    <w:abstractNumId w:val="19"/>
  </w:num>
  <w:num w:numId="20">
    <w:abstractNumId w:val="32"/>
  </w:num>
  <w:num w:numId="21">
    <w:abstractNumId w:val="26"/>
  </w:num>
  <w:num w:numId="22">
    <w:abstractNumId w:val="8"/>
  </w:num>
  <w:num w:numId="23">
    <w:abstractNumId w:val="3"/>
  </w:num>
  <w:num w:numId="24">
    <w:abstractNumId w:val="20"/>
  </w:num>
  <w:num w:numId="25">
    <w:abstractNumId w:val="13"/>
  </w:num>
  <w:num w:numId="26">
    <w:abstractNumId w:val="28"/>
  </w:num>
  <w:num w:numId="27">
    <w:abstractNumId w:val="14"/>
  </w:num>
  <w:num w:numId="28">
    <w:abstractNumId w:val="11"/>
  </w:num>
  <w:num w:numId="29">
    <w:abstractNumId w:val="22"/>
  </w:num>
  <w:num w:numId="30">
    <w:abstractNumId w:val="23"/>
  </w:num>
  <w:num w:numId="31">
    <w:abstractNumId w:val="30"/>
  </w:num>
  <w:num w:numId="32">
    <w:abstractNumId w:val="27"/>
  </w:num>
  <w:num w:numId="33">
    <w:abstractNumId w:val="15"/>
  </w:num>
  <w:num w:numId="34">
    <w:abstractNumId w:val="21"/>
  </w:num>
  <w:num w:numId="35">
    <w:abstractNumId w:val="10"/>
  </w:num>
  <w:num w:numId="3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doNotTrackMoves/>
  <w:defaultTabStop w:val="340"/>
  <w:characterSpacingControl w:val="doNotCompress"/>
  <w:hdrShapeDefaults>
    <o:shapedefaults v:ext="edit" spidmax="2078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7200\D16 105544  CPS - SP - Balloon blowing kits consultation paper new template.DOCX"/>
  </w:docVars>
  <w:rsids>
    <w:rsidRoot w:val="00935D49"/>
    <w:rsid w:val="000040BE"/>
    <w:rsid w:val="00005966"/>
    <w:rsid w:val="00005AE5"/>
    <w:rsid w:val="000106BF"/>
    <w:rsid w:val="000123DD"/>
    <w:rsid w:val="00014359"/>
    <w:rsid w:val="00016141"/>
    <w:rsid w:val="00017DA1"/>
    <w:rsid w:val="0002115F"/>
    <w:rsid w:val="00021202"/>
    <w:rsid w:val="000225C4"/>
    <w:rsid w:val="00023EAC"/>
    <w:rsid w:val="0002464A"/>
    <w:rsid w:val="00027EB7"/>
    <w:rsid w:val="00031162"/>
    <w:rsid w:val="00033A6D"/>
    <w:rsid w:val="00033E57"/>
    <w:rsid w:val="000351A7"/>
    <w:rsid w:val="0003578C"/>
    <w:rsid w:val="000362CE"/>
    <w:rsid w:val="00040930"/>
    <w:rsid w:val="000415DA"/>
    <w:rsid w:val="00044F01"/>
    <w:rsid w:val="0004503F"/>
    <w:rsid w:val="000468AC"/>
    <w:rsid w:val="00053EB8"/>
    <w:rsid w:val="00057DC5"/>
    <w:rsid w:val="00062751"/>
    <w:rsid w:val="00063247"/>
    <w:rsid w:val="00063AEE"/>
    <w:rsid w:val="00063F9F"/>
    <w:rsid w:val="000643B6"/>
    <w:rsid w:val="000645D1"/>
    <w:rsid w:val="00067922"/>
    <w:rsid w:val="00070F9F"/>
    <w:rsid w:val="0007137B"/>
    <w:rsid w:val="000722A7"/>
    <w:rsid w:val="00073FF8"/>
    <w:rsid w:val="00075612"/>
    <w:rsid w:val="00075678"/>
    <w:rsid w:val="000838D6"/>
    <w:rsid w:val="0008440A"/>
    <w:rsid w:val="00084813"/>
    <w:rsid w:val="00085663"/>
    <w:rsid w:val="00085EBF"/>
    <w:rsid w:val="00093119"/>
    <w:rsid w:val="000A19D4"/>
    <w:rsid w:val="000B2394"/>
    <w:rsid w:val="000B247F"/>
    <w:rsid w:val="000B409B"/>
    <w:rsid w:val="000B54A2"/>
    <w:rsid w:val="000B66DD"/>
    <w:rsid w:val="000B7DCE"/>
    <w:rsid w:val="000C16A1"/>
    <w:rsid w:val="000C44EE"/>
    <w:rsid w:val="000C5EE8"/>
    <w:rsid w:val="000D122C"/>
    <w:rsid w:val="000D3868"/>
    <w:rsid w:val="000D65D2"/>
    <w:rsid w:val="000D72BE"/>
    <w:rsid w:val="000D7641"/>
    <w:rsid w:val="000D7C9A"/>
    <w:rsid w:val="000E02B5"/>
    <w:rsid w:val="000E1819"/>
    <w:rsid w:val="000E1CD9"/>
    <w:rsid w:val="000E1E79"/>
    <w:rsid w:val="000E1FAB"/>
    <w:rsid w:val="000E4338"/>
    <w:rsid w:val="000E448B"/>
    <w:rsid w:val="000E57D9"/>
    <w:rsid w:val="000E6C72"/>
    <w:rsid w:val="000E7F3F"/>
    <w:rsid w:val="000F21AB"/>
    <w:rsid w:val="000F2368"/>
    <w:rsid w:val="000F2F5A"/>
    <w:rsid w:val="000F3C09"/>
    <w:rsid w:val="000F41AD"/>
    <w:rsid w:val="000F5782"/>
    <w:rsid w:val="000F6A0D"/>
    <w:rsid w:val="00101A42"/>
    <w:rsid w:val="00102C0C"/>
    <w:rsid w:val="00103617"/>
    <w:rsid w:val="001128D6"/>
    <w:rsid w:val="00116EB2"/>
    <w:rsid w:val="001205CB"/>
    <w:rsid w:val="00123B4C"/>
    <w:rsid w:val="00124609"/>
    <w:rsid w:val="00125BA1"/>
    <w:rsid w:val="00127F57"/>
    <w:rsid w:val="00130880"/>
    <w:rsid w:val="00130EBA"/>
    <w:rsid w:val="00131CD6"/>
    <w:rsid w:val="00132183"/>
    <w:rsid w:val="00132DAF"/>
    <w:rsid w:val="00137A3C"/>
    <w:rsid w:val="001417FE"/>
    <w:rsid w:val="001445BE"/>
    <w:rsid w:val="00146A47"/>
    <w:rsid w:val="00147A74"/>
    <w:rsid w:val="00147F1E"/>
    <w:rsid w:val="00150167"/>
    <w:rsid w:val="0015244C"/>
    <w:rsid w:val="001573E4"/>
    <w:rsid w:val="00160756"/>
    <w:rsid w:val="00165087"/>
    <w:rsid w:val="00165549"/>
    <w:rsid w:val="00165EA0"/>
    <w:rsid w:val="00166B41"/>
    <w:rsid w:val="00170151"/>
    <w:rsid w:val="001719FD"/>
    <w:rsid w:val="0017232E"/>
    <w:rsid w:val="00172B84"/>
    <w:rsid w:val="00173600"/>
    <w:rsid w:val="00174102"/>
    <w:rsid w:val="00174935"/>
    <w:rsid w:val="00176713"/>
    <w:rsid w:val="00180157"/>
    <w:rsid w:val="00180E2D"/>
    <w:rsid w:val="00181223"/>
    <w:rsid w:val="00183645"/>
    <w:rsid w:val="00186F77"/>
    <w:rsid w:val="00187BA3"/>
    <w:rsid w:val="001913A0"/>
    <w:rsid w:val="001924A1"/>
    <w:rsid w:val="001926A4"/>
    <w:rsid w:val="001936BA"/>
    <w:rsid w:val="00193922"/>
    <w:rsid w:val="001944CB"/>
    <w:rsid w:val="00195D8C"/>
    <w:rsid w:val="001A0C97"/>
    <w:rsid w:val="001A1CEF"/>
    <w:rsid w:val="001A3A19"/>
    <w:rsid w:val="001A4C6F"/>
    <w:rsid w:val="001A6055"/>
    <w:rsid w:val="001A6DAB"/>
    <w:rsid w:val="001A7682"/>
    <w:rsid w:val="001B246B"/>
    <w:rsid w:val="001B30F7"/>
    <w:rsid w:val="001B313A"/>
    <w:rsid w:val="001B45A0"/>
    <w:rsid w:val="001B65AA"/>
    <w:rsid w:val="001C18EE"/>
    <w:rsid w:val="001C62C1"/>
    <w:rsid w:val="001D0311"/>
    <w:rsid w:val="001D055E"/>
    <w:rsid w:val="001D07BE"/>
    <w:rsid w:val="001D2731"/>
    <w:rsid w:val="001D4CDD"/>
    <w:rsid w:val="001D67D1"/>
    <w:rsid w:val="001D6E42"/>
    <w:rsid w:val="001D7FF2"/>
    <w:rsid w:val="001E4369"/>
    <w:rsid w:val="001E4CF0"/>
    <w:rsid w:val="001F1347"/>
    <w:rsid w:val="001F2F13"/>
    <w:rsid w:val="001F39FB"/>
    <w:rsid w:val="001F3AD4"/>
    <w:rsid w:val="001F492E"/>
    <w:rsid w:val="001F6520"/>
    <w:rsid w:val="001F6DA3"/>
    <w:rsid w:val="002008C0"/>
    <w:rsid w:val="00200FE3"/>
    <w:rsid w:val="002019B5"/>
    <w:rsid w:val="00202B76"/>
    <w:rsid w:val="002065B1"/>
    <w:rsid w:val="002073DC"/>
    <w:rsid w:val="002075F5"/>
    <w:rsid w:val="002124FE"/>
    <w:rsid w:val="00212737"/>
    <w:rsid w:val="002135C9"/>
    <w:rsid w:val="00215EF4"/>
    <w:rsid w:val="00222845"/>
    <w:rsid w:val="0022438B"/>
    <w:rsid w:val="00224DB9"/>
    <w:rsid w:val="00225425"/>
    <w:rsid w:val="0022688E"/>
    <w:rsid w:val="0023092E"/>
    <w:rsid w:val="002352A3"/>
    <w:rsid w:val="00242590"/>
    <w:rsid w:val="00246408"/>
    <w:rsid w:val="002476EF"/>
    <w:rsid w:val="00247779"/>
    <w:rsid w:val="00251745"/>
    <w:rsid w:val="00253F53"/>
    <w:rsid w:val="0025598F"/>
    <w:rsid w:val="00256329"/>
    <w:rsid w:val="0026284D"/>
    <w:rsid w:val="00262A59"/>
    <w:rsid w:val="002634F9"/>
    <w:rsid w:val="00263AC0"/>
    <w:rsid w:val="00265263"/>
    <w:rsid w:val="0026772D"/>
    <w:rsid w:val="002712AA"/>
    <w:rsid w:val="00271931"/>
    <w:rsid w:val="00277CAE"/>
    <w:rsid w:val="00280BE3"/>
    <w:rsid w:val="00280E97"/>
    <w:rsid w:val="00281344"/>
    <w:rsid w:val="0028290F"/>
    <w:rsid w:val="002831A6"/>
    <w:rsid w:val="00283D23"/>
    <w:rsid w:val="00283E58"/>
    <w:rsid w:val="00285E42"/>
    <w:rsid w:val="00286620"/>
    <w:rsid w:val="00286874"/>
    <w:rsid w:val="00290EE7"/>
    <w:rsid w:val="002920C6"/>
    <w:rsid w:val="002935DA"/>
    <w:rsid w:val="0029535F"/>
    <w:rsid w:val="00295D8C"/>
    <w:rsid w:val="00296B65"/>
    <w:rsid w:val="00296F53"/>
    <w:rsid w:val="00296F8D"/>
    <w:rsid w:val="00297D3B"/>
    <w:rsid w:val="002A1973"/>
    <w:rsid w:val="002A51E0"/>
    <w:rsid w:val="002A6C63"/>
    <w:rsid w:val="002A6F55"/>
    <w:rsid w:val="002A71AA"/>
    <w:rsid w:val="002A7DEF"/>
    <w:rsid w:val="002B1ABD"/>
    <w:rsid w:val="002B1BA7"/>
    <w:rsid w:val="002B2200"/>
    <w:rsid w:val="002C0C82"/>
    <w:rsid w:val="002C3B3A"/>
    <w:rsid w:val="002C5DFB"/>
    <w:rsid w:val="002D0C4D"/>
    <w:rsid w:val="002D274D"/>
    <w:rsid w:val="002D4CDE"/>
    <w:rsid w:val="002E067C"/>
    <w:rsid w:val="002E2ECA"/>
    <w:rsid w:val="002E511B"/>
    <w:rsid w:val="002F218D"/>
    <w:rsid w:val="002F447C"/>
    <w:rsid w:val="002F645C"/>
    <w:rsid w:val="002F7986"/>
    <w:rsid w:val="002F7EDA"/>
    <w:rsid w:val="00303C4A"/>
    <w:rsid w:val="00304BD8"/>
    <w:rsid w:val="00304EB9"/>
    <w:rsid w:val="003076B4"/>
    <w:rsid w:val="00307F6D"/>
    <w:rsid w:val="003104F1"/>
    <w:rsid w:val="00311CD3"/>
    <w:rsid w:val="00312DEB"/>
    <w:rsid w:val="003139DB"/>
    <w:rsid w:val="00314196"/>
    <w:rsid w:val="00314C68"/>
    <w:rsid w:val="003164F7"/>
    <w:rsid w:val="003177A2"/>
    <w:rsid w:val="00317B10"/>
    <w:rsid w:val="00317E3B"/>
    <w:rsid w:val="003241F5"/>
    <w:rsid w:val="00324DC8"/>
    <w:rsid w:val="00326360"/>
    <w:rsid w:val="003271B5"/>
    <w:rsid w:val="0032782A"/>
    <w:rsid w:val="003301BA"/>
    <w:rsid w:val="00330715"/>
    <w:rsid w:val="00330CA0"/>
    <w:rsid w:val="00331264"/>
    <w:rsid w:val="0033336E"/>
    <w:rsid w:val="0033433E"/>
    <w:rsid w:val="00334C8D"/>
    <w:rsid w:val="00336888"/>
    <w:rsid w:val="00337A0B"/>
    <w:rsid w:val="00340655"/>
    <w:rsid w:val="00342323"/>
    <w:rsid w:val="00343EAD"/>
    <w:rsid w:val="0034560B"/>
    <w:rsid w:val="003459E6"/>
    <w:rsid w:val="00350ABB"/>
    <w:rsid w:val="003512AA"/>
    <w:rsid w:val="00351389"/>
    <w:rsid w:val="003518B3"/>
    <w:rsid w:val="0035213E"/>
    <w:rsid w:val="0035322B"/>
    <w:rsid w:val="003533E7"/>
    <w:rsid w:val="00356E01"/>
    <w:rsid w:val="003611B4"/>
    <w:rsid w:val="00362EE3"/>
    <w:rsid w:val="00364532"/>
    <w:rsid w:val="00364E4B"/>
    <w:rsid w:val="00366AE8"/>
    <w:rsid w:val="00367AAF"/>
    <w:rsid w:val="0037012D"/>
    <w:rsid w:val="003703E4"/>
    <w:rsid w:val="00370B8A"/>
    <w:rsid w:val="00370B8F"/>
    <w:rsid w:val="00371641"/>
    <w:rsid w:val="0037193E"/>
    <w:rsid w:val="00374065"/>
    <w:rsid w:val="0037565E"/>
    <w:rsid w:val="0037572F"/>
    <w:rsid w:val="00381068"/>
    <w:rsid w:val="00382011"/>
    <w:rsid w:val="00382184"/>
    <w:rsid w:val="00383D7A"/>
    <w:rsid w:val="003846F1"/>
    <w:rsid w:val="0039060F"/>
    <w:rsid w:val="00392827"/>
    <w:rsid w:val="0039574F"/>
    <w:rsid w:val="00397DFD"/>
    <w:rsid w:val="003A1341"/>
    <w:rsid w:val="003A4CB3"/>
    <w:rsid w:val="003A53AB"/>
    <w:rsid w:val="003A57CB"/>
    <w:rsid w:val="003A673F"/>
    <w:rsid w:val="003B334F"/>
    <w:rsid w:val="003B342E"/>
    <w:rsid w:val="003B3A60"/>
    <w:rsid w:val="003B564A"/>
    <w:rsid w:val="003B5A70"/>
    <w:rsid w:val="003B5D8A"/>
    <w:rsid w:val="003B64FE"/>
    <w:rsid w:val="003C3EDE"/>
    <w:rsid w:val="003C4908"/>
    <w:rsid w:val="003D0732"/>
    <w:rsid w:val="003D2D9E"/>
    <w:rsid w:val="003D45FD"/>
    <w:rsid w:val="003E114F"/>
    <w:rsid w:val="003E2D07"/>
    <w:rsid w:val="003E349F"/>
    <w:rsid w:val="003E72BE"/>
    <w:rsid w:val="003E7437"/>
    <w:rsid w:val="003E7D13"/>
    <w:rsid w:val="003F3C11"/>
    <w:rsid w:val="003F477B"/>
    <w:rsid w:val="003F4F6F"/>
    <w:rsid w:val="003F604E"/>
    <w:rsid w:val="00402D96"/>
    <w:rsid w:val="004032B5"/>
    <w:rsid w:val="0040589F"/>
    <w:rsid w:val="00411D74"/>
    <w:rsid w:val="00414487"/>
    <w:rsid w:val="0041634D"/>
    <w:rsid w:val="0041713D"/>
    <w:rsid w:val="0042058F"/>
    <w:rsid w:val="00420F9C"/>
    <w:rsid w:val="004211D4"/>
    <w:rsid w:val="00421969"/>
    <w:rsid w:val="00422B8B"/>
    <w:rsid w:val="00423003"/>
    <w:rsid w:val="00424548"/>
    <w:rsid w:val="00424AE4"/>
    <w:rsid w:val="00425040"/>
    <w:rsid w:val="004277A2"/>
    <w:rsid w:val="004304A1"/>
    <w:rsid w:val="00432292"/>
    <w:rsid w:val="0043256D"/>
    <w:rsid w:val="00433FDE"/>
    <w:rsid w:val="00442DFA"/>
    <w:rsid w:val="004438EC"/>
    <w:rsid w:val="00447CD6"/>
    <w:rsid w:val="00451126"/>
    <w:rsid w:val="00453E07"/>
    <w:rsid w:val="00454028"/>
    <w:rsid w:val="00461BE6"/>
    <w:rsid w:val="00462F92"/>
    <w:rsid w:val="0046316B"/>
    <w:rsid w:val="0046340E"/>
    <w:rsid w:val="00465C89"/>
    <w:rsid w:val="00465FD6"/>
    <w:rsid w:val="004664A7"/>
    <w:rsid w:val="00472D74"/>
    <w:rsid w:val="00475DDE"/>
    <w:rsid w:val="004762F9"/>
    <w:rsid w:val="00477244"/>
    <w:rsid w:val="0047737C"/>
    <w:rsid w:val="004804BE"/>
    <w:rsid w:val="00480555"/>
    <w:rsid w:val="00480B4B"/>
    <w:rsid w:val="00483ACE"/>
    <w:rsid w:val="00483BD5"/>
    <w:rsid w:val="00485DC4"/>
    <w:rsid w:val="00486ECC"/>
    <w:rsid w:val="00487250"/>
    <w:rsid w:val="004872AD"/>
    <w:rsid w:val="0049212B"/>
    <w:rsid w:val="00492F94"/>
    <w:rsid w:val="00496AF8"/>
    <w:rsid w:val="00496C4C"/>
    <w:rsid w:val="00497C7E"/>
    <w:rsid w:val="004A1654"/>
    <w:rsid w:val="004A23EF"/>
    <w:rsid w:val="004B02E6"/>
    <w:rsid w:val="004B0528"/>
    <w:rsid w:val="004B0819"/>
    <w:rsid w:val="004B0CCF"/>
    <w:rsid w:val="004B23D6"/>
    <w:rsid w:val="004B4412"/>
    <w:rsid w:val="004B552E"/>
    <w:rsid w:val="004C1F8D"/>
    <w:rsid w:val="004C348C"/>
    <w:rsid w:val="004C6A5C"/>
    <w:rsid w:val="004D3B5C"/>
    <w:rsid w:val="004D5577"/>
    <w:rsid w:val="004D55BA"/>
    <w:rsid w:val="004D6831"/>
    <w:rsid w:val="004E1A12"/>
    <w:rsid w:val="004E2878"/>
    <w:rsid w:val="004E634B"/>
    <w:rsid w:val="004E6FD8"/>
    <w:rsid w:val="004E75CD"/>
    <w:rsid w:val="004F0A93"/>
    <w:rsid w:val="004F16BC"/>
    <w:rsid w:val="004F1961"/>
    <w:rsid w:val="004F2078"/>
    <w:rsid w:val="004F22F4"/>
    <w:rsid w:val="004F2FDE"/>
    <w:rsid w:val="004F6357"/>
    <w:rsid w:val="004F7BFC"/>
    <w:rsid w:val="00501692"/>
    <w:rsid w:val="005038DB"/>
    <w:rsid w:val="00504F0A"/>
    <w:rsid w:val="00505B58"/>
    <w:rsid w:val="0050656C"/>
    <w:rsid w:val="005129BD"/>
    <w:rsid w:val="00515357"/>
    <w:rsid w:val="00517F31"/>
    <w:rsid w:val="0052379B"/>
    <w:rsid w:val="00524DB8"/>
    <w:rsid w:val="00530128"/>
    <w:rsid w:val="00532467"/>
    <w:rsid w:val="00532F49"/>
    <w:rsid w:val="00534AEE"/>
    <w:rsid w:val="0053505C"/>
    <w:rsid w:val="00542C91"/>
    <w:rsid w:val="0054538B"/>
    <w:rsid w:val="00546056"/>
    <w:rsid w:val="00547BA2"/>
    <w:rsid w:val="00547CCF"/>
    <w:rsid w:val="00547FBC"/>
    <w:rsid w:val="00550681"/>
    <w:rsid w:val="00551E4C"/>
    <w:rsid w:val="00552B1A"/>
    <w:rsid w:val="005539D3"/>
    <w:rsid w:val="00555A70"/>
    <w:rsid w:val="00555F84"/>
    <w:rsid w:val="00556095"/>
    <w:rsid w:val="00557E48"/>
    <w:rsid w:val="00560567"/>
    <w:rsid w:val="00564A1E"/>
    <w:rsid w:val="00564A4D"/>
    <w:rsid w:val="00565F17"/>
    <w:rsid w:val="005661D0"/>
    <w:rsid w:val="00566461"/>
    <w:rsid w:val="00567393"/>
    <w:rsid w:val="0056786E"/>
    <w:rsid w:val="00571801"/>
    <w:rsid w:val="00571B35"/>
    <w:rsid w:val="00571C9F"/>
    <w:rsid w:val="00572F35"/>
    <w:rsid w:val="00573932"/>
    <w:rsid w:val="00573D7B"/>
    <w:rsid w:val="005764BF"/>
    <w:rsid w:val="00577A09"/>
    <w:rsid w:val="00580B78"/>
    <w:rsid w:val="00581D21"/>
    <w:rsid w:val="005823D9"/>
    <w:rsid w:val="0058275F"/>
    <w:rsid w:val="00584D8F"/>
    <w:rsid w:val="00585FB8"/>
    <w:rsid w:val="00590B0C"/>
    <w:rsid w:val="00591AA3"/>
    <w:rsid w:val="005926C4"/>
    <w:rsid w:val="00595360"/>
    <w:rsid w:val="0059622D"/>
    <w:rsid w:val="00596D42"/>
    <w:rsid w:val="005A2307"/>
    <w:rsid w:val="005A404D"/>
    <w:rsid w:val="005A5BC5"/>
    <w:rsid w:val="005A60B4"/>
    <w:rsid w:val="005A6281"/>
    <w:rsid w:val="005A7FFE"/>
    <w:rsid w:val="005B1E3C"/>
    <w:rsid w:val="005B328F"/>
    <w:rsid w:val="005B3E5B"/>
    <w:rsid w:val="005B5C94"/>
    <w:rsid w:val="005B6C9F"/>
    <w:rsid w:val="005B74F1"/>
    <w:rsid w:val="005C01D5"/>
    <w:rsid w:val="005C0543"/>
    <w:rsid w:val="005C24AC"/>
    <w:rsid w:val="005C26CC"/>
    <w:rsid w:val="005C36D9"/>
    <w:rsid w:val="005C52BD"/>
    <w:rsid w:val="005C59D1"/>
    <w:rsid w:val="005C5F8C"/>
    <w:rsid w:val="005C7264"/>
    <w:rsid w:val="005D0094"/>
    <w:rsid w:val="005D1342"/>
    <w:rsid w:val="005D185E"/>
    <w:rsid w:val="005D4B28"/>
    <w:rsid w:val="005D5694"/>
    <w:rsid w:val="005D5A03"/>
    <w:rsid w:val="005D6E6E"/>
    <w:rsid w:val="005E216C"/>
    <w:rsid w:val="005E402E"/>
    <w:rsid w:val="005E53E0"/>
    <w:rsid w:val="005E6636"/>
    <w:rsid w:val="005E6C0E"/>
    <w:rsid w:val="005F0D33"/>
    <w:rsid w:val="005F19B6"/>
    <w:rsid w:val="005F26C4"/>
    <w:rsid w:val="005F3A65"/>
    <w:rsid w:val="005F5AB9"/>
    <w:rsid w:val="006014AA"/>
    <w:rsid w:val="006031E8"/>
    <w:rsid w:val="00603892"/>
    <w:rsid w:val="00604F01"/>
    <w:rsid w:val="0060526F"/>
    <w:rsid w:val="00605D6C"/>
    <w:rsid w:val="0061252F"/>
    <w:rsid w:val="00614578"/>
    <w:rsid w:val="006148B1"/>
    <w:rsid w:val="0061568A"/>
    <w:rsid w:val="00615C6B"/>
    <w:rsid w:val="00615CBF"/>
    <w:rsid w:val="00617053"/>
    <w:rsid w:val="00617A07"/>
    <w:rsid w:val="00625FA3"/>
    <w:rsid w:val="006313B8"/>
    <w:rsid w:val="00631DDD"/>
    <w:rsid w:val="00632D6D"/>
    <w:rsid w:val="0063437B"/>
    <w:rsid w:val="0063778D"/>
    <w:rsid w:val="006417EE"/>
    <w:rsid w:val="00642C3E"/>
    <w:rsid w:val="006456B6"/>
    <w:rsid w:val="00646025"/>
    <w:rsid w:val="006468F8"/>
    <w:rsid w:val="006501DA"/>
    <w:rsid w:val="00650DE9"/>
    <w:rsid w:val="006529D8"/>
    <w:rsid w:val="00652F0F"/>
    <w:rsid w:val="00655773"/>
    <w:rsid w:val="006563D7"/>
    <w:rsid w:val="00657236"/>
    <w:rsid w:val="0065782E"/>
    <w:rsid w:val="00660D0C"/>
    <w:rsid w:val="006616A1"/>
    <w:rsid w:val="006620AF"/>
    <w:rsid w:val="00663DAD"/>
    <w:rsid w:val="00664CD4"/>
    <w:rsid w:val="006668D6"/>
    <w:rsid w:val="00672755"/>
    <w:rsid w:val="00673ABB"/>
    <w:rsid w:val="006749E0"/>
    <w:rsid w:val="006756DE"/>
    <w:rsid w:val="00676679"/>
    <w:rsid w:val="00677EDB"/>
    <w:rsid w:val="006803FC"/>
    <w:rsid w:val="00680A53"/>
    <w:rsid w:val="006811D0"/>
    <w:rsid w:val="006847DF"/>
    <w:rsid w:val="00687649"/>
    <w:rsid w:val="00687FE8"/>
    <w:rsid w:val="006913BE"/>
    <w:rsid w:val="00691616"/>
    <w:rsid w:val="00694802"/>
    <w:rsid w:val="0069499C"/>
    <w:rsid w:val="006A09E3"/>
    <w:rsid w:val="006A0EBC"/>
    <w:rsid w:val="006A19B3"/>
    <w:rsid w:val="006A312D"/>
    <w:rsid w:val="006A595C"/>
    <w:rsid w:val="006B1B86"/>
    <w:rsid w:val="006B4CF9"/>
    <w:rsid w:val="006B6FE1"/>
    <w:rsid w:val="006B7AC8"/>
    <w:rsid w:val="006C318C"/>
    <w:rsid w:val="006C43C9"/>
    <w:rsid w:val="006C4D42"/>
    <w:rsid w:val="006C59C1"/>
    <w:rsid w:val="006C63D5"/>
    <w:rsid w:val="006C6EAC"/>
    <w:rsid w:val="006C756C"/>
    <w:rsid w:val="006D110A"/>
    <w:rsid w:val="006D112C"/>
    <w:rsid w:val="006D11E2"/>
    <w:rsid w:val="006D3505"/>
    <w:rsid w:val="006D550F"/>
    <w:rsid w:val="006D77F3"/>
    <w:rsid w:val="006E2942"/>
    <w:rsid w:val="006E3DD0"/>
    <w:rsid w:val="006E64DD"/>
    <w:rsid w:val="006F0505"/>
    <w:rsid w:val="006F16A5"/>
    <w:rsid w:val="006F44B0"/>
    <w:rsid w:val="007015B8"/>
    <w:rsid w:val="00701CAB"/>
    <w:rsid w:val="007022AA"/>
    <w:rsid w:val="007051CE"/>
    <w:rsid w:val="00706C4D"/>
    <w:rsid w:val="00707098"/>
    <w:rsid w:val="00707340"/>
    <w:rsid w:val="00707563"/>
    <w:rsid w:val="00711AFB"/>
    <w:rsid w:val="007123B4"/>
    <w:rsid w:val="0071658B"/>
    <w:rsid w:val="00722AF4"/>
    <w:rsid w:val="0072348C"/>
    <w:rsid w:val="00724A37"/>
    <w:rsid w:val="00726F0E"/>
    <w:rsid w:val="00727DEF"/>
    <w:rsid w:val="007303C3"/>
    <w:rsid w:val="00730DCF"/>
    <w:rsid w:val="00732C01"/>
    <w:rsid w:val="00733BE6"/>
    <w:rsid w:val="00734AC9"/>
    <w:rsid w:val="00740189"/>
    <w:rsid w:val="0074263E"/>
    <w:rsid w:val="00743223"/>
    <w:rsid w:val="007436C0"/>
    <w:rsid w:val="0074517D"/>
    <w:rsid w:val="00746E01"/>
    <w:rsid w:val="00747A29"/>
    <w:rsid w:val="007512C9"/>
    <w:rsid w:val="00751696"/>
    <w:rsid w:val="00752F42"/>
    <w:rsid w:val="0075688B"/>
    <w:rsid w:val="00757944"/>
    <w:rsid w:val="00761F91"/>
    <w:rsid w:val="00762136"/>
    <w:rsid w:val="00763344"/>
    <w:rsid w:val="00763E5D"/>
    <w:rsid w:val="00765460"/>
    <w:rsid w:val="007655EB"/>
    <w:rsid w:val="0076627B"/>
    <w:rsid w:val="007663B4"/>
    <w:rsid w:val="00766C5E"/>
    <w:rsid w:val="00767740"/>
    <w:rsid w:val="00776688"/>
    <w:rsid w:val="00776FF7"/>
    <w:rsid w:val="00777EE6"/>
    <w:rsid w:val="00782C4B"/>
    <w:rsid w:val="00782EEA"/>
    <w:rsid w:val="00783000"/>
    <w:rsid w:val="00784E72"/>
    <w:rsid w:val="00784E78"/>
    <w:rsid w:val="007852DE"/>
    <w:rsid w:val="00785FF4"/>
    <w:rsid w:val="00787463"/>
    <w:rsid w:val="00790B58"/>
    <w:rsid w:val="007928AA"/>
    <w:rsid w:val="007934F2"/>
    <w:rsid w:val="00796F94"/>
    <w:rsid w:val="007A005A"/>
    <w:rsid w:val="007A526E"/>
    <w:rsid w:val="007A6F2A"/>
    <w:rsid w:val="007A7F02"/>
    <w:rsid w:val="007B2C72"/>
    <w:rsid w:val="007B3EB0"/>
    <w:rsid w:val="007B3F46"/>
    <w:rsid w:val="007C051F"/>
    <w:rsid w:val="007C0DFE"/>
    <w:rsid w:val="007C1C53"/>
    <w:rsid w:val="007C3314"/>
    <w:rsid w:val="007C5BE9"/>
    <w:rsid w:val="007C6E38"/>
    <w:rsid w:val="007D275E"/>
    <w:rsid w:val="007D3DF7"/>
    <w:rsid w:val="007D43C1"/>
    <w:rsid w:val="007D6274"/>
    <w:rsid w:val="007D752A"/>
    <w:rsid w:val="007E1347"/>
    <w:rsid w:val="007E26A9"/>
    <w:rsid w:val="007E4904"/>
    <w:rsid w:val="007E4CB5"/>
    <w:rsid w:val="007E5E03"/>
    <w:rsid w:val="007E6813"/>
    <w:rsid w:val="007E78E5"/>
    <w:rsid w:val="007F066B"/>
    <w:rsid w:val="007F4374"/>
    <w:rsid w:val="007F68F7"/>
    <w:rsid w:val="007F6A63"/>
    <w:rsid w:val="00801AF1"/>
    <w:rsid w:val="008030C5"/>
    <w:rsid w:val="008033C4"/>
    <w:rsid w:val="00804060"/>
    <w:rsid w:val="00805354"/>
    <w:rsid w:val="00806C88"/>
    <w:rsid w:val="0081018D"/>
    <w:rsid w:val="0081034E"/>
    <w:rsid w:val="00811C2D"/>
    <w:rsid w:val="00812925"/>
    <w:rsid w:val="0081524E"/>
    <w:rsid w:val="00816A49"/>
    <w:rsid w:val="00816BB2"/>
    <w:rsid w:val="00816CC1"/>
    <w:rsid w:val="008207AF"/>
    <w:rsid w:val="008214E3"/>
    <w:rsid w:val="00821AD7"/>
    <w:rsid w:val="00822E44"/>
    <w:rsid w:val="008235C3"/>
    <w:rsid w:val="00825899"/>
    <w:rsid w:val="008344F6"/>
    <w:rsid w:val="0083510F"/>
    <w:rsid w:val="00835E20"/>
    <w:rsid w:val="00836B15"/>
    <w:rsid w:val="008404BC"/>
    <w:rsid w:val="00840AF6"/>
    <w:rsid w:val="00841513"/>
    <w:rsid w:val="00842D92"/>
    <w:rsid w:val="008448A8"/>
    <w:rsid w:val="00846FC9"/>
    <w:rsid w:val="0085051B"/>
    <w:rsid w:val="00851209"/>
    <w:rsid w:val="00852112"/>
    <w:rsid w:val="008543BA"/>
    <w:rsid w:val="00854BF0"/>
    <w:rsid w:val="00854CEE"/>
    <w:rsid w:val="00854EFB"/>
    <w:rsid w:val="008578FE"/>
    <w:rsid w:val="0086325C"/>
    <w:rsid w:val="00863CC2"/>
    <w:rsid w:val="00864B8E"/>
    <w:rsid w:val="00865D2F"/>
    <w:rsid w:val="00867784"/>
    <w:rsid w:val="00867A05"/>
    <w:rsid w:val="008703DD"/>
    <w:rsid w:val="00870775"/>
    <w:rsid w:val="00872A87"/>
    <w:rsid w:val="00875451"/>
    <w:rsid w:val="0088007E"/>
    <w:rsid w:val="008814C4"/>
    <w:rsid w:val="00881B18"/>
    <w:rsid w:val="00881EDE"/>
    <w:rsid w:val="008823D0"/>
    <w:rsid w:val="0088377C"/>
    <w:rsid w:val="008837AC"/>
    <w:rsid w:val="00886A19"/>
    <w:rsid w:val="00890A4E"/>
    <w:rsid w:val="00890A5A"/>
    <w:rsid w:val="008916D3"/>
    <w:rsid w:val="00892E1B"/>
    <w:rsid w:val="008945B4"/>
    <w:rsid w:val="0089538C"/>
    <w:rsid w:val="008956C3"/>
    <w:rsid w:val="00897DA3"/>
    <w:rsid w:val="008A2330"/>
    <w:rsid w:val="008A4F12"/>
    <w:rsid w:val="008A587D"/>
    <w:rsid w:val="008A5FCD"/>
    <w:rsid w:val="008A624A"/>
    <w:rsid w:val="008A67DF"/>
    <w:rsid w:val="008A7E47"/>
    <w:rsid w:val="008B0088"/>
    <w:rsid w:val="008B1008"/>
    <w:rsid w:val="008B29F5"/>
    <w:rsid w:val="008B5330"/>
    <w:rsid w:val="008B62D6"/>
    <w:rsid w:val="008C16BB"/>
    <w:rsid w:val="008C178D"/>
    <w:rsid w:val="008C330D"/>
    <w:rsid w:val="008C5486"/>
    <w:rsid w:val="008C6017"/>
    <w:rsid w:val="008C6E8D"/>
    <w:rsid w:val="008D48E3"/>
    <w:rsid w:val="008D4D26"/>
    <w:rsid w:val="008D5626"/>
    <w:rsid w:val="008D60E1"/>
    <w:rsid w:val="008E7031"/>
    <w:rsid w:val="008E7ECD"/>
    <w:rsid w:val="008F2B58"/>
    <w:rsid w:val="008F34C2"/>
    <w:rsid w:val="008F7CD3"/>
    <w:rsid w:val="00904491"/>
    <w:rsid w:val="009062E2"/>
    <w:rsid w:val="00906798"/>
    <w:rsid w:val="00911C39"/>
    <w:rsid w:val="00911E7C"/>
    <w:rsid w:val="009120A1"/>
    <w:rsid w:val="00913820"/>
    <w:rsid w:val="00913E47"/>
    <w:rsid w:val="0091516E"/>
    <w:rsid w:val="00915DCD"/>
    <w:rsid w:val="009165D0"/>
    <w:rsid w:val="0092166C"/>
    <w:rsid w:val="00921DE8"/>
    <w:rsid w:val="00922C95"/>
    <w:rsid w:val="009233EE"/>
    <w:rsid w:val="00924C92"/>
    <w:rsid w:val="00925873"/>
    <w:rsid w:val="00926B3C"/>
    <w:rsid w:val="0092767B"/>
    <w:rsid w:val="0093059D"/>
    <w:rsid w:val="00934FA1"/>
    <w:rsid w:val="00935D49"/>
    <w:rsid w:val="00936C4B"/>
    <w:rsid w:val="00941858"/>
    <w:rsid w:val="00943121"/>
    <w:rsid w:val="00944143"/>
    <w:rsid w:val="009453F9"/>
    <w:rsid w:val="00946982"/>
    <w:rsid w:val="00947118"/>
    <w:rsid w:val="00955269"/>
    <w:rsid w:val="00955E60"/>
    <w:rsid w:val="00956372"/>
    <w:rsid w:val="0095683B"/>
    <w:rsid w:val="0095704E"/>
    <w:rsid w:val="00957E6D"/>
    <w:rsid w:val="00960BC6"/>
    <w:rsid w:val="00962700"/>
    <w:rsid w:val="009661DE"/>
    <w:rsid w:val="00967670"/>
    <w:rsid w:val="00970884"/>
    <w:rsid w:val="00971C4D"/>
    <w:rsid w:val="00972E73"/>
    <w:rsid w:val="00980F47"/>
    <w:rsid w:val="009814BE"/>
    <w:rsid w:val="009827EB"/>
    <w:rsid w:val="00984235"/>
    <w:rsid w:val="009856B7"/>
    <w:rsid w:val="0098602B"/>
    <w:rsid w:val="00991B3B"/>
    <w:rsid w:val="00993BF6"/>
    <w:rsid w:val="0099438B"/>
    <w:rsid w:val="009962BA"/>
    <w:rsid w:val="009A3782"/>
    <w:rsid w:val="009A5E01"/>
    <w:rsid w:val="009A7CF3"/>
    <w:rsid w:val="009B254D"/>
    <w:rsid w:val="009B72E4"/>
    <w:rsid w:val="009B74B0"/>
    <w:rsid w:val="009C0F59"/>
    <w:rsid w:val="009C1EAE"/>
    <w:rsid w:val="009C2938"/>
    <w:rsid w:val="009C31FB"/>
    <w:rsid w:val="009C4A7F"/>
    <w:rsid w:val="009C69DB"/>
    <w:rsid w:val="009C6F21"/>
    <w:rsid w:val="009C7D6E"/>
    <w:rsid w:val="009D00B8"/>
    <w:rsid w:val="009D10BE"/>
    <w:rsid w:val="009D4414"/>
    <w:rsid w:val="009D4E81"/>
    <w:rsid w:val="009D6B46"/>
    <w:rsid w:val="009E11DD"/>
    <w:rsid w:val="009E5FC7"/>
    <w:rsid w:val="009E7EEA"/>
    <w:rsid w:val="009F1843"/>
    <w:rsid w:val="009F32A1"/>
    <w:rsid w:val="009F3BD4"/>
    <w:rsid w:val="009F4940"/>
    <w:rsid w:val="009F5B8A"/>
    <w:rsid w:val="009F77DD"/>
    <w:rsid w:val="00A02A6C"/>
    <w:rsid w:val="00A037E9"/>
    <w:rsid w:val="00A05517"/>
    <w:rsid w:val="00A07335"/>
    <w:rsid w:val="00A10715"/>
    <w:rsid w:val="00A15600"/>
    <w:rsid w:val="00A1665B"/>
    <w:rsid w:val="00A22CEF"/>
    <w:rsid w:val="00A24C82"/>
    <w:rsid w:val="00A256E2"/>
    <w:rsid w:val="00A26920"/>
    <w:rsid w:val="00A31FCE"/>
    <w:rsid w:val="00A37CE5"/>
    <w:rsid w:val="00A407FB"/>
    <w:rsid w:val="00A412E5"/>
    <w:rsid w:val="00A4177B"/>
    <w:rsid w:val="00A4478A"/>
    <w:rsid w:val="00A44852"/>
    <w:rsid w:val="00A478CF"/>
    <w:rsid w:val="00A47C24"/>
    <w:rsid w:val="00A506AF"/>
    <w:rsid w:val="00A507E0"/>
    <w:rsid w:val="00A50F45"/>
    <w:rsid w:val="00A53893"/>
    <w:rsid w:val="00A55611"/>
    <w:rsid w:val="00A57D04"/>
    <w:rsid w:val="00A60A26"/>
    <w:rsid w:val="00A61598"/>
    <w:rsid w:val="00A6611D"/>
    <w:rsid w:val="00A6693D"/>
    <w:rsid w:val="00A66D3E"/>
    <w:rsid w:val="00A67030"/>
    <w:rsid w:val="00A703AD"/>
    <w:rsid w:val="00A70A2D"/>
    <w:rsid w:val="00A736A8"/>
    <w:rsid w:val="00A77A9B"/>
    <w:rsid w:val="00A77DC2"/>
    <w:rsid w:val="00A81A8A"/>
    <w:rsid w:val="00A827CC"/>
    <w:rsid w:val="00A84F46"/>
    <w:rsid w:val="00A871F4"/>
    <w:rsid w:val="00A911FC"/>
    <w:rsid w:val="00A91599"/>
    <w:rsid w:val="00A92F23"/>
    <w:rsid w:val="00A95514"/>
    <w:rsid w:val="00AA36E7"/>
    <w:rsid w:val="00AA39F7"/>
    <w:rsid w:val="00AA51E0"/>
    <w:rsid w:val="00AB310D"/>
    <w:rsid w:val="00AB4B90"/>
    <w:rsid w:val="00AB537D"/>
    <w:rsid w:val="00AB6528"/>
    <w:rsid w:val="00AB6E41"/>
    <w:rsid w:val="00AC1B2C"/>
    <w:rsid w:val="00AC1FB8"/>
    <w:rsid w:val="00AC3264"/>
    <w:rsid w:val="00AC3378"/>
    <w:rsid w:val="00AC5222"/>
    <w:rsid w:val="00AC660D"/>
    <w:rsid w:val="00AC681A"/>
    <w:rsid w:val="00AC6F01"/>
    <w:rsid w:val="00AC7784"/>
    <w:rsid w:val="00AD0B30"/>
    <w:rsid w:val="00AD0D82"/>
    <w:rsid w:val="00AD16C0"/>
    <w:rsid w:val="00AD24CF"/>
    <w:rsid w:val="00AD3382"/>
    <w:rsid w:val="00AE0E1D"/>
    <w:rsid w:val="00AE0FE2"/>
    <w:rsid w:val="00AE16B5"/>
    <w:rsid w:val="00AE190B"/>
    <w:rsid w:val="00AE1BF1"/>
    <w:rsid w:val="00AE269D"/>
    <w:rsid w:val="00AE6EC3"/>
    <w:rsid w:val="00AF0DD2"/>
    <w:rsid w:val="00AF2073"/>
    <w:rsid w:val="00AF29ED"/>
    <w:rsid w:val="00AF2B2C"/>
    <w:rsid w:val="00B010A5"/>
    <w:rsid w:val="00B03A67"/>
    <w:rsid w:val="00B04832"/>
    <w:rsid w:val="00B0668C"/>
    <w:rsid w:val="00B07B08"/>
    <w:rsid w:val="00B07BBE"/>
    <w:rsid w:val="00B10314"/>
    <w:rsid w:val="00B10E48"/>
    <w:rsid w:val="00B13048"/>
    <w:rsid w:val="00B145BE"/>
    <w:rsid w:val="00B14C56"/>
    <w:rsid w:val="00B15998"/>
    <w:rsid w:val="00B16838"/>
    <w:rsid w:val="00B1716D"/>
    <w:rsid w:val="00B17A1D"/>
    <w:rsid w:val="00B207A0"/>
    <w:rsid w:val="00B23856"/>
    <w:rsid w:val="00B279DD"/>
    <w:rsid w:val="00B31BF6"/>
    <w:rsid w:val="00B44AAD"/>
    <w:rsid w:val="00B45AEB"/>
    <w:rsid w:val="00B467AB"/>
    <w:rsid w:val="00B50BC9"/>
    <w:rsid w:val="00B518A1"/>
    <w:rsid w:val="00B530F3"/>
    <w:rsid w:val="00B547C2"/>
    <w:rsid w:val="00B55DEE"/>
    <w:rsid w:val="00B55E50"/>
    <w:rsid w:val="00B569D2"/>
    <w:rsid w:val="00B56E03"/>
    <w:rsid w:val="00B603C1"/>
    <w:rsid w:val="00B604F9"/>
    <w:rsid w:val="00B60F5D"/>
    <w:rsid w:val="00B636D5"/>
    <w:rsid w:val="00B6475E"/>
    <w:rsid w:val="00B65B41"/>
    <w:rsid w:val="00B66620"/>
    <w:rsid w:val="00B66EEB"/>
    <w:rsid w:val="00B670BF"/>
    <w:rsid w:val="00B67E91"/>
    <w:rsid w:val="00B70901"/>
    <w:rsid w:val="00B71EF9"/>
    <w:rsid w:val="00B73557"/>
    <w:rsid w:val="00B73C53"/>
    <w:rsid w:val="00B76790"/>
    <w:rsid w:val="00B77BD1"/>
    <w:rsid w:val="00B8080B"/>
    <w:rsid w:val="00B80D10"/>
    <w:rsid w:val="00B81452"/>
    <w:rsid w:val="00B829B5"/>
    <w:rsid w:val="00B87C39"/>
    <w:rsid w:val="00B90C07"/>
    <w:rsid w:val="00B951CE"/>
    <w:rsid w:val="00B95DF2"/>
    <w:rsid w:val="00B97D27"/>
    <w:rsid w:val="00BA1262"/>
    <w:rsid w:val="00BA200A"/>
    <w:rsid w:val="00BA42B8"/>
    <w:rsid w:val="00BA4665"/>
    <w:rsid w:val="00BA5784"/>
    <w:rsid w:val="00BB03EE"/>
    <w:rsid w:val="00BB1308"/>
    <w:rsid w:val="00BB2965"/>
    <w:rsid w:val="00BB2FB2"/>
    <w:rsid w:val="00BB30F5"/>
    <w:rsid w:val="00BB3304"/>
    <w:rsid w:val="00BB429F"/>
    <w:rsid w:val="00BB4A34"/>
    <w:rsid w:val="00BB5C5A"/>
    <w:rsid w:val="00BB66AF"/>
    <w:rsid w:val="00BC1301"/>
    <w:rsid w:val="00BC5D2B"/>
    <w:rsid w:val="00BD00CD"/>
    <w:rsid w:val="00BD3446"/>
    <w:rsid w:val="00BD3A26"/>
    <w:rsid w:val="00BD4F7D"/>
    <w:rsid w:val="00BE0A1D"/>
    <w:rsid w:val="00BE1F1B"/>
    <w:rsid w:val="00BE3C42"/>
    <w:rsid w:val="00BE47B5"/>
    <w:rsid w:val="00BE4C99"/>
    <w:rsid w:val="00BE5ECD"/>
    <w:rsid w:val="00BF06FB"/>
    <w:rsid w:val="00BF17A3"/>
    <w:rsid w:val="00BF1FFB"/>
    <w:rsid w:val="00BF3CC3"/>
    <w:rsid w:val="00BF3ED7"/>
    <w:rsid w:val="00BF661B"/>
    <w:rsid w:val="00C058AB"/>
    <w:rsid w:val="00C06739"/>
    <w:rsid w:val="00C13875"/>
    <w:rsid w:val="00C13D7C"/>
    <w:rsid w:val="00C144E0"/>
    <w:rsid w:val="00C16994"/>
    <w:rsid w:val="00C16B58"/>
    <w:rsid w:val="00C17052"/>
    <w:rsid w:val="00C178D9"/>
    <w:rsid w:val="00C17BDE"/>
    <w:rsid w:val="00C204A0"/>
    <w:rsid w:val="00C21406"/>
    <w:rsid w:val="00C23298"/>
    <w:rsid w:val="00C253F4"/>
    <w:rsid w:val="00C25A65"/>
    <w:rsid w:val="00C26A43"/>
    <w:rsid w:val="00C305CD"/>
    <w:rsid w:val="00C34CF8"/>
    <w:rsid w:val="00C34D15"/>
    <w:rsid w:val="00C359AD"/>
    <w:rsid w:val="00C35A55"/>
    <w:rsid w:val="00C36573"/>
    <w:rsid w:val="00C369F4"/>
    <w:rsid w:val="00C40EC5"/>
    <w:rsid w:val="00C410E3"/>
    <w:rsid w:val="00C412AB"/>
    <w:rsid w:val="00C4151B"/>
    <w:rsid w:val="00C47FC4"/>
    <w:rsid w:val="00C52388"/>
    <w:rsid w:val="00C538A9"/>
    <w:rsid w:val="00C53B5A"/>
    <w:rsid w:val="00C54F5A"/>
    <w:rsid w:val="00C55825"/>
    <w:rsid w:val="00C57B0D"/>
    <w:rsid w:val="00C62920"/>
    <w:rsid w:val="00C66081"/>
    <w:rsid w:val="00C6681E"/>
    <w:rsid w:val="00C72C99"/>
    <w:rsid w:val="00C7417E"/>
    <w:rsid w:val="00C755AD"/>
    <w:rsid w:val="00C763E4"/>
    <w:rsid w:val="00C82E5B"/>
    <w:rsid w:val="00C8389C"/>
    <w:rsid w:val="00C838E7"/>
    <w:rsid w:val="00C841DD"/>
    <w:rsid w:val="00C86679"/>
    <w:rsid w:val="00C93DC7"/>
    <w:rsid w:val="00C960C5"/>
    <w:rsid w:val="00C9651F"/>
    <w:rsid w:val="00C96D35"/>
    <w:rsid w:val="00C96F55"/>
    <w:rsid w:val="00CA130D"/>
    <w:rsid w:val="00CA1E81"/>
    <w:rsid w:val="00CA2F26"/>
    <w:rsid w:val="00CA37CA"/>
    <w:rsid w:val="00CA41E0"/>
    <w:rsid w:val="00CB0009"/>
    <w:rsid w:val="00CB0F0C"/>
    <w:rsid w:val="00CB1089"/>
    <w:rsid w:val="00CB26A9"/>
    <w:rsid w:val="00CB666B"/>
    <w:rsid w:val="00CB75D7"/>
    <w:rsid w:val="00CB7638"/>
    <w:rsid w:val="00CC2659"/>
    <w:rsid w:val="00CC7C8A"/>
    <w:rsid w:val="00CD1AC8"/>
    <w:rsid w:val="00CD1DE1"/>
    <w:rsid w:val="00CD252C"/>
    <w:rsid w:val="00CD443A"/>
    <w:rsid w:val="00CD4F4E"/>
    <w:rsid w:val="00CD614C"/>
    <w:rsid w:val="00CD70D2"/>
    <w:rsid w:val="00CE054D"/>
    <w:rsid w:val="00CE09FA"/>
    <w:rsid w:val="00CE209A"/>
    <w:rsid w:val="00CE40FE"/>
    <w:rsid w:val="00CE6BCF"/>
    <w:rsid w:val="00CF0739"/>
    <w:rsid w:val="00CF0DF5"/>
    <w:rsid w:val="00CF23EB"/>
    <w:rsid w:val="00CF39BC"/>
    <w:rsid w:val="00CF4762"/>
    <w:rsid w:val="00CF52B4"/>
    <w:rsid w:val="00CF5CF4"/>
    <w:rsid w:val="00CF799E"/>
    <w:rsid w:val="00D0062C"/>
    <w:rsid w:val="00D01A6E"/>
    <w:rsid w:val="00D01CF0"/>
    <w:rsid w:val="00D01D50"/>
    <w:rsid w:val="00D01D6D"/>
    <w:rsid w:val="00D0253C"/>
    <w:rsid w:val="00D028AC"/>
    <w:rsid w:val="00D029A1"/>
    <w:rsid w:val="00D0442A"/>
    <w:rsid w:val="00D0667B"/>
    <w:rsid w:val="00D06837"/>
    <w:rsid w:val="00D07FBB"/>
    <w:rsid w:val="00D106E6"/>
    <w:rsid w:val="00D1293B"/>
    <w:rsid w:val="00D13BD8"/>
    <w:rsid w:val="00D16700"/>
    <w:rsid w:val="00D203E1"/>
    <w:rsid w:val="00D205E8"/>
    <w:rsid w:val="00D20609"/>
    <w:rsid w:val="00D2102F"/>
    <w:rsid w:val="00D21BF4"/>
    <w:rsid w:val="00D25035"/>
    <w:rsid w:val="00D256E0"/>
    <w:rsid w:val="00D25E41"/>
    <w:rsid w:val="00D26427"/>
    <w:rsid w:val="00D264A2"/>
    <w:rsid w:val="00D3221F"/>
    <w:rsid w:val="00D32A1D"/>
    <w:rsid w:val="00D354DC"/>
    <w:rsid w:val="00D35F2F"/>
    <w:rsid w:val="00D36ADB"/>
    <w:rsid w:val="00D376AA"/>
    <w:rsid w:val="00D44E1E"/>
    <w:rsid w:val="00D45CEF"/>
    <w:rsid w:val="00D46B9F"/>
    <w:rsid w:val="00D46F55"/>
    <w:rsid w:val="00D47D3F"/>
    <w:rsid w:val="00D50142"/>
    <w:rsid w:val="00D507D3"/>
    <w:rsid w:val="00D5108A"/>
    <w:rsid w:val="00D52317"/>
    <w:rsid w:val="00D52E21"/>
    <w:rsid w:val="00D530B4"/>
    <w:rsid w:val="00D537C5"/>
    <w:rsid w:val="00D544B8"/>
    <w:rsid w:val="00D57582"/>
    <w:rsid w:val="00D61388"/>
    <w:rsid w:val="00D61697"/>
    <w:rsid w:val="00D61A54"/>
    <w:rsid w:val="00D64DEA"/>
    <w:rsid w:val="00D717DD"/>
    <w:rsid w:val="00D7278C"/>
    <w:rsid w:val="00D73E67"/>
    <w:rsid w:val="00D7776D"/>
    <w:rsid w:val="00D80893"/>
    <w:rsid w:val="00D80DCC"/>
    <w:rsid w:val="00D828C1"/>
    <w:rsid w:val="00D829A9"/>
    <w:rsid w:val="00D83027"/>
    <w:rsid w:val="00D83B8C"/>
    <w:rsid w:val="00D85E96"/>
    <w:rsid w:val="00D90F43"/>
    <w:rsid w:val="00D92752"/>
    <w:rsid w:val="00D92CF1"/>
    <w:rsid w:val="00D92D38"/>
    <w:rsid w:val="00D94B9E"/>
    <w:rsid w:val="00D950F5"/>
    <w:rsid w:val="00D96549"/>
    <w:rsid w:val="00D965A8"/>
    <w:rsid w:val="00D969BE"/>
    <w:rsid w:val="00DA4C1D"/>
    <w:rsid w:val="00DB08B9"/>
    <w:rsid w:val="00DB0F93"/>
    <w:rsid w:val="00DB7CF3"/>
    <w:rsid w:val="00DC18A0"/>
    <w:rsid w:val="00DC390E"/>
    <w:rsid w:val="00DC542F"/>
    <w:rsid w:val="00DC5A40"/>
    <w:rsid w:val="00DC5EF4"/>
    <w:rsid w:val="00DC65CF"/>
    <w:rsid w:val="00DC7314"/>
    <w:rsid w:val="00DC7981"/>
    <w:rsid w:val="00DD2499"/>
    <w:rsid w:val="00DD24D8"/>
    <w:rsid w:val="00DD5058"/>
    <w:rsid w:val="00DD5BF7"/>
    <w:rsid w:val="00DD7648"/>
    <w:rsid w:val="00DE0450"/>
    <w:rsid w:val="00DE350B"/>
    <w:rsid w:val="00DE37CD"/>
    <w:rsid w:val="00DE4EFA"/>
    <w:rsid w:val="00DE5520"/>
    <w:rsid w:val="00DE5B43"/>
    <w:rsid w:val="00DE7CA0"/>
    <w:rsid w:val="00DF1265"/>
    <w:rsid w:val="00DF20A7"/>
    <w:rsid w:val="00DF23D5"/>
    <w:rsid w:val="00DF2558"/>
    <w:rsid w:val="00DF2B6F"/>
    <w:rsid w:val="00DF389A"/>
    <w:rsid w:val="00DF4034"/>
    <w:rsid w:val="00DF5F3E"/>
    <w:rsid w:val="00E0130C"/>
    <w:rsid w:val="00E01A14"/>
    <w:rsid w:val="00E04818"/>
    <w:rsid w:val="00E06442"/>
    <w:rsid w:val="00E0795E"/>
    <w:rsid w:val="00E112AE"/>
    <w:rsid w:val="00E12412"/>
    <w:rsid w:val="00E13DD7"/>
    <w:rsid w:val="00E16FF7"/>
    <w:rsid w:val="00E23993"/>
    <w:rsid w:val="00E24DC4"/>
    <w:rsid w:val="00E2546F"/>
    <w:rsid w:val="00E25B8C"/>
    <w:rsid w:val="00E272CA"/>
    <w:rsid w:val="00E31ECD"/>
    <w:rsid w:val="00E346F7"/>
    <w:rsid w:val="00E34830"/>
    <w:rsid w:val="00E35713"/>
    <w:rsid w:val="00E4197A"/>
    <w:rsid w:val="00E41A0E"/>
    <w:rsid w:val="00E44210"/>
    <w:rsid w:val="00E4620C"/>
    <w:rsid w:val="00E4674F"/>
    <w:rsid w:val="00E47CE5"/>
    <w:rsid w:val="00E50575"/>
    <w:rsid w:val="00E530BF"/>
    <w:rsid w:val="00E532A8"/>
    <w:rsid w:val="00E5501C"/>
    <w:rsid w:val="00E55910"/>
    <w:rsid w:val="00E613D8"/>
    <w:rsid w:val="00E614CF"/>
    <w:rsid w:val="00E65C85"/>
    <w:rsid w:val="00E66199"/>
    <w:rsid w:val="00E71363"/>
    <w:rsid w:val="00E71DE6"/>
    <w:rsid w:val="00E728B6"/>
    <w:rsid w:val="00E72B9B"/>
    <w:rsid w:val="00E74959"/>
    <w:rsid w:val="00E755EC"/>
    <w:rsid w:val="00E7624D"/>
    <w:rsid w:val="00E7774B"/>
    <w:rsid w:val="00E80D20"/>
    <w:rsid w:val="00E9011D"/>
    <w:rsid w:val="00E97960"/>
    <w:rsid w:val="00EA017A"/>
    <w:rsid w:val="00EA034D"/>
    <w:rsid w:val="00EA0388"/>
    <w:rsid w:val="00EA3D42"/>
    <w:rsid w:val="00EA417D"/>
    <w:rsid w:val="00EA5E10"/>
    <w:rsid w:val="00EA6B1B"/>
    <w:rsid w:val="00EB2D19"/>
    <w:rsid w:val="00EB35A9"/>
    <w:rsid w:val="00EB4255"/>
    <w:rsid w:val="00EB49E4"/>
    <w:rsid w:val="00EC1068"/>
    <w:rsid w:val="00EC2671"/>
    <w:rsid w:val="00EC51F2"/>
    <w:rsid w:val="00ED3A3F"/>
    <w:rsid w:val="00ED7300"/>
    <w:rsid w:val="00EE0CDB"/>
    <w:rsid w:val="00EE28F3"/>
    <w:rsid w:val="00EE582A"/>
    <w:rsid w:val="00EE654A"/>
    <w:rsid w:val="00EE7DA4"/>
    <w:rsid w:val="00EF0061"/>
    <w:rsid w:val="00EF1018"/>
    <w:rsid w:val="00EF103D"/>
    <w:rsid w:val="00EF4950"/>
    <w:rsid w:val="00EF5110"/>
    <w:rsid w:val="00F021E1"/>
    <w:rsid w:val="00F033B3"/>
    <w:rsid w:val="00F064D5"/>
    <w:rsid w:val="00F06933"/>
    <w:rsid w:val="00F11FC6"/>
    <w:rsid w:val="00F15882"/>
    <w:rsid w:val="00F15B98"/>
    <w:rsid w:val="00F1773B"/>
    <w:rsid w:val="00F17A10"/>
    <w:rsid w:val="00F20771"/>
    <w:rsid w:val="00F20BD3"/>
    <w:rsid w:val="00F24A33"/>
    <w:rsid w:val="00F24F0B"/>
    <w:rsid w:val="00F26252"/>
    <w:rsid w:val="00F32FC4"/>
    <w:rsid w:val="00F3693D"/>
    <w:rsid w:val="00F373A5"/>
    <w:rsid w:val="00F37531"/>
    <w:rsid w:val="00F400CF"/>
    <w:rsid w:val="00F41835"/>
    <w:rsid w:val="00F424D9"/>
    <w:rsid w:val="00F42825"/>
    <w:rsid w:val="00F45891"/>
    <w:rsid w:val="00F47559"/>
    <w:rsid w:val="00F47A7B"/>
    <w:rsid w:val="00F51F40"/>
    <w:rsid w:val="00F531C7"/>
    <w:rsid w:val="00F57300"/>
    <w:rsid w:val="00F602B0"/>
    <w:rsid w:val="00F60BE4"/>
    <w:rsid w:val="00F60C48"/>
    <w:rsid w:val="00F60F2D"/>
    <w:rsid w:val="00F61B84"/>
    <w:rsid w:val="00F63587"/>
    <w:rsid w:val="00F64C7B"/>
    <w:rsid w:val="00F659C8"/>
    <w:rsid w:val="00F671BE"/>
    <w:rsid w:val="00F676DD"/>
    <w:rsid w:val="00F67D05"/>
    <w:rsid w:val="00F74894"/>
    <w:rsid w:val="00F75A26"/>
    <w:rsid w:val="00F82104"/>
    <w:rsid w:val="00F83A0E"/>
    <w:rsid w:val="00F83FAD"/>
    <w:rsid w:val="00F90C03"/>
    <w:rsid w:val="00F90E23"/>
    <w:rsid w:val="00F91DC6"/>
    <w:rsid w:val="00F952A0"/>
    <w:rsid w:val="00F96A85"/>
    <w:rsid w:val="00F96B2A"/>
    <w:rsid w:val="00F971D3"/>
    <w:rsid w:val="00FA1C20"/>
    <w:rsid w:val="00FA30F4"/>
    <w:rsid w:val="00FA3B35"/>
    <w:rsid w:val="00FA3C7F"/>
    <w:rsid w:val="00FA6A33"/>
    <w:rsid w:val="00FB01E5"/>
    <w:rsid w:val="00FB1A65"/>
    <w:rsid w:val="00FB27BA"/>
    <w:rsid w:val="00FB52D7"/>
    <w:rsid w:val="00FB6617"/>
    <w:rsid w:val="00FB74E2"/>
    <w:rsid w:val="00FC719E"/>
    <w:rsid w:val="00FD273B"/>
    <w:rsid w:val="00FD42D3"/>
    <w:rsid w:val="00FD5614"/>
    <w:rsid w:val="00FD7474"/>
    <w:rsid w:val="00FE0BE1"/>
    <w:rsid w:val="00FE1164"/>
    <w:rsid w:val="00FE1DE9"/>
    <w:rsid w:val="00FE39C2"/>
    <w:rsid w:val="00FE4D7B"/>
    <w:rsid w:val="00FE5C3C"/>
    <w:rsid w:val="00FE5E61"/>
    <w:rsid w:val="00FE6417"/>
    <w:rsid w:val="00FE64AE"/>
    <w:rsid w:val="00FE7E76"/>
    <w:rsid w:val="00FF5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35D49"/>
    <w:pPr>
      <w:spacing w:before="200"/>
    </w:pPr>
    <w:rPr>
      <w:sz w:val="22"/>
      <w:szCs w:val="22"/>
      <w:lang w:eastAsia="en-US"/>
    </w:rPr>
  </w:style>
  <w:style w:type="paragraph" w:styleId="Heading1">
    <w:name w:val="heading 1"/>
    <w:basedOn w:val="Normal"/>
    <w:next w:val="Normal"/>
    <w:link w:val="Heading1Char"/>
    <w:qFormat/>
    <w:rsid w:val="009D6B46"/>
    <w:pPr>
      <w:spacing w:before="240"/>
      <w:outlineLvl w:val="0"/>
    </w:pPr>
    <w:rPr>
      <w:rFonts w:ascii="Lucida Fax" w:eastAsia="Times New Roman" w:hAnsi="Lucida Fax"/>
      <w:bCs/>
      <w:color w:val="51626F"/>
      <w:sz w:val="32"/>
      <w:szCs w:val="28"/>
    </w:rPr>
  </w:style>
  <w:style w:type="paragraph" w:styleId="Heading2">
    <w:name w:val="heading 2"/>
    <w:next w:val="Normal"/>
    <w:link w:val="Heading2Char"/>
    <w:qFormat/>
    <w:rsid w:val="009D6B46"/>
    <w:pPr>
      <w:spacing w:before="200" w:line="240" w:lineRule="atLeast"/>
      <w:outlineLvl w:val="1"/>
    </w:pPr>
    <w:rPr>
      <w:rFonts w:eastAsia="Times New Roman"/>
      <w:b/>
      <w:bCs/>
      <w:color w:val="51626F"/>
      <w:sz w:val="28"/>
      <w:szCs w:val="26"/>
      <w:lang w:eastAsia="en-US"/>
    </w:rPr>
  </w:style>
  <w:style w:type="paragraph" w:styleId="Heading3">
    <w:name w:val="heading 3"/>
    <w:basedOn w:val="Normal"/>
    <w:next w:val="Normal"/>
    <w:link w:val="Heading3Char"/>
    <w:qFormat/>
    <w:rsid w:val="009D6B46"/>
    <w:pPr>
      <w:spacing w:before="240"/>
      <w:outlineLvl w:val="2"/>
    </w:pPr>
    <w:rPr>
      <w:rFonts w:eastAsia="Times New Roman"/>
      <w:b/>
      <w:bCs/>
      <w:color w:val="000000"/>
      <w:sz w:val="24"/>
    </w:rPr>
  </w:style>
  <w:style w:type="paragraph" w:styleId="Heading4">
    <w:name w:val="heading 4"/>
    <w:basedOn w:val="Normal"/>
    <w:next w:val="Normal"/>
    <w:link w:val="Heading4Char"/>
    <w:qFormat/>
    <w:rsid w:val="009D6B46"/>
    <w:pPr>
      <w:spacing w:before="240"/>
      <w:outlineLvl w:val="3"/>
    </w:pPr>
    <w:rPr>
      <w:rFonts w:eastAsia="Times New Roman"/>
      <w:b/>
      <w:bCs/>
      <w:i/>
      <w:iCs/>
      <w:color w:val="51626F"/>
      <w:sz w:val="24"/>
    </w:rPr>
  </w:style>
  <w:style w:type="paragraph" w:styleId="Heading5">
    <w:name w:val="heading 5"/>
    <w:next w:val="Normal"/>
    <w:link w:val="Heading5Char"/>
    <w:uiPriority w:val="2"/>
    <w:qFormat/>
    <w:rsid w:val="009D6B46"/>
    <w:pPr>
      <w:spacing w:before="200" w:line="240" w:lineRule="atLeast"/>
      <w:outlineLvl w:val="4"/>
    </w:pPr>
    <w:rPr>
      <w:rFonts w:eastAsia="Times New Roman"/>
      <w:b/>
      <w:color w:val="283037"/>
      <w:sz w:val="22"/>
      <w:szCs w:val="22"/>
      <w:lang w:eastAsia="en-US"/>
    </w:rPr>
  </w:style>
  <w:style w:type="paragraph" w:styleId="Heading6">
    <w:name w:val="heading 6"/>
    <w:basedOn w:val="Normal"/>
    <w:next w:val="Normal"/>
    <w:link w:val="Heading6Char"/>
    <w:uiPriority w:val="2"/>
    <w:qFormat/>
    <w:rsid w:val="009D6B46"/>
    <w:pPr>
      <w:spacing w:before="240"/>
      <w:outlineLvl w:val="5"/>
    </w:pPr>
    <w:rPr>
      <w:rFonts w:eastAsia="Times New Roman"/>
      <w:b/>
      <w:i/>
      <w:iCs/>
    </w:rPr>
  </w:style>
  <w:style w:type="paragraph" w:styleId="Heading7">
    <w:name w:val="heading 7"/>
    <w:basedOn w:val="Normal"/>
    <w:next w:val="Normal"/>
    <w:link w:val="Heading7Char"/>
    <w:uiPriority w:val="2"/>
    <w:qFormat/>
    <w:rsid w:val="009D6B46"/>
    <w:pPr>
      <w:spacing w:before="240"/>
      <w:outlineLvl w:val="6"/>
    </w:pPr>
    <w:rPr>
      <w:rFonts w:eastAsia="Times New Roman"/>
      <w:i/>
      <w:iCs/>
      <w:color w:val="404040"/>
    </w:rPr>
  </w:style>
  <w:style w:type="paragraph" w:styleId="Heading8">
    <w:name w:val="heading 8"/>
    <w:basedOn w:val="Normal"/>
    <w:next w:val="Normal"/>
    <w:link w:val="Heading8Char"/>
    <w:uiPriority w:val="2"/>
    <w:qFormat/>
    <w:rsid w:val="009D6B46"/>
    <w:pPr>
      <w:spacing w:before="240"/>
      <w:outlineLvl w:val="7"/>
    </w:pPr>
    <w:rPr>
      <w:rFonts w:eastAsia="Times New Roman"/>
      <w:color w:val="51626F"/>
      <w:szCs w:val="20"/>
    </w:rPr>
  </w:style>
  <w:style w:type="paragraph" w:styleId="Heading9">
    <w:name w:val="heading 9"/>
    <w:aliases w:val="Numbered Table"/>
    <w:basedOn w:val="Normal"/>
    <w:next w:val="Normal"/>
    <w:link w:val="Heading9Char"/>
    <w:uiPriority w:val="2"/>
    <w:qFormat/>
    <w:rsid w:val="00646025"/>
    <w:pPr>
      <w:numPr>
        <w:numId w:val="26"/>
      </w:numPr>
      <w:tabs>
        <w:tab w:val="left" w:pos="340"/>
      </w:tabs>
      <w:spacing w:before="240" w:after="120"/>
      <w:outlineLvl w:val="8"/>
    </w:pPr>
    <w:rPr>
      <w:rFonts w:eastAsia="Times New Roman"/>
      <w:b/>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B46"/>
    <w:rPr>
      <w:rFonts w:ascii="Lucida Fax" w:eastAsia="Times New Roman" w:hAnsi="Lucida Fax" w:cs="Times New Roman"/>
      <w:bCs/>
      <w:color w:val="51626F"/>
      <w:sz w:val="32"/>
      <w:szCs w:val="28"/>
    </w:rPr>
  </w:style>
  <w:style w:type="character" w:customStyle="1" w:styleId="Heading2Char">
    <w:name w:val="Heading 2 Char"/>
    <w:link w:val="Heading2"/>
    <w:rsid w:val="009D6B46"/>
    <w:rPr>
      <w:rFonts w:ascii="Arial" w:eastAsia="Times New Roman" w:hAnsi="Arial" w:cs="Times New Roman"/>
      <w:b/>
      <w:bCs/>
      <w:color w:val="51626F"/>
      <w:sz w:val="28"/>
      <w:szCs w:val="26"/>
    </w:rPr>
  </w:style>
  <w:style w:type="character" w:customStyle="1" w:styleId="Heading3Char">
    <w:name w:val="Heading 3 Char"/>
    <w:link w:val="Heading3"/>
    <w:rsid w:val="009D6B46"/>
    <w:rPr>
      <w:rFonts w:ascii="Arial" w:eastAsia="Times New Roman" w:hAnsi="Arial" w:cs="Times New Roman"/>
      <w:b/>
      <w:bCs/>
      <w:color w:val="000000"/>
      <w:sz w:val="24"/>
    </w:rPr>
  </w:style>
  <w:style w:type="character" w:customStyle="1" w:styleId="Heading4Char">
    <w:name w:val="Heading 4 Char"/>
    <w:link w:val="Heading4"/>
    <w:rsid w:val="009D6B46"/>
    <w:rPr>
      <w:rFonts w:ascii="Arial" w:eastAsia="Times New Roman" w:hAnsi="Arial" w:cs="Times New Roman"/>
      <w:b/>
      <w:bCs/>
      <w:i/>
      <w:iCs/>
      <w:color w:val="51626F"/>
      <w:sz w:val="24"/>
    </w:rPr>
  </w:style>
  <w:style w:type="character" w:customStyle="1" w:styleId="Heading5Char">
    <w:name w:val="Heading 5 Char"/>
    <w:link w:val="Heading5"/>
    <w:uiPriority w:val="2"/>
    <w:rsid w:val="009D6B46"/>
    <w:rPr>
      <w:rFonts w:ascii="Arial" w:eastAsia="Times New Roman" w:hAnsi="Arial" w:cs="Times New Roman"/>
      <w:b/>
      <w:color w:val="283037"/>
    </w:rPr>
  </w:style>
  <w:style w:type="character" w:customStyle="1" w:styleId="Heading6Char">
    <w:name w:val="Heading 6 Char"/>
    <w:link w:val="Heading6"/>
    <w:uiPriority w:val="2"/>
    <w:rsid w:val="009D6B46"/>
    <w:rPr>
      <w:rFonts w:ascii="Arial" w:eastAsia="Times New Roman" w:hAnsi="Arial" w:cs="Times New Roman"/>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sz w:val="16"/>
      <w:szCs w:val="16"/>
    </w:rPr>
  </w:style>
  <w:style w:type="character" w:customStyle="1" w:styleId="CopyrighttextChar">
    <w:name w:val="Copyright text Char"/>
    <w:link w:val="Copyrighttext"/>
    <w:uiPriority w:val="2"/>
    <w:rsid w:val="00724A37"/>
    <w:rPr>
      <w:rFonts w:ascii="Arial" w:hAnsi="Arial"/>
      <w:color w:val="51626F"/>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tabs>
        <w:tab w:val="left" w:pos="1021"/>
      </w:tabs>
    </w:pPr>
    <w:rPr>
      <w:rFonts w:cs="Arial"/>
      <w:b w:val="0"/>
    </w:rPr>
  </w:style>
  <w:style w:type="paragraph" w:customStyle="1" w:styleId="Numbered111">
    <w:name w:val="Numbered 1.1.1"/>
    <w:basedOn w:val="Heading3"/>
    <w:next w:val="Normal"/>
    <w:qFormat/>
    <w:rsid w:val="00F61B84"/>
    <w:pPr>
      <w:tabs>
        <w:tab w:val="left" w:pos="1361"/>
      </w:tabs>
      <w:contextualSpacing/>
    </w:pPr>
  </w:style>
  <w:style w:type="paragraph" w:customStyle="1" w:styleId="Numbered1111">
    <w:name w:val="Numbered 1.1.1.1"/>
    <w:basedOn w:val="Heading4"/>
    <w:next w:val="Normal"/>
    <w:rsid w:val="00F61B84"/>
    <w:pPr>
      <w:tabs>
        <w:tab w:val="left" w:pos="1361"/>
      </w:tabs>
    </w:pPr>
  </w:style>
  <w:style w:type="paragraph" w:customStyle="1" w:styleId="Numbered11111">
    <w:name w:val="Numbered 1.1.1.1.1"/>
    <w:basedOn w:val="Heading5"/>
    <w:next w:val="Normal"/>
    <w:uiPriority w:val="2"/>
    <w:rsid w:val="00F61B84"/>
    <w:pPr>
      <w:tabs>
        <w:tab w:val="left" w:pos="1701"/>
      </w:tabs>
    </w:pPr>
  </w:style>
  <w:style w:type="paragraph" w:customStyle="1" w:styleId="Numbered111111">
    <w:name w:val="Numbered 1.1.1.1.1.1"/>
    <w:basedOn w:val="Heading6"/>
    <w:next w:val="Normal"/>
    <w:uiPriority w:val="2"/>
    <w:rsid w:val="00F61B84"/>
    <w:p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sz w:val="18"/>
    </w:rPr>
  </w:style>
  <w:style w:type="character" w:customStyle="1" w:styleId="HeaderChar">
    <w:name w:val="Header Char"/>
    <w:link w:val="Header"/>
    <w:uiPriority w:val="99"/>
    <w:rsid w:val="008344F6"/>
    <w:rPr>
      <w:rFonts w:ascii="Arial" w:hAnsi="Arial"/>
      <w:color w:val="51626F"/>
      <w:sz w:val="18"/>
    </w:rPr>
  </w:style>
  <w:style w:type="paragraph" w:styleId="NoSpacing">
    <w:name w:val="No Spacing"/>
    <w:uiPriority w:val="1"/>
    <w:qFormat/>
    <w:rsid w:val="00724A37"/>
    <w:rPr>
      <w:sz w:val="22"/>
      <w:szCs w:val="22"/>
      <w:lang w:eastAsia="en-US"/>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left w:val="single" w:sz="4" w:space="4" w:color="FFFFFF"/>
        <w:bottom w:val="single" w:sz="4" w:space="1" w:color="FFFFFF"/>
        <w:right w:val="single" w:sz="4" w:space="4" w:color="FFFFFF"/>
      </w:pBdr>
      <w:shd w:val="clear" w:color="auto" w:fill="F2F2F2"/>
      <w:spacing w:after="240"/>
    </w:pPr>
    <w:rPr>
      <w:szCs w:val="20"/>
    </w:rPr>
  </w:style>
  <w:style w:type="character" w:customStyle="1" w:styleId="BoxedtextChar">
    <w:name w:val="Boxed text Char"/>
    <w:link w:val="Boxedtext"/>
    <w:uiPriority w:val="1"/>
    <w:rsid w:val="00AE1BF1"/>
    <w:rPr>
      <w:rFonts w:ascii="Arial" w:hAnsi="Arial"/>
      <w:szCs w:val="20"/>
      <w:shd w:val="clear" w:color="auto" w:fill="F2F2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 w:val="22"/>
      <w:szCs w:val="24"/>
      <w:lang w:eastAsia="en-US"/>
    </w:rPr>
  </w:style>
  <w:style w:type="character" w:customStyle="1" w:styleId="PullquotetextChar">
    <w:name w:val="Pull quote text 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rPr>
  </w:style>
  <w:style w:type="character" w:customStyle="1" w:styleId="QuoteChar">
    <w:name w:val="Quote Char"/>
    <w:link w:val="Quote"/>
    <w:uiPriority w:val="29"/>
    <w:rsid w:val="001D055E"/>
    <w:rPr>
      <w:rFonts w:ascii="Arial" w:hAnsi="Arial"/>
      <w:i/>
      <w:iCs/>
      <w:color w:val="000000"/>
    </w:rPr>
  </w:style>
  <w:style w:type="paragraph" w:customStyle="1" w:styleId="Bulletpoint">
    <w:name w:val="Bullet point"/>
    <w:basedOn w:val="ListBullet"/>
    <w:qFormat/>
    <w:rsid w:val="00E4674F"/>
    <w:pPr>
      <w:numPr>
        <w:numId w:val="2"/>
      </w:numPr>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imes New Roman" w:hAnsi="Lucida Fax"/>
      <w:bCs/>
      <w:color w:val="51626F"/>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sz w:val="22"/>
      <w:szCs w:val="22"/>
      <w:lang w:eastAsia="en-US"/>
    </w:rPr>
  </w:style>
  <w:style w:type="character" w:styleId="Hyperlink">
    <w:name w:val="Hyperlink"/>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sz w:val="18"/>
    </w:rPr>
  </w:style>
  <w:style w:type="character" w:customStyle="1" w:styleId="FooterChar">
    <w:name w:val="Footer Char"/>
    <w:link w:val="Footer"/>
    <w:uiPriority w:val="99"/>
    <w:rsid w:val="00A57D04"/>
    <w:rPr>
      <w:rFonts w:ascii="Arial" w:hAnsi="Arial"/>
      <w:color w:val="51626F"/>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link w:val="Heading7"/>
    <w:uiPriority w:val="2"/>
    <w:rsid w:val="009D6B46"/>
    <w:rPr>
      <w:rFonts w:ascii="Arial" w:eastAsia="Times New Roman" w:hAnsi="Arial" w:cs="Times New Roman"/>
      <w:i/>
      <w:iCs/>
      <w:color w:val="404040"/>
    </w:rPr>
  </w:style>
  <w:style w:type="character" w:customStyle="1" w:styleId="Heading8Char">
    <w:name w:val="Heading 8 Char"/>
    <w:link w:val="Heading8"/>
    <w:uiPriority w:val="2"/>
    <w:rsid w:val="009D6B46"/>
    <w:rPr>
      <w:rFonts w:ascii="Arial" w:eastAsia="Times New Roman" w:hAnsi="Arial" w:cs="Times New Roman"/>
      <w:color w:val="51626F"/>
      <w:szCs w:val="20"/>
    </w:rPr>
  </w:style>
  <w:style w:type="character" w:customStyle="1" w:styleId="Heading9Char">
    <w:name w:val="Heading 9 Char"/>
    <w:aliases w:val="Numbered Table Char"/>
    <w:link w:val="Heading9"/>
    <w:uiPriority w:val="2"/>
    <w:rsid w:val="00646025"/>
    <w:rPr>
      <w:rFonts w:eastAsia="Times New Roman"/>
      <w:b/>
      <w:iCs/>
      <w:color w:val="000000"/>
      <w:sz w:val="24"/>
      <w:lang w:eastAsia="en-US"/>
    </w:rPr>
  </w:style>
  <w:style w:type="paragraph" w:customStyle="1" w:styleId="Numbered1111111">
    <w:name w:val="Numbered 1.1.1.1.1.1.1"/>
    <w:basedOn w:val="Heading7"/>
    <w:next w:val="Normal"/>
    <w:uiPriority w:val="2"/>
    <w:rsid w:val="00F61B84"/>
    <w:pPr>
      <w:tabs>
        <w:tab w:val="left" w:pos="2041"/>
      </w:tabs>
    </w:pPr>
  </w:style>
  <w:style w:type="paragraph" w:customStyle="1" w:styleId="Numbered11111111">
    <w:name w:val="Numbered 1.1.1.1.1.1.1.1"/>
    <w:basedOn w:val="Heading8"/>
    <w:next w:val="Normal"/>
    <w:uiPriority w:val="2"/>
    <w:rsid w:val="00F61B84"/>
    <w:pPr>
      <w:tabs>
        <w:tab w:val="left" w:pos="2041"/>
      </w:tabs>
    </w:pPr>
  </w:style>
  <w:style w:type="table" w:styleId="TableGrid">
    <w:name w:val="Table Grid"/>
    <w:aliases w:val="ACCC Table"/>
    <w:basedOn w:val="TableNormal"/>
    <w:uiPriority w:val="59"/>
    <w:rsid w:val="00C53B5A"/>
    <w:pPr>
      <w:spacing w:before="60" w:after="60"/>
    </w:p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rPr>
      <w:color w:val="3C4953"/>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746E01"/>
    <w:rPr>
      <w:color w:val="000000"/>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rPr>
      <w:color w:val="007192"/>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A871F4"/>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A871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A87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A871F4"/>
    <w:rPr>
      <w:color w:val="880D01"/>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A871F4"/>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Lucida Fax" w:eastAsia="Times New Roman" w:hAnsi="Lucida Fax"/>
      <w:color w:val="4F2D7D"/>
      <w:spacing w:val="5"/>
      <w:kern w:val="28"/>
      <w:sz w:val="72"/>
      <w:szCs w:val="52"/>
    </w:rPr>
  </w:style>
  <w:style w:type="character" w:customStyle="1" w:styleId="TitleChar">
    <w:name w:val="Title Char"/>
    <w:link w:val="Title"/>
    <w:uiPriority w:val="10"/>
    <w:rsid w:val="00174102"/>
    <w:rPr>
      <w:rFonts w:ascii="Lucida Fax" w:eastAsia="Times New Roman" w:hAnsi="Lucida Fax" w:cs="Times New Roman"/>
      <w:color w:val="4F2D7D"/>
      <w:spacing w:val="5"/>
      <w:kern w:val="28"/>
      <w:sz w:val="72"/>
      <w:szCs w:val="52"/>
    </w:rPr>
  </w:style>
  <w:style w:type="paragraph" w:customStyle="1" w:styleId="CoverDate">
    <w:name w:val="Cover Date"/>
    <w:qFormat/>
    <w:rsid w:val="00E4674F"/>
    <w:pPr>
      <w:spacing w:before="200"/>
    </w:pPr>
    <w:rPr>
      <w:rFonts w:ascii="Lucida Fax" w:hAnsi="Lucida Fax"/>
      <w:color w:val="DC5034"/>
      <w:sz w:val="24"/>
      <w:szCs w:val="24"/>
      <w:lang w:eastAsia="en-US"/>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81034E"/>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5B1E3C"/>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link w:val="FootnoteText"/>
    <w:uiPriority w:val="2"/>
    <w:rsid w:val="003A673F"/>
    <w:rPr>
      <w:rFonts w:ascii="Arial" w:hAnsi="Arial"/>
      <w:sz w:val="16"/>
      <w:szCs w:val="20"/>
    </w:rPr>
  </w:style>
  <w:style w:type="character" w:styleId="FootnoteReference">
    <w:name w:val="footnote reference"/>
    <w:uiPriority w:val="99"/>
    <w:unhideWhenUsed/>
    <w:rsid w:val="00701CAB"/>
    <w:rPr>
      <w:vertAlign w:val="superscript"/>
    </w:rPr>
  </w:style>
  <w:style w:type="character" w:styleId="Strong">
    <w:name w:val="Strong"/>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lang w:eastAsia="en-US"/>
    </w:rPr>
  </w:style>
  <w:style w:type="character" w:customStyle="1" w:styleId="SubtitleChar">
    <w:name w:val="Subtitle Char"/>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rPr>
      <w:color w:val="4DA5D9"/>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746E01"/>
    <w:rPr>
      <w:color w:val="AD351E"/>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9661DE"/>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9661DE"/>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9661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61DE"/>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9661DE"/>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9661DE"/>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9661DE"/>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szCs w:val="20"/>
      <w:lang w:val="en-US" w:eastAsia="ja-JP"/>
    </w:rPr>
  </w:style>
  <w:style w:type="paragraph" w:customStyle="1" w:styleId="Numbered111111111">
    <w:name w:val="Numbered 1.1.1.1.1.1.1.1.1"/>
    <w:basedOn w:val="Heading9"/>
    <w:next w:val="Normal"/>
    <w:uiPriority w:val="2"/>
    <w:rsid w:val="00B60F5D"/>
    <w:pPr>
      <w:numPr>
        <w:numId w:val="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link w:val="Tabletext-right"/>
    <w:rsid w:val="00063247"/>
    <w:rPr>
      <w:rFonts w:ascii="Arial" w:eastAsia="Times New Roman" w:hAnsi="Arial" w:cs="Times New Roman"/>
      <w:sz w:val="20"/>
      <w:szCs w:val="20"/>
    </w:rPr>
  </w:style>
  <w:style w:type="character" w:customStyle="1" w:styleId="TabletextChar">
    <w:name w:val="Table text Char"/>
    <w:link w:val="Tabletext"/>
    <w:uiPriority w:val="1"/>
    <w:rsid w:val="00584D8F"/>
    <w:rPr>
      <w:rFonts w:ascii="Arial" w:hAnsi="Arial"/>
      <w:sz w:val="20"/>
    </w:rPr>
  </w:style>
  <w:style w:type="character" w:customStyle="1" w:styleId="TableHeadingChar">
    <w:name w:val="Table Heading Char"/>
    <w:link w:val="TableHeading"/>
    <w:rsid w:val="00584D8F"/>
    <w:rPr>
      <w:rFonts w:ascii="Arial" w:hAnsi="Arial"/>
      <w:b/>
      <w:sz w:val="20"/>
    </w:rPr>
  </w:style>
  <w:style w:type="character" w:customStyle="1" w:styleId="TableHeading-rightChar">
    <w:name w:val="Table Heading - right Char"/>
    <w:link w:val="TableHeading-right"/>
    <w:rsid w:val="00584D8F"/>
    <w:rPr>
      <w:rFonts w:ascii="Arial" w:eastAsia="Times New Roman" w:hAnsi="Arial" w:cs="Times New Roman"/>
      <w:b/>
      <w:bCs/>
      <w:sz w:val="20"/>
      <w:szCs w:val="20"/>
    </w:rPr>
  </w:style>
  <w:style w:type="character" w:customStyle="1" w:styleId="Tabletext-centredChar">
    <w:name w:val="Table text - centred 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link w:val="Numbered1"/>
    <w:rsid w:val="00F61B84"/>
    <w:rPr>
      <w:rFonts w:ascii="Lucida Fax" w:eastAsia="Times New Roman" w:hAnsi="Lucida Fax"/>
      <w:bCs/>
      <w:color w:val="51626F"/>
      <w:sz w:val="32"/>
      <w:szCs w:val="28"/>
      <w:lang w:eastAsia="en-US"/>
    </w:rPr>
  </w:style>
  <w:style w:type="paragraph" w:customStyle="1" w:styleId="Numberedparagraph">
    <w:name w:val="Numbered paragraph"/>
    <w:basedOn w:val="Normal"/>
    <w:rsid w:val="00B60F5D"/>
    <w:pPr>
      <w:numPr>
        <w:numId w:val="1"/>
      </w:numPr>
      <w:ind w:left="680" w:hanging="680"/>
    </w:pPr>
    <w:rPr>
      <w:rFonts w:eastAsia="Times New Roman"/>
      <w:color w:val="000000"/>
      <w:szCs w:val="20"/>
    </w:rPr>
  </w:style>
  <w:style w:type="paragraph" w:customStyle="1" w:styleId="Listalphabet2">
    <w:name w:val="List alphabet 2"/>
    <w:rsid w:val="00CF799E"/>
    <w:pPr>
      <w:numPr>
        <w:numId w:val="12"/>
      </w:numPr>
      <w:tabs>
        <w:tab w:val="left" w:pos="680"/>
      </w:tabs>
      <w:spacing w:before="120"/>
    </w:pPr>
    <w:rPr>
      <w:sz w:val="22"/>
      <w:szCs w:val="22"/>
      <w:lang w:eastAsia="en-US"/>
    </w:rPr>
  </w:style>
  <w:style w:type="paragraph" w:customStyle="1" w:styleId="Listalphabet3">
    <w:name w:val="List alphabet 3"/>
    <w:rsid w:val="00CF799E"/>
    <w:pPr>
      <w:numPr>
        <w:numId w:val="18"/>
      </w:numPr>
      <w:tabs>
        <w:tab w:val="left" w:pos="1021"/>
      </w:tabs>
      <w:spacing w:before="120"/>
    </w:pPr>
    <w:rPr>
      <w:sz w:val="22"/>
      <w:szCs w:val="22"/>
      <w:lang w:eastAsia="en-US"/>
    </w:rPr>
  </w:style>
  <w:style w:type="paragraph" w:customStyle="1" w:styleId="Listalphabet4">
    <w:name w:val="List alphabet 4"/>
    <w:rsid w:val="00CF799E"/>
    <w:pPr>
      <w:numPr>
        <w:numId w:val="19"/>
      </w:numPr>
      <w:tabs>
        <w:tab w:val="left" w:pos="1361"/>
      </w:tabs>
      <w:spacing w:before="120"/>
    </w:pPr>
    <w:rPr>
      <w:sz w:val="22"/>
      <w:szCs w:val="22"/>
      <w:lang w:eastAsia="en-US"/>
    </w:rPr>
  </w:style>
  <w:style w:type="paragraph" w:customStyle="1" w:styleId="Listalphabet5">
    <w:name w:val="List alphabet 5"/>
    <w:rsid w:val="00CF799E"/>
    <w:pPr>
      <w:numPr>
        <w:numId w:val="20"/>
      </w:numPr>
      <w:tabs>
        <w:tab w:val="left" w:pos="1701"/>
      </w:tabs>
      <w:spacing w:before="120"/>
    </w:pPr>
    <w:rPr>
      <w:sz w:val="22"/>
      <w:szCs w:val="22"/>
      <w:lang w:eastAsia="en-US"/>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sz w:val="22"/>
      <w:szCs w:val="22"/>
      <w:lang w:eastAsia="en-US"/>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link w:val="NoteHeading"/>
    <w:uiPriority w:val="99"/>
    <w:semiHidden/>
    <w:rsid w:val="00F61B84"/>
    <w:rPr>
      <w:rFonts w:ascii="Arial" w:hAnsi="Arial"/>
    </w:rPr>
  </w:style>
  <w:style w:type="character" w:styleId="SubtleReference">
    <w:name w:val="Subtle Reference"/>
    <w:uiPriority w:val="31"/>
    <w:unhideWhenUsed/>
    <w:rsid w:val="00B60F5D"/>
    <w:rPr>
      <w:smallCaps/>
      <w:color w:val="4F2D7D"/>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character" w:styleId="CommentReference">
    <w:name w:val="annotation reference"/>
    <w:uiPriority w:val="99"/>
    <w:semiHidden/>
    <w:unhideWhenUsed/>
    <w:rsid w:val="004F0A93"/>
    <w:rPr>
      <w:sz w:val="16"/>
      <w:szCs w:val="16"/>
    </w:rPr>
  </w:style>
  <w:style w:type="paragraph" w:styleId="CommentText">
    <w:name w:val="annotation text"/>
    <w:basedOn w:val="Normal"/>
    <w:link w:val="CommentTextChar"/>
    <w:uiPriority w:val="99"/>
    <w:semiHidden/>
    <w:unhideWhenUsed/>
    <w:rsid w:val="004F0A93"/>
    <w:rPr>
      <w:sz w:val="20"/>
      <w:szCs w:val="20"/>
    </w:rPr>
  </w:style>
  <w:style w:type="character" w:customStyle="1" w:styleId="CommentTextChar">
    <w:name w:val="Comment Text Char"/>
    <w:link w:val="CommentText"/>
    <w:uiPriority w:val="99"/>
    <w:semiHidden/>
    <w:rsid w:val="004F0A93"/>
    <w:rPr>
      <w:lang w:eastAsia="en-US"/>
    </w:rPr>
  </w:style>
  <w:style w:type="paragraph" w:styleId="CommentSubject">
    <w:name w:val="annotation subject"/>
    <w:basedOn w:val="CommentText"/>
    <w:next w:val="CommentText"/>
    <w:link w:val="CommentSubjectChar"/>
    <w:uiPriority w:val="99"/>
    <w:semiHidden/>
    <w:unhideWhenUsed/>
    <w:rsid w:val="004F0A93"/>
    <w:rPr>
      <w:b/>
      <w:bCs/>
    </w:rPr>
  </w:style>
  <w:style w:type="character" w:customStyle="1" w:styleId="CommentSubjectChar">
    <w:name w:val="Comment Subject Char"/>
    <w:link w:val="CommentSubject"/>
    <w:uiPriority w:val="99"/>
    <w:semiHidden/>
    <w:rsid w:val="004F0A93"/>
    <w:rPr>
      <w:b/>
      <w:bCs/>
      <w:lang w:eastAsia="en-US"/>
    </w:rPr>
  </w:style>
  <w:style w:type="table" w:customStyle="1" w:styleId="ACCCTable2">
    <w:name w:val="ACCC Table2"/>
    <w:basedOn w:val="TableNormal"/>
    <w:next w:val="TableGrid"/>
    <w:uiPriority w:val="59"/>
    <w:rsid w:val="00B81452"/>
    <w:pPr>
      <w:spacing w:before="60" w:after="60"/>
    </w:pPr>
    <w:rPr>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555F84"/>
    <w:pPr>
      <w:spacing w:before="120" w:after="120"/>
    </w:pPr>
    <w:rPr>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paragraph" w:styleId="Revision">
    <w:name w:val="Revision"/>
    <w:hidden/>
    <w:uiPriority w:val="99"/>
    <w:semiHidden/>
    <w:rsid w:val="0039574F"/>
    <w:rPr>
      <w:sz w:val="22"/>
      <w:szCs w:val="22"/>
      <w:lang w:eastAsia="en-US"/>
    </w:rPr>
  </w:style>
  <w:style w:type="character" w:styleId="FollowedHyperlink">
    <w:name w:val="FollowedHyperlink"/>
    <w:uiPriority w:val="99"/>
    <w:semiHidden/>
    <w:unhideWhenUsed/>
    <w:rsid w:val="003B3A60"/>
    <w:rPr>
      <w:color w:val="800080"/>
      <w:u w:val="single"/>
    </w:rPr>
  </w:style>
  <w:style w:type="character" w:styleId="HTMLCite">
    <w:name w:val="HTML Cite"/>
    <w:uiPriority w:val="99"/>
    <w:semiHidden/>
    <w:unhideWhenUsed/>
    <w:rsid w:val="007165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53269765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au/" TargetMode="External"/><Relationship Id="rId18" Type="http://schemas.openxmlformats.org/officeDocument/2006/relationships/hyperlink" Target="mailto:productsafety.regulation@accc.gov.au"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hyperlink" Target="http://www.productsafety.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c.psa.appsdev/products/babies-kids/toys/balloon-blowing-kits" TargetMode="External"/><Relationship Id="rId5" Type="http://schemas.microsoft.com/office/2007/relationships/stylesWithEffects" Target="stylesWithEffects.xml"/><Relationship Id="rId15" Type="http://schemas.openxmlformats.org/officeDocument/2006/relationships/hyperlink" Target="https://consultation.accc.gov.a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omlaw.gov.au/Current/F2004C0030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calls.gov.au/content/index.phtml/itemId/95443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aws-lois.justice.gc.ca/eng/regulations/SOR-2011-17/" TargetMode="External"/><Relationship Id="rId7" Type="http://schemas.openxmlformats.org/officeDocument/2006/relationships/hyperlink" Target="http://www.law.cornell.edu/cfr/text/16/1500.14" TargetMode="External"/><Relationship Id="rId2" Type="http://schemas.openxmlformats.org/officeDocument/2006/relationships/hyperlink" Target="http://www.productsafety.gov.au/content/index.phtml/itemId/1014180" TargetMode="External"/><Relationship Id="rId1" Type="http://schemas.openxmlformats.org/officeDocument/2006/relationships/hyperlink" Target="http://www.legislation.gov.au/Details/F2004C00303" TargetMode="External"/><Relationship Id="rId6" Type="http://schemas.openxmlformats.org/officeDocument/2006/relationships/hyperlink" Target="http://eur-lex.europa.eu/legal-content/EN/TXT/?uri=CELEX:02006R1907-20140410" TargetMode="External"/><Relationship Id="rId5" Type="http://schemas.openxmlformats.org/officeDocument/2006/relationships/hyperlink" Target="http://eur-lex.europa.eu/legal-content/EN/TXT/?qid=1474862539207&amp;uri=CELEX:32009L0048" TargetMode="External"/><Relationship Id="rId4" Type="http://schemas.openxmlformats.org/officeDocument/2006/relationships/hyperlink" Target="http://laws-lois.justice.gc.ca/eng/regulations/SOR-2011-17/pag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EECCAE-F752-4897-ADCC-C4857A3A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2EC67184</Template>
  <TotalTime>0</TotalTime>
  <Pages>10</Pages>
  <Words>2522</Words>
  <Characters>14380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16869</CharactersWithSpaces>
  <SharedDoc>false</SharedDoc>
  <HLinks>
    <vt:vector size="18" baseType="variant">
      <vt:variant>
        <vt:i4>5439595</vt:i4>
      </vt:variant>
      <vt:variant>
        <vt:i4>3</vt:i4>
      </vt:variant>
      <vt:variant>
        <vt:i4>0</vt:i4>
      </vt:variant>
      <vt:variant>
        <vt:i4>5</vt:i4>
      </vt:variant>
      <vt:variant>
        <vt:lpwstr>mailto:productsafety.regulation@accc.gov.au</vt:lpwstr>
      </vt:variant>
      <vt:variant>
        <vt:lpwstr/>
      </vt:variant>
      <vt:variant>
        <vt:i4>2031625</vt:i4>
      </vt:variant>
      <vt:variant>
        <vt:i4>0</vt:i4>
      </vt:variant>
      <vt:variant>
        <vt:i4>0</vt:i4>
      </vt:variant>
      <vt:variant>
        <vt:i4>5</vt:i4>
      </vt:variant>
      <vt:variant>
        <vt:lpwstr>https://consultation.accc.gov.au/</vt:lpwstr>
      </vt:variant>
      <vt:variant>
        <vt:lpwstr/>
      </vt:variant>
      <vt:variant>
        <vt:i4>5701759</vt:i4>
      </vt:variant>
      <vt:variant>
        <vt:i4>0</vt:i4>
      </vt:variant>
      <vt:variant>
        <vt:i4>0</vt:i4>
      </vt:variant>
      <vt:variant>
        <vt:i4>5</vt:i4>
      </vt:variant>
      <vt:variant>
        <vt:lpwstr>https://www.dpmc.gov.au/sites/default/files/publications/industry_innovation_competitiveness_agenda.pdf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Isabel Ward</dc:creator>
  <cp:lastModifiedBy>Moss, William</cp:lastModifiedBy>
  <cp:revision>2</cp:revision>
  <cp:lastPrinted>2016-11-11T00:35:00Z</cp:lastPrinted>
  <dcterms:created xsi:type="dcterms:W3CDTF">2016-12-05T00:20:00Z</dcterms:created>
  <dcterms:modified xsi:type="dcterms:W3CDTF">2016-12-05T00:20:00Z</dcterms:modified>
</cp:coreProperties>
</file>