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3892015"/>
        <w:docPartObj>
          <w:docPartGallery w:val="Cover Pages"/>
          <w:docPartUnique/>
        </w:docPartObj>
      </w:sdtPr>
      <w:sdtEndPr/>
      <w:sdtContent>
        <w:p w:rsidR="00687F39" w:rsidRDefault="00687F39" w:rsidP="008945B4">
          <w:r>
            <w:rPr>
              <w:noProof/>
              <w:lang w:eastAsia="en-AU"/>
            </w:rPr>
            <mc:AlternateContent>
              <mc:Choice Requires="wps">
                <w:drawing>
                  <wp:anchor distT="0" distB="0" distL="114300" distR="114300" simplePos="0" relativeHeight="251659264" behindDoc="1" locked="0" layoutInCell="1" allowOverlap="1" wp14:anchorId="29FF8803" wp14:editId="4B11B1EE">
                    <wp:simplePos x="0" y="0"/>
                    <wp:positionH relativeFrom="column">
                      <wp:posOffset>-657225</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r>
            <w:rPr>
              <w:noProof/>
              <w:lang w:eastAsia="en-AU"/>
            </w:rPr>
            <w:drawing>
              <wp:inline distT="0" distB="0" distL="0" distR="0" wp14:anchorId="00E3E54F" wp14:editId="41E0C61D">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687F39" w:rsidRPr="005E6C0E" w:rsidRDefault="00687F39"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687F39" w:rsidRPr="00C755AD" w:rsidTr="00C755AD">
            <w:trPr>
              <w:trHeight w:val="3135"/>
            </w:trPr>
            <w:tc>
              <w:tcPr>
                <w:tcW w:w="9242" w:type="dxa"/>
              </w:tcPr>
              <w:p w:rsidR="00687F39" w:rsidRPr="00C755AD" w:rsidRDefault="00687F39"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687F39" w:rsidRPr="00C755AD" w:rsidTr="00C755AD">
            <w:tc>
              <w:tcPr>
                <w:tcW w:w="9242" w:type="dxa"/>
              </w:tcPr>
              <w:p w:rsidR="00687F39" w:rsidRPr="00C755AD" w:rsidRDefault="007F6D3C" w:rsidP="009A5995">
                <w:pPr>
                  <w:pStyle w:val="Title"/>
                </w:pPr>
                <w:bookmarkStart w:id="1" w:name="_Toc414270383"/>
                <w:bookmarkStart w:id="2" w:name="_Toc458693138"/>
                <w:bookmarkStart w:id="3" w:name="_Toc462327064"/>
                <w:bookmarkStart w:id="4" w:name="_Toc462329506"/>
                <w:bookmarkStart w:id="5" w:name="_Toc462329712"/>
                <w:r w:rsidRPr="007F6D3C">
                  <w:t xml:space="preserve">Review of the </w:t>
                </w:r>
                <w:r w:rsidR="009A5995">
                  <w:t>s</w:t>
                </w:r>
                <w:r w:rsidRPr="007F6D3C">
                  <w:t xml:space="preserve">afety </w:t>
                </w:r>
                <w:r w:rsidR="009A5995">
                  <w:t>s</w:t>
                </w:r>
                <w:r w:rsidRPr="007F6D3C">
                  <w:t xml:space="preserve">tandard for </w:t>
                </w:r>
                <w:r w:rsidR="009A5995">
                  <w:t>b</w:t>
                </w:r>
                <w:r w:rsidRPr="007F6D3C">
                  <w:t xml:space="preserve">icycle </w:t>
                </w:r>
                <w:r w:rsidR="009A5995">
                  <w:t>h</w:t>
                </w:r>
                <w:r w:rsidRPr="007F6D3C">
                  <w:t>elmets</w:t>
                </w:r>
                <w:bookmarkEnd w:id="1"/>
                <w:bookmarkEnd w:id="2"/>
                <w:bookmarkEnd w:id="3"/>
                <w:bookmarkEnd w:id="4"/>
                <w:bookmarkEnd w:id="5"/>
              </w:p>
            </w:tc>
          </w:tr>
          <w:tr w:rsidR="00687F39" w:rsidRPr="00C755AD" w:rsidTr="00C755AD">
            <w:tc>
              <w:tcPr>
                <w:tcW w:w="9242" w:type="dxa"/>
              </w:tcPr>
              <w:p w:rsidR="00687F39" w:rsidRPr="00C755AD" w:rsidRDefault="007F6D3C" w:rsidP="009A5995">
                <w:pPr>
                  <w:pStyle w:val="Subtitle"/>
                </w:pPr>
                <w:r>
                  <w:t xml:space="preserve">Consultation </w:t>
                </w:r>
                <w:r w:rsidR="009A5995">
                  <w:t>paper</w:t>
                </w:r>
              </w:p>
            </w:tc>
          </w:tr>
          <w:tr w:rsidR="00687F39" w:rsidRPr="00C755AD" w:rsidTr="00C755AD">
            <w:tc>
              <w:tcPr>
                <w:tcW w:w="9242" w:type="dxa"/>
              </w:tcPr>
              <w:p w:rsidR="00687F39" w:rsidRPr="00C755AD" w:rsidRDefault="00687F39" w:rsidP="00303C4A"/>
              <w:p w:rsidR="00687F39" w:rsidRDefault="00096E40" w:rsidP="00303C4A">
                <w:pPr>
                  <w:pStyle w:val="CoverDate"/>
                </w:pPr>
                <w:r>
                  <w:t xml:space="preserve">September </w:t>
                </w:r>
                <w:r w:rsidR="00FE5C1E">
                  <w:t>2016</w:t>
                </w:r>
              </w:p>
              <w:p w:rsidR="001A00BD" w:rsidRDefault="001A00BD" w:rsidP="00303C4A">
                <w:pPr>
                  <w:pStyle w:val="CoverDate"/>
                </w:pPr>
              </w:p>
              <w:p w:rsidR="001A00BD" w:rsidRPr="00C755AD" w:rsidRDefault="001A00BD" w:rsidP="001A00BD">
                <w:pPr>
                  <w:pStyle w:val="CoverDate"/>
                  <w:jc w:val="center"/>
                </w:pPr>
                <w:r>
                  <w:rPr>
                    <w:noProof/>
                    <w:lang w:eastAsia="en-AU"/>
                  </w:rPr>
                  <w:drawing>
                    <wp:inline distT="0" distB="0" distL="0" distR="0" wp14:anchorId="671D2C23" wp14:editId="65332BB4">
                      <wp:extent cx="155257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4363665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inline>
                  </w:drawing>
                </w:r>
              </w:p>
            </w:tc>
          </w:tr>
        </w:tbl>
        <w:p w:rsidR="00687F39" w:rsidRPr="003B5A70" w:rsidRDefault="00687F39" w:rsidP="005E6C0E">
          <w:pPr>
            <w:tabs>
              <w:tab w:val="left" w:pos="340"/>
              <w:tab w:val="left" w:pos="680"/>
              <w:tab w:val="left" w:pos="1021"/>
              <w:tab w:val="left" w:pos="1361"/>
            </w:tabs>
          </w:pPr>
        </w:p>
        <w:p w:rsidR="008413C2" w:rsidRDefault="008413C2" w:rsidP="008413C2">
          <w:pPr>
            <w:pStyle w:val="TOCHeading"/>
            <w:spacing w:before="0"/>
            <w:rPr>
              <w:rFonts w:ascii="Arial" w:eastAsiaTheme="minorHAnsi" w:hAnsi="Arial" w:cstheme="minorBidi"/>
              <w:bCs w:val="0"/>
              <w:noProof/>
              <w:color w:val="auto"/>
              <w:sz w:val="22"/>
              <w:szCs w:val="22"/>
              <w:lang w:val="en-AU" w:eastAsia="en-US"/>
            </w:rPr>
            <w:sectPr w:rsidR="008413C2" w:rsidSect="00C06739">
              <w:footerReference w:type="default" r:id="rId12"/>
              <w:pgSz w:w="11906" w:h="16838"/>
              <w:pgMar w:top="1276" w:right="1440" w:bottom="1440" w:left="1440" w:header="708" w:footer="708" w:gutter="0"/>
              <w:pgNumType w:start="0"/>
              <w:cols w:space="708"/>
              <w:titlePg/>
              <w:docGrid w:linePitch="360"/>
            </w:sectPr>
          </w:pPr>
        </w:p>
        <w:p w:rsidR="009223B7" w:rsidRDefault="009223B7" w:rsidP="009223B7">
          <w:pPr>
            <w:rPr>
              <w:b/>
            </w:rPr>
          </w:pPr>
        </w:p>
        <w:p w:rsidR="001A00BD" w:rsidRDefault="001A00BD" w:rsidP="009223B7">
          <w:pPr>
            <w:rPr>
              <w:b/>
            </w:rPr>
          </w:pPr>
        </w:p>
        <w:p w:rsidR="001A00BD" w:rsidRDefault="001A00BD" w:rsidP="009223B7">
          <w:pPr>
            <w:rPr>
              <w:b/>
            </w:rPr>
          </w:pPr>
        </w:p>
        <w:p w:rsidR="001A00BD" w:rsidRDefault="001A00BD" w:rsidP="009223B7">
          <w:pPr>
            <w:rPr>
              <w:b/>
            </w:rPr>
          </w:pPr>
        </w:p>
        <w:p w:rsidR="001A00BD" w:rsidRDefault="001A00BD" w:rsidP="009223B7">
          <w:pPr>
            <w:rPr>
              <w:b/>
            </w:rPr>
          </w:pPr>
        </w:p>
        <w:p w:rsidR="001A00BD" w:rsidRDefault="001A00BD" w:rsidP="009223B7">
          <w:pPr>
            <w:rPr>
              <w:b/>
            </w:rPr>
          </w:pPr>
        </w:p>
        <w:p w:rsidR="001A00BD" w:rsidRDefault="001A00BD" w:rsidP="009223B7">
          <w:pPr>
            <w:rPr>
              <w:b/>
            </w:rPr>
          </w:pPr>
        </w:p>
        <w:p w:rsidR="001A00BD" w:rsidRDefault="001A00BD" w:rsidP="009223B7">
          <w:pPr>
            <w:rPr>
              <w:b/>
            </w:rPr>
          </w:pPr>
        </w:p>
        <w:p w:rsidR="001A00BD" w:rsidRDefault="001A00BD" w:rsidP="009223B7">
          <w:pPr>
            <w:rPr>
              <w:b/>
            </w:rPr>
          </w:pPr>
        </w:p>
        <w:p w:rsidR="001A00BD" w:rsidRDefault="001A00BD" w:rsidP="009223B7">
          <w:pPr>
            <w:rPr>
              <w:b/>
            </w:rPr>
          </w:pPr>
        </w:p>
        <w:p w:rsidR="001A00BD" w:rsidRDefault="001A00BD" w:rsidP="009223B7">
          <w:pPr>
            <w:rPr>
              <w:b/>
            </w:rPr>
          </w:pPr>
        </w:p>
        <w:p w:rsidR="001A00BD" w:rsidRDefault="001A00BD" w:rsidP="009223B7">
          <w:pPr>
            <w:rPr>
              <w:b/>
            </w:rPr>
          </w:pPr>
        </w:p>
        <w:p w:rsidR="001A00BD" w:rsidRDefault="001A00BD" w:rsidP="009223B7">
          <w:pPr>
            <w:rPr>
              <w:b/>
            </w:rPr>
          </w:pPr>
        </w:p>
        <w:p w:rsidR="001A00BD" w:rsidRDefault="001A00BD" w:rsidP="009223B7">
          <w:pPr>
            <w:rPr>
              <w:b/>
            </w:rPr>
          </w:pPr>
        </w:p>
        <w:p w:rsidR="001A00BD" w:rsidRDefault="001A00BD" w:rsidP="009223B7">
          <w:pPr>
            <w:rPr>
              <w:b/>
            </w:rPr>
          </w:pPr>
        </w:p>
        <w:p w:rsidR="001A00BD" w:rsidRDefault="001A00BD" w:rsidP="009223B7">
          <w:pPr>
            <w:rPr>
              <w:b/>
            </w:rPr>
          </w:pPr>
        </w:p>
        <w:p w:rsidR="001A00BD" w:rsidRDefault="001A00BD" w:rsidP="009223B7">
          <w:pPr>
            <w:rPr>
              <w:b/>
            </w:rPr>
          </w:pPr>
        </w:p>
        <w:p w:rsidR="001A00BD" w:rsidRDefault="001A00BD" w:rsidP="009223B7">
          <w:pPr>
            <w:rPr>
              <w:b/>
            </w:rPr>
          </w:pPr>
        </w:p>
        <w:p w:rsidR="001A00BD" w:rsidRDefault="001A00BD" w:rsidP="009223B7">
          <w:pPr>
            <w:rPr>
              <w:b/>
            </w:rPr>
          </w:pPr>
        </w:p>
        <w:p w:rsidR="008413C2" w:rsidRDefault="008413C2" w:rsidP="009223B7">
          <w:pPr>
            <w:rPr>
              <w:b/>
            </w:rPr>
          </w:pPr>
        </w:p>
        <w:p w:rsidR="00ED5EE6" w:rsidRPr="00ED5EE6" w:rsidRDefault="008413C2" w:rsidP="00284117">
          <w:pPr>
            <w:jc w:val="center"/>
            <w:rPr>
              <w:u w:val="single"/>
              <w:lang w:val="en-GB"/>
            </w:rPr>
          </w:pPr>
          <w:r>
            <w:rPr>
              <w:noProof/>
              <w:lang w:eastAsia="en-AU"/>
            </w:rPr>
            <mc:AlternateContent>
              <mc:Choice Requires="wps">
                <w:drawing>
                  <wp:anchor distT="0" distB="0" distL="114300" distR="114300" simplePos="0" relativeHeight="251662336" behindDoc="0" locked="0" layoutInCell="1" allowOverlap="1" wp14:anchorId="7720954B" wp14:editId="380C5695">
                    <wp:simplePos x="0" y="0"/>
                    <wp:positionH relativeFrom="column">
                      <wp:posOffset>-37465</wp:posOffset>
                    </wp:positionH>
                    <wp:positionV relativeFrom="paragraph">
                      <wp:posOffset>707390</wp:posOffset>
                    </wp:positionV>
                    <wp:extent cx="1828800" cy="1828800"/>
                    <wp:effectExtent l="0" t="0" r="1079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8517C5" w:rsidRPr="004F2078" w:rsidRDefault="008517C5" w:rsidP="008517C5">
                                <w:pPr>
                                  <w:spacing w:before="120" w:after="120"/>
                                  <w:rPr>
                                    <w:rFonts w:eastAsia="Calibri" w:cs="Arial"/>
                                    <w:sz w:val="20"/>
                                    <w:szCs w:val="20"/>
                                    <w:lang w:val="en-GB"/>
                                  </w:rPr>
                                </w:pPr>
                                <w:r w:rsidRPr="004F2078">
                                  <w:rPr>
                                    <w:rFonts w:eastAsia="Calibri" w:cs="Arial"/>
                                    <w:sz w:val="20"/>
                                    <w:szCs w:val="20"/>
                                    <w:lang w:val="en-GB"/>
                                  </w:rPr>
                                  <w:t xml:space="preserve">The Australian Competition &amp; Consumer Commission (ACCC) has developed this consultation paper to seek the views of stakeholders about the mandatory safety standard for </w:t>
                                </w:r>
                                <w:r>
                                  <w:rPr>
                                    <w:rFonts w:eastAsia="Calibri" w:cs="Arial"/>
                                    <w:sz w:val="20"/>
                                    <w:szCs w:val="20"/>
                                    <w:lang w:val="en-GB"/>
                                  </w:rPr>
                                  <w:t>bicycle helmets</w:t>
                                </w:r>
                                <w:r w:rsidRPr="004F2078">
                                  <w:rPr>
                                    <w:rFonts w:eastAsia="Calibri" w:cs="Arial"/>
                                    <w:sz w:val="20"/>
                                    <w:szCs w:val="20"/>
                                    <w:lang w:val="en-GB"/>
                                  </w:rPr>
                                  <w:t>.</w:t>
                                </w:r>
                              </w:p>
                              <w:p w:rsidR="008517C5" w:rsidRPr="004F2078" w:rsidRDefault="008517C5" w:rsidP="008517C5">
                                <w:pPr>
                                  <w:spacing w:before="120" w:after="120"/>
                                  <w:rPr>
                                    <w:rFonts w:eastAsia="Calibri" w:cs="Arial"/>
                                    <w:sz w:val="20"/>
                                    <w:szCs w:val="20"/>
                                  </w:rPr>
                                </w:pPr>
                                <w:proofErr w:type="gramStart"/>
                                <w:r w:rsidRPr="004F2078">
                                  <w:rPr>
                                    <w:rFonts w:eastAsia="Calibri" w:cs="Arial"/>
                                    <w:sz w:val="20"/>
                                    <w:szCs w:val="20"/>
                                  </w:rPr>
                                  <w:t>© Commonwealth of Australia 2016.</w:t>
                                </w:r>
                                <w:proofErr w:type="gramEnd"/>
                                <w:r w:rsidRPr="004F2078">
                                  <w:rPr>
                                    <w:rFonts w:eastAsia="Calibri" w:cs="Arial"/>
                                    <w:sz w:val="20"/>
                                    <w:szCs w:val="20"/>
                                  </w:rPr>
                                  <w:t xml:space="preserve"> </w:t>
                                </w:r>
                                <w:r w:rsidRPr="004F2078">
                                  <w:rPr>
                                    <w:rFonts w:eastAsia="Calibri" w:cs="Arial"/>
                                    <w:sz w:val="20"/>
                                    <w:szCs w:val="20"/>
                                    <w:lang w:val="en-GB"/>
                                  </w:rPr>
                                  <w:t>All material contained within this work is provided under a Creative Commons Attribution 3.0 Australia licence (</w:t>
                                </w:r>
                                <w:hyperlink r:id="rId13" w:history="1">
                                  <w:r w:rsidRPr="004F2078">
                                    <w:rPr>
                                      <w:rFonts w:eastAsia="Calibri" w:cs="Arial"/>
                                      <w:color w:val="0000FF"/>
                                      <w:sz w:val="20"/>
                                      <w:szCs w:val="20"/>
                                      <w:u w:val="single"/>
                                      <w:lang w:val="en-GB"/>
                                    </w:rPr>
                                    <w:t>creativecommons.org.au/</w:t>
                                  </w:r>
                                </w:hyperlink>
                                <w:r w:rsidRPr="004F2078">
                                  <w:rPr>
                                    <w:rFonts w:eastAsia="Calibri" w:cs="Arial"/>
                                    <w:sz w:val="20"/>
                                    <w:szCs w:val="20"/>
                                    <w:lang w:val="en-GB"/>
                                  </w:rPr>
                                  <w:t>), with the exception of any logos, illustrations or images. You may forward or otherwise distribute the paper. You may re-use the text in other formats, provided the ACCC is acknowledged as the source of the material and directions to access the full document are provided. You may not copy or reproduce any logos, illustrations or images. For more information, contact the Director Corporate Communications, ACCC, GPO Box 3131, Canberra ACT 2601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pt;margin-top:55.7pt;width:2in;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">
                    <v:textbox style="mso-fit-shape-to-text:t">
                      <w:txbxContent>
                        <w:p w:rsidR="008517C5" w:rsidRPr="004F2078" w:rsidRDefault="008517C5" w:rsidP="008517C5">
                          <w:pPr>
                            <w:spacing w:before="120" w:after="120"/>
                            <w:rPr>
                              <w:rFonts w:eastAsia="Calibri" w:cs="Arial"/>
                              <w:sz w:val="20"/>
                              <w:szCs w:val="20"/>
                              <w:lang w:val="en-GB"/>
                            </w:rPr>
                          </w:pPr>
                          <w:r w:rsidRPr="004F2078">
                            <w:rPr>
                              <w:rFonts w:eastAsia="Calibri" w:cs="Arial"/>
                              <w:sz w:val="20"/>
                              <w:szCs w:val="20"/>
                              <w:lang w:val="en-GB"/>
                            </w:rPr>
                            <w:t xml:space="preserve">The Australian Competition &amp; Consumer Commission (ACCC) has developed this consultation paper to seek the views of stakeholders about the mandatory safety standard for </w:t>
                          </w:r>
                          <w:r>
                            <w:rPr>
                              <w:rFonts w:eastAsia="Calibri" w:cs="Arial"/>
                              <w:sz w:val="20"/>
                              <w:szCs w:val="20"/>
                              <w:lang w:val="en-GB"/>
                            </w:rPr>
                            <w:t>bicycle helmets</w:t>
                          </w:r>
                          <w:r w:rsidRPr="004F2078">
                            <w:rPr>
                              <w:rFonts w:eastAsia="Calibri" w:cs="Arial"/>
                              <w:sz w:val="20"/>
                              <w:szCs w:val="20"/>
                              <w:lang w:val="en-GB"/>
                            </w:rPr>
                            <w:t>.</w:t>
                          </w:r>
                        </w:p>
                        <w:p w:rsidR="008517C5" w:rsidRPr="004F2078" w:rsidRDefault="008517C5" w:rsidP="008517C5">
                          <w:pPr>
                            <w:spacing w:before="120" w:after="120"/>
                            <w:rPr>
                              <w:rFonts w:eastAsia="Calibri" w:cs="Arial"/>
                              <w:sz w:val="20"/>
                              <w:szCs w:val="20"/>
                            </w:rPr>
                          </w:pPr>
                          <w:proofErr w:type="gramStart"/>
                          <w:r w:rsidRPr="004F2078">
                            <w:rPr>
                              <w:rFonts w:eastAsia="Calibri" w:cs="Arial"/>
                              <w:sz w:val="20"/>
                              <w:szCs w:val="20"/>
                            </w:rPr>
                            <w:t>© Commonwealth of Australia 2016.</w:t>
                          </w:r>
                          <w:proofErr w:type="gramEnd"/>
                          <w:r w:rsidRPr="004F2078">
                            <w:rPr>
                              <w:rFonts w:eastAsia="Calibri" w:cs="Arial"/>
                              <w:sz w:val="20"/>
                              <w:szCs w:val="20"/>
                            </w:rPr>
                            <w:t xml:space="preserve"> </w:t>
                          </w:r>
                          <w:r w:rsidRPr="004F2078">
                            <w:rPr>
                              <w:rFonts w:eastAsia="Calibri" w:cs="Arial"/>
                              <w:sz w:val="20"/>
                              <w:szCs w:val="20"/>
                              <w:lang w:val="en-GB"/>
                            </w:rPr>
                            <w:t>All material contained within this work is provided under a Creative Commons Attribution 3.0 Australia licence (</w:t>
                          </w:r>
                          <w:hyperlink r:id="rId14" w:history="1">
                            <w:r w:rsidRPr="004F2078">
                              <w:rPr>
                                <w:rFonts w:eastAsia="Calibri" w:cs="Arial"/>
                                <w:color w:val="0000FF"/>
                                <w:sz w:val="20"/>
                                <w:szCs w:val="20"/>
                                <w:u w:val="single"/>
                                <w:lang w:val="en-GB"/>
                              </w:rPr>
                              <w:t>creativecommons.org.au/</w:t>
                            </w:r>
                          </w:hyperlink>
                          <w:r w:rsidRPr="004F2078">
                            <w:rPr>
                              <w:rFonts w:eastAsia="Calibri" w:cs="Arial"/>
                              <w:sz w:val="20"/>
                              <w:szCs w:val="20"/>
                              <w:lang w:val="en-GB"/>
                            </w:rPr>
                            <w:t>), with the exception of any logos, illustrations or images. You may forward or otherwise distribute the paper. You may re-use the text in other formats, provided the ACCC is acknowledged as the source of the material and directions to access the full document are provided. You may not copy or reproduce any logos, illustrations or images. For more information, contact the Director Corporate Communications, ACCC, GPO Box 3131, Canberra ACT 2601</w:t>
                          </w:r>
                        </w:p>
                      </w:txbxContent>
                    </v:textbox>
                    <w10:wrap type="square"/>
                  </v:shape>
                </w:pict>
              </mc:Fallback>
            </mc:AlternateContent>
          </w:r>
          <w:r w:rsidR="00ED5EE6" w:rsidRPr="00ED5EE6">
            <w:rPr>
              <w:u w:val="single"/>
              <w:lang w:val="en-GB"/>
            </w:rPr>
            <w:t>Disclaimer</w:t>
          </w:r>
        </w:p>
        <w:p w:rsidR="00B87127" w:rsidRDefault="00B87127" w:rsidP="00284117">
          <w:pPr>
            <w:spacing w:before="120" w:after="120"/>
            <w:jc w:val="center"/>
            <w:rPr>
              <w:lang w:val="en-GB"/>
            </w:rPr>
          </w:pPr>
        </w:p>
        <w:p w:rsidR="00687F39" w:rsidRDefault="005B735C" w:rsidP="00FE4042">
          <w:pPr>
            <w:spacing w:before="0"/>
          </w:pPr>
        </w:p>
      </w:sdtContent>
    </w:sdt>
    <w:sdt>
      <w:sdtPr>
        <w:rPr>
          <w:rFonts w:ascii="Arial" w:eastAsiaTheme="minorHAnsi" w:hAnsi="Arial" w:cstheme="minorBidi"/>
          <w:bCs w:val="0"/>
          <w:noProof/>
          <w:color w:val="auto"/>
          <w:sz w:val="22"/>
          <w:szCs w:val="22"/>
          <w:lang w:val="en-AU" w:eastAsia="en-US"/>
        </w:rPr>
        <w:id w:val="1169761255"/>
        <w:docPartObj>
          <w:docPartGallery w:val="Table of Contents"/>
          <w:docPartUnique/>
        </w:docPartObj>
      </w:sdtPr>
      <w:sdtEndPr>
        <w:rPr>
          <w:b/>
          <w:sz w:val="20"/>
          <w:szCs w:val="20"/>
          <w:lang w:val="en-US" w:eastAsia="ja-JP"/>
        </w:rPr>
      </w:sdtEndPr>
      <w:sdtContent>
        <w:p w:rsidR="00621659" w:rsidRDefault="00621659" w:rsidP="00621659">
          <w:pPr>
            <w:pStyle w:val="TOCHeading"/>
            <w:spacing w:before="0"/>
            <w:rPr>
              <w:rFonts w:ascii="Arial" w:eastAsiaTheme="minorHAnsi" w:hAnsi="Arial" w:cstheme="minorBidi"/>
              <w:bCs w:val="0"/>
              <w:noProof/>
              <w:color w:val="auto"/>
              <w:sz w:val="22"/>
              <w:szCs w:val="22"/>
              <w:lang w:val="en-AU" w:eastAsia="en-US"/>
            </w:rPr>
          </w:pPr>
        </w:p>
        <w:p w:rsidR="00621659" w:rsidRDefault="00621659">
          <w:pPr>
            <w:rPr>
              <w:noProof/>
            </w:rPr>
          </w:pPr>
          <w:r>
            <w:rPr>
              <w:bCs/>
              <w:noProof/>
            </w:rPr>
            <w:br w:type="page"/>
          </w:r>
        </w:p>
        <w:p w:rsidR="001A00BD" w:rsidRPr="00284117" w:rsidRDefault="008413C2" w:rsidP="00284117">
          <w:pPr>
            <w:rPr>
              <w:rFonts w:eastAsia="Calibri"/>
              <w:b/>
              <w:noProof/>
            </w:rPr>
          </w:pPr>
          <w:r w:rsidRPr="00621659">
            <w:rPr>
              <w:b/>
            </w:rPr>
            <w:lastRenderedPageBreak/>
            <w:t>Table of contents</w:t>
          </w:r>
        </w:p>
        <w:p w:rsidR="00634B36" w:rsidRDefault="001A00BD">
          <w:pPr>
            <w:pStyle w:val="TOC1"/>
            <w:rPr>
              <w:rFonts w:asciiTheme="minorHAnsi" w:eastAsiaTheme="minorEastAsia" w:hAnsiTheme="minorHAnsi"/>
              <w:lang w:val="en-AU" w:eastAsia="en-AU"/>
            </w:rPr>
          </w:pPr>
          <w:r w:rsidRPr="00284117">
            <w:rPr>
              <w:sz w:val="20"/>
              <w:szCs w:val="20"/>
            </w:rPr>
            <w:fldChar w:fldCharType="begin"/>
          </w:r>
          <w:r w:rsidRPr="00284117">
            <w:rPr>
              <w:sz w:val="20"/>
              <w:szCs w:val="20"/>
            </w:rPr>
            <w:instrText xml:space="preserve"> TOC \o "1-3" \h \z \u \t "Heading 6,1" </w:instrText>
          </w:r>
          <w:r w:rsidRPr="00284117">
            <w:rPr>
              <w:sz w:val="20"/>
              <w:szCs w:val="20"/>
            </w:rPr>
            <w:fldChar w:fldCharType="separate"/>
          </w:r>
          <w:hyperlink w:anchor="_Toc462329712" w:history="1"/>
        </w:p>
        <w:p w:rsidR="00634B36" w:rsidRDefault="005B735C">
          <w:pPr>
            <w:pStyle w:val="TOC1"/>
            <w:rPr>
              <w:rFonts w:asciiTheme="minorHAnsi" w:eastAsiaTheme="minorEastAsia" w:hAnsiTheme="minorHAnsi"/>
              <w:lang w:val="en-AU" w:eastAsia="en-AU"/>
            </w:rPr>
          </w:pPr>
          <w:hyperlink w:anchor="_Toc462329713" w:history="1">
            <w:r w:rsidR="00634B36" w:rsidRPr="00DB196D">
              <w:rPr>
                <w:rStyle w:val="Hyperlink"/>
              </w:rPr>
              <w:t>1.</w:t>
            </w:r>
            <w:r w:rsidR="00634B36">
              <w:rPr>
                <w:rFonts w:asciiTheme="minorHAnsi" w:eastAsiaTheme="minorEastAsia" w:hAnsiTheme="minorHAnsi"/>
                <w:lang w:val="en-AU" w:eastAsia="en-AU"/>
              </w:rPr>
              <w:tab/>
            </w:r>
            <w:r w:rsidR="00634B36" w:rsidRPr="00DB196D">
              <w:rPr>
                <w:rStyle w:val="Hyperlink"/>
              </w:rPr>
              <w:t>Introduction</w:t>
            </w:r>
            <w:r w:rsidR="00634B36">
              <w:rPr>
                <w:webHidden/>
              </w:rPr>
              <w:tab/>
            </w:r>
            <w:r w:rsidR="00634B36">
              <w:rPr>
                <w:webHidden/>
              </w:rPr>
              <w:fldChar w:fldCharType="begin"/>
            </w:r>
            <w:r w:rsidR="00634B36">
              <w:rPr>
                <w:webHidden/>
              </w:rPr>
              <w:instrText xml:space="preserve"> PAGEREF _Toc462329713 \h </w:instrText>
            </w:r>
            <w:r w:rsidR="00634B36">
              <w:rPr>
                <w:webHidden/>
              </w:rPr>
            </w:r>
            <w:r w:rsidR="00634B36">
              <w:rPr>
                <w:webHidden/>
              </w:rPr>
              <w:fldChar w:fldCharType="separate"/>
            </w:r>
            <w:r w:rsidR="00634B36">
              <w:rPr>
                <w:webHidden/>
              </w:rPr>
              <w:t>4</w:t>
            </w:r>
            <w:r w:rsidR="00634B36">
              <w:rPr>
                <w:webHidden/>
              </w:rPr>
              <w:fldChar w:fldCharType="end"/>
            </w:r>
          </w:hyperlink>
        </w:p>
        <w:p w:rsidR="00634B36" w:rsidRDefault="005B735C">
          <w:pPr>
            <w:pStyle w:val="TOC1"/>
            <w:rPr>
              <w:rFonts w:asciiTheme="minorHAnsi" w:eastAsiaTheme="minorEastAsia" w:hAnsiTheme="minorHAnsi"/>
              <w:lang w:val="en-AU" w:eastAsia="en-AU"/>
            </w:rPr>
          </w:pPr>
          <w:hyperlink w:anchor="_Toc462329714" w:history="1">
            <w:r w:rsidR="00634B36" w:rsidRPr="00DB196D">
              <w:rPr>
                <w:rStyle w:val="Hyperlink"/>
              </w:rPr>
              <w:t>2.</w:t>
            </w:r>
            <w:r w:rsidR="00634B36">
              <w:rPr>
                <w:rFonts w:asciiTheme="minorHAnsi" w:eastAsiaTheme="minorEastAsia" w:hAnsiTheme="minorHAnsi"/>
                <w:lang w:val="en-AU" w:eastAsia="en-AU"/>
              </w:rPr>
              <w:tab/>
            </w:r>
            <w:r w:rsidR="00634B36" w:rsidRPr="00DB196D">
              <w:rPr>
                <w:rStyle w:val="Hyperlink"/>
              </w:rPr>
              <w:t>Policy options</w:t>
            </w:r>
            <w:r w:rsidR="00634B36">
              <w:rPr>
                <w:webHidden/>
              </w:rPr>
              <w:tab/>
            </w:r>
            <w:r w:rsidR="00634B36">
              <w:rPr>
                <w:webHidden/>
              </w:rPr>
              <w:fldChar w:fldCharType="begin"/>
            </w:r>
            <w:r w:rsidR="00634B36">
              <w:rPr>
                <w:webHidden/>
              </w:rPr>
              <w:instrText xml:space="preserve"> PAGEREF _Toc462329714 \h </w:instrText>
            </w:r>
            <w:r w:rsidR="00634B36">
              <w:rPr>
                <w:webHidden/>
              </w:rPr>
            </w:r>
            <w:r w:rsidR="00634B36">
              <w:rPr>
                <w:webHidden/>
              </w:rPr>
              <w:fldChar w:fldCharType="separate"/>
            </w:r>
            <w:r w:rsidR="00634B36">
              <w:rPr>
                <w:webHidden/>
              </w:rPr>
              <w:t>4</w:t>
            </w:r>
            <w:r w:rsidR="00634B36">
              <w:rPr>
                <w:webHidden/>
              </w:rPr>
              <w:fldChar w:fldCharType="end"/>
            </w:r>
          </w:hyperlink>
        </w:p>
        <w:p w:rsidR="00634B36" w:rsidRDefault="005B735C">
          <w:pPr>
            <w:pStyle w:val="TOC1"/>
            <w:rPr>
              <w:rFonts w:asciiTheme="minorHAnsi" w:eastAsiaTheme="minorEastAsia" w:hAnsiTheme="minorHAnsi"/>
              <w:lang w:val="en-AU" w:eastAsia="en-AU"/>
            </w:rPr>
          </w:pPr>
          <w:hyperlink w:anchor="_Toc462329715" w:history="1">
            <w:r w:rsidR="00634B36" w:rsidRPr="00DB196D">
              <w:rPr>
                <w:rStyle w:val="Hyperlink"/>
              </w:rPr>
              <w:t>3.</w:t>
            </w:r>
            <w:r w:rsidR="00634B36">
              <w:rPr>
                <w:rFonts w:asciiTheme="minorHAnsi" w:eastAsiaTheme="minorEastAsia" w:hAnsiTheme="minorHAnsi"/>
                <w:lang w:val="en-AU" w:eastAsia="en-AU"/>
              </w:rPr>
              <w:tab/>
            </w:r>
            <w:r w:rsidR="00634B36" w:rsidRPr="00DB196D">
              <w:rPr>
                <w:rStyle w:val="Hyperlink"/>
              </w:rPr>
              <w:t>Background</w:t>
            </w:r>
            <w:r w:rsidR="00634B36">
              <w:rPr>
                <w:webHidden/>
              </w:rPr>
              <w:tab/>
            </w:r>
            <w:r w:rsidR="00634B36">
              <w:rPr>
                <w:webHidden/>
              </w:rPr>
              <w:fldChar w:fldCharType="begin"/>
            </w:r>
            <w:r w:rsidR="00634B36">
              <w:rPr>
                <w:webHidden/>
              </w:rPr>
              <w:instrText xml:space="preserve"> PAGEREF _Toc462329715 \h </w:instrText>
            </w:r>
            <w:r w:rsidR="00634B36">
              <w:rPr>
                <w:webHidden/>
              </w:rPr>
            </w:r>
            <w:r w:rsidR="00634B36">
              <w:rPr>
                <w:webHidden/>
              </w:rPr>
              <w:fldChar w:fldCharType="separate"/>
            </w:r>
            <w:r w:rsidR="00634B36">
              <w:rPr>
                <w:webHidden/>
              </w:rPr>
              <w:t>4</w:t>
            </w:r>
            <w:r w:rsidR="00634B36">
              <w:rPr>
                <w:webHidden/>
              </w:rPr>
              <w:fldChar w:fldCharType="end"/>
            </w:r>
          </w:hyperlink>
        </w:p>
        <w:p w:rsidR="00634B36" w:rsidRDefault="005B735C">
          <w:pPr>
            <w:pStyle w:val="TOC2"/>
            <w:rPr>
              <w:rFonts w:asciiTheme="minorHAnsi" w:eastAsiaTheme="minorEastAsia" w:hAnsiTheme="minorHAnsi"/>
              <w:lang w:eastAsia="en-AU"/>
            </w:rPr>
          </w:pPr>
          <w:hyperlink w:anchor="_Toc462329716" w:history="1">
            <w:r w:rsidR="00634B36" w:rsidRPr="00DB196D">
              <w:rPr>
                <w:rStyle w:val="Hyperlink"/>
                <w:lang w:val="en-GB"/>
              </w:rPr>
              <w:t>International regulation and standards</w:t>
            </w:r>
            <w:r w:rsidR="00634B36">
              <w:rPr>
                <w:webHidden/>
              </w:rPr>
              <w:tab/>
            </w:r>
            <w:r w:rsidR="00634B36">
              <w:rPr>
                <w:webHidden/>
              </w:rPr>
              <w:fldChar w:fldCharType="begin"/>
            </w:r>
            <w:r w:rsidR="00634B36">
              <w:rPr>
                <w:webHidden/>
              </w:rPr>
              <w:instrText xml:space="preserve"> PAGEREF _Toc462329716 \h </w:instrText>
            </w:r>
            <w:r w:rsidR="00634B36">
              <w:rPr>
                <w:webHidden/>
              </w:rPr>
            </w:r>
            <w:r w:rsidR="00634B36">
              <w:rPr>
                <w:webHidden/>
              </w:rPr>
              <w:fldChar w:fldCharType="separate"/>
            </w:r>
            <w:r w:rsidR="00634B36">
              <w:rPr>
                <w:webHidden/>
              </w:rPr>
              <w:t>5</w:t>
            </w:r>
            <w:r w:rsidR="00634B36">
              <w:rPr>
                <w:webHidden/>
              </w:rPr>
              <w:fldChar w:fldCharType="end"/>
            </w:r>
          </w:hyperlink>
        </w:p>
        <w:p w:rsidR="00634B36" w:rsidRDefault="005B735C">
          <w:pPr>
            <w:pStyle w:val="TOC1"/>
            <w:rPr>
              <w:rFonts w:asciiTheme="minorHAnsi" w:eastAsiaTheme="minorEastAsia" w:hAnsiTheme="minorHAnsi"/>
              <w:lang w:val="en-AU" w:eastAsia="en-AU"/>
            </w:rPr>
          </w:pPr>
          <w:hyperlink w:anchor="_Toc462329717" w:history="1">
            <w:r w:rsidR="00634B36" w:rsidRPr="00DB196D">
              <w:rPr>
                <w:rStyle w:val="Hyperlink"/>
              </w:rPr>
              <w:t>4.</w:t>
            </w:r>
            <w:r w:rsidR="00634B36">
              <w:rPr>
                <w:rFonts w:asciiTheme="minorHAnsi" w:eastAsiaTheme="minorEastAsia" w:hAnsiTheme="minorHAnsi"/>
                <w:lang w:val="en-AU" w:eastAsia="en-AU"/>
              </w:rPr>
              <w:tab/>
            </w:r>
            <w:r w:rsidR="00634B36" w:rsidRPr="00DB196D">
              <w:rPr>
                <w:rStyle w:val="Hyperlink"/>
              </w:rPr>
              <w:t>Bicycle helmet ‘supply’ and ‘use’ laws</w:t>
            </w:r>
            <w:r w:rsidR="00634B36">
              <w:rPr>
                <w:webHidden/>
              </w:rPr>
              <w:tab/>
            </w:r>
            <w:r w:rsidR="00634B36">
              <w:rPr>
                <w:webHidden/>
              </w:rPr>
              <w:fldChar w:fldCharType="begin"/>
            </w:r>
            <w:r w:rsidR="00634B36">
              <w:rPr>
                <w:webHidden/>
              </w:rPr>
              <w:instrText xml:space="preserve"> PAGEREF _Toc462329717 \h </w:instrText>
            </w:r>
            <w:r w:rsidR="00634B36">
              <w:rPr>
                <w:webHidden/>
              </w:rPr>
            </w:r>
            <w:r w:rsidR="00634B36">
              <w:rPr>
                <w:webHidden/>
              </w:rPr>
              <w:fldChar w:fldCharType="separate"/>
            </w:r>
            <w:r w:rsidR="00634B36">
              <w:rPr>
                <w:webHidden/>
              </w:rPr>
              <w:t>5</w:t>
            </w:r>
            <w:r w:rsidR="00634B36">
              <w:rPr>
                <w:webHidden/>
              </w:rPr>
              <w:fldChar w:fldCharType="end"/>
            </w:r>
          </w:hyperlink>
        </w:p>
        <w:p w:rsidR="00634B36" w:rsidRDefault="005B735C">
          <w:pPr>
            <w:pStyle w:val="TOC1"/>
            <w:rPr>
              <w:rFonts w:asciiTheme="minorHAnsi" w:eastAsiaTheme="minorEastAsia" w:hAnsiTheme="minorHAnsi"/>
              <w:lang w:val="en-AU" w:eastAsia="en-AU"/>
            </w:rPr>
          </w:pPr>
          <w:hyperlink w:anchor="_Toc462329718" w:history="1">
            <w:r w:rsidR="00634B36" w:rsidRPr="00DB196D">
              <w:rPr>
                <w:rStyle w:val="Hyperlink"/>
              </w:rPr>
              <w:t>5.</w:t>
            </w:r>
            <w:r w:rsidR="00634B36">
              <w:rPr>
                <w:rFonts w:asciiTheme="minorHAnsi" w:eastAsiaTheme="minorEastAsia" w:hAnsiTheme="minorHAnsi"/>
                <w:lang w:val="en-AU" w:eastAsia="en-AU"/>
              </w:rPr>
              <w:tab/>
            </w:r>
            <w:r w:rsidR="00634B36" w:rsidRPr="00DB196D">
              <w:rPr>
                <w:rStyle w:val="Hyperlink"/>
              </w:rPr>
              <w:t>The Australian Consumer Law</w:t>
            </w:r>
            <w:r w:rsidR="00634B36">
              <w:rPr>
                <w:webHidden/>
              </w:rPr>
              <w:tab/>
            </w:r>
            <w:r w:rsidR="00634B36">
              <w:rPr>
                <w:webHidden/>
              </w:rPr>
              <w:fldChar w:fldCharType="begin"/>
            </w:r>
            <w:r w:rsidR="00634B36">
              <w:rPr>
                <w:webHidden/>
              </w:rPr>
              <w:instrText xml:space="preserve"> PAGEREF _Toc462329718 \h </w:instrText>
            </w:r>
            <w:r w:rsidR="00634B36">
              <w:rPr>
                <w:webHidden/>
              </w:rPr>
            </w:r>
            <w:r w:rsidR="00634B36">
              <w:rPr>
                <w:webHidden/>
              </w:rPr>
              <w:fldChar w:fldCharType="separate"/>
            </w:r>
            <w:r w:rsidR="00634B36">
              <w:rPr>
                <w:webHidden/>
              </w:rPr>
              <w:t>5</w:t>
            </w:r>
            <w:r w:rsidR="00634B36">
              <w:rPr>
                <w:webHidden/>
              </w:rPr>
              <w:fldChar w:fldCharType="end"/>
            </w:r>
          </w:hyperlink>
        </w:p>
        <w:p w:rsidR="00634B36" w:rsidRDefault="005B735C">
          <w:pPr>
            <w:pStyle w:val="TOC1"/>
            <w:rPr>
              <w:rFonts w:asciiTheme="minorHAnsi" w:eastAsiaTheme="minorEastAsia" w:hAnsiTheme="minorHAnsi"/>
              <w:lang w:val="en-AU" w:eastAsia="en-AU"/>
            </w:rPr>
          </w:pPr>
          <w:hyperlink w:anchor="_Toc462329719" w:history="1">
            <w:r w:rsidR="00634B36" w:rsidRPr="00DB196D">
              <w:rPr>
                <w:rStyle w:val="Hyperlink"/>
              </w:rPr>
              <w:t>6.</w:t>
            </w:r>
            <w:r w:rsidR="00634B36">
              <w:rPr>
                <w:rFonts w:asciiTheme="minorHAnsi" w:eastAsiaTheme="minorEastAsia" w:hAnsiTheme="minorHAnsi"/>
                <w:lang w:val="en-AU" w:eastAsia="en-AU"/>
              </w:rPr>
              <w:tab/>
            </w:r>
            <w:r w:rsidR="00634B36" w:rsidRPr="00DB196D">
              <w:rPr>
                <w:rStyle w:val="Hyperlink"/>
              </w:rPr>
              <w:t>Detailed description of policy options</w:t>
            </w:r>
            <w:r w:rsidR="00634B36">
              <w:rPr>
                <w:webHidden/>
              </w:rPr>
              <w:tab/>
            </w:r>
            <w:r w:rsidR="00634B36">
              <w:rPr>
                <w:webHidden/>
              </w:rPr>
              <w:fldChar w:fldCharType="begin"/>
            </w:r>
            <w:r w:rsidR="00634B36">
              <w:rPr>
                <w:webHidden/>
              </w:rPr>
              <w:instrText xml:space="preserve"> PAGEREF _Toc462329719 \h </w:instrText>
            </w:r>
            <w:r w:rsidR="00634B36">
              <w:rPr>
                <w:webHidden/>
              </w:rPr>
            </w:r>
            <w:r w:rsidR="00634B36">
              <w:rPr>
                <w:webHidden/>
              </w:rPr>
              <w:fldChar w:fldCharType="separate"/>
            </w:r>
            <w:r w:rsidR="00634B36">
              <w:rPr>
                <w:webHidden/>
              </w:rPr>
              <w:t>6</w:t>
            </w:r>
            <w:r w:rsidR="00634B36">
              <w:rPr>
                <w:webHidden/>
              </w:rPr>
              <w:fldChar w:fldCharType="end"/>
            </w:r>
          </w:hyperlink>
        </w:p>
        <w:p w:rsidR="00634B36" w:rsidRDefault="005B735C">
          <w:pPr>
            <w:pStyle w:val="TOC2"/>
            <w:rPr>
              <w:rFonts w:asciiTheme="minorHAnsi" w:eastAsiaTheme="minorEastAsia" w:hAnsiTheme="minorHAnsi"/>
              <w:lang w:eastAsia="en-AU"/>
            </w:rPr>
          </w:pPr>
          <w:hyperlink w:anchor="_Toc462329720" w:history="1">
            <w:r w:rsidR="00634B36" w:rsidRPr="00DB196D">
              <w:rPr>
                <w:rStyle w:val="Hyperlink"/>
                <w:lang w:val="en-GB"/>
              </w:rPr>
              <w:t>Option 1: Remove duplicate regulation of bicycle helmets</w:t>
            </w:r>
            <w:r w:rsidR="00634B36">
              <w:rPr>
                <w:webHidden/>
              </w:rPr>
              <w:tab/>
            </w:r>
            <w:r w:rsidR="00634B36">
              <w:rPr>
                <w:webHidden/>
              </w:rPr>
              <w:fldChar w:fldCharType="begin"/>
            </w:r>
            <w:r w:rsidR="00634B36">
              <w:rPr>
                <w:webHidden/>
              </w:rPr>
              <w:instrText xml:space="preserve"> PAGEREF _Toc462329720 \h </w:instrText>
            </w:r>
            <w:r w:rsidR="00634B36">
              <w:rPr>
                <w:webHidden/>
              </w:rPr>
            </w:r>
            <w:r w:rsidR="00634B36">
              <w:rPr>
                <w:webHidden/>
              </w:rPr>
              <w:fldChar w:fldCharType="separate"/>
            </w:r>
            <w:r w:rsidR="00634B36">
              <w:rPr>
                <w:webHidden/>
              </w:rPr>
              <w:t>6</w:t>
            </w:r>
            <w:r w:rsidR="00634B36">
              <w:rPr>
                <w:webHidden/>
              </w:rPr>
              <w:fldChar w:fldCharType="end"/>
            </w:r>
          </w:hyperlink>
        </w:p>
        <w:p w:rsidR="00634B36" w:rsidRDefault="005B735C">
          <w:pPr>
            <w:pStyle w:val="TOC3"/>
            <w:rPr>
              <w:rFonts w:asciiTheme="minorHAnsi" w:eastAsiaTheme="minorEastAsia" w:hAnsiTheme="minorHAnsi"/>
              <w:lang w:eastAsia="en-AU"/>
            </w:rPr>
          </w:pPr>
          <w:hyperlink w:anchor="_Toc462329721" w:history="1">
            <w:r w:rsidR="00634B36" w:rsidRPr="00DB196D">
              <w:rPr>
                <w:rStyle w:val="Hyperlink"/>
                <w:lang w:val="en-GB"/>
              </w:rPr>
              <w:t>Option 1a: Revoke the safety standard</w:t>
            </w:r>
            <w:r w:rsidR="00634B36">
              <w:rPr>
                <w:webHidden/>
              </w:rPr>
              <w:tab/>
            </w:r>
            <w:r w:rsidR="00634B36">
              <w:rPr>
                <w:webHidden/>
              </w:rPr>
              <w:fldChar w:fldCharType="begin"/>
            </w:r>
            <w:r w:rsidR="00634B36">
              <w:rPr>
                <w:webHidden/>
              </w:rPr>
              <w:instrText xml:space="preserve"> PAGEREF _Toc462329721 \h </w:instrText>
            </w:r>
            <w:r w:rsidR="00634B36">
              <w:rPr>
                <w:webHidden/>
              </w:rPr>
            </w:r>
            <w:r w:rsidR="00634B36">
              <w:rPr>
                <w:webHidden/>
              </w:rPr>
              <w:fldChar w:fldCharType="separate"/>
            </w:r>
            <w:r w:rsidR="00634B36">
              <w:rPr>
                <w:webHidden/>
              </w:rPr>
              <w:t>6</w:t>
            </w:r>
            <w:r w:rsidR="00634B36">
              <w:rPr>
                <w:webHidden/>
              </w:rPr>
              <w:fldChar w:fldCharType="end"/>
            </w:r>
          </w:hyperlink>
        </w:p>
        <w:p w:rsidR="00634B36" w:rsidRDefault="005B735C">
          <w:pPr>
            <w:pStyle w:val="TOC3"/>
            <w:rPr>
              <w:rFonts w:asciiTheme="minorHAnsi" w:eastAsiaTheme="minorEastAsia" w:hAnsiTheme="minorHAnsi"/>
              <w:lang w:eastAsia="en-AU"/>
            </w:rPr>
          </w:pPr>
          <w:hyperlink w:anchor="_Toc462329722" w:history="1">
            <w:r w:rsidR="00634B36" w:rsidRPr="00DB196D">
              <w:rPr>
                <w:rStyle w:val="Hyperlink"/>
                <w:lang w:val="en-GB"/>
              </w:rPr>
              <w:t>Option 1b: ‘Use’ laws could reference the safety standard</w:t>
            </w:r>
            <w:r w:rsidR="00634B36">
              <w:rPr>
                <w:webHidden/>
              </w:rPr>
              <w:tab/>
            </w:r>
            <w:r w:rsidR="00634B36">
              <w:rPr>
                <w:webHidden/>
              </w:rPr>
              <w:fldChar w:fldCharType="begin"/>
            </w:r>
            <w:r w:rsidR="00634B36">
              <w:rPr>
                <w:webHidden/>
              </w:rPr>
              <w:instrText xml:space="preserve"> PAGEREF _Toc462329722 \h </w:instrText>
            </w:r>
            <w:r w:rsidR="00634B36">
              <w:rPr>
                <w:webHidden/>
              </w:rPr>
            </w:r>
            <w:r w:rsidR="00634B36">
              <w:rPr>
                <w:webHidden/>
              </w:rPr>
              <w:fldChar w:fldCharType="separate"/>
            </w:r>
            <w:r w:rsidR="00634B36">
              <w:rPr>
                <w:webHidden/>
              </w:rPr>
              <w:t>7</w:t>
            </w:r>
            <w:r w:rsidR="00634B36">
              <w:rPr>
                <w:webHidden/>
              </w:rPr>
              <w:fldChar w:fldCharType="end"/>
            </w:r>
          </w:hyperlink>
        </w:p>
        <w:p w:rsidR="00634B36" w:rsidRDefault="005B735C">
          <w:pPr>
            <w:pStyle w:val="TOC2"/>
            <w:tabs>
              <w:tab w:val="left" w:pos="1701"/>
            </w:tabs>
            <w:rPr>
              <w:rFonts w:asciiTheme="minorHAnsi" w:eastAsiaTheme="minorEastAsia" w:hAnsiTheme="minorHAnsi"/>
              <w:lang w:eastAsia="en-AU"/>
            </w:rPr>
          </w:pPr>
          <w:hyperlink w:anchor="_Toc462329723" w:history="1">
            <w:r w:rsidR="00634B36" w:rsidRPr="00DB196D">
              <w:rPr>
                <w:rStyle w:val="Hyperlink"/>
                <w:lang w:val="en-GB"/>
              </w:rPr>
              <w:t xml:space="preserve">Option 2: </w:t>
            </w:r>
            <w:r w:rsidR="00634B36">
              <w:rPr>
                <w:rFonts w:asciiTheme="minorHAnsi" w:eastAsiaTheme="minorEastAsia" w:hAnsiTheme="minorHAnsi"/>
                <w:lang w:eastAsia="en-AU"/>
              </w:rPr>
              <w:tab/>
            </w:r>
            <w:r w:rsidR="00634B36" w:rsidRPr="00DB196D">
              <w:rPr>
                <w:rStyle w:val="Hyperlink"/>
                <w:lang w:val="en-GB"/>
              </w:rPr>
              <w:t>Maintain the status quo</w:t>
            </w:r>
            <w:r w:rsidR="00634B36">
              <w:rPr>
                <w:webHidden/>
              </w:rPr>
              <w:tab/>
            </w:r>
            <w:r w:rsidR="00634B36">
              <w:rPr>
                <w:webHidden/>
              </w:rPr>
              <w:fldChar w:fldCharType="begin"/>
            </w:r>
            <w:r w:rsidR="00634B36">
              <w:rPr>
                <w:webHidden/>
              </w:rPr>
              <w:instrText xml:space="preserve"> PAGEREF _Toc462329723 \h </w:instrText>
            </w:r>
            <w:r w:rsidR="00634B36">
              <w:rPr>
                <w:webHidden/>
              </w:rPr>
            </w:r>
            <w:r w:rsidR="00634B36">
              <w:rPr>
                <w:webHidden/>
              </w:rPr>
              <w:fldChar w:fldCharType="separate"/>
            </w:r>
            <w:r w:rsidR="00634B36">
              <w:rPr>
                <w:webHidden/>
              </w:rPr>
              <w:t>7</w:t>
            </w:r>
            <w:r w:rsidR="00634B36">
              <w:rPr>
                <w:webHidden/>
              </w:rPr>
              <w:fldChar w:fldCharType="end"/>
            </w:r>
          </w:hyperlink>
        </w:p>
        <w:p w:rsidR="00634B36" w:rsidRDefault="005B735C">
          <w:pPr>
            <w:pStyle w:val="TOC2"/>
            <w:tabs>
              <w:tab w:val="left" w:pos="1701"/>
            </w:tabs>
            <w:rPr>
              <w:rFonts w:asciiTheme="minorHAnsi" w:eastAsiaTheme="minorEastAsia" w:hAnsiTheme="minorHAnsi"/>
              <w:lang w:eastAsia="en-AU"/>
            </w:rPr>
          </w:pPr>
          <w:hyperlink w:anchor="_Toc462329724" w:history="1">
            <w:r w:rsidR="00634B36" w:rsidRPr="00DB196D">
              <w:rPr>
                <w:rStyle w:val="Hyperlink"/>
                <w:lang w:val="en-GB"/>
              </w:rPr>
              <w:t xml:space="preserve">Option 3: </w:t>
            </w:r>
            <w:r w:rsidR="00634B36">
              <w:rPr>
                <w:rFonts w:asciiTheme="minorHAnsi" w:eastAsiaTheme="minorEastAsia" w:hAnsiTheme="minorHAnsi"/>
                <w:lang w:eastAsia="en-AU"/>
              </w:rPr>
              <w:tab/>
            </w:r>
            <w:r w:rsidR="00634B36" w:rsidRPr="00DB196D">
              <w:rPr>
                <w:rStyle w:val="Hyperlink"/>
                <w:lang w:val="en-GB"/>
              </w:rPr>
              <w:t>Accept other trusted standards</w:t>
            </w:r>
            <w:r w:rsidR="00634B36">
              <w:rPr>
                <w:webHidden/>
              </w:rPr>
              <w:tab/>
            </w:r>
            <w:r w:rsidR="00634B36">
              <w:rPr>
                <w:webHidden/>
              </w:rPr>
              <w:fldChar w:fldCharType="begin"/>
            </w:r>
            <w:r w:rsidR="00634B36">
              <w:rPr>
                <w:webHidden/>
              </w:rPr>
              <w:instrText xml:space="preserve"> PAGEREF _Toc462329724 \h </w:instrText>
            </w:r>
            <w:r w:rsidR="00634B36">
              <w:rPr>
                <w:webHidden/>
              </w:rPr>
            </w:r>
            <w:r w:rsidR="00634B36">
              <w:rPr>
                <w:webHidden/>
              </w:rPr>
              <w:fldChar w:fldCharType="separate"/>
            </w:r>
            <w:r w:rsidR="00634B36">
              <w:rPr>
                <w:webHidden/>
              </w:rPr>
              <w:t>8</w:t>
            </w:r>
            <w:r w:rsidR="00634B36">
              <w:rPr>
                <w:webHidden/>
              </w:rPr>
              <w:fldChar w:fldCharType="end"/>
            </w:r>
          </w:hyperlink>
        </w:p>
        <w:p w:rsidR="00634B36" w:rsidRDefault="005B735C">
          <w:pPr>
            <w:pStyle w:val="TOC1"/>
            <w:rPr>
              <w:rFonts w:asciiTheme="minorHAnsi" w:eastAsiaTheme="minorEastAsia" w:hAnsiTheme="minorHAnsi"/>
              <w:lang w:val="en-AU" w:eastAsia="en-AU"/>
            </w:rPr>
          </w:pPr>
          <w:hyperlink w:anchor="_Toc462329725" w:history="1">
            <w:r w:rsidR="00634B36" w:rsidRPr="00DB196D">
              <w:rPr>
                <w:rStyle w:val="Hyperlink"/>
              </w:rPr>
              <w:t>7.</w:t>
            </w:r>
            <w:r w:rsidR="00634B36">
              <w:rPr>
                <w:rFonts w:asciiTheme="minorHAnsi" w:eastAsiaTheme="minorEastAsia" w:hAnsiTheme="minorHAnsi"/>
                <w:lang w:val="en-AU" w:eastAsia="en-AU"/>
              </w:rPr>
              <w:tab/>
            </w:r>
            <w:r w:rsidR="00634B36" w:rsidRPr="00DB196D">
              <w:rPr>
                <w:rStyle w:val="Hyperlink"/>
              </w:rPr>
              <w:t>Preliminary position</w:t>
            </w:r>
            <w:r w:rsidR="00634B36">
              <w:rPr>
                <w:webHidden/>
              </w:rPr>
              <w:tab/>
            </w:r>
            <w:r w:rsidR="00634B36">
              <w:rPr>
                <w:webHidden/>
              </w:rPr>
              <w:fldChar w:fldCharType="begin"/>
            </w:r>
            <w:r w:rsidR="00634B36">
              <w:rPr>
                <w:webHidden/>
              </w:rPr>
              <w:instrText xml:space="preserve"> PAGEREF _Toc462329725 \h </w:instrText>
            </w:r>
            <w:r w:rsidR="00634B36">
              <w:rPr>
                <w:webHidden/>
              </w:rPr>
            </w:r>
            <w:r w:rsidR="00634B36">
              <w:rPr>
                <w:webHidden/>
              </w:rPr>
              <w:fldChar w:fldCharType="separate"/>
            </w:r>
            <w:r w:rsidR="00634B36">
              <w:rPr>
                <w:webHidden/>
              </w:rPr>
              <w:t>8</w:t>
            </w:r>
            <w:r w:rsidR="00634B36">
              <w:rPr>
                <w:webHidden/>
              </w:rPr>
              <w:fldChar w:fldCharType="end"/>
            </w:r>
          </w:hyperlink>
        </w:p>
        <w:p w:rsidR="00634B36" w:rsidRDefault="005B735C">
          <w:pPr>
            <w:pStyle w:val="TOC1"/>
            <w:rPr>
              <w:rFonts w:asciiTheme="minorHAnsi" w:eastAsiaTheme="minorEastAsia" w:hAnsiTheme="minorHAnsi"/>
              <w:lang w:val="en-AU" w:eastAsia="en-AU"/>
            </w:rPr>
          </w:pPr>
          <w:hyperlink w:anchor="_Toc462329726" w:history="1">
            <w:r w:rsidR="00634B36" w:rsidRPr="00DB196D">
              <w:rPr>
                <w:rStyle w:val="Hyperlink"/>
              </w:rPr>
              <w:t>8.</w:t>
            </w:r>
            <w:r w:rsidR="00634B36">
              <w:rPr>
                <w:rFonts w:asciiTheme="minorHAnsi" w:eastAsiaTheme="minorEastAsia" w:hAnsiTheme="minorHAnsi"/>
                <w:lang w:val="en-AU" w:eastAsia="en-AU"/>
              </w:rPr>
              <w:tab/>
            </w:r>
            <w:r w:rsidR="00634B36" w:rsidRPr="00DB196D">
              <w:rPr>
                <w:rStyle w:val="Hyperlink"/>
              </w:rPr>
              <w:t>Consultation questions</w:t>
            </w:r>
            <w:r w:rsidR="00634B36">
              <w:rPr>
                <w:webHidden/>
              </w:rPr>
              <w:tab/>
            </w:r>
            <w:r w:rsidR="00634B36">
              <w:rPr>
                <w:webHidden/>
              </w:rPr>
              <w:fldChar w:fldCharType="begin"/>
            </w:r>
            <w:r w:rsidR="00634B36">
              <w:rPr>
                <w:webHidden/>
              </w:rPr>
              <w:instrText xml:space="preserve"> PAGEREF _Toc462329726 \h </w:instrText>
            </w:r>
            <w:r w:rsidR="00634B36">
              <w:rPr>
                <w:webHidden/>
              </w:rPr>
            </w:r>
            <w:r w:rsidR="00634B36">
              <w:rPr>
                <w:webHidden/>
              </w:rPr>
              <w:fldChar w:fldCharType="separate"/>
            </w:r>
            <w:r w:rsidR="00634B36">
              <w:rPr>
                <w:webHidden/>
              </w:rPr>
              <w:t>9</w:t>
            </w:r>
            <w:r w:rsidR="00634B36">
              <w:rPr>
                <w:webHidden/>
              </w:rPr>
              <w:fldChar w:fldCharType="end"/>
            </w:r>
          </w:hyperlink>
        </w:p>
        <w:p w:rsidR="00634B36" w:rsidRDefault="005B735C">
          <w:pPr>
            <w:pStyle w:val="TOC1"/>
            <w:rPr>
              <w:rFonts w:asciiTheme="minorHAnsi" w:eastAsiaTheme="minorEastAsia" w:hAnsiTheme="minorHAnsi"/>
              <w:lang w:val="en-AU" w:eastAsia="en-AU"/>
            </w:rPr>
          </w:pPr>
          <w:hyperlink w:anchor="_Toc462329727" w:history="1">
            <w:r w:rsidR="00634B36" w:rsidRPr="00DB196D">
              <w:rPr>
                <w:rStyle w:val="Hyperlink"/>
              </w:rPr>
              <w:t>9.</w:t>
            </w:r>
            <w:r w:rsidR="00634B36">
              <w:rPr>
                <w:rFonts w:asciiTheme="minorHAnsi" w:eastAsiaTheme="minorEastAsia" w:hAnsiTheme="minorHAnsi"/>
                <w:lang w:val="en-AU" w:eastAsia="en-AU"/>
              </w:rPr>
              <w:tab/>
            </w:r>
            <w:r w:rsidR="00634B36" w:rsidRPr="00DB196D">
              <w:rPr>
                <w:rStyle w:val="Hyperlink"/>
              </w:rPr>
              <w:t>Have your say</w:t>
            </w:r>
            <w:r w:rsidR="00634B36">
              <w:rPr>
                <w:webHidden/>
              </w:rPr>
              <w:tab/>
            </w:r>
            <w:r w:rsidR="00634B36">
              <w:rPr>
                <w:webHidden/>
              </w:rPr>
              <w:fldChar w:fldCharType="begin"/>
            </w:r>
            <w:r w:rsidR="00634B36">
              <w:rPr>
                <w:webHidden/>
              </w:rPr>
              <w:instrText xml:space="preserve"> PAGEREF _Toc462329727 \h </w:instrText>
            </w:r>
            <w:r w:rsidR="00634B36">
              <w:rPr>
                <w:webHidden/>
              </w:rPr>
            </w:r>
            <w:r w:rsidR="00634B36">
              <w:rPr>
                <w:webHidden/>
              </w:rPr>
              <w:fldChar w:fldCharType="separate"/>
            </w:r>
            <w:r w:rsidR="00634B36">
              <w:rPr>
                <w:webHidden/>
              </w:rPr>
              <w:t>9</w:t>
            </w:r>
            <w:r w:rsidR="00634B36">
              <w:rPr>
                <w:webHidden/>
              </w:rPr>
              <w:fldChar w:fldCharType="end"/>
            </w:r>
          </w:hyperlink>
        </w:p>
        <w:p w:rsidR="00634B36" w:rsidRDefault="005B735C">
          <w:pPr>
            <w:pStyle w:val="TOC1"/>
            <w:rPr>
              <w:rFonts w:asciiTheme="minorHAnsi" w:eastAsiaTheme="minorEastAsia" w:hAnsiTheme="minorHAnsi"/>
              <w:lang w:val="en-AU" w:eastAsia="en-AU"/>
            </w:rPr>
          </w:pPr>
          <w:hyperlink w:anchor="_Toc462329728" w:history="1">
            <w:r w:rsidR="00634B36" w:rsidRPr="00DB196D">
              <w:rPr>
                <w:rStyle w:val="Hyperlink"/>
              </w:rPr>
              <w:t>Glossary</w:t>
            </w:r>
            <w:r w:rsidR="00634B36">
              <w:rPr>
                <w:webHidden/>
              </w:rPr>
              <w:tab/>
            </w:r>
            <w:r w:rsidR="00634B36">
              <w:rPr>
                <w:webHidden/>
              </w:rPr>
              <w:fldChar w:fldCharType="begin"/>
            </w:r>
            <w:r w:rsidR="00634B36">
              <w:rPr>
                <w:webHidden/>
              </w:rPr>
              <w:instrText xml:space="preserve"> PAGEREF _Toc462329728 \h </w:instrText>
            </w:r>
            <w:r w:rsidR="00634B36">
              <w:rPr>
                <w:webHidden/>
              </w:rPr>
            </w:r>
            <w:r w:rsidR="00634B36">
              <w:rPr>
                <w:webHidden/>
              </w:rPr>
              <w:fldChar w:fldCharType="separate"/>
            </w:r>
            <w:r w:rsidR="00634B36">
              <w:rPr>
                <w:webHidden/>
              </w:rPr>
              <w:t>10</w:t>
            </w:r>
            <w:r w:rsidR="00634B36">
              <w:rPr>
                <w:webHidden/>
              </w:rPr>
              <w:fldChar w:fldCharType="end"/>
            </w:r>
          </w:hyperlink>
        </w:p>
        <w:p w:rsidR="00634B36" w:rsidRDefault="005B735C">
          <w:pPr>
            <w:pStyle w:val="TOC1"/>
            <w:rPr>
              <w:rFonts w:asciiTheme="minorHAnsi" w:eastAsiaTheme="minorEastAsia" w:hAnsiTheme="minorHAnsi"/>
              <w:lang w:val="en-AU" w:eastAsia="en-AU"/>
            </w:rPr>
          </w:pPr>
          <w:hyperlink w:anchor="_Toc462329729" w:history="1">
            <w:r w:rsidR="00634B36" w:rsidRPr="00DB196D">
              <w:rPr>
                <w:rStyle w:val="Hyperlink"/>
              </w:rPr>
              <w:t>Appendix: Features of the safety standard for bicycle helmets</w:t>
            </w:r>
            <w:r w:rsidR="00634B36">
              <w:rPr>
                <w:webHidden/>
              </w:rPr>
              <w:tab/>
            </w:r>
            <w:r w:rsidR="00634B36">
              <w:rPr>
                <w:webHidden/>
              </w:rPr>
              <w:fldChar w:fldCharType="begin"/>
            </w:r>
            <w:r w:rsidR="00634B36">
              <w:rPr>
                <w:webHidden/>
              </w:rPr>
              <w:instrText xml:space="preserve"> PAGEREF _Toc462329729 \h </w:instrText>
            </w:r>
            <w:r w:rsidR="00634B36">
              <w:rPr>
                <w:webHidden/>
              </w:rPr>
            </w:r>
            <w:r w:rsidR="00634B36">
              <w:rPr>
                <w:webHidden/>
              </w:rPr>
              <w:fldChar w:fldCharType="separate"/>
            </w:r>
            <w:r w:rsidR="00634B36">
              <w:rPr>
                <w:webHidden/>
              </w:rPr>
              <w:t>11</w:t>
            </w:r>
            <w:r w:rsidR="00634B36">
              <w:rPr>
                <w:webHidden/>
              </w:rPr>
              <w:fldChar w:fldCharType="end"/>
            </w:r>
          </w:hyperlink>
        </w:p>
        <w:p w:rsidR="001A00BD" w:rsidRPr="00284117" w:rsidRDefault="001A00BD" w:rsidP="002B109F">
          <w:pPr>
            <w:pStyle w:val="TOC1"/>
            <w:rPr>
              <w:rFonts w:asciiTheme="minorHAnsi" w:eastAsiaTheme="minorEastAsia" w:hAnsiTheme="minorHAnsi"/>
              <w:sz w:val="20"/>
              <w:szCs w:val="20"/>
              <w:lang w:val="en-AU" w:eastAsia="en-AU"/>
            </w:rPr>
          </w:pPr>
          <w:r w:rsidRPr="00284117">
            <w:rPr>
              <w:b/>
              <w:sz w:val="20"/>
              <w:szCs w:val="20"/>
            </w:rPr>
            <w:fldChar w:fldCharType="end"/>
          </w:r>
        </w:p>
      </w:sdtContent>
    </w:sdt>
    <w:p w:rsidR="001A00BD" w:rsidRPr="00284117" w:rsidRDefault="001A00BD">
      <w:pPr>
        <w:rPr>
          <w:sz w:val="20"/>
          <w:szCs w:val="20"/>
        </w:rPr>
      </w:pPr>
    </w:p>
    <w:p w:rsidR="00FE4042" w:rsidRDefault="00FE4042"/>
    <w:p w:rsidR="002B109F" w:rsidRDefault="002B109F"/>
    <w:p w:rsidR="002B109F" w:rsidRDefault="002B109F"/>
    <w:p w:rsidR="002B109F" w:rsidRDefault="002B109F"/>
    <w:p w:rsidR="002B109F" w:rsidRDefault="002B109F"/>
    <w:p w:rsidR="009A140D" w:rsidRDefault="009A140D">
      <w:pPr>
        <w:rPr>
          <w:rFonts w:ascii="Lucida Fax" w:eastAsiaTheme="majorEastAsia" w:hAnsi="Lucida Fax" w:cstheme="majorBidi"/>
          <w:bCs/>
          <w:color w:val="51626F"/>
          <w:sz w:val="32"/>
          <w:szCs w:val="28"/>
        </w:rPr>
      </w:pPr>
      <w:r>
        <w:br w:type="page"/>
      </w:r>
    </w:p>
    <w:p w:rsidR="00687F39" w:rsidRDefault="00680526" w:rsidP="00680526">
      <w:pPr>
        <w:pStyle w:val="Numbered1"/>
        <w:spacing w:before="0"/>
      </w:pPr>
      <w:bookmarkStart w:id="6" w:name="_Toc462327065"/>
      <w:bookmarkStart w:id="7" w:name="_Toc462329713"/>
      <w:r>
        <w:lastRenderedPageBreak/>
        <w:t>Introduction</w:t>
      </w:r>
      <w:bookmarkEnd w:id="6"/>
      <w:bookmarkEnd w:id="7"/>
    </w:p>
    <w:p w:rsidR="002E12CD" w:rsidRPr="00DE1E24" w:rsidRDefault="00BC4D22" w:rsidP="002E12CD">
      <w:pPr>
        <w:spacing w:after="240"/>
      </w:pPr>
      <w:r>
        <w:t xml:space="preserve">This </w:t>
      </w:r>
      <w:r w:rsidR="002E12CD">
        <w:t xml:space="preserve">paper is </w:t>
      </w:r>
      <w:r>
        <w:t xml:space="preserve">part of a </w:t>
      </w:r>
      <w:r w:rsidR="002E12CD">
        <w:t>stakeholder</w:t>
      </w:r>
      <w:r>
        <w:t xml:space="preserve"> consultation </w:t>
      </w:r>
      <w:r w:rsidR="00600764">
        <w:t>about</w:t>
      </w:r>
      <w:r>
        <w:t xml:space="preserve"> </w:t>
      </w:r>
      <w:r w:rsidR="00230D10">
        <w:t>the</w:t>
      </w:r>
      <w:r w:rsidR="00BA1289">
        <w:t xml:space="preserve"> </w:t>
      </w:r>
      <w:r w:rsidR="00342612">
        <w:t xml:space="preserve">mandatory </w:t>
      </w:r>
      <w:r w:rsidR="002E12CD">
        <w:t xml:space="preserve">safety standard for the supply of </w:t>
      </w:r>
      <w:r w:rsidR="00A90BF5">
        <w:t>bicycle</w:t>
      </w:r>
      <w:r w:rsidR="003F5C3C">
        <w:t xml:space="preserve"> helmets in Australia.</w:t>
      </w:r>
    </w:p>
    <w:p w:rsidR="00BA1289" w:rsidRPr="008517C5" w:rsidRDefault="00A51CD0" w:rsidP="008517C5">
      <w:pPr>
        <w:rPr>
          <w:lang w:val="en-GB"/>
        </w:rPr>
      </w:pPr>
      <w:r w:rsidRPr="008517C5">
        <w:rPr>
          <w:lang w:val="en-GB"/>
        </w:rPr>
        <w:t>The ACCC is interested in</w:t>
      </w:r>
      <w:r w:rsidR="002E12CD" w:rsidRPr="008517C5">
        <w:rPr>
          <w:lang w:val="en-GB"/>
        </w:rPr>
        <w:t xml:space="preserve"> any </w:t>
      </w:r>
      <w:r w:rsidR="00C76D61" w:rsidRPr="008517C5">
        <w:rPr>
          <w:lang w:val="en-GB"/>
        </w:rPr>
        <w:t>information</w:t>
      </w:r>
      <w:r w:rsidR="002E12CD" w:rsidRPr="008517C5">
        <w:rPr>
          <w:lang w:val="en-GB"/>
        </w:rPr>
        <w:t xml:space="preserve"> </w:t>
      </w:r>
      <w:r w:rsidR="00C76D61" w:rsidRPr="008517C5">
        <w:rPr>
          <w:lang w:val="en-GB"/>
        </w:rPr>
        <w:t>that</w:t>
      </w:r>
      <w:r w:rsidR="002E12CD" w:rsidRPr="008517C5">
        <w:rPr>
          <w:lang w:val="en-GB"/>
        </w:rPr>
        <w:t xml:space="preserve"> </w:t>
      </w:r>
      <w:r w:rsidR="00C76D61" w:rsidRPr="008517C5">
        <w:rPr>
          <w:lang w:val="en-GB"/>
        </w:rPr>
        <w:t>could</w:t>
      </w:r>
      <w:r w:rsidR="002E12CD" w:rsidRPr="008517C5">
        <w:rPr>
          <w:lang w:val="en-GB"/>
        </w:rPr>
        <w:t xml:space="preserve"> </w:t>
      </w:r>
      <w:r w:rsidR="00342612" w:rsidRPr="008517C5">
        <w:rPr>
          <w:lang w:val="en-GB"/>
        </w:rPr>
        <w:t>help us</w:t>
      </w:r>
      <w:r w:rsidR="002E12CD" w:rsidRPr="008517C5">
        <w:rPr>
          <w:lang w:val="en-GB"/>
        </w:rPr>
        <w:t xml:space="preserve"> assess the </w:t>
      </w:r>
      <w:r w:rsidR="00230D10" w:rsidRPr="008517C5">
        <w:rPr>
          <w:lang w:val="en-GB"/>
        </w:rPr>
        <w:t xml:space="preserve">options, particularly the </w:t>
      </w:r>
      <w:r w:rsidR="002E12CD" w:rsidRPr="008517C5">
        <w:rPr>
          <w:lang w:val="en-GB"/>
        </w:rPr>
        <w:t xml:space="preserve">potential impacts and benefits </w:t>
      </w:r>
      <w:r w:rsidR="00C76D61" w:rsidRPr="008517C5">
        <w:rPr>
          <w:lang w:val="en-GB"/>
        </w:rPr>
        <w:t xml:space="preserve">of </w:t>
      </w:r>
      <w:r w:rsidR="00BA1289" w:rsidRPr="008517C5">
        <w:rPr>
          <w:lang w:val="en-GB"/>
        </w:rPr>
        <w:t>revoking the standard</w:t>
      </w:r>
      <w:r w:rsidR="003F5C3C" w:rsidRPr="008517C5">
        <w:rPr>
          <w:lang w:val="en-GB"/>
        </w:rPr>
        <w:t>.</w:t>
      </w:r>
    </w:p>
    <w:p w:rsidR="00491B27" w:rsidRPr="00BA1289" w:rsidRDefault="00C701E3" w:rsidP="00BA1289">
      <w:pPr>
        <w:spacing w:after="240"/>
      </w:pPr>
      <w:r w:rsidRPr="00C701E3">
        <w:rPr>
          <w:b/>
          <w:noProof/>
          <w:lang w:eastAsia="en-AU"/>
        </w:rPr>
        <mc:AlternateContent>
          <mc:Choice Requires="wps">
            <w:drawing>
              <wp:anchor distT="0" distB="0" distL="114300" distR="114300" simplePos="0" relativeHeight="251661312" behindDoc="0" locked="0" layoutInCell="1" allowOverlap="1" wp14:anchorId="39BE2B4F" wp14:editId="4F90596E">
                <wp:simplePos x="0" y="0"/>
                <wp:positionH relativeFrom="column">
                  <wp:posOffset>19050</wp:posOffset>
                </wp:positionH>
                <wp:positionV relativeFrom="paragraph">
                  <wp:posOffset>89535</wp:posOffset>
                </wp:positionV>
                <wp:extent cx="5686425" cy="895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95350"/>
                        </a:xfrm>
                        <a:prstGeom prst="rect">
                          <a:avLst/>
                        </a:prstGeom>
                        <a:solidFill>
                          <a:srgbClr val="FFFFFF"/>
                        </a:solidFill>
                        <a:ln w="9525">
                          <a:solidFill>
                            <a:srgbClr val="000000"/>
                          </a:solidFill>
                          <a:miter lim="800000"/>
                          <a:headEnd/>
                          <a:tailEnd/>
                        </a:ln>
                      </wps:spPr>
                      <wps:txbx>
                        <w:txbxContent>
                          <w:p w:rsidR="008517C5" w:rsidRDefault="008517C5" w:rsidP="00F10C00">
                            <w:pPr>
                              <w:jc w:val="both"/>
                              <w:rPr>
                                <w:b/>
                              </w:rPr>
                            </w:pPr>
                            <w:r w:rsidRPr="00396799">
                              <w:rPr>
                                <w:b/>
                              </w:rPr>
                              <w:t xml:space="preserve">The consultation process outlined in this paper may be the only opportunity for stakeholders to provide </w:t>
                            </w:r>
                            <w:r>
                              <w:rPr>
                                <w:b/>
                              </w:rPr>
                              <w:t>input to this review.</w:t>
                            </w:r>
                          </w:p>
                          <w:p w:rsidR="008517C5" w:rsidRDefault="008517C5" w:rsidP="00F10C00">
                            <w:pPr>
                              <w:jc w:val="both"/>
                              <w:rPr>
                                <w:b/>
                              </w:rPr>
                            </w:pPr>
                            <w:r>
                              <w:rPr>
                                <w:b/>
                              </w:rPr>
                              <w:t>We</w:t>
                            </w:r>
                            <w:r w:rsidRPr="00396799">
                              <w:rPr>
                                <w:b/>
                              </w:rPr>
                              <w:t xml:space="preserve"> encourage interested parties to make submissions</w:t>
                            </w:r>
                            <w:r>
                              <w:rPr>
                                <w:b/>
                              </w:rPr>
                              <w:t>.</w:t>
                            </w:r>
                          </w:p>
                          <w:p w:rsidR="008517C5" w:rsidRDefault="008517C5" w:rsidP="00F10C0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7.05pt;width:447.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">
                <v:textbox>
                  <w:txbxContent>
                    <w:p w:rsidR="008517C5" w:rsidRDefault="008517C5" w:rsidP="00F10C00">
                      <w:pPr>
                        <w:jc w:val="both"/>
                        <w:rPr>
                          <w:b/>
                        </w:rPr>
                      </w:pPr>
                      <w:r w:rsidRPr="00396799">
                        <w:rPr>
                          <w:b/>
                        </w:rPr>
                        <w:t xml:space="preserve">The consultation process outlined in this paper may be the only opportunity for stakeholders to provide </w:t>
                      </w:r>
                      <w:r>
                        <w:rPr>
                          <w:b/>
                        </w:rPr>
                        <w:t>input to this review.</w:t>
                      </w:r>
                    </w:p>
                    <w:p w:rsidR="008517C5" w:rsidRDefault="008517C5" w:rsidP="00F10C00">
                      <w:pPr>
                        <w:jc w:val="both"/>
                        <w:rPr>
                          <w:b/>
                        </w:rPr>
                      </w:pPr>
                      <w:r>
                        <w:rPr>
                          <w:b/>
                        </w:rPr>
                        <w:t>We</w:t>
                      </w:r>
                      <w:r w:rsidRPr="00396799">
                        <w:rPr>
                          <w:b/>
                        </w:rPr>
                        <w:t xml:space="preserve"> encourage interested parties to make submissions</w:t>
                      </w:r>
                      <w:r>
                        <w:rPr>
                          <w:b/>
                        </w:rPr>
                        <w:t>.</w:t>
                      </w:r>
                    </w:p>
                    <w:p w:rsidR="008517C5" w:rsidRDefault="008517C5" w:rsidP="00F10C00">
                      <w:pPr>
                        <w:jc w:val="both"/>
                      </w:pPr>
                    </w:p>
                  </w:txbxContent>
                </v:textbox>
              </v:shape>
            </w:pict>
          </mc:Fallback>
        </mc:AlternateContent>
      </w:r>
      <w:r w:rsidR="002E12CD">
        <w:rPr>
          <w:b/>
        </w:rPr>
        <w:t xml:space="preserve"> </w:t>
      </w:r>
    </w:p>
    <w:p w:rsidR="00BA1289" w:rsidRDefault="00BA1289" w:rsidP="002E12CD"/>
    <w:p w:rsidR="00C701E3" w:rsidRDefault="00C701E3" w:rsidP="002E12CD"/>
    <w:p w:rsidR="00E31834" w:rsidRDefault="00E31834" w:rsidP="002E12CD"/>
    <w:p w:rsidR="00FE4042" w:rsidRPr="00F47A7B" w:rsidRDefault="00FE4042" w:rsidP="00E31834">
      <w:pPr>
        <w:pStyle w:val="Numbered1"/>
        <w:spacing w:before="0"/>
      </w:pPr>
      <w:bookmarkStart w:id="8" w:name="_Toc457311803"/>
      <w:bookmarkStart w:id="9" w:name="_Toc462327066"/>
      <w:bookmarkStart w:id="10" w:name="_Toc462329714"/>
      <w:r w:rsidRPr="00F47A7B">
        <w:t xml:space="preserve">Policy </w:t>
      </w:r>
      <w:r w:rsidRPr="00382011">
        <w:t>options</w:t>
      </w:r>
      <w:bookmarkEnd w:id="8"/>
      <w:bookmarkEnd w:id="9"/>
      <w:bookmarkEnd w:id="10"/>
    </w:p>
    <w:p w:rsidR="00FE4042" w:rsidRPr="00F47A7B" w:rsidRDefault="00FE4042" w:rsidP="00FE4042">
      <w:r>
        <w:t>This consultation paper</w:t>
      </w:r>
      <w:r w:rsidRPr="00F47A7B">
        <w:t xml:space="preserve"> discuss</w:t>
      </w:r>
      <w:r>
        <w:t>es</w:t>
      </w:r>
      <w:r w:rsidRPr="00F47A7B">
        <w:t xml:space="preserve"> </w:t>
      </w:r>
      <w:r>
        <w:t xml:space="preserve">the following </w:t>
      </w:r>
      <w:r w:rsidRPr="00F47A7B">
        <w:t>policy options:</w:t>
      </w:r>
    </w:p>
    <w:tbl>
      <w:tblPr>
        <w:tblW w:w="0" w:type="auto"/>
        <w:tblLook w:val="04A0" w:firstRow="1" w:lastRow="0" w:firstColumn="1" w:lastColumn="0" w:noHBand="0" w:noVBand="1"/>
      </w:tblPr>
      <w:tblGrid>
        <w:gridCol w:w="1526"/>
        <w:gridCol w:w="7229"/>
      </w:tblGrid>
      <w:tr w:rsidR="00FE4042" w:rsidRPr="00F47A7B" w:rsidTr="008517C5">
        <w:tc>
          <w:tcPr>
            <w:tcW w:w="1526" w:type="dxa"/>
            <w:shd w:val="clear" w:color="auto" w:fill="auto"/>
          </w:tcPr>
          <w:p w:rsidR="00FE4042" w:rsidRPr="00F47A7B" w:rsidRDefault="00FE4042" w:rsidP="008517C5">
            <w:pPr>
              <w:rPr>
                <w:b/>
              </w:rPr>
            </w:pPr>
            <w:r w:rsidRPr="00F47A7B">
              <w:t xml:space="preserve">Option </w:t>
            </w:r>
            <w:r w:rsidR="00E31834">
              <w:t>1a</w:t>
            </w:r>
          </w:p>
        </w:tc>
        <w:tc>
          <w:tcPr>
            <w:tcW w:w="7229" w:type="dxa"/>
            <w:shd w:val="clear" w:color="auto" w:fill="auto"/>
          </w:tcPr>
          <w:p w:rsidR="00FE4042" w:rsidRPr="00E31834" w:rsidRDefault="00E31834" w:rsidP="00E31834">
            <w:r w:rsidRPr="00823541">
              <w:rPr>
                <w:lang w:val="en-GB"/>
              </w:rPr>
              <w:t xml:space="preserve">Revoke </w:t>
            </w:r>
            <w:r>
              <w:rPr>
                <w:lang w:val="en-GB"/>
              </w:rPr>
              <w:t>the safety</w:t>
            </w:r>
            <w:r w:rsidRPr="00823541">
              <w:rPr>
                <w:lang w:val="en-GB"/>
              </w:rPr>
              <w:t xml:space="preserve"> standard</w:t>
            </w:r>
            <w:r w:rsidR="00B54928">
              <w:rPr>
                <w:lang w:val="en-GB"/>
              </w:rPr>
              <w:t>.</w:t>
            </w:r>
          </w:p>
        </w:tc>
      </w:tr>
      <w:tr w:rsidR="00FE4042" w:rsidRPr="00F47A7B" w:rsidTr="008517C5">
        <w:tc>
          <w:tcPr>
            <w:tcW w:w="1526" w:type="dxa"/>
            <w:shd w:val="clear" w:color="auto" w:fill="auto"/>
          </w:tcPr>
          <w:p w:rsidR="00FE4042" w:rsidRPr="005A60B4" w:rsidRDefault="00FE4042" w:rsidP="006305BD">
            <w:pPr>
              <w:rPr>
                <w:b/>
              </w:rPr>
            </w:pPr>
            <w:r w:rsidRPr="005A60B4">
              <w:t xml:space="preserve">Option </w:t>
            </w:r>
            <w:r w:rsidR="00E31834">
              <w:t>1b</w:t>
            </w:r>
          </w:p>
        </w:tc>
        <w:tc>
          <w:tcPr>
            <w:tcW w:w="7229" w:type="dxa"/>
            <w:shd w:val="clear" w:color="auto" w:fill="auto"/>
          </w:tcPr>
          <w:p w:rsidR="00FE4042" w:rsidRPr="00FA039C" w:rsidRDefault="00E31834" w:rsidP="00E31834">
            <w:r>
              <w:rPr>
                <w:lang w:val="en-GB"/>
              </w:rPr>
              <w:t>‘Use’ laws</w:t>
            </w:r>
            <w:r w:rsidRPr="00290BBC">
              <w:rPr>
                <w:lang w:val="en-GB"/>
              </w:rPr>
              <w:t xml:space="preserve"> </w:t>
            </w:r>
            <w:r>
              <w:rPr>
                <w:lang w:val="en-GB"/>
              </w:rPr>
              <w:t xml:space="preserve">to </w:t>
            </w:r>
            <w:r w:rsidRPr="00290BBC">
              <w:rPr>
                <w:lang w:val="en-GB"/>
              </w:rPr>
              <w:t>reference</w:t>
            </w:r>
            <w:r>
              <w:rPr>
                <w:lang w:val="en-GB"/>
              </w:rPr>
              <w:t xml:space="preserve"> the safety standard</w:t>
            </w:r>
            <w:r w:rsidR="00B54928">
              <w:rPr>
                <w:lang w:val="en-GB"/>
              </w:rPr>
              <w:t>.</w:t>
            </w:r>
          </w:p>
        </w:tc>
      </w:tr>
      <w:tr w:rsidR="00FE4042" w:rsidRPr="005A60B4" w:rsidTr="008517C5">
        <w:tc>
          <w:tcPr>
            <w:tcW w:w="1526" w:type="dxa"/>
            <w:shd w:val="clear" w:color="auto" w:fill="auto"/>
          </w:tcPr>
          <w:p w:rsidR="00FE4042" w:rsidRDefault="00FE4042" w:rsidP="008517C5">
            <w:r w:rsidRPr="005A60B4">
              <w:t xml:space="preserve">Option </w:t>
            </w:r>
            <w:r w:rsidR="00E31834">
              <w:t>2</w:t>
            </w:r>
          </w:p>
          <w:p w:rsidR="00E31834" w:rsidRPr="005A60B4" w:rsidRDefault="00E31834" w:rsidP="008517C5">
            <w:pPr>
              <w:rPr>
                <w:b/>
              </w:rPr>
            </w:pPr>
            <w:r>
              <w:t>Option 3</w:t>
            </w:r>
          </w:p>
        </w:tc>
        <w:tc>
          <w:tcPr>
            <w:tcW w:w="7229" w:type="dxa"/>
            <w:shd w:val="clear" w:color="auto" w:fill="auto"/>
          </w:tcPr>
          <w:p w:rsidR="00E31834" w:rsidRDefault="00E31834" w:rsidP="008517C5">
            <w:pPr>
              <w:rPr>
                <w:lang w:val="en-GB"/>
              </w:rPr>
            </w:pPr>
            <w:r>
              <w:rPr>
                <w:lang w:val="en-GB"/>
              </w:rPr>
              <w:t>Maintain the status quo</w:t>
            </w:r>
            <w:r w:rsidR="00B54928">
              <w:rPr>
                <w:lang w:val="en-GB"/>
              </w:rPr>
              <w:t>.</w:t>
            </w:r>
          </w:p>
          <w:p w:rsidR="00FE4042" w:rsidRPr="00FA039C" w:rsidRDefault="00E31834" w:rsidP="008517C5">
            <w:r>
              <w:rPr>
                <w:lang w:val="en-GB"/>
              </w:rPr>
              <w:t>Accept other trusted standards</w:t>
            </w:r>
          </w:p>
        </w:tc>
      </w:tr>
      <w:tr w:rsidR="007A53F4" w:rsidRPr="007A53F4" w:rsidTr="007A53F4">
        <w:trPr>
          <w:trHeight w:val="199"/>
        </w:trPr>
        <w:tc>
          <w:tcPr>
            <w:tcW w:w="1526" w:type="dxa"/>
            <w:shd w:val="clear" w:color="auto" w:fill="auto"/>
          </w:tcPr>
          <w:p w:rsidR="007A53F4" w:rsidRPr="007A53F4" w:rsidRDefault="007A53F4" w:rsidP="008517C5">
            <w:pPr>
              <w:rPr>
                <w:sz w:val="16"/>
                <w:szCs w:val="16"/>
              </w:rPr>
            </w:pPr>
          </w:p>
        </w:tc>
        <w:tc>
          <w:tcPr>
            <w:tcW w:w="7229" w:type="dxa"/>
            <w:shd w:val="clear" w:color="auto" w:fill="auto"/>
          </w:tcPr>
          <w:p w:rsidR="007A53F4" w:rsidRPr="007A53F4" w:rsidRDefault="007A53F4" w:rsidP="008517C5">
            <w:pPr>
              <w:rPr>
                <w:sz w:val="16"/>
                <w:szCs w:val="16"/>
                <w:lang w:val="en-GB"/>
              </w:rPr>
            </w:pPr>
          </w:p>
        </w:tc>
      </w:tr>
    </w:tbl>
    <w:p w:rsidR="00687F39" w:rsidRDefault="00E907C9" w:rsidP="00491B27">
      <w:pPr>
        <w:pStyle w:val="Numbered1"/>
        <w:spacing w:before="0"/>
      </w:pPr>
      <w:bookmarkStart w:id="11" w:name="_Toc462327067"/>
      <w:bookmarkStart w:id="12" w:name="_Toc462329715"/>
      <w:r>
        <w:t>Background</w:t>
      </w:r>
      <w:bookmarkEnd w:id="11"/>
      <w:bookmarkEnd w:id="12"/>
    </w:p>
    <w:p w:rsidR="008517C5" w:rsidRPr="005F37DA" w:rsidRDefault="008517C5" w:rsidP="008517C5">
      <w:pPr>
        <w:rPr>
          <w:lang w:val="en-GB"/>
        </w:rPr>
      </w:pPr>
      <w:r>
        <w:rPr>
          <w:lang w:val="en-GB"/>
        </w:rPr>
        <w:t>The mandatory safety standard for bicycle helmets aims to minimise the risk of death, serious head injuries and injuries to cyclists by regulating the supply of bicycle helmets in Australia to ensure helmets meet specified safety characteristics.</w:t>
      </w:r>
    </w:p>
    <w:p w:rsidR="00C73987" w:rsidRDefault="005F37DA" w:rsidP="005F37DA">
      <w:pPr>
        <w:rPr>
          <w:lang w:val="en-GB"/>
        </w:rPr>
      </w:pPr>
      <w:r w:rsidRPr="00A370D9">
        <w:rPr>
          <w:lang w:val="en-GB"/>
        </w:rPr>
        <w:t xml:space="preserve">The safety standard </w:t>
      </w:r>
      <w:r w:rsidR="00C73987">
        <w:rPr>
          <w:lang w:val="en-GB"/>
        </w:rPr>
        <w:t>started</w:t>
      </w:r>
      <w:r w:rsidRPr="00A370D9">
        <w:rPr>
          <w:lang w:val="en-GB"/>
        </w:rPr>
        <w:t xml:space="preserve"> in 1988 </w:t>
      </w:r>
      <w:r w:rsidR="00C73987" w:rsidRPr="008539D4">
        <w:rPr>
          <w:lang w:val="en-GB"/>
        </w:rPr>
        <w:t xml:space="preserve">under the </w:t>
      </w:r>
      <w:r w:rsidR="00C73987" w:rsidRPr="008539D4">
        <w:rPr>
          <w:i/>
          <w:lang w:val="en-GB"/>
        </w:rPr>
        <w:t>Trade Practices Act 1974</w:t>
      </w:r>
      <w:r w:rsidR="00C73987" w:rsidRPr="008539D4">
        <w:rPr>
          <w:lang w:val="en-GB"/>
        </w:rPr>
        <w:t xml:space="preserve"> (the TPA)</w:t>
      </w:r>
      <w:r w:rsidR="00C73987">
        <w:rPr>
          <w:lang w:val="en-GB"/>
        </w:rPr>
        <w:t xml:space="preserve"> </w:t>
      </w:r>
      <w:r w:rsidRPr="00A370D9">
        <w:rPr>
          <w:lang w:val="en-GB"/>
        </w:rPr>
        <w:t xml:space="preserve">in response to concerns </w:t>
      </w:r>
      <w:r w:rsidR="00C73987">
        <w:rPr>
          <w:lang w:val="en-GB"/>
        </w:rPr>
        <w:t>about</w:t>
      </w:r>
      <w:r w:rsidR="00C73987" w:rsidRPr="00A370D9">
        <w:rPr>
          <w:lang w:val="en-GB"/>
        </w:rPr>
        <w:t xml:space="preserve"> </w:t>
      </w:r>
      <w:r w:rsidRPr="00A370D9">
        <w:rPr>
          <w:lang w:val="en-GB"/>
        </w:rPr>
        <w:t>the safety of hel</w:t>
      </w:r>
      <w:r w:rsidR="003F5C3C">
        <w:rPr>
          <w:lang w:val="en-GB"/>
        </w:rPr>
        <w:t>mets on the market at the time.</w:t>
      </w:r>
      <w:r w:rsidR="00C73987" w:rsidRPr="00C73987">
        <w:rPr>
          <w:lang w:val="en-GB"/>
        </w:rPr>
        <w:t xml:space="preserve"> </w:t>
      </w:r>
      <w:r w:rsidR="00C73987">
        <w:rPr>
          <w:lang w:val="en-GB"/>
        </w:rPr>
        <w:t xml:space="preserve">It </w:t>
      </w:r>
      <w:r w:rsidR="00C73987" w:rsidRPr="008539D4">
        <w:rPr>
          <w:lang w:val="en-GB"/>
        </w:rPr>
        <w:t>is a legislative instrument on the Federal Register of</w:t>
      </w:r>
      <w:r w:rsidR="00C73987">
        <w:rPr>
          <w:lang w:val="en-GB"/>
        </w:rPr>
        <w:t xml:space="preserve"> Legislation, set out in</w:t>
      </w:r>
      <w:r w:rsidR="00C73987" w:rsidRPr="008539D4">
        <w:rPr>
          <w:lang w:val="en-GB"/>
        </w:rPr>
        <w:t xml:space="preserve"> </w:t>
      </w:r>
      <w:r w:rsidR="00C73987" w:rsidRPr="00956D96">
        <w:rPr>
          <w:i/>
          <w:lang w:val="en-GB"/>
        </w:rPr>
        <w:t>Trade Practices (Consumer Product Safety Standard) (Bicycle Helmets) Regulations 2001</w:t>
      </w:r>
      <w:r w:rsidR="00C73987" w:rsidRPr="00956D96">
        <w:rPr>
          <w:lang w:val="en-GB"/>
        </w:rPr>
        <w:t>.</w:t>
      </w:r>
      <w:r w:rsidR="00C73987" w:rsidRPr="008539D4">
        <w:rPr>
          <w:lang w:val="en-GB"/>
        </w:rPr>
        <w:t xml:space="preserve"> </w:t>
      </w:r>
      <w:r w:rsidR="00C73987">
        <w:rPr>
          <w:lang w:val="en-GB"/>
        </w:rPr>
        <w:t xml:space="preserve">The </w:t>
      </w:r>
      <w:r w:rsidR="00C73987" w:rsidRPr="008539D4">
        <w:rPr>
          <w:lang w:val="en-GB"/>
        </w:rPr>
        <w:t xml:space="preserve">legislative instrument </w:t>
      </w:r>
      <w:r w:rsidR="00C73987">
        <w:rPr>
          <w:lang w:val="en-GB"/>
        </w:rPr>
        <w:t>declares</w:t>
      </w:r>
      <w:r w:rsidR="00C73987" w:rsidRPr="008539D4">
        <w:rPr>
          <w:lang w:val="en-GB"/>
        </w:rPr>
        <w:t xml:space="preserve"> </w:t>
      </w:r>
      <w:r w:rsidR="00C73987" w:rsidRPr="00A370D9">
        <w:rPr>
          <w:lang w:val="en-GB"/>
        </w:rPr>
        <w:t>the voluntary Australia</w:t>
      </w:r>
      <w:r w:rsidR="00C73987">
        <w:rPr>
          <w:lang w:val="en-GB"/>
        </w:rPr>
        <w:t>n</w:t>
      </w:r>
      <w:r w:rsidR="00C73987" w:rsidRPr="00A370D9">
        <w:rPr>
          <w:lang w:val="en-GB"/>
        </w:rPr>
        <w:t xml:space="preserve"> </w:t>
      </w:r>
      <w:r w:rsidR="00C73987">
        <w:rPr>
          <w:lang w:val="en-GB"/>
        </w:rPr>
        <w:t>s</w:t>
      </w:r>
      <w:r w:rsidR="00C73987" w:rsidRPr="00A370D9">
        <w:rPr>
          <w:lang w:val="en-GB"/>
        </w:rPr>
        <w:t xml:space="preserve">tandard </w:t>
      </w:r>
      <w:r w:rsidR="00C73987" w:rsidRPr="00934847">
        <w:rPr>
          <w:lang w:val="en-GB"/>
        </w:rPr>
        <w:t>AS/NZS 2063:</w:t>
      </w:r>
      <w:r w:rsidR="00C73987" w:rsidRPr="00C73987">
        <w:rPr>
          <w:lang w:val="en-GB"/>
        </w:rPr>
        <w:t xml:space="preserve"> </w:t>
      </w:r>
      <w:r w:rsidR="00C73987" w:rsidRPr="00A370D9">
        <w:rPr>
          <w:lang w:val="en-GB"/>
        </w:rPr>
        <w:t>2008</w:t>
      </w:r>
      <w:r w:rsidR="00C73987">
        <w:rPr>
          <w:lang w:val="en-GB"/>
        </w:rPr>
        <w:t xml:space="preserve"> </w:t>
      </w:r>
      <w:r w:rsidR="00C73987" w:rsidRPr="00956D96">
        <w:rPr>
          <w:i/>
          <w:lang w:val="en-GB"/>
        </w:rPr>
        <w:t>–</w:t>
      </w:r>
      <w:r w:rsidR="00C73987">
        <w:rPr>
          <w:i/>
          <w:lang w:val="en-GB"/>
        </w:rPr>
        <w:t xml:space="preserve"> </w:t>
      </w:r>
      <w:r w:rsidR="00C73987" w:rsidRPr="00956D96">
        <w:rPr>
          <w:i/>
          <w:lang w:val="en-GB"/>
        </w:rPr>
        <w:t>Bicycle Helmets</w:t>
      </w:r>
      <w:r w:rsidR="00C73987">
        <w:rPr>
          <w:lang w:val="en-GB"/>
        </w:rPr>
        <w:t xml:space="preserve"> </w:t>
      </w:r>
      <w:r w:rsidR="00C73987" w:rsidRPr="008539D4">
        <w:rPr>
          <w:lang w:val="en-GB"/>
        </w:rPr>
        <w:t xml:space="preserve">to </w:t>
      </w:r>
      <w:r w:rsidR="00C73987" w:rsidRPr="00BF795D">
        <w:rPr>
          <w:lang w:val="en-GB"/>
        </w:rPr>
        <w:t xml:space="preserve">be </w:t>
      </w:r>
      <w:r w:rsidR="00C73987" w:rsidRPr="008539D4">
        <w:rPr>
          <w:lang w:val="en-GB"/>
        </w:rPr>
        <w:t xml:space="preserve">the </w:t>
      </w:r>
      <w:r w:rsidR="00C73987">
        <w:rPr>
          <w:lang w:val="en-GB"/>
        </w:rPr>
        <w:t>safety</w:t>
      </w:r>
      <w:r w:rsidR="00C73987" w:rsidRPr="008539D4">
        <w:rPr>
          <w:lang w:val="en-GB"/>
        </w:rPr>
        <w:t xml:space="preserve"> standard</w:t>
      </w:r>
      <w:r w:rsidR="00C73987">
        <w:rPr>
          <w:lang w:val="en-GB"/>
        </w:rPr>
        <w:t xml:space="preserve"> and varies some of the requirements</w:t>
      </w:r>
      <w:r w:rsidR="00C73987" w:rsidRPr="00A370D9">
        <w:rPr>
          <w:rStyle w:val="contentossregulation"/>
          <w:rFonts w:cs="Arial"/>
        </w:rPr>
        <w:t>.</w:t>
      </w:r>
      <w:r w:rsidR="00C73987">
        <w:rPr>
          <w:lang w:val="en-GB"/>
        </w:rPr>
        <w:t xml:space="preserve"> </w:t>
      </w:r>
      <w:r w:rsidR="00165FBE" w:rsidRPr="00A370D9">
        <w:rPr>
          <w:lang w:val="en-GB"/>
        </w:rPr>
        <w:t xml:space="preserve">The </w:t>
      </w:r>
      <w:r w:rsidR="00C73987" w:rsidRPr="00A370D9">
        <w:rPr>
          <w:lang w:val="en-GB"/>
        </w:rPr>
        <w:t xml:space="preserve">ACCC last reviewed the </w:t>
      </w:r>
      <w:r w:rsidR="00C73987">
        <w:rPr>
          <w:lang w:val="en-GB"/>
        </w:rPr>
        <w:t xml:space="preserve">safety </w:t>
      </w:r>
      <w:r w:rsidR="00165FBE" w:rsidRPr="00A370D9">
        <w:rPr>
          <w:lang w:val="en-GB"/>
        </w:rPr>
        <w:t>standard in 2009</w:t>
      </w:r>
      <w:r w:rsidR="002C1BE9">
        <w:rPr>
          <w:lang w:val="en-GB"/>
        </w:rPr>
        <w:t xml:space="preserve">. </w:t>
      </w:r>
    </w:p>
    <w:p w:rsidR="00AD33BE" w:rsidRDefault="00AD33BE" w:rsidP="008539D4">
      <w:pPr>
        <w:rPr>
          <w:lang w:val="en-GB"/>
        </w:rPr>
      </w:pPr>
      <w:r w:rsidRPr="008539D4">
        <w:rPr>
          <w:lang w:val="en-GB"/>
        </w:rPr>
        <w:t xml:space="preserve">The Australian Consumer Law (ACL), which is Schedule 2 to the </w:t>
      </w:r>
      <w:r w:rsidR="00C73987" w:rsidRPr="005842C2">
        <w:rPr>
          <w:i/>
        </w:rPr>
        <w:t>Competition and Consumer Act 2010</w:t>
      </w:r>
      <w:r w:rsidR="00C73987">
        <w:t xml:space="preserve"> (CCA)</w:t>
      </w:r>
      <w:r w:rsidR="00C76D61" w:rsidRPr="008539D4">
        <w:rPr>
          <w:lang w:val="en-GB"/>
        </w:rPr>
        <w:t>,</w:t>
      </w:r>
      <w:r w:rsidRPr="008539D4">
        <w:rPr>
          <w:lang w:val="en-GB"/>
        </w:rPr>
        <w:t xml:space="preserve"> took effect on 1 Januar</w:t>
      </w:r>
      <w:r w:rsidR="00956D96">
        <w:rPr>
          <w:lang w:val="en-GB"/>
        </w:rPr>
        <w:t xml:space="preserve">y 2011. </w:t>
      </w:r>
      <w:r w:rsidR="00C76D61">
        <w:rPr>
          <w:lang w:val="en-GB"/>
        </w:rPr>
        <w:t>C</w:t>
      </w:r>
      <w:r w:rsidRPr="008539D4">
        <w:rPr>
          <w:lang w:val="en-GB"/>
        </w:rPr>
        <w:t>onsumer product safety standards</w:t>
      </w:r>
      <w:r w:rsidR="00AA2214">
        <w:rPr>
          <w:lang w:val="en-GB"/>
        </w:rPr>
        <w:t xml:space="preserve"> made under the </w:t>
      </w:r>
      <w:r w:rsidR="00C76D61">
        <w:rPr>
          <w:lang w:val="en-GB"/>
        </w:rPr>
        <w:t>TPA</w:t>
      </w:r>
      <w:r w:rsidR="00AA2214">
        <w:rPr>
          <w:lang w:val="en-GB"/>
        </w:rPr>
        <w:t xml:space="preserve"> </w:t>
      </w:r>
      <w:r w:rsidR="00AA2214" w:rsidRPr="008539D4">
        <w:rPr>
          <w:lang w:val="en-GB"/>
        </w:rPr>
        <w:t>continued</w:t>
      </w:r>
      <w:r w:rsidRPr="008539D4">
        <w:rPr>
          <w:lang w:val="en-GB"/>
        </w:rPr>
        <w:t xml:space="preserve"> in force as if t</w:t>
      </w:r>
      <w:r w:rsidR="00AA2214">
        <w:rPr>
          <w:lang w:val="en-GB"/>
        </w:rPr>
        <w:t>h</w:t>
      </w:r>
      <w:r w:rsidR="003F5C3C">
        <w:rPr>
          <w:lang w:val="en-GB"/>
        </w:rPr>
        <w:t>ey had been made under the ACL.</w:t>
      </w:r>
    </w:p>
    <w:p w:rsidR="00AD33BE" w:rsidRDefault="00AD33BE" w:rsidP="00D67D83">
      <w:pPr>
        <w:spacing w:before="0"/>
        <w:rPr>
          <w:lang w:val="en-GB"/>
        </w:rPr>
      </w:pPr>
    </w:p>
    <w:p w:rsidR="00081FAA" w:rsidRDefault="00A51CD0" w:rsidP="00D511B0">
      <w:pPr>
        <w:spacing w:before="0"/>
        <w:rPr>
          <w:lang w:val="en-GB"/>
        </w:rPr>
      </w:pPr>
      <w:r>
        <w:rPr>
          <w:lang w:val="en-GB"/>
        </w:rPr>
        <w:t>The k</w:t>
      </w:r>
      <w:r w:rsidR="001371ED">
        <w:rPr>
          <w:lang w:val="en-GB"/>
        </w:rPr>
        <w:t xml:space="preserve">ey </w:t>
      </w:r>
      <w:r w:rsidR="007E345B">
        <w:rPr>
          <w:lang w:val="en-GB"/>
        </w:rPr>
        <w:t>requirements</w:t>
      </w:r>
      <w:r w:rsidR="001371ED">
        <w:rPr>
          <w:lang w:val="en-GB"/>
        </w:rPr>
        <w:t xml:space="preserve"> of the </w:t>
      </w:r>
      <w:r w:rsidR="00AA2214">
        <w:rPr>
          <w:lang w:val="en-GB"/>
        </w:rPr>
        <w:t xml:space="preserve">safety standard </w:t>
      </w:r>
      <w:r>
        <w:rPr>
          <w:lang w:val="en-GB"/>
        </w:rPr>
        <w:t xml:space="preserve">relate to </w:t>
      </w:r>
      <w:r w:rsidR="00576812">
        <w:rPr>
          <w:lang w:val="en-GB"/>
        </w:rPr>
        <w:t xml:space="preserve">the helmet </w:t>
      </w:r>
      <w:r>
        <w:rPr>
          <w:lang w:val="en-GB"/>
        </w:rPr>
        <w:t>retention</w:t>
      </w:r>
      <w:r w:rsidR="00576812">
        <w:rPr>
          <w:lang w:val="en-GB"/>
        </w:rPr>
        <w:t xml:space="preserve"> system</w:t>
      </w:r>
      <w:r>
        <w:rPr>
          <w:lang w:val="en-GB"/>
        </w:rPr>
        <w:t xml:space="preserve">, projections, testing and performance </w:t>
      </w:r>
      <w:r w:rsidR="00576812">
        <w:rPr>
          <w:lang w:val="en-GB"/>
        </w:rPr>
        <w:t xml:space="preserve">requirements, </w:t>
      </w:r>
      <w:r>
        <w:rPr>
          <w:lang w:val="en-GB"/>
        </w:rPr>
        <w:t>safety markings</w:t>
      </w:r>
      <w:r w:rsidR="00576812" w:rsidRPr="00576812">
        <w:rPr>
          <w:lang w:val="en-GB"/>
        </w:rPr>
        <w:t xml:space="preserve"> </w:t>
      </w:r>
      <w:r w:rsidR="00576812">
        <w:rPr>
          <w:lang w:val="en-GB"/>
        </w:rPr>
        <w:t>and instructions for use</w:t>
      </w:r>
      <w:r>
        <w:rPr>
          <w:lang w:val="en-GB"/>
        </w:rPr>
        <w:t xml:space="preserve">. </w:t>
      </w:r>
      <w:r w:rsidR="00576812">
        <w:rPr>
          <w:lang w:val="en-GB"/>
        </w:rPr>
        <w:t>See Appendix A for d</w:t>
      </w:r>
      <w:r w:rsidR="00BF3A27">
        <w:rPr>
          <w:lang w:val="en-GB"/>
        </w:rPr>
        <w:t>etails</w:t>
      </w:r>
      <w:r>
        <w:rPr>
          <w:lang w:val="en-GB"/>
        </w:rPr>
        <w:t>.</w:t>
      </w:r>
    </w:p>
    <w:p w:rsidR="00C73987" w:rsidRPr="00A370D9" w:rsidRDefault="00C73987" w:rsidP="00C73987">
      <w:pPr>
        <w:rPr>
          <w:lang w:val="en-GB"/>
        </w:rPr>
      </w:pPr>
      <w:r>
        <w:rPr>
          <w:lang w:val="en-GB"/>
        </w:rPr>
        <w:t>A</w:t>
      </w:r>
      <w:r w:rsidRPr="00A370D9">
        <w:rPr>
          <w:lang w:val="en-GB"/>
        </w:rPr>
        <w:t xml:space="preserve"> Standards Australia technical committee is current</w:t>
      </w:r>
      <w:r>
        <w:rPr>
          <w:lang w:val="en-GB"/>
        </w:rPr>
        <w:t>ly reviewing the voluntary Australian standard AS/NZS 2063:2008.</w:t>
      </w:r>
      <w:r w:rsidRPr="00C73987">
        <w:rPr>
          <w:lang w:val="en-GB"/>
        </w:rPr>
        <w:t xml:space="preserve"> </w:t>
      </w:r>
    </w:p>
    <w:p w:rsidR="008A3DE5" w:rsidRDefault="008A3DE5" w:rsidP="00954F80">
      <w:pPr>
        <w:spacing w:before="0"/>
        <w:rPr>
          <w:lang w:val="en-GB"/>
        </w:rPr>
      </w:pPr>
    </w:p>
    <w:p w:rsidR="00C73987" w:rsidRDefault="00C73987">
      <w:pPr>
        <w:rPr>
          <w:rFonts w:eastAsiaTheme="majorEastAsia" w:cs="Arial"/>
          <w:b/>
          <w:bCs/>
          <w:color w:val="51626F"/>
          <w:sz w:val="28"/>
          <w:szCs w:val="26"/>
          <w:lang w:val="en-GB"/>
        </w:rPr>
      </w:pPr>
      <w:bookmarkStart w:id="13" w:name="_Toc458693145"/>
      <w:bookmarkStart w:id="14" w:name="_Toc462327071"/>
      <w:r>
        <w:rPr>
          <w:lang w:val="en-GB"/>
        </w:rPr>
        <w:br w:type="page"/>
      </w:r>
    </w:p>
    <w:p w:rsidR="005F37DA" w:rsidRPr="008539D4" w:rsidRDefault="005F37DA" w:rsidP="005B76CF">
      <w:pPr>
        <w:pStyle w:val="Numbered11"/>
        <w:numPr>
          <w:ilvl w:val="0"/>
          <w:numId w:val="0"/>
        </w:numPr>
        <w:spacing w:before="0"/>
        <w:rPr>
          <w:lang w:val="en-GB"/>
        </w:rPr>
      </w:pPr>
      <w:bookmarkStart w:id="15" w:name="_Toc462329716"/>
      <w:r w:rsidRPr="008539D4">
        <w:rPr>
          <w:lang w:val="en-GB"/>
        </w:rPr>
        <w:lastRenderedPageBreak/>
        <w:t>International regulation and standards</w:t>
      </w:r>
      <w:bookmarkEnd w:id="13"/>
      <w:bookmarkEnd w:id="14"/>
      <w:bookmarkEnd w:id="15"/>
    </w:p>
    <w:p w:rsidR="005F37DA" w:rsidRPr="00A16D69" w:rsidRDefault="0049456B" w:rsidP="003F4FCE">
      <w:pPr>
        <w:rPr>
          <w:lang w:val="en-GB"/>
        </w:rPr>
      </w:pPr>
      <w:r>
        <w:rPr>
          <w:lang w:val="en-GB"/>
        </w:rPr>
        <w:t>T</w:t>
      </w:r>
      <w:r w:rsidR="003F4FCE">
        <w:rPr>
          <w:lang w:val="en-GB"/>
        </w:rPr>
        <w:t xml:space="preserve">he </w:t>
      </w:r>
      <w:r w:rsidR="005F37DA" w:rsidRPr="00491B27">
        <w:rPr>
          <w:lang w:val="en-GB"/>
        </w:rPr>
        <w:t xml:space="preserve">European standard </w:t>
      </w:r>
      <w:r w:rsidR="002C58D9" w:rsidRPr="00491B27">
        <w:rPr>
          <w:lang w:val="en-GB"/>
        </w:rPr>
        <w:t>EN 1078</w:t>
      </w:r>
      <w:r w:rsidR="00491B27" w:rsidRPr="00491B27">
        <w:rPr>
          <w:lang w:val="en-GB"/>
        </w:rPr>
        <w:t xml:space="preserve"> - </w:t>
      </w:r>
      <w:r w:rsidR="00491B27" w:rsidRPr="00491B27">
        <w:rPr>
          <w:i/>
          <w:lang w:val="en-GB"/>
        </w:rPr>
        <w:t>Helmets for pedal cyclists and for users of skateboards</w:t>
      </w:r>
      <w:r w:rsidR="00491B27">
        <w:rPr>
          <w:i/>
          <w:lang w:val="en-GB"/>
        </w:rPr>
        <w:t xml:space="preserve"> </w:t>
      </w:r>
      <w:r w:rsidR="00491B27" w:rsidRPr="00491B27">
        <w:rPr>
          <w:i/>
          <w:lang w:val="en-GB"/>
        </w:rPr>
        <w:t>and roller skates</w:t>
      </w:r>
      <w:r>
        <w:rPr>
          <w:lang w:val="en-GB"/>
        </w:rPr>
        <w:t xml:space="preserve"> </w:t>
      </w:r>
      <w:r w:rsidR="003F4FCE">
        <w:rPr>
          <w:lang w:val="en-GB"/>
        </w:rPr>
        <w:t xml:space="preserve">and the </w:t>
      </w:r>
      <w:r w:rsidR="00A16D69" w:rsidRPr="00A16D69">
        <w:rPr>
          <w:lang w:val="en-GB"/>
        </w:rPr>
        <w:t xml:space="preserve">United States </w:t>
      </w:r>
      <w:r w:rsidR="002C58D9" w:rsidRPr="00A16D69">
        <w:rPr>
          <w:lang w:val="en-GB"/>
        </w:rPr>
        <w:t>C</w:t>
      </w:r>
      <w:r w:rsidR="00A16D69" w:rsidRPr="00A16D69">
        <w:rPr>
          <w:lang w:val="en-GB"/>
        </w:rPr>
        <w:t xml:space="preserve">onsumer </w:t>
      </w:r>
      <w:r w:rsidR="002C58D9" w:rsidRPr="00A16D69">
        <w:rPr>
          <w:lang w:val="en-GB"/>
        </w:rPr>
        <w:t>P</w:t>
      </w:r>
      <w:r w:rsidR="00A16D69" w:rsidRPr="00A16D69">
        <w:rPr>
          <w:lang w:val="en-GB"/>
        </w:rPr>
        <w:t xml:space="preserve">roduct </w:t>
      </w:r>
      <w:r w:rsidR="002C58D9" w:rsidRPr="00A16D69">
        <w:rPr>
          <w:lang w:val="en-GB"/>
        </w:rPr>
        <w:t>S</w:t>
      </w:r>
      <w:r w:rsidR="00A16D69" w:rsidRPr="00A16D69">
        <w:rPr>
          <w:lang w:val="en-GB"/>
        </w:rPr>
        <w:t xml:space="preserve">afety </w:t>
      </w:r>
      <w:r w:rsidR="002C58D9" w:rsidRPr="00A16D69">
        <w:rPr>
          <w:lang w:val="en-GB"/>
        </w:rPr>
        <w:t>C</w:t>
      </w:r>
      <w:r w:rsidR="00A16D69" w:rsidRPr="00A16D69">
        <w:rPr>
          <w:lang w:val="en-GB"/>
        </w:rPr>
        <w:t>ommission (CPSC) bicycle helmet standard</w:t>
      </w:r>
      <w:r>
        <w:rPr>
          <w:lang w:val="en-GB"/>
        </w:rPr>
        <w:t xml:space="preserve"> are the most widely used</w:t>
      </w:r>
      <w:r w:rsidR="00F6481F">
        <w:rPr>
          <w:lang w:val="en-GB"/>
        </w:rPr>
        <w:t xml:space="preserve"> bicycle helmet standards in the world</w:t>
      </w:r>
      <w:r w:rsidR="00943F75">
        <w:rPr>
          <w:lang w:val="en-GB"/>
        </w:rPr>
        <w:t>.</w:t>
      </w:r>
    </w:p>
    <w:p w:rsidR="005D7D08" w:rsidRDefault="00F6481F" w:rsidP="005F37DA">
      <w:pPr>
        <w:rPr>
          <w:lang w:val="en-GB"/>
        </w:rPr>
      </w:pPr>
      <w:r>
        <w:rPr>
          <w:lang w:val="en-GB"/>
        </w:rPr>
        <w:t>Currently, i</w:t>
      </w:r>
      <w:r w:rsidR="00BF3A27">
        <w:rPr>
          <w:lang w:val="en-GB"/>
        </w:rPr>
        <w:t>t is not legal to supply or to use b</w:t>
      </w:r>
      <w:r w:rsidR="00B267B7">
        <w:rPr>
          <w:lang w:val="en-GB"/>
        </w:rPr>
        <w:t>icycle h</w:t>
      </w:r>
      <w:r w:rsidR="005F37DA" w:rsidRPr="00B267B7">
        <w:rPr>
          <w:lang w:val="en-GB"/>
        </w:rPr>
        <w:t xml:space="preserve">elmets that </w:t>
      </w:r>
      <w:r w:rsidR="00BF3A27">
        <w:rPr>
          <w:lang w:val="en-GB"/>
        </w:rPr>
        <w:t xml:space="preserve">comply </w:t>
      </w:r>
      <w:r w:rsidR="005F37DA" w:rsidRPr="00B267B7">
        <w:rPr>
          <w:lang w:val="en-GB"/>
        </w:rPr>
        <w:t xml:space="preserve">with these </w:t>
      </w:r>
      <w:r w:rsidR="00BF3A27">
        <w:rPr>
          <w:lang w:val="en-GB"/>
        </w:rPr>
        <w:t xml:space="preserve">other </w:t>
      </w:r>
      <w:r w:rsidR="005F37DA" w:rsidRPr="00B267B7">
        <w:rPr>
          <w:lang w:val="en-GB"/>
        </w:rPr>
        <w:t>standards</w:t>
      </w:r>
      <w:r w:rsidR="002C1BE9">
        <w:rPr>
          <w:lang w:val="en-GB"/>
        </w:rPr>
        <w:t xml:space="preserve"> </w:t>
      </w:r>
      <w:r w:rsidR="005F37DA" w:rsidRPr="00B267B7">
        <w:rPr>
          <w:lang w:val="en-GB"/>
        </w:rPr>
        <w:t xml:space="preserve">unless they also </w:t>
      </w:r>
      <w:r w:rsidRPr="00B267B7">
        <w:rPr>
          <w:lang w:val="en-GB"/>
        </w:rPr>
        <w:t>compl</w:t>
      </w:r>
      <w:r>
        <w:rPr>
          <w:lang w:val="en-GB"/>
        </w:rPr>
        <w:t xml:space="preserve">y </w:t>
      </w:r>
      <w:r w:rsidRPr="00B267B7">
        <w:rPr>
          <w:lang w:val="en-GB"/>
        </w:rPr>
        <w:t>with</w:t>
      </w:r>
      <w:r w:rsidR="005F37DA" w:rsidRPr="00B267B7">
        <w:rPr>
          <w:lang w:val="en-GB"/>
        </w:rPr>
        <w:t xml:space="preserve"> </w:t>
      </w:r>
      <w:r w:rsidRPr="00934847">
        <w:rPr>
          <w:lang w:val="en-GB"/>
        </w:rPr>
        <w:t>AS/NZS 2063:2008</w:t>
      </w:r>
      <w:r w:rsidR="005F37DA" w:rsidRPr="00B267B7">
        <w:rPr>
          <w:lang w:val="en-GB"/>
        </w:rPr>
        <w:t>.</w:t>
      </w:r>
    </w:p>
    <w:p w:rsidR="00FB3D54" w:rsidRPr="00CF156C" w:rsidRDefault="00F6481F" w:rsidP="00CF156C">
      <w:pPr>
        <w:rPr>
          <w:lang w:val="en-GB"/>
        </w:rPr>
      </w:pPr>
      <w:r>
        <w:rPr>
          <w:lang w:val="en-GB"/>
        </w:rPr>
        <w:t>The d</w:t>
      </w:r>
      <w:r w:rsidR="00E21EF7" w:rsidRPr="00CF156C">
        <w:rPr>
          <w:lang w:val="en-GB"/>
        </w:rPr>
        <w:t xml:space="preserve">ifferences between AS/NZS 2063 and </w:t>
      </w:r>
      <w:r w:rsidR="009223B7">
        <w:rPr>
          <w:lang w:val="en-GB"/>
        </w:rPr>
        <w:t xml:space="preserve">the </w:t>
      </w:r>
      <w:r w:rsidR="00E21EF7" w:rsidRPr="00CF156C">
        <w:rPr>
          <w:lang w:val="en-GB"/>
        </w:rPr>
        <w:t>EN 1078 and CPSC standard</w:t>
      </w:r>
      <w:r w:rsidR="009223B7">
        <w:rPr>
          <w:lang w:val="en-GB"/>
        </w:rPr>
        <w:t>s</w:t>
      </w:r>
      <w:r w:rsidR="00E21EF7" w:rsidRPr="00CF156C">
        <w:rPr>
          <w:lang w:val="en-GB"/>
        </w:rPr>
        <w:t xml:space="preserve"> include:</w:t>
      </w:r>
      <w:r w:rsidR="00FB3D54" w:rsidRPr="00CF156C">
        <w:rPr>
          <w:lang w:val="en-GB"/>
        </w:rPr>
        <w:t xml:space="preserve"> </w:t>
      </w:r>
    </w:p>
    <w:p w:rsidR="001E7CB0" w:rsidRPr="003F4FCE" w:rsidRDefault="00A228BB" w:rsidP="00E31834">
      <w:pPr>
        <w:pStyle w:val="ListParagraph"/>
        <w:numPr>
          <w:ilvl w:val="0"/>
          <w:numId w:val="30"/>
        </w:numPr>
        <w:rPr>
          <w:lang w:val="en-GB"/>
        </w:rPr>
      </w:pPr>
      <w:r>
        <w:rPr>
          <w:lang w:val="en-GB"/>
        </w:rPr>
        <w:t>The</w:t>
      </w:r>
      <w:r w:rsidR="000E5864" w:rsidRPr="00CF156C">
        <w:rPr>
          <w:lang w:val="en-GB"/>
        </w:rPr>
        <w:t xml:space="preserve"> Australian Standard requires</w:t>
      </w:r>
      <w:r w:rsidR="00313584" w:rsidRPr="00CF156C">
        <w:rPr>
          <w:lang w:val="en-GB"/>
        </w:rPr>
        <w:t xml:space="preserve"> </w:t>
      </w:r>
      <w:r w:rsidR="00CF156C" w:rsidRPr="00CF156C">
        <w:rPr>
          <w:lang w:val="en-GB"/>
        </w:rPr>
        <w:t xml:space="preserve">a ‘load distribution’ </w:t>
      </w:r>
      <w:r w:rsidR="00C014EB" w:rsidRPr="00CF156C">
        <w:rPr>
          <w:lang w:val="en-GB"/>
        </w:rPr>
        <w:t>test</w:t>
      </w:r>
      <w:r w:rsidR="00C014EB">
        <w:rPr>
          <w:lang w:val="en-GB"/>
        </w:rPr>
        <w:t xml:space="preserve"> of</w:t>
      </w:r>
      <w:r w:rsidR="00CF156C" w:rsidRPr="00CF156C">
        <w:rPr>
          <w:lang w:val="en-GB"/>
        </w:rPr>
        <w:t xml:space="preserve"> the </w:t>
      </w:r>
      <w:r w:rsidR="00C014EB" w:rsidRPr="00CF156C">
        <w:rPr>
          <w:lang w:val="en-GB"/>
        </w:rPr>
        <w:t>helmet</w:t>
      </w:r>
      <w:r w:rsidR="00C014EB">
        <w:rPr>
          <w:lang w:val="en-GB"/>
        </w:rPr>
        <w:t>’s</w:t>
      </w:r>
      <w:r w:rsidR="00C014EB" w:rsidRPr="00CF156C">
        <w:rPr>
          <w:lang w:val="en-GB"/>
        </w:rPr>
        <w:t xml:space="preserve"> </w:t>
      </w:r>
      <w:r w:rsidR="00CF156C" w:rsidRPr="00CF156C">
        <w:rPr>
          <w:lang w:val="en-GB"/>
        </w:rPr>
        <w:t xml:space="preserve">ability to evenly distribute the ‘load’ </w:t>
      </w:r>
      <w:r w:rsidR="00943F75">
        <w:rPr>
          <w:lang w:val="en-GB"/>
        </w:rPr>
        <w:t>of an impact</w:t>
      </w:r>
      <w:r w:rsidR="00A33CF4">
        <w:rPr>
          <w:lang w:val="en-GB"/>
        </w:rPr>
        <w:t>.</w:t>
      </w:r>
      <w:r w:rsidR="0049456B">
        <w:rPr>
          <w:lang w:val="en-GB"/>
        </w:rPr>
        <w:t xml:space="preserve"> </w:t>
      </w:r>
      <w:r w:rsidR="005F5E51">
        <w:rPr>
          <w:lang w:val="en-GB"/>
        </w:rPr>
        <w:t>EN and CPSC standards do</w:t>
      </w:r>
      <w:r w:rsidR="0049456B">
        <w:rPr>
          <w:lang w:val="en-GB"/>
        </w:rPr>
        <w:t xml:space="preserve"> not </w:t>
      </w:r>
      <w:r w:rsidR="005F5E51">
        <w:rPr>
          <w:lang w:val="en-GB"/>
        </w:rPr>
        <w:t>have this</w:t>
      </w:r>
      <w:r>
        <w:rPr>
          <w:lang w:val="en-GB"/>
        </w:rPr>
        <w:t>.</w:t>
      </w:r>
      <w:r w:rsidR="0049456B">
        <w:rPr>
          <w:lang w:val="en-GB"/>
        </w:rPr>
        <w:t xml:space="preserve"> </w:t>
      </w:r>
    </w:p>
    <w:p w:rsidR="00D41105" w:rsidRDefault="00A228BB" w:rsidP="00E31834">
      <w:pPr>
        <w:pStyle w:val="ListParagraph"/>
        <w:numPr>
          <w:ilvl w:val="0"/>
          <w:numId w:val="30"/>
        </w:numPr>
        <w:rPr>
          <w:lang w:val="en-GB"/>
        </w:rPr>
      </w:pPr>
      <w:r>
        <w:rPr>
          <w:lang w:val="en-GB"/>
        </w:rPr>
        <w:t>The</w:t>
      </w:r>
      <w:r w:rsidR="00CF156C">
        <w:rPr>
          <w:lang w:val="en-GB"/>
        </w:rPr>
        <w:t xml:space="preserve"> Australian Standard requires</w:t>
      </w:r>
      <w:r w:rsidR="00CF6136" w:rsidRPr="00CF156C">
        <w:rPr>
          <w:lang w:val="en-GB"/>
        </w:rPr>
        <w:t xml:space="preserve"> </w:t>
      </w:r>
      <w:r w:rsidR="00943F75">
        <w:rPr>
          <w:lang w:val="en-GB"/>
        </w:rPr>
        <w:t xml:space="preserve">that </w:t>
      </w:r>
      <w:r w:rsidR="005B76CF">
        <w:rPr>
          <w:lang w:val="en-GB"/>
        </w:rPr>
        <w:t>sample</w:t>
      </w:r>
      <w:r w:rsidR="00CF6136" w:rsidRPr="00CF156C">
        <w:rPr>
          <w:lang w:val="en-GB"/>
        </w:rPr>
        <w:t xml:space="preserve"> helmet</w:t>
      </w:r>
      <w:r w:rsidR="005B76CF">
        <w:rPr>
          <w:lang w:val="en-GB"/>
        </w:rPr>
        <w:t>s pass multiple performance tests</w:t>
      </w:r>
      <w:r w:rsidR="0049456B">
        <w:rPr>
          <w:lang w:val="en-GB"/>
        </w:rPr>
        <w:t>.</w:t>
      </w:r>
      <w:r w:rsidR="00CF156C">
        <w:rPr>
          <w:lang w:val="en-GB"/>
        </w:rPr>
        <w:t xml:space="preserve"> </w:t>
      </w:r>
      <w:r w:rsidR="0049456B">
        <w:rPr>
          <w:lang w:val="en-GB"/>
        </w:rPr>
        <w:t>T</w:t>
      </w:r>
      <w:r w:rsidR="00CF156C">
        <w:rPr>
          <w:lang w:val="en-GB"/>
        </w:rPr>
        <w:t>he</w:t>
      </w:r>
      <w:r w:rsidR="00CF6136" w:rsidRPr="00CF156C">
        <w:rPr>
          <w:lang w:val="en-GB"/>
        </w:rPr>
        <w:t xml:space="preserve"> EN and CPSC</w:t>
      </w:r>
      <w:r w:rsidR="00CF156C">
        <w:rPr>
          <w:lang w:val="en-GB"/>
        </w:rPr>
        <w:t xml:space="preserve"> standard</w:t>
      </w:r>
      <w:r w:rsidR="00943F75">
        <w:rPr>
          <w:lang w:val="en-GB"/>
        </w:rPr>
        <w:t>s</w:t>
      </w:r>
      <w:r w:rsidR="00CF6136" w:rsidRPr="00CF156C">
        <w:rPr>
          <w:lang w:val="en-GB"/>
        </w:rPr>
        <w:t xml:space="preserve"> </w:t>
      </w:r>
      <w:r w:rsidR="00CF156C">
        <w:rPr>
          <w:lang w:val="en-GB"/>
        </w:rPr>
        <w:t xml:space="preserve">allow </w:t>
      </w:r>
      <w:r w:rsidR="00CF6136" w:rsidRPr="00CF156C">
        <w:rPr>
          <w:lang w:val="en-GB"/>
        </w:rPr>
        <w:t xml:space="preserve">separate helmets </w:t>
      </w:r>
      <w:r w:rsidR="00CF156C">
        <w:rPr>
          <w:lang w:val="en-GB"/>
        </w:rPr>
        <w:t xml:space="preserve">to be used </w:t>
      </w:r>
      <w:r w:rsidR="00943F75">
        <w:rPr>
          <w:lang w:val="en-GB"/>
        </w:rPr>
        <w:t>for each test</w:t>
      </w:r>
      <w:r>
        <w:rPr>
          <w:lang w:val="en-GB"/>
        </w:rPr>
        <w:t>.</w:t>
      </w:r>
    </w:p>
    <w:p w:rsidR="00810870" w:rsidRPr="009A5995" w:rsidRDefault="00A228BB" w:rsidP="00E31834">
      <w:pPr>
        <w:pStyle w:val="ListParagraph"/>
        <w:numPr>
          <w:ilvl w:val="0"/>
          <w:numId w:val="30"/>
        </w:numPr>
        <w:rPr>
          <w:lang w:val="en-GB"/>
        </w:rPr>
      </w:pPr>
      <w:r w:rsidRPr="009A5995">
        <w:rPr>
          <w:lang w:val="en-GB"/>
        </w:rPr>
        <w:t>The</w:t>
      </w:r>
      <w:r w:rsidR="00810870" w:rsidRPr="009A5995">
        <w:rPr>
          <w:lang w:val="en-GB"/>
        </w:rPr>
        <w:t xml:space="preserve"> Australian Standard requires a lower force inside the helmet during impact testing (250 g-force) whereas the EN and CPSC standards allow a higher force inside the helmet (300 g-force).</w:t>
      </w:r>
    </w:p>
    <w:p w:rsidR="004632A1" w:rsidRDefault="004632A1" w:rsidP="003F4FCE">
      <w:pPr>
        <w:pStyle w:val="ListParagraph"/>
        <w:numPr>
          <w:ilvl w:val="0"/>
          <w:numId w:val="0"/>
        </w:numPr>
        <w:spacing w:before="0"/>
        <w:ind w:left="340"/>
        <w:rPr>
          <w:lang w:val="en-GB"/>
        </w:rPr>
      </w:pPr>
    </w:p>
    <w:p w:rsidR="003F0089" w:rsidRPr="000E3A2E" w:rsidRDefault="003F0089" w:rsidP="00284117">
      <w:pPr>
        <w:pStyle w:val="Numbered1"/>
        <w:keepNext/>
        <w:spacing w:before="0"/>
        <w:ind w:left="357" w:hanging="357"/>
      </w:pPr>
      <w:bookmarkStart w:id="16" w:name="_Toc462327073"/>
      <w:bookmarkStart w:id="17" w:name="_Toc462329717"/>
      <w:r>
        <w:t>Bicycle helmet ‘supply’ and ‘use’ laws</w:t>
      </w:r>
      <w:bookmarkEnd w:id="16"/>
      <w:bookmarkEnd w:id="17"/>
    </w:p>
    <w:p w:rsidR="00FF3E11" w:rsidRDefault="00C014EB" w:rsidP="003F0089">
      <w:pPr>
        <w:rPr>
          <w:lang w:val="en-GB"/>
        </w:rPr>
      </w:pPr>
      <w:r>
        <w:t xml:space="preserve">The safety standard for bicycle helmets regulates the </w:t>
      </w:r>
      <w:r w:rsidR="00FF3E11">
        <w:t>‘</w:t>
      </w:r>
      <w:r w:rsidRPr="00FF3E11">
        <w:t>supply</w:t>
      </w:r>
      <w:r w:rsidR="00FF3E11">
        <w:t>’</w:t>
      </w:r>
      <w:r w:rsidR="00DD6F61">
        <w:t>, in trade or commerce, of</w:t>
      </w:r>
      <w:r>
        <w:t xml:space="preserve"> bicycle helmets by way of sale, exchange, lease, hire or hire-purchase</w:t>
      </w:r>
      <w:r w:rsidR="00DF1551">
        <w:t xml:space="preserve">. </w:t>
      </w:r>
      <w:r w:rsidR="00DD6F61">
        <w:t>The safety standard also covers offering to supply and manufacturing for supply</w:t>
      </w:r>
      <w:r w:rsidR="00DD6F61">
        <w:rPr>
          <w:lang w:val="en-GB"/>
        </w:rPr>
        <w:t>.</w:t>
      </w:r>
    </w:p>
    <w:p w:rsidR="00275B74" w:rsidRDefault="003F0089" w:rsidP="00C014EB">
      <w:pPr>
        <w:rPr>
          <w:lang w:val="en-GB"/>
        </w:rPr>
      </w:pPr>
      <w:r>
        <w:rPr>
          <w:lang w:val="en-GB"/>
        </w:rPr>
        <w:t xml:space="preserve">State and </w:t>
      </w:r>
      <w:r w:rsidR="00FF3E11">
        <w:rPr>
          <w:lang w:val="en-GB"/>
        </w:rPr>
        <w:t xml:space="preserve">Territory </w:t>
      </w:r>
      <w:r w:rsidR="00BF3A27">
        <w:rPr>
          <w:lang w:val="en-GB"/>
        </w:rPr>
        <w:t xml:space="preserve">road safety authorities </w:t>
      </w:r>
      <w:r w:rsidR="00FF3E11">
        <w:rPr>
          <w:lang w:val="en-GB"/>
        </w:rPr>
        <w:t>administer</w:t>
      </w:r>
      <w:r w:rsidRPr="00E042D1">
        <w:rPr>
          <w:lang w:val="en-GB"/>
        </w:rPr>
        <w:t xml:space="preserve"> laws </w:t>
      </w:r>
      <w:r>
        <w:rPr>
          <w:lang w:val="en-GB"/>
        </w:rPr>
        <w:t>that</w:t>
      </w:r>
      <w:r w:rsidRPr="00E042D1">
        <w:rPr>
          <w:lang w:val="en-GB"/>
        </w:rPr>
        <w:t xml:space="preserve"> govern which helmets can be legally </w:t>
      </w:r>
      <w:r w:rsidR="00F26D75">
        <w:rPr>
          <w:i/>
          <w:lang w:val="en-GB"/>
        </w:rPr>
        <w:t>used</w:t>
      </w:r>
      <w:r w:rsidRPr="00E042D1">
        <w:rPr>
          <w:lang w:val="en-GB"/>
        </w:rPr>
        <w:t xml:space="preserve"> by </w:t>
      </w:r>
      <w:r>
        <w:rPr>
          <w:lang w:val="en-GB"/>
        </w:rPr>
        <w:t xml:space="preserve">bicycle </w:t>
      </w:r>
      <w:r w:rsidR="00F26D75">
        <w:rPr>
          <w:lang w:val="en-GB"/>
        </w:rPr>
        <w:t>riders</w:t>
      </w:r>
      <w:r>
        <w:rPr>
          <w:lang w:val="en-GB"/>
        </w:rPr>
        <w:t xml:space="preserve"> on public roads (‘use’ laws). </w:t>
      </w:r>
      <w:r w:rsidR="00F26D75">
        <w:rPr>
          <w:lang w:val="en-GB"/>
        </w:rPr>
        <w:t xml:space="preserve">All </w:t>
      </w:r>
      <w:r w:rsidRPr="00F26D75">
        <w:rPr>
          <w:lang w:val="en-GB"/>
        </w:rPr>
        <w:t>Australian State</w:t>
      </w:r>
      <w:r w:rsidR="00F26D75">
        <w:rPr>
          <w:lang w:val="en-GB"/>
        </w:rPr>
        <w:t>s</w:t>
      </w:r>
      <w:r w:rsidRPr="00F26D75">
        <w:rPr>
          <w:lang w:val="en-GB"/>
        </w:rPr>
        <w:t xml:space="preserve"> and Territor</w:t>
      </w:r>
      <w:r w:rsidR="00F26D75">
        <w:rPr>
          <w:lang w:val="en-GB"/>
        </w:rPr>
        <w:t>ies</w:t>
      </w:r>
      <w:r w:rsidRPr="00F26D75">
        <w:rPr>
          <w:lang w:val="en-GB"/>
        </w:rPr>
        <w:t xml:space="preserve"> require bicycle users </w:t>
      </w:r>
      <w:r w:rsidR="00F26D75">
        <w:rPr>
          <w:lang w:val="en-GB"/>
        </w:rPr>
        <w:t xml:space="preserve">to </w:t>
      </w:r>
      <w:r w:rsidRPr="00F26D75">
        <w:rPr>
          <w:lang w:val="en-GB"/>
        </w:rPr>
        <w:t>wear an approved bicycle helmet while rid</w:t>
      </w:r>
      <w:r w:rsidR="00DA5D56" w:rsidRPr="00F26D75">
        <w:rPr>
          <w:lang w:val="en-GB"/>
        </w:rPr>
        <w:t>ing on public roads</w:t>
      </w:r>
      <w:r w:rsidR="00FF3E11">
        <w:rPr>
          <w:lang w:val="en-GB"/>
        </w:rPr>
        <w:t xml:space="preserve"> </w:t>
      </w:r>
      <w:r w:rsidRPr="00F26D75">
        <w:rPr>
          <w:lang w:val="en-GB"/>
        </w:rPr>
        <w:t xml:space="preserve">and </w:t>
      </w:r>
      <w:r w:rsidR="00FF3E11">
        <w:rPr>
          <w:lang w:val="en-GB"/>
        </w:rPr>
        <w:t xml:space="preserve">they </w:t>
      </w:r>
      <w:r w:rsidRPr="00F26D75">
        <w:rPr>
          <w:lang w:val="en-GB"/>
        </w:rPr>
        <w:t>enforce these laws locally.</w:t>
      </w:r>
      <w:r w:rsidR="00BF3A27">
        <w:rPr>
          <w:lang w:val="en-GB"/>
        </w:rPr>
        <w:t xml:space="preserve"> </w:t>
      </w:r>
      <w:r w:rsidRPr="00A41427">
        <w:rPr>
          <w:lang w:val="en-GB"/>
        </w:rPr>
        <w:t xml:space="preserve"> </w:t>
      </w:r>
      <w:r w:rsidR="00FF3E11">
        <w:rPr>
          <w:lang w:val="en-GB"/>
        </w:rPr>
        <w:t xml:space="preserve">Each </w:t>
      </w:r>
      <w:r w:rsidR="00FF3E11" w:rsidRPr="00A41427">
        <w:rPr>
          <w:lang w:val="en-GB"/>
        </w:rPr>
        <w:t>State</w:t>
      </w:r>
      <w:r w:rsidRPr="00A41427">
        <w:rPr>
          <w:lang w:val="en-GB"/>
        </w:rPr>
        <w:t xml:space="preserve"> and Territory requires the use of bicycle helmets that comply with the Australian </w:t>
      </w:r>
      <w:r w:rsidR="00DD0BAB">
        <w:rPr>
          <w:lang w:val="en-GB"/>
        </w:rPr>
        <w:t>s</w:t>
      </w:r>
      <w:r w:rsidR="00DD0BAB" w:rsidRPr="00A41427">
        <w:rPr>
          <w:lang w:val="en-GB"/>
        </w:rPr>
        <w:t xml:space="preserve">tandard </w:t>
      </w:r>
      <w:r w:rsidRPr="00A41427">
        <w:rPr>
          <w:lang w:val="en-GB"/>
        </w:rPr>
        <w:t xml:space="preserve">AS/NZS </w:t>
      </w:r>
      <w:r w:rsidR="00FF3E11" w:rsidRPr="00A41427">
        <w:rPr>
          <w:lang w:val="en-GB"/>
        </w:rPr>
        <w:t>2063.</w:t>
      </w:r>
    </w:p>
    <w:p w:rsidR="003F0089" w:rsidRPr="00A41427" w:rsidRDefault="00DD6F61" w:rsidP="00C014EB">
      <w:pPr>
        <w:rPr>
          <w:lang w:val="en-GB"/>
        </w:rPr>
      </w:pPr>
      <w:r>
        <w:rPr>
          <w:lang w:val="en-GB"/>
        </w:rPr>
        <w:t>The</w:t>
      </w:r>
      <w:r w:rsidR="00275B74">
        <w:rPr>
          <w:lang w:val="en-GB"/>
        </w:rPr>
        <w:t xml:space="preserve"> </w:t>
      </w:r>
      <w:r w:rsidR="00275B74">
        <w:rPr>
          <w:i/>
          <w:lang w:val="en-GB"/>
        </w:rPr>
        <w:t xml:space="preserve">supply </w:t>
      </w:r>
      <w:r w:rsidR="00275B74">
        <w:rPr>
          <w:lang w:val="en-GB"/>
        </w:rPr>
        <w:t xml:space="preserve">and </w:t>
      </w:r>
      <w:r w:rsidR="00275B74">
        <w:rPr>
          <w:i/>
          <w:lang w:val="en-GB"/>
        </w:rPr>
        <w:t xml:space="preserve">use </w:t>
      </w:r>
      <w:r w:rsidR="00275B74">
        <w:rPr>
          <w:lang w:val="en-GB"/>
        </w:rPr>
        <w:t xml:space="preserve">laws </w:t>
      </w:r>
      <w:r>
        <w:rPr>
          <w:lang w:val="en-GB"/>
        </w:rPr>
        <w:t>overlap since they both require bicycle helmets to comply with</w:t>
      </w:r>
      <w:r w:rsidR="00275B74">
        <w:rPr>
          <w:lang w:val="en-GB"/>
        </w:rPr>
        <w:t xml:space="preserve"> </w:t>
      </w:r>
      <w:r w:rsidR="003F0089" w:rsidRPr="00A41427">
        <w:rPr>
          <w:lang w:val="en-GB"/>
        </w:rPr>
        <w:t>AS/NZS 2063.</w:t>
      </w:r>
    </w:p>
    <w:p w:rsidR="00595662" w:rsidRDefault="00823541" w:rsidP="00823541">
      <w:pPr>
        <w:rPr>
          <w:lang w:val="en-GB"/>
        </w:rPr>
      </w:pPr>
      <w:r>
        <w:rPr>
          <w:lang w:val="en-GB"/>
        </w:rPr>
        <w:t xml:space="preserve">Some States and Territories </w:t>
      </w:r>
      <w:r w:rsidR="00275B74">
        <w:rPr>
          <w:lang w:val="en-GB"/>
        </w:rPr>
        <w:t xml:space="preserve">have considered </w:t>
      </w:r>
      <w:r>
        <w:rPr>
          <w:lang w:val="en-GB"/>
        </w:rPr>
        <w:t xml:space="preserve">allowing bicycle </w:t>
      </w:r>
      <w:r w:rsidR="00CD272C">
        <w:rPr>
          <w:lang w:val="en-GB"/>
        </w:rPr>
        <w:t xml:space="preserve">helmets </w:t>
      </w:r>
      <w:r>
        <w:rPr>
          <w:lang w:val="en-GB"/>
        </w:rPr>
        <w:t xml:space="preserve">that comply </w:t>
      </w:r>
      <w:r w:rsidR="00CD272C">
        <w:rPr>
          <w:lang w:val="en-GB"/>
        </w:rPr>
        <w:t xml:space="preserve">with </w:t>
      </w:r>
      <w:r>
        <w:rPr>
          <w:lang w:val="en-GB"/>
        </w:rPr>
        <w:t>the European standard</w:t>
      </w:r>
      <w:r w:rsidR="003F0089" w:rsidRPr="00C33564">
        <w:rPr>
          <w:lang w:val="en-GB"/>
        </w:rPr>
        <w:t xml:space="preserve"> EN 1078 to be used</w:t>
      </w:r>
      <w:r w:rsidR="00275B74">
        <w:rPr>
          <w:lang w:val="en-GB"/>
        </w:rPr>
        <w:t>. Under current arrangements helmets built to this standard cannot legally be supplied.</w:t>
      </w:r>
      <w:r w:rsidRPr="00823541">
        <w:rPr>
          <w:lang w:val="en-GB"/>
        </w:rPr>
        <w:t xml:space="preserve"> </w:t>
      </w:r>
      <w:r>
        <w:rPr>
          <w:lang w:val="en-GB"/>
        </w:rPr>
        <w:t xml:space="preserve">In the absence of a </w:t>
      </w:r>
      <w:r w:rsidR="00DD0BAB">
        <w:rPr>
          <w:lang w:val="en-GB"/>
        </w:rPr>
        <w:t xml:space="preserve">mandatory </w:t>
      </w:r>
      <w:r w:rsidRPr="00C33564">
        <w:rPr>
          <w:lang w:val="en-GB"/>
        </w:rPr>
        <w:t xml:space="preserve">safety standard </w:t>
      </w:r>
      <w:r>
        <w:rPr>
          <w:lang w:val="en-GB"/>
        </w:rPr>
        <w:t xml:space="preserve">for supply, </w:t>
      </w:r>
      <w:r w:rsidRPr="00C33564">
        <w:rPr>
          <w:lang w:val="en-GB"/>
        </w:rPr>
        <w:t>State and Territor</w:t>
      </w:r>
      <w:r>
        <w:rPr>
          <w:lang w:val="en-GB"/>
        </w:rPr>
        <w:t>y</w:t>
      </w:r>
      <w:r w:rsidRPr="00C33564">
        <w:rPr>
          <w:lang w:val="en-GB"/>
        </w:rPr>
        <w:t xml:space="preserve"> </w:t>
      </w:r>
      <w:r>
        <w:rPr>
          <w:lang w:val="en-GB"/>
        </w:rPr>
        <w:t xml:space="preserve">road safety authorities would have greater flexibility to specify the standards </w:t>
      </w:r>
      <w:r w:rsidR="00C119D6">
        <w:rPr>
          <w:lang w:val="en-GB"/>
        </w:rPr>
        <w:t xml:space="preserve">of </w:t>
      </w:r>
      <w:r>
        <w:rPr>
          <w:lang w:val="en-GB"/>
        </w:rPr>
        <w:t xml:space="preserve">helmets </w:t>
      </w:r>
      <w:r w:rsidR="004307F7">
        <w:rPr>
          <w:lang w:val="en-GB"/>
        </w:rPr>
        <w:t xml:space="preserve">that </w:t>
      </w:r>
      <w:r>
        <w:rPr>
          <w:lang w:val="en-GB"/>
        </w:rPr>
        <w:t>could be used.</w:t>
      </w:r>
    </w:p>
    <w:p w:rsidR="00595662" w:rsidRDefault="000D3F2F" w:rsidP="003F0089">
      <w:pPr>
        <w:rPr>
          <w:lang w:val="en-GB"/>
        </w:rPr>
      </w:pPr>
      <w:r>
        <w:rPr>
          <w:lang w:val="en-GB"/>
        </w:rPr>
        <w:t>However, i</w:t>
      </w:r>
      <w:r w:rsidR="00595662">
        <w:rPr>
          <w:lang w:val="en-GB"/>
        </w:rPr>
        <w:t xml:space="preserve">f different jurisdictions </w:t>
      </w:r>
      <w:r>
        <w:rPr>
          <w:lang w:val="en-GB"/>
        </w:rPr>
        <w:t>specify different bicycle</w:t>
      </w:r>
      <w:r w:rsidR="00595662">
        <w:rPr>
          <w:lang w:val="en-GB"/>
        </w:rPr>
        <w:t xml:space="preserve"> helmet</w:t>
      </w:r>
      <w:r>
        <w:rPr>
          <w:lang w:val="en-GB"/>
        </w:rPr>
        <w:t xml:space="preserve"> </w:t>
      </w:r>
      <w:r w:rsidR="00595662">
        <w:rPr>
          <w:lang w:val="en-GB"/>
        </w:rPr>
        <w:t>s</w:t>
      </w:r>
      <w:r>
        <w:rPr>
          <w:lang w:val="en-GB"/>
        </w:rPr>
        <w:t>tandards in their ‘use’ laws,</w:t>
      </w:r>
      <w:r w:rsidR="00BF3A27">
        <w:rPr>
          <w:lang w:val="en-GB"/>
        </w:rPr>
        <w:t xml:space="preserve"> </w:t>
      </w:r>
      <w:r w:rsidR="00595662">
        <w:rPr>
          <w:lang w:val="en-GB"/>
        </w:rPr>
        <w:t xml:space="preserve">then </w:t>
      </w:r>
      <w:r w:rsidR="00BF3A27">
        <w:rPr>
          <w:lang w:val="en-GB"/>
        </w:rPr>
        <w:t xml:space="preserve">requirements would differ across </w:t>
      </w:r>
      <w:r w:rsidR="00595662">
        <w:rPr>
          <w:lang w:val="en-GB"/>
        </w:rPr>
        <w:t xml:space="preserve">Australia and it would be possible to buy a helmet </w:t>
      </w:r>
      <w:r>
        <w:rPr>
          <w:lang w:val="en-GB"/>
        </w:rPr>
        <w:t xml:space="preserve">in one State that </w:t>
      </w:r>
      <w:r w:rsidR="00595662">
        <w:rPr>
          <w:lang w:val="en-GB"/>
        </w:rPr>
        <w:t>was illegal to use</w:t>
      </w:r>
      <w:r>
        <w:rPr>
          <w:lang w:val="en-GB"/>
        </w:rPr>
        <w:t xml:space="preserve"> in another</w:t>
      </w:r>
      <w:r w:rsidR="00595662">
        <w:rPr>
          <w:lang w:val="en-GB"/>
        </w:rPr>
        <w:t>.</w:t>
      </w:r>
    </w:p>
    <w:p w:rsidR="00A92F8B" w:rsidRPr="003F5C3C" w:rsidRDefault="00A92F8B" w:rsidP="003F5C3C">
      <w:pPr>
        <w:spacing w:before="0"/>
        <w:ind w:left="340" w:hanging="340"/>
        <w:rPr>
          <w:lang w:val="en-GB"/>
        </w:rPr>
      </w:pPr>
    </w:p>
    <w:p w:rsidR="00687F39" w:rsidRDefault="00E907C9" w:rsidP="003F4FCE">
      <w:pPr>
        <w:pStyle w:val="Numbered1"/>
        <w:spacing w:before="0"/>
      </w:pPr>
      <w:bookmarkStart w:id="18" w:name="_Toc462327074"/>
      <w:bookmarkStart w:id="19" w:name="_Toc462329718"/>
      <w:r>
        <w:t>The Australian Consumer Law</w:t>
      </w:r>
      <w:bookmarkEnd w:id="18"/>
      <w:bookmarkEnd w:id="19"/>
    </w:p>
    <w:p w:rsidR="008A5AF9" w:rsidRDefault="008539D4" w:rsidP="00BF3A3B">
      <w:r w:rsidRPr="009E0D08">
        <w:t>The ACL is a single, national law covering consumer protection and fair trading which</w:t>
      </w:r>
      <w:r>
        <w:t xml:space="preserve"> </w:t>
      </w:r>
      <w:r w:rsidRPr="009E0D08">
        <w:t xml:space="preserve">applies nationally </w:t>
      </w:r>
      <w:r w:rsidRPr="002D45E8">
        <w:t xml:space="preserve">and in each </w:t>
      </w:r>
      <w:r>
        <w:t>s</w:t>
      </w:r>
      <w:r w:rsidRPr="002D45E8">
        <w:t xml:space="preserve">tate and </w:t>
      </w:r>
      <w:r>
        <w:t>t</w:t>
      </w:r>
      <w:r w:rsidRPr="002D45E8">
        <w:t>erritory</w:t>
      </w:r>
      <w:r>
        <w:t xml:space="preserve"> of Australia. The ACL includes a number of </w:t>
      </w:r>
      <w:r w:rsidR="00FE0F16">
        <w:t>provisions that</w:t>
      </w:r>
      <w:r>
        <w:t xml:space="preserve"> may be used by </w:t>
      </w:r>
      <w:r w:rsidR="00A3185A">
        <w:t xml:space="preserve">the ACCC and </w:t>
      </w:r>
      <w:r>
        <w:t xml:space="preserve">in conjunction with </w:t>
      </w:r>
      <w:r w:rsidR="00A3185A">
        <w:t xml:space="preserve">State and Territory </w:t>
      </w:r>
      <w:r>
        <w:t>road use laws</w:t>
      </w:r>
      <w:r w:rsidR="00A3185A">
        <w:t xml:space="preserve"> to ensure the safe supply of bicycle helmets.</w:t>
      </w:r>
    </w:p>
    <w:p w:rsidR="001A1AA4" w:rsidRPr="00FE0F16" w:rsidRDefault="001A1AA4" w:rsidP="00FE0F16">
      <w:pPr>
        <w:pStyle w:val="Heading4"/>
        <w:rPr>
          <w:lang w:val="en-GB"/>
        </w:rPr>
      </w:pPr>
      <w:bookmarkStart w:id="20" w:name="_Toc458693149"/>
      <w:bookmarkStart w:id="21" w:name="_Toc462327075"/>
      <w:r w:rsidRPr="00FE0F16">
        <w:rPr>
          <w:lang w:val="en-GB"/>
        </w:rPr>
        <w:t>Consumer product safety standards</w:t>
      </w:r>
    </w:p>
    <w:p w:rsidR="001A1AA4" w:rsidRDefault="001A1AA4" w:rsidP="001A1AA4">
      <w:r w:rsidRPr="00E86D25">
        <w:t>Safety standards made under the ACL are co-operat</w:t>
      </w:r>
      <w:r>
        <w:t>ively enforced by the ACCC and State and T</w:t>
      </w:r>
      <w:r w:rsidRPr="00E86D25">
        <w:t>erritory fair trading agencies</w:t>
      </w:r>
      <w:r>
        <w:t>:</w:t>
      </w:r>
    </w:p>
    <w:p w:rsidR="001A1AA4" w:rsidRDefault="001A1AA4" w:rsidP="001A1AA4">
      <w:pPr>
        <w:pStyle w:val="ListParagraph"/>
        <w:numPr>
          <w:ilvl w:val="0"/>
          <w:numId w:val="32"/>
        </w:numPr>
      </w:pPr>
      <w:r>
        <w:lastRenderedPageBreak/>
        <w:t>Section 104 of the ACL allows the Commonwealth Minister to make a safety standard for consumer goods reasonably necessary to prevent or reduce the risk of injury to any person; and Section 105 allows for an Australian Standard either in whole or part, with additions or variations, to be declared a safety standard for consumer goods.</w:t>
      </w:r>
    </w:p>
    <w:p w:rsidR="001A1AA4" w:rsidRDefault="001A1AA4" w:rsidP="001A1AA4">
      <w:pPr>
        <w:pStyle w:val="ListParagraph"/>
        <w:numPr>
          <w:ilvl w:val="0"/>
          <w:numId w:val="32"/>
        </w:numPr>
      </w:pPr>
      <w:r>
        <w:t>Section 106 of the ACL states that a person must not supply consumer goods that do not comply with a safety standard.</w:t>
      </w:r>
    </w:p>
    <w:p w:rsidR="008A5AF9" w:rsidRPr="00FE0F16" w:rsidRDefault="008A5AF9" w:rsidP="00FE0F16">
      <w:pPr>
        <w:pStyle w:val="Heading4"/>
        <w:rPr>
          <w:lang w:val="en-GB"/>
        </w:rPr>
      </w:pPr>
      <w:r w:rsidRPr="00FE0F16">
        <w:rPr>
          <w:lang w:val="en-GB"/>
        </w:rPr>
        <w:t xml:space="preserve">Misleading </w:t>
      </w:r>
      <w:r w:rsidR="00A07785" w:rsidRPr="00FE0F16">
        <w:rPr>
          <w:lang w:val="en-GB"/>
        </w:rPr>
        <w:t>or</w:t>
      </w:r>
      <w:r w:rsidRPr="00FE0F16">
        <w:rPr>
          <w:lang w:val="en-GB"/>
        </w:rPr>
        <w:t xml:space="preserve"> deceptive conduct</w:t>
      </w:r>
      <w:bookmarkEnd w:id="20"/>
      <w:bookmarkEnd w:id="21"/>
    </w:p>
    <w:p w:rsidR="008539D4" w:rsidRDefault="00AA01C1" w:rsidP="00130F7F">
      <w:pPr>
        <w:spacing w:after="240"/>
      </w:pPr>
      <w:r>
        <w:t>Section 18 of the ACL</w:t>
      </w:r>
      <w:r w:rsidR="008539D4">
        <w:t xml:space="preserve"> states that a person must not, in trade or commerce, engage in conduct that is misleading or deceptive or is likely to mislead o</w:t>
      </w:r>
      <w:r>
        <w:t xml:space="preserve">r deceive; and Section 29 </w:t>
      </w:r>
      <w:r w:rsidR="008539D4">
        <w:t>provides a specific protection to consumers against false or misleading representations about goods.</w:t>
      </w:r>
      <w:r w:rsidR="00130F7F">
        <w:t xml:space="preserve"> </w:t>
      </w:r>
      <w:r w:rsidR="008539D4">
        <w:t xml:space="preserve">A </w:t>
      </w:r>
      <w:r w:rsidR="00175566">
        <w:t xml:space="preserve">false </w:t>
      </w:r>
      <w:r w:rsidR="008539D4">
        <w:t xml:space="preserve">representation by a supplier that a bicycle helmet meets a particular standard may breach one or both </w:t>
      </w:r>
      <w:r w:rsidR="005F7255">
        <w:t xml:space="preserve">of </w:t>
      </w:r>
      <w:r w:rsidR="008539D4">
        <w:t>these provisions.</w:t>
      </w:r>
    </w:p>
    <w:p w:rsidR="008A5AF9" w:rsidRPr="00FE0F16" w:rsidRDefault="008A5AF9" w:rsidP="00FE0F16">
      <w:pPr>
        <w:pStyle w:val="Heading4"/>
        <w:rPr>
          <w:lang w:val="en-GB"/>
        </w:rPr>
      </w:pPr>
      <w:bookmarkStart w:id="22" w:name="_Toc458693150"/>
      <w:bookmarkStart w:id="23" w:name="_Toc462327076"/>
      <w:r w:rsidRPr="00FE0F16">
        <w:rPr>
          <w:lang w:val="en-GB"/>
        </w:rPr>
        <w:t>Consumer guarantees</w:t>
      </w:r>
      <w:bookmarkEnd w:id="22"/>
      <w:bookmarkEnd w:id="23"/>
    </w:p>
    <w:p w:rsidR="004A536F" w:rsidRDefault="008539D4" w:rsidP="00954F80">
      <w:pPr>
        <w:spacing w:after="240"/>
      </w:pPr>
      <w:r>
        <w:t xml:space="preserve">Section 54 of the ACL provides consumer guarantees that goods are of acceptable quality including that they </w:t>
      </w:r>
      <w:r w:rsidR="00AA01C1">
        <w:t xml:space="preserve">are free from defects and safe; and </w:t>
      </w:r>
      <w:r>
        <w:t xml:space="preserve">Section 55 provides consumer guarantees that goods are reasonably fit for any disclosed purpose. </w:t>
      </w:r>
    </w:p>
    <w:p w:rsidR="008A5AF9" w:rsidRPr="00FE0F16" w:rsidRDefault="008A5AF9" w:rsidP="00FE0F16">
      <w:pPr>
        <w:pStyle w:val="Heading4"/>
        <w:rPr>
          <w:lang w:val="en-GB"/>
        </w:rPr>
      </w:pPr>
      <w:bookmarkStart w:id="24" w:name="_Toc458693151"/>
      <w:bookmarkStart w:id="25" w:name="_Toc462327077"/>
      <w:r w:rsidRPr="00FE0F16">
        <w:rPr>
          <w:lang w:val="en-GB"/>
        </w:rPr>
        <w:t>Compulsory &amp; voluntary recalls of unsafe goods</w:t>
      </w:r>
      <w:bookmarkEnd w:id="24"/>
      <w:bookmarkEnd w:id="25"/>
    </w:p>
    <w:p w:rsidR="008A5AF9" w:rsidRDefault="00E86D25" w:rsidP="00130F7F">
      <w:r>
        <w:t xml:space="preserve">Section 122 </w:t>
      </w:r>
      <w:r w:rsidR="008539D4">
        <w:t xml:space="preserve">provides for the compulsory recall of consumer </w:t>
      </w:r>
      <w:r w:rsidR="00DD0BAB">
        <w:t>goods that</w:t>
      </w:r>
      <w:r w:rsidR="008539D4">
        <w:t xml:space="preserve"> will or may cause injury to any person. In </w:t>
      </w:r>
      <w:r w:rsidR="00130F7F">
        <w:t>most</w:t>
      </w:r>
      <w:r w:rsidR="008539D4">
        <w:t xml:space="preserve"> cases </w:t>
      </w:r>
      <w:r w:rsidR="00130F7F">
        <w:t>of</w:t>
      </w:r>
      <w:r w:rsidR="008539D4">
        <w:t xml:space="preserve"> unsafe goods, the ACCC and the supplier of the goods negotiate a voluntary recall. However, the option to use powers in the ACL to compulsorily recall unsafe goods is also available.</w:t>
      </w:r>
    </w:p>
    <w:p w:rsidR="00E31834" w:rsidRPr="000E3A2E" w:rsidRDefault="00E31834" w:rsidP="00A92F8B">
      <w:pPr>
        <w:spacing w:before="0"/>
      </w:pPr>
    </w:p>
    <w:p w:rsidR="000E3A2E" w:rsidRPr="000E3A2E" w:rsidRDefault="00E31834" w:rsidP="00A92F8B">
      <w:pPr>
        <w:pStyle w:val="Numbered1"/>
        <w:spacing w:before="0"/>
      </w:pPr>
      <w:bookmarkStart w:id="26" w:name="_Toc462327078"/>
      <w:bookmarkStart w:id="27" w:name="_Toc462329719"/>
      <w:r>
        <w:t>Detailed description of policy options</w:t>
      </w:r>
      <w:bookmarkEnd w:id="26"/>
      <w:bookmarkEnd w:id="27"/>
      <w:r>
        <w:t xml:space="preserve"> </w:t>
      </w:r>
    </w:p>
    <w:p w:rsidR="0060241A" w:rsidRPr="00284117" w:rsidRDefault="00EA6791" w:rsidP="00284117">
      <w:pPr>
        <w:pStyle w:val="Heading2"/>
        <w:rPr>
          <w:b w:val="0"/>
          <w:lang w:val="en-GB"/>
        </w:rPr>
      </w:pPr>
      <w:bookmarkStart w:id="28" w:name="_Toc462327079"/>
      <w:bookmarkStart w:id="29" w:name="_Toc462329720"/>
      <w:r w:rsidRPr="003C3414">
        <w:rPr>
          <w:b w:val="0"/>
          <w:bCs w:val="0"/>
          <w:lang w:val="en-GB"/>
        </w:rPr>
        <w:t>Option</w:t>
      </w:r>
      <w:r w:rsidR="0060241A" w:rsidRPr="003C3414">
        <w:rPr>
          <w:b w:val="0"/>
          <w:bCs w:val="0"/>
          <w:lang w:val="en-GB"/>
        </w:rPr>
        <w:t xml:space="preserve"> 1:</w:t>
      </w:r>
      <w:r w:rsidRPr="003C3414">
        <w:rPr>
          <w:b w:val="0"/>
          <w:bCs w:val="0"/>
          <w:lang w:val="en-GB"/>
        </w:rPr>
        <w:t xml:space="preserve"> </w:t>
      </w:r>
      <w:r w:rsidR="004258D5" w:rsidRPr="001A1AA4">
        <w:rPr>
          <w:b w:val="0"/>
          <w:lang w:val="en-GB"/>
        </w:rPr>
        <w:t>Re</w:t>
      </w:r>
      <w:r w:rsidR="005E111E" w:rsidRPr="001A1AA4">
        <w:rPr>
          <w:b w:val="0"/>
          <w:lang w:val="en-GB"/>
        </w:rPr>
        <w:t xml:space="preserve">move duplicate regulation of </w:t>
      </w:r>
      <w:r w:rsidR="005D7A9E" w:rsidRPr="001A1AA4">
        <w:rPr>
          <w:b w:val="0"/>
          <w:lang w:val="en-GB"/>
        </w:rPr>
        <w:t>bicycle helmets</w:t>
      </w:r>
      <w:bookmarkEnd w:id="28"/>
      <w:bookmarkEnd w:id="29"/>
    </w:p>
    <w:p w:rsidR="005E111E" w:rsidRDefault="0016501B" w:rsidP="00217B90">
      <w:pPr>
        <w:rPr>
          <w:lang w:val="en-GB"/>
        </w:rPr>
      </w:pPr>
      <w:r>
        <w:rPr>
          <w:lang w:val="en-GB"/>
        </w:rPr>
        <w:t>T</w:t>
      </w:r>
      <w:r w:rsidR="000D3F2F">
        <w:rPr>
          <w:lang w:val="en-GB"/>
        </w:rPr>
        <w:t xml:space="preserve">he </w:t>
      </w:r>
      <w:r w:rsidR="00723C9F">
        <w:rPr>
          <w:lang w:val="en-GB"/>
        </w:rPr>
        <w:t xml:space="preserve">mandatory </w:t>
      </w:r>
      <w:r w:rsidR="000D3F2F">
        <w:rPr>
          <w:lang w:val="en-GB"/>
        </w:rPr>
        <w:t>safety standard and State and territory ‘use’ laws</w:t>
      </w:r>
      <w:r w:rsidR="005E111E">
        <w:rPr>
          <w:lang w:val="en-GB"/>
        </w:rPr>
        <w:t xml:space="preserve"> </w:t>
      </w:r>
      <w:r>
        <w:rPr>
          <w:lang w:val="en-GB"/>
        </w:rPr>
        <w:t xml:space="preserve">separately </w:t>
      </w:r>
      <w:r w:rsidR="005E111E">
        <w:rPr>
          <w:lang w:val="en-GB"/>
        </w:rPr>
        <w:t xml:space="preserve">set safety requirements for bicycle helmets. </w:t>
      </w:r>
      <w:r>
        <w:rPr>
          <w:lang w:val="en-GB"/>
        </w:rPr>
        <w:t>The following options explore whether the s</w:t>
      </w:r>
      <w:r w:rsidR="005E111E">
        <w:rPr>
          <w:lang w:val="en-GB"/>
        </w:rPr>
        <w:t>afe</w:t>
      </w:r>
      <w:r>
        <w:rPr>
          <w:lang w:val="en-GB"/>
        </w:rPr>
        <w:t>ty of helmets</w:t>
      </w:r>
      <w:r w:rsidR="005E111E">
        <w:rPr>
          <w:lang w:val="en-GB"/>
        </w:rPr>
        <w:t xml:space="preserve"> could be </w:t>
      </w:r>
      <w:r>
        <w:rPr>
          <w:lang w:val="en-GB"/>
        </w:rPr>
        <w:t xml:space="preserve">maintained whilst minimising regulatory </w:t>
      </w:r>
      <w:r w:rsidR="005E111E">
        <w:rPr>
          <w:lang w:val="en-GB"/>
        </w:rPr>
        <w:t>duplication.</w:t>
      </w:r>
    </w:p>
    <w:p w:rsidR="005E111E" w:rsidRPr="00823541" w:rsidRDefault="00EA6791" w:rsidP="00284117">
      <w:pPr>
        <w:pStyle w:val="Heading3"/>
        <w:rPr>
          <w:lang w:val="en-GB"/>
        </w:rPr>
      </w:pPr>
      <w:bookmarkStart w:id="30" w:name="_Toc462327080"/>
      <w:bookmarkStart w:id="31" w:name="_Toc462329721"/>
      <w:r>
        <w:rPr>
          <w:lang w:val="en-GB"/>
        </w:rPr>
        <w:t>Option 1a:</w:t>
      </w:r>
      <w:r w:rsidR="000D3F2F">
        <w:rPr>
          <w:lang w:val="en-GB"/>
        </w:rPr>
        <w:t xml:space="preserve"> </w:t>
      </w:r>
      <w:r w:rsidR="005E111E" w:rsidRPr="00823541">
        <w:rPr>
          <w:lang w:val="en-GB"/>
        </w:rPr>
        <w:t xml:space="preserve">Revoke </w:t>
      </w:r>
      <w:r w:rsidR="00C74259">
        <w:rPr>
          <w:lang w:val="en-GB"/>
        </w:rPr>
        <w:t xml:space="preserve">the </w:t>
      </w:r>
      <w:r w:rsidR="00823541">
        <w:rPr>
          <w:lang w:val="en-GB"/>
        </w:rPr>
        <w:t>safety</w:t>
      </w:r>
      <w:r w:rsidR="005E111E" w:rsidRPr="00823541">
        <w:rPr>
          <w:lang w:val="en-GB"/>
        </w:rPr>
        <w:t xml:space="preserve"> standard</w:t>
      </w:r>
      <w:bookmarkEnd w:id="30"/>
      <w:bookmarkEnd w:id="31"/>
    </w:p>
    <w:p w:rsidR="00EC4643" w:rsidRPr="00EC4643" w:rsidRDefault="00EC4643" w:rsidP="00284117">
      <w:pPr>
        <w:pStyle w:val="Heading4"/>
        <w:rPr>
          <w:lang w:val="en-GB"/>
        </w:rPr>
      </w:pPr>
      <w:bookmarkStart w:id="32" w:name="_Toc458693154"/>
      <w:r w:rsidRPr="00EC4643">
        <w:rPr>
          <w:lang w:val="en-GB"/>
        </w:rPr>
        <w:t>Description</w:t>
      </w:r>
      <w:bookmarkEnd w:id="32"/>
    </w:p>
    <w:p w:rsidR="00C5092C" w:rsidRDefault="005E111E" w:rsidP="005E111E">
      <w:pPr>
        <w:rPr>
          <w:lang w:val="en-GB"/>
        </w:rPr>
      </w:pPr>
      <w:r>
        <w:rPr>
          <w:lang w:val="en-GB"/>
        </w:rPr>
        <w:t xml:space="preserve">If the </w:t>
      </w:r>
      <w:r w:rsidR="00AC317E">
        <w:rPr>
          <w:lang w:val="en-GB"/>
        </w:rPr>
        <w:t xml:space="preserve">Minister revoked the </w:t>
      </w:r>
      <w:r w:rsidR="004F3318">
        <w:rPr>
          <w:lang w:val="en-GB"/>
        </w:rPr>
        <w:t>mandatory</w:t>
      </w:r>
      <w:r w:rsidR="004F3318" w:rsidRPr="005E111E">
        <w:rPr>
          <w:lang w:val="en-GB"/>
        </w:rPr>
        <w:t xml:space="preserve"> </w:t>
      </w:r>
      <w:r w:rsidR="00175566" w:rsidRPr="005E111E">
        <w:rPr>
          <w:lang w:val="en-GB"/>
        </w:rPr>
        <w:t xml:space="preserve">safety </w:t>
      </w:r>
      <w:r w:rsidR="00A17A44" w:rsidRPr="005E111E">
        <w:rPr>
          <w:lang w:val="en-GB"/>
        </w:rPr>
        <w:t>standard for the supply for bicycle helmets</w:t>
      </w:r>
      <w:r w:rsidR="00823541">
        <w:rPr>
          <w:lang w:val="en-GB"/>
        </w:rPr>
        <w:t xml:space="preserve">, </w:t>
      </w:r>
      <w:r w:rsidR="00823541" w:rsidRPr="005E111E">
        <w:rPr>
          <w:lang w:val="en-GB"/>
        </w:rPr>
        <w:t>State</w:t>
      </w:r>
      <w:r w:rsidR="00A17A44" w:rsidRPr="005E111E">
        <w:rPr>
          <w:lang w:val="en-GB"/>
        </w:rPr>
        <w:t xml:space="preserve"> and Territory road use laws </w:t>
      </w:r>
      <w:r>
        <w:rPr>
          <w:lang w:val="en-GB"/>
        </w:rPr>
        <w:t xml:space="preserve">would continue to </w:t>
      </w:r>
      <w:r w:rsidR="00823541">
        <w:rPr>
          <w:lang w:val="en-GB"/>
        </w:rPr>
        <w:t xml:space="preserve">specify </w:t>
      </w:r>
      <w:r w:rsidR="003F5C3C">
        <w:rPr>
          <w:lang w:val="en-GB"/>
        </w:rPr>
        <w:t>which helmets could be worn.</w:t>
      </w:r>
    </w:p>
    <w:p w:rsidR="00C624DD" w:rsidRPr="0012182A" w:rsidRDefault="005D7A9E" w:rsidP="00823541">
      <w:pPr>
        <w:rPr>
          <w:lang w:val="en-GB"/>
        </w:rPr>
      </w:pPr>
      <w:r w:rsidRPr="00C5092C">
        <w:rPr>
          <w:lang w:val="en-GB"/>
        </w:rPr>
        <w:t>Under this option</w:t>
      </w:r>
      <w:r w:rsidR="00823541">
        <w:rPr>
          <w:lang w:val="en-GB"/>
        </w:rPr>
        <w:t>,</w:t>
      </w:r>
      <w:r w:rsidRPr="00C5092C">
        <w:rPr>
          <w:lang w:val="en-GB"/>
        </w:rPr>
        <w:t xml:space="preserve"> suppliers </w:t>
      </w:r>
      <w:r w:rsidR="00A07785" w:rsidRPr="00C5092C">
        <w:rPr>
          <w:lang w:val="en-GB"/>
        </w:rPr>
        <w:t xml:space="preserve">would </w:t>
      </w:r>
      <w:r w:rsidRPr="00C5092C">
        <w:rPr>
          <w:lang w:val="en-GB"/>
        </w:rPr>
        <w:t xml:space="preserve">still </w:t>
      </w:r>
      <w:r w:rsidR="00A07785" w:rsidRPr="00C5092C">
        <w:rPr>
          <w:lang w:val="en-GB"/>
        </w:rPr>
        <w:t>need</w:t>
      </w:r>
      <w:r w:rsidRPr="00C5092C">
        <w:rPr>
          <w:lang w:val="en-GB"/>
        </w:rPr>
        <w:t xml:space="preserve"> to comply with the general </w:t>
      </w:r>
      <w:r w:rsidR="005F5E51" w:rsidRPr="00C5092C">
        <w:rPr>
          <w:lang w:val="en-GB"/>
        </w:rPr>
        <w:t xml:space="preserve">ACL </w:t>
      </w:r>
      <w:r w:rsidRPr="00C5092C">
        <w:rPr>
          <w:lang w:val="en-GB"/>
        </w:rPr>
        <w:t xml:space="preserve">provisions, such as those </w:t>
      </w:r>
      <w:r w:rsidR="009E2BE9" w:rsidRPr="00EE57DE">
        <w:rPr>
          <w:lang w:val="en-GB"/>
        </w:rPr>
        <w:t>about</w:t>
      </w:r>
      <w:r w:rsidRPr="00EE57DE">
        <w:rPr>
          <w:lang w:val="en-GB"/>
        </w:rPr>
        <w:t xml:space="preserve"> </w:t>
      </w:r>
      <w:r w:rsidR="00A07785" w:rsidRPr="00EE57DE">
        <w:rPr>
          <w:lang w:val="en-GB"/>
        </w:rPr>
        <w:t xml:space="preserve">product </w:t>
      </w:r>
      <w:r w:rsidRPr="00EE57DE">
        <w:rPr>
          <w:lang w:val="en-GB"/>
        </w:rPr>
        <w:t xml:space="preserve">liability, misleading </w:t>
      </w:r>
      <w:r w:rsidR="00A07785" w:rsidRPr="00EE57DE">
        <w:rPr>
          <w:lang w:val="en-GB"/>
        </w:rPr>
        <w:t>or</w:t>
      </w:r>
      <w:r w:rsidRPr="00EE57DE">
        <w:rPr>
          <w:lang w:val="en-GB"/>
        </w:rPr>
        <w:t xml:space="preserve"> deceptive conduct</w:t>
      </w:r>
      <w:r w:rsidR="005F5E51">
        <w:rPr>
          <w:lang w:val="en-GB"/>
        </w:rPr>
        <w:t>,</w:t>
      </w:r>
      <w:r w:rsidRPr="00EE57DE">
        <w:rPr>
          <w:lang w:val="en-GB"/>
        </w:rPr>
        <w:t xml:space="preserve"> false or misleading representations that goods are of a particular standard </w:t>
      </w:r>
      <w:r w:rsidR="005F5E51">
        <w:rPr>
          <w:lang w:val="en-GB"/>
        </w:rPr>
        <w:t>a</w:t>
      </w:r>
      <w:r w:rsidR="005F5E51" w:rsidRPr="00EE57DE">
        <w:rPr>
          <w:lang w:val="en-GB"/>
        </w:rPr>
        <w:t>nd</w:t>
      </w:r>
      <w:r w:rsidR="005F5E51">
        <w:rPr>
          <w:lang w:val="en-GB"/>
        </w:rPr>
        <w:t xml:space="preserve"> consumer guarantees.</w:t>
      </w:r>
    </w:p>
    <w:p w:rsidR="005D7A9E" w:rsidRPr="00C5092C" w:rsidRDefault="005D7A9E" w:rsidP="00823541">
      <w:pPr>
        <w:rPr>
          <w:lang w:val="en-GB"/>
        </w:rPr>
      </w:pPr>
      <w:r w:rsidRPr="00C5092C">
        <w:rPr>
          <w:lang w:val="en-GB"/>
        </w:rPr>
        <w:t xml:space="preserve">If bicycle helmet suppliers represent that their goods meet a particular standard (such as AS/NZS </w:t>
      </w:r>
      <w:r w:rsidR="00C9472C" w:rsidRPr="00C5092C">
        <w:rPr>
          <w:lang w:val="en-GB"/>
        </w:rPr>
        <w:t>2063</w:t>
      </w:r>
      <w:r w:rsidRPr="00C5092C">
        <w:rPr>
          <w:lang w:val="en-GB"/>
        </w:rPr>
        <w:t xml:space="preserve">), those assertions must be </w:t>
      </w:r>
      <w:r w:rsidR="00A07785" w:rsidRPr="00C5092C">
        <w:rPr>
          <w:lang w:val="en-GB"/>
        </w:rPr>
        <w:t>true</w:t>
      </w:r>
      <w:r w:rsidRPr="00C5092C">
        <w:rPr>
          <w:lang w:val="en-GB"/>
        </w:rPr>
        <w:t xml:space="preserve"> and suppliers have an obligation to ensure that is the case. This provides a statutory </w:t>
      </w:r>
      <w:r w:rsidR="00A07785" w:rsidRPr="00C5092C">
        <w:rPr>
          <w:lang w:val="en-GB"/>
        </w:rPr>
        <w:t>mechanism</w:t>
      </w:r>
      <w:r w:rsidRPr="00C5092C">
        <w:rPr>
          <w:lang w:val="en-GB"/>
        </w:rPr>
        <w:t xml:space="preserve"> for the ACCC to test helmets which claim compliance with the Australian </w:t>
      </w:r>
      <w:r w:rsidR="004F3318">
        <w:rPr>
          <w:lang w:val="en-GB"/>
        </w:rPr>
        <w:t>s</w:t>
      </w:r>
      <w:r w:rsidR="004F3318" w:rsidRPr="00C5092C">
        <w:rPr>
          <w:lang w:val="en-GB"/>
        </w:rPr>
        <w:t>tandard</w:t>
      </w:r>
      <w:r w:rsidR="004F3318">
        <w:rPr>
          <w:lang w:val="en-GB"/>
        </w:rPr>
        <w:t xml:space="preserve"> </w:t>
      </w:r>
      <w:r w:rsidR="0078633B">
        <w:rPr>
          <w:lang w:val="en-GB"/>
        </w:rPr>
        <w:t>or any other standard</w:t>
      </w:r>
      <w:r w:rsidRPr="00C5092C">
        <w:rPr>
          <w:lang w:val="en-GB"/>
        </w:rPr>
        <w:t>.</w:t>
      </w:r>
    </w:p>
    <w:p w:rsidR="005D7A9E" w:rsidRPr="00C5092C" w:rsidRDefault="005D7A9E" w:rsidP="00823541">
      <w:pPr>
        <w:rPr>
          <w:lang w:val="en-GB"/>
        </w:rPr>
      </w:pPr>
      <w:r w:rsidRPr="00C5092C">
        <w:rPr>
          <w:lang w:val="en-GB"/>
        </w:rPr>
        <w:t xml:space="preserve">Non-compliance with the Australian </w:t>
      </w:r>
      <w:r w:rsidR="004F3318">
        <w:rPr>
          <w:lang w:val="en-GB"/>
        </w:rPr>
        <w:t>s</w:t>
      </w:r>
      <w:r w:rsidR="004F3318" w:rsidRPr="00C5092C">
        <w:rPr>
          <w:lang w:val="en-GB"/>
        </w:rPr>
        <w:t xml:space="preserve">tandard </w:t>
      </w:r>
      <w:r w:rsidRPr="00C5092C">
        <w:rPr>
          <w:lang w:val="en-GB"/>
        </w:rPr>
        <w:t xml:space="preserve">would be a safety issue which may result in </w:t>
      </w:r>
      <w:r w:rsidR="009E2BE9" w:rsidRPr="00C5092C">
        <w:rPr>
          <w:lang w:val="en-GB"/>
        </w:rPr>
        <w:t xml:space="preserve">the recall of </w:t>
      </w:r>
      <w:r w:rsidRPr="00C5092C">
        <w:rPr>
          <w:lang w:val="en-GB"/>
        </w:rPr>
        <w:t xml:space="preserve">unsafe helmets and </w:t>
      </w:r>
      <w:r w:rsidR="00A07785" w:rsidRPr="00C5092C">
        <w:rPr>
          <w:lang w:val="en-GB"/>
        </w:rPr>
        <w:t xml:space="preserve">the ACCC pursuing </w:t>
      </w:r>
      <w:r w:rsidRPr="00C5092C">
        <w:rPr>
          <w:lang w:val="en-GB"/>
        </w:rPr>
        <w:t>breaches of the ACL.</w:t>
      </w:r>
    </w:p>
    <w:p w:rsidR="005D7A9E" w:rsidRDefault="0078633B" w:rsidP="00823541">
      <w:pPr>
        <w:rPr>
          <w:lang w:val="en-GB"/>
        </w:rPr>
      </w:pPr>
      <w:r>
        <w:rPr>
          <w:lang w:val="en-GB"/>
        </w:rPr>
        <w:lastRenderedPageBreak/>
        <w:t>T</w:t>
      </w:r>
      <w:r w:rsidR="005D7A9E" w:rsidRPr="00C5092C">
        <w:rPr>
          <w:lang w:val="en-GB"/>
        </w:rPr>
        <w:t xml:space="preserve">he consumer guarantees of the ACL require goods </w:t>
      </w:r>
      <w:r w:rsidR="00A07785" w:rsidRPr="00C5092C">
        <w:rPr>
          <w:lang w:val="en-GB"/>
        </w:rPr>
        <w:t xml:space="preserve">to </w:t>
      </w:r>
      <w:r w:rsidR="005D7A9E" w:rsidRPr="00C5092C">
        <w:rPr>
          <w:lang w:val="en-GB"/>
        </w:rPr>
        <w:t>be of an acceptable qualit</w:t>
      </w:r>
      <w:r w:rsidR="00C624DD" w:rsidRPr="00C5092C">
        <w:rPr>
          <w:lang w:val="en-GB"/>
        </w:rPr>
        <w:t xml:space="preserve">y including that they </w:t>
      </w:r>
      <w:r w:rsidR="00A07785" w:rsidRPr="00C5092C">
        <w:rPr>
          <w:lang w:val="en-GB"/>
        </w:rPr>
        <w:t>are</w:t>
      </w:r>
      <w:r w:rsidR="005D7A9E" w:rsidRPr="00C5092C">
        <w:rPr>
          <w:lang w:val="en-GB"/>
        </w:rPr>
        <w:t xml:space="preserve"> fit for purpose, free from defects and safe. Any consumer buying a bicycle helmet in Australia would be entitled to expect that the helmet was able to be legally used for its intended purpose and that it performed as represented.</w:t>
      </w:r>
    </w:p>
    <w:p w:rsidR="00EC4643" w:rsidRDefault="00EC4643" w:rsidP="00284117">
      <w:pPr>
        <w:pStyle w:val="Heading4"/>
        <w:rPr>
          <w:lang w:val="en-GB"/>
        </w:rPr>
      </w:pPr>
      <w:bookmarkStart w:id="33" w:name="_Toc458693155"/>
      <w:r>
        <w:rPr>
          <w:lang w:val="en-GB"/>
        </w:rPr>
        <w:t>Benefits</w:t>
      </w:r>
      <w:bookmarkEnd w:id="33"/>
    </w:p>
    <w:p w:rsidR="00696E6C" w:rsidRDefault="00EC4643" w:rsidP="00C74259">
      <w:pPr>
        <w:rPr>
          <w:lang w:val="en-GB"/>
        </w:rPr>
      </w:pPr>
      <w:r>
        <w:rPr>
          <w:lang w:val="en-GB"/>
        </w:rPr>
        <w:t>Revoking the safety st</w:t>
      </w:r>
      <w:r w:rsidR="00696E6C">
        <w:rPr>
          <w:lang w:val="en-GB"/>
        </w:rPr>
        <w:t>andard will remove the duplicative</w:t>
      </w:r>
      <w:r>
        <w:rPr>
          <w:lang w:val="en-GB"/>
        </w:rPr>
        <w:t xml:space="preserve"> Commonwealth regulation </w:t>
      </w:r>
      <w:r w:rsidR="00696E6C">
        <w:rPr>
          <w:lang w:val="en-GB"/>
        </w:rPr>
        <w:t xml:space="preserve">for bicycle helmets, which is already </w:t>
      </w:r>
      <w:r w:rsidR="004000D4">
        <w:rPr>
          <w:lang w:val="en-GB"/>
        </w:rPr>
        <w:t>covered</w:t>
      </w:r>
      <w:r w:rsidR="00696E6C">
        <w:rPr>
          <w:lang w:val="en-GB"/>
        </w:rPr>
        <w:t xml:space="preserve"> by State and Territory road use legislation.</w:t>
      </w:r>
      <w:r w:rsidR="00696E6C" w:rsidRPr="00696E6C">
        <w:rPr>
          <w:i/>
          <w:lang w:val="en-GB"/>
        </w:rPr>
        <w:t xml:space="preserve"> </w:t>
      </w:r>
      <w:r w:rsidR="00696E6C">
        <w:rPr>
          <w:i/>
          <w:lang w:val="en-GB"/>
        </w:rPr>
        <w:t xml:space="preserve">Supply </w:t>
      </w:r>
      <w:r w:rsidR="00696E6C">
        <w:rPr>
          <w:lang w:val="en-GB"/>
        </w:rPr>
        <w:t xml:space="preserve">and </w:t>
      </w:r>
      <w:r w:rsidR="00696E6C">
        <w:rPr>
          <w:i/>
          <w:lang w:val="en-GB"/>
        </w:rPr>
        <w:t xml:space="preserve">use </w:t>
      </w:r>
      <w:r w:rsidR="00696E6C">
        <w:rPr>
          <w:lang w:val="en-GB"/>
        </w:rPr>
        <w:t xml:space="preserve">laws overlap since they both require bicycle helmets to comply with </w:t>
      </w:r>
      <w:r w:rsidR="00696E6C" w:rsidRPr="00A41427">
        <w:rPr>
          <w:lang w:val="en-GB"/>
        </w:rPr>
        <w:t>AS/NZS 2063</w:t>
      </w:r>
      <w:r w:rsidR="00696E6C">
        <w:rPr>
          <w:lang w:val="en-GB"/>
        </w:rPr>
        <w:t>.</w:t>
      </w:r>
    </w:p>
    <w:p w:rsidR="00EC4643" w:rsidRPr="00EC4643" w:rsidRDefault="00696E6C" w:rsidP="00C74259">
      <w:pPr>
        <w:rPr>
          <w:lang w:val="en-GB"/>
        </w:rPr>
      </w:pPr>
      <w:r>
        <w:rPr>
          <w:lang w:val="en-GB"/>
        </w:rPr>
        <w:t xml:space="preserve">States and Territories that want to permit the use of helmets complying with European or other international standards are prevented from doing so under current regulatory arrangements. In the absence of a </w:t>
      </w:r>
      <w:r w:rsidR="004F3318">
        <w:rPr>
          <w:lang w:val="en-GB"/>
        </w:rPr>
        <w:t xml:space="preserve">mandatory </w:t>
      </w:r>
      <w:r w:rsidRPr="00C33564">
        <w:rPr>
          <w:lang w:val="en-GB"/>
        </w:rPr>
        <w:t xml:space="preserve">safety standard </w:t>
      </w:r>
      <w:r>
        <w:rPr>
          <w:lang w:val="en-GB"/>
        </w:rPr>
        <w:t xml:space="preserve">for supply, </w:t>
      </w:r>
      <w:r w:rsidRPr="00C33564">
        <w:rPr>
          <w:lang w:val="en-GB"/>
        </w:rPr>
        <w:t>State and Territor</w:t>
      </w:r>
      <w:r>
        <w:rPr>
          <w:lang w:val="en-GB"/>
        </w:rPr>
        <w:t>y</w:t>
      </w:r>
      <w:r w:rsidRPr="00C33564">
        <w:rPr>
          <w:lang w:val="en-GB"/>
        </w:rPr>
        <w:t xml:space="preserve"> </w:t>
      </w:r>
      <w:r>
        <w:rPr>
          <w:lang w:val="en-GB"/>
        </w:rPr>
        <w:t xml:space="preserve">road safety authorities would have greater flexibility to specify the standards of helmets that could be used. </w:t>
      </w:r>
    </w:p>
    <w:p w:rsidR="00EC4643" w:rsidRPr="00EC4643" w:rsidRDefault="00EC4643" w:rsidP="00284117">
      <w:pPr>
        <w:pStyle w:val="Heading4"/>
        <w:rPr>
          <w:lang w:val="en-GB"/>
        </w:rPr>
      </w:pPr>
      <w:bookmarkStart w:id="34" w:name="_Toc458693156"/>
      <w:r w:rsidRPr="00EC4643">
        <w:rPr>
          <w:lang w:val="en-GB"/>
        </w:rPr>
        <w:t>Limitations</w:t>
      </w:r>
      <w:bookmarkEnd w:id="34"/>
    </w:p>
    <w:p w:rsidR="00127DE4" w:rsidRDefault="00AC317E" w:rsidP="00C74259">
      <w:pPr>
        <w:rPr>
          <w:lang w:val="en-GB"/>
        </w:rPr>
      </w:pPr>
      <w:r>
        <w:rPr>
          <w:lang w:val="en-GB"/>
        </w:rPr>
        <w:t>T</w:t>
      </w:r>
      <w:r w:rsidR="00C5092C">
        <w:rPr>
          <w:lang w:val="en-GB"/>
        </w:rPr>
        <w:t xml:space="preserve">he </w:t>
      </w:r>
      <w:r>
        <w:rPr>
          <w:lang w:val="en-GB"/>
        </w:rPr>
        <w:t xml:space="preserve">general </w:t>
      </w:r>
      <w:r w:rsidR="00C5092C">
        <w:rPr>
          <w:lang w:val="en-GB"/>
        </w:rPr>
        <w:t>consumer protection</w:t>
      </w:r>
      <w:r>
        <w:rPr>
          <w:lang w:val="en-GB"/>
        </w:rPr>
        <w:t>s</w:t>
      </w:r>
      <w:r w:rsidR="00C5092C">
        <w:rPr>
          <w:lang w:val="en-GB"/>
        </w:rPr>
        <w:t xml:space="preserve"> of the ACL </w:t>
      </w:r>
      <w:r>
        <w:rPr>
          <w:lang w:val="en-GB"/>
        </w:rPr>
        <w:t xml:space="preserve">would continue </w:t>
      </w:r>
      <w:r w:rsidR="00C5092C">
        <w:rPr>
          <w:lang w:val="en-GB"/>
        </w:rPr>
        <w:t xml:space="preserve">to prevent the supply </w:t>
      </w:r>
      <w:r>
        <w:rPr>
          <w:lang w:val="en-GB"/>
        </w:rPr>
        <w:t>of helmets</w:t>
      </w:r>
      <w:r w:rsidR="00C5092C">
        <w:rPr>
          <w:lang w:val="en-GB"/>
        </w:rPr>
        <w:t xml:space="preserve"> that did not meet </w:t>
      </w:r>
      <w:r>
        <w:rPr>
          <w:lang w:val="en-GB"/>
        </w:rPr>
        <w:t>‘</w:t>
      </w:r>
      <w:r w:rsidR="00C5092C">
        <w:rPr>
          <w:lang w:val="en-GB"/>
        </w:rPr>
        <w:t>use</w:t>
      </w:r>
      <w:r>
        <w:rPr>
          <w:lang w:val="en-GB"/>
        </w:rPr>
        <w:t>’</w:t>
      </w:r>
      <w:r w:rsidR="00C5092C">
        <w:rPr>
          <w:lang w:val="en-GB"/>
        </w:rPr>
        <w:t xml:space="preserve"> laws</w:t>
      </w:r>
      <w:r w:rsidR="00C33D2B">
        <w:rPr>
          <w:lang w:val="en-GB"/>
        </w:rPr>
        <w:t xml:space="preserve"> that</w:t>
      </w:r>
      <w:r w:rsidR="00BB2E51">
        <w:rPr>
          <w:lang w:val="en-GB"/>
        </w:rPr>
        <w:t xml:space="preserve"> are currently aligned in all States and Territories. However, if ‘use’ laws become </w:t>
      </w:r>
      <w:r w:rsidR="005F7255">
        <w:rPr>
          <w:lang w:val="en-GB"/>
        </w:rPr>
        <w:t>inconsistent</w:t>
      </w:r>
      <w:r w:rsidR="00BB2E51">
        <w:rPr>
          <w:lang w:val="en-GB"/>
        </w:rPr>
        <w:t xml:space="preserve"> in different </w:t>
      </w:r>
      <w:r w:rsidR="00C5092C">
        <w:rPr>
          <w:lang w:val="en-GB"/>
        </w:rPr>
        <w:t>State</w:t>
      </w:r>
      <w:r w:rsidR="00BB2E51">
        <w:rPr>
          <w:lang w:val="en-GB"/>
        </w:rPr>
        <w:t>s</w:t>
      </w:r>
      <w:r w:rsidR="00C5092C">
        <w:rPr>
          <w:lang w:val="en-GB"/>
        </w:rPr>
        <w:t xml:space="preserve"> </w:t>
      </w:r>
      <w:r w:rsidR="00BB2E51">
        <w:rPr>
          <w:lang w:val="en-GB"/>
        </w:rPr>
        <w:t xml:space="preserve">or Territories, </w:t>
      </w:r>
      <w:r w:rsidR="00C5092C">
        <w:rPr>
          <w:lang w:val="en-GB"/>
        </w:rPr>
        <w:t xml:space="preserve">then it </w:t>
      </w:r>
      <w:r w:rsidR="00BB2E51">
        <w:rPr>
          <w:lang w:val="en-GB"/>
        </w:rPr>
        <w:t xml:space="preserve">could </w:t>
      </w:r>
      <w:r w:rsidR="0078633B">
        <w:rPr>
          <w:lang w:val="en-GB"/>
        </w:rPr>
        <w:t xml:space="preserve">be </w:t>
      </w:r>
      <w:r w:rsidR="00C5092C">
        <w:rPr>
          <w:lang w:val="en-GB"/>
        </w:rPr>
        <w:t xml:space="preserve">possible for a consumer to purchase a helmet </w:t>
      </w:r>
      <w:r w:rsidR="00BB2E51">
        <w:rPr>
          <w:lang w:val="en-GB"/>
        </w:rPr>
        <w:t>in one State that</w:t>
      </w:r>
      <w:r w:rsidR="00C5092C">
        <w:rPr>
          <w:lang w:val="en-GB"/>
        </w:rPr>
        <w:t xml:space="preserve"> was illegal to use</w:t>
      </w:r>
      <w:r w:rsidR="00BB2E51">
        <w:rPr>
          <w:lang w:val="en-GB"/>
        </w:rPr>
        <w:t xml:space="preserve"> in another</w:t>
      </w:r>
      <w:r w:rsidR="00C5092C">
        <w:rPr>
          <w:lang w:val="en-GB"/>
        </w:rPr>
        <w:t>.</w:t>
      </w:r>
    </w:p>
    <w:p w:rsidR="00C5092C" w:rsidRDefault="00EA6791" w:rsidP="00284117">
      <w:pPr>
        <w:pStyle w:val="Heading3"/>
        <w:keepNext/>
        <w:rPr>
          <w:lang w:val="en-GB"/>
        </w:rPr>
      </w:pPr>
      <w:bookmarkStart w:id="35" w:name="_Toc462327081"/>
      <w:bookmarkStart w:id="36" w:name="_Toc462329722"/>
      <w:r>
        <w:rPr>
          <w:lang w:val="en-GB"/>
        </w:rPr>
        <w:t xml:space="preserve">Option 1b: </w:t>
      </w:r>
      <w:r w:rsidR="00CB6A5A">
        <w:rPr>
          <w:lang w:val="en-GB"/>
        </w:rPr>
        <w:t>‘U</w:t>
      </w:r>
      <w:r w:rsidR="00C74259">
        <w:rPr>
          <w:lang w:val="en-GB"/>
        </w:rPr>
        <w:t>se</w:t>
      </w:r>
      <w:r w:rsidR="00CB6A5A">
        <w:rPr>
          <w:lang w:val="en-GB"/>
        </w:rPr>
        <w:t>’</w:t>
      </w:r>
      <w:r w:rsidR="00C74259">
        <w:rPr>
          <w:lang w:val="en-GB"/>
        </w:rPr>
        <w:t xml:space="preserve"> laws</w:t>
      </w:r>
      <w:r w:rsidR="00C74259" w:rsidRPr="00290BBC">
        <w:rPr>
          <w:lang w:val="en-GB"/>
        </w:rPr>
        <w:t xml:space="preserve"> </w:t>
      </w:r>
      <w:r w:rsidR="00C74259">
        <w:rPr>
          <w:lang w:val="en-GB"/>
        </w:rPr>
        <w:t xml:space="preserve">could </w:t>
      </w:r>
      <w:r w:rsidR="00C5092C" w:rsidRPr="00290BBC">
        <w:rPr>
          <w:lang w:val="en-GB"/>
        </w:rPr>
        <w:t>reference</w:t>
      </w:r>
      <w:r w:rsidR="00C5092C">
        <w:rPr>
          <w:lang w:val="en-GB"/>
        </w:rPr>
        <w:t xml:space="preserve"> </w:t>
      </w:r>
      <w:r w:rsidR="000D3F2F">
        <w:rPr>
          <w:lang w:val="en-GB"/>
        </w:rPr>
        <w:t>the safety standard</w:t>
      </w:r>
      <w:bookmarkEnd w:id="35"/>
      <w:bookmarkEnd w:id="36"/>
    </w:p>
    <w:p w:rsidR="00696E6C" w:rsidRPr="00696E6C" w:rsidRDefault="00696E6C" w:rsidP="00284117">
      <w:pPr>
        <w:pStyle w:val="Heading4"/>
        <w:keepNext/>
        <w:rPr>
          <w:lang w:val="en-GB"/>
        </w:rPr>
      </w:pPr>
      <w:bookmarkStart w:id="37" w:name="_Toc458693158"/>
      <w:r w:rsidRPr="00696E6C">
        <w:rPr>
          <w:lang w:val="en-GB"/>
        </w:rPr>
        <w:t>Description</w:t>
      </w:r>
      <w:bookmarkEnd w:id="37"/>
    </w:p>
    <w:p w:rsidR="00696E6C" w:rsidRDefault="00696E6C" w:rsidP="00C33D2B">
      <w:pPr>
        <w:rPr>
          <w:lang w:val="en-GB"/>
        </w:rPr>
      </w:pPr>
      <w:r w:rsidRPr="00290BBC">
        <w:rPr>
          <w:lang w:val="en-GB"/>
        </w:rPr>
        <w:t xml:space="preserve">Under this option, </w:t>
      </w:r>
      <w:r>
        <w:rPr>
          <w:lang w:val="en-GB"/>
        </w:rPr>
        <w:t xml:space="preserve">the </w:t>
      </w:r>
      <w:r w:rsidRPr="00290BBC">
        <w:rPr>
          <w:lang w:val="en-GB"/>
        </w:rPr>
        <w:t>State</w:t>
      </w:r>
      <w:r>
        <w:rPr>
          <w:lang w:val="en-GB"/>
        </w:rPr>
        <w:t>s</w:t>
      </w:r>
      <w:r w:rsidRPr="00290BBC">
        <w:rPr>
          <w:lang w:val="en-GB"/>
        </w:rPr>
        <w:t xml:space="preserve"> and Territor</w:t>
      </w:r>
      <w:r>
        <w:rPr>
          <w:lang w:val="en-GB"/>
        </w:rPr>
        <w:t>ies</w:t>
      </w:r>
      <w:r w:rsidRPr="00290BBC">
        <w:rPr>
          <w:lang w:val="en-GB"/>
        </w:rPr>
        <w:t xml:space="preserve"> </w:t>
      </w:r>
      <w:r>
        <w:rPr>
          <w:lang w:val="en-GB"/>
        </w:rPr>
        <w:t>would</w:t>
      </w:r>
      <w:r w:rsidRPr="00290BBC">
        <w:rPr>
          <w:lang w:val="en-GB"/>
        </w:rPr>
        <w:t xml:space="preserve"> </w:t>
      </w:r>
      <w:r>
        <w:rPr>
          <w:lang w:val="en-GB"/>
        </w:rPr>
        <w:t>specify that any bicycle helmet that met</w:t>
      </w:r>
      <w:r w:rsidRPr="00290BBC">
        <w:rPr>
          <w:lang w:val="en-GB"/>
        </w:rPr>
        <w:t xml:space="preserve"> the </w:t>
      </w:r>
      <w:r w:rsidR="004F3318">
        <w:rPr>
          <w:lang w:val="en-GB"/>
        </w:rPr>
        <w:t>mandatory</w:t>
      </w:r>
      <w:r w:rsidR="004F3318" w:rsidRPr="00290BBC">
        <w:rPr>
          <w:lang w:val="en-GB"/>
        </w:rPr>
        <w:t xml:space="preserve"> </w:t>
      </w:r>
      <w:r>
        <w:rPr>
          <w:lang w:val="en-GB"/>
        </w:rPr>
        <w:t>safety</w:t>
      </w:r>
      <w:r w:rsidRPr="00290BBC">
        <w:rPr>
          <w:lang w:val="en-GB"/>
        </w:rPr>
        <w:t xml:space="preserve"> standard</w:t>
      </w:r>
      <w:r>
        <w:rPr>
          <w:lang w:val="en-GB"/>
        </w:rPr>
        <w:t xml:space="preserve"> could be used</w:t>
      </w:r>
      <w:r w:rsidR="00FF04F3">
        <w:rPr>
          <w:lang w:val="en-GB"/>
        </w:rPr>
        <w:t>.</w:t>
      </w:r>
    </w:p>
    <w:p w:rsidR="00696E6C" w:rsidRPr="00696E6C" w:rsidRDefault="00696E6C" w:rsidP="00284117">
      <w:pPr>
        <w:pStyle w:val="Heading4"/>
        <w:rPr>
          <w:lang w:val="en-GB"/>
        </w:rPr>
      </w:pPr>
      <w:bookmarkStart w:id="38" w:name="_Toc458693159"/>
      <w:r w:rsidRPr="00696E6C">
        <w:rPr>
          <w:lang w:val="en-GB"/>
        </w:rPr>
        <w:t>Benefits</w:t>
      </w:r>
      <w:bookmarkEnd w:id="38"/>
    </w:p>
    <w:p w:rsidR="00696E6C" w:rsidRDefault="00696E6C" w:rsidP="00C33D2B">
      <w:pPr>
        <w:rPr>
          <w:lang w:val="en-GB"/>
        </w:rPr>
      </w:pPr>
      <w:r>
        <w:rPr>
          <w:lang w:val="en-GB"/>
        </w:rPr>
        <w:t xml:space="preserve">This option would remove </w:t>
      </w:r>
      <w:r w:rsidRPr="00290BBC">
        <w:rPr>
          <w:lang w:val="en-GB"/>
        </w:rPr>
        <w:t>duplicate regulation</w:t>
      </w:r>
      <w:r>
        <w:rPr>
          <w:lang w:val="en-GB"/>
        </w:rPr>
        <w:t xml:space="preserve"> between the Commonwealth and States and Territories.</w:t>
      </w:r>
    </w:p>
    <w:p w:rsidR="00696E6C" w:rsidRPr="00696E6C" w:rsidRDefault="00696E6C" w:rsidP="00284117">
      <w:pPr>
        <w:pStyle w:val="Heading4"/>
        <w:rPr>
          <w:lang w:val="en-GB"/>
        </w:rPr>
      </w:pPr>
      <w:bookmarkStart w:id="39" w:name="_Toc458693160"/>
      <w:r w:rsidRPr="00696E6C">
        <w:rPr>
          <w:lang w:val="en-GB"/>
        </w:rPr>
        <w:t>Limitations</w:t>
      </w:r>
      <w:bookmarkEnd w:id="39"/>
    </w:p>
    <w:p w:rsidR="00C5092C" w:rsidRDefault="00696E6C" w:rsidP="00C33D2B">
      <w:pPr>
        <w:rPr>
          <w:lang w:val="en-GB"/>
        </w:rPr>
      </w:pPr>
      <w:r>
        <w:rPr>
          <w:lang w:val="en-GB"/>
        </w:rPr>
        <w:t>This option may be administratively difficult</w:t>
      </w:r>
      <w:r w:rsidR="00FF04F3">
        <w:rPr>
          <w:lang w:val="en-GB"/>
        </w:rPr>
        <w:t xml:space="preserve"> </w:t>
      </w:r>
      <w:r>
        <w:rPr>
          <w:lang w:val="en-GB"/>
        </w:rPr>
        <w:t>as it would require</w:t>
      </w:r>
      <w:r w:rsidR="00AC317E">
        <w:rPr>
          <w:lang w:val="en-GB"/>
        </w:rPr>
        <w:t xml:space="preserve"> nine Governments </w:t>
      </w:r>
      <w:r w:rsidR="00FF04F3">
        <w:rPr>
          <w:lang w:val="en-GB"/>
        </w:rPr>
        <w:t>to</w:t>
      </w:r>
      <w:r w:rsidR="005F5E51">
        <w:rPr>
          <w:lang w:val="en-GB"/>
        </w:rPr>
        <w:t xml:space="preserve"> </w:t>
      </w:r>
      <w:r w:rsidR="00AC317E">
        <w:rPr>
          <w:lang w:val="en-GB"/>
        </w:rPr>
        <w:t xml:space="preserve">implement </w:t>
      </w:r>
      <w:r w:rsidR="00FF04F3">
        <w:rPr>
          <w:lang w:val="en-GB"/>
        </w:rPr>
        <w:t>an identical</w:t>
      </w:r>
      <w:r w:rsidR="00AC317E">
        <w:rPr>
          <w:lang w:val="en-GB"/>
        </w:rPr>
        <w:t xml:space="preserve"> policy.</w:t>
      </w:r>
      <w:r w:rsidR="00FF04F3">
        <w:rPr>
          <w:lang w:val="en-GB"/>
        </w:rPr>
        <w:t xml:space="preserve"> In addition, States and Territories may differ as to their view on which standard the Commonwealth should adopt. </w:t>
      </w:r>
    </w:p>
    <w:p w:rsidR="005D7A9E" w:rsidRPr="00284117" w:rsidRDefault="005D7A9E" w:rsidP="00C33D2B">
      <w:pPr>
        <w:pStyle w:val="Numbered11"/>
        <w:numPr>
          <w:ilvl w:val="0"/>
          <w:numId w:val="0"/>
        </w:numPr>
        <w:rPr>
          <w:b w:val="0"/>
          <w:lang w:val="en-GB"/>
        </w:rPr>
      </w:pPr>
      <w:bookmarkStart w:id="40" w:name="_Toc462327082"/>
      <w:bookmarkStart w:id="41" w:name="_Toc462329723"/>
      <w:r w:rsidRPr="00284117">
        <w:rPr>
          <w:b w:val="0"/>
          <w:lang w:val="en-GB"/>
        </w:rPr>
        <w:t xml:space="preserve">Option 2: </w:t>
      </w:r>
      <w:r w:rsidRPr="00284117">
        <w:rPr>
          <w:b w:val="0"/>
          <w:lang w:val="en-GB"/>
        </w:rPr>
        <w:tab/>
      </w:r>
      <w:r w:rsidR="00F10C00" w:rsidRPr="00284117">
        <w:rPr>
          <w:b w:val="0"/>
          <w:lang w:val="en-GB"/>
        </w:rPr>
        <w:t>Maintain the status quo</w:t>
      </w:r>
      <w:bookmarkEnd w:id="40"/>
      <w:bookmarkEnd w:id="41"/>
    </w:p>
    <w:p w:rsidR="00FF04F3" w:rsidRPr="00FF04F3" w:rsidRDefault="00FF04F3" w:rsidP="007A53F4">
      <w:pPr>
        <w:pStyle w:val="Heading4"/>
        <w:rPr>
          <w:lang w:val="en-GB"/>
        </w:rPr>
      </w:pPr>
      <w:bookmarkStart w:id="42" w:name="_Toc458693162"/>
      <w:r w:rsidRPr="00FF04F3">
        <w:rPr>
          <w:lang w:val="en-GB"/>
        </w:rPr>
        <w:t>Description</w:t>
      </w:r>
      <w:bookmarkEnd w:id="42"/>
    </w:p>
    <w:p w:rsidR="0078633B" w:rsidRDefault="00732AA9" w:rsidP="00F10C00">
      <w:pPr>
        <w:rPr>
          <w:lang w:val="en-GB"/>
        </w:rPr>
      </w:pPr>
      <w:r>
        <w:rPr>
          <w:lang w:val="en-GB"/>
        </w:rPr>
        <w:t xml:space="preserve">This option would maintain the </w:t>
      </w:r>
      <w:r w:rsidR="004F3318">
        <w:rPr>
          <w:lang w:val="en-GB"/>
        </w:rPr>
        <w:t xml:space="preserve">mandatory </w:t>
      </w:r>
      <w:r>
        <w:rPr>
          <w:lang w:val="en-GB"/>
        </w:rPr>
        <w:t>safety standard</w:t>
      </w:r>
      <w:r w:rsidR="0078633B">
        <w:rPr>
          <w:lang w:val="en-GB"/>
        </w:rPr>
        <w:t xml:space="preserve">. It would continue to </w:t>
      </w:r>
      <w:r>
        <w:rPr>
          <w:lang w:val="en-GB"/>
        </w:rPr>
        <w:t>exist alongside State and Territory road safety laws for bicycle helmets.</w:t>
      </w:r>
    </w:p>
    <w:p w:rsidR="00732AA9" w:rsidRDefault="00EE57DE" w:rsidP="00F10C00">
      <w:pPr>
        <w:rPr>
          <w:lang w:val="en-GB"/>
        </w:rPr>
      </w:pPr>
      <w:r>
        <w:rPr>
          <w:lang w:val="en-GB"/>
        </w:rPr>
        <w:t xml:space="preserve">The </w:t>
      </w:r>
      <w:r w:rsidR="00290BBC">
        <w:rPr>
          <w:lang w:val="en-GB"/>
        </w:rPr>
        <w:t xml:space="preserve">ACCC would look to revise and update the </w:t>
      </w:r>
      <w:r w:rsidR="004F3318">
        <w:rPr>
          <w:lang w:val="en-GB"/>
        </w:rPr>
        <w:t xml:space="preserve">mandatory </w:t>
      </w:r>
      <w:r w:rsidR="00290BBC">
        <w:rPr>
          <w:lang w:val="en-GB"/>
        </w:rPr>
        <w:t xml:space="preserve">safety </w:t>
      </w:r>
      <w:r>
        <w:rPr>
          <w:lang w:val="en-GB"/>
        </w:rPr>
        <w:t xml:space="preserve">standard when </w:t>
      </w:r>
      <w:r w:rsidR="00290BBC">
        <w:rPr>
          <w:lang w:val="en-GB"/>
        </w:rPr>
        <w:t xml:space="preserve">Standards Australia completes its </w:t>
      </w:r>
      <w:r>
        <w:rPr>
          <w:lang w:val="en-GB"/>
        </w:rPr>
        <w:t>current review of AS/NZS 2063.</w:t>
      </w:r>
    </w:p>
    <w:p w:rsidR="00E72AD0" w:rsidRDefault="00E72AD0" w:rsidP="007A53F4">
      <w:pPr>
        <w:pStyle w:val="Heading4"/>
        <w:rPr>
          <w:lang w:val="en-GB"/>
        </w:rPr>
      </w:pPr>
      <w:bookmarkStart w:id="43" w:name="_Toc458693163"/>
      <w:r>
        <w:rPr>
          <w:lang w:val="en-GB"/>
        </w:rPr>
        <w:t>Benefits</w:t>
      </w:r>
      <w:bookmarkEnd w:id="43"/>
    </w:p>
    <w:p w:rsidR="00E72AD0" w:rsidRPr="00E72AD0" w:rsidRDefault="00E72AD0" w:rsidP="004B12B9">
      <w:pPr>
        <w:rPr>
          <w:lang w:val="en-GB"/>
        </w:rPr>
      </w:pPr>
      <w:r>
        <w:rPr>
          <w:lang w:val="en-GB"/>
        </w:rPr>
        <w:t>No changes in regulation will mean certainty for suppliers and consumers in the short-term.</w:t>
      </w:r>
    </w:p>
    <w:p w:rsidR="00FF04F3" w:rsidRPr="00FF04F3" w:rsidRDefault="00FF04F3" w:rsidP="007A53F4">
      <w:pPr>
        <w:pStyle w:val="Heading4"/>
        <w:rPr>
          <w:lang w:val="en-GB"/>
        </w:rPr>
      </w:pPr>
      <w:bookmarkStart w:id="44" w:name="_Toc458693164"/>
      <w:r w:rsidRPr="00FF04F3">
        <w:rPr>
          <w:lang w:val="en-GB"/>
        </w:rPr>
        <w:lastRenderedPageBreak/>
        <w:t>Limitations</w:t>
      </w:r>
      <w:bookmarkEnd w:id="44"/>
    </w:p>
    <w:p w:rsidR="00E72AD0" w:rsidRDefault="00E72AD0" w:rsidP="004B12B9">
      <w:pPr>
        <w:rPr>
          <w:lang w:val="en-GB"/>
        </w:rPr>
      </w:pPr>
      <w:r>
        <w:rPr>
          <w:lang w:val="en-GB"/>
        </w:rPr>
        <w:t xml:space="preserve">The duplicative regulation of bicycle helmets would continue. States and Territories would continue to be prevented from allowing helmets to be used other than those that comply with AS/NZS 2063. </w:t>
      </w:r>
    </w:p>
    <w:p w:rsidR="00C5092C" w:rsidRPr="00284117" w:rsidRDefault="00C5092C" w:rsidP="00C33D2B">
      <w:pPr>
        <w:pStyle w:val="Numbered11"/>
        <w:numPr>
          <w:ilvl w:val="0"/>
          <w:numId w:val="0"/>
        </w:numPr>
        <w:rPr>
          <w:b w:val="0"/>
          <w:lang w:val="en-GB"/>
        </w:rPr>
      </w:pPr>
      <w:bookmarkStart w:id="45" w:name="_Toc462327083"/>
      <w:bookmarkStart w:id="46" w:name="_Toc462329724"/>
      <w:r w:rsidRPr="00284117">
        <w:rPr>
          <w:b w:val="0"/>
          <w:lang w:val="en-GB"/>
        </w:rPr>
        <w:t xml:space="preserve">Option 3: </w:t>
      </w:r>
      <w:r w:rsidRPr="00284117">
        <w:rPr>
          <w:b w:val="0"/>
          <w:lang w:val="en-GB"/>
        </w:rPr>
        <w:tab/>
      </w:r>
      <w:r w:rsidR="00C33D2B" w:rsidRPr="00284117">
        <w:rPr>
          <w:b w:val="0"/>
          <w:lang w:val="en-GB"/>
        </w:rPr>
        <w:t xml:space="preserve">Accept </w:t>
      </w:r>
      <w:r w:rsidRPr="00284117">
        <w:rPr>
          <w:b w:val="0"/>
          <w:lang w:val="en-GB"/>
        </w:rPr>
        <w:t>other trusted standards</w:t>
      </w:r>
      <w:bookmarkEnd w:id="45"/>
      <w:bookmarkEnd w:id="46"/>
    </w:p>
    <w:p w:rsidR="001C5533" w:rsidRPr="001C5533" w:rsidRDefault="001C5533" w:rsidP="007A53F4">
      <w:pPr>
        <w:pStyle w:val="Heading4"/>
        <w:rPr>
          <w:lang w:val="en-GB"/>
        </w:rPr>
      </w:pPr>
      <w:bookmarkStart w:id="47" w:name="_Toc458693166"/>
      <w:r w:rsidRPr="001C5533">
        <w:rPr>
          <w:lang w:val="en-GB"/>
        </w:rPr>
        <w:t>Description</w:t>
      </w:r>
      <w:bookmarkEnd w:id="47"/>
    </w:p>
    <w:p w:rsidR="00C33D2B" w:rsidRDefault="00EE57DE" w:rsidP="004B12B9">
      <w:pPr>
        <w:rPr>
          <w:lang w:val="en-GB"/>
        </w:rPr>
      </w:pPr>
      <w:r>
        <w:rPr>
          <w:lang w:val="en-GB"/>
        </w:rPr>
        <w:t xml:space="preserve">This option would </w:t>
      </w:r>
      <w:r w:rsidR="0078633B">
        <w:rPr>
          <w:lang w:val="en-GB"/>
        </w:rPr>
        <w:t xml:space="preserve">amend the </w:t>
      </w:r>
      <w:r w:rsidR="004F3318">
        <w:rPr>
          <w:lang w:val="en-GB"/>
        </w:rPr>
        <w:t xml:space="preserve">mandatory </w:t>
      </w:r>
      <w:r w:rsidR="00C33D2B">
        <w:rPr>
          <w:lang w:val="en-GB"/>
        </w:rPr>
        <w:t>safety</w:t>
      </w:r>
      <w:r w:rsidR="0078633B">
        <w:rPr>
          <w:lang w:val="en-GB"/>
        </w:rPr>
        <w:t xml:space="preserve"> standard to </w:t>
      </w:r>
      <w:r w:rsidR="00C33D2B">
        <w:rPr>
          <w:lang w:val="en-GB"/>
        </w:rPr>
        <w:t>allow</w:t>
      </w:r>
      <w:r w:rsidR="0078633B">
        <w:rPr>
          <w:lang w:val="en-GB"/>
        </w:rPr>
        <w:t xml:space="preserve"> helmets </w:t>
      </w:r>
      <w:r w:rsidR="00C33D2B">
        <w:rPr>
          <w:lang w:val="en-GB"/>
        </w:rPr>
        <w:t>that meet</w:t>
      </w:r>
      <w:r w:rsidR="0078633B">
        <w:rPr>
          <w:lang w:val="en-GB"/>
        </w:rPr>
        <w:t xml:space="preserve"> trusted </w:t>
      </w:r>
      <w:r w:rsidR="00C33D2B">
        <w:rPr>
          <w:lang w:val="en-GB"/>
        </w:rPr>
        <w:t xml:space="preserve">international </w:t>
      </w:r>
      <w:r w:rsidR="0078633B">
        <w:rPr>
          <w:lang w:val="en-GB"/>
        </w:rPr>
        <w:t xml:space="preserve">standards (such as the EN or CPSC standards) to </w:t>
      </w:r>
      <w:r w:rsidR="00C33D2B">
        <w:rPr>
          <w:lang w:val="en-GB"/>
        </w:rPr>
        <w:t>be supplied.</w:t>
      </w:r>
    </w:p>
    <w:p w:rsidR="00B874B9" w:rsidRDefault="00B874B9" w:rsidP="004B12B9">
      <w:pPr>
        <w:rPr>
          <w:lang w:val="en-GB"/>
        </w:rPr>
      </w:pPr>
      <w:r>
        <w:rPr>
          <w:lang w:val="en-GB"/>
        </w:rPr>
        <w:t xml:space="preserve">The ACCC has not analysed the relative safety merits of the EN or CPSC standards in detail </w:t>
      </w:r>
      <w:r w:rsidR="00EA51DF">
        <w:rPr>
          <w:lang w:val="en-GB"/>
        </w:rPr>
        <w:t>(</w:t>
      </w:r>
      <w:r>
        <w:rPr>
          <w:lang w:val="en-GB"/>
        </w:rPr>
        <w:t xml:space="preserve">but </w:t>
      </w:r>
      <w:r w:rsidR="00EA51DF">
        <w:rPr>
          <w:lang w:val="en-GB"/>
        </w:rPr>
        <w:t xml:space="preserve">see section 3 for </w:t>
      </w:r>
      <w:r>
        <w:rPr>
          <w:lang w:val="en-GB"/>
        </w:rPr>
        <w:t>a preliminary assessment</w:t>
      </w:r>
      <w:r w:rsidR="00EA51DF">
        <w:rPr>
          <w:lang w:val="en-GB"/>
        </w:rPr>
        <w:t>).</w:t>
      </w:r>
      <w:r>
        <w:rPr>
          <w:lang w:val="en-GB"/>
        </w:rPr>
        <w:t xml:space="preserve"> </w:t>
      </w:r>
      <w:r w:rsidR="00EA51DF">
        <w:rPr>
          <w:lang w:val="en-GB"/>
        </w:rPr>
        <w:t>Nonetheless,</w:t>
      </w:r>
      <w:r>
        <w:rPr>
          <w:lang w:val="en-GB"/>
        </w:rPr>
        <w:t xml:space="preserve"> these are the most widely accepted safety standards fo</w:t>
      </w:r>
      <w:r w:rsidR="003F5C3C">
        <w:rPr>
          <w:lang w:val="en-GB"/>
        </w:rPr>
        <w:t>r bicycle helmets in the world.</w:t>
      </w:r>
    </w:p>
    <w:p w:rsidR="001C5533" w:rsidRDefault="001C5533" w:rsidP="007A53F4">
      <w:pPr>
        <w:pStyle w:val="Heading4"/>
        <w:rPr>
          <w:lang w:val="en-GB"/>
        </w:rPr>
      </w:pPr>
      <w:bookmarkStart w:id="48" w:name="_Toc458693167"/>
      <w:r>
        <w:rPr>
          <w:lang w:val="en-GB"/>
        </w:rPr>
        <w:t>Benefits</w:t>
      </w:r>
      <w:bookmarkEnd w:id="48"/>
    </w:p>
    <w:p w:rsidR="004000D4" w:rsidRDefault="001C5533" w:rsidP="004B12B9">
      <w:pPr>
        <w:rPr>
          <w:lang w:val="en-GB"/>
        </w:rPr>
      </w:pPr>
      <w:r>
        <w:rPr>
          <w:lang w:val="en-GB"/>
        </w:rPr>
        <w:t xml:space="preserve">Suppliers and consumers would benefit from being able to supply and </w:t>
      </w:r>
      <w:r w:rsidR="004F3318">
        <w:rPr>
          <w:lang w:val="en-GB"/>
        </w:rPr>
        <w:t>buy</w:t>
      </w:r>
      <w:r>
        <w:rPr>
          <w:lang w:val="en-GB"/>
        </w:rPr>
        <w:t xml:space="preserve"> a greater range of helmets </w:t>
      </w:r>
      <w:r w:rsidR="004F3318">
        <w:rPr>
          <w:lang w:val="en-GB"/>
        </w:rPr>
        <w:t xml:space="preserve">that </w:t>
      </w:r>
      <w:r>
        <w:rPr>
          <w:lang w:val="en-GB"/>
        </w:rPr>
        <w:t>comply with trusted international standards.</w:t>
      </w:r>
    </w:p>
    <w:p w:rsidR="001C5533" w:rsidRPr="001C5533" w:rsidRDefault="001C5533" w:rsidP="007A53F4">
      <w:pPr>
        <w:pStyle w:val="Heading4"/>
        <w:rPr>
          <w:lang w:val="en-GB"/>
        </w:rPr>
      </w:pPr>
      <w:bookmarkStart w:id="49" w:name="_Toc458693168"/>
      <w:r w:rsidRPr="001C5533">
        <w:rPr>
          <w:lang w:val="en-GB"/>
        </w:rPr>
        <w:t>Limitations</w:t>
      </w:r>
      <w:bookmarkEnd w:id="49"/>
    </w:p>
    <w:p w:rsidR="00B874B9" w:rsidRDefault="00EE57DE" w:rsidP="00414BCE">
      <w:pPr>
        <w:rPr>
          <w:lang w:val="en-GB"/>
        </w:rPr>
      </w:pPr>
      <w:r>
        <w:rPr>
          <w:lang w:val="en-GB"/>
        </w:rPr>
        <w:t xml:space="preserve">If </w:t>
      </w:r>
      <w:r w:rsidR="00987374">
        <w:rPr>
          <w:lang w:val="en-GB"/>
        </w:rPr>
        <w:t xml:space="preserve">the </w:t>
      </w:r>
      <w:r w:rsidR="004F3318">
        <w:rPr>
          <w:lang w:val="en-GB"/>
        </w:rPr>
        <w:t xml:space="preserve">mandatory </w:t>
      </w:r>
      <w:r w:rsidR="00B874B9">
        <w:rPr>
          <w:lang w:val="en-GB"/>
        </w:rPr>
        <w:t>safety</w:t>
      </w:r>
      <w:r w:rsidR="00987374">
        <w:rPr>
          <w:lang w:val="en-GB"/>
        </w:rPr>
        <w:t xml:space="preserve"> standard </w:t>
      </w:r>
      <w:r w:rsidR="00B874B9">
        <w:rPr>
          <w:lang w:val="en-GB"/>
        </w:rPr>
        <w:t>allowed helmets to be supplied</w:t>
      </w:r>
      <w:r w:rsidR="00987374">
        <w:rPr>
          <w:lang w:val="en-GB"/>
        </w:rPr>
        <w:t xml:space="preserve"> that w</w:t>
      </w:r>
      <w:r w:rsidR="00B874B9">
        <w:rPr>
          <w:lang w:val="en-GB"/>
        </w:rPr>
        <w:t>ere</w:t>
      </w:r>
      <w:r w:rsidR="00987374">
        <w:rPr>
          <w:lang w:val="en-GB"/>
        </w:rPr>
        <w:t xml:space="preserve"> not </w:t>
      </w:r>
      <w:r w:rsidR="00B874B9">
        <w:rPr>
          <w:lang w:val="en-GB"/>
        </w:rPr>
        <w:t>allowed</w:t>
      </w:r>
      <w:r w:rsidR="00987374">
        <w:rPr>
          <w:lang w:val="en-GB"/>
        </w:rPr>
        <w:t xml:space="preserve"> to be used in every State</w:t>
      </w:r>
      <w:r>
        <w:rPr>
          <w:lang w:val="en-GB"/>
        </w:rPr>
        <w:t xml:space="preserve"> and Territory </w:t>
      </w:r>
      <w:r w:rsidR="00987374">
        <w:rPr>
          <w:lang w:val="en-GB"/>
        </w:rPr>
        <w:t xml:space="preserve">then it </w:t>
      </w:r>
      <w:r>
        <w:rPr>
          <w:lang w:val="en-GB"/>
        </w:rPr>
        <w:t xml:space="preserve">would be possible for a consumer to buy a helmet that </w:t>
      </w:r>
      <w:r w:rsidR="006305BD">
        <w:rPr>
          <w:lang w:val="en-GB"/>
        </w:rPr>
        <w:t>is</w:t>
      </w:r>
      <w:r>
        <w:rPr>
          <w:lang w:val="en-GB"/>
        </w:rPr>
        <w:t xml:space="preserve"> illegal to use on </w:t>
      </w:r>
      <w:r w:rsidR="00987374">
        <w:rPr>
          <w:lang w:val="en-GB"/>
        </w:rPr>
        <w:t xml:space="preserve">some </w:t>
      </w:r>
      <w:r w:rsidR="003F5C3C">
        <w:rPr>
          <w:lang w:val="en-GB"/>
        </w:rPr>
        <w:t>roads.</w:t>
      </w:r>
    </w:p>
    <w:p w:rsidR="009E7406" w:rsidRDefault="00B874B9" w:rsidP="009E7406">
      <w:pPr>
        <w:spacing w:after="200"/>
        <w:rPr>
          <w:lang w:val="en-GB"/>
        </w:rPr>
      </w:pPr>
      <w:r>
        <w:rPr>
          <w:lang w:val="en-GB"/>
        </w:rPr>
        <w:t>It would therefore be important that all nine Governments agreed to any change that accepted trusted international standards such as the EN or CPSC bicycle helmet standards.</w:t>
      </w:r>
    </w:p>
    <w:p w:rsidR="000E3A2E" w:rsidRPr="000E3A2E" w:rsidRDefault="009F2D34" w:rsidP="004B12B9">
      <w:pPr>
        <w:pStyle w:val="Numbered1"/>
        <w:spacing w:before="0"/>
      </w:pPr>
      <w:bookmarkStart w:id="50" w:name="_Toc462327084"/>
      <w:bookmarkStart w:id="51" w:name="_Toc462329725"/>
      <w:r w:rsidRPr="009F2D34">
        <w:t>Pre</w:t>
      </w:r>
      <w:r w:rsidR="00E31834">
        <w:t>liminary position</w:t>
      </w:r>
      <w:bookmarkEnd w:id="50"/>
      <w:bookmarkEnd w:id="51"/>
    </w:p>
    <w:p w:rsidR="00EE57DE" w:rsidRDefault="00B37D81" w:rsidP="0066015B">
      <w:pPr>
        <w:rPr>
          <w:lang w:val="en-GB"/>
        </w:rPr>
      </w:pPr>
      <w:r>
        <w:rPr>
          <w:lang w:val="en-GB"/>
        </w:rPr>
        <w:t>The ACCC</w:t>
      </w:r>
      <w:r w:rsidR="0066015B" w:rsidRPr="0066015B">
        <w:rPr>
          <w:lang w:val="en-GB"/>
        </w:rPr>
        <w:t xml:space="preserve"> </w:t>
      </w:r>
      <w:r w:rsidR="00EE57DE">
        <w:rPr>
          <w:lang w:val="en-GB"/>
        </w:rPr>
        <w:t xml:space="preserve">is of the view that </w:t>
      </w:r>
      <w:r w:rsidR="00EA51DF">
        <w:rPr>
          <w:lang w:val="en-GB"/>
        </w:rPr>
        <w:t xml:space="preserve">consumer </w:t>
      </w:r>
      <w:r w:rsidR="00EE57DE">
        <w:rPr>
          <w:lang w:val="en-GB"/>
        </w:rPr>
        <w:t xml:space="preserve">safety </w:t>
      </w:r>
      <w:r w:rsidR="00EA51DF">
        <w:rPr>
          <w:lang w:val="en-GB"/>
        </w:rPr>
        <w:t xml:space="preserve">and confidence would be </w:t>
      </w:r>
      <w:r w:rsidR="00EE57DE">
        <w:rPr>
          <w:lang w:val="en-GB"/>
        </w:rPr>
        <w:t xml:space="preserve">maximised, and </w:t>
      </w:r>
      <w:r w:rsidR="00EA51DF">
        <w:rPr>
          <w:lang w:val="en-GB"/>
        </w:rPr>
        <w:t>compliance</w:t>
      </w:r>
      <w:r w:rsidR="00EE57DE">
        <w:rPr>
          <w:lang w:val="en-GB"/>
        </w:rPr>
        <w:t xml:space="preserve"> costs for suppliers minimised</w:t>
      </w:r>
      <w:r w:rsidR="00EA51DF">
        <w:rPr>
          <w:lang w:val="en-GB"/>
        </w:rPr>
        <w:t>,</w:t>
      </w:r>
      <w:r w:rsidR="00EE57DE">
        <w:rPr>
          <w:lang w:val="en-GB"/>
        </w:rPr>
        <w:t xml:space="preserve"> if all </w:t>
      </w:r>
      <w:r w:rsidR="00EA51DF">
        <w:rPr>
          <w:lang w:val="en-GB"/>
        </w:rPr>
        <w:t xml:space="preserve">Australian bicycle helmet regulations continue to </w:t>
      </w:r>
      <w:r w:rsidR="00EE57DE">
        <w:rPr>
          <w:lang w:val="en-GB"/>
        </w:rPr>
        <w:t>reference the same standard or standards.</w:t>
      </w:r>
    </w:p>
    <w:p w:rsidR="009A733A" w:rsidRPr="00C624DD" w:rsidRDefault="009A733A" w:rsidP="009A733A">
      <w:pPr>
        <w:rPr>
          <w:lang w:val="en-GB"/>
        </w:rPr>
      </w:pPr>
      <w:r w:rsidRPr="0012182A">
        <w:rPr>
          <w:lang w:val="en-GB"/>
        </w:rPr>
        <w:t xml:space="preserve">The </w:t>
      </w:r>
      <w:r w:rsidR="00723C9F">
        <w:rPr>
          <w:lang w:val="en-GB"/>
        </w:rPr>
        <w:t>mandatory</w:t>
      </w:r>
      <w:r w:rsidR="00723C9F" w:rsidRPr="0012182A">
        <w:rPr>
          <w:lang w:val="en-GB"/>
        </w:rPr>
        <w:t xml:space="preserve"> </w:t>
      </w:r>
      <w:r w:rsidRPr="0012182A">
        <w:rPr>
          <w:lang w:val="en-GB"/>
        </w:rPr>
        <w:t xml:space="preserve">safety standard is </w:t>
      </w:r>
      <w:r>
        <w:rPr>
          <w:lang w:val="en-GB"/>
        </w:rPr>
        <w:t xml:space="preserve">currently </w:t>
      </w:r>
      <w:r w:rsidRPr="0012182A">
        <w:rPr>
          <w:lang w:val="en-GB"/>
        </w:rPr>
        <w:t xml:space="preserve">redundant as every State and Territory has ‘use’ laws requiring cyclists to wear helmets that comply with the Australian </w:t>
      </w:r>
      <w:r w:rsidR="00095005">
        <w:rPr>
          <w:lang w:val="en-GB"/>
        </w:rPr>
        <w:t>s</w:t>
      </w:r>
      <w:r w:rsidR="00095005" w:rsidRPr="0012182A">
        <w:rPr>
          <w:lang w:val="en-GB"/>
        </w:rPr>
        <w:t>tandard</w:t>
      </w:r>
      <w:r w:rsidRPr="0012182A">
        <w:rPr>
          <w:lang w:val="en-GB"/>
        </w:rPr>
        <w:t>.</w:t>
      </w:r>
    </w:p>
    <w:p w:rsidR="00732AA9" w:rsidRPr="00C624DD" w:rsidRDefault="0014747A" w:rsidP="00205303">
      <w:pPr>
        <w:rPr>
          <w:lang w:val="en-GB"/>
        </w:rPr>
      </w:pPr>
      <w:r>
        <w:rPr>
          <w:lang w:val="en-GB"/>
        </w:rPr>
        <w:t>R</w:t>
      </w:r>
      <w:r w:rsidRPr="00C624DD">
        <w:rPr>
          <w:lang w:val="en-GB"/>
        </w:rPr>
        <w:t>evok</w:t>
      </w:r>
      <w:r>
        <w:rPr>
          <w:lang w:val="en-GB"/>
        </w:rPr>
        <w:t xml:space="preserve">ing </w:t>
      </w:r>
      <w:r w:rsidR="00732AA9">
        <w:rPr>
          <w:lang w:val="en-GB"/>
        </w:rPr>
        <w:t xml:space="preserve">the </w:t>
      </w:r>
      <w:r w:rsidR="00963F42">
        <w:rPr>
          <w:lang w:val="en-GB"/>
        </w:rPr>
        <w:t xml:space="preserve">mandatory </w:t>
      </w:r>
      <w:r w:rsidR="001234FF">
        <w:rPr>
          <w:lang w:val="en-GB"/>
        </w:rPr>
        <w:t xml:space="preserve">safety </w:t>
      </w:r>
      <w:r w:rsidR="00732AA9">
        <w:rPr>
          <w:lang w:val="en-GB"/>
        </w:rPr>
        <w:t xml:space="preserve">standard </w:t>
      </w:r>
      <w:r>
        <w:rPr>
          <w:lang w:val="en-GB"/>
        </w:rPr>
        <w:t>(Option 1a) would</w:t>
      </w:r>
      <w:r w:rsidRPr="00C624DD">
        <w:rPr>
          <w:lang w:val="en-GB"/>
        </w:rPr>
        <w:t xml:space="preserve"> </w:t>
      </w:r>
      <w:r w:rsidR="00732AA9" w:rsidRPr="00C624DD">
        <w:rPr>
          <w:lang w:val="en-GB"/>
        </w:rPr>
        <w:t xml:space="preserve">remove the potential for a </w:t>
      </w:r>
      <w:r w:rsidR="009A733A" w:rsidRPr="009A5995">
        <w:rPr>
          <w:lang w:val="en-GB"/>
        </w:rPr>
        <w:t xml:space="preserve">future </w:t>
      </w:r>
      <w:r w:rsidR="00732AA9" w:rsidRPr="009A5995">
        <w:rPr>
          <w:lang w:val="en-GB"/>
        </w:rPr>
        <w:t xml:space="preserve">conflict </w:t>
      </w:r>
      <w:r w:rsidR="001234FF" w:rsidRPr="009A5995">
        <w:rPr>
          <w:lang w:val="en-GB"/>
        </w:rPr>
        <w:t>between</w:t>
      </w:r>
      <w:r w:rsidR="00732AA9" w:rsidRPr="009A5995">
        <w:rPr>
          <w:lang w:val="en-GB"/>
        </w:rPr>
        <w:t xml:space="preserve"> </w:t>
      </w:r>
      <w:r w:rsidR="00EA51DF" w:rsidRPr="009A5995">
        <w:rPr>
          <w:lang w:val="en-GB"/>
        </w:rPr>
        <w:t xml:space="preserve">Commonwealth </w:t>
      </w:r>
      <w:r w:rsidR="00732AA9" w:rsidRPr="009A5995">
        <w:rPr>
          <w:lang w:val="en-GB"/>
        </w:rPr>
        <w:t xml:space="preserve">supply and </w:t>
      </w:r>
      <w:r w:rsidR="00EA51DF" w:rsidRPr="009A5995">
        <w:rPr>
          <w:lang w:val="en-GB"/>
        </w:rPr>
        <w:t xml:space="preserve">State and Territory </w:t>
      </w:r>
      <w:r w:rsidR="00732AA9" w:rsidRPr="009A5995">
        <w:rPr>
          <w:lang w:val="en-GB"/>
        </w:rPr>
        <w:t>use laws</w:t>
      </w:r>
      <w:r w:rsidR="00272145" w:rsidRPr="009A5995">
        <w:rPr>
          <w:lang w:val="en-GB"/>
        </w:rPr>
        <w:t>.</w:t>
      </w:r>
      <w:r w:rsidR="00C119D6" w:rsidRPr="009A5995">
        <w:rPr>
          <w:lang w:val="en-GB"/>
        </w:rPr>
        <w:t xml:space="preserve"> </w:t>
      </w:r>
      <w:r w:rsidR="00272145" w:rsidRPr="009A5995">
        <w:rPr>
          <w:lang w:val="en-GB"/>
        </w:rPr>
        <w:t>The</w:t>
      </w:r>
      <w:r w:rsidR="00C119D6" w:rsidRPr="009A5995">
        <w:rPr>
          <w:lang w:val="en-GB"/>
        </w:rPr>
        <w:t xml:space="preserve"> </w:t>
      </w:r>
      <w:r w:rsidR="00272145" w:rsidRPr="009A5995">
        <w:rPr>
          <w:lang w:val="en-GB"/>
        </w:rPr>
        <w:t>general consumer protections of the ACL that</w:t>
      </w:r>
      <w:r w:rsidR="00C119D6" w:rsidRPr="009A5995">
        <w:rPr>
          <w:lang w:val="en-GB"/>
        </w:rPr>
        <w:t xml:space="preserve"> ensure </w:t>
      </w:r>
      <w:r w:rsidR="00272145" w:rsidRPr="009A5995">
        <w:rPr>
          <w:lang w:val="en-GB"/>
        </w:rPr>
        <w:t xml:space="preserve">that </w:t>
      </w:r>
      <w:r w:rsidR="00C119D6" w:rsidRPr="009A5995">
        <w:rPr>
          <w:lang w:val="en-GB"/>
        </w:rPr>
        <w:t xml:space="preserve">helmets are </w:t>
      </w:r>
      <w:r w:rsidR="00272145" w:rsidRPr="009A5995">
        <w:rPr>
          <w:lang w:val="en-GB"/>
        </w:rPr>
        <w:t>of an acceptable quality, including that they are fit for purpose, would remain in place</w:t>
      </w:r>
      <w:r w:rsidR="00C119D6" w:rsidRPr="009A5995">
        <w:rPr>
          <w:lang w:val="en-GB"/>
        </w:rPr>
        <w:t>.</w:t>
      </w:r>
    </w:p>
    <w:p w:rsidR="00732AA9" w:rsidRPr="0012182A" w:rsidRDefault="0012182A" w:rsidP="00205303">
      <w:pPr>
        <w:rPr>
          <w:lang w:val="en-GB"/>
        </w:rPr>
      </w:pPr>
      <w:r>
        <w:rPr>
          <w:lang w:val="en-GB"/>
        </w:rPr>
        <w:t>O</w:t>
      </w:r>
      <w:r w:rsidR="00732AA9" w:rsidRPr="0012182A">
        <w:rPr>
          <w:lang w:val="en-GB"/>
        </w:rPr>
        <w:t xml:space="preserve">verlapping regulation </w:t>
      </w:r>
      <w:r w:rsidR="009A733A">
        <w:rPr>
          <w:lang w:val="en-GB"/>
        </w:rPr>
        <w:t xml:space="preserve">also </w:t>
      </w:r>
      <w:r w:rsidR="00732AA9" w:rsidRPr="0012182A">
        <w:rPr>
          <w:lang w:val="en-GB"/>
        </w:rPr>
        <w:t xml:space="preserve">creates additional costs for </w:t>
      </w:r>
      <w:r w:rsidR="00963F42">
        <w:rPr>
          <w:lang w:val="en-GB"/>
        </w:rPr>
        <w:t>g</w:t>
      </w:r>
      <w:r w:rsidR="00963F42" w:rsidRPr="0012182A">
        <w:rPr>
          <w:lang w:val="en-GB"/>
        </w:rPr>
        <w:t>overnments</w:t>
      </w:r>
      <w:r w:rsidR="00732AA9" w:rsidRPr="0012182A">
        <w:rPr>
          <w:lang w:val="en-GB"/>
        </w:rPr>
        <w:t>, business</w:t>
      </w:r>
      <w:r w:rsidR="001234FF" w:rsidRPr="0012182A">
        <w:rPr>
          <w:lang w:val="en-GB"/>
        </w:rPr>
        <w:t>es</w:t>
      </w:r>
      <w:r w:rsidR="00732AA9" w:rsidRPr="0012182A">
        <w:rPr>
          <w:lang w:val="en-GB"/>
        </w:rPr>
        <w:t xml:space="preserve"> and consumers, including costs </w:t>
      </w:r>
      <w:r w:rsidR="001234FF" w:rsidRPr="0012182A">
        <w:rPr>
          <w:lang w:val="en-GB"/>
        </w:rPr>
        <w:t>to</w:t>
      </w:r>
      <w:r w:rsidR="00732AA9" w:rsidRPr="0012182A">
        <w:rPr>
          <w:lang w:val="en-GB"/>
        </w:rPr>
        <w:t xml:space="preserve"> develop and maint</w:t>
      </w:r>
      <w:r w:rsidR="001234FF" w:rsidRPr="0012182A">
        <w:rPr>
          <w:lang w:val="en-GB"/>
        </w:rPr>
        <w:t>ai</w:t>
      </w:r>
      <w:r w:rsidR="00732AA9" w:rsidRPr="0012182A">
        <w:rPr>
          <w:lang w:val="en-GB"/>
        </w:rPr>
        <w:t>n regulation and complian</w:t>
      </w:r>
      <w:r w:rsidR="001234FF" w:rsidRPr="0012182A">
        <w:rPr>
          <w:lang w:val="en-GB"/>
        </w:rPr>
        <w:t>ce costs</w:t>
      </w:r>
      <w:r w:rsidR="0014747A">
        <w:rPr>
          <w:lang w:val="en-GB"/>
        </w:rPr>
        <w:t>.</w:t>
      </w:r>
    </w:p>
    <w:p w:rsidR="008517C5" w:rsidRPr="009A140D" w:rsidRDefault="008517C5" w:rsidP="00634B36">
      <w:pPr>
        <w:rPr>
          <w:lang w:val="en-GB"/>
        </w:rPr>
      </w:pPr>
      <w:bookmarkStart w:id="52" w:name="_Toc462327085"/>
      <w:r w:rsidRPr="009A140D">
        <w:rPr>
          <w:lang w:val="en-GB"/>
        </w:rPr>
        <w:t>The Office of Best Practice Regulation (OBPR) has advised that the ACCC may not need to develop a Regulation Impact Statement to revoke the safety standard.</w:t>
      </w:r>
    </w:p>
    <w:p w:rsidR="0078420B" w:rsidRDefault="0078420B">
      <w:pPr>
        <w:rPr>
          <w:rFonts w:ascii="Lucida Fax" w:eastAsiaTheme="majorEastAsia" w:hAnsi="Lucida Fax" w:cstheme="majorBidi"/>
          <w:bCs/>
          <w:color w:val="51626F"/>
          <w:sz w:val="32"/>
          <w:szCs w:val="28"/>
        </w:rPr>
      </w:pPr>
      <w:r>
        <w:br w:type="page"/>
      </w:r>
    </w:p>
    <w:p w:rsidR="0012182A" w:rsidRDefault="00724026" w:rsidP="0012182A">
      <w:pPr>
        <w:pStyle w:val="Numbered1"/>
      </w:pPr>
      <w:bookmarkStart w:id="53" w:name="_Toc462329726"/>
      <w:r>
        <w:lastRenderedPageBreak/>
        <w:t>Consultation</w:t>
      </w:r>
      <w:r w:rsidR="0012182A">
        <w:t xml:space="preserve"> questions</w:t>
      </w:r>
      <w:bookmarkEnd w:id="52"/>
      <w:bookmarkEnd w:id="53"/>
    </w:p>
    <w:p w:rsidR="00DB4D2D" w:rsidRPr="00DB4D2D" w:rsidRDefault="00DB4D2D" w:rsidP="00DB4D2D">
      <w:pPr>
        <w:spacing w:before="0"/>
      </w:pPr>
    </w:p>
    <w:p w:rsidR="00013F93" w:rsidRDefault="00013F93" w:rsidP="00205303">
      <w:r>
        <w:rPr>
          <w:noProof/>
          <w:lang w:eastAsia="en-AU"/>
        </w:rPr>
        <mc:AlternateContent>
          <mc:Choice Requires="wps">
            <w:drawing>
              <wp:anchor distT="0" distB="0" distL="114300" distR="114300" simplePos="0" relativeHeight="251664384" behindDoc="0" locked="0" layoutInCell="1" allowOverlap="1" wp14:anchorId="6FC3A1BB" wp14:editId="3F207BCB">
                <wp:simplePos x="0" y="0"/>
                <wp:positionH relativeFrom="column">
                  <wp:align>center</wp:align>
                </wp:positionH>
                <wp:positionV relativeFrom="paragraph">
                  <wp:posOffset>0</wp:posOffset>
                </wp:positionV>
                <wp:extent cx="5686425" cy="16573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657350"/>
                        </a:xfrm>
                        <a:prstGeom prst="rect">
                          <a:avLst/>
                        </a:prstGeom>
                        <a:solidFill>
                          <a:srgbClr val="FFFFFF"/>
                        </a:solidFill>
                        <a:ln w="9525">
                          <a:solidFill>
                            <a:srgbClr val="000000"/>
                          </a:solidFill>
                          <a:miter lim="800000"/>
                          <a:headEnd/>
                          <a:tailEnd/>
                        </a:ln>
                      </wps:spPr>
                      <wps:txbx>
                        <w:txbxContent>
                          <w:p w:rsidR="00DB4D2D" w:rsidRDefault="00DB4D2D" w:rsidP="00DB4D2D">
                            <w:pPr>
                              <w:ind w:left="340" w:hanging="340"/>
                            </w:pPr>
                            <w:r>
                              <w:t xml:space="preserve">Please consider the following questions when making a submission: </w:t>
                            </w:r>
                          </w:p>
                          <w:p w:rsidR="00013F93" w:rsidRDefault="00013F93" w:rsidP="00013F93">
                            <w:pPr>
                              <w:pStyle w:val="ListParagraph"/>
                              <w:numPr>
                                <w:ilvl w:val="0"/>
                                <w:numId w:val="37"/>
                              </w:numPr>
                            </w:pPr>
                            <w:r>
                              <w:t xml:space="preserve">Do you support the ACCC’s preliminary position that the Commonwealth supply standard for bicycle helmets be revoked? </w:t>
                            </w:r>
                          </w:p>
                          <w:p w:rsidR="00013F93" w:rsidRDefault="00013F93" w:rsidP="00013F93">
                            <w:pPr>
                              <w:pStyle w:val="ListParagraph"/>
                              <w:numPr>
                                <w:ilvl w:val="0"/>
                                <w:numId w:val="38"/>
                              </w:numPr>
                            </w:pPr>
                            <w:r>
                              <w:t>If not, why not?</w:t>
                            </w:r>
                          </w:p>
                          <w:p w:rsidR="00013F93" w:rsidRDefault="00013F93" w:rsidP="00013F93">
                            <w:pPr>
                              <w:pStyle w:val="ListParagraph"/>
                              <w:numPr>
                                <w:ilvl w:val="0"/>
                                <w:numId w:val="37"/>
                              </w:numPr>
                            </w:pPr>
                            <w:r>
                              <w:t>Are there any other policy options that the ACCC should consider?</w:t>
                            </w:r>
                          </w:p>
                          <w:p w:rsidR="00013F93" w:rsidRDefault="00013F93" w:rsidP="00013F93">
                            <w:pPr>
                              <w:pStyle w:val="ListParagraph"/>
                              <w:numPr>
                                <w:ilvl w:val="0"/>
                                <w:numId w:val="37"/>
                              </w:numPr>
                            </w:pPr>
                            <w:r>
                              <w:t>Do you have any other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447.75pt;height:130.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">
                <v:textbox>
                  <w:txbxContent>
                    <w:p w:rsidR="00DB4D2D" w:rsidRDefault="00DB4D2D" w:rsidP="00DB4D2D">
                      <w:pPr>
                        <w:ind w:left="340" w:hanging="340"/>
                      </w:pPr>
                      <w:r>
                        <w:t xml:space="preserve">Please consider the following questions when making a submission: </w:t>
                      </w:r>
                    </w:p>
                    <w:p w:rsidR="00013F93" w:rsidRDefault="00013F93" w:rsidP="00013F93">
                      <w:pPr>
                        <w:pStyle w:val="ListParagraph"/>
                        <w:numPr>
                          <w:ilvl w:val="0"/>
                          <w:numId w:val="37"/>
                        </w:numPr>
                      </w:pPr>
                      <w:r>
                        <w:t xml:space="preserve">Do you support the ACCC’s preliminary position that the Commonwealth supply standard for bicycle helmets be revoked? </w:t>
                      </w:r>
                    </w:p>
                    <w:p w:rsidR="00013F93" w:rsidRDefault="00013F93" w:rsidP="00013F93">
                      <w:pPr>
                        <w:pStyle w:val="ListParagraph"/>
                        <w:numPr>
                          <w:ilvl w:val="0"/>
                          <w:numId w:val="38"/>
                        </w:numPr>
                      </w:pPr>
                      <w:r>
                        <w:t>If not, why not?</w:t>
                      </w:r>
                    </w:p>
                    <w:p w:rsidR="00013F93" w:rsidRDefault="00013F93" w:rsidP="00013F93">
                      <w:pPr>
                        <w:pStyle w:val="ListParagraph"/>
                        <w:numPr>
                          <w:ilvl w:val="0"/>
                          <w:numId w:val="37"/>
                        </w:numPr>
                      </w:pPr>
                      <w:r>
                        <w:t>Are there any other policy options that the ACCC should consider?</w:t>
                      </w:r>
                    </w:p>
                    <w:p w:rsidR="00013F93" w:rsidRDefault="00013F93" w:rsidP="00013F93">
                      <w:pPr>
                        <w:pStyle w:val="ListParagraph"/>
                        <w:numPr>
                          <w:ilvl w:val="0"/>
                          <w:numId w:val="37"/>
                        </w:numPr>
                      </w:pPr>
                      <w:r>
                        <w:t>Do you have any other comments?</w:t>
                      </w:r>
                    </w:p>
                  </w:txbxContent>
                </v:textbox>
              </v:shape>
            </w:pict>
          </mc:Fallback>
        </mc:AlternateContent>
      </w:r>
    </w:p>
    <w:p w:rsidR="00013F93" w:rsidRDefault="00013F93" w:rsidP="00205303"/>
    <w:p w:rsidR="00013F93" w:rsidRDefault="00013F93" w:rsidP="00205303"/>
    <w:p w:rsidR="00013F93" w:rsidRDefault="00013F93" w:rsidP="00205303"/>
    <w:p w:rsidR="00013F93" w:rsidRDefault="00013F93" w:rsidP="00205303"/>
    <w:p w:rsidR="00013F93" w:rsidRDefault="00013F93" w:rsidP="00205303"/>
    <w:p w:rsidR="0012182A" w:rsidRPr="000E3A2E" w:rsidRDefault="00E31834" w:rsidP="0012182A">
      <w:pPr>
        <w:pStyle w:val="Numbered1"/>
      </w:pPr>
      <w:bookmarkStart w:id="54" w:name="_Toc462327086"/>
      <w:bookmarkStart w:id="55" w:name="_Toc462329727"/>
      <w:r>
        <w:t>Have your say</w:t>
      </w:r>
      <w:bookmarkEnd w:id="54"/>
      <w:bookmarkEnd w:id="55"/>
    </w:p>
    <w:p w:rsidR="0088204C" w:rsidRDefault="0088204C" w:rsidP="0088204C">
      <w:r>
        <w:t xml:space="preserve">The ACCC invites interested parties to provide information and comment on this review. Consultation is open from 28 September 2016 to 18 November 2016. </w:t>
      </w:r>
    </w:p>
    <w:p w:rsidR="0088204C" w:rsidRDefault="0088204C" w:rsidP="0088204C">
      <w:r>
        <w:t xml:space="preserve">The ACCC prefers submissions to be made via the </w:t>
      </w:r>
      <w:r w:rsidRPr="00D854DB">
        <w:t>ACCC consultation hub</w:t>
      </w:r>
      <w:r w:rsidRPr="00D854DB">
        <w:rPr>
          <w:rStyle w:val="Hyperlink"/>
          <w:color w:val="auto"/>
          <w:u w:val="none"/>
        </w:rPr>
        <w:t xml:space="preserve"> at </w:t>
      </w:r>
      <w:hyperlink r:id="rId15" w:history="1">
        <w:r w:rsidRPr="0071058F">
          <w:rPr>
            <w:rStyle w:val="Hyperlink"/>
          </w:rPr>
          <w:t>consultation.accc.gov.au</w:t>
        </w:r>
      </w:hyperlink>
      <w:r>
        <w:t>.</w:t>
      </w:r>
    </w:p>
    <w:p w:rsidR="0088204C" w:rsidRDefault="0088204C" w:rsidP="0088204C">
      <w:r>
        <w:t xml:space="preserve">Alternatively, email submissions to </w:t>
      </w:r>
      <w:hyperlink r:id="rId16" w:history="1">
        <w:r w:rsidRPr="007556AB">
          <w:rPr>
            <w:rStyle w:val="Hyperlink"/>
          </w:rPr>
          <w:t>productsafety.regulation@accc.gov.au</w:t>
        </w:r>
      </w:hyperlink>
      <w:r>
        <w:rPr>
          <w:rStyle w:val="Hyperlink"/>
        </w:rPr>
        <w:t>.</w:t>
      </w:r>
    </w:p>
    <w:p w:rsidR="0088204C" w:rsidRDefault="0088204C" w:rsidP="0088204C">
      <w:r>
        <w:t>Submissions can also be posted to:</w:t>
      </w:r>
    </w:p>
    <w:p w:rsidR="0088204C" w:rsidRDefault="0088204C" w:rsidP="0088204C">
      <w:pPr>
        <w:ind w:left="340"/>
      </w:pPr>
      <w:r>
        <w:t>Director</w:t>
      </w:r>
      <w:r>
        <w:br/>
      </w:r>
      <w:r w:rsidRPr="00A07FB8">
        <w:t>Standards</w:t>
      </w:r>
      <w:r>
        <w:t xml:space="preserve"> and</w:t>
      </w:r>
      <w:r w:rsidRPr="00A07FB8">
        <w:t xml:space="preserve"> Policy</w:t>
      </w:r>
      <w:r>
        <w:br/>
        <w:t>Consumer Product Safety Branch</w:t>
      </w:r>
      <w:r>
        <w:br/>
        <w:t>Australian Competition and Consumer Commission</w:t>
      </w:r>
      <w:r>
        <w:br/>
        <w:t>GPO Box 3131</w:t>
      </w:r>
      <w:r>
        <w:br/>
        <w:t>CANBERRA ACT 2601</w:t>
      </w:r>
    </w:p>
    <w:p w:rsidR="009F2D34" w:rsidRPr="000E3A2E" w:rsidRDefault="0088204C" w:rsidP="0088204C">
      <w:pPr>
        <w:spacing w:after="240"/>
      </w:pPr>
      <w:r w:rsidRPr="00F806A2">
        <w:t>If the information you provide is of a confidential nature, we assure you that we will treat the details you provided confidentially. That is, the ACCC will not disclose the confidential information to third parties, other than advisors or consultants engaged directly by the ACCC, without first providing you with notice of its intention to do so, such as where it is compelled to do so by law. Please note that any information that you believe to be of a confidential nature should be clearly marked or identified as confidential.</w:t>
      </w:r>
      <w:r>
        <w:t xml:space="preserve"> See the </w:t>
      </w:r>
      <w:hyperlink r:id="rId17" w:history="1">
        <w:r>
          <w:rPr>
            <w:rStyle w:val="Hyperlink"/>
          </w:rPr>
          <w:t>ACCC &amp; AER information policy: collection and disclosure of information</w:t>
        </w:r>
      </w:hyperlink>
      <w:r>
        <w:t xml:space="preserve"> publication for more information</w:t>
      </w:r>
    </w:p>
    <w:p w:rsidR="008617B6" w:rsidRDefault="008617B6" w:rsidP="009A733A">
      <w:pPr>
        <w:pStyle w:val="Numbered1"/>
        <w:numPr>
          <w:ilvl w:val="0"/>
          <w:numId w:val="0"/>
        </w:numPr>
      </w:pPr>
    </w:p>
    <w:p w:rsidR="008617B6" w:rsidRDefault="008617B6" w:rsidP="009A733A">
      <w:pPr>
        <w:pStyle w:val="Numbered1"/>
        <w:numPr>
          <w:ilvl w:val="0"/>
          <w:numId w:val="0"/>
        </w:numPr>
      </w:pPr>
    </w:p>
    <w:p w:rsidR="008617B6" w:rsidRDefault="008617B6" w:rsidP="009A733A">
      <w:pPr>
        <w:pStyle w:val="Numbered1"/>
        <w:numPr>
          <w:ilvl w:val="0"/>
          <w:numId w:val="0"/>
        </w:numPr>
      </w:pPr>
    </w:p>
    <w:p w:rsidR="008617B6" w:rsidRDefault="008617B6" w:rsidP="009A733A">
      <w:pPr>
        <w:pStyle w:val="Numbered1"/>
        <w:numPr>
          <w:ilvl w:val="0"/>
          <w:numId w:val="0"/>
        </w:numPr>
      </w:pPr>
    </w:p>
    <w:p w:rsidR="00CF4528" w:rsidRDefault="00CF4528" w:rsidP="00CF4528"/>
    <w:p w:rsidR="00CF4528" w:rsidRPr="00CF4528" w:rsidRDefault="00CF4528" w:rsidP="00CF4528"/>
    <w:p w:rsidR="006305BD" w:rsidRPr="0092392B" w:rsidRDefault="008413C2" w:rsidP="0092392B">
      <w:pPr>
        <w:pStyle w:val="Numbered1"/>
        <w:numPr>
          <w:ilvl w:val="0"/>
          <w:numId w:val="0"/>
        </w:numPr>
      </w:pPr>
      <w:bookmarkStart w:id="56" w:name="_Toc462327087"/>
      <w:bookmarkStart w:id="57" w:name="_Toc462329728"/>
      <w:r w:rsidRPr="0092392B">
        <w:lastRenderedPageBreak/>
        <w:t>Glossary</w:t>
      </w:r>
      <w:bookmarkEnd w:id="56"/>
      <w:bookmarkEnd w:id="57"/>
    </w:p>
    <w:p w:rsidR="008413C2" w:rsidRPr="006305BD" w:rsidRDefault="008413C2" w:rsidP="006305BD"/>
    <w:tbl>
      <w:tblPr>
        <w:tblStyle w:val="LightShading"/>
        <w:tblW w:w="0" w:type="auto"/>
        <w:tblLook w:val="04A0" w:firstRow="1" w:lastRow="0" w:firstColumn="1" w:lastColumn="0" w:noHBand="0" w:noVBand="1"/>
      </w:tblPr>
      <w:tblGrid>
        <w:gridCol w:w="1809"/>
        <w:gridCol w:w="7433"/>
      </w:tblGrid>
      <w:tr w:rsidR="0023107E" w:rsidRPr="006E6D6A" w:rsidTr="008517C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Pr>
          <w:p w:rsidR="0023107E" w:rsidRPr="006E6D6A" w:rsidRDefault="0023107E" w:rsidP="008517C5">
            <w:pPr>
              <w:rPr>
                <w:szCs w:val="20"/>
              </w:rPr>
            </w:pPr>
            <w:r w:rsidRPr="006E6D6A">
              <w:rPr>
                <w:szCs w:val="20"/>
              </w:rPr>
              <w:t>Term</w:t>
            </w:r>
          </w:p>
        </w:tc>
        <w:tc>
          <w:tcPr>
            <w:tcW w:w="7433" w:type="dxa"/>
          </w:tcPr>
          <w:p w:rsidR="0023107E" w:rsidRPr="006E6D6A" w:rsidRDefault="0023107E" w:rsidP="008517C5">
            <w:pPr>
              <w:cnfStyle w:val="100000000000" w:firstRow="1" w:lastRow="0" w:firstColumn="0" w:lastColumn="0" w:oddVBand="0" w:evenVBand="0" w:oddHBand="0" w:evenHBand="0" w:firstRowFirstColumn="0" w:firstRowLastColumn="0" w:lastRowFirstColumn="0" w:lastRowLastColumn="0"/>
              <w:rPr>
                <w:szCs w:val="20"/>
              </w:rPr>
            </w:pPr>
            <w:r w:rsidRPr="006E6D6A">
              <w:rPr>
                <w:szCs w:val="20"/>
              </w:rPr>
              <w:t>Definition</w:t>
            </w:r>
          </w:p>
        </w:tc>
      </w:tr>
      <w:tr w:rsidR="0023107E" w:rsidRPr="006E6D6A" w:rsidTr="008517C5">
        <w:trPr>
          <w:cantSplit/>
        </w:trPr>
        <w:tc>
          <w:tcPr>
            <w:cnfStyle w:val="001000000000" w:firstRow="0" w:lastRow="0" w:firstColumn="1" w:lastColumn="0" w:oddVBand="0" w:evenVBand="0" w:oddHBand="0" w:evenHBand="0" w:firstRowFirstColumn="0" w:firstRowLastColumn="0" w:lastRowFirstColumn="0" w:lastRowLastColumn="0"/>
            <w:tcW w:w="1809" w:type="dxa"/>
          </w:tcPr>
          <w:p w:rsidR="0023107E" w:rsidRPr="005F37C2" w:rsidRDefault="005F37C2" w:rsidP="005F37C2">
            <w:pPr>
              <w:rPr>
                <w:szCs w:val="20"/>
              </w:rPr>
            </w:pPr>
            <w:r w:rsidRPr="005F37C2">
              <w:rPr>
                <w:szCs w:val="20"/>
              </w:rPr>
              <w:t xml:space="preserve">ACL </w:t>
            </w:r>
          </w:p>
        </w:tc>
        <w:tc>
          <w:tcPr>
            <w:tcW w:w="7433" w:type="dxa"/>
          </w:tcPr>
          <w:p w:rsidR="0023107E" w:rsidRPr="006E6D6A" w:rsidRDefault="005F37C2" w:rsidP="008517C5">
            <w:pPr>
              <w:cnfStyle w:val="000000000000" w:firstRow="0" w:lastRow="0" w:firstColumn="0" w:lastColumn="0" w:oddVBand="0" w:evenVBand="0" w:oddHBand="0" w:evenHBand="0" w:firstRowFirstColumn="0" w:firstRowLastColumn="0" w:lastRowFirstColumn="0" w:lastRowLastColumn="0"/>
              <w:rPr>
                <w:szCs w:val="20"/>
              </w:rPr>
            </w:pPr>
            <w:r>
              <w:rPr>
                <w:szCs w:val="20"/>
              </w:rPr>
              <w:t>Australian Consumer Law</w:t>
            </w:r>
          </w:p>
        </w:tc>
      </w:tr>
      <w:tr w:rsidR="005F37C2" w:rsidRPr="008413C2" w:rsidTr="008517C5">
        <w:trPr>
          <w:cantSplit/>
        </w:trPr>
        <w:tc>
          <w:tcPr>
            <w:cnfStyle w:val="001000000000" w:firstRow="0" w:lastRow="0" w:firstColumn="1" w:lastColumn="0" w:oddVBand="0" w:evenVBand="0" w:oddHBand="0" w:evenHBand="0" w:firstRowFirstColumn="0" w:firstRowLastColumn="0" w:lastRowFirstColumn="0" w:lastRowLastColumn="0"/>
            <w:tcW w:w="1809" w:type="dxa"/>
          </w:tcPr>
          <w:p w:rsidR="005F37C2" w:rsidRPr="005F37C2" w:rsidRDefault="005F37C2" w:rsidP="00284117">
            <w:pPr>
              <w:rPr>
                <w:szCs w:val="20"/>
              </w:rPr>
            </w:pPr>
            <w:r w:rsidRPr="005F37C2">
              <w:rPr>
                <w:szCs w:val="20"/>
              </w:rPr>
              <w:t>CCA</w:t>
            </w:r>
          </w:p>
        </w:tc>
        <w:tc>
          <w:tcPr>
            <w:tcW w:w="7433" w:type="dxa"/>
          </w:tcPr>
          <w:p w:rsidR="005F37C2" w:rsidRPr="0092392B" w:rsidRDefault="005F37C2" w:rsidP="00284117">
            <w:pPr>
              <w:cnfStyle w:val="000000000000" w:firstRow="0" w:lastRow="0" w:firstColumn="0" w:lastColumn="0" w:oddVBand="0" w:evenVBand="0" w:oddHBand="0" w:evenHBand="0" w:firstRowFirstColumn="0" w:firstRowLastColumn="0" w:lastRowFirstColumn="0" w:lastRowLastColumn="0"/>
              <w:rPr>
                <w:i/>
                <w:szCs w:val="20"/>
              </w:rPr>
            </w:pPr>
            <w:r w:rsidRPr="0092392B">
              <w:rPr>
                <w:i/>
                <w:szCs w:val="20"/>
              </w:rPr>
              <w:t>Competition and Consumer Act 2010</w:t>
            </w:r>
          </w:p>
        </w:tc>
      </w:tr>
      <w:tr w:rsidR="005F37C2" w:rsidRPr="006E6D6A" w:rsidTr="008517C5">
        <w:trPr>
          <w:cantSplit/>
        </w:trPr>
        <w:tc>
          <w:tcPr>
            <w:cnfStyle w:val="001000000000" w:firstRow="0" w:lastRow="0" w:firstColumn="1" w:lastColumn="0" w:oddVBand="0" w:evenVBand="0" w:oddHBand="0" w:evenHBand="0" w:firstRowFirstColumn="0" w:firstRowLastColumn="0" w:lastRowFirstColumn="0" w:lastRowLastColumn="0"/>
            <w:tcW w:w="1809" w:type="dxa"/>
          </w:tcPr>
          <w:p w:rsidR="005F37C2" w:rsidRPr="005F37C2" w:rsidRDefault="005F37C2" w:rsidP="008517C5">
            <w:pPr>
              <w:rPr>
                <w:szCs w:val="20"/>
              </w:rPr>
            </w:pPr>
            <w:r w:rsidRPr="005F37C2">
              <w:rPr>
                <w:szCs w:val="20"/>
              </w:rPr>
              <w:t>CPSC</w:t>
            </w:r>
          </w:p>
        </w:tc>
        <w:tc>
          <w:tcPr>
            <w:tcW w:w="7433" w:type="dxa"/>
          </w:tcPr>
          <w:p w:rsidR="005F37C2" w:rsidRPr="006E6D6A" w:rsidRDefault="005F37C2" w:rsidP="0023107E">
            <w:pPr>
              <w:cnfStyle w:val="000000000000" w:firstRow="0" w:lastRow="0" w:firstColumn="0" w:lastColumn="0" w:oddVBand="0" w:evenVBand="0" w:oddHBand="0" w:evenHBand="0" w:firstRowFirstColumn="0" w:firstRowLastColumn="0" w:lastRowFirstColumn="0" w:lastRowLastColumn="0"/>
              <w:rPr>
                <w:szCs w:val="20"/>
              </w:rPr>
            </w:pPr>
            <w:r>
              <w:rPr>
                <w:szCs w:val="20"/>
              </w:rPr>
              <w:t>Consumer Product Safety Commission (United States)</w:t>
            </w:r>
          </w:p>
        </w:tc>
      </w:tr>
      <w:tr w:rsidR="005F37C2" w:rsidRPr="006E6D6A" w:rsidTr="008517C5">
        <w:trPr>
          <w:cantSplit/>
        </w:trPr>
        <w:tc>
          <w:tcPr>
            <w:cnfStyle w:val="001000000000" w:firstRow="0" w:lastRow="0" w:firstColumn="1" w:lastColumn="0" w:oddVBand="0" w:evenVBand="0" w:oddHBand="0" w:evenHBand="0" w:firstRowFirstColumn="0" w:firstRowLastColumn="0" w:lastRowFirstColumn="0" w:lastRowLastColumn="0"/>
            <w:tcW w:w="1809" w:type="dxa"/>
          </w:tcPr>
          <w:p w:rsidR="005F37C2" w:rsidRPr="005F37C2" w:rsidRDefault="0092392B" w:rsidP="0092392B">
            <w:pPr>
              <w:rPr>
                <w:szCs w:val="20"/>
              </w:rPr>
            </w:pPr>
            <w:r w:rsidRPr="005F37C2">
              <w:rPr>
                <w:szCs w:val="20"/>
              </w:rPr>
              <w:t>E</w:t>
            </w:r>
            <w:r>
              <w:rPr>
                <w:szCs w:val="20"/>
              </w:rPr>
              <w:t>uropean standard</w:t>
            </w:r>
          </w:p>
        </w:tc>
        <w:tc>
          <w:tcPr>
            <w:tcW w:w="7433" w:type="dxa"/>
          </w:tcPr>
          <w:p w:rsidR="005F37C2" w:rsidRPr="006E6D6A" w:rsidRDefault="0092392B" w:rsidP="0092392B">
            <w:pPr>
              <w:cnfStyle w:val="000000000000" w:firstRow="0" w:lastRow="0" w:firstColumn="0" w:lastColumn="0" w:oddVBand="0" w:evenVBand="0" w:oddHBand="0" w:evenHBand="0" w:firstRowFirstColumn="0" w:firstRowLastColumn="0" w:lastRowFirstColumn="0" w:lastRowLastColumn="0"/>
              <w:rPr>
                <w:szCs w:val="20"/>
              </w:rPr>
            </w:pPr>
            <w:r w:rsidRPr="00491B27">
              <w:rPr>
                <w:lang w:val="en-GB"/>
              </w:rPr>
              <w:t xml:space="preserve">EN 1078 </w:t>
            </w:r>
            <w:r w:rsidRPr="0092392B">
              <w:rPr>
                <w:lang w:val="en-GB"/>
              </w:rPr>
              <w:t>Helmets for pedal cyclists and for users of skateboards and roller skates</w:t>
            </w:r>
          </w:p>
        </w:tc>
      </w:tr>
      <w:tr w:rsidR="005F37C2" w:rsidRPr="006E6D6A" w:rsidTr="008517C5">
        <w:trPr>
          <w:cantSplit/>
        </w:trPr>
        <w:tc>
          <w:tcPr>
            <w:cnfStyle w:val="001000000000" w:firstRow="0" w:lastRow="0" w:firstColumn="1" w:lastColumn="0" w:oddVBand="0" w:evenVBand="0" w:oddHBand="0" w:evenHBand="0" w:firstRowFirstColumn="0" w:firstRowLastColumn="0" w:lastRowFirstColumn="0" w:lastRowLastColumn="0"/>
            <w:tcW w:w="1809" w:type="dxa"/>
          </w:tcPr>
          <w:p w:rsidR="005F37C2" w:rsidRPr="005F37C2" w:rsidRDefault="005F37C2" w:rsidP="008517C5">
            <w:pPr>
              <w:rPr>
                <w:szCs w:val="20"/>
              </w:rPr>
            </w:pPr>
            <w:r w:rsidRPr="005F37C2">
              <w:rPr>
                <w:szCs w:val="20"/>
              </w:rPr>
              <w:t>Use law</w:t>
            </w:r>
          </w:p>
        </w:tc>
        <w:tc>
          <w:tcPr>
            <w:tcW w:w="7433" w:type="dxa"/>
          </w:tcPr>
          <w:p w:rsidR="005F37C2" w:rsidRPr="006E6D6A" w:rsidRDefault="00DD3399" w:rsidP="0092392B">
            <w:pPr>
              <w:cnfStyle w:val="000000000000" w:firstRow="0" w:lastRow="0" w:firstColumn="0" w:lastColumn="0" w:oddVBand="0" w:evenVBand="0" w:oddHBand="0" w:evenHBand="0" w:firstRowFirstColumn="0" w:firstRowLastColumn="0" w:lastRowFirstColumn="0" w:lastRowLastColumn="0"/>
              <w:rPr>
                <w:szCs w:val="20"/>
              </w:rPr>
            </w:pPr>
            <w:r>
              <w:rPr>
                <w:szCs w:val="20"/>
              </w:rPr>
              <w:t>Law administered by Australian State and Territory governments regulating which helmets may be legally worn on roads.</w:t>
            </w:r>
          </w:p>
        </w:tc>
      </w:tr>
      <w:tr w:rsidR="005F37C2" w:rsidRPr="006E6D6A" w:rsidTr="008517C5">
        <w:trPr>
          <w:cantSplit/>
        </w:trPr>
        <w:tc>
          <w:tcPr>
            <w:cnfStyle w:val="001000000000" w:firstRow="0" w:lastRow="0" w:firstColumn="1" w:lastColumn="0" w:oddVBand="0" w:evenVBand="0" w:oddHBand="0" w:evenHBand="0" w:firstRowFirstColumn="0" w:firstRowLastColumn="0" w:lastRowFirstColumn="0" w:lastRowLastColumn="0"/>
            <w:tcW w:w="1809" w:type="dxa"/>
          </w:tcPr>
          <w:p w:rsidR="005F37C2" w:rsidRPr="005F37C2" w:rsidRDefault="005F37C2" w:rsidP="008517C5">
            <w:pPr>
              <w:rPr>
                <w:szCs w:val="20"/>
              </w:rPr>
            </w:pPr>
            <w:r w:rsidRPr="005F37C2">
              <w:rPr>
                <w:szCs w:val="20"/>
              </w:rPr>
              <w:t>Supply law</w:t>
            </w:r>
          </w:p>
        </w:tc>
        <w:tc>
          <w:tcPr>
            <w:tcW w:w="7433" w:type="dxa"/>
          </w:tcPr>
          <w:p w:rsidR="005F37C2" w:rsidRPr="006E6D6A" w:rsidRDefault="00DD3399" w:rsidP="0023107E">
            <w:pPr>
              <w:cnfStyle w:val="000000000000" w:firstRow="0" w:lastRow="0" w:firstColumn="0" w:lastColumn="0" w:oddVBand="0" w:evenVBand="0" w:oddHBand="0" w:evenHBand="0" w:firstRowFirstColumn="0" w:firstRowLastColumn="0" w:lastRowFirstColumn="0" w:lastRowLastColumn="0"/>
              <w:rPr>
                <w:szCs w:val="20"/>
              </w:rPr>
            </w:pPr>
            <w:r>
              <w:rPr>
                <w:szCs w:val="20"/>
              </w:rPr>
              <w:t>Law administered by the Commonwealth</w:t>
            </w:r>
            <w:r w:rsidR="00F44D50">
              <w:rPr>
                <w:szCs w:val="20"/>
              </w:rPr>
              <w:t>, State and Territory</w:t>
            </w:r>
            <w:r>
              <w:rPr>
                <w:szCs w:val="20"/>
              </w:rPr>
              <w:t xml:space="preserve"> Government</w:t>
            </w:r>
            <w:r w:rsidR="00F44D50">
              <w:rPr>
                <w:szCs w:val="20"/>
              </w:rPr>
              <w:t>s</w:t>
            </w:r>
            <w:r>
              <w:rPr>
                <w:szCs w:val="20"/>
              </w:rPr>
              <w:t xml:space="preserve"> regulating which helmets may be legally supplied in Australia.</w:t>
            </w:r>
          </w:p>
        </w:tc>
      </w:tr>
      <w:tr w:rsidR="005F37C2" w:rsidRPr="006E6D6A" w:rsidTr="008517C5">
        <w:tc>
          <w:tcPr>
            <w:cnfStyle w:val="001000000000" w:firstRow="0" w:lastRow="0" w:firstColumn="1" w:lastColumn="0" w:oddVBand="0" w:evenVBand="0" w:oddHBand="0" w:evenHBand="0" w:firstRowFirstColumn="0" w:firstRowLastColumn="0" w:lastRowFirstColumn="0" w:lastRowLastColumn="0"/>
            <w:tcW w:w="1809" w:type="dxa"/>
          </w:tcPr>
          <w:p w:rsidR="005F37C2" w:rsidRPr="005F37C2" w:rsidRDefault="005F37C2" w:rsidP="008517C5">
            <w:pPr>
              <w:rPr>
                <w:szCs w:val="20"/>
              </w:rPr>
            </w:pPr>
            <w:r w:rsidRPr="005F37C2">
              <w:rPr>
                <w:szCs w:val="20"/>
              </w:rPr>
              <w:t>Voluntary Australian standard</w:t>
            </w:r>
          </w:p>
        </w:tc>
        <w:tc>
          <w:tcPr>
            <w:tcW w:w="7433" w:type="dxa"/>
          </w:tcPr>
          <w:p w:rsidR="005F37C2" w:rsidRPr="0023107E" w:rsidRDefault="00DD3399" w:rsidP="0023107E">
            <w:pPr>
              <w:cnfStyle w:val="000000000000" w:firstRow="0" w:lastRow="0" w:firstColumn="0" w:lastColumn="0" w:oddVBand="0" w:evenVBand="0" w:oddHBand="0" w:evenHBand="0" w:firstRowFirstColumn="0" w:firstRowLastColumn="0" w:lastRowFirstColumn="0" w:lastRowLastColumn="0"/>
              <w:rPr>
                <w:szCs w:val="20"/>
              </w:rPr>
            </w:pPr>
            <w:r>
              <w:rPr>
                <w:szCs w:val="20"/>
              </w:rPr>
              <w:t>AS/NZS 2063</w:t>
            </w:r>
            <w:r w:rsidR="00143689">
              <w:rPr>
                <w:szCs w:val="20"/>
              </w:rPr>
              <w:t xml:space="preserve"> </w:t>
            </w:r>
            <w:r w:rsidR="00143689" w:rsidRPr="00143689">
              <w:rPr>
                <w:lang w:val="en-GB"/>
              </w:rPr>
              <w:t>Bicycle Helmets</w:t>
            </w:r>
          </w:p>
        </w:tc>
      </w:tr>
    </w:tbl>
    <w:p w:rsidR="0023107E" w:rsidRDefault="0023107E" w:rsidP="00284117">
      <w:pPr>
        <w:pStyle w:val="Heading1"/>
      </w:pPr>
      <w:r>
        <w:br w:type="page"/>
      </w:r>
    </w:p>
    <w:p w:rsidR="009F2D34" w:rsidRPr="009A733A" w:rsidRDefault="009A733A" w:rsidP="009A733A">
      <w:pPr>
        <w:pStyle w:val="Numbered1"/>
        <w:numPr>
          <w:ilvl w:val="0"/>
          <w:numId w:val="0"/>
        </w:numPr>
      </w:pPr>
      <w:bookmarkStart w:id="58" w:name="_Toc462327088"/>
      <w:bookmarkStart w:id="59" w:name="_Toc462329729"/>
      <w:r w:rsidRPr="009A733A">
        <w:lastRenderedPageBreak/>
        <w:t>Appendix</w:t>
      </w:r>
      <w:r w:rsidR="00A51CD0" w:rsidRPr="009A733A">
        <w:t xml:space="preserve">: Features of the </w:t>
      </w:r>
      <w:r w:rsidRPr="009A733A">
        <w:t xml:space="preserve">safety standard </w:t>
      </w:r>
      <w:r w:rsidR="00A51CD0" w:rsidRPr="009A733A">
        <w:t xml:space="preserve">for </w:t>
      </w:r>
      <w:r w:rsidRPr="009A733A">
        <w:t xml:space="preserve">bicycle </w:t>
      </w:r>
      <w:r w:rsidR="00A51CD0" w:rsidRPr="009A733A">
        <w:t>helmets</w:t>
      </w:r>
      <w:bookmarkEnd w:id="58"/>
      <w:bookmarkEnd w:id="59"/>
    </w:p>
    <w:p w:rsidR="00A51CD0" w:rsidRPr="009A733A" w:rsidRDefault="00A51CD0" w:rsidP="009F2D34">
      <w:pPr>
        <w:pStyle w:val="Listalphabet3"/>
        <w:numPr>
          <w:ilvl w:val="0"/>
          <w:numId w:val="0"/>
        </w:numPr>
      </w:pPr>
      <w:r w:rsidRPr="009A733A">
        <w:t xml:space="preserve">The requirements </w:t>
      </w:r>
      <w:r w:rsidR="00F44D50">
        <w:t>of</w:t>
      </w:r>
      <w:r w:rsidR="00BC4D22" w:rsidRPr="009A733A">
        <w:t xml:space="preserve"> the </w:t>
      </w:r>
      <w:r w:rsidR="00F44D50">
        <w:t>mandatory</w:t>
      </w:r>
      <w:r w:rsidR="00F44D50" w:rsidRPr="009A733A">
        <w:t xml:space="preserve"> </w:t>
      </w:r>
      <w:r w:rsidR="00BC4D22" w:rsidRPr="009A733A">
        <w:t xml:space="preserve">safety standard </w:t>
      </w:r>
      <w:r w:rsidR="009A733A" w:rsidRPr="009A733A">
        <w:t>are based</w:t>
      </w:r>
      <w:r w:rsidRPr="009A733A">
        <w:t xml:space="preserve"> on the </w:t>
      </w:r>
      <w:r w:rsidRPr="009A733A">
        <w:rPr>
          <w:lang w:val="en-GB"/>
        </w:rPr>
        <w:t>voluntary Australia</w:t>
      </w:r>
      <w:r w:rsidR="00F44D50">
        <w:rPr>
          <w:lang w:val="en-GB"/>
        </w:rPr>
        <w:t>n</w:t>
      </w:r>
      <w:r w:rsidRPr="009A733A">
        <w:rPr>
          <w:lang w:val="en-GB"/>
        </w:rPr>
        <w:t xml:space="preserve"> </w:t>
      </w:r>
      <w:r w:rsidR="00F44D50">
        <w:rPr>
          <w:lang w:val="en-GB"/>
        </w:rPr>
        <w:t>s</w:t>
      </w:r>
      <w:r w:rsidR="00F44D50" w:rsidRPr="009A733A">
        <w:rPr>
          <w:lang w:val="en-GB"/>
        </w:rPr>
        <w:t xml:space="preserve">tandard </w:t>
      </w:r>
      <w:r w:rsidRPr="009A733A">
        <w:rPr>
          <w:lang w:val="en-GB"/>
        </w:rPr>
        <w:t>AS/NZS 2063:2008</w:t>
      </w:r>
      <w:r w:rsidR="00F44D50">
        <w:rPr>
          <w:lang w:val="en-GB"/>
        </w:rPr>
        <w:t>.</w:t>
      </w:r>
    </w:p>
    <w:p w:rsidR="00A51CD0" w:rsidRPr="00081FAA" w:rsidRDefault="00A51CD0" w:rsidP="009A140D">
      <w:pPr>
        <w:pStyle w:val="Heading4"/>
        <w:rPr>
          <w:lang w:val="en-GB"/>
        </w:rPr>
      </w:pPr>
      <w:bookmarkStart w:id="60" w:name="_Toc458693174"/>
      <w:bookmarkStart w:id="61" w:name="_Toc462327089"/>
      <w:r w:rsidRPr="00081FAA">
        <w:rPr>
          <w:lang w:val="en-GB"/>
        </w:rPr>
        <w:t>Retention system</w:t>
      </w:r>
      <w:bookmarkEnd w:id="60"/>
      <w:bookmarkEnd w:id="61"/>
    </w:p>
    <w:p w:rsidR="00A51CD0" w:rsidRPr="00081FAA" w:rsidRDefault="00A51CD0" w:rsidP="00F44D50">
      <w:pPr>
        <w:pStyle w:val="ListParagraph"/>
        <w:numPr>
          <w:ilvl w:val="0"/>
          <w:numId w:val="29"/>
        </w:numPr>
        <w:ind w:left="360"/>
        <w:rPr>
          <w:lang w:val="en-GB"/>
        </w:rPr>
      </w:pPr>
      <w:r>
        <w:rPr>
          <w:lang w:val="en-GB"/>
        </w:rPr>
        <w:t>A helmet’s retention system must be designed to</w:t>
      </w:r>
      <w:r w:rsidR="00F44D50">
        <w:rPr>
          <w:lang w:val="en-GB"/>
        </w:rPr>
        <w:t>:</w:t>
      </w:r>
    </w:p>
    <w:p w:rsidR="00A51CD0" w:rsidRPr="00081FAA" w:rsidRDefault="00A51CD0" w:rsidP="00F44D50">
      <w:pPr>
        <w:pStyle w:val="ListParagraph"/>
        <w:numPr>
          <w:ilvl w:val="0"/>
          <w:numId w:val="28"/>
        </w:numPr>
        <w:ind w:left="700"/>
        <w:rPr>
          <w:lang w:val="en-GB"/>
        </w:rPr>
      </w:pPr>
      <w:r w:rsidRPr="00081FAA">
        <w:rPr>
          <w:lang w:val="en-GB"/>
        </w:rPr>
        <w:t>include a retaining strap to be worn under the lower jaw</w:t>
      </w:r>
    </w:p>
    <w:p w:rsidR="00A51CD0" w:rsidRPr="00081FAA" w:rsidRDefault="00A51CD0" w:rsidP="00F44D50">
      <w:pPr>
        <w:pStyle w:val="ListParagraph"/>
        <w:numPr>
          <w:ilvl w:val="0"/>
          <w:numId w:val="28"/>
        </w:numPr>
        <w:ind w:left="700"/>
        <w:rPr>
          <w:lang w:val="en-GB"/>
        </w:rPr>
      </w:pPr>
      <w:r w:rsidRPr="00081FAA">
        <w:rPr>
          <w:lang w:val="en-GB"/>
        </w:rPr>
        <w:t>be adjustable to produce tension on straps between all points at which the strap is attached to the helmet when the retaining strap is properly fastened</w:t>
      </w:r>
    </w:p>
    <w:p w:rsidR="00A51CD0" w:rsidRPr="00081FAA" w:rsidRDefault="00A51CD0" w:rsidP="00F44D50">
      <w:pPr>
        <w:pStyle w:val="ListParagraph"/>
        <w:numPr>
          <w:ilvl w:val="0"/>
          <w:numId w:val="28"/>
        </w:numPr>
        <w:ind w:left="700"/>
        <w:rPr>
          <w:lang w:val="en-GB"/>
        </w:rPr>
      </w:pPr>
      <w:r w:rsidRPr="00081FAA">
        <w:rPr>
          <w:lang w:val="en-GB"/>
        </w:rPr>
        <w:t xml:space="preserve">ensure that the retaining strap fitted to the lower </w:t>
      </w:r>
      <w:r w:rsidR="003F5C3C">
        <w:rPr>
          <w:lang w:val="en-GB"/>
        </w:rPr>
        <w:t>jaw area is at least 15 mm wide</w:t>
      </w:r>
    </w:p>
    <w:p w:rsidR="00A51CD0" w:rsidRDefault="00A51CD0" w:rsidP="00F44D50">
      <w:pPr>
        <w:pStyle w:val="ListParagraph"/>
        <w:numPr>
          <w:ilvl w:val="0"/>
          <w:numId w:val="28"/>
        </w:numPr>
        <w:ind w:left="700"/>
        <w:rPr>
          <w:lang w:val="en-GB"/>
        </w:rPr>
      </w:pPr>
      <w:proofErr w:type="gramStart"/>
      <w:r w:rsidRPr="00081FAA">
        <w:rPr>
          <w:lang w:val="en-GB"/>
        </w:rPr>
        <w:t>meet</w:t>
      </w:r>
      <w:proofErr w:type="gramEnd"/>
      <w:r w:rsidRPr="00081FAA">
        <w:rPr>
          <w:lang w:val="en-GB"/>
        </w:rPr>
        <w:t xml:space="preserve"> the requirements of helmet stability and strength of the retention system under</w:t>
      </w:r>
      <w:r w:rsidR="003F5C3C">
        <w:rPr>
          <w:lang w:val="en-GB"/>
        </w:rPr>
        <w:t xml:space="preserve"> anticipated conditions of use.</w:t>
      </w:r>
    </w:p>
    <w:p w:rsidR="00A51CD0" w:rsidRDefault="00A51CD0" w:rsidP="009A140D">
      <w:pPr>
        <w:pStyle w:val="Heading4"/>
        <w:rPr>
          <w:lang w:val="en-GB"/>
        </w:rPr>
      </w:pPr>
      <w:bookmarkStart w:id="62" w:name="_Toc458693175"/>
      <w:bookmarkStart w:id="63" w:name="_Toc462327090"/>
      <w:r w:rsidRPr="00081FAA">
        <w:rPr>
          <w:lang w:val="en-GB"/>
        </w:rPr>
        <w:t>Projections</w:t>
      </w:r>
      <w:bookmarkEnd w:id="62"/>
      <w:bookmarkEnd w:id="63"/>
    </w:p>
    <w:p w:rsidR="00A51CD0" w:rsidRPr="00AD33BE" w:rsidRDefault="00A51CD0" w:rsidP="00E31834">
      <w:pPr>
        <w:pStyle w:val="ListParagraph"/>
        <w:numPr>
          <w:ilvl w:val="0"/>
          <w:numId w:val="30"/>
        </w:numPr>
        <w:rPr>
          <w:lang w:val="en-GB"/>
        </w:rPr>
      </w:pPr>
      <w:r>
        <w:rPr>
          <w:lang w:val="en-GB"/>
        </w:rPr>
        <w:t>A</w:t>
      </w:r>
      <w:r w:rsidRPr="00AD33BE">
        <w:rPr>
          <w:lang w:val="en-GB"/>
        </w:rPr>
        <w:t xml:space="preserve"> helmet should have no external rigid projections greater than 5 mm in height, except for ventilation holes and associated depressions.</w:t>
      </w:r>
    </w:p>
    <w:p w:rsidR="00A51CD0" w:rsidRPr="00D511B0" w:rsidRDefault="00A51CD0" w:rsidP="00E31834">
      <w:pPr>
        <w:pStyle w:val="ListParagraph"/>
        <w:numPr>
          <w:ilvl w:val="0"/>
          <w:numId w:val="30"/>
        </w:numPr>
        <w:rPr>
          <w:lang w:val="en-GB"/>
        </w:rPr>
      </w:pPr>
      <w:r>
        <w:rPr>
          <w:lang w:val="en-GB"/>
        </w:rPr>
        <w:t xml:space="preserve">A </w:t>
      </w:r>
      <w:r w:rsidRPr="00AD33BE">
        <w:rPr>
          <w:lang w:val="en-GB"/>
        </w:rPr>
        <w:t>helmet should have no internal projections or irregularities likely to cause injury to the wearer in case of an accident.</w:t>
      </w:r>
    </w:p>
    <w:p w:rsidR="00A51CD0" w:rsidRPr="00D511B0" w:rsidRDefault="00A51CD0" w:rsidP="009A140D">
      <w:pPr>
        <w:pStyle w:val="Heading4"/>
        <w:rPr>
          <w:lang w:val="en-GB"/>
        </w:rPr>
      </w:pPr>
      <w:bookmarkStart w:id="64" w:name="_Toc458693176"/>
      <w:bookmarkStart w:id="65" w:name="_Toc462327091"/>
      <w:r w:rsidRPr="00D511B0">
        <w:rPr>
          <w:lang w:val="en-GB"/>
        </w:rPr>
        <w:t>Testing and performance</w:t>
      </w:r>
      <w:bookmarkEnd w:id="64"/>
      <w:bookmarkEnd w:id="65"/>
    </w:p>
    <w:p w:rsidR="00A51CD0" w:rsidRDefault="00A51CD0" w:rsidP="00F44D50">
      <w:pPr>
        <w:pStyle w:val="ListParagraph"/>
        <w:numPr>
          <w:ilvl w:val="0"/>
          <w:numId w:val="31"/>
        </w:numPr>
        <w:ind w:left="360"/>
        <w:rPr>
          <w:lang w:val="en-GB"/>
        </w:rPr>
      </w:pPr>
      <w:r w:rsidRPr="00D511B0">
        <w:rPr>
          <w:lang w:val="en-GB"/>
        </w:rPr>
        <w:t>Bicycle helmets need to be tested for the following performance requirements:</w:t>
      </w:r>
    </w:p>
    <w:p w:rsidR="00A51CD0" w:rsidRPr="00D511B0" w:rsidRDefault="00A51CD0" w:rsidP="00F44D50">
      <w:pPr>
        <w:pStyle w:val="ListParagraph"/>
        <w:numPr>
          <w:ilvl w:val="0"/>
          <w:numId w:val="28"/>
        </w:numPr>
        <w:ind w:left="680"/>
        <w:rPr>
          <w:lang w:val="en-GB"/>
        </w:rPr>
      </w:pPr>
      <w:r>
        <w:rPr>
          <w:lang w:val="en-GB"/>
        </w:rPr>
        <w:t>t</w:t>
      </w:r>
      <w:r w:rsidRPr="00D511B0">
        <w:rPr>
          <w:lang w:val="en-GB"/>
        </w:rPr>
        <w:t>he helmet should not move on the head during normal us</w:t>
      </w:r>
      <w:r>
        <w:rPr>
          <w:lang w:val="en-GB"/>
        </w:rPr>
        <w:t>e, resulting in obscured vision</w:t>
      </w:r>
    </w:p>
    <w:p w:rsidR="00A51CD0" w:rsidRPr="00D511B0" w:rsidRDefault="00A51CD0" w:rsidP="00F44D50">
      <w:pPr>
        <w:pStyle w:val="ListParagraph"/>
        <w:numPr>
          <w:ilvl w:val="0"/>
          <w:numId w:val="28"/>
        </w:numPr>
        <w:ind w:left="680"/>
        <w:rPr>
          <w:lang w:val="en-GB"/>
        </w:rPr>
      </w:pPr>
      <w:r>
        <w:rPr>
          <w:lang w:val="en-GB"/>
        </w:rPr>
        <w:t>t</w:t>
      </w:r>
      <w:r w:rsidRPr="00D511B0">
        <w:rPr>
          <w:lang w:val="en-GB"/>
        </w:rPr>
        <w:t>he helmet should significantly reduce force to</w:t>
      </w:r>
      <w:r>
        <w:rPr>
          <w:lang w:val="en-GB"/>
        </w:rPr>
        <w:t xml:space="preserve"> the cyclist’s head upon impact</w:t>
      </w:r>
    </w:p>
    <w:p w:rsidR="00A51CD0" w:rsidRPr="00D511B0" w:rsidRDefault="00A51CD0" w:rsidP="00F44D50">
      <w:pPr>
        <w:pStyle w:val="ListParagraph"/>
        <w:numPr>
          <w:ilvl w:val="0"/>
          <w:numId w:val="28"/>
        </w:numPr>
        <w:ind w:left="680"/>
        <w:rPr>
          <w:lang w:val="en-GB"/>
        </w:rPr>
      </w:pPr>
      <w:r>
        <w:rPr>
          <w:lang w:val="en-GB"/>
        </w:rPr>
        <w:t>t</w:t>
      </w:r>
      <w:r w:rsidRPr="00D511B0">
        <w:rPr>
          <w:lang w:val="en-GB"/>
        </w:rPr>
        <w:t>he helmet should di</w:t>
      </w:r>
      <w:r>
        <w:rPr>
          <w:lang w:val="en-GB"/>
        </w:rPr>
        <w:t>stribute the force of an impact</w:t>
      </w:r>
    </w:p>
    <w:p w:rsidR="00A51CD0" w:rsidRPr="00D511B0" w:rsidRDefault="00A51CD0" w:rsidP="00F44D50">
      <w:pPr>
        <w:pStyle w:val="ListParagraph"/>
        <w:numPr>
          <w:ilvl w:val="0"/>
          <w:numId w:val="28"/>
        </w:numPr>
        <w:ind w:left="680"/>
        <w:rPr>
          <w:lang w:val="en-GB"/>
        </w:rPr>
      </w:pPr>
      <w:r>
        <w:rPr>
          <w:lang w:val="en-GB"/>
        </w:rPr>
        <w:t>t</w:t>
      </w:r>
      <w:r w:rsidRPr="00D511B0">
        <w:rPr>
          <w:lang w:val="en-GB"/>
        </w:rPr>
        <w:t xml:space="preserve">he straps which hold a helmet on a cyclist’s head must </w:t>
      </w:r>
      <w:r w:rsidR="005B76CF">
        <w:rPr>
          <w:lang w:val="en-GB"/>
        </w:rPr>
        <w:t xml:space="preserve">not </w:t>
      </w:r>
      <w:r w:rsidRPr="00D511B0">
        <w:rPr>
          <w:lang w:val="en-GB"/>
        </w:rPr>
        <w:t xml:space="preserve">stretch </w:t>
      </w:r>
      <w:r w:rsidR="005B76CF">
        <w:rPr>
          <w:lang w:val="en-GB"/>
        </w:rPr>
        <w:t>to the point so as to allow</w:t>
      </w:r>
      <w:r w:rsidRPr="00D511B0">
        <w:rPr>
          <w:lang w:val="en-GB"/>
        </w:rPr>
        <w:t xml:space="preserve"> the h</w:t>
      </w:r>
      <w:r>
        <w:rPr>
          <w:lang w:val="en-GB"/>
        </w:rPr>
        <w:t xml:space="preserve">elmet </w:t>
      </w:r>
      <w:r w:rsidR="005B76CF">
        <w:rPr>
          <w:lang w:val="en-GB"/>
        </w:rPr>
        <w:t xml:space="preserve">to </w:t>
      </w:r>
      <w:r>
        <w:rPr>
          <w:lang w:val="en-GB"/>
        </w:rPr>
        <w:t>come off in an accident</w:t>
      </w:r>
    </w:p>
    <w:p w:rsidR="00A51CD0" w:rsidRDefault="00E02C4C" w:rsidP="00F44D50">
      <w:pPr>
        <w:pStyle w:val="ListParagraph"/>
        <w:numPr>
          <w:ilvl w:val="0"/>
          <w:numId w:val="28"/>
        </w:numPr>
        <w:ind w:left="680"/>
        <w:rPr>
          <w:lang w:val="en-GB"/>
        </w:rPr>
      </w:pPr>
      <w:proofErr w:type="gramStart"/>
      <w:r>
        <w:t>a</w:t>
      </w:r>
      <w:proofErr w:type="gramEnd"/>
      <w:r w:rsidRPr="005354E7">
        <w:t xml:space="preserve"> helmet’s peak must not break and the deflection of the peak must not be less than 6.0 mm</w:t>
      </w:r>
      <w:r w:rsidR="00F44D50">
        <w:t>.</w:t>
      </w:r>
    </w:p>
    <w:p w:rsidR="00A51CD0" w:rsidRPr="00AA2214" w:rsidRDefault="00A51CD0" w:rsidP="009A140D">
      <w:pPr>
        <w:pStyle w:val="Heading4"/>
        <w:rPr>
          <w:lang w:val="en-GB"/>
        </w:rPr>
      </w:pPr>
      <w:bookmarkStart w:id="66" w:name="_Toc458693177"/>
      <w:bookmarkStart w:id="67" w:name="_Toc462327092"/>
      <w:r w:rsidRPr="00AA2214">
        <w:rPr>
          <w:lang w:val="en-GB"/>
        </w:rPr>
        <w:t>Safety markings</w:t>
      </w:r>
      <w:bookmarkEnd w:id="66"/>
      <w:bookmarkEnd w:id="67"/>
    </w:p>
    <w:p w:rsidR="00A51CD0" w:rsidRPr="001A6E3A" w:rsidRDefault="00A51CD0" w:rsidP="00B57A8C">
      <w:pPr>
        <w:ind w:left="680" w:hanging="340"/>
        <w:rPr>
          <w:u w:val="single"/>
          <w:lang w:val="en-GB"/>
        </w:rPr>
      </w:pPr>
      <w:r w:rsidRPr="001A6E3A">
        <w:rPr>
          <w:u w:val="single"/>
          <w:lang w:val="en-GB"/>
        </w:rPr>
        <w:t>On the helmet</w:t>
      </w:r>
    </w:p>
    <w:p w:rsidR="00A51CD0" w:rsidRPr="008A3DE5" w:rsidRDefault="00A51CD0" w:rsidP="00F44D50">
      <w:pPr>
        <w:pStyle w:val="ListParagraph"/>
        <w:numPr>
          <w:ilvl w:val="0"/>
          <w:numId w:val="31"/>
        </w:numPr>
        <w:ind w:left="360"/>
        <w:rPr>
          <w:lang w:val="en-GB"/>
        </w:rPr>
      </w:pPr>
      <w:r w:rsidRPr="008A3DE5">
        <w:rPr>
          <w:lang w:val="en-GB"/>
        </w:rPr>
        <w:t>Each helmet must be permanently and legibly marked in letters no less than 1.5 mm high indicating the:</w:t>
      </w:r>
    </w:p>
    <w:p w:rsidR="00A51CD0" w:rsidRPr="008A3DE5" w:rsidRDefault="00A51CD0" w:rsidP="00F44D50">
      <w:pPr>
        <w:pStyle w:val="ListParagraph"/>
        <w:numPr>
          <w:ilvl w:val="0"/>
          <w:numId w:val="28"/>
        </w:numPr>
        <w:ind w:left="680"/>
        <w:rPr>
          <w:lang w:val="en-GB"/>
        </w:rPr>
      </w:pPr>
      <w:r w:rsidRPr="008A3DE5">
        <w:rPr>
          <w:lang w:val="en-GB"/>
        </w:rPr>
        <w:t>registered name and address of the manufacturer and/or Australian agent</w:t>
      </w:r>
    </w:p>
    <w:p w:rsidR="00A51CD0" w:rsidRPr="008A3DE5" w:rsidRDefault="00A51CD0" w:rsidP="00F44D50">
      <w:pPr>
        <w:pStyle w:val="ListParagraph"/>
        <w:numPr>
          <w:ilvl w:val="0"/>
          <w:numId w:val="28"/>
        </w:numPr>
        <w:ind w:left="680"/>
        <w:rPr>
          <w:lang w:val="en-GB"/>
        </w:rPr>
      </w:pPr>
      <w:r w:rsidRPr="008A3DE5">
        <w:rPr>
          <w:lang w:val="en-GB"/>
        </w:rPr>
        <w:t>shell and liner construction material(s)</w:t>
      </w:r>
    </w:p>
    <w:p w:rsidR="00A51CD0" w:rsidRPr="008A3DE5" w:rsidRDefault="00A51CD0" w:rsidP="00F44D50">
      <w:pPr>
        <w:pStyle w:val="ListParagraph"/>
        <w:numPr>
          <w:ilvl w:val="0"/>
          <w:numId w:val="28"/>
        </w:numPr>
        <w:ind w:left="680"/>
        <w:rPr>
          <w:lang w:val="en-GB"/>
        </w:rPr>
      </w:pPr>
      <w:r w:rsidRPr="008A3DE5">
        <w:rPr>
          <w:lang w:val="en-GB"/>
        </w:rPr>
        <w:t>model and brand designation</w:t>
      </w:r>
    </w:p>
    <w:p w:rsidR="00A51CD0" w:rsidRPr="008A3DE5" w:rsidRDefault="00A51CD0" w:rsidP="00F44D50">
      <w:pPr>
        <w:pStyle w:val="ListParagraph"/>
        <w:numPr>
          <w:ilvl w:val="0"/>
          <w:numId w:val="28"/>
        </w:numPr>
        <w:ind w:left="680"/>
        <w:rPr>
          <w:lang w:val="en-GB"/>
        </w:rPr>
      </w:pPr>
      <w:r w:rsidRPr="008A3DE5">
        <w:rPr>
          <w:lang w:val="en-GB"/>
        </w:rPr>
        <w:t>front or rear of the helmet</w:t>
      </w:r>
    </w:p>
    <w:p w:rsidR="00A51CD0" w:rsidRPr="008A3DE5" w:rsidRDefault="00A51CD0" w:rsidP="00F44D50">
      <w:pPr>
        <w:pStyle w:val="ListParagraph"/>
        <w:numPr>
          <w:ilvl w:val="0"/>
          <w:numId w:val="28"/>
        </w:numPr>
        <w:ind w:left="680"/>
        <w:rPr>
          <w:lang w:val="en-GB"/>
        </w:rPr>
      </w:pPr>
      <w:r w:rsidRPr="008A3DE5">
        <w:rPr>
          <w:lang w:val="en-GB"/>
        </w:rPr>
        <w:t>helmet size</w:t>
      </w:r>
    </w:p>
    <w:p w:rsidR="00A51CD0" w:rsidRPr="00E1732E" w:rsidRDefault="00A51CD0" w:rsidP="00F44D50">
      <w:pPr>
        <w:pStyle w:val="ListParagraph"/>
        <w:numPr>
          <w:ilvl w:val="0"/>
          <w:numId w:val="28"/>
        </w:numPr>
        <w:ind w:left="680"/>
        <w:rPr>
          <w:lang w:val="en-GB"/>
        </w:rPr>
      </w:pPr>
      <w:r w:rsidRPr="008A3DE5">
        <w:rPr>
          <w:lang w:val="en-GB"/>
        </w:rPr>
        <w:t>month and year of manufacture, which may be spe</w:t>
      </w:r>
      <w:r>
        <w:rPr>
          <w:lang w:val="en-GB"/>
        </w:rPr>
        <w:t xml:space="preserve">lled out (for example ‘November </w:t>
      </w:r>
      <w:r w:rsidRPr="008A3DE5">
        <w:rPr>
          <w:lang w:val="en-GB"/>
        </w:rPr>
        <w:t>2008’) or in nu</w:t>
      </w:r>
      <w:r w:rsidR="003F5C3C">
        <w:rPr>
          <w:lang w:val="en-GB"/>
        </w:rPr>
        <w:t>merals (for example ‘11/2008’).</w:t>
      </w:r>
    </w:p>
    <w:p w:rsidR="00A51CD0" w:rsidRPr="008A3DE5" w:rsidRDefault="00A51CD0" w:rsidP="00F44D50">
      <w:pPr>
        <w:pStyle w:val="ListParagraph"/>
        <w:numPr>
          <w:ilvl w:val="0"/>
          <w:numId w:val="31"/>
        </w:numPr>
        <w:ind w:left="360"/>
        <w:rPr>
          <w:lang w:val="en-GB"/>
        </w:rPr>
      </w:pPr>
      <w:r w:rsidRPr="008A3DE5">
        <w:rPr>
          <w:lang w:val="en-GB"/>
        </w:rPr>
        <w:lastRenderedPageBreak/>
        <w:t>Each helmet must also be clearly marked so that the safety instructions are accessible without removal of the comfort padding or any permanent part of the helmet. Safety instructions must appear word for word as follows:</w:t>
      </w:r>
    </w:p>
    <w:p w:rsidR="00A51CD0" w:rsidRPr="008A3DE5" w:rsidRDefault="005B76CF" w:rsidP="00F44D50">
      <w:pPr>
        <w:pStyle w:val="ListParagraph"/>
        <w:numPr>
          <w:ilvl w:val="0"/>
          <w:numId w:val="28"/>
        </w:numPr>
        <w:ind w:left="680"/>
        <w:rPr>
          <w:lang w:val="en-GB"/>
        </w:rPr>
      </w:pPr>
      <w:r>
        <w:rPr>
          <w:lang w:val="en-GB"/>
        </w:rPr>
        <w:t>B</w:t>
      </w:r>
      <w:r w:rsidR="00A51CD0" w:rsidRPr="008A3DE5">
        <w:rPr>
          <w:lang w:val="en-GB"/>
        </w:rPr>
        <w:t>icycle helmet—NOT intended for use in mo</w:t>
      </w:r>
      <w:r w:rsidR="00A51CD0">
        <w:rPr>
          <w:lang w:val="en-GB"/>
        </w:rPr>
        <w:t>tor sports or by motor cyclists</w:t>
      </w:r>
      <w:r w:rsidR="003F5C3C">
        <w:rPr>
          <w:lang w:val="en-GB"/>
        </w:rPr>
        <w:t>.</w:t>
      </w:r>
    </w:p>
    <w:p w:rsidR="00A51CD0" w:rsidRPr="008A3DE5" w:rsidRDefault="005B76CF" w:rsidP="00F44D50">
      <w:pPr>
        <w:pStyle w:val="ListParagraph"/>
        <w:numPr>
          <w:ilvl w:val="0"/>
          <w:numId w:val="28"/>
        </w:numPr>
        <w:ind w:left="680"/>
        <w:rPr>
          <w:lang w:val="en-GB"/>
        </w:rPr>
      </w:pPr>
      <w:r>
        <w:rPr>
          <w:lang w:val="en-GB"/>
        </w:rPr>
        <w:t>H</w:t>
      </w:r>
      <w:r w:rsidR="003F5C3C">
        <w:rPr>
          <w:lang w:val="en-GB"/>
        </w:rPr>
        <w:t>elmet</w:t>
      </w:r>
      <w:r w:rsidR="00A51CD0" w:rsidRPr="008A3DE5">
        <w:rPr>
          <w:lang w:val="en-GB"/>
        </w:rPr>
        <w:t xml:space="preserve"> can be seriously damaged by substances such as petrol, paint</w:t>
      </w:r>
      <w:r w:rsidR="00A51CD0">
        <w:rPr>
          <w:lang w:val="en-GB"/>
        </w:rPr>
        <w:t>, adhesives, or cleaning agents</w:t>
      </w:r>
      <w:r w:rsidR="003F5C3C">
        <w:rPr>
          <w:lang w:val="en-GB"/>
        </w:rPr>
        <w:t>.</w:t>
      </w:r>
    </w:p>
    <w:p w:rsidR="00A51CD0" w:rsidRPr="008A3DE5" w:rsidRDefault="005B76CF" w:rsidP="00F44D50">
      <w:pPr>
        <w:pStyle w:val="ListParagraph"/>
        <w:numPr>
          <w:ilvl w:val="0"/>
          <w:numId w:val="28"/>
        </w:numPr>
        <w:ind w:left="680"/>
        <w:rPr>
          <w:lang w:val="en-GB"/>
        </w:rPr>
      </w:pPr>
      <w:r>
        <w:rPr>
          <w:lang w:val="en-GB"/>
        </w:rPr>
        <w:t>M</w:t>
      </w:r>
      <w:r w:rsidR="00A51CD0">
        <w:rPr>
          <w:lang w:val="en-GB"/>
        </w:rPr>
        <w:t>ake no modifications</w:t>
      </w:r>
      <w:r w:rsidR="003F5C3C">
        <w:rPr>
          <w:lang w:val="en-GB"/>
        </w:rPr>
        <w:t>.</w:t>
      </w:r>
    </w:p>
    <w:p w:rsidR="00A51CD0" w:rsidRPr="008A3DE5" w:rsidRDefault="005B76CF" w:rsidP="00F44D50">
      <w:pPr>
        <w:pStyle w:val="ListParagraph"/>
        <w:numPr>
          <w:ilvl w:val="0"/>
          <w:numId w:val="28"/>
        </w:numPr>
        <w:ind w:left="680"/>
        <w:rPr>
          <w:lang w:val="en-GB"/>
        </w:rPr>
      </w:pPr>
      <w:r>
        <w:rPr>
          <w:lang w:val="en-GB"/>
        </w:rPr>
        <w:t>F</w:t>
      </w:r>
      <w:r w:rsidR="00A51CD0" w:rsidRPr="008A3DE5">
        <w:rPr>
          <w:lang w:val="en-GB"/>
        </w:rPr>
        <w:t>aste</w:t>
      </w:r>
      <w:r w:rsidR="00A51CD0">
        <w:rPr>
          <w:lang w:val="en-GB"/>
        </w:rPr>
        <w:t>n helmet securely under the jaw</w:t>
      </w:r>
      <w:r w:rsidR="003F5C3C">
        <w:rPr>
          <w:lang w:val="en-GB"/>
        </w:rPr>
        <w:t>.</w:t>
      </w:r>
    </w:p>
    <w:p w:rsidR="00A51CD0" w:rsidRPr="008A3DE5" w:rsidRDefault="005B76CF" w:rsidP="00F44D50">
      <w:pPr>
        <w:pStyle w:val="ListParagraph"/>
        <w:numPr>
          <w:ilvl w:val="0"/>
          <w:numId w:val="28"/>
        </w:numPr>
        <w:ind w:left="680"/>
        <w:rPr>
          <w:lang w:val="en-GB"/>
        </w:rPr>
      </w:pPr>
      <w:r>
        <w:rPr>
          <w:lang w:val="en-GB"/>
        </w:rPr>
        <w:t>I</w:t>
      </w:r>
      <w:r w:rsidR="00A51CD0" w:rsidRPr="008A3DE5">
        <w:rPr>
          <w:lang w:val="en-GB"/>
        </w:rPr>
        <w:t>f helmet shows signs of damage, destroy and repla</w:t>
      </w:r>
      <w:r w:rsidR="00A51CD0">
        <w:rPr>
          <w:lang w:val="en-GB"/>
        </w:rPr>
        <w:t>ce it</w:t>
      </w:r>
      <w:r w:rsidR="003F5C3C">
        <w:rPr>
          <w:lang w:val="en-GB"/>
        </w:rPr>
        <w:t>.</w:t>
      </w:r>
    </w:p>
    <w:p w:rsidR="00A51CD0" w:rsidRDefault="005B76CF" w:rsidP="00F44D50">
      <w:pPr>
        <w:pStyle w:val="ListParagraph"/>
        <w:numPr>
          <w:ilvl w:val="0"/>
          <w:numId w:val="28"/>
        </w:numPr>
        <w:ind w:left="680"/>
        <w:rPr>
          <w:lang w:val="en-GB"/>
        </w:rPr>
      </w:pPr>
      <w:r>
        <w:rPr>
          <w:lang w:val="en-GB"/>
        </w:rPr>
        <w:t>I</w:t>
      </w:r>
      <w:r w:rsidR="00A51CD0" w:rsidRPr="007E345B">
        <w:rPr>
          <w:lang w:val="en-GB"/>
        </w:rPr>
        <w:t>f helmet receives a severe blow, even if apparently undamaged, destroy and replace it.</w:t>
      </w:r>
    </w:p>
    <w:p w:rsidR="00A51CD0" w:rsidRDefault="00A51CD0" w:rsidP="00A51CD0">
      <w:pPr>
        <w:spacing w:before="0"/>
        <w:ind w:left="340" w:hanging="340"/>
        <w:rPr>
          <w:lang w:val="en-GB"/>
        </w:rPr>
      </w:pPr>
    </w:p>
    <w:p w:rsidR="00A51CD0" w:rsidRDefault="00A51CD0" w:rsidP="00B57A8C">
      <w:pPr>
        <w:spacing w:before="0"/>
        <w:ind w:left="680" w:hanging="340"/>
        <w:rPr>
          <w:u w:val="single"/>
          <w:lang w:val="en-GB"/>
        </w:rPr>
      </w:pPr>
      <w:r w:rsidRPr="001A6E3A">
        <w:rPr>
          <w:u w:val="single"/>
          <w:lang w:val="en-GB"/>
        </w:rPr>
        <w:t>On the helmet’s packaging</w:t>
      </w:r>
    </w:p>
    <w:p w:rsidR="00A51CD0" w:rsidRPr="001A6E3A" w:rsidRDefault="00A51CD0" w:rsidP="00A51CD0">
      <w:pPr>
        <w:spacing w:before="0"/>
        <w:ind w:left="340" w:hanging="340"/>
        <w:rPr>
          <w:u w:val="single"/>
          <w:lang w:val="en-GB"/>
        </w:rPr>
      </w:pPr>
    </w:p>
    <w:p w:rsidR="00A51CD0" w:rsidRPr="007E345B" w:rsidRDefault="00A51CD0" w:rsidP="00F44D50">
      <w:pPr>
        <w:pStyle w:val="ListParagraph"/>
        <w:numPr>
          <w:ilvl w:val="0"/>
          <w:numId w:val="31"/>
        </w:numPr>
        <w:spacing w:before="0"/>
        <w:ind w:left="360"/>
        <w:rPr>
          <w:lang w:val="en-GB"/>
        </w:rPr>
      </w:pPr>
      <w:r w:rsidRPr="007E345B">
        <w:rPr>
          <w:lang w:val="en-GB"/>
        </w:rPr>
        <w:t>If the helmet is packaged, the following information must be clear and legible to the user without removal of the helmet:</w:t>
      </w:r>
    </w:p>
    <w:p w:rsidR="00A51CD0" w:rsidRPr="007E345B" w:rsidRDefault="00A51CD0" w:rsidP="00F44D50">
      <w:pPr>
        <w:pStyle w:val="ListParagraph"/>
        <w:numPr>
          <w:ilvl w:val="0"/>
          <w:numId w:val="28"/>
        </w:numPr>
        <w:ind w:left="680"/>
        <w:rPr>
          <w:lang w:val="en-GB"/>
        </w:rPr>
      </w:pPr>
      <w:r w:rsidRPr="007E345B">
        <w:rPr>
          <w:lang w:val="en-GB"/>
        </w:rPr>
        <w:t>the manufacturer’s registered brand name</w:t>
      </w:r>
    </w:p>
    <w:p w:rsidR="00A51CD0" w:rsidRPr="007E345B" w:rsidRDefault="00A51CD0" w:rsidP="00F44D50">
      <w:pPr>
        <w:pStyle w:val="ListParagraph"/>
        <w:numPr>
          <w:ilvl w:val="0"/>
          <w:numId w:val="28"/>
        </w:numPr>
        <w:ind w:left="680"/>
        <w:rPr>
          <w:lang w:val="en-GB"/>
        </w:rPr>
      </w:pPr>
      <w:r w:rsidRPr="007E345B">
        <w:rPr>
          <w:lang w:val="en-GB"/>
        </w:rPr>
        <w:t>model designation</w:t>
      </w:r>
    </w:p>
    <w:p w:rsidR="00A51CD0" w:rsidRPr="007E345B" w:rsidRDefault="00A51CD0" w:rsidP="00F44D50">
      <w:pPr>
        <w:pStyle w:val="ListParagraph"/>
        <w:numPr>
          <w:ilvl w:val="0"/>
          <w:numId w:val="28"/>
        </w:numPr>
        <w:ind w:left="680"/>
        <w:rPr>
          <w:lang w:val="en-GB"/>
        </w:rPr>
      </w:pPr>
      <w:r w:rsidRPr="007E345B">
        <w:rPr>
          <w:lang w:val="en-GB"/>
        </w:rPr>
        <w:t>helmet size</w:t>
      </w:r>
    </w:p>
    <w:p w:rsidR="00A51CD0" w:rsidRPr="007E345B" w:rsidRDefault="00A51CD0" w:rsidP="00F44D50">
      <w:pPr>
        <w:pStyle w:val="ListParagraph"/>
        <w:numPr>
          <w:ilvl w:val="0"/>
          <w:numId w:val="28"/>
        </w:numPr>
        <w:ind w:left="680"/>
        <w:rPr>
          <w:lang w:val="en-GB"/>
        </w:rPr>
      </w:pPr>
      <w:r w:rsidRPr="007E345B">
        <w:rPr>
          <w:lang w:val="en-GB"/>
        </w:rPr>
        <w:t>a list of sizes available in the model range, together with the nominal mass for each size</w:t>
      </w:r>
    </w:p>
    <w:p w:rsidR="00A51CD0" w:rsidRDefault="00A51CD0" w:rsidP="00F44D50">
      <w:pPr>
        <w:pStyle w:val="ListParagraph"/>
        <w:numPr>
          <w:ilvl w:val="0"/>
          <w:numId w:val="28"/>
        </w:numPr>
        <w:ind w:left="680"/>
        <w:rPr>
          <w:lang w:val="en-GB"/>
        </w:rPr>
      </w:pPr>
      <w:r w:rsidRPr="007E345B">
        <w:rPr>
          <w:lang w:val="en-GB"/>
        </w:rPr>
        <w:t>the activities for which the helmet is designed.</w:t>
      </w:r>
    </w:p>
    <w:p w:rsidR="00A51CD0" w:rsidRDefault="00A51CD0" w:rsidP="00A51CD0">
      <w:pPr>
        <w:spacing w:before="0"/>
        <w:ind w:left="340" w:hanging="340"/>
        <w:rPr>
          <w:lang w:val="en-GB"/>
        </w:rPr>
      </w:pPr>
    </w:p>
    <w:p w:rsidR="00A51CD0" w:rsidRPr="001A6E3A" w:rsidRDefault="00A51CD0" w:rsidP="00A51CD0">
      <w:pPr>
        <w:spacing w:before="0"/>
        <w:rPr>
          <w:lang w:val="en-GB"/>
        </w:rPr>
      </w:pPr>
      <w:r>
        <w:rPr>
          <w:lang w:val="en-GB"/>
        </w:rPr>
        <w:t>The standard also specifies a series of safe-use instructions that must be provided to the purchaser in the form of a brochure accompan</w:t>
      </w:r>
      <w:r w:rsidR="003F5C3C">
        <w:rPr>
          <w:lang w:val="en-GB"/>
        </w:rPr>
        <w:t>ying the helmet, or a sticker.</w:t>
      </w:r>
    </w:p>
    <w:p w:rsidR="00A51CD0" w:rsidRPr="000E3A2E" w:rsidRDefault="00A51CD0" w:rsidP="009F2D34">
      <w:pPr>
        <w:pStyle w:val="Listalphabet3"/>
        <w:numPr>
          <w:ilvl w:val="0"/>
          <w:numId w:val="0"/>
        </w:numPr>
        <w:rPr>
          <w:highlight w:val="yellow"/>
        </w:rPr>
      </w:pPr>
    </w:p>
    <w:sectPr w:rsidR="00A51CD0" w:rsidRPr="000E3A2E" w:rsidSect="00284117">
      <w:footerReference w:type="default" r:id="rId18"/>
      <w:footerReference w:type="first" r:id="rId19"/>
      <w:pgSz w:w="11906" w:h="16838"/>
      <w:pgMar w:top="1276"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C5" w:rsidRDefault="008517C5" w:rsidP="004B4412">
      <w:pPr>
        <w:spacing w:before="0"/>
      </w:pPr>
      <w:r>
        <w:separator/>
      </w:r>
    </w:p>
  </w:endnote>
  <w:endnote w:type="continuationSeparator" w:id="0">
    <w:p w:rsidR="008517C5" w:rsidRDefault="008517C5"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C5" w:rsidRPr="000E3A2E" w:rsidRDefault="008517C5" w:rsidP="000E3A2E">
    <w:pPr>
      <w:tabs>
        <w:tab w:val="center" w:pos="4513"/>
        <w:tab w:val="right" w:pos="8505"/>
      </w:tabs>
      <w:spacing w:after="120" w:line="276" w:lineRule="auto"/>
      <w:rPr>
        <w:color w:val="51626F" w:themeColor="accent1"/>
        <w:sz w:val="18"/>
      </w:rPr>
    </w:pPr>
    <w:r w:rsidRPr="000E3A2E">
      <w:rPr>
        <w:color w:val="51626F" w:themeColor="accent1"/>
        <w:sz w:val="18"/>
      </w:rPr>
      <w:fldChar w:fldCharType="begin"/>
    </w:r>
    <w:r w:rsidRPr="000E3A2E">
      <w:rPr>
        <w:color w:val="51626F" w:themeColor="accent1"/>
        <w:sz w:val="18"/>
      </w:rPr>
      <w:instrText xml:space="preserve"> STYLEREF  Title  \* MERGEFORMAT </w:instrText>
    </w:r>
    <w:r w:rsidRPr="000E3A2E">
      <w:rPr>
        <w:color w:val="51626F" w:themeColor="accent1"/>
        <w:sz w:val="18"/>
      </w:rPr>
      <w:fldChar w:fldCharType="separate"/>
    </w:r>
    <w:r w:rsidR="00223687">
      <w:rPr>
        <w:noProof/>
        <w:color w:val="51626F" w:themeColor="accent1"/>
        <w:sz w:val="18"/>
      </w:rPr>
      <w:t>Review of the safety standard for bicycle helmets</w:t>
    </w:r>
    <w:r w:rsidRPr="000E3A2E">
      <w:rPr>
        <w:noProof/>
        <w:color w:val="51626F" w:themeColor="accent1"/>
        <w:sz w:val="18"/>
      </w:rPr>
      <w:fldChar w:fldCharType="end"/>
    </w:r>
    <w:r w:rsidRPr="000E3A2E">
      <w:rPr>
        <w:color w:val="51626F" w:themeColor="accent1"/>
        <w:sz w:val="18"/>
      </w:rPr>
      <w:tab/>
    </w:r>
    <w:r w:rsidRPr="000E3A2E">
      <w:rPr>
        <w:color w:val="51626F" w:themeColor="accent1"/>
        <w:sz w:val="18"/>
      </w:rPr>
      <w:tab/>
    </w:r>
    <w:r w:rsidRPr="000E3A2E">
      <w:rPr>
        <w:color w:val="51626F" w:themeColor="accent1"/>
        <w:sz w:val="18"/>
      </w:rPr>
      <w:fldChar w:fldCharType="begin"/>
    </w:r>
    <w:r w:rsidRPr="000E3A2E">
      <w:rPr>
        <w:color w:val="51626F" w:themeColor="accent1"/>
        <w:sz w:val="18"/>
      </w:rPr>
      <w:instrText xml:space="preserve"> PAGE   \* MERGEFORMAT </w:instrText>
    </w:r>
    <w:r w:rsidRPr="000E3A2E">
      <w:rPr>
        <w:color w:val="51626F" w:themeColor="accent1"/>
        <w:sz w:val="18"/>
      </w:rPr>
      <w:fldChar w:fldCharType="separate"/>
    </w:r>
    <w:r>
      <w:rPr>
        <w:noProof/>
        <w:color w:val="51626F" w:themeColor="accent1"/>
        <w:sz w:val="18"/>
      </w:rPr>
      <w:t>1</w:t>
    </w:r>
    <w:r w:rsidRPr="000E3A2E">
      <w:rPr>
        <w:color w:val="51626F" w:themeColor="accent1"/>
        <w:sz w:val="18"/>
      </w:rPr>
      <w:fldChar w:fldCharType="end"/>
    </w:r>
  </w:p>
  <w:p w:rsidR="008517C5" w:rsidRPr="000E3A2E" w:rsidRDefault="008517C5" w:rsidP="000E3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C5" w:rsidRPr="000E3A2E" w:rsidRDefault="008517C5" w:rsidP="000E3A2E">
    <w:pPr>
      <w:tabs>
        <w:tab w:val="center" w:pos="4513"/>
        <w:tab w:val="right" w:pos="8505"/>
      </w:tabs>
      <w:spacing w:after="120" w:line="276" w:lineRule="auto"/>
      <w:rPr>
        <w:color w:val="51626F" w:themeColor="accent1"/>
        <w:sz w:val="18"/>
      </w:rPr>
    </w:pPr>
    <w:r w:rsidRPr="000E3A2E">
      <w:rPr>
        <w:color w:val="51626F" w:themeColor="accent1"/>
        <w:sz w:val="18"/>
      </w:rPr>
      <w:fldChar w:fldCharType="begin"/>
    </w:r>
    <w:r w:rsidRPr="000E3A2E">
      <w:rPr>
        <w:color w:val="51626F" w:themeColor="accent1"/>
        <w:sz w:val="18"/>
      </w:rPr>
      <w:instrText xml:space="preserve"> STYLEREF  Title  \* MERGEFORMAT </w:instrText>
    </w:r>
    <w:r w:rsidRPr="000E3A2E">
      <w:rPr>
        <w:color w:val="51626F" w:themeColor="accent1"/>
        <w:sz w:val="18"/>
      </w:rPr>
      <w:fldChar w:fldCharType="separate"/>
    </w:r>
    <w:r w:rsidR="005B735C">
      <w:rPr>
        <w:noProof/>
        <w:color w:val="51626F" w:themeColor="accent1"/>
        <w:sz w:val="18"/>
      </w:rPr>
      <w:t>Review of the safety standard for bicycle helmets</w:t>
    </w:r>
    <w:r w:rsidRPr="000E3A2E">
      <w:rPr>
        <w:noProof/>
        <w:color w:val="51626F" w:themeColor="accent1"/>
        <w:sz w:val="18"/>
      </w:rPr>
      <w:fldChar w:fldCharType="end"/>
    </w:r>
    <w:r w:rsidRPr="000E3A2E">
      <w:rPr>
        <w:color w:val="51626F" w:themeColor="accent1"/>
        <w:sz w:val="18"/>
      </w:rPr>
      <w:tab/>
    </w:r>
    <w:r w:rsidRPr="000E3A2E">
      <w:rPr>
        <w:color w:val="51626F" w:themeColor="accent1"/>
        <w:sz w:val="18"/>
      </w:rPr>
      <w:tab/>
    </w:r>
    <w:r w:rsidRPr="000E3A2E">
      <w:rPr>
        <w:color w:val="51626F" w:themeColor="accent1"/>
        <w:sz w:val="18"/>
      </w:rPr>
      <w:fldChar w:fldCharType="begin"/>
    </w:r>
    <w:r w:rsidRPr="000E3A2E">
      <w:rPr>
        <w:color w:val="51626F" w:themeColor="accent1"/>
        <w:sz w:val="18"/>
      </w:rPr>
      <w:instrText xml:space="preserve"> PAGE   \* MERGEFORMAT </w:instrText>
    </w:r>
    <w:r w:rsidRPr="000E3A2E">
      <w:rPr>
        <w:color w:val="51626F" w:themeColor="accent1"/>
        <w:sz w:val="18"/>
      </w:rPr>
      <w:fldChar w:fldCharType="separate"/>
    </w:r>
    <w:r w:rsidR="005B735C">
      <w:rPr>
        <w:noProof/>
        <w:color w:val="51626F" w:themeColor="accent1"/>
        <w:sz w:val="18"/>
      </w:rPr>
      <w:t>11</w:t>
    </w:r>
    <w:r w:rsidRPr="000E3A2E">
      <w:rPr>
        <w:color w:val="51626F" w:themeColor="accent1"/>
        <w:sz w:val="18"/>
      </w:rPr>
      <w:fldChar w:fldCharType="end"/>
    </w:r>
  </w:p>
  <w:p w:rsidR="008517C5" w:rsidRPr="000E3A2E" w:rsidRDefault="008517C5" w:rsidP="000E3A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218340"/>
      <w:docPartObj>
        <w:docPartGallery w:val="Page Numbers (Bottom of Page)"/>
        <w:docPartUnique/>
      </w:docPartObj>
    </w:sdtPr>
    <w:sdtEndPr>
      <w:rPr>
        <w:noProof/>
      </w:rPr>
    </w:sdtEndPr>
    <w:sdtContent>
      <w:p w:rsidR="008517C5" w:rsidRDefault="008517C5">
        <w:pPr>
          <w:pStyle w:val="Footer"/>
          <w:jc w:val="right"/>
        </w:pPr>
        <w:r>
          <w:fldChar w:fldCharType="begin"/>
        </w:r>
        <w:r>
          <w:instrText xml:space="preserve"> PAGE   \* MERGEFORMAT </w:instrText>
        </w:r>
        <w:r>
          <w:fldChar w:fldCharType="separate"/>
        </w:r>
        <w:r w:rsidR="005B735C">
          <w:rPr>
            <w:noProof/>
          </w:rPr>
          <w:t>1</w:t>
        </w:r>
        <w:r>
          <w:rPr>
            <w:noProof/>
          </w:rPr>
          <w:fldChar w:fldCharType="end"/>
        </w:r>
      </w:p>
    </w:sdtContent>
  </w:sdt>
  <w:p w:rsidR="008517C5" w:rsidRPr="00284117" w:rsidRDefault="008517C5" w:rsidP="00284117">
    <w:pPr>
      <w:pStyle w:val="Footer"/>
      <w:jc w:val="center"/>
      <w:rPr>
        <w:sz w:val="20"/>
        <w:szCs w:val="20"/>
      </w:rPr>
    </w:pPr>
    <w:r w:rsidRPr="00586FBE">
      <w:rPr>
        <w:sz w:val="20"/>
        <w:szCs w:val="20"/>
      </w:rPr>
      <w:t>Review of the mandatory safety standard for</w:t>
    </w:r>
    <w:r>
      <w:rPr>
        <w:sz w:val="20"/>
        <w:szCs w:val="20"/>
      </w:rPr>
      <w:t xml:space="preserve"> bicycle helmets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C5" w:rsidRDefault="008517C5" w:rsidP="004B4412">
      <w:pPr>
        <w:spacing w:before="0"/>
      </w:pPr>
      <w:r>
        <w:separator/>
      </w:r>
    </w:p>
  </w:footnote>
  <w:footnote w:type="continuationSeparator" w:id="0">
    <w:p w:rsidR="008517C5" w:rsidRDefault="008517C5" w:rsidP="004B441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8B36925"/>
    <w:multiLevelType w:val="hybridMultilevel"/>
    <w:tmpl w:val="0E3C7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nsid w:val="1CF519CE"/>
    <w:multiLevelType w:val="multilevel"/>
    <w:tmpl w:val="B19066D2"/>
    <w:lvl w:ilvl="0">
      <w:start w:val="1"/>
      <w:numFmt w:val="decimal"/>
      <w:pStyle w:val="Numbered1"/>
      <w:lvlText w:val="%1."/>
      <w:lvlJc w:val="left"/>
      <w:pPr>
        <w:ind w:left="360" w:hanging="360"/>
      </w:pPr>
    </w:lvl>
    <w:lvl w:ilvl="1">
      <w:start w:val="1"/>
      <w:numFmt w:val="lowerLetter"/>
      <w:pStyle w:val="Numbered11"/>
      <w:lvlText w:val="Option 1%2"/>
      <w:lvlJc w:val="left"/>
      <w:pPr>
        <w:ind w:left="792" w:hanging="432"/>
      </w:pPr>
      <w:rPr>
        <w:rFonts w:hint="default"/>
      </w:r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nsid w:val="20911968"/>
    <w:multiLevelType w:val="hybridMultilevel"/>
    <w:tmpl w:val="D1F8B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F134BB"/>
    <w:multiLevelType w:val="hybridMultilevel"/>
    <w:tmpl w:val="7E8E91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7">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8">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0">
    <w:nsid w:val="41A62E14"/>
    <w:multiLevelType w:val="hybridMultilevel"/>
    <w:tmpl w:val="12742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D03512"/>
    <w:multiLevelType w:val="hybridMultilevel"/>
    <w:tmpl w:val="4F60A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3F72DCA"/>
    <w:multiLevelType w:val="hybridMultilevel"/>
    <w:tmpl w:val="192CEDB4"/>
    <w:lvl w:ilvl="0" w:tplc="499C5D26">
      <w:numFmt w:val="bullet"/>
      <w:lvlText w:val="-"/>
      <w:lvlJc w:val="left"/>
      <w:pPr>
        <w:ind w:left="1040" w:hanging="360"/>
      </w:pPr>
      <w:rPr>
        <w:rFonts w:ascii="Arial" w:eastAsiaTheme="minorHAnsi" w:hAnsi="Arial" w:cs="Aria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3">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0FF096D"/>
    <w:multiLevelType w:val="hybridMultilevel"/>
    <w:tmpl w:val="AC2CB1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6">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665938DB"/>
    <w:multiLevelType w:val="hybridMultilevel"/>
    <w:tmpl w:val="F6D61EE2"/>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8">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0">
    <w:nsid w:val="69FD65E4"/>
    <w:multiLevelType w:val="hybridMultilevel"/>
    <w:tmpl w:val="6C02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2">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3">
    <w:nsid w:val="75F32F49"/>
    <w:multiLevelType w:val="hybridMultilevel"/>
    <w:tmpl w:val="EC2050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6"/>
  </w:num>
  <w:num w:numId="3">
    <w:abstractNumId w:val="7"/>
  </w:num>
  <w:num w:numId="4">
    <w:abstractNumId w:val="6"/>
  </w:num>
  <w:num w:numId="5">
    <w:abstractNumId w:val="5"/>
  </w:num>
  <w:num w:numId="6">
    <w:abstractNumId w:val="4"/>
  </w:num>
  <w:num w:numId="7">
    <w:abstractNumId w:val="1"/>
  </w:num>
  <w:num w:numId="8">
    <w:abstractNumId w:val="0"/>
  </w:num>
  <w:num w:numId="9">
    <w:abstractNumId w:val="29"/>
  </w:num>
  <w:num w:numId="10">
    <w:abstractNumId w:val="18"/>
  </w:num>
  <w:num w:numId="11">
    <w:abstractNumId w:val="10"/>
  </w:num>
  <w:num w:numId="12">
    <w:abstractNumId w:val="13"/>
  </w:num>
  <w:num w:numId="13">
    <w:abstractNumId w:val="17"/>
  </w:num>
  <w:num w:numId="14">
    <w:abstractNumId w:val="2"/>
  </w:num>
  <w:num w:numId="15">
    <w:abstractNumId w:val="31"/>
  </w:num>
  <w:num w:numId="16">
    <w:abstractNumId w:val="35"/>
  </w:num>
  <w:num w:numId="17">
    <w:abstractNumId w:val="34"/>
  </w:num>
  <w:num w:numId="18">
    <w:abstractNumId w:val="25"/>
  </w:num>
  <w:num w:numId="19">
    <w:abstractNumId w:val="16"/>
  </w:num>
  <w:num w:numId="20">
    <w:abstractNumId w:val="19"/>
  </w:num>
  <w:num w:numId="21">
    <w:abstractNumId w:val="32"/>
  </w:num>
  <w:num w:numId="22">
    <w:abstractNumId w:val="26"/>
  </w:num>
  <w:num w:numId="23">
    <w:abstractNumId w:val="8"/>
  </w:num>
  <w:num w:numId="24">
    <w:abstractNumId w:val="3"/>
  </w:num>
  <w:num w:numId="25">
    <w:abstractNumId w:val="23"/>
  </w:num>
  <w:num w:numId="26">
    <w:abstractNumId w:val="12"/>
  </w:num>
  <w:num w:numId="27">
    <w:abstractNumId w:val="28"/>
  </w:num>
  <w:num w:numId="28">
    <w:abstractNumId w:val="22"/>
  </w:num>
  <w:num w:numId="29">
    <w:abstractNumId w:val="27"/>
  </w:num>
  <w:num w:numId="30">
    <w:abstractNumId w:val="21"/>
  </w:num>
  <w:num w:numId="31">
    <w:abstractNumId w:val="20"/>
  </w:num>
  <w:num w:numId="32">
    <w:abstractNumId w:val="33"/>
  </w:num>
  <w:num w:numId="33">
    <w:abstractNumId w:val="30"/>
  </w:num>
  <w:num w:numId="34">
    <w:abstractNumId w:val="14"/>
  </w:num>
  <w:num w:numId="35">
    <w:abstractNumId w:val="9"/>
  </w:num>
  <w:num w:numId="36">
    <w:abstractNumId w:val="13"/>
  </w:num>
  <w:num w:numId="37">
    <w:abstractNumId w:val="15"/>
  </w:num>
  <w:num w:numId="38">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8208\D16 46909  CPS - SPL - DRAFT Consultation paper for the review of the mandatory standard for the supply of bicycle helmets - NEW TEMPLATE VERSION.DOCX"/>
  </w:docVars>
  <w:rsids>
    <w:rsidRoot w:val="007F6D3C"/>
    <w:rsid w:val="00001727"/>
    <w:rsid w:val="00013F93"/>
    <w:rsid w:val="0002115F"/>
    <w:rsid w:val="00021202"/>
    <w:rsid w:val="000225C4"/>
    <w:rsid w:val="0003578C"/>
    <w:rsid w:val="000522E9"/>
    <w:rsid w:val="00063247"/>
    <w:rsid w:val="000661BA"/>
    <w:rsid w:val="00070F9F"/>
    <w:rsid w:val="0007137B"/>
    <w:rsid w:val="000771AB"/>
    <w:rsid w:val="00081FAA"/>
    <w:rsid w:val="00085663"/>
    <w:rsid w:val="00085EBF"/>
    <w:rsid w:val="00095005"/>
    <w:rsid w:val="00096E40"/>
    <w:rsid w:val="000D122C"/>
    <w:rsid w:val="000D31ED"/>
    <w:rsid w:val="000D3F2F"/>
    <w:rsid w:val="000D7EEC"/>
    <w:rsid w:val="000E1819"/>
    <w:rsid w:val="000E3A2E"/>
    <w:rsid w:val="000E5864"/>
    <w:rsid w:val="000E6C72"/>
    <w:rsid w:val="000F2368"/>
    <w:rsid w:val="000F7B20"/>
    <w:rsid w:val="00116EB2"/>
    <w:rsid w:val="0012182A"/>
    <w:rsid w:val="001234FF"/>
    <w:rsid w:val="00124609"/>
    <w:rsid w:val="00127DE4"/>
    <w:rsid w:val="00130F7F"/>
    <w:rsid w:val="00133735"/>
    <w:rsid w:val="001371ED"/>
    <w:rsid w:val="00143689"/>
    <w:rsid w:val="0014747A"/>
    <w:rsid w:val="00147757"/>
    <w:rsid w:val="001573E4"/>
    <w:rsid w:val="00160756"/>
    <w:rsid w:val="0016501B"/>
    <w:rsid w:val="00165FBE"/>
    <w:rsid w:val="00171212"/>
    <w:rsid w:val="0017232E"/>
    <w:rsid w:val="00174102"/>
    <w:rsid w:val="00175566"/>
    <w:rsid w:val="00180157"/>
    <w:rsid w:val="00181223"/>
    <w:rsid w:val="00183271"/>
    <w:rsid w:val="00186F77"/>
    <w:rsid w:val="001926A4"/>
    <w:rsid w:val="001948CA"/>
    <w:rsid w:val="001A00BD"/>
    <w:rsid w:val="001A1AA4"/>
    <w:rsid w:val="001A6E3A"/>
    <w:rsid w:val="001B45A0"/>
    <w:rsid w:val="001C18EE"/>
    <w:rsid w:val="001C5533"/>
    <w:rsid w:val="001D055E"/>
    <w:rsid w:val="001D70D2"/>
    <w:rsid w:val="001E7CB0"/>
    <w:rsid w:val="001F492E"/>
    <w:rsid w:val="001F6DA3"/>
    <w:rsid w:val="00205303"/>
    <w:rsid w:val="00207B52"/>
    <w:rsid w:val="00212737"/>
    <w:rsid w:val="00214C39"/>
    <w:rsid w:val="00217A6B"/>
    <w:rsid w:val="00217B90"/>
    <w:rsid w:val="00223687"/>
    <w:rsid w:val="00224DB9"/>
    <w:rsid w:val="00230D10"/>
    <w:rsid w:val="0023107E"/>
    <w:rsid w:val="00251745"/>
    <w:rsid w:val="00263AC0"/>
    <w:rsid w:val="0026772D"/>
    <w:rsid w:val="00272145"/>
    <w:rsid w:val="00275B74"/>
    <w:rsid w:val="002830A4"/>
    <w:rsid w:val="00284117"/>
    <w:rsid w:val="00286874"/>
    <w:rsid w:val="00290BBC"/>
    <w:rsid w:val="00296B65"/>
    <w:rsid w:val="002A7DEF"/>
    <w:rsid w:val="002B109F"/>
    <w:rsid w:val="002C1BE9"/>
    <w:rsid w:val="002C58D9"/>
    <w:rsid w:val="002E12CD"/>
    <w:rsid w:val="002E4668"/>
    <w:rsid w:val="002F7986"/>
    <w:rsid w:val="00303C4A"/>
    <w:rsid w:val="00304B61"/>
    <w:rsid w:val="00307F6D"/>
    <w:rsid w:val="00313584"/>
    <w:rsid w:val="003177A2"/>
    <w:rsid w:val="003256E2"/>
    <w:rsid w:val="003271B5"/>
    <w:rsid w:val="00331264"/>
    <w:rsid w:val="00334C8D"/>
    <w:rsid w:val="00340655"/>
    <w:rsid w:val="00342612"/>
    <w:rsid w:val="003459E6"/>
    <w:rsid w:val="00347E13"/>
    <w:rsid w:val="003518B3"/>
    <w:rsid w:val="003804BB"/>
    <w:rsid w:val="003846F1"/>
    <w:rsid w:val="0039650F"/>
    <w:rsid w:val="003A673F"/>
    <w:rsid w:val="003B5A70"/>
    <w:rsid w:val="003C3414"/>
    <w:rsid w:val="003F0089"/>
    <w:rsid w:val="003F4FCE"/>
    <w:rsid w:val="003F5C3C"/>
    <w:rsid w:val="004000D4"/>
    <w:rsid w:val="00414BCE"/>
    <w:rsid w:val="00422A0C"/>
    <w:rsid w:val="004258D5"/>
    <w:rsid w:val="004307F7"/>
    <w:rsid w:val="004329BD"/>
    <w:rsid w:val="00455CB2"/>
    <w:rsid w:val="004632A1"/>
    <w:rsid w:val="00475DDE"/>
    <w:rsid w:val="00480B4B"/>
    <w:rsid w:val="0048508D"/>
    <w:rsid w:val="00485DC4"/>
    <w:rsid w:val="00491B27"/>
    <w:rsid w:val="00492CD1"/>
    <w:rsid w:val="0049456B"/>
    <w:rsid w:val="004A35AC"/>
    <w:rsid w:val="004A536F"/>
    <w:rsid w:val="004A660F"/>
    <w:rsid w:val="004B12B9"/>
    <w:rsid w:val="004B1417"/>
    <w:rsid w:val="004B4412"/>
    <w:rsid w:val="004C348C"/>
    <w:rsid w:val="004C5845"/>
    <w:rsid w:val="004D55BA"/>
    <w:rsid w:val="004F3318"/>
    <w:rsid w:val="00502561"/>
    <w:rsid w:val="005038DB"/>
    <w:rsid w:val="00530128"/>
    <w:rsid w:val="00532467"/>
    <w:rsid w:val="00547CCF"/>
    <w:rsid w:val="0055588B"/>
    <w:rsid w:val="00564A4D"/>
    <w:rsid w:val="00571B35"/>
    <w:rsid w:val="00571C9F"/>
    <w:rsid w:val="00576812"/>
    <w:rsid w:val="00577A09"/>
    <w:rsid w:val="00584D8F"/>
    <w:rsid w:val="00595662"/>
    <w:rsid w:val="00596D42"/>
    <w:rsid w:val="005A404D"/>
    <w:rsid w:val="005B1E3C"/>
    <w:rsid w:val="005B6484"/>
    <w:rsid w:val="005B735C"/>
    <w:rsid w:val="005B76CF"/>
    <w:rsid w:val="005C1182"/>
    <w:rsid w:val="005C26CC"/>
    <w:rsid w:val="005D7A9E"/>
    <w:rsid w:val="005D7D08"/>
    <w:rsid w:val="005E111E"/>
    <w:rsid w:val="005E6C0E"/>
    <w:rsid w:val="005F37C2"/>
    <w:rsid w:val="005F37DA"/>
    <w:rsid w:val="005F5E51"/>
    <w:rsid w:val="005F7255"/>
    <w:rsid w:val="00600764"/>
    <w:rsid w:val="0060241A"/>
    <w:rsid w:val="00606C61"/>
    <w:rsid w:val="00615C6B"/>
    <w:rsid w:val="00621659"/>
    <w:rsid w:val="006305BD"/>
    <w:rsid w:val="00632D6D"/>
    <w:rsid w:val="00634B36"/>
    <w:rsid w:val="00642C3E"/>
    <w:rsid w:val="0066015B"/>
    <w:rsid w:val="00663DAD"/>
    <w:rsid w:val="006649B9"/>
    <w:rsid w:val="00676679"/>
    <w:rsid w:val="00680526"/>
    <w:rsid w:val="00687F39"/>
    <w:rsid w:val="00696E6C"/>
    <w:rsid w:val="006B4CF9"/>
    <w:rsid w:val="006B7AC8"/>
    <w:rsid w:val="006D550F"/>
    <w:rsid w:val="006D77F3"/>
    <w:rsid w:val="006E4DA2"/>
    <w:rsid w:val="006F5D91"/>
    <w:rsid w:val="00701CAB"/>
    <w:rsid w:val="00707563"/>
    <w:rsid w:val="0072348C"/>
    <w:rsid w:val="00723C9F"/>
    <w:rsid w:val="00724026"/>
    <w:rsid w:val="00724A37"/>
    <w:rsid w:val="007303C3"/>
    <w:rsid w:val="0073216E"/>
    <w:rsid w:val="0073239D"/>
    <w:rsid w:val="00732AA9"/>
    <w:rsid w:val="00743223"/>
    <w:rsid w:val="0074399D"/>
    <w:rsid w:val="00746E01"/>
    <w:rsid w:val="00763E5D"/>
    <w:rsid w:val="00767740"/>
    <w:rsid w:val="00777EE6"/>
    <w:rsid w:val="0078248F"/>
    <w:rsid w:val="00782EEA"/>
    <w:rsid w:val="00782FC8"/>
    <w:rsid w:val="0078420B"/>
    <w:rsid w:val="0078633B"/>
    <w:rsid w:val="007A53F4"/>
    <w:rsid w:val="007B0550"/>
    <w:rsid w:val="007B1C09"/>
    <w:rsid w:val="007B1D7A"/>
    <w:rsid w:val="007B1EC8"/>
    <w:rsid w:val="007B2C72"/>
    <w:rsid w:val="007C1C53"/>
    <w:rsid w:val="007C42A5"/>
    <w:rsid w:val="007E26A9"/>
    <w:rsid w:val="007E345B"/>
    <w:rsid w:val="007E4904"/>
    <w:rsid w:val="007E4CB5"/>
    <w:rsid w:val="007F066B"/>
    <w:rsid w:val="007F301B"/>
    <w:rsid w:val="007F6D3C"/>
    <w:rsid w:val="008033C4"/>
    <w:rsid w:val="00806C88"/>
    <w:rsid w:val="0081034E"/>
    <w:rsid w:val="00810870"/>
    <w:rsid w:val="00823541"/>
    <w:rsid w:val="008344F6"/>
    <w:rsid w:val="0083510F"/>
    <w:rsid w:val="008413C2"/>
    <w:rsid w:val="00841DEE"/>
    <w:rsid w:val="008511AA"/>
    <w:rsid w:val="00851209"/>
    <w:rsid w:val="008517C5"/>
    <w:rsid w:val="008539D4"/>
    <w:rsid w:val="008617B6"/>
    <w:rsid w:val="0088007E"/>
    <w:rsid w:val="0088204C"/>
    <w:rsid w:val="008837AC"/>
    <w:rsid w:val="008908F0"/>
    <w:rsid w:val="008945B4"/>
    <w:rsid w:val="008A2E2B"/>
    <w:rsid w:val="008A3DE5"/>
    <w:rsid w:val="008A587D"/>
    <w:rsid w:val="008A5AF9"/>
    <w:rsid w:val="008C5486"/>
    <w:rsid w:val="008E7031"/>
    <w:rsid w:val="00901B59"/>
    <w:rsid w:val="00902D33"/>
    <w:rsid w:val="009144A2"/>
    <w:rsid w:val="009223B7"/>
    <w:rsid w:val="00922C95"/>
    <w:rsid w:val="009233EE"/>
    <w:rsid w:val="0092392B"/>
    <w:rsid w:val="00926397"/>
    <w:rsid w:val="00934714"/>
    <w:rsid w:val="00934847"/>
    <w:rsid w:val="00943F75"/>
    <w:rsid w:val="00954F80"/>
    <w:rsid w:val="00956D96"/>
    <w:rsid w:val="00963F42"/>
    <w:rsid w:val="009661DE"/>
    <w:rsid w:val="009856B7"/>
    <w:rsid w:val="0098602B"/>
    <w:rsid w:val="00987374"/>
    <w:rsid w:val="00991B3B"/>
    <w:rsid w:val="00994400"/>
    <w:rsid w:val="009962BA"/>
    <w:rsid w:val="009A140D"/>
    <w:rsid w:val="009A5995"/>
    <w:rsid w:val="009A606E"/>
    <w:rsid w:val="009A733A"/>
    <w:rsid w:val="009B5E2F"/>
    <w:rsid w:val="009B74B0"/>
    <w:rsid w:val="009D4414"/>
    <w:rsid w:val="009D6B46"/>
    <w:rsid w:val="009E2BE9"/>
    <w:rsid w:val="009E7406"/>
    <w:rsid w:val="009F2BE5"/>
    <w:rsid w:val="009F2D34"/>
    <w:rsid w:val="009F4940"/>
    <w:rsid w:val="00A025A7"/>
    <w:rsid w:val="00A07785"/>
    <w:rsid w:val="00A1665B"/>
    <w:rsid w:val="00A16D69"/>
    <w:rsid w:val="00A17A44"/>
    <w:rsid w:val="00A228BB"/>
    <w:rsid w:val="00A3185A"/>
    <w:rsid w:val="00A33CF4"/>
    <w:rsid w:val="00A352FB"/>
    <w:rsid w:val="00A370D9"/>
    <w:rsid w:val="00A41427"/>
    <w:rsid w:val="00A4478A"/>
    <w:rsid w:val="00A44852"/>
    <w:rsid w:val="00A51CD0"/>
    <w:rsid w:val="00A57D04"/>
    <w:rsid w:val="00A60A26"/>
    <w:rsid w:val="00A61598"/>
    <w:rsid w:val="00A84F46"/>
    <w:rsid w:val="00A871F4"/>
    <w:rsid w:val="00A90BF5"/>
    <w:rsid w:val="00A92F8B"/>
    <w:rsid w:val="00A95B5B"/>
    <w:rsid w:val="00AA01C1"/>
    <w:rsid w:val="00AA2214"/>
    <w:rsid w:val="00AA58B3"/>
    <w:rsid w:val="00AC1315"/>
    <w:rsid w:val="00AC1B2C"/>
    <w:rsid w:val="00AC317E"/>
    <w:rsid w:val="00AC3264"/>
    <w:rsid w:val="00AC6F01"/>
    <w:rsid w:val="00AD33BE"/>
    <w:rsid w:val="00AD4BCE"/>
    <w:rsid w:val="00AE0FE2"/>
    <w:rsid w:val="00AE1BF1"/>
    <w:rsid w:val="00AF0DD2"/>
    <w:rsid w:val="00AF4181"/>
    <w:rsid w:val="00AF4BD5"/>
    <w:rsid w:val="00B10314"/>
    <w:rsid w:val="00B13048"/>
    <w:rsid w:val="00B15998"/>
    <w:rsid w:val="00B1716D"/>
    <w:rsid w:val="00B17A1D"/>
    <w:rsid w:val="00B207A0"/>
    <w:rsid w:val="00B267B7"/>
    <w:rsid w:val="00B3180C"/>
    <w:rsid w:val="00B37D81"/>
    <w:rsid w:val="00B548F6"/>
    <w:rsid w:val="00B54928"/>
    <w:rsid w:val="00B56E03"/>
    <w:rsid w:val="00B57A8C"/>
    <w:rsid w:val="00B60F5D"/>
    <w:rsid w:val="00B663AC"/>
    <w:rsid w:val="00B67E91"/>
    <w:rsid w:val="00B8080B"/>
    <w:rsid w:val="00B87127"/>
    <w:rsid w:val="00B874B9"/>
    <w:rsid w:val="00B87C39"/>
    <w:rsid w:val="00B90BF2"/>
    <w:rsid w:val="00B9399F"/>
    <w:rsid w:val="00BA1289"/>
    <w:rsid w:val="00BA340B"/>
    <w:rsid w:val="00BA37B4"/>
    <w:rsid w:val="00BA4665"/>
    <w:rsid w:val="00BB2E51"/>
    <w:rsid w:val="00BB2FB2"/>
    <w:rsid w:val="00BB3304"/>
    <w:rsid w:val="00BC4D22"/>
    <w:rsid w:val="00BD3446"/>
    <w:rsid w:val="00BD7C01"/>
    <w:rsid w:val="00BE1F1B"/>
    <w:rsid w:val="00BE2DDE"/>
    <w:rsid w:val="00BE47B5"/>
    <w:rsid w:val="00BE4C99"/>
    <w:rsid w:val="00BF3A27"/>
    <w:rsid w:val="00BF3A3B"/>
    <w:rsid w:val="00BF795D"/>
    <w:rsid w:val="00C014EB"/>
    <w:rsid w:val="00C058AB"/>
    <w:rsid w:val="00C06739"/>
    <w:rsid w:val="00C119D6"/>
    <w:rsid w:val="00C15D23"/>
    <w:rsid w:val="00C2029C"/>
    <w:rsid w:val="00C27190"/>
    <w:rsid w:val="00C30108"/>
    <w:rsid w:val="00C334EA"/>
    <w:rsid w:val="00C33564"/>
    <w:rsid w:val="00C33D2B"/>
    <w:rsid w:val="00C46AEE"/>
    <w:rsid w:val="00C5092C"/>
    <w:rsid w:val="00C538A9"/>
    <w:rsid w:val="00C53B5A"/>
    <w:rsid w:val="00C54F5A"/>
    <w:rsid w:val="00C624DD"/>
    <w:rsid w:val="00C66811"/>
    <w:rsid w:val="00C701E3"/>
    <w:rsid w:val="00C73987"/>
    <w:rsid w:val="00C74259"/>
    <w:rsid w:val="00C755AD"/>
    <w:rsid w:val="00C76D61"/>
    <w:rsid w:val="00C77DF4"/>
    <w:rsid w:val="00C86679"/>
    <w:rsid w:val="00C9472C"/>
    <w:rsid w:val="00CB666B"/>
    <w:rsid w:val="00CB6A5A"/>
    <w:rsid w:val="00CD272C"/>
    <w:rsid w:val="00CD74D8"/>
    <w:rsid w:val="00CF156C"/>
    <w:rsid w:val="00CF4528"/>
    <w:rsid w:val="00CF6136"/>
    <w:rsid w:val="00CF799E"/>
    <w:rsid w:val="00D01CF0"/>
    <w:rsid w:val="00D0442A"/>
    <w:rsid w:val="00D203E1"/>
    <w:rsid w:val="00D23A85"/>
    <w:rsid w:val="00D27ED8"/>
    <w:rsid w:val="00D41105"/>
    <w:rsid w:val="00D511B0"/>
    <w:rsid w:val="00D53F75"/>
    <w:rsid w:val="00D544B8"/>
    <w:rsid w:val="00D61388"/>
    <w:rsid w:val="00D61A54"/>
    <w:rsid w:val="00D64AF7"/>
    <w:rsid w:val="00D64DEA"/>
    <w:rsid w:val="00D67D83"/>
    <w:rsid w:val="00D73D5F"/>
    <w:rsid w:val="00D769EC"/>
    <w:rsid w:val="00D80893"/>
    <w:rsid w:val="00D845A9"/>
    <w:rsid w:val="00D92CF1"/>
    <w:rsid w:val="00D92D38"/>
    <w:rsid w:val="00D950F5"/>
    <w:rsid w:val="00DA5D56"/>
    <w:rsid w:val="00DB0F93"/>
    <w:rsid w:val="00DB4D2D"/>
    <w:rsid w:val="00DC542F"/>
    <w:rsid w:val="00DC6247"/>
    <w:rsid w:val="00DC7981"/>
    <w:rsid w:val="00DD0BAB"/>
    <w:rsid w:val="00DD3399"/>
    <w:rsid w:val="00DD6F61"/>
    <w:rsid w:val="00DE4EFA"/>
    <w:rsid w:val="00DE5520"/>
    <w:rsid w:val="00DF1551"/>
    <w:rsid w:val="00E02C4C"/>
    <w:rsid w:val="00E042D1"/>
    <w:rsid w:val="00E045CC"/>
    <w:rsid w:val="00E04818"/>
    <w:rsid w:val="00E06442"/>
    <w:rsid w:val="00E1732E"/>
    <w:rsid w:val="00E21EF7"/>
    <w:rsid w:val="00E23993"/>
    <w:rsid w:val="00E23FCE"/>
    <w:rsid w:val="00E25B8C"/>
    <w:rsid w:val="00E31834"/>
    <w:rsid w:val="00E4674F"/>
    <w:rsid w:val="00E63639"/>
    <w:rsid w:val="00E64B5A"/>
    <w:rsid w:val="00E65C85"/>
    <w:rsid w:val="00E66199"/>
    <w:rsid w:val="00E72AD0"/>
    <w:rsid w:val="00E755EC"/>
    <w:rsid w:val="00E7624D"/>
    <w:rsid w:val="00E86D25"/>
    <w:rsid w:val="00E87A15"/>
    <w:rsid w:val="00E907C9"/>
    <w:rsid w:val="00EA1964"/>
    <w:rsid w:val="00EA3D42"/>
    <w:rsid w:val="00EA4F5E"/>
    <w:rsid w:val="00EA51DF"/>
    <w:rsid w:val="00EA6791"/>
    <w:rsid w:val="00EA6B1B"/>
    <w:rsid w:val="00EC4643"/>
    <w:rsid w:val="00ED5EE6"/>
    <w:rsid w:val="00EE28F3"/>
    <w:rsid w:val="00EE57DE"/>
    <w:rsid w:val="00EE63EE"/>
    <w:rsid w:val="00EF00FD"/>
    <w:rsid w:val="00EF5110"/>
    <w:rsid w:val="00F03F72"/>
    <w:rsid w:val="00F10C00"/>
    <w:rsid w:val="00F15882"/>
    <w:rsid w:val="00F20BD3"/>
    <w:rsid w:val="00F231AA"/>
    <w:rsid w:val="00F26D75"/>
    <w:rsid w:val="00F373A5"/>
    <w:rsid w:val="00F44D50"/>
    <w:rsid w:val="00F47559"/>
    <w:rsid w:val="00F53AF6"/>
    <w:rsid w:val="00F60BE4"/>
    <w:rsid w:val="00F61B84"/>
    <w:rsid w:val="00F62762"/>
    <w:rsid w:val="00F6481F"/>
    <w:rsid w:val="00F64C7B"/>
    <w:rsid w:val="00F676DD"/>
    <w:rsid w:val="00F75A26"/>
    <w:rsid w:val="00F75EF8"/>
    <w:rsid w:val="00F83FAD"/>
    <w:rsid w:val="00F91DC6"/>
    <w:rsid w:val="00F952A0"/>
    <w:rsid w:val="00FA0DCF"/>
    <w:rsid w:val="00FA34F7"/>
    <w:rsid w:val="00FA3C7F"/>
    <w:rsid w:val="00FB3D54"/>
    <w:rsid w:val="00FB48C4"/>
    <w:rsid w:val="00FB52D7"/>
    <w:rsid w:val="00FB74E2"/>
    <w:rsid w:val="00FD3D88"/>
    <w:rsid w:val="00FD5614"/>
    <w:rsid w:val="00FE0BE1"/>
    <w:rsid w:val="00FE0F16"/>
    <w:rsid w:val="00FE1DE9"/>
    <w:rsid w:val="00FE39C2"/>
    <w:rsid w:val="00FE4042"/>
    <w:rsid w:val="00FE5C1E"/>
    <w:rsid w:val="00FE64AE"/>
    <w:rsid w:val="00FF04F3"/>
    <w:rsid w:val="00FF3E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0E3A2E"/>
    <w:pPr>
      <w:numPr>
        <w:ilvl w:val="1"/>
        <w:numId w:val="12"/>
      </w:numPr>
      <w:tabs>
        <w:tab w:val="left" w:pos="1021"/>
      </w:tabs>
    </w:pPr>
    <w:rPr>
      <w:rFonts w:cs="Arial"/>
    </w:rPr>
  </w:style>
  <w:style w:type="paragraph" w:customStyle="1" w:styleId="Numbered111">
    <w:name w:val="Numbered 1.1.1"/>
    <w:basedOn w:val="Heading3"/>
    <w:next w:val="Normal"/>
    <w:qFormat/>
    <w:rsid w:val="009F2BE5"/>
    <w:pPr>
      <w:numPr>
        <w:ilvl w:val="2"/>
        <w:numId w:val="12"/>
      </w:numPr>
      <w:tabs>
        <w:tab w:val="left" w:pos="1361"/>
      </w:tabs>
      <w:contextualSpacing/>
    </w:pPr>
  </w:style>
  <w:style w:type="paragraph" w:customStyle="1" w:styleId="Numbered1111">
    <w:name w:val="Numbered 1.1.1.1"/>
    <w:basedOn w:val="Heading4"/>
    <w:next w:val="Normal"/>
    <w:rsid w:val="00F61B84"/>
    <w:pPr>
      <w:numPr>
        <w:ilvl w:val="3"/>
        <w:numId w:val="12"/>
      </w:numPr>
      <w:tabs>
        <w:tab w:val="left" w:pos="1361"/>
      </w:tabs>
    </w:pPr>
  </w:style>
  <w:style w:type="paragraph" w:customStyle="1" w:styleId="Numbered11111">
    <w:name w:val="Numbered 1.1.1.1.1"/>
    <w:basedOn w:val="Heading5"/>
    <w:next w:val="Normal"/>
    <w:uiPriority w:val="2"/>
    <w:rsid w:val="00F61B84"/>
    <w:pPr>
      <w:numPr>
        <w:ilvl w:val="4"/>
        <w:numId w:val="12"/>
      </w:numPr>
      <w:tabs>
        <w:tab w:val="left" w:pos="1701"/>
      </w:tabs>
    </w:pPr>
  </w:style>
  <w:style w:type="paragraph" w:customStyle="1" w:styleId="Numbered111111">
    <w:name w:val="Numbered 1.1.1.1.1.1"/>
    <w:basedOn w:val="Heading6"/>
    <w:next w:val="Normal"/>
    <w:uiPriority w:val="2"/>
    <w:rsid w:val="00F61B84"/>
    <w:pPr>
      <w:numPr>
        <w:ilvl w:val="5"/>
        <w:numId w:val="12"/>
      </w:num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pPr>
  </w:style>
  <w:style w:type="paragraph" w:customStyle="1" w:styleId="Numbered11111111">
    <w:name w:val="Numbered 1.1.1.1.1.1.1.1"/>
    <w:basedOn w:val="Heading8"/>
    <w:next w:val="Normal"/>
    <w:uiPriority w:val="2"/>
    <w:rsid w:val="00F61B84"/>
    <w:pPr>
      <w:numPr>
        <w:ilvl w:val="7"/>
        <w:numId w:val="12"/>
      </w:numPr>
      <w:tabs>
        <w:tab w:val="left" w:pos="2041"/>
      </w:tabs>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EA1964"/>
    <w:rPr>
      <w:color w:val="800080" w:themeColor="followedHyperlink"/>
      <w:u w:val="single"/>
    </w:rPr>
  </w:style>
  <w:style w:type="character" w:customStyle="1" w:styleId="contentossregulation">
    <w:name w:val="contentossregulation"/>
    <w:basedOn w:val="DefaultParagraphFont"/>
    <w:rsid w:val="00165FBE"/>
  </w:style>
  <w:style w:type="character" w:styleId="CommentReference">
    <w:name w:val="annotation reference"/>
    <w:basedOn w:val="DefaultParagraphFont"/>
    <w:uiPriority w:val="99"/>
    <w:semiHidden/>
    <w:unhideWhenUsed/>
    <w:rsid w:val="00CD74D8"/>
    <w:rPr>
      <w:sz w:val="16"/>
      <w:szCs w:val="16"/>
    </w:rPr>
  </w:style>
  <w:style w:type="paragraph" w:styleId="CommentText">
    <w:name w:val="annotation text"/>
    <w:basedOn w:val="Normal"/>
    <w:link w:val="CommentTextChar"/>
    <w:uiPriority w:val="99"/>
    <w:semiHidden/>
    <w:unhideWhenUsed/>
    <w:rsid w:val="00CD74D8"/>
    <w:rPr>
      <w:sz w:val="20"/>
      <w:szCs w:val="20"/>
    </w:rPr>
  </w:style>
  <w:style w:type="character" w:customStyle="1" w:styleId="CommentTextChar">
    <w:name w:val="Comment Text Char"/>
    <w:basedOn w:val="DefaultParagraphFont"/>
    <w:link w:val="CommentText"/>
    <w:uiPriority w:val="99"/>
    <w:semiHidden/>
    <w:rsid w:val="00CD74D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74D8"/>
    <w:rPr>
      <w:b/>
      <w:bCs/>
    </w:rPr>
  </w:style>
  <w:style w:type="character" w:customStyle="1" w:styleId="CommentSubjectChar">
    <w:name w:val="Comment Subject Char"/>
    <w:basedOn w:val="CommentTextChar"/>
    <w:link w:val="CommentSubject"/>
    <w:uiPriority w:val="99"/>
    <w:semiHidden/>
    <w:rsid w:val="00CD74D8"/>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0E3A2E"/>
    <w:pPr>
      <w:numPr>
        <w:ilvl w:val="1"/>
        <w:numId w:val="12"/>
      </w:numPr>
      <w:tabs>
        <w:tab w:val="left" w:pos="1021"/>
      </w:tabs>
    </w:pPr>
    <w:rPr>
      <w:rFonts w:cs="Arial"/>
    </w:rPr>
  </w:style>
  <w:style w:type="paragraph" w:customStyle="1" w:styleId="Numbered111">
    <w:name w:val="Numbered 1.1.1"/>
    <w:basedOn w:val="Heading3"/>
    <w:next w:val="Normal"/>
    <w:qFormat/>
    <w:rsid w:val="009F2BE5"/>
    <w:pPr>
      <w:numPr>
        <w:ilvl w:val="2"/>
        <w:numId w:val="12"/>
      </w:numPr>
      <w:tabs>
        <w:tab w:val="left" w:pos="1361"/>
      </w:tabs>
      <w:contextualSpacing/>
    </w:pPr>
  </w:style>
  <w:style w:type="paragraph" w:customStyle="1" w:styleId="Numbered1111">
    <w:name w:val="Numbered 1.1.1.1"/>
    <w:basedOn w:val="Heading4"/>
    <w:next w:val="Normal"/>
    <w:rsid w:val="00F61B84"/>
    <w:pPr>
      <w:numPr>
        <w:ilvl w:val="3"/>
        <w:numId w:val="12"/>
      </w:numPr>
      <w:tabs>
        <w:tab w:val="left" w:pos="1361"/>
      </w:tabs>
    </w:pPr>
  </w:style>
  <w:style w:type="paragraph" w:customStyle="1" w:styleId="Numbered11111">
    <w:name w:val="Numbered 1.1.1.1.1"/>
    <w:basedOn w:val="Heading5"/>
    <w:next w:val="Normal"/>
    <w:uiPriority w:val="2"/>
    <w:rsid w:val="00F61B84"/>
    <w:pPr>
      <w:numPr>
        <w:ilvl w:val="4"/>
        <w:numId w:val="12"/>
      </w:numPr>
      <w:tabs>
        <w:tab w:val="left" w:pos="1701"/>
      </w:tabs>
    </w:pPr>
  </w:style>
  <w:style w:type="paragraph" w:customStyle="1" w:styleId="Numbered111111">
    <w:name w:val="Numbered 1.1.1.1.1.1"/>
    <w:basedOn w:val="Heading6"/>
    <w:next w:val="Normal"/>
    <w:uiPriority w:val="2"/>
    <w:rsid w:val="00F61B84"/>
    <w:pPr>
      <w:numPr>
        <w:ilvl w:val="5"/>
        <w:numId w:val="12"/>
      </w:num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pPr>
  </w:style>
  <w:style w:type="paragraph" w:customStyle="1" w:styleId="Numbered11111111">
    <w:name w:val="Numbered 1.1.1.1.1.1.1.1"/>
    <w:basedOn w:val="Heading8"/>
    <w:next w:val="Normal"/>
    <w:uiPriority w:val="2"/>
    <w:rsid w:val="00F61B84"/>
    <w:pPr>
      <w:numPr>
        <w:ilvl w:val="7"/>
        <w:numId w:val="12"/>
      </w:numPr>
      <w:tabs>
        <w:tab w:val="left" w:pos="2041"/>
      </w:tabs>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EA1964"/>
    <w:rPr>
      <w:color w:val="800080" w:themeColor="followedHyperlink"/>
      <w:u w:val="single"/>
    </w:rPr>
  </w:style>
  <w:style w:type="character" w:customStyle="1" w:styleId="contentossregulation">
    <w:name w:val="contentossregulation"/>
    <w:basedOn w:val="DefaultParagraphFont"/>
    <w:rsid w:val="00165FBE"/>
  </w:style>
  <w:style w:type="character" w:styleId="CommentReference">
    <w:name w:val="annotation reference"/>
    <w:basedOn w:val="DefaultParagraphFont"/>
    <w:uiPriority w:val="99"/>
    <w:semiHidden/>
    <w:unhideWhenUsed/>
    <w:rsid w:val="00CD74D8"/>
    <w:rPr>
      <w:sz w:val="16"/>
      <w:szCs w:val="16"/>
    </w:rPr>
  </w:style>
  <w:style w:type="paragraph" w:styleId="CommentText">
    <w:name w:val="annotation text"/>
    <w:basedOn w:val="Normal"/>
    <w:link w:val="CommentTextChar"/>
    <w:uiPriority w:val="99"/>
    <w:semiHidden/>
    <w:unhideWhenUsed/>
    <w:rsid w:val="00CD74D8"/>
    <w:rPr>
      <w:sz w:val="20"/>
      <w:szCs w:val="20"/>
    </w:rPr>
  </w:style>
  <w:style w:type="character" w:customStyle="1" w:styleId="CommentTextChar">
    <w:name w:val="Comment Text Char"/>
    <w:basedOn w:val="DefaultParagraphFont"/>
    <w:link w:val="CommentText"/>
    <w:uiPriority w:val="99"/>
    <w:semiHidden/>
    <w:rsid w:val="00CD74D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74D8"/>
    <w:rPr>
      <w:b/>
      <w:bCs/>
    </w:rPr>
  </w:style>
  <w:style w:type="character" w:customStyle="1" w:styleId="CommentSubjectChar">
    <w:name w:val="Comment Subject Char"/>
    <w:basedOn w:val="CommentTextChar"/>
    <w:link w:val="CommentSubject"/>
    <w:uiPriority w:val="99"/>
    <w:semiHidden/>
    <w:rsid w:val="00CD74D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260226">
      <w:bodyDiv w:val="1"/>
      <w:marLeft w:val="0"/>
      <w:marRight w:val="0"/>
      <w:marTop w:val="0"/>
      <w:marBottom w:val="0"/>
      <w:divBdr>
        <w:top w:val="none" w:sz="0" w:space="0" w:color="auto"/>
        <w:left w:val="none" w:sz="0" w:space="0" w:color="auto"/>
        <w:bottom w:val="none" w:sz="0" w:space="0" w:color="auto"/>
        <w:right w:val="none" w:sz="0" w:space="0" w:color="auto"/>
      </w:divBdr>
      <w:divsChild>
        <w:div w:id="1209955548">
          <w:marLeft w:val="0"/>
          <w:marRight w:val="0"/>
          <w:marTop w:val="0"/>
          <w:marBottom w:val="0"/>
          <w:divBdr>
            <w:top w:val="none" w:sz="0" w:space="0" w:color="auto"/>
            <w:left w:val="none" w:sz="0" w:space="0" w:color="auto"/>
            <w:bottom w:val="none" w:sz="0" w:space="0" w:color="auto"/>
            <w:right w:val="none" w:sz="0" w:space="0" w:color="auto"/>
          </w:divBdr>
          <w:divsChild>
            <w:div w:id="1872717036">
              <w:marLeft w:val="-225"/>
              <w:marRight w:val="-225"/>
              <w:marTop w:val="0"/>
              <w:marBottom w:val="0"/>
              <w:divBdr>
                <w:top w:val="none" w:sz="0" w:space="0" w:color="auto"/>
                <w:left w:val="none" w:sz="0" w:space="0" w:color="auto"/>
                <w:bottom w:val="none" w:sz="0" w:space="0" w:color="auto"/>
                <w:right w:val="none" w:sz="0" w:space="0" w:color="auto"/>
              </w:divBdr>
              <w:divsChild>
                <w:div w:id="632908770">
                  <w:marLeft w:val="0"/>
                  <w:marRight w:val="0"/>
                  <w:marTop w:val="0"/>
                  <w:marBottom w:val="0"/>
                  <w:divBdr>
                    <w:top w:val="none" w:sz="0" w:space="0" w:color="auto"/>
                    <w:left w:val="none" w:sz="0" w:space="0" w:color="auto"/>
                    <w:bottom w:val="none" w:sz="0" w:space="0" w:color="auto"/>
                    <w:right w:val="none" w:sz="0" w:space="0" w:color="auto"/>
                  </w:divBdr>
                  <w:divsChild>
                    <w:div w:id="215822530">
                      <w:marLeft w:val="0"/>
                      <w:marRight w:val="0"/>
                      <w:marTop w:val="0"/>
                      <w:marBottom w:val="0"/>
                      <w:divBdr>
                        <w:top w:val="none" w:sz="0" w:space="0" w:color="auto"/>
                        <w:left w:val="none" w:sz="0" w:space="0" w:color="auto"/>
                        <w:bottom w:val="none" w:sz="0" w:space="0" w:color="auto"/>
                        <w:right w:val="none" w:sz="0" w:space="0" w:color="auto"/>
                      </w:divBdr>
                      <w:divsChild>
                        <w:div w:id="358361304">
                          <w:marLeft w:val="0"/>
                          <w:marRight w:val="0"/>
                          <w:marTop w:val="0"/>
                          <w:marBottom w:val="0"/>
                          <w:divBdr>
                            <w:top w:val="none" w:sz="0" w:space="0" w:color="auto"/>
                            <w:left w:val="none" w:sz="0" w:space="0" w:color="auto"/>
                            <w:bottom w:val="none" w:sz="0" w:space="0" w:color="auto"/>
                            <w:right w:val="none" w:sz="0" w:space="0" w:color="auto"/>
                          </w:divBdr>
                          <w:divsChild>
                            <w:div w:id="1296376228">
                              <w:marLeft w:val="0"/>
                              <w:marRight w:val="0"/>
                              <w:marTop w:val="0"/>
                              <w:marBottom w:val="0"/>
                              <w:divBdr>
                                <w:top w:val="none" w:sz="0" w:space="0" w:color="auto"/>
                                <w:left w:val="none" w:sz="0" w:space="0" w:color="auto"/>
                                <w:bottom w:val="none" w:sz="0" w:space="0" w:color="auto"/>
                                <w:right w:val="none" w:sz="0" w:space="0" w:color="auto"/>
                              </w:divBdr>
                              <w:divsChild>
                                <w:div w:id="331303179">
                                  <w:marLeft w:val="0"/>
                                  <w:marRight w:val="0"/>
                                  <w:marTop w:val="0"/>
                                  <w:marBottom w:val="0"/>
                                  <w:divBdr>
                                    <w:top w:val="none" w:sz="0" w:space="0" w:color="auto"/>
                                    <w:left w:val="none" w:sz="0" w:space="0" w:color="auto"/>
                                    <w:bottom w:val="none" w:sz="0" w:space="0" w:color="auto"/>
                                    <w:right w:val="none" w:sz="0" w:space="0" w:color="auto"/>
                                  </w:divBdr>
                                  <w:divsChild>
                                    <w:div w:id="13978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reativecommons.org.a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accc.gov.au/system/files/ACCC-AER%20Information%20Policy.pdf" TargetMode="External"/><Relationship Id="rId2" Type="http://schemas.openxmlformats.org/officeDocument/2006/relationships/customXml" Target="../customXml/item2.xml"/><Relationship Id="rId16" Type="http://schemas.openxmlformats.org/officeDocument/2006/relationships/hyperlink" Target="mailto:productsafety.regulation@acc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hyperlink" Target="https://consultation.accc.gov.au" TargetMode="Externa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reativecommons.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ACCC%20Report%20Template.do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8F4963-0809-4222-BA40-6866A538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 Report Template</Template>
  <TotalTime>1</TotalTime>
  <Pages>12</Pages>
  <Words>2897</Words>
  <Characters>16513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Kaloudis, Janelle</dc:creator>
  <cp:lastModifiedBy>Abhinav Suresh</cp:lastModifiedBy>
  <cp:revision>2</cp:revision>
  <cp:lastPrinted>2016-09-22T06:46:00Z</cp:lastPrinted>
  <dcterms:created xsi:type="dcterms:W3CDTF">2016-09-27T04:26:00Z</dcterms:created>
  <dcterms:modified xsi:type="dcterms:W3CDTF">2016-09-27T04:26:00Z</dcterms:modified>
</cp:coreProperties>
</file>