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BC4CFE" w:rsidP="00935D49">
      <w:bookmarkStart w:id="0" w:name="_GoBack"/>
      <w:bookmarkEnd w:id="0"/>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4.1pt;height:47.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Default="00935D49" w:rsidP="00935D49"/>
    <w:p w:rsidR="00FD1D5A" w:rsidRDefault="00FD1D5A" w:rsidP="00935D49"/>
    <w:p w:rsidR="00FD1D5A" w:rsidRDefault="00FD1D5A" w:rsidP="00935D49"/>
    <w:p w:rsidR="00FD1D5A" w:rsidRDefault="00FD1D5A" w:rsidP="00935D49"/>
    <w:p w:rsidR="00FD1D5A" w:rsidRDefault="00FD1D5A" w:rsidP="00935D49"/>
    <w:p w:rsidR="00FD1D5A" w:rsidRPr="005E6C0E" w:rsidRDefault="00FD1D5A" w:rsidP="00935D49"/>
    <w:tbl>
      <w:tblPr>
        <w:tblW w:w="0" w:type="auto"/>
        <w:tblLook w:val="0400" w:firstRow="0" w:lastRow="0" w:firstColumn="0" w:lastColumn="0" w:noHBand="0" w:noVBand="1"/>
      </w:tblPr>
      <w:tblGrid>
        <w:gridCol w:w="9242"/>
      </w:tblGrid>
      <w:tr w:rsidR="00FD1D5A" w:rsidRPr="00DD7648" w:rsidTr="008B7B21">
        <w:tc>
          <w:tcPr>
            <w:tcW w:w="9242" w:type="dxa"/>
            <w:shd w:val="clear" w:color="auto" w:fill="auto"/>
          </w:tcPr>
          <w:p w:rsidR="00FD1D5A" w:rsidRPr="00DD7648" w:rsidRDefault="00FD1D5A" w:rsidP="008B7B21">
            <w:pPr>
              <w:pStyle w:val="NoSpacing"/>
              <w:spacing w:before="60" w:after="60"/>
              <w:rPr>
                <w:rFonts w:ascii="Lucida Fax" w:hAnsi="Lucida Fax"/>
                <w:color w:val="4F2D7D"/>
                <w:sz w:val="72"/>
                <w:szCs w:val="72"/>
              </w:rPr>
            </w:pPr>
            <w:r w:rsidRPr="00DD7648">
              <w:rPr>
                <w:rFonts w:ascii="Lucida Fax" w:hAnsi="Lucida Fax"/>
                <w:color w:val="4F2D7D"/>
                <w:sz w:val="72"/>
                <w:szCs w:val="72"/>
              </w:rPr>
              <w:t xml:space="preserve">Review of </w:t>
            </w:r>
            <w:r>
              <w:rPr>
                <w:rFonts w:ascii="Lucida Fax" w:hAnsi="Lucida Fax"/>
                <w:color w:val="4F2D7D"/>
                <w:sz w:val="72"/>
                <w:szCs w:val="72"/>
              </w:rPr>
              <w:t>the mandatory safety standard for exercise cycles</w:t>
            </w:r>
          </w:p>
          <w:p w:rsidR="00FD1D5A" w:rsidRPr="00DD7648" w:rsidRDefault="00FD1D5A" w:rsidP="008B7B21">
            <w:pPr>
              <w:pStyle w:val="NoSpacing"/>
              <w:spacing w:before="60" w:after="60"/>
              <w:rPr>
                <w:rFonts w:ascii="Lucida Fax" w:hAnsi="Lucida Fax"/>
                <w:color w:val="4F2D7D"/>
                <w:sz w:val="52"/>
                <w:szCs w:val="52"/>
              </w:rPr>
            </w:pPr>
          </w:p>
          <w:p w:rsidR="00FD1D5A" w:rsidRPr="00DD7648" w:rsidRDefault="00FD1D5A" w:rsidP="008B7B21">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Pr>
                <w:rFonts w:ascii="Lucida Fax" w:hAnsi="Lucida Fax"/>
                <w:color w:val="4F2D7D"/>
                <w:sz w:val="52"/>
                <w:szCs w:val="52"/>
              </w:rPr>
              <w:t>paper</w:t>
            </w:r>
          </w:p>
          <w:p w:rsidR="00FD1D5A" w:rsidRDefault="00FD1D5A" w:rsidP="008B7B21">
            <w:pPr>
              <w:pStyle w:val="NoSpacing"/>
              <w:spacing w:before="60" w:after="60"/>
            </w:pPr>
          </w:p>
          <w:p w:rsidR="00FD1D5A" w:rsidRPr="007A386D" w:rsidRDefault="00FD1D5A" w:rsidP="008B7B21">
            <w:pPr>
              <w:pStyle w:val="NoSpacing"/>
              <w:spacing w:before="60" w:after="60"/>
              <w:rPr>
                <w:rFonts w:ascii="Lucida Fax" w:hAnsi="Lucida Fax"/>
                <w:color w:val="FF0000"/>
                <w:sz w:val="24"/>
                <w:szCs w:val="24"/>
              </w:rPr>
            </w:pPr>
            <w:r>
              <w:rPr>
                <w:rFonts w:ascii="Lucida Fax" w:hAnsi="Lucida Fax"/>
                <w:color w:val="FF0000"/>
                <w:sz w:val="24"/>
                <w:szCs w:val="24"/>
              </w:rPr>
              <w:t>September</w:t>
            </w:r>
            <w:r w:rsidRPr="00D44E1E">
              <w:rPr>
                <w:rFonts w:ascii="Lucida Fax" w:hAnsi="Lucida Fax"/>
                <w:color w:val="FF0000"/>
                <w:sz w:val="24"/>
                <w:szCs w:val="24"/>
              </w:rPr>
              <w:t xml:space="preserve"> 2016</w:t>
            </w:r>
          </w:p>
        </w:tc>
      </w:tr>
      <w:tr w:rsidR="00FD1D5A" w:rsidRPr="00DD7648" w:rsidTr="008B7B21">
        <w:tc>
          <w:tcPr>
            <w:tcW w:w="9242" w:type="dxa"/>
            <w:shd w:val="clear" w:color="auto" w:fill="auto"/>
          </w:tcPr>
          <w:p w:rsidR="00FD1D5A" w:rsidRPr="00DD7648" w:rsidRDefault="00FD1D5A" w:rsidP="008B7B21">
            <w:pPr>
              <w:pStyle w:val="CoverDate"/>
              <w:spacing w:before="60" w:after="60"/>
              <w:jc w:val="center"/>
            </w:pPr>
          </w:p>
          <w:p w:rsidR="00FD1D5A" w:rsidRPr="00DD7648" w:rsidRDefault="00BC4CFE" w:rsidP="008B7B21">
            <w:pPr>
              <w:pStyle w:val="CoverDate"/>
              <w:spacing w:before="60" w:after="60"/>
              <w:jc w:val="center"/>
            </w:pPr>
            <w:hyperlink r:id="rId11" w:history="1">
              <w:r>
                <w:rPr>
                  <w:rFonts w:ascii="Source Sans Pro" w:hAnsi="Source Sans Pro" w:cs="Arial"/>
                  <w:noProof/>
                  <w:color w:val="30808F"/>
                  <w:lang w:eastAsia="en-AU"/>
                </w:rPr>
                <w:pict>
                  <v:shape id="_x0000_i1026" type="#_x0000_t75" alt="Exercise cycles" href="http://rc.psa.appsdev/standards/exercise-cycles" style="width:120.85pt;height:182.2pt;visibility:visible;mso-wrap-style:square" o:button="t">
                    <v:fill o:detectmouseclick="t"/>
                    <v:imagedata r:id="rId12" o:title="Exercise cycles"/>
                  </v:shape>
                </w:pict>
              </w:r>
            </w:hyperlink>
          </w:p>
          <w:p w:rsidR="00FD1D5A" w:rsidRPr="00DD7648" w:rsidRDefault="00FD1D5A" w:rsidP="008B7B21">
            <w:pPr>
              <w:pStyle w:val="CoverDate"/>
              <w:spacing w:before="60" w:after="60"/>
            </w:pPr>
          </w:p>
        </w:tc>
      </w:tr>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bl>
    <w:p w:rsidR="00935D49" w:rsidRPr="00FD1D5A" w:rsidRDefault="00935D49" w:rsidP="00FD1D5A">
      <w:pPr>
        <w:jc w:val="center"/>
        <w:rPr>
          <w:rFonts w:eastAsia="Calibri" w:cs="Arial"/>
          <w:u w:val="single"/>
          <w:lang w:val="en-GB"/>
        </w:rPr>
      </w:pPr>
    </w:p>
    <w:p w:rsidR="0022438B" w:rsidRPr="00FD1D5A" w:rsidRDefault="0022438B" w:rsidP="00FD1D5A">
      <w:pPr>
        <w:jc w:val="center"/>
        <w:rPr>
          <w:rFonts w:eastAsia="Calibri" w:cs="Arial"/>
          <w:u w:val="single"/>
          <w:lang w:val="en-GB"/>
        </w:rPr>
      </w:pPr>
    </w:p>
    <w:p w:rsidR="0022438B" w:rsidRPr="00FD1D5A" w:rsidRDefault="0022438B" w:rsidP="00FD1D5A">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FD1D5A" w:rsidRDefault="00FD1D5A"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2438B" w:rsidRPr="0022438B" w:rsidRDefault="0022438B" w:rsidP="002E5858">
      <w:pPr>
        <w:ind w:left="3060" w:firstLine="340"/>
        <w:rPr>
          <w:rFonts w:eastAsia="Calibri" w:cs="Arial"/>
          <w:u w:val="single"/>
          <w:lang w:val="en-GB"/>
        </w:rPr>
      </w:pPr>
      <w:r w:rsidRPr="0022438B">
        <w:rPr>
          <w:rFonts w:eastAsia="Calibri" w:cs="Arial"/>
          <w:u w:val="single"/>
          <w:lang w:val="en-GB"/>
        </w:rPr>
        <w:t>Disclaimer</w:t>
      </w:r>
    </w:p>
    <w:p w:rsidR="00FD1D5A" w:rsidRDefault="00FD1D5A">
      <w:pPr>
        <w:pStyle w:val="TOC1"/>
        <w:rPr>
          <w:b/>
        </w:rPr>
      </w:pPr>
    </w:p>
    <w:p w:rsidR="0022438B" w:rsidRDefault="00BC4CFE">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mso-position-horizontal-relative:text;mso-position-vertical-relative:text">
            <v:textbox style="mso-next-textbox:#_x0000_s1034;mso-fit-shape-to-text:t">
              <w:txbxContent>
                <w:p w:rsidR="0022438B" w:rsidRPr="004F2078" w:rsidRDefault="0022438B"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w:t>
                  </w:r>
                  <w:r w:rsidR="00A80F02">
                    <w:rPr>
                      <w:rFonts w:eastAsia="Calibri" w:cs="Arial"/>
                      <w:sz w:val="20"/>
                      <w:szCs w:val="20"/>
                      <w:lang w:val="en-GB"/>
                    </w:rPr>
                    <w:t xml:space="preserve">mandatory </w:t>
                  </w:r>
                  <w:r w:rsidRPr="004F2078">
                    <w:rPr>
                      <w:rFonts w:eastAsia="Calibri" w:cs="Arial"/>
                      <w:sz w:val="20"/>
                      <w:szCs w:val="20"/>
                      <w:lang w:val="en-GB"/>
                    </w:rPr>
                    <w:t xml:space="preserve">safety standard for </w:t>
                  </w:r>
                  <w:r w:rsidR="00414115">
                    <w:rPr>
                      <w:rFonts w:eastAsia="Calibri" w:cs="Arial"/>
                      <w:sz w:val="20"/>
                      <w:szCs w:val="20"/>
                      <w:lang w:val="en-GB"/>
                    </w:rPr>
                    <w:t>exercise cycles</w:t>
                  </w:r>
                  <w:r w:rsidRPr="004F2078">
                    <w:rPr>
                      <w:rFonts w:eastAsia="Calibri" w:cs="Arial"/>
                      <w:sz w:val="20"/>
                      <w:szCs w:val="20"/>
                      <w:lang w:val="en-GB"/>
                    </w:rPr>
                    <w:t>.</w:t>
                  </w:r>
                </w:p>
                <w:p w:rsidR="0022438B" w:rsidRPr="004F2078" w:rsidRDefault="0022438B" w:rsidP="0055254F">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22438B" w:rsidRDefault="0022438B">
      <w:pPr>
        <w:pStyle w:val="TOC1"/>
        <w:rPr>
          <w:b/>
        </w:rPr>
      </w:pPr>
    </w:p>
    <w:p w:rsidR="00AF2073" w:rsidRDefault="00AF2073">
      <w:pPr>
        <w:pStyle w:val="TOC1"/>
        <w:rPr>
          <w:rFonts w:eastAsia="Calibri"/>
        </w:rPr>
      </w:pPr>
      <w:r w:rsidRPr="00DB6C88">
        <w:rPr>
          <w:b/>
        </w:rPr>
        <w:t>Table of contents</w:t>
      </w:r>
    </w:p>
    <w:p w:rsidR="00A968D4"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2397149" w:history="1">
        <w:r w:rsidR="00A968D4" w:rsidRPr="00BF52D2">
          <w:rPr>
            <w:rStyle w:val="Hyperlink"/>
          </w:rPr>
          <w:t>1.</w:t>
        </w:r>
        <w:r w:rsidR="00A968D4">
          <w:rPr>
            <w:rFonts w:asciiTheme="minorHAnsi" w:eastAsiaTheme="minorEastAsia" w:hAnsiTheme="minorHAnsi" w:cstheme="minorBidi"/>
            <w:lang w:val="en-AU" w:eastAsia="en-AU"/>
          </w:rPr>
          <w:tab/>
        </w:r>
        <w:r w:rsidR="00A968D4" w:rsidRPr="00BF52D2">
          <w:rPr>
            <w:rStyle w:val="Hyperlink"/>
          </w:rPr>
          <w:t>Introduction</w:t>
        </w:r>
        <w:r w:rsidR="00A968D4">
          <w:rPr>
            <w:webHidden/>
          </w:rPr>
          <w:tab/>
        </w:r>
        <w:r w:rsidR="00A968D4">
          <w:rPr>
            <w:webHidden/>
          </w:rPr>
          <w:fldChar w:fldCharType="begin"/>
        </w:r>
        <w:r w:rsidR="00A968D4">
          <w:rPr>
            <w:webHidden/>
          </w:rPr>
          <w:instrText xml:space="preserve"> PAGEREF _Toc462397149 \h </w:instrText>
        </w:r>
        <w:r w:rsidR="00A968D4">
          <w:rPr>
            <w:webHidden/>
          </w:rPr>
        </w:r>
        <w:r w:rsidR="00A968D4">
          <w:rPr>
            <w:webHidden/>
          </w:rPr>
          <w:fldChar w:fldCharType="separate"/>
        </w:r>
        <w:r w:rsidR="00EA592E">
          <w:rPr>
            <w:webHidden/>
          </w:rPr>
          <w:t>3</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50" w:history="1">
        <w:r w:rsidR="00A968D4" w:rsidRPr="00BF52D2">
          <w:rPr>
            <w:rStyle w:val="Hyperlink"/>
          </w:rPr>
          <w:t>2.</w:t>
        </w:r>
        <w:r w:rsidR="00A968D4">
          <w:rPr>
            <w:rFonts w:asciiTheme="minorHAnsi" w:eastAsiaTheme="minorEastAsia" w:hAnsiTheme="minorHAnsi" w:cstheme="minorBidi"/>
            <w:lang w:val="en-AU" w:eastAsia="en-AU"/>
          </w:rPr>
          <w:tab/>
        </w:r>
        <w:r w:rsidR="00A968D4" w:rsidRPr="00BF52D2">
          <w:rPr>
            <w:rStyle w:val="Hyperlink"/>
          </w:rPr>
          <w:t>Policy options</w:t>
        </w:r>
        <w:r w:rsidR="00A968D4">
          <w:rPr>
            <w:webHidden/>
          </w:rPr>
          <w:tab/>
        </w:r>
        <w:r w:rsidR="00A968D4">
          <w:rPr>
            <w:webHidden/>
          </w:rPr>
          <w:fldChar w:fldCharType="begin"/>
        </w:r>
        <w:r w:rsidR="00A968D4">
          <w:rPr>
            <w:webHidden/>
          </w:rPr>
          <w:instrText xml:space="preserve"> PAGEREF _Toc462397150 \h </w:instrText>
        </w:r>
        <w:r w:rsidR="00A968D4">
          <w:rPr>
            <w:webHidden/>
          </w:rPr>
        </w:r>
        <w:r w:rsidR="00A968D4">
          <w:rPr>
            <w:webHidden/>
          </w:rPr>
          <w:fldChar w:fldCharType="separate"/>
        </w:r>
        <w:r w:rsidR="00EA592E">
          <w:rPr>
            <w:webHidden/>
          </w:rPr>
          <w:t>3</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51" w:history="1">
        <w:r w:rsidR="00A968D4" w:rsidRPr="00BF52D2">
          <w:rPr>
            <w:rStyle w:val="Hyperlink"/>
          </w:rPr>
          <w:t>3.</w:t>
        </w:r>
        <w:r w:rsidR="00A968D4">
          <w:rPr>
            <w:rFonts w:asciiTheme="minorHAnsi" w:eastAsiaTheme="minorEastAsia" w:hAnsiTheme="minorHAnsi" w:cstheme="minorBidi"/>
            <w:lang w:val="en-AU" w:eastAsia="en-AU"/>
          </w:rPr>
          <w:tab/>
        </w:r>
        <w:r w:rsidR="00A968D4" w:rsidRPr="00BF52D2">
          <w:rPr>
            <w:rStyle w:val="Hyperlink"/>
          </w:rPr>
          <w:t>Background</w:t>
        </w:r>
        <w:r w:rsidR="00A968D4">
          <w:rPr>
            <w:webHidden/>
          </w:rPr>
          <w:tab/>
        </w:r>
        <w:r w:rsidR="00A968D4">
          <w:rPr>
            <w:webHidden/>
          </w:rPr>
          <w:fldChar w:fldCharType="begin"/>
        </w:r>
        <w:r w:rsidR="00A968D4">
          <w:rPr>
            <w:webHidden/>
          </w:rPr>
          <w:instrText xml:space="preserve"> PAGEREF _Toc462397151 \h </w:instrText>
        </w:r>
        <w:r w:rsidR="00A968D4">
          <w:rPr>
            <w:webHidden/>
          </w:rPr>
        </w:r>
        <w:r w:rsidR="00A968D4">
          <w:rPr>
            <w:webHidden/>
          </w:rPr>
          <w:fldChar w:fldCharType="separate"/>
        </w:r>
        <w:r w:rsidR="00EA592E">
          <w:rPr>
            <w:webHidden/>
          </w:rPr>
          <w:t>3</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52" w:history="1">
        <w:r w:rsidR="00A968D4" w:rsidRPr="00BF52D2">
          <w:rPr>
            <w:rStyle w:val="Hyperlink"/>
          </w:rPr>
          <w:t>3.1</w:t>
        </w:r>
        <w:r w:rsidR="00A968D4">
          <w:rPr>
            <w:rFonts w:asciiTheme="minorHAnsi" w:eastAsiaTheme="minorEastAsia" w:hAnsiTheme="minorHAnsi" w:cstheme="minorBidi"/>
            <w:lang w:eastAsia="en-AU"/>
          </w:rPr>
          <w:tab/>
        </w:r>
        <w:r w:rsidR="00A968D4" w:rsidRPr="00BF52D2">
          <w:rPr>
            <w:rStyle w:val="Hyperlink"/>
          </w:rPr>
          <w:t>Exercise cycles in Australia</w:t>
        </w:r>
        <w:r w:rsidR="00A968D4">
          <w:rPr>
            <w:webHidden/>
          </w:rPr>
          <w:tab/>
        </w:r>
        <w:r w:rsidR="00A968D4">
          <w:rPr>
            <w:webHidden/>
          </w:rPr>
          <w:fldChar w:fldCharType="begin"/>
        </w:r>
        <w:r w:rsidR="00A968D4">
          <w:rPr>
            <w:webHidden/>
          </w:rPr>
          <w:instrText xml:space="preserve"> PAGEREF _Toc462397152 \h </w:instrText>
        </w:r>
        <w:r w:rsidR="00A968D4">
          <w:rPr>
            <w:webHidden/>
          </w:rPr>
        </w:r>
        <w:r w:rsidR="00A968D4">
          <w:rPr>
            <w:webHidden/>
          </w:rPr>
          <w:fldChar w:fldCharType="separate"/>
        </w:r>
        <w:r w:rsidR="00EA592E">
          <w:rPr>
            <w:webHidden/>
          </w:rPr>
          <w:t>3</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53" w:history="1">
        <w:r w:rsidR="00A968D4" w:rsidRPr="00BF52D2">
          <w:rPr>
            <w:rStyle w:val="Hyperlink"/>
          </w:rPr>
          <w:t>3.2</w:t>
        </w:r>
        <w:r w:rsidR="00A968D4">
          <w:rPr>
            <w:rFonts w:asciiTheme="minorHAnsi" w:eastAsiaTheme="minorEastAsia" w:hAnsiTheme="minorHAnsi" w:cstheme="minorBidi"/>
            <w:lang w:eastAsia="en-AU"/>
          </w:rPr>
          <w:tab/>
        </w:r>
        <w:r w:rsidR="00A968D4" w:rsidRPr="00BF52D2">
          <w:rPr>
            <w:rStyle w:val="Hyperlink"/>
          </w:rPr>
          <w:t>Injuries and deaths involving exercise cycles</w:t>
        </w:r>
        <w:r w:rsidR="00A968D4">
          <w:rPr>
            <w:webHidden/>
          </w:rPr>
          <w:tab/>
        </w:r>
        <w:r w:rsidR="00A968D4">
          <w:rPr>
            <w:webHidden/>
          </w:rPr>
          <w:fldChar w:fldCharType="begin"/>
        </w:r>
        <w:r w:rsidR="00A968D4">
          <w:rPr>
            <w:webHidden/>
          </w:rPr>
          <w:instrText xml:space="preserve"> PAGEREF _Toc462397153 \h </w:instrText>
        </w:r>
        <w:r w:rsidR="00A968D4">
          <w:rPr>
            <w:webHidden/>
          </w:rPr>
        </w:r>
        <w:r w:rsidR="00A968D4">
          <w:rPr>
            <w:webHidden/>
          </w:rPr>
          <w:fldChar w:fldCharType="separate"/>
        </w:r>
        <w:r w:rsidR="00EA592E">
          <w:rPr>
            <w:webHidden/>
          </w:rPr>
          <w:t>4</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54" w:history="1">
        <w:r w:rsidR="00A968D4" w:rsidRPr="00BF52D2">
          <w:rPr>
            <w:rStyle w:val="Hyperlink"/>
          </w:rPr>
          <w:t>3.3</w:t>
        </w:r>
        <w:r w:rsidR="00A968D4">
          <w:rPr>
            <w:rFonts w:asciiTheme="minorHAnsi" w:eastAsiaTheme="minorEastAsia" w:hAnsiTheme="minorHAnsi" w:cstheme="minorBidi"/>
            <w:lang w:eastAsia="en-AU"/>
          </w:rPr>
          <w:tab/>
        </w:r>
        <w:r w:rsidR="00A968D4" w:rsidRPr="00BF52D2">
          <w:rPr>
            <w:rStyle w:val="Hyperlink"/>
          </w:rPr>
          <w:t>The mandatory safety standard</w:t>
        </w:r>
        <w:r w:rsidR="00A968D4">
          <w:rPr>
            <w:webHidden/>
          </w:rPr>
          <w:tab/>
        </w:r>
        <w:r w:rsidR="00A968D4">
          <w:rPr>
            <w:webHidden/>
          </w:rPr>
          <w:fldChar w:fldCharType="begin"/>
        </w:r>
        <w:r w:rsidR="00A968D4">
          <w:rPr>
            <w:webHidden/>
          </w:rPr>
          <w:instrText xml:space="preserve"> PAGEREF _Toc462397154 \h </w:instrText>
        </w:r>
        <w:r w:rsidR="00A968D4">
          <w:rPr>
            <w:webHidden/>
          </w:rPr>
        </w:r>
        <w:r w:rsidR="00A968D4">
          <w:rPr>
            <w:webHidden/>
          </w:rPr>
          <w:fldChar w:fldCharType="separate"/>
        </w:r>
        <w:r w:rsidR="00EA592E">
          <w:rPr>
            <w:webHidden/>
          </w:rPr>
          <w:t>4</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55" w:history="1">
        <w:r w:rsidR="00A968D4" w:rsidRPr="00BF52D2">
          <w:rPr>
            <w:rStyle w:val="Hyperlink"/>
          </w:rPr>
          <w:t>3.4</w:t>
        </w:r>
        <w:r w:rsidR="00A968D4">
          <w:rPr>
            <w:rFonts w:asciiTheme="minorHAnsi" w:eastAsiaTheme="minorEastAsia" w:hAnsiTheme="minorHAnsi" w:cstheme="minorBidi"/>
            <w:lang w:eastAsia="en-AU"/>
          </w:rPr>
          <w:tab/>
        </w:r>
        <w:r w:rsidR="00A968D4" w:rsidRPr="00BF52D2">
          <w:rPr>
            <w:rStyle w:val="Hyperlink"/>
          </w:rPr>
          <w:t>Compliance with the mandatory safety standard</w:t>
        </w:r>
        <w:r w:rsidR="00A968D4">
          <w:rPr>
            <w:webHidden/>
          </w:rPr>
          <w:tab/>
        </w:r>
        <w:r w:rsidR="00A968D4">
          <w:rPr>
            <w:webHidden/>
          </w:rPr>
          <w:fldChar w:fldCharType="begin"/>
        </w:r>
        <w:r w:rsidR="00A968D4">
          <w:rPr>
            <w:webHidden/>
          </w:rPr>
          <w:instrText xml:space="preserve"> PAGEREF _Toc462397155 \h </w:instrText>
        </w:r>
        <w:r w:rsidR="00A968D4">
          <w:rPr>
            <w:webHidden/>
          </w:rPr>
        </w:r>
        <w:r w:rsidR="00A968D4">
          <w:rPr>
            <w:webHidden/>
          </w:rPr>
          <w:fldChar w:fldCharType="separate"/>
        </w:r>
        <w:r w:rsidR="00EA592E">
          <w:rPr>
            <w:webHidden/>
          </w:rPr>
          <w:t>5</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56" w:history="1">
        <w:r w:rsidR="00A968D4" w:rsidRPr="00BF52D2">
          <w:rPr>
            <w:rStyle w:val="Hyperlink"/>
          </w:rPr>
          <w:t>4.</w:t>
        </w:r>
        <w:r w:rsidR="00A968D4">
          <w:rPr>
            <w:rFonts w:asciiTheme="minorHAnsi" w:eastAsiaTheme="minorEastAsia" w:hAnsiTheme="minorHAnsi" w:cstheme="minorBidi"/>
            <w:lang w:val="en-AU" w:eastAsia="en-AU"/>
          </w:rPr>
          <w:tab/>
        </w:r>
        <w:r w:rsidR="00A968D4" w:rsidRPr="00BF52D2">
          <w:rPr>
            <w:rStyle w:val="Hyperlink"/>
          </w:rPr>
          <w:t>Adopting international standards</w:t>
        </w:r>
        <w:r w:rsidR="00A968D4">
          <w:rPr>
            <w:webHidden/>
          </w:rPr>
          <w:tab/>
        </w:r>
        <w:r w:rsidR="00A968D4">
          <w:rPr>
            <w:webHidden/>
          </w:rPr>
          <w:fldChar w:fldCharType="begin"/>
        </w:r>
        <w:r w:rsidR="00A968D4">
          <w:rPr>
            <w:webHidden/>
          </w:rPr>
          <w:instrText xml:space="preserve"> PAGEREF _Toc462397156 \h </w:instrText>
        </w:r>
        <w:r w:rsidR="00A968D4">
          <w:rPr>
            <w:webHidden/>
          </w:rPr>
        </w:r>
        <w:r w:rsidR="00A968D4">
          <w:rPr>
            <w:webHidden/>
          </w:rPr>
          <w:fldChar w:fldCharType="separate"/>
        </w:r>
        <w:r w:rsidR="00EA592E">
          <w:rPr>
            <w:webHidden/>
          </w:rPr>
          <w:t>5</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57" w:history="1">
        <w:r w:rsidR="00A968D4" w:rsidRPr="00BF52D2">
          <w:rPr>
            <w:rStyle w:val="Hyperlink"/>
          </w:rPr>
          <w:t>5.</w:t>
        </w:r>
        <w:r w:rsidR="00A968D4">
          <w:rPr>
            <w:rFonts w:asciiTheme="minorHAnsi" w:eastAsiaTheme="minorEastAsia" w:hAnsiTheme="minorHAnsi" w:cstheme="minorBidi"/>
            <w:lang w:val="en-AU" w:eastAsia="en-AU"/>
          </w:rPr>
          <w:tab/>
        </w:r>
        <w:r w:rsidR="00A968D4" w:rsidRPr="00BF52D2">
          <w:rPr>
            <w:rStyle w:val="Hyperlink"/>
          </w:rPr>
          <w:t>Detailed description of policy options</w:t>
        </w:r>
        <w:r w:rsidR="00A968D4">
          <w:rPr>
            <w:webHidden/>
          </w:rPr>
          <w:tab/>
        </w:r>
        <w:r w:rsidR="00A968D4">
          <w:rPr>
            <w:webHidden/>
          </w:rPr>
          <w:fldChar w:fldCharType="begin"/>
        </w:r>
        <w:r w:rsidR="00A968D4">
          <w:rPr>
            <w:webHidden/>
          </w:rPr>
          <w:instrText xml:space="preserve"> PAGEREF _Toc462397157 \h </w:instrText>
        </w:r>
        <w:r w:rsidR="00A968D4">
          <w:rPr>
            <w:webHidden/>
          </w:rPr>
        </w:r>
        <w:r w:rsidR="00A968D4">
          <w:rPr>
            <w:webHidden/>
          </w:rPr>
          <w:fldChar w:fldCharType="separate"/>
        </w:r>
        <w:r w:rsidR="00EA592E">
          <w:rPr>
            <w:webHidden/>
          </w:rPr>
          <w:t>7</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58" w:history="1">
        <w:r w:rsidR="00A968D4" w:rsidRPr="00BF52D2">
          <w:rPr>
            <w:rStyle w:val="Hyperlink"/>
          </w:rPr>
          <w:t>Option 1 - Keep the current mandatory safety standard (status quo)</w:t>
        </w:r>
        <w:r w:rsidR="00A968D4">
          <w:rPr>
            <w:webHidden/>
          </w:rPr>
          <w:tab/>
        </w:r>
        <w:r w:rsidR="00A968D4">
          <w:rPr>
            <w:webHidden/>
          </w:rPr>
          <w:fldChar w:fldCharType="begin"/>
        </w:r>
        <w:r w:rsidR="00A968D4">
          <w:rPr>
            <w:webHidden/>
          </w:rPr>
          <w:instrText xml:space="preserve"> PAGEREF _Toc462397158 \h </w:instrText>
        </w:r>
        <w:r w:rsidR="00A968D4">
          <w:rPr>
            <w:webHidden/>
          </w:rPr>
        </w:r>
        <w:r w:rsidR="00A968D4">
          <w:rPr>
            <w:webHidden/>
          </w:rPr>
          <w:fldChar w:fldCharType="separate"/>
        </w:r>
        <w:r w:rsidR="00EA592E">
          <w:rPr>
            <w:webHidden/>
          </w:rPr>
          <w:t>7</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62" w:history="1">
        <w:r w:rsidR="00A968D4" w:rsidRPr="00BF52D2">
          <w:rPr>
            <w:rStyle w:val="Hyperlink"/>
          </w:rPr>
          <w:t>Option 2 – Revise the mandatory safety standard to adopt international standards</w:t>
        </w:r>
        <w:r w:rsidR="00A968D4">
          <w:rPr>
            <w:webHidden/>
          </w:rPr>
          <w:tab/>
        </w:r>
        <w:r w:rsidR="00A968D4">
          <w:rPr>
            <w:webHidden/>
          </w:rPr>
          <w:fldChar w:fldCharType="begin"/>
        </w:r>
        <w:r w:rsidR="00A968D4">
          <w:rPr>
            <w:webHidden/>
          </w:rPr>
          <w:instrText xml:space="preserve"> PAGEREF _Toc462397162 \h </w:instrText>
        </w:r>
        <w:r w:rsidR="00A968D4">
          <w:rPr>
            <w:webHidden/>
          </w:rPr>
        </w:r>
        <w:r w:rsidR="00A968D4">
          <w:rPr>
            <w:webHidden/>
          </w:rPr>
          <w:fldChar w:fldCharType="separate"/>
        </w:r>
        <w:r w:rsidR="00EA592E">
          <w:rPr>
            <w:webHidden/>
          </w:rPr>
          <w:t>7</w:t>
        </w:r>
        <w:r w:rsidR="00A968D4">
          <w:rPr>
            <w:webHidden/>
          </w:rPr>
          <w:fldChar w:fldCharType="end"/>
        </w:r>
      </w:hyperlink>
    </w:p>
    <w:p w:rsidR="00A968D4" w:rsidRDefault="00BC4CFE">
      <w:pPr>
        <w:pStyle w:val="TOC2"/>
        <w:rPr>
          <w:rFonts w:asciiTheme="minorHAnsi" w:eastAsiaTheme="minorEastAsia" w:hAnsiTheme="minorHAnsi" w:cstheme="minorBidi"/>
          <w:lang w:eastAsia="en-AU"/>
        </w:rPr>
      </w:pPr>
      <w:hyperlink w:anchor="_Toc462397165" w:history="1">
        <w:r w:rsidR="00A968D4" w:rsidRPr="00BF52D2">
          <w:rPr>
            <w:rStyle w:val="Hyperlink"/>
          </w:rPr>
          <w:t>Option 3 - Revoke the mandatory safety standard</w:t>
        </w:r>
        <w:r w:rsidR="00A968D4">
          <w:rPr>
            <w:webHidden/>
          </w:rPr>
          <w:tab/>
        </w:r>
        <w:r w:rsidR="00A968D4">
          <w:rPr>
            <w:webHidden/>
          </w:rPr>
          <w:fldChar w:fldCharType="begin"/>
        </w:r>
        <w:r w:rsidR="00A968D4">
          <w:rPr>
            <w:webHidden/>
          </w:rPr>
          <w:instrText xml:space="preserve"> PAGEREF _Toc462397165 \h </w:instrText>
        </w:r>
        <w:r w:rsidR="00A968D4">
          <w:rPr>
            <w:webHidden/>
          </w:rPr>
        </w:r>
        <w:r w:rsidR="00A968D4">
          <w:rPr>
            <w:webHidden/>
          </w:rPr>
          <w:fldChar w:fldCharType="separate"/>
        </w:r>
        <w:r w:rsidR="00EA592E">
          <w:rPr>
            <w:webHidden/>
          </w:rPr>
          <w:t>8</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68" w:history="1">
        <w:r w:rsidR="00A968D4" w:rsidRPr="00BF52D2">
          <w:rPr>
            <w:rStyle w:val="Hyperlink"/>
          </w:rPr>
          <w:t>6.</w:t>
        </w:r>
        <w:r w:rsidR="00A968D4">
          <w:rPr>
            <w:rFonts w:asciiTheme="minorHAnsi" w:eastAsiaTheme="minorEastAsia" w:hAnsiTheme="minorHAnsi" w:cstheme="minorBidi"/>
            <w:lang w:val="en-AU" w:eastAsia="en-AU"/>
          </w:rPr>
          <w:tab/>
        </w:r>
        <w:r w:rsidR="00A968D4" w:rsidRPr="00BF52D2">
          <w:rPr>
            <w:rStyle w:val="Hyperlink"/>
          </w:rPr>
          <w:t>Preliminary position</w:t>
        </w:r>
        <w:r w:rsidR="00A968D4">
          <w:rPr>
            <w:webHidden/>
          </w:rPr>
          <w:tab/>
        </w:r>
        <w:r w:rsidR="00A968D4">
          <w:rPr>
            <w:webHidden/>
          </w:rPr>
          <w:fldChar w:fldCharType="begin"/>
        </w:r>
        <w:r w:rsidR="00A968D4">
          <w:rPr>
            <w:webHidden/>
          </w:rPr>
          <w:instrText xml:space="preserve"> PAGEREF _Toc462397168 \h </w:instrText>
        </w:r>
        <w:r w:rsidR="00A968D4">
          <w:rPr>
            <w:webHidden/>
          </w:rPr>
        </w:r>
        <w:r w:rsidR="00A968D4">
          <w:rPr>
            <w:webHidden/>
          </w:rPr>
          <w:fldChar w:fldCharType="separate"/>
        </w:r>
        <w:r w:rsidR="00EA592E">
          <w:rPr>
            <w:webHidden/>
          </w:rPr>
          <w:t>8</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69" w:history="1">
        <w:r w:rsidR="00A968D4" w:rsidRPr="00BF52D2">
          <w:rPr>
            <w:rStyle w:val="Hyperlink"/>
          </w:rPr>
          <w:t>7.</w:t>
        </w:r>
        <w:r w:rsidR="00A968D4">
          <w:rPr>
            <w:rFonts w:asciiTheme="minorHAnsi" w:eastAsiaTheme="minorEastAsia" w:hAnsiTheme="minorHAnsi" w:cstheme="minorBidi"/>
            <w:lang w:val="en-AU" w:eastAsia="en-AU"/>
          </w:rPr>
          <w:tab/>
        </w:r>
        <w:r w:rsidR="00A968D4" w:rsidRPr="00BF52D2">
          <w:rPr>
            <w:rStyle w:val="Hyperlink"/>
          </w:rPr>
          <w:t>Consultation questions</w:t>
        </w:r>
        <w:r w:rsidR="00A968D4">
          <w:rPr>
            <w:webHidden/>
          </w:rPr>
          <w:tab/>
        </w:r>
        <w:r w:rsidR="00A968D4">
          <w:rPr>
            <w:webHidden/>
          </w:rPr>
          <w:fldChar w:fldCharType="begin"/>
        </w:r>
        <w:r w:rsidR="00A968D4">
          <w:rPr>
            <w:webHidden/>
          </w:rPr>
          <w:instrText xml:space="preserve"> PAGEREF _Toc462397169 \h </w:instrText>
        </w:r>
        <w:r w:rsidR="00A968D4">
          <w:rPr>
            <w:webHidden/>
          </w:rPr>
        </w:r>
        <w:r w:rsidR="00A968D4">
          <w:rPr>
            <w:webHidden/>
          </w:rPr>
          <w:fldChar w:fldCharType="separate"/>
        </w:r>
        <w:r w:rsidR="00EA592E">
          <w:rPr>
            <w:webHidden/>
          </w:rPr>
          <w:t>9</w:t>
        </w:r>
        <w:r w:rsidR="00A968D4">
          <w:rPr>
            <w:webHidden/>
          </w:rPr>
          <w:fldChar w:fldCharType="end"/>
        </w:r>
      </w:hyperlink>
    </w:p>
    <w:p w:rsidR="00A968D4" w:rsidRDefault="00BC4CFE">
      <w:pPr>
        <w:pStyle w:val="TOC1"/>
        <w:rPr>
          <w:rFonts w:asciiTheme="minorHAnsi" w:eastAsiaTheme="minorEastAsia" w:hAnsiTheme="minorHAnsi" w:cstheme="minorBidi"/>
          <w:lang w:val="en-AU" w:eastAsia="en-AU"/>
        </w:rPr>
      </w:pPr>
      <w:hyperlink w:anchor="_Toc462397170" w:history="1">
        <w:r w:rsidR="00A968D4" w:rsidRPr="00BF52D2">
          <w:rPr>
            <w:rStyle w:val="Hyperlink"/>
          </w:rPr>
          <w:t>8.</w:t>
        </w:r>
        <w:r w:rsidR="00A968D4">
          <w:rPr>
            <w:rFonts w:asciiTheme="minorHAnsi" w:eastAsiaTheme="minorEastAsia" w:hAnsiTheme="minorHAnsi" w:cstheme="minorBidi"/>
            <w:lang w:val="en-AU" w:eastAsia="en-AU"/>
          </w:rPr>
          <w:tab/>
        </w:r>
        <w:r w:rsidR="00A968D4" w:rsidRPr="00BF52D2">
          <w:rPr>
            <w:rStyle w:val="Hyperlink"/>
          </w:rPr>
          <w:t>Have your say</w:t>
        </w:r>
        <w:r w:rsidR="00A968D4">
          <w:rPr>
            <w:webHidden/>
          </w:rPr>
          <w:tab/>
        </w:r>
        <w:r w:rsidR="00A968D4">
          <w:rPr>
            <w:webHidden/>
          </w:rPr>
          <w:fldChar w:fldCharType="begin"/>
        </w:r>
        <w:r w:rsidR="00A968D4">
          <w:rPr>
            <w:webHidden/>
          </w:rPr>
          <w:instrText xml:space="preserve"> PAGEREF _Toc462397170 \h </w:instrText>
        </w:r>
        <w:r w:rsidR="00A968D4">
          <w:rPr>
            <w:webHidden/>
          </w:rPr>
        </w:r>
        <w:r w:rsidR="00A968D4">
          <w:rPr>
            <w:webHidden/>
          </w:rPr>
          <w:fldChar w:fldCharType="separate"/>
        </w:r>
        <w:r w:rsidR="00EA592E">
          <w:rPr>
            <w:webHidden/>
          </w:rPr>
          <w:t>9</w:t>
        </w:r>
        <w:r w:rsidR="00A968D4">
          <w:rPr>
            <w:webHidden/>
          </w:rPr>
          <w:fldChar w:fldCharType="end"/>
        </w:r>
      </w:hyperlink>
    </w:p>
    <w:p w:rsidR="00336F5A" w:rsidRPr="00336F5A" w:rsidRDefault="0086325C" w:rsidP="00336F5A">
      <w:pPr>
        <w:pStyle w:val="TOC1"/>
        <w:rPr>
          <w:rFonts w:ascii="Calibri" w:eastAsia="Times New Roman" w:hAnsi="Calibri"/>
          <w:sz w:val="20"/>
          <w:szCs w:val="20"/>
          <w:lang w:val="en-AU" w:eastAsia="en-AU"/>
        </w:rPr>
      </w:pPr>
      <w:r w:rsidRPr="00242590">
        <w:rPr>
          <w:rFonts w:eastAsia="Times New Roman" w:cs="Arial"/>
          <w:bCs/>
          <w:color w:val="51626F"/>
          <w:sz w:val="20"/>
          <w:szCs w:val="20"/>
        </w:rPr>
        <w:fldChar w:fldCharType="end"/>
      </w:r>
      <w:bookmarkStart w:id="1" w:name="_Toc453759776"/>
      <w:bookmarkStart w:id="2" w:name="_Toc453749322"/>
      <w:r w:rsidR="00336F5A" w:rsidRPr="00336F5A">
        <w:rPr>
          <w:rFonts w:eastAsia="Times New Roman" w:cs="Arial"/>
          <w:bCs/>
          <w:sz w:val="20"/>
          <w:szCs w:val="20"/>
        </w:rPr>
        <w:t>Glossary</w:t>
      </w:r>
      <w:hyperlink w:anchor="_Toc457311834" w:history="1">
        <w:r w:rsidR="00336F5A" w:rsidRPr="004C6A5C">
          <w:rPr>
            <w:webHidden/>
            <w:sz w:val="20"/>
            <w:szCs w:val="20"/>
          </w:rPr>
          <w:tab/>
        </w:r>
      </w:hyperlink>
      <w:r w:rsidR="00A15E65">
        <w:rPr>
          <w:sz w:val="20"/>
          <w:szCs w:val="20"/>
        </w:rPr>
        <w:t>10</w:t>
      </w:r>
    </w:p>
    <w:p w:rsidR="00782C4B" w:rsidRDefault="00782C4B" w:rsidP="00A47C24">
      <w:pPr>
        <w:rPr>
          <w:rFonts w:ascii="Lucida Fax" w:eastAsia="Times New Roman" w:hAnsi="Lucida Fax"/>
          <w:bCs/>
          <w:color w:val="51626F"/>
          <w:sz w:val="32"/>
          <w:szCs w:val="28"/>
        </w:rPr>
      </w:pPr>
    </w:p>
    <w:p w:rsidR="00935D49" w:rsidRDefault="00782C4B" w:rsidP="00C77BEA">
      <w:pPr>
        <w:pStyle w:val="Numbered1"/>
        <w:numPr>
          <w:ilvl w:val="0"/>
          <w:numId w:val="28"/>
        </w:numPr>
        <w:ind w:left="680" w:hanging="680"/>
      </w:pPr>
      <w:r>
        <w:br w:type="page"/>
      </w:r>
      <w:bookmarkStart w:id="3" w:name="_Toc462397149"/>
      <w:bookmarkEnd w:id="1"/>
      <w:r w:rsidR="00935D49" w:rsidRPr="00382011">
        <w:lastRenderedPageBreak/>
        <w:t>Introduction</w:t>
      </w:r>
      <w:bookmarkEnd w:id="2"/>
      <w:bookmarkEnd w:id="3"/>
    </w:p>
    <w:p w:rsidR="00935D49" w:rsidRDefault="00935D49" w:rsidP="00935D49">
      <w:r w:rsidRPr="004421B4">
        <w:t>The</w:t>
      </w:r>
      <w:r>
        <w:t xml:space="preserve"> ACCC is reviewing the </w:t>
      </w:r>
      <w:r w:rsidR="00FD1D5A">
        <w:t xml:space="preserve">mandatory </w:t>
      </w:r>
      <w:r>
        <w:t>safet</w:t>
      </w:r>
      <w:r w:rsidR="00DE37CD">
        <w:t xml:space="preserve">y standard </w:t>
      </w:r>
      <w:r>
        <w:t xml:space="preserve">for </w:t>
      </w:r>
      <w:r w:rsidR="001F33E0">
        <w:t>exercise cycles</w:t>
      </w:r>
      <w:r w:rsidR="00242590">
        <w:t xml:space="preserve"> </w:t>
      </w:r>
      <w:r>
        <w:t>because:</w:t>
      </w:r>
    </w:p>
    <w:p w:rsidR="005F71E2" w:rsidRDefault="005F71E2" w:rsidP="003A67BF">
      <w:pPr>
        <w:pStyle w:val="Bulletpoint"/>
      </w:pPr>
      <w:bookmarkStart w:id="4" w:name="_Toc453749323"/>
      <w:r>
        <w:t xml:space="preserve">exercise cycle designs </w:t>
      </w:r>
      <w:r w:rsidR="006A06CA">
        <w:t>have changed</w:t>
      </w:r>
      <w:r w:rsidR="00505B25">
        <w:t xml:space="preserve"> since </w:t>
      </w:r>
      <w:r w:rsidR="00C82063">
        <w:t xml:space="preserve">the </w:t>
      </w:r>
      <w:r w:rsidR="00FD1D5A">
        <w:t xml:space="preserve">mandatory safety standard </w:t>
      </w:r>
      <w:r w:rsidR="00505B25">
        <w:t>was introduced</w:t>
      </w:r>
      <w:r w:rsidR="00202CC8">
        <w:t xml:space="preserve"> in 1994</w:t>
      </w:r>
    </w:p>
    <w:p w:rsidR="00752001" w:rsidRDefault="008C69E9" w:rsidP="003A67BF">
      <w:pPr>
        <w:pStyle w:val="Bulletpoint"/>
      </w:pPr>
      <w:r>
        <w:t>new exercise cycles</w:t>
      </w:r>
      <w:r w:rsidR="00C82063">
        <w:t xml:space="preserve"> appear to cause </w:t>
      </w:r>
      <w:r w:rsidR="00D86955">
        <w:t>lower injury rates</w:t>
      </w:r>
      <w:r>
        <w:t xml:space="preserve"> than older exercise cycles that are still in use</w:t>
      </w:r>
    </w:p>
    <w:p w:rsidR="003A67BF" w:rsidRDefault="005F71E2" w:rsidP="003A67BF">
      <w:pPr>
        <w:pStyle w:val="Bulletpoint"/>
      </w:pPr>
      <w:r>
        <w:t xml:space="preserve">we are considering whether the </w:t>
      </w:r>
      <w:r w:rsidR="00FD1D5A">
        <w:t xml:space="preserve">mandatory safety standard </w:t>
      </w:r>
      <w:r>
        <w:t>is still needed</w:t>
      </w:r>
      <w:r w:rsidR="00412098">
        <w:t>.</w:t>
      </w:r>
    </w:p>
    <w:p w:rsidR="00BA5E27" w:rsidRDefault="00412098" w:rsidP="001C135C">
      <w:pPr>
        <w:pStyle w:val="Bulletpoint"/>
        <w:numPr>
          <w:ilvl w:val="0"/>
          <w:numId w:val="0"/>
        </w:numPr>
      </w:pPr>
      <w:r>
        <w:t>The</w:t>
      </w:r>
      <w:r w:rsidR="005F71E2">
        <w:t xml:space="preserve"> </w:t>
      </w:r>
      <w:r w:rsidR="00C445FD">
        <w:t xml:space="preserve">ACCC </w:t>
      </w:r>
      <w:r w:rsidR="006A06CA">
        <w:t>seeks</w:t>
      </w:r>
      <w:r w:rsidR="00C445FD">
        <w:t xml:space="preserve"> stakeholder information that could assist in the review.</w:t>
      </w:r>
    </w:p>
    <w:p w:rsidR="00332985" w:rsidRDefault="00BC4CFE" w:rsidP="001C135C">
      <w:pPr>
        <w:pStyle w:val="Bulletpoint"/>
        <w:numPr>
          <w:ilvl w:val="0"/>
          <w:numId w:val="0"/>
        </w:numPr>
      </w:pPr>
      <w:r>
        <w:rPr>
          <w:noProof/>
        </w:rPr>
        <w:pict>
          <v:shape id="_x0000_s1047" type="#_x0000_t202" style="position:absolute;margin-left:-6.55pt;margin-top:14.8pt;width:447.75pt;height:80.1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">
            <v:textbox>
              <w:txbxContent>
                <w:p w:rsidR="00332985" w:rsidRDefault="00332985" w:rsidP="00332985">
                  <w:pPr>
                    <w:jc w:val="both"/>
                    <w:rPr>
                      <w:b/>
                    </w:rPr>
                  </w:pPr>
                  <w:r w:rsidRPr="00396799">
                    <w:rPr>
                      <w:b/>
                    </w:rPr>
                    <w:t xml:space="preserve">The consultation process outlined in this paper may be the only opportunity for </w:t>
                  </w:r>
                  <w:r>
                    <w:rPr>
                      <w:b/>
                    </w:rPr>
                    <w:t xml:space="preserve">you </w:t>
                  </w:r>
                  <w:r w:rsidRPr="00396799">
                    <w:rPr>
                      <w:b/>
                    </w:rPr>
                    <w:t xml:space="preserve">to provide </w:t>
                  </w:r>
                  <w:r>
                    <w:rPr>
                      <w:b/>
                    </w:rPr>
                    <w:t>input into this review.</w:t>
                  </w:r>
                </w:p>
                <w:p w:rsidR="00332985" w:rsidRDefault="00332985" w:rsidP="00332985">
                  <w:pPr>
                    <w:jc w:val="both"/>
                    <w:rPr>
                      <w:b/>
                    </w:rPr>
                  </w:pPr>
                  <w:r>
                    <w:rPr>
                      <w:b/>
                    </w:rPr>
                    <w:t xml:space="preserve">We encourage you to </w:t>
                  </w:r>
                  <w:r w:rsidRPr="00396799">
                    <w:rPr>
                      <w:b/>
                    </w:rPr>
                    <w:t xml:space="preserve">make </w:t>
                  </w:r>
                  <w:r>
                    <w:rPr>
                      <w:b/>
                    </w:rPr>
                    <w:t xml:space="preserve">a </w:t>
                  </w:r>
                  <w:r w:rsidRPr="00396799">
                    <w:rPr>
                      <w:b/>
                    </w:rPr>
                    <w:t>submission</w:t>
                  </w:r>
                  <w:r>
                    <w:rPr>
                      <w:b/>
                    </w:rPr>
                    <w:t>.</w:t>
                  </w:r>
                </w:p>
              </w:txbxContent>
            </v:textbox>
          </v:shape>
        </w:pict>
      </w:r>
    </w:p>
    <w:p w:rsidR="00332985" w:rsidRDefault="00332985" w:rsidP="001C135C">
      <w:pPr>
        <w:pStyle w:val="Bulletpoint"/>
        <w:numPr>
          <w:ilvl w:val="0"/>
          <w:numId w:val="0"/>
        </w:numPr>
      </w:pPr>
    </w:p>
    <w:p w:rsidR="00332985" w:rsidRDefault="00332985" w:rsidP="001C135C">
      <w:pPr>
        <w:pStyle w:val="Bulletpoint"/>
        <w:numPr>
          <w:ilvl w:val="0"/>
          <w:numId w:val="0"/>
        </w:numPr>
      </w:pPr>
    </w:p>
    <w:p w:rsidR="00332985" w:rsidRDefault="00332985" w:rsidP="001C135C">
      <w:pPr>
        <w:pStyle w:val="Bulletpoint"/>
        <w:numPr>
          <w:ilvl w:val="0"/>
          <w:numId w:val="0"/>
        </w:numPr>
      </w:pPr>
    </w:p>
    <w:p w:rsidR="00332985" w:rsidRDefault="00332985" w:rsidP="001C135C">
      <w:pPr>
        <w:pStyle w:val="Bulletpoint"/>
        <w:numPr>
          <w:ilvl w:val="0"/>
          <w:numId w:val="0"/>
        </w:numPr>
      </w:pPr>
    </w:p>
    <w:p w:rsidR="003B429E" w:rsidRPr="003B429E" w:rsidRDefault="00F47A7B" w:rsidP="00C77BEA">
      <w:pPr>
        <w:pStyle w:val="Numbered1"/>
        <w:numPr>
          <w:ilvl w:val="0"/>
          <w:numId w:val="28"/>
        </w:numPr>
        <w:ind w:left="680" w:hanging="680"/>
      </w:pPr>
      <w:bookmarkStart w:id="5" w:name="_Toc462397150"/>
      <w:r w:rsidRPr="00F47A7B">
        <w:t xml:space="preserve">Policy </w:t>
      </w:r>
      <w:r w:rsidRPr="00382011">
        <w:t>option</w:t>
      </w:r>
      <w:bookmarkEnd w:id="4"/>
      <w:r w:rsidR="003B429E">
        <w:t>s</w:t>
      </w:r>
      <w:bookmarkEnd w:id="5"/>
    </w:p>
    <w:p w:rsidR="00F47A7B" w:rsidRPr="00F47A7B" w:rsidRDefault="00515357" w:rsidP="00F47A7B">
      <w:r>
        <w:t>This consultation paper</w:t>
      </w:r>
      <w:r w:rsidRPr="00F47A7B">
        <w:t xml:space="preserve"> discuss</w:t>
      </w:r>
      <w:r>
        <w:t>es</w:t>
      </w:r>
      <w:r w:rsidRPr="00F47A7B">
        <w:t xml:space="preserve"> </w:t>
      </w:r>
      <w:r w:rsidR="00EB3953">
        <w:t>three</w:t>
      </w:r>
      <w:r w:rsidR="00F47A7B" w:rsidRPr="00F47A7B">
        <w:t xml:space="preserve"> policy options:</w:t>
      </w:r>
    </w:p>
    <w:tbl>
      <w:tblPr>
        <w:tblW w:w="0" w:type="auto"/>
        <w:tblLook w:val="04A0" w:firstRow="1" w:lastRow="0" w:firstColumn="1" w:lastColumn="0" w:noHBand="0" w:noVBand="1"/>
      </w:tblPr>
      <w:tblGrid>
        <w:gridCol w:w="1526"/>
        <w:gridCol w:w="7229"/>
      </w:tblGrid>
      <w:tr w:rsidR="00F47A7B" w:rsidRPr="00F47A7B" w:rsidTr="0086325C">
        <w:tc>
          <w:tcPr>
            <w:tcW w:w="1526" w:type="dxa"/>
            <w:shd w:val="clear" w:color="auto" w:fill="auto"/>
          </w:tcPr>
          <w:p w:rsidR="00F47A7B" w:rsidRPr="0086325C" w:rsidRDefault="00F47A7B" w:rsidP="00F47A7B">
            <w:pPr>
              <w:rPr>
                <w:b/>
              </w:rPr>
            </w:pPr>
            <w:r w:rsidRPr="00F47A7B">
              <w:t>Option 1</w:t>
            </w:r>
          </w:p>
          <w:p w:rsidR="00187ADA" w:rsidRDefault="00F47A7B" w:rsidP="00F47A7B">
            <w:pPr>
              <w:rPr>
                <w:b/>
              </w:rPr>
            </w:pPr>
            <w:r w:rsidRPr="00F47A7B">
              <w:t>Option 2</w:t>
            </w:r>
          </w:p>
          <w:p w:rsidR="00F47A7B" w:rsidRPr="008068B6" w:rsidRDefault="00187ADA" w:rsidP="00187ADA">
            <w:r>
              <w:t>Option 3</w:t>
            </w:r>
          </w:p>
        </w:tc>
        <w:tc>
          <w:tcPr>
            <w:tcW w:w="7229" w:type="dxa"/>
            <w:shd w:val="clear" w:color="auto" w:fill="auto"/>
          </w:tcPr>
          <w:p w:rsidR="00F47A7B" w:rsidRPr="0086325C" w:rsidRDefault="00F47A7B" w:rsidP="00F47A7B">
            <w:pPr>
              <w:rPr>
                <w:b/>
              </w:rPr>
            </w:pPr>
            <w:r w:rsidRPr="00F47A7B">
              <w:t xml:space="preserve">Keep the current </w:t>
            </w:r>
            <w:r w:rsidR="00FD1D5A">
              <w:t xml:space="preserve">mandatory safety standard </w:t>
            </w:r>
            <w:r w:rsidRPr="00F47A7B">
              <w:t>(status quo)</w:t>
            </w:r>
          </w:p>
          <w:p w:rsidR="00187ADA" w:rsidRDefault="005856F6" w:rsidP="005823D9">
            <w:r>
              <w:t>Revise the</w:t>
            </w:r>
            <w:r w:rsidR="00C83AD6">
              <w:t xml:space="preserve"> </w:t>
            </w:r>
            <w:r w:rsidR="00FD1D5A">
              <w:t xml:space="preserve">mandatory </w:t>
            </w:r>
            <w:r w:rsidR="00C83AD6">
              <w:t>safety standard to a</w:t>
            </w:r>
            <w:r>
              <w:t>dopt</w:t>
            </w:r>
            <w:r w:rsidR="00187ADA">
              <w:t xml:space="preserve"> international standards</w:t>
            </w:r>
          </w:p>
          <w:p w:rsidR="000F5115" w:rsidRPr="008068B6" w:rsidRDefault="00033E57" w:rsidP="005823D9">
            <w:r w:rsidRPr="00F47A7B">
              <w:t>Re</w:t>
            </w:r>
            <w:r>
              <w:t>voke</w:t>
            </w:r>
            <w:r w:rsidRPr="00F47A7B">
              <w:t xml:space="preserve"> </w:t>
            </w:r>
            <w:r w:rsidR="00F47A7B" w:rsidRPr="00F47A7B">
              <w:t xml:space="preserve">the </w:t>
            </w:r>
            <w:r w:rsidR="00FD1D5A">
              <w:t xml:space="preserve">mandatory </w:t>
            </w:r>
            <w:r w:rsidR="00F47A7B" w:rsidRPr="00F47A7B">
              <w:t>safety standard</w:t>
            </w:r>
            <w:r w:rsidR="00EB292C">
              <w:t xml:space="preserve"> </w:t>
            </w:r>
          </w:p>
        </w:tc>
      </w:tr>
    </w:tbl>
    <w:p w:rsidR="00795673" w:rsidRPr="00795673" w:rsidRDefault="005404C1" w:rsidP="00795673">
      <w:pPr>
        <w:pStyle w:val="Numbered1"/>
        <w:numPr>
          <w:ilvl w:val="0"/>
          <w:numId w:val="28"/>
        </w:numPr>
        <w:ind w:left="680" w:hanging="680"/>
      </w:pPr>
      <w:bookmarkStart w:id="6" w:name="_Toc448397925"/>
      <w:bookmarkStart w:id="7" w:name="_Toc453749325"/>
      <w:bookmarkStart w:id="8" w:name="_Toc462397151"/>
      <w:bookmarkStart w:id="9" w:name="_Toc448397926"/>
      <w:bookmarkStart w:id="10" w:name="_Toc453749080"/>
      <w:bookmarkStart w:id="11" w:name="_Toc453749326"/>
      <w:bookmarkStart w:id="12" w:name="_Toc453749376"/>
      <w:bookmarkStart w:id="13" w:name="_Toc453759781"/>
      <w:bookmarkStart w:id="14" w:name="_Toc453763179"/>
      <w:bookmarkStart w:id="15" w:name="_Toc453763864"/>
      <w:bookmarkStart w:id="16" w:name="_Toc453765774"/>
      <w:bookmarkStart w:id="17" w:name="_Toc454443989"/>
      <w:bookmarkStart w:id="18" w:name="_Toc454544413"/>
      <w:bookmarkStart w:id="19" w:name="_Toc455579995"/>
      <w:bookmarkStart w:id="20" w:name="_Toc456277613"/>
      <w:bookmarkStart w:id="21" w:name="_Toc456278982"/>
      <w:bookmarkStart w:id="22" w:name="_Toc457311805"/>
      <w:r w:rsidRPr="00382011">
        <w:t>Background</w:t>
      </w:r>
      <w:bookmarkEnd w:id="6"/>
      <w:bookmarkEnd w:id="7"/>
      <w:bookmarkEnd w:id="8"/>
    </w:p>
    <w:p w:rsidR="005404C1" w:rsidRDefault="005404C1" w:rsidP="00A20FFA">
      <w:pPr>
        <w:pStyle w:val="Numbered11"/>
        <w:numPr>
          <w:ilvl w:val="1"/>
          <w:numId w:val="37"/>
        </w:numPr>
      </w:pPr>
      <w:bookmarkStart w:id="23" w:name="_Toc462397152"/>
      <w:r>
        <w:t>Exercise cycles</w:t>
      </w:r>
      <w:r w:rsidRPr="00382011">
        <w:t xml:space="preserve"> in Australia</w:t>
      </w:r>
      <w:bookmarkEnd w:id="23"/>
    </w:p>
    <w:p w:rsidR="00FB1C4D" w:rsidRPr="00FB1C4D" w:rsidRDefault="00DD4081" w:rsidP="00412098">
      <w:pPr>
        <w:rPr>
          <w:rFonts w:cs="Arial"/>
        </w:rPr>
      </w:pPr>
      <w:r>
        <w:t>E</w:t>
      </w:r>
      <w:r w:rsidR="00DA15D1">
        <w:t xml:space="preserve">xercise cycle </w:t>
      </w:r>
      <w:r w:rsidR="005404C1">
        <w:t xml:space="preserve">designs </w:t>
      </w:r>
      <w:r w:rsidR="00DA15D1">
        <w:t xml:space="preserve">that </w:t>
      </w:r>
      <w:r w:rsidR="005404C1">
        <w:t xml:space="preserve">were common </w:t>
      </w:r>
      <w:r w:rsidR="005F71E2">
        <w:t xml:space="preserve">before </w:t>
      </w:r>
      <w:r w:rsidR="005404C1">
        <w:t xml:space="preserve">the </w:t>
      </w:r>
      <w:r w:rsidR="00FD1D5A">
        <w:t xml:space="preserve">mandatory </w:t>
      </w:r>
      <w:r w:rsidR="005404C1">
        <w:t>safety standard</w:t>
      </w:r>
      <w:r>
        <w:t xml:space="preserve"> was introduced</w:t>
      </w:r>
      <w:r w:rsidR="00C803C1">
        <w:t xml:space="preserve"> </w:t>
      </w:r>
      <w:r w:rsidR="00DA15D1">
        <w:t xml:space="preserve">were </w:t>
      </w:r>
      <w:r w:rsidR="005404C1">
        <w:t>typically chain-driven and use</w:t>
      </w:r>
      <w:r w:rsidR="00DA15D1">
        <w:t>d</w:t>
      </w:r>
      <w:r w:rsidR="005404C1">
        <w:t xml:space="preserve"> fan-style wheel spokes to create resistance. </w:t>
      </w:r>
      <w:r w:rsidR="008F1F23">
        <w:t xml:space="preserve">To comply with the </w:t>
      </w:r>
      <w:r w:rsidR="00FD1D5A">
        <w:t xml:space="preserve">mandatory </w:t>
      </w:r>
      <w:r w:rsidR="008F1F23">
        <w:t xml:space="preserve">safety standard, these </w:t>
      </w:r>
      <w:r w:rsidR="005404C1">
        <w:t>designs require</w:t>
      </w:r>
      <w:r w:rsidR="00E31567">
        <w:t>d</w:t>
      </w:r>
      <w:r w:rsidR="005404C1">
        <w:t xml:space="preserve"> external guards to prevent </w:t>
      </w:r>
      <w:r w:rsidR="00DA15D1">
        <w:t xml:space="preserve">body parts such as fingers </w:t>
      </w:r>
      <w:r w:rsidR="008F1F23">
        <w:t>catching</w:t>
      </w:r>
      <w:r w:rsidR="00DA15D1">
        <w:t xml:space="preserve"> in</w:t>
      </w:r>
      <w:r w:rsidR="005404C1">
        <w:t xml:space="preserve"> moving parts.</w:t>
      </w:r>
      <w:r w:rsidR="007910A6">
        <w:t xml:space="preserve"> </w:t>
      </w:r>
      <w:r w:rsidR="00857AE6">
        <w:t xml:space="preserve">Some of </w:t>
      </w:r>
      <w:r w:rsidR="00857AE6">
        <w:rPr>
          <w:rFonts w:cs="Arial"/>
        </w:rPr>
        <w:t>t</w:t>
      </w:r>
      <w:r w:rsidR="00E31567">
        <w:rPr>
          <w:rFonts w:cs="Arial"/>
        </w:rPr>
        <w:t>hese o</w:t>
      </w:r>
      <w:r w:rsidR="00412098" w:rsidRPr="004574C3">
        <w:rPr>
          <w:rFonts w:cs="Arial"/>
        </w:rPr>
        <w:t xml:space="preserve">lder design models are likely to </w:t>
      </w:r>
      <w:r w:rsidR="00FF62E8">
        <w:rPr>
          <w:rFonts w:cs="Arial"/>
        </w:rPr>
        <w:t>remain in circulation, particularly</w:t>
      </w:r>
      <w:r w:rsidR="00FF62E8" w:rsidRPr="004574C3">
        <w:rPr>
          <w:rFonts w:cs="Arial"/>
        </w:rPr>
        <w:t xml:space="preserve"> </w:t>
      </w:r>
      <w:r w:rsidR="00412098" w:rsidRPr="004574C3">
        <w:rPr>
          <w:rFonts w:cs="Arial"/>
        </w:rPr>
        <w:t>through ad-hoc second</w:t>
      </w:r>
      <w:r w:rsidR="009C2313">
        <w:rPr>
          <w:rFonts w:cs="Arial"/>
        </w:rPr>
        <w:t>-</w:t>
      </w:r>
      <w:r w:rsidR="00412098" w:rsidRPr="004574C3">
        <w:rPr>
          <w:rFonts w:cs="Arial"/>
        </w:rPr>
        <w:t xml:space="preserve">hand sales and between family members. The </w:t>
      </w:r>
      <w:r w:rsidR="00A80F02">
        <w:rPr>
          <w:rFonts w:cs="Arial"/>
        </w:rPr>
        <w:t xml:space="preserve">mandatory </w:t>
      </w:r>
      <w:r w:rsidR="00412098" w:rsidRPr="004574C3">
        <w:rPr>
          <w:rFonts w:cs="Arial"/>
        </w:rPr>
        <w:t xml:space="preserve">safety standard does not </w:t>
      </w:r>
      <w:r w:rsidR="00FF62E8">
        <w:rPr>
          <w:rFonts w:cs="Arial"/>
        </w:rPr>
        <w:t>apply to</w:t>
      </w:r>
      <w:r w:rsidR="00FF62E8" w:rsidRPr="004574C3">
        <w:rPr>
          <w:rFonts w:cs="Arial"/>
        </w:rPr>
        <w:t xml:space="preserve"> </w:t>
      </w:r>
      <w:r w:rsidR="00412098" w:rsidRPr="004574C3">
        <w:rPr>
          <w:rFonts w:cs="Arial"/>
        </w:rPr>
        <w:t xml:space="preserve">second-hand exercise cycles sold privately but does </w:t>
      </w:r>
      <w:r w:rsidR="00FF62E8">
        <w:rPr>
          <w:rFonts w:cs="Arial"/>
        </w:rPr>
        <w:t>apply to</w:t>
      </w:r>
      <w:r w:rsidR="00FF62E8" w:rsidRPr="004574C3">
        <w:rPr>
          <w:rFonts w:cs="Arial"/>
        </w:rPr>
        <w:t xml:space="preserve"> </w:t>
      </w:r>
      <w:r w:rsidR="00412098" w:rsidRPr="004574C3">
        <w:rPr>
          <w:rFonts w:cs="Arial"/>
        </w:rPr>
        <w:t>those sold by second-hand dealers.</w:t>
      </w:r>
    </w:p>
    <w:p w:rsidR="007C60D3" w:rsidRDefault="00C803C1" w:rsidP="005404C1">
      <w:r>
        <w:t>E</w:t>
      </w:r>
      <w:r w:rsidR="00FB1C4D">
        <w:t>xercise cycle</w:t>
      </w:r>
      <w:r w:rsidR="005404C1">
        <w:t xml:space="preserve"> </w:t>
      </w:r>
      <w:r>
        <w:t xml:space="preserve">designs </w:t>
      </w:r>
      <w:r w:rsidR="00ED0377">
        <w:t>have</w:t>
      </w:r>
      <w:r w:rsidR="00FB1C4D">
        <w:t xml:space="preserve"> improved</w:t>
      </w:r>
      <w:r>
        <w:t xml:space="preserve"> since 1994</w:t>
      </w:r>
      <w:r w:rsidR="00FB1C4D">
        <w:t>. Modern designs are inherently safer</w:t>
      </w:r>
      <w:r w:rsidR="00B86BCA">
        <w:t xml:space="preserve"> with </w:t>
      </w:r>
      <w:r w:rsidR="005404C1">
        <w:t xml:space="preserve">single casings </w:t>
      </w:r>
      <w:r w:rsidR="00B86BCA">
        <w:t xml:space="preserve">that prevent access to moving parts or that </w:t>
      </w:r>
      <w:r w:rsidR="005404C1">
        <w:t>use belt</w:t>
      </w:r>
      <w:r w:rsidR="00B86BCA">
        <w:t>s</w:t>
      </w:r>
      <w:r w:rsidR="005404C1">
        <w:t xml:space="preserve"> or magnetic resistance technology.</w:t>
      </w:r>
    </w:p>
    <w:p w:rsidR="009E78C1" w:rsidRDefault="00C803C1" w:rsidP="00446F5D">
      <w:r>
        <w:t xml:space="preserve">Most exercise cycles sold in Australia are manufactured overseas and imported for retail sale. </w:t>
      </w:r>
      <w:r w:rsidR="009E78C1" w:rsidRPr="006E59BC">
        <w:t xml:space="preserve">Exercise cycles are available in a wide range of brands </w:t>
      </w:r>
      <w:r w:rsidR="009E78C1">
        <w:t>from</w:t>
      </w:r>
      <w:r w:rsidR="009E78C1" w:rsidRPr="006E59BC">
        <w:t xml:space="preserve"> a diverse range of retailers selling products for home use:</w:t>
      </w:r>
    </w:p>
    <w:p w:rsidR="005404C1" w:rsidRDefault="0051519B" w:rsidP="0051519B">
      <w:pPr>
        <w:pStyle w:val="ListParagraph"/>
        <w:numPr>
          <w:ilvl w:val="0"/>
          <w:numId w:val="32"/>
        </w:numPr>
      </w:pPr>
      <w:r>
        <w:t xml:space="preserve">speciality fitness and </w:t>
      </w:r>
      <w:r w:rsidR="005404C1">
        <w:t>gymnasiu</w:t>
      </w:r>
      <w:r w:rsidR="00707A7D">
        <w:t>m equipment suppliers</w:t>
      </w:r>
    </w:p>
    <w:p w:rsidR="005404C1" w:rsidRDefault="005404C1" w:rsidP="005404C1">
      <w:pPr>
        <w:pStyle w:val="ListParagraph"/>
        <w:numPr>
          <w:ilvl w:val="0"/>
          <w:numId w:val="32"/>
        </w:numPr>
      </w:pPr>
      <w:r>
        <w:t>sporting goods and equipment retailers</w:t>
      </w:r>
    </w:p>
    <w:p w:rsidR="005404C1" w:rsidRDefault="005404C1" w:rsidP="005404C1">
      <w:pPr>
        <w:pStyle w:val="ListParagraph"/>
        <w:numPr>
          <w:ilvl w:val="0"/>
          <w:numId w:val="32"/>
        </w:numPr>
      </w:pPr>
      <w:r>
        <w:t>major retail chains</w:t>
      </w:r>
    </w:p>
    <w:p w:rsidR="003B3514" w:rsidRDefault="005404C1" w:rsidP="000D3784">
      <w:pPr>
        <w:pStyle w:val="ListParagraph"/>
        <w:numPr>
          <w:ilvl w:val="0"/>
          <w:numId w:val="32"/>
        </w:numPr>
      </w:pPr>
      <w:r>
        <w:lastRenderedPageBreak/>
        <w:t>lease and/or hire providers</w:t>
      </w:r>
    </w:p>
    <w:p w:rsidR="005404C1" w:rsidRDefault="005404C1" w:rsidP="00446F5D">
      <w:pPr>
        <w:pStyle w:val="ListParagraph"/>
        <w:numPr>
          <w:ilvl w:val="0"/>
          <w:numId w:val="32"/>
        </w:numPr>
      </w:pPr>
      <w:r>
        <w:t xml:space="preserve">second-hand </w:t>
      </w:r>
      <w:r w:rsidR="00412098">
        <w:t>dealers</w:t>
      </w:r>
    </w:p>
    <w:p w:rsidR="005404C1" w:rsidRDefault="005404C1" w:rsidP="005404C1">
      <w:pPr>
        <w:pStyle w:val="ListParagraph"/>
        <w:numPr>
          <w:ilvl w:val="0"/>
          <w:numId w:val="32"/>
        </w:numPr>
      </w:pPr>
      <w:r>
        <w:t>online retailers</w:t>
      </w:r>
      <w:r w:rsidR="003B3514">
        <w:t>.</w:t>
      </w:r>
    </w:p>
    <w:p w:rsidR="005404C1" w:rsidRDefault="00E31567" w:rsidP="005404C1">
      <w:r>
        <w:t xml:space="preserve">Depending on size, quality and features, and whether they are for upright or recumbent use, exercise </w:t>
      </w:r>
      <w:r w:rsidR="005404C1">
        <w:t>cycles retail from around $90 to over $</w:t>
      </w:r>
      <w:r w:rsidR="007D4722">
        <w:t>2</w:t>
      </w:r>
      <w:r w:rsidR="005404C1">
        <w:t>000.</w:t>
      </w:r>
    </w:p>
    <w:p w:rsidR="005404C1" w:rsidRDefault="005404C1" w:rsidP="00A20FFA">
      <w:pPr>
        <w:pStyle w:val="Numbered11"/>
        <w:numPr>
          <w:ilvl w:val="1"/>
          <w:numId w:val="37"/>
        </w:numPr>
      </w:pPr>
      <w:bookmarkStart w:id="24" w:name="_Toc462397153"/>
      <w:r>
        <w:t>Injuries and deaths involving exercise cycles</w:t>
      </w:r>
      <w:bookmarkEnd w:id="24"/>
    </w:p>
    <w:p w:rsidR="00887D2F" w:rsidRDefault="008C69E9" w:rsidP="005404C1">
      <w:r>
        <w:t xml:space="preserve">Exercise cycles started injuring children </w:t>
      </w:r>
      <w:r w:rsidR="00887D2F">
        <w:t>in</w:t>
      </w:r>
      <w:r w:rsidR="00DE039C">
        <w:t xml:space="preserve"> significant numbers in</w:t>
      </w:r>
      <w:r w:rsidR="00887D2F">
        <w:t xml:space="preserve"> the early 1990s</w:t>
      </w:r>
      <w:r w:rsidR="006C01FF">
        <w:t xml:space="preserve">, with </w:t>
      </w:r>
      <w:r w:rsidR="00660E34">
        <w:t>the</w:t>
      </w:r>
      <w:r w:rsidR="006C01FF">
        <w:t xml:space="preserve"> growing</w:t>
      </w:r>
      <w:r w:rsidR="00887D2F">
        <w:t xml:space="preserve"> popularity of exercise cycles in the home</w:t>
      </w:r>
      <w:r w:rsidR="006C01FF">
        <w:t xml:space="preserve">. Injuries to children included </w:t>
      </w:r>
      <w:r w:rsidR="00887D2F">
        <w:t xml:space="preserve">traumatic amputations and </w:t>
      </w:r>
      <w:r w:rsidR="00E11FDC">
        <w:t>crushing</w:t>
      </w:r>
      <w:r w:rsidR="00F55503">
        <w:t xml:space="preserve"> caused by</w:t>
      </w:r>
      <w:r w:rsidR="00887D2F">
        <w:t xml:space="preserve"> accessing the crank and drive train components. </w:t>
      </w:r>
      <w:r>
        <w:t xml:space="preserve">Access to the fan-style wheel also injured children’s </w:t>
      </w:r>
      <w:r w:rsidR="006C01FF">
        <w:t>f</w:t>
      </w:r>
      <w:r w:rsidR="00887D2F">
        <w:t>inger</w:t>
      </w:r>
      <w:r>
        <w:t>s</w:t>
      </w:r>
      <w:r w:rsidR="00887D2F">
        <w:t xml:space="preserve"> and hand</w:t>
      </w:r>
      <w:r>
        <w:t>s</w:t>
      </w:r>
      <w:r w:rsidR="00887D2F">
        <w:t xml:space="preserve">. A study published in the Medical Journal of Australia in September 1991 highlighted </w:t>
      </w:r>
      <w:r w:rsidR="0059625F">
        <w:t>that</w:t>
      </w:r>
      <w:r w:rsidR="00E11FDC">
        <w:t xml:space="preserve"> nearly</w:t>
      </w:r>
      <w:r w:rsidR="0059625F">
        <w:t xml:space="preserve"> 90 per cent</w:t>
      </w:r>
      <w:r w:rsidR="00887D2F">
        <w:t xml:space="preserve"> of children injured were of pre-school age and too young to identify the potential hazards.</w:t>
      </w:r>
    </w:p>
    <w:p w:rsidR="004C10F6" w:rsidRDefault="005A2668" w:rsidP="005404C1">
      <w:r>
        <w:t>The injury rate among children has decreased since the</w:t>
      </w:r>
      <w:r w:rsidR="007E0CD0">
        <w:t xml:space="preserve"> </w:t>
      </w:r>
      <w:r w:rsidR="00A80F02">
        <w:t xml:space="preserve">mandatory </w:t>
      </w:r>
      <w:r w:rsidR="007E0CD0">
        <w:t>safety</w:t>
      </w:r>
      <w:r w:rsidR="003F142F">
        <w:t xml:space="preserve"> standard was introduced</w:t>
      </w:r>
      <w:r>
        <w:t xml:space="preserve"> in 1994.</w:t>
      </w:r>
      <w:r w:rsidR="00EA14D1">
        <w:t xml:space="preserve"> </w:t>
      </w:r>
      <w:r>
        <w:t xml:space="preserve">Although </w:t>
      </w:r>
      <w:r w:rsidR="006329B7">
        <w:t xml:space="preserve">consolidated </w:t>
      </w:r>
      <w:r>
        <w:t>n</w:t>
      </w:r>
      <w:r w:rsidR="005404C1">
        <w:t xml:space="preserve">ational </w:t>
      </w:r>
      <w:r w:rsidR="00507942">
        <w:t xml:space="preserve">injury </w:t>
      </w:r>
      <w:r w:rsidR="005404C1">
        <w:t xml:space="preserve">data on exercise cycles is </w:t>
      </w:r>
      <w:r w:rsidR="006329B7">
        <w:t>not available</w:t>
      </w:r>
      <w:r>
        <w:t xml:space="preserve">, </w:t>
      </w:r>
      <w:r w:rsidR="005404C1">
        <w:t>Victorian</w:t>
      </w:r>
      <w:r w:rsidR="00026B3F">
        <w:t xml:space="preserve"> injury</w:t>
      </w:r>
      <w:r w:rsidR="005404C1">
        <w:t xml:space="preserve"> data</w:t>
      </w:r>
      <w:r w:rsidR="00506A00">
        <w:t xml:space="preserve"> </w:t>
      </w:r>
      <w:r w:rsidR="00B72D45">
        <w:t>provide</w:t>
      </w:r>
      <w:r w:rsidR="00DE039C">
        <w:t>s</w:t>
      </w:r>
      <w:r w:rsidR="003F142F">
        <w:t xml:space="preserve"> some guidance</w:t>
      </w:r>
      <w:r w:rsidR="00026B3F">
        <w:t>.</w:t>
      </w:r>
      <w:r w:rsidR="00F21FE2">
        <w:rPr>
          <w:rStyle w:val="FootnoteReference"/>
        </w:rPr>
        <w:footnoteReference w:id="1"/>
      </w:r>
      <w:r w:rsidR="000428E4">
        <w:t xml:space="preserve"> </w:t>
      </w:r>
      <w:r w:rsidR="004C10F6">
        <w:t>Young children aged 0</w:t>
      </w:r>
      <w:r w:rsidR="00BB3B03">
        <w:t>–</w:t>
      </w:r>
      <w:r w:rsidR="004C10F6">
        <w:t>4 years accounted for 42 per cent</w:t>
      </w:r>
      <w:r w:rsidR="003F142F">
        <w:t xml:space="preserve"> (59 injuries)</w:t>
      </w:r>
      <w:r w:rsidR="004C10F6">
        <w:t xml:space="preserve"> of </w:t>
      </w:r>
      <w:r w:rsidR="00121554">
        <w:t xml:space="preserve">exercise cycle </w:t>
      </w:r>
      <w:r w:rsidR="004C10F6">
        <w:t xml:space="preserve">emergency department presentations </w:t>
      </w:r>
      <w:r w:rsidR="00660E34">
        <w:t xml:space="preserve">in Victoria </w:t>
      </w:r>
      <w:r w:rsidR="004C10F6">
        <w:t>between 1995 and 2000, compared with 29 per cent</w:t>
      </w:r>
      <w:r w:rsidR="003F142F">
        <w:t xml:space="preserve"> (40 injuries)</w:t>
      </w:r>
      <w:r w:rsidR="004C10F6">
        <w:t xml:space="preserve"> from 2006 to 2010. Similarly, </w:t>
      </w:r>
      <w:r w:rsidR="00B0776E">
        <w:t xml:space="preserve">presentations for </w:t>
      </w:r>
      <w:r w:rsidR="004C10F6">
        <w:t>children aged 5</w:t>
      </w:r>
      <w:r w:rsidR="00BB3B03">
        <w:t>–</w:t>
      </w:r>
      <w:r w:rsidR="004C10F6">
        <w:t xml:space="preserve">9 years </w:t>
      </w:r>
      <w:r w:rsidR="00B07140">
        <w:t>decreased from</w:t>
      </w:r>
      <w:r w:rsidR="004C10F6">
        <w:t xml:space="preserve"> </w:t>
      </w:r>
      <w:r w:rsidR="00121554">
        <w:t>29</w:t>
      </w:r>
      <w:r w:rsidR="004C10F6">
        <w:t xml:space="preserve"> </w:t>
      </w:r>
      <w:r w:rsidR="00B07140">
        <w:t xml:space="preserve">to </w:t>
      </w:r>
      <w:r w:rsidR="004C10F6">
        <w:t>21 per cent</w:t>
      </w:r>
      <w:r w:rsidR="003F142F">
        <w:t xml:space="preserve"> (</w:t>
      </w:r>
      <w:r w:rsidR="008F6000">
        <w:t xml:space="preserve">from </w:t>
      </w:r>
      <w:r w:rsidR="003F142F">
        <w:t>51 to 37 injuries)</w:t>
      </w:r>
      <w:r w:rsidR="004C10F6">
        <w:t xml:space="preserve"> </w:t>
      </w:r>
      <w:r w:rsidR="00B07140">
        <w:t>in the same timeframe</w:t>
      </w:r>
      <w:r w:rsidR="004C10F6">
        <w:t>.</w:t>
      </w:r>
    </w:p>
    <w:p w:rsidR="000428E4" w:rsidRDefault="008A7AAF" w:rsidP="005404C1">
      <w:r>
        <w:t>S</w:t>
      </w:r>
      <w:r w:rsidR="00121554">
        <w:t xml:space="preserve">ome </w:t>
      </w:r>
      <w:r w:rsidR="00AD0526">
        <w:t xml:space="preserve">kinds of </w:t>
      </w:r>
      <w:r w:rsidR="00625B81">
        <w:t xml:space="preserve">serious </w:t>
      </w:r>
      <w:r w:rsidR="00AD0526">
        <w:t xml:space="preserve">injuries </w:t>
      </w:r>
      <w:r w:rsidR="00121554">
        <w:t>that were</w:t>
      </w:r>
      <w:r w:rsidR="00AD0526">
        <w:t xml:space="preserve"> associated with older design models</w:t>
      </w:r>
      <w:r w:rsidR="00CB7853">
        <w:t xml:space="preserve"> have been largely eliminated since the introduction of the </w:t>
      </w:r>
      <w:r w:rsidR="00A80F02">
        <w:t xml:space="preserve">mandatory </w:t>
      </w:r>
      <w:r w:rsidR="00CB7853">
        <w:t>safety standard</w:t>
      </w:r>
      <w:r w:rsidR="00AD0526">
        <w:t xml:space="preserve">. </w:t>
      </w:r>
      <w:r w:rsidR="00825983">
        <w:t xml:space="preserve">Traumatic amputations, which represented </w:t>
      </w:r>
      <w:r w:rsidR="00E21E75">
        <w:t>almost eight</w:t>
      </w:r>
      <w:r w:rsidR="00C77058">
        <w:t xml:space="preserve"> per cent of </w:t>
      </w:r>
      <w:r w:rsidR="00CB7853">
        <w:t xml:space="preserve">injuries five years after the </w:t>
      </w:r>
      <w:r w:rsidR="0030206D">
        <w:t xml:space="preserve">standard </w:t>
      </w:r>
      <w:r w:rsidR="00B83E1F">
        <w:t>commenced</w:t>
      </w:r>
      <w:r w:rsidR="00F95299">
        <w:t>,</w:t>
      </w:r>
      <w:r w:rsidR="0030206D">
        <w:t xml:space="preserve"> are</w:t>
      </w:r>
      <w:r w:rsidR="00F95299">
        <w:t xml:space="preserve"> </w:t>
      </w:r>
      <w:r w:rsidR="0030206D">
        <w:t>no longer</w:t>
      </w:r>
      <w:r w:rsidR="005A2668">
        <w:t xml:space="preserve"> </w:t>
      </w:r>
      <w:r w:rsidR="0030206D">
        <w:t>reported</w:t>
      </w:r>
      <w:r w:rsidR="00A178A1">
        <w:t xml:space="preserve"> </w:t>
      </w:r>
      <w:r w:rsidR="0030206D">
        <w:t xml:space="preserve">in </w:t>
      </w:r>
      <w:r w:rsidR="00625B81">
        <w:t xml:space="preserve">Victorian </w:t>
      </w:r>
      <w:r w:rsidR="0030206D">
        <w:t>injury</w:t>
      </w:r>
      <w:r w:rsidR="00B83E1F">
        <w:t xml:space="preserve"> statistics</w:t>
      </w:r>
      <w:r w:rsidR="0030206D">
        <w:t>.</w:t>
      </w:r>
    </w:p>
    <w:p w:rsidR="00CF3E0C" w:rsidRDefault="00CF3E0C" w:rsidP="005404C1">
      <w:r>
        <w:t>Based on recent compliance surveillance, it is likely</w:t>
      </w:r>
      <w:r w:rsidR="00625B81">
        <w:t xml:space="preserve"> that</w:t>
      </w:r>
      <w:r>
        <w:t xml:space="preserve"> most injuries currently reported as a result of exposure to exercise cycles are related to use of older design models.</w:t>
      </w:r>
    </w:p>
    <w:p w:rsidR="00A579D3" w:rsidRDefault="008A7AAF" w:rsidP="005404C1">
      <w:r>
        <w:t>N</w:t>
      </w:r>
      <w:r w:rsidR="00A579D3">
        <w:t xml:space="preserve">o children </w:t>
      </w:r>
      <w:r>
        <w:t xml:space="preserve">have died </w:t>
      </w:r>
      <w:r w:rsidR="00A579D3">
        <w:t>from accessing the moving parts of exercise cycles.</w:t>
      </w:r>
    </w:p>
    <w:p w:rsidR="005404C1" w:rsidRDefault="005404C1" w:rsidP="00A20FFA">
      <w:pPr>
        <w:pStyle w:val="Numbered11"/>
        <w:numPr>
          <w:ilvl w:val="1"/>
          <w:numId w:val="37"/>
        </w:numPr>
      </w:pPr>
      <w:bookmarkStart w:id="25" w:name="_Toc462397154"/>
      <w:r w:rsidRPr="00382011">
        <w:t>The</w:t>
      </w:r>
      <w:r w:rsidR="00906B7B">
        <w:t xml:space="preserve"> mandatory</w:t>
      </w:r>
      <w:r w:rsidRPr="00382011">
        <w:t xml:space="preserve"> safety standard</w:t>
      </w:r>
      <w:bookmarkEnd w:id="25"/>
    </w:p>
    <w:p w:rsidR="007967B3" w:rsidRDefault="00BD5BF0" w:rsidP="007967B3">
      <w:r w:rsidRPr="004F1AF6">
        <w:t xml:space="preserve">The </w:t>
      </w:r>
      <w:r w:rsidR="00A80F02">
        <w:t xml:space="preserve">mandatory </w:t>
      </w:r>
      <w:r w:rsidRPr="004F1AF6">
        <w:t xml:space="preserve">safety standard </w:t>
      </w:r>
      <w:r w:rsidR="0058024E">
        <w:t>was introduced</w:t>
      </w:r>
      <w:r w:rsidRPr="004F1AF6">
        <w:t xml:space="preserve"> </w:t>
      </w:r>
      <w:r w:rsidR="008A2D2B">
        <w:t xml:space="preserve">in </w:t>
      </w:r>
      <w:r w:rsidR="00507942">
        <w:t>1994</w:t>
      </w:r>
      <w:r w:rsidR="008A7AAF">
        <w:t xml:space="preserve"> and</w:t>
      </w:r>
      <w:r w:rsidR="00507942">
        <w:t xml:space="preserve"> was updated in </w:t>
      </w:r>
      <w:r w:rsidR="008A2D2B">
        <w:t>1997</w:t>
      </w:r>
      <w:r w:rsidR="008A7AAF">
        <w:t>.</w:t>
      </w:r>
      <w:r w:rsidR="00E6074C">
        <w:t xml:space="preserve"> </w:t>
      </w:r>
      <w:r w:rsidR="008A7AAF">
        <w:t>It</w:t>
      </w:r>
      <w:r w:rsidR="00E6074C">
        <w:t xml:space="preserve"> </w:t>
      </w:r>
      <w:r w:rsidR="008A7AAF">
        <w:t xml:space="preserve">prescribes the key safety requirements and testing methods from </w:t>
      </w:r>
      <w:r>
        <w:t xml:space="preserve">the voluntary </w:t>
      </w:r>
      <w:r w:rsidR="00A80F02">
        <w:t xml:space="preserve">Australian </w:t>
      </w:r>
      <w:r w:rsidR="00446F5D">
        <w:t>s</w:t>
      </w:r>
      <w:r>
        <w:t xml:space="preserve">tandard </w:t>
      </w:r>
      <w:r w:rsidR="00693263">
        <w:t xml:space="preserve">AS </w:t>
      </w:r>
      <w:r>
        <w:t xml:space="preserve">4092:1993 </w:t>
      </w:r>
      <w:r w:rsidRPr="008F012F">
        <w:rPr>
          <w:i/>
        </w:rPr>
        <w:t>Exercise cycles</w:t>
      </w:r>
      <w:r w:rsidR="00CA555B">
        <w:rPr>
          <w:i/>
        </w:rPr>
        <w:t xml:space="preserve"> –</w:t>
      </w:r>
      <w:r w:rsidRPr="008F012F">
        <w:rPr>
          <w:i/>
        </w:rPr>
        <w:t xml:space="preserve"> safety</w:t>
      </w:r>
      <w:r w:rsidR="00CA555B">
        <w:rPr>
          <w:i/>
        </w:rPr>
        <w:t xml:space="preserve"> </w:t>
      </w:r>
      <w:r w:rsidRPr="008F012F">
        <w:rPr>
          <w:i/>
        </w:rPr>
        <w:t>requirements</w:t>
      </w:r>
      <w:r>
        <w:t>.</w:t>
      </w:r>
      <w:r w:rsidR="004D564A">
        <w:rPr>
          <w:rStyle w:val="FootnoteReference"/>
        </w:rPr>
        <w:footnoteReference w:id="2"/>
      </w:r>
      <w:r w:rsidR="002D5027">
        <w:t xml:space="preserve"> </w:t>
      </w:r>
      <w:r w:rsidR="007F2990">
        <w:t xml:space="preserve">The voluntary </w:t>
      </w:r>
      <w:r w:rsidR="00A80F02">
        <w:t xml:space="preserve">Australian </w:t>
      </w:r>
      <w:r w:rsidR="007F2990">
        <w:t>standard</w:t>
      </w:r>
      <w:r w:rsidR="00E31567">
        <w:t xml:space="preserve"> has not</w:t>
      </w:r>
      <w:r w:rsidR="007F2990">
        <w:t xml:space="preserve"> been updated </w:t>
      </w:r>
      <w:r w:rsidR="00E31567">
        <w:t>since 1993.</w:t>
      </w:r>
    </w:p>
    <w:p w:rsidR="00BD5BF0" w:rsidRDefault="00BD5BF0" w:rsidP="00BD5BF0">
      <w:r>
        <w:t xml:space="preserve">Key requirements of the </w:t>
      </w:r>
      <w:r w:rsidR="00A80F02">
        <w:t xml:space="preserve">mandatory </w:t>
      </w:r>
      <w:r>
        <w:t>safety standard include:</w:t>
      </w:r>
    </w:p>
    <w:p w:rsidR="00BD5BF0" w:rsidRDefault="00BD5BF0" w:rsidP="002B070D">
      <w:pPr>
        <w:pStyle w:val="ListParagraph"/>
        <w:numPr>
          <w:ilvl w:val="0"/>
          <w:numId w:val="34"/>
        </w:numPr>
        <w:ind w:left="567" w:hanging="567"/>
      </w:pPr>
      <w:r>
        <w:t>protective guards to prevent a child’s fingers</w:t>
      </w:r>
      <w:r w:rsidR="00CD0EF7">
        <w:t xml:space="preserve"> and toes</w:t>
      </w:r>
      <w:r>
        <w:t xml:space="preserve"> reaching hazardous </w:t>
      </w:r>
      <w:r w:rsidR="00693263">
        <w:t>moving parts</w:t>
      </w:r>
    </w:p>
    <w:p w:rsidR="00E11C5C" w:rsidRDefault="00115D86" w:rsidP="002B070D">
      <w:pPr>
        <w:pStyle w:val="ListParagraph"/>
        <w:numPr>
          <w:ilvl w:val="0"/>
          <w:numId w:val="34"/>
        </w:numPr>
        <w:ind w:hanging="600"/>
      </w:pPr>
      <w:r>
        <w:t>testing</w:t>
      </w:r>
      <w:r w:rsidR="00E11C5C">
        <w:t xml:space="preserve"> to prevent entrapment hazards</w:t>
      </w:r>
    </w:p>
    <w:p w:rsidR="00BD5BF0" w:rsidRDefault="00115D86" w:rsidP="002B070D">
      <w:pPr>
        <w:pStyle w:val="ListParagraph"/>
        <w:numPr>
          <w:ilvl w:val="0"/>
          <w:numId w:val="34"/>
        </w:numPr>
        <w:ind w:hanging="600"/>
      </w:pPr>
      <w:r>
        <w:t>testing</w:t>
      </w:r>
      <w:r w:rsidR="00693263">
        <w:t xml:space="preserve"> for </w:t>
      </w:r>
      <w:r w:rsidR="00BD5BF0">
        <w:t>the seat and its support to resist failure which could impale or injure the user</w:t>
      </w:r>
    </w:p>
    <w:p w:rsidR="00BD5BF0" w:rsidRDefault="00BD5BF0" w:rsidP="002B070D">
      <w:pPr>
        <w:pStyle w:val="ListParagraph"/>
        <w:numPr>
          <w:ilvl w:val="0"/>
          <w:numId w:val="34"/>
        </w:numPr>
        <w:ind w:hanging="600"/>
      </w:pPr>
      <w:r>
        <w:t xml:space="preserve">user instructions </w:t>
      </w:r>
      <w:r w:rsidR="00693263">
        <w:t>to</w:t>
      </w:r>
      <w:r>
        <w:t xml:space="preserve"> outline assembly, maintenance and </w:t>
      </w:r>
      <w:r w:rsidR="00652E70">
        <w:t xml:space="preserve">correct </w:t>
      </w:r>
      <w:r w:rsidR="00693263">
        <w:t xml:space="preserve">seat </w:t>
      </w:r>
      <w:r w:rsidR="00652E70">
        <w:t>adjustment</w:t>
      </w:r>
      <w:r w:rsidR="00E11C5C">
        <w:t>.</w:t>
      </w:r>
    </w:p>
    <w:p w:rsidR="005404C1" w:rsidRPr="00382011" w:rsidRDefault="005404C1" w:rsidP="00A20FFA">
      <w:pPr>
        <w:pStyle w:val="Numbered11"/>
        <w:numPr>
          <w:ilvl w:val="1"/>
          <w:numId w:val="37"/>
        </w:numPr>
      </w:pPr>
      <w:bookmarkStart w:id="26" w:name="_Toc462397155"/>
      <w:r w:rsidRPr="00382011">
        <w:lastRenderedPageBreak/>
        <w:t xml:space="preserve">Compliance with the </w:t>
      </w:r>
      <w:r w:rsidR="00A80F02">
        <w:t xml:space="preserve">mandatory </w:t>
      </w:r>
      <w:r w:rsidRPr="00382011">
        <w:t>safety standard</w:t>
      </w:r>
      <w:bookmarkEnd w:id="26"/>
    </w:p>
    <w:p w:rsidR="009D277F" w:rsidRPr="009D277F" w:rsidRDefault="009D277F" w:rsidP="009D277F">
      <w:pPr>
        <w:rPr>
          <w:rFonts w:cs="Arial"/>
        </w:rPr>
      </w:pPr>
      <w:r w:rsidRPr="009D277F">
        <w:rPr>
          <w:rFonts w:cs="Arial"/>
        </w:rPr>
        <w:t>The ACCC has comprehensive</w:t>
      </w:r>
      <w:r w:rsidR="00E6074C">
        <w:rPr>
          <w:rFonts w:cs="Arial"/>
        </w:rPr>
        <w:t>ly</w:t>
      </w:r>
      <w:r w:rsidRPr="009D277F">
        <w:rPr>
          <w:rFonts w:cs="Arial"/>
        </w:rPr>
        <w:t xml:space="preserve"> </w:t>
      </w:r>
      <w:r w:rsidR="00E6074C" w:rsidRPr="009D277F">
        <w:rPr>
          <w:rFonts w:cs="Arial"/>
        </w:rPr>
        <w:t>surve</w:t>
      </w:r>
      <w:r w:rsidR="00E6074C">
        <w:rPr>
          <w:rFonts w:cs="Arial"/>
        </w:rPr>
        <w:t xml:space="preserve">yed </w:t>
      </w:r>
      <w:r w:rsidRPr="009D277F">
        <w:rPr>
          <w:rFonts w:cs="Arial"/>
        </w:rPr>
        <w:t>retail and online stores</w:t>
      </w:r>
      <w:r w:rsidR="00B91892">
        <w:rPr>
          <w:rFonts w:cs="Arial"/>
        </w:rPr>
        <w:t xml:space="preserve"> over many years and</w:t>
      </w:r>
      <w:r w:rsidR="00E917E8">
        <w:rPr>
          <w:rFonts w:cs="Arial"/>
        </w:rPr>
        <w:t xml:space="preserve"> </w:t>
      </w:r>
      <w:r w:rsidR="00E6074C">
        <w:rPr>
          <w:rFonts w:cs="Arial"/>
        </w:rPr>
        <w:t>c</w:t>
      </w:r>
      <w:r w:rsidR="00E6074C" w:rsidRPr="009D277F">
        <w:rPr>
          <w:rFonts w:cs="Arial"/>
        </w:rPr>
        <w:t>ompliance</w:t>
      </w:r>
      <w:r w:rsidR="00B91892">
        <w:rPr>
          <w:rFonts w:cs="Arial"/>
        </w:rPr>
        <w:t xml:space="preserve"> with the </w:t>
      </w:r>
      <w:r w:rsidR="00A80F02">
        <w:rPr>
          <w:rFonts w:cs="Arial"/>
        </w:rPr>
        <w:t xml:space="preserve">mandatory </w:t>
      </w:r>
      <w:r w:rsidR="00B91892">
        <w:rPr>
          <w:rFonts w:cs="Arial"/>
        </w:rPr>
        <w:t>safety standard has been consistently</w:t>
      </w:r>
      <w:r w:rsidR="006329B7">
        <w:rPr>
          <w:rFonts w:cs="Arial"/>
        </w:rPr>
        <w:t xml:space="preserve"> </w:t>
      </w:r>
      <w:r w:rsidR="00E6074C" w:rsidRPr="009D277F">
        <w:rPr>
          <w:rFonts w:cs="Arial"/>
        </w:rPr>
        <w:t>high</w:t>
      </w:r>
      <w:r w:rsidR="00E6074C">
        <w:rPr>
          <w:rFonts w:cs="Arial"/>
        </w:rPr>
        <w:t>.</w:t>
      </w:r>
      <w:r w:rsidRPr="009D277F">
        <w:rPr>
          <w:rFonts w:cs="Arial"/>
        </w:rPr>
        <w:t xml:space="preserve"> </w:t>
      </w:r>
      <w:r w:rsidR="00E6074C">
        <w:rPr>
          <w:rFonts w:cs="Arial"/>
        </w:rPr>
        <w:t>T</w:t>
      </w:r>
      <w:r w:rsidRPr="009D277F">
        <w:rPr>
          <w:rFonts w:cs="Arial"/>
        </w:rPr>
        <w:t xml:space="preserve">he last survey </w:t>
      </w:r>
      <w:r w:rsidR="00E6074C">
        <w:rPr>
          <w:rFonts w:cs="Arial"/>
        </w:rPr>
        <w:t>was</w:t>
      </w:r>
      <w:r w:rsidR="00E6074C" w:rsidRPr="009D277F">
        <w:rPr>
          <w:rFonts w:cs="Arial"/>
        </w:rPr>
        <w:t xml:space="preserve"> </w:t>
      </w:r>
      <w:r w:rsidRPr="009D277F">
        <w:rPr>
          <w:rFonts w:cs="Arial"/>
        </w:rPr>
        <w:t>in 2015</w:t>
      </w:r>
      <w:r w:rsidR="002B070D">
        <w:rPr>
          <w:rFonts w:cs="Arial"/>
        </w:rPr>
        <w:t xml:space="preserve"> and all of the surveyed exercise cycles complied</w:t>
      </w:r>
      <w:r w:rsidR="00057D0C">
        <w:rPr>
          <w:rFonts w:cs="Arial"/>
        </w:rPr>
        <w:t xml:space="preserve"> with the </w:t>
      </w:r>
      <w:r w:rsidR="00A80F02">
        <w:rPr>
          <w:rFonts w:cs="Arial"/>
        </w:rPr>
        <w:t xml:space="preserve">mandatory </w:t>
      </w:r>
      <w:r w:rsidR="00057D0C">
        <w:rPr>
          <w:rFonts w:cs="Arial"/>
        </w:rPr>
        <w:t>safety standard</w:t>
      </w:r>
      <w:r w:rsidRPr="009D277F">
        <w:rPr>
          <w:rFonts w:cs="Arial"/>
        </w:rPr>
        <w:t>.</w:t>
      </w:r>
      <w:r w:rsidR="00E917E8">
        <w:rPr>
          <w:rFonts w:cs="Arial"/>
        </w:rPr>
        <w:t xml:space="preserve"> </w:t>
      </w:r>
      <w:r w:rsidR="00E80FA8">
        <w:rPr>
          <w:rFonts w:cs="Arial"/>
        </w:rPr>
        <w:t>R</w:t>
      </w:r>
      <w:r w:rsidR="004A71B1">
        <w:rPr>
          <w:rFonts w:cs="Arial"/>
        </w:rPr>
        <w:t>ecent online research</w:t>
      </w:r>
      <w:r w:rsidR="00A72213">
        <w:rPr>
          <w:rFonts w:cs="Arial"/>
        </w:rPr>
        <w:t xml:space="preserve"> also</w:t>
      </w:r>
      <w:r w:rsidR="00B91892">
        <w:rPr>
          <w:rFonts w:cs="Arial"/>
        </w:rPr>
        <w:t xml:space="preserve"> indicates</w:t>
      </w:r>
      <w:r w:rsidR="00E917E8">
        <w:rPr>
          <w:rFonts w:cs="Arial"/>
        </w:rPr>
        <w:t xml:space="preserve"> that all of the </w:t>
      </w:r>
      <w:r w:rsidR="00A72213">
        <w:rPr>
          <w:rFonts w:cs="Arial"/>
        </w:rPr>
        <w:t xml:space="preserve">exercise cycles </w:t>
      </w:r>
      <w:r w:rsidR="00E917E8">
        <w:rPr>
          <w:rFonts w:cs="Arial"/>
        </w:rPr>
        <w:t xml:space="preserve">available online </w:t>
      </w:r>
      <w:r w:rsidR="00A72213">
        <w:rPr>
          <w:rFonts w:cs="Arial"/>
        </w:rPr>
        <w:t xml:space="preserve">from </w:t>
      </w:r>
      <w:r w:rsidR="00E917E8">
        <w:rPr>
          <w:rFonts w:cs="Arial"/>
        </w:rPr>
        <w:t>overseas</w:t>
      </w:r>
      <w:r w:rsidR="00B91892">
        <w:rPr>
          <w:rFonts w:cs="Arial"/>
        </w:rPr>
        <w:t xml:space="preserve"> suppliers</w:t>
      </w:r>
      <w:r w:rsidR="00E917E8">
        <w:rPr>
          <w:rFonts w:cs="Arial"/>
        </w:rPr>
        <w:t xml:space="preserve"> are likely to comply with the </w:t>
      </w:r>
      <w:r w:rsidR="00A80F02">
        <w:rPr>
          <w:rFonts w:cs="Arial"/>
        </w:rPr>
        <w:t xml:space="preserve">mandatory </w:t>
      </w:r>
      <w:r w:rsidR="00E917E8">
        <w:rPr>
          <w:rFonts w:cs="Arial"/>
        </w:rPr>
        <w:t>safety standard.</w:t>
      </w:r>
    </w:p>
    <w:p w:rsidR="001147DA" w:rsidRDefault="009D277F" w:rsidP="009D277F">
      <w:pPr>
        <w:rPr>
          <w:rFonts w:cs="Arial"/>
        </w:rPr>
      </w:pPr>
      <w:r w:rsidRPr="009D277F">
        <w:rPr>
          <w:rFonts w:cs="Arial"/>
        </w:rPr>
        <w:t xml:space="preserve">During </w:t>
      </w:r>
      <w:r w:rsidR="00241154">
        <w:rPr>
          <w:rFonts w:cs="Arial"/>
        </w:rPr>
        <w:t>an</w:t>
      </w:r>
      <w:r w:rsidR="00241154" w:rsidRPr="009D277F">
        <w:rPr>
          <w:rFonts w:cs="Arial"/>
        </w:rPr>
        <w:t xml:space="preserve"> </w:t>
      </w:r>
      <w:r w:rsidR="006329B7">
        <w:rPr>
          <w:rFonts w:cs="Arial"/>
        </w:rPr>
        <w:t xml:space="preserve">earlier </w:t>
      </w:r>
      <w:r w:rsidRPr="009D277F">
        <w:rPr>
          <w:rFonts w:cs="Arial"/>
        </w:rPr>
        <w:t xml:space="preserve">2013 </w:t>
      </w:r>
      <w:r w:rsidR="00E6074C" w:rsidRPr="009D277F">
        <w:rPr>
          <w:rFonts w:cs="Arial"/>
        </w:rPr>
        <w:t>survey,</w:t>
      </w:r>
      <w:r w:rsidRPr="009D277F">
        <w:rPr>
          <w:rFonts w:cs="Arial"/>
        </w:rPr>
        <w:t xml:space="preserve"> the ACCC observed a minor re-emergence of </w:t>
      </w:r>
      <w:r w:rsidR="006329B7">
        <w:rPr>
          <w:rFonts w:cs="Arial"/>
        </w:rPr>
        <w:t xml:space="preserve">some </w:t>
      </w:r>
      <w:r w:rsidRPr="009D277F">
        <w:rPr>
          <w:rFonts w:cs="Arial"/>
        </w:rPr>
        <w:t>older designs in the first-hand market</w:t>
      </w:r>
      <w:r w:rsidR="00E6074C">
        <w:rPr>
          <w:rFonts w:cs="Arial"/>
        </w:rPr>
        <w:t>.</w:t>
      </w:r>
      <w:r w:rsidR="00E6074C" w:rsidRPr="009D277F">
        <w:rPr>
          <w:rFonts w:cs="Arial"/>
        </w:rPr>
        <w:t xml:space="preserve"> </w:t>
      </w:r>
      <w:r w:rsidR="00E6074C">
        <w:rPr>
          <w:rFonts w:cs="Arial"/>
        </w:rPr>
        <w:t>H</w:t>
      </w:r>
      <w:r w:rsidR="00E6074C" w:rsidRPr="009D277F">
        <w:rPr>
          <w:rFonts w:cs="Arial"/>
        </w:rPr>
        <w:t>owever</w:t>
      </w:r>
      <w:r w:rsidR="00E6074C">
        <w:rPr>
          <w:rFonts w:cs="Arial"/>
        </w:rPr>
        <w:t>,</w:t>
      </w:r>
      <w:r w:rsidR="00E6074C" w:rsidRPr="009D277F">
        <w:rPr>
          <w:rFonts w:cs="Arial"/>
        </w:rPr>
        <w:t xml:space="preserve"> th</w:t>
      </w:r>
      <w:r w:rsidR="00E6074C">
        <w:rPr>
          <w:rFonts w:cs="Arial"/>
        </w:rPr>
        <w:t>o</w:t>
      </w:r>
      <w:r w:rsidR="00E6074C" w:rsidRPr="009D277F">
        <w:rPr>
          <w:rFonts w:cs="Arial"/>
        </w:rPr>
        <w:t xml:space="preserve">se </w:t>
      </w:r>
      <w:r w:rsidRPr="009D277F">
        <w:rPr>
          <w:rFonts w:cs="Arial"/>
        </w:rPr>
        <w:t>products had safe design features and compli</w:t>
      </w:r>
      <w:r w:rsidR="00E6074C">
        <w:rPr>
          <w:rFonts w:cs="Arial"/>
        </w:rPr>
        <w:t>ed</w:t>
      </w:r>
      <w:r w:rsidRPr="009D277F">
        <w:rPr>
          <w:rFonts w:cs="Arial"/>
        </w:rPr>
        <w:t xml:space="preserve"> with the </w:t>
      </w:r>
      <w:r w:rsidR="00A80F02">
        <w:rPr>
          <w:rFonts w:cs="Arial"/>
        </w:rPr>
        <w:t xml:space="preserve">mandatory </w:t>
      </w:r>
      <w:r w:rsidRPr="009D277F">
        <w:rPr>
          <w:rFonts w:cs="Arial"/>
        </w:rPr>
        <w:t>safety standard.</w:t>
      </w:r>
    </w:p>
    <w:p w:rsidR="00E6074C" w:rsidRPr="009814BE" w:rsidRDefault="00E6074C" w:rsidP="001147DA">
      <w:r>
        <w:rPr>
          <w:rFonts w:cs="Arial"/>
        </w:rPr>
        <w:t>There ha</w:t>
      </w:r>
      <w:r w:rsidR="00AE08B8">
        <w:rPr>
          <w:rFonts w:cs="Arial"/>
        </w:rPr>
        <w:t xml:space="preserve">s </w:t>
      </w:r>
      <w:r w:rsidR="00A80F02">
        <w:rPr>
          <w:rFonts w:cs="Arial"/>
        </w:rPr>
        <w:t xml:space="preserve">only </w:t>
      </w:r>
      <w:r w:rsidR="00AE08B8">
        <w:rPr>
          <w:rFonts w:cs="Arial"/>
        </w:rPr>
        <w:t>been</w:t>
      </w:r>
      <w:r>
        <w:rPr>
          <w:rFonts w:cs="Arial"/>
        </w:rPr>
        <w:t xml:space="preserve"> </w:t>
      </w:r>
      <w:r w:rsidR="00AE08B8">
        <w:rPr>
          <w:rFonts w:cs="Arial"/>
        </w:rPr>
        <w:t>one</w:t>
      </w:r>
      <w:r w:rsidRPr="009D277F">
        <w:rPr>
          <w:rFonts w:cs="Arial"/>
        </w:rPr>
        <w:t xml:space="preserve"> </w:t>
      </w:r>
      <w:r>
        <w:rPr>
          <w:rFonts w:cs="Arial"/>
        </w:rPr>
        <w:t>e</w:t>
      </w:r>
      <w:r w:rsidRPr="009D277F">
        <w:rPr>
          <w:rFonts w:cs="Arial"/>
        </w:rPr>
        <w:t xml:space="preserve">xercise </w:t>
      </w:r>
      <w:r w:rsidR="009D277F" w:rsidRPr="009D277F">
        <w:rPr>
          <w:rFonts w:cs="Arial"/>
        </w:rPr>
        <w:t>cycle recall in Australia</w:t>
      </w:r>
      <w:r w:rsidR="001147DA">
        <w:t xml:space="preserve">. </w:t>
      </w:r>
      <w:r w:rsidRPr="0088398D">
        <w:t>In 2001</w:t>
      </w:r>
      <w:r>
        <w:t>,</w:t>
      </w:r>
      <w:r w:rsidRPr="0088398D">
        <w:t xml:space="preserve"> Leisure World Australia recalled </w:t>
      </w:r>
      <w:r w:rsidR="00A80F02">
        <w:t xml:space="preserve">the </w:t>
      </w:r>
      <w:r w:rsidRPr="0088398D">
        <w:t xml:space="preserve">Lifestyler DT900 exercise cycles because a design fault </w:t>
      </w:r>
      <w:r>
        <w:t>exposed the chain components</w:t>
      </w:r>
      <w:r w:rsidR="00280B7B">
        <w:t>.</w:t>
      </w:r>
      <w:r w:rsidR="00847421">
        <w:t xml:space="preserve"> The supplier a</w:t>
      </w:r>
      <w:r w:rsidR="0070626A">
        <w:t xml:space="preserve">lso agreed to </w:t>
      </w:r>
      <w:r w:rsidR="00847421">
        <w:t xml:space="preserve">an enforceable undertaking to </w:t>
      </w:r>
      <w:r w:rsidR="00FB1272">
        <w:t xml:space="preserve">provide </w:t>
      </w:r>
      <w:r w:rsidR="001147DA">
        <w:t>full refun</w:t>
      </w:r>
      <w:r w:rsidR="00FB1272">
        <w:t>ds to consumers and implement</w:t>
      </w:r>
      <w:r w:rsidR="001147DA">
        <w:t xml:space="preserve"> a compliance program.</w:t>
      </w:r>
    </w:p>
    <w:p w:rsidR="002B1ABD" w:rsidRPr="006D6B49" w:rsidRDefault="002B1ABD" w:rsidP="00A20FFA">
      <w:pPr>
        <w:pStyle w:val="Numbered1"/>
        <w:numPr>
          <w:ilvl w:val="0"/>
          <w:numId w:val="37"/>
        </w:numPr>
        <w:ind w:left="680" w:hanging="680"/>
      </w:pPr>
      <w:bookmarkStart w:id="27" w:name="_Toc455066801"/>
      <w:bookmarkStart w:id="28" w:name="_Toc455066836"/>
      <w:bookmarkStart w:id="29" w:name="_Toc455499192"/>
      <w:bookmarkStart w:id="30" w:name="_Toc455756327"/>
      <w:bookmarkStart w:id="31" w:name="_Toc456098882"/>
      <w:bookmarkStart w:id="32" w:name="_Toc456623858"/>
      <w:bookmarkStart w:id="33" w:name="_Toc457222705"/>
      <w:bookmarkStart w:id="34" w:name="_Toc462397156"/>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D6B49">
        <w:t>Adopting international standards</w:t>
      </w:r>
      <w:bookmarkEnd w:id="27"/>
      <w:bookmarkEnd w:id="28"/>
      <w:bookmarkEnd w:id="29"/>
      <w:bookmarkEnd w:id="30"/>
      <w:bookmarkEnd w:id="31"/>
      <w:bookmarkEnd w:id="32"/>
      <w:bookmarkEnd w:id="33"/>
      <w:bookmarkEnd w:id="34"/>
    </w:p>
    <w:p w:rsidR="002525C6" w:rsidRDefault="00DE039C" w:rsidP="002525C6">
      <w:pPr>
        <w:pStyle w:val="Bulletpoint"/>
        <w:numPr>
          <w:ilvl w:val="0"/>
          <w:numId w:val="0"/>
        </w:numPr>
      </w:pPr>
      <w:bookmarkStart w:id="35" w:name="_Toc453749097"/>
      <w:bookmarkStart w:id="36" w:name="_Toc453749343"/>
      <w:bookmarkStart w:id="37" w:name="_Toc453759796"/>
      <w:bookmarkStart w:id="38" w:name="_Toc453763881"/>
      <w:bookmarkStart w:id="39" w:name="_Toc453765791"/>
      <w:bookmarkStart w:id="40" w:name="_Toc454544419"/>
      <w:bookmarkStart w:id="41" w:name="_Toc455580002"/>
      <w:bookmarkStart w:id="42" w:name="_Toc456277620"/>
      <w:bookmarkStart w:id="43" w:name="_Toc456278989"/>
      <w:r>
        <w:t>T</w:t>
      </w:r>
      <w:r w:rsidR="002525C6">
        <w:t xml:space="preserve">he most widely used international standards for exercise cycles </w:t>
      </w:r>
      <w:r>
        <w:t>include</w:t>
      </w:r>
      <w:r w:rsidR="002525C6">
        <w:t>:</w:t>
      </w:r>
    </w:p>
    <w:p w:rsidR="002525C6" w:rsidRDefault="002525C6" w:rsidP="002525C6">
      <w:pPr>
        <w:pStyle w:val="Bulletpoint"/>
      </w:pPr>
      <w:r w:rsidRPr="001D6397">
        <w:t>Europe: EN 957-5:2009: Stationary training equipment</w:t>
      </w:r>
      <w:r>
        <w:t xml:space="preserve"> –</w:t>
      </w:r>
      <w:r w:rsidRPr="001D6397">
        <w:t xml:space="preserve"> Part</w:t>
      </w:r>
      <w:r>
        <w:t xml:space="preserve"> </w:t>
      </w:r>
      <w:r w:rsidRPr="001D6397">
        <w:t>5: Stationary exercise bicycles and upper body crank training equipment, additional specific safety requirements and test methods</w:t>
      </w:r>
    </w:p>
    <w:p w:rsidR="00260282" w:rsidRPr="001D6397" w:rsidRDefault="00260282" w:rsidP="00260282">
      <w:pPr>
        <w:pStyle w:val="Bulletpoint"/>
      </w:pPr>
      <w:r>
        <w:t>Europe: EN 957-10:2005: Stationary training equipment- Part 10: Exercise bicycles with a fixed wheel or without freewheel, additional specific safety requirements and test methods</w:t>
      </w:r>
    </w:p>
    <w:p w:rsidR="002525C6" w:rsidRDefault="002525C6" w:rsidP="002525C6">
      <w:pPr>
        <w:pStyle w:val="Bulletpoint"/>
      </w:pPr>
      <w:r>
        <w:t>International: ISO 20957-1:</w:t>
      </w:r>
      <w:r w:rsidRPr="001D6397">
        <w:t>2013: Stationary training equipment</w:t>
      </w:r>
      <w:r>
        <w:t xml:space="preserve"> –</w:t>
      </w:r>
      <w:r w:rsidRPr="001D6397">
        <w:t xml:space="preserve"> Part</w:t>
      </w:r>
      <w:r>
        <w:t xml:space="preserve"> </w:t>
      </w:r>
      <w:r w:rsidRPr="001D6397">
        <w:t>1: General safety requirements and test methods</w:t>
      </w:r>
      <w:r>
        <w:t>, supplemented and amended by ISO 20957-10:2007: Stationary training equipment- Part 10: Exercise bicycles with a fixed wheel or without freewheel, additional specific safet</w:t>
      </w:r>
      <w:r w:rsidR="00553963">
        <w:t>y requirements and test methods</w:t>
      </w:r>
    </w:p>
    <w:p w:rsidR="002525C6" w:rsidRPr="001D6397" w:rsidRDefault="002525C6" w:rsidP="002525C6">
      <w:pPr>
        <w:pStyle w:val="Bulletpoint"/>
      </w:pPr>
      <w:r w:rsidRPr="001D6397">
        <w:t xml:space="preserve">USA: ASTM F1250-13: Standard </w:t>
      </w:r>
      <w:r>
        <w:t>specification for stationary upright and recumbent exercise bicycles and upper body ergometers.</w:t>
      </w:r>
    </w:p>
    <w:p w:rsidR="002525C6" w:rsidRPr="00DB6C88" w:rsidRDefault="00B91892" w:rsidP="002525C6">
      <w:r>
        <w:t>The ACCC uses the following</w:t>
      </w:r>
      <w:r w:rsidR="002525C6" w:rsidRPr="00DB6C88">
        <w:t xml:space="preserve"> criteria when assessing international standards for use in Australia:</w:t>
      </w:r>
      <w:r w:rsidR="002525C6" w:rsidRPr="00DB6C88">
        <w:rPr>
          <w:vertAlign w:val="superscript"/>
        </w:rPr>
        <w:footnoteReference w:id="3"/>
      </w:r>
    </w:p>
    <w:p w:rsidR="002525C6" w:rsidRPr="00DB6C88" w:rsidRDefault="002525C6" w:rsidP="007C223E">
      <w:pPr>
        <w:pStyle w:val="LegalNumbering"/>
      </w:pPr>
      <w:r w:rsidRPr="00DB6C88">
        <w:t>Addressing safety concerns: Is there evidence that the international standard provides an acceptable level of consumer safety?</w:t>
      </w:r>
    </w:p>
    <w:p w:rsidR="002525C6" w:rsidRDefault="002525C6" w:rsidP="007C223E">
      <w:pPr>
        <w:pStyle w:val="LegalNumbering"/>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2525C6" w:rsidRDefault="002525C6" w:rsidP="007C223E">
      <w:pPr>
        <w:pStyle w:val="LegalNumbering"/>
      </w:pPr>
      <w:r w:rsidRPr="00EE5651">
        <w:t>Applicability to the Australian context:</w:t>
      </w:r>
      <w:r w:rsidRPr="009256BA">
        <w:rPr>
          <w:bCs/>
        </w:rPr>
        <w:t xml:space="preserve"> </w:t>
      </w:r>
      <w:r w:rsidRPr="00DB6C88">
        <w:t>Is the international standard applicable and sufficient in the Australian context?</w:t>
      </w:r>
    </w:p>
    <w:p w:rsidR="00AF4BDA" w:rsidRDefault="00CE01D1" w:rsidP="002525C6">
      <w:pPr>
        <w:pStyle w:val="Bulletpoint"/>
        <w:numPr>
          <w:ilvl w:val="0"/>
          <w:numId w:val="0"/>
        </w:numPr>
      </w:pPr>
      <w:r>
        <w:t>The ACCC considers the</w:t>
      </w:r>
      <w:r w:rsidR="002525C6">
        <w:t xml:space="preserve"> international standards</w:t>
      </w:r>
      <w:r>
        <w:t xml:space="preserve"> referred to above</w:t>
      </w:r>
      <w:r w:rsidR="001E3475">
        <w:t xml:space="preserve"> to</w:t>
      </w:r>
      <w:r>
        <w:t xml:space="preserve"> meet these criteria.</w:t>
      </w:r>
      <w:r w:rsidR="008D3B71">
        <w:t xml:space="preserve"> </w:t>
      </w:r>
    </w:p>
    <w:p w:rsidR="002525C6" w:rsidRDefault="002525C6" w:rsidP="002525C6">
      <w:pPr>
        <w:pStyle w:val="Bulletpoint"/>
        <w:numPr>
          <w:ilvl w:val="0"/>
          <w:numId w:val="0"/>
        </w:numPr>
      </w:pPr>
      <w:r>
        <w:t xml:space="preserve">The voluntary </w:t>
      </w:r>
      <w:r w:rsidR="00B87F4F">
        <w:t xml:space="preserve">Australian </w:t>
      </w:r>
      <w:r>
        <w:t>standard and the international standards</w:t>
      </w:r>
      <w:r w:rsidR="00CE01D1">
        <w:t xml:space="preserve"> referred to above</w:t>
      </w:r>
      <w:r>
        <w:t xml:space="preserve"> have broadly similar approaches to safety requirements and testing methods that address safety concerns; in particular the hazards to children. Key differences include:</w:t>
      </w:r>
    </w:p>
    <w:p w:rsidR="002525C6" w:rsidRDefault="002525C6" w:rsidP="002525C6">
      <w:pPr>
        <w:pStyle w:val="Bulletpoint"/>
        <w:numPr>
          <w:ilvl w:val="0"/>
          <w:numId w:val="40"/>
        </w:numPr>
      </w:pPr>
      <w:r>
        <w:lastRenderedPageBreak/>
        <w:t>The voluntary</w:t>
      </w:r>
      <w:r w:rsidR="00B87F4F">
        <w:t xml:space="preserve"> Australian</w:t>
      </w:r>
      <w:r>
        <w:t xml:space="preserve"> standard is </w:t>
      </w:r>
      <w:r w:rsidR="00F21B97">
        <w:t xml:space="preserve">outdated </w:t>
      </w:r>
      <w:r>
        <w:t xml:space="preserve">and does not address newer design technology like fan belts or recumbent exercise cycles, </w:t>
      </w:r>
      <w:r w:rsidR="00241154">
        <w:t xml:space="preserve">which are </w:t>
      </w:r>
      <w:r>
        <w:t xml:space="preserve">covered </w:t>
      </w:r>
      <w:r w:rsidR="00553963">
        <w:t>in the international standards.</w:t>
      </w:r>
    </w:p>
    <w:p w:rsidR="002525C6" w:rsidRDefault="002525C6" w:rsidP="002525C6">
      <w:pPr>
        <w:pStyle w:val="Bulletpoint"/>
        <w:numPr>
          <w:ilvl w:val="0"/>
          <w:numId w:val="40"/>
        </w:numPr>
      </w:pPr>
      <w:r>
        <w:t>The</w:t>
      </w:r>
      <w:r w:rsidR="00B87F4F">
        <w:t xml:space="preserve"> </w:t>
      </w:r>
      <w:r>
        <w:t>voluntary</w:t>
      </w:r>
      <w:r w:rsidR="00B87F4F">
        <w:t xml:space="preserve"> Australian</w:t>
      </w:r>
      <w:r>
        <w:t xml:space="preserve"> standard is more prescriptive in some areas:</w:t>
      </w:r>
    </w:p>
    <w:p w:rsidR="002525C6" w:rsidRDefault="002525C6" w:rsidP="002525C6">
      <w:pPr>
        <w:pStyle w:val="Bulletpoint"/>
        <w:numPr>
          <w:ilvl w:val="1"/>
          <w:numId w:val="40"/>
        </w:numPr>
        <w:ind w:left="709" w:hanging="283"/>
      </w:pPr>
      <w:r>
        <w:t>EN 957-5:2009 does not explicitly specify the edges and parts directly accessible to the product to be free from burrs</w:t>
      </w:r>
    </w:p>
    <w:p w:rsidR="002525C6" w:rsidRDefault="002525C6" w:rsidP="002525C6">
      <w:pPr>
        <w:pStyle w:val="Bulletpoint"/>
        <w:numPr>
          <w:ilvl w:val="1"/>
          <w:numId w:val="40"/>
        </w:numPr>
        <w:ind w:left="709" w:hanging="283"/>
      </w:pPr>
      <w:r>
        <w:t>The international standards do not explicitly require</w:t>
      </w:r>
      <w:r w:rsidRPr="00352012">
        <w:t xml:space="preserve"> </w:t>
      </w:r>
      <w:r>
        <w:t>external guards</w:t>
      </w:r>
      <w:r w:rsidR="00493896">
        <w:t xml:space="preserve"> to be</w:t>
      </w:r>
      <w:r>
        <w:t xml:space="preserve"> securely and permanently fixed to the cycle frame</w:t>
      </w:r>
      <w:r w:rsidR="00493896">
        <w:t>,</w:t>
      </w:r>
      <w:r>
        <w:t xml:space="preserve"> that can only be removed with a tool</w:t>
      </w:r>
    </w:p>
    <w:p w:rsidR="002525C6" w:rsidRDefault="002525C6" w:rsidP="002525C6">
      <w:pPr>
        <w:pStyle w:val="Bulletpoint"/>
        <w:numPr>
          <w:ilvl w:val="1"/>
          <w:numId w:val="40"/>
        </w:numPr>
        <w:ind w:left="709" w:hanging="283"/>
      </w:pPr>
      <w:r>
        <w:t>ASTM F1250-13 only requires the drive train elements to be guarded, without specifying whether</w:t>
      </w:r>
      <w:r w:rsidR="008C0D0F">
        <w:t xml:space="preserve"> the </w:t>
      </w:r>
      <w:r w:rsidR="00B9352A">
        <w:t>flywheel</w:t>
      </w:r>
      <w:r w:rsidR="008C0D0F">
        <w:t xml:space="preserve"> and</w:t>
      </w:r>
      <w:r>
        <w:t xml:space="preserve"> spokes are to be guarded</w:t>
      </w:r>
      <w:r w:rsidR="008C0D0F">
        <w:t xml:space="preserve"> or whether the flywheel is to have a smooth surface</w:t>
      </w:r>
    </w:p>
    <w:p w:rsidR="002525C6" w:rsidRDefault="002525C6" w:rsidP="002525C6">
      <w:pPr>
        <w:pStyle w:val="Bulletpoint"/>
        <w:numPr>
          <w:ilvl w:val="1"/>
          <w:numId w:val="40"/>
        </w:numPr>
        <w:ind w:left="709" w:hanging="283"/>
      </w:pPr>
      <w:r>
        <w:t>Unlike the</w:t>
      </w:r>
      <w:r w:rsidR="00B87F4F">
        <w:t xml:space="preserve"> </w:t>
      </w:r>
      <w:r>
        <w:t>voluntary</w:t>
      </w:r>
      <w:r w:rsidR="00B87F4F">
        <w:t xml:space="preserve"> Australian</w:t>
      </w:r>
      <w:r>
        <w:t xml:space="preserve"> standard, international standards reference other standards for safety and testing requirements.</w:t>
      </w:r>
    </w:p>
    <w:p w:rsidR="002525C6" w:rsidRDefault="002525C6" w:rsidP="002525C6">
      <w:pPr>
        <w:pStyle w:val="Bulletpoint"/>
        <w:numPr>
          <w:ilvl w:val="0"/>
          <w:numId w:val="40"/>
        </w:numPr>
      </w:pPr>
      <w:r>
        <w:t>The voluntary</w:t>
      </w:r>
      <w:r w:rsidR="00B87F4F">
        <w:t xml:space="preserve"> Australian</w:t>
      </w:r>
      <w:r>
        <w:t xml:space="preserve"> standard requires a minimum test probe size of 5.6</w:t>
      </w:r>
      <w:r w:rsidR="00DE039C">
        <w:t xml:space="preserve"> </w:t>
      </w:r>
      <w:r>
        <w:t>mm compared with 9.5</w:t>
      </w:r>
      <w:r w:rsidR="00DE039C">
        <w:t xml:space="preserve"> </w:t>
      </w:r>
      <w:r>
        <w:t>mm under ISO 20957-1:</w:t>
      </w:r>
      <w:r w:rsidRPr="001D6397">
        <w:t>2013</w:t>
      </w:r>
      <w:r>
        <w:t xml:space="preserve"> and 9.3</w:t>
      </w:r>
      <w:r w:rsidR="00DE039C">
        <w:t xml:space="preserve"> </w:t>
      </w:r>
      <w:r>
        <w:t>mm under ASTM F1250-13</w:t>
      </w:r>
      <w:r w:rsidR="00D43FF1">
        <w:t xml:space="preserve">. The minimum test probe size </w:t>
      </w:r>
      <w:r w:rsidR="00BB7F46">
        <w:t>in the voluntary</w:t>
      </w:r>
      <w:r w:rsidR="00B87F4F">
        <w:t xml:space="preserve"> Australian</w:t>
      </w:r>
      <w:r w:rsidR="00BB7F46">
        <w:t xml:space="preserve"> standard</w:t>
      </w:r>
      <w:r w:rsidR="00D43FF1">
        <w:t xml:space="preserve"> was based on anthropometric data on children’s finger sizes</w:t>
      </w:r>
      <w:r w:rsidR="00BB7F46">
        <w:t xml:space="preserve"> at the time</w:t>
      </w:r>
      <w:r w:rsidR="00DE039C">
        <w:t>. It is unclear</w:t>
      </w:r>
      <w:r w:rsidR="00BB7F46">
        <w:t xml:space="preserve"> whether </w:t>
      </w:r>
      <w:r w:rsidR="00F42941">
        <w:t>this</w:t>
      </w:r>
      <w:r w:rsidR="00DE039C">
        <w:t xml:space="preserve"> data </w:t>
      </w:r>
      <w:r w:rsidR="007D403A">
        <w:t xml:space="preserve">is </w:t>
      </w:r>
      <w:r w:rsidR="00553963">
        <w:t>still relevant.</w:t>
      </w:r>
    </w:p>
    <w:p w:rsidR="002525C6" w:rsidRPr="0015023E" w:rsidRDefault="002525C6" w:rsidP="002525C6">
      <w:pPr>
        <w:pStyle w:val="Bulletpoint"/>
        <w:numPr>
          <w:ilvl w:val="0"/>
          <w:numId w:val="40"/>
        </w:numPr>
      </w:pPr>
      <w:r w:rsidRPr="0015023E">
        <w:t>The voluntary</w:t>
      </w:r>
      <w:r w:rsidR="00EE0610" w:rsidRPr="0015023E">
        <w:t xml:space="preserve"> Australian</w:t>
      </w:r>
      <w:r w:rsidRPr="0015023E">
        <w:t xml:space="preserve"> standard is less prescriptive in some areas:</w:t>
      </w:r>
    </w:p>
    <w:p w:rsidR="002525C6" w:rsidRDefault="002525C6" w:rsidP="002525C6">
      <w:pPr>
        <w:pStyle w:val="Bulletpoint"/>
        <w:numPr>
          <w:ilvl w:val="1"/>
          <w:numId w:val="40"/>
        </w:numPr>
        <w:ind w:left="709" w:hanging="283"/>
      </w:pPr>
      <w:r w:rsidRPr="00BB2BD4">
        <w:t>EN 957</w:t>
      </w:r>
      <w:r>
        <w:t>-5:2009</w:t>
      </w:r>
      <w:r w:rsidR="008058B2">
        <w:t>, EN 957-10:2005</w:t>
      </w:r>
      <w:r w:rsidR="0014447D">
        <w:t xml:space="preserve"> and ISO 20957-10:2007</w:t>
      </w:r>
      <w:r>
        <w:t xml:space="preserve"> specif</w:t>
      </w:r>
      <w:r w:rsidR="0014447D">
        <w:t>y</w:t>
      </w:r>
      <w:r>
        <w:t xml:space="preserve"> a 10 mm pedal crank clearance</w:t>
      </w:r>
      <w:r w:rsidR="0014447D">
        <w:t xml:space="preserve"> from the stationary parts of exercise cycle</w:t>
      </w:r>
      <w:r>
        <w:t>. The voluntary</w:t>
      </w:r>
      <w:r w:rsidR="004A1669">
        <w:t xml:space="preserve"> Australian</w:t>
      </w:r>
      <w:r>
        <w:t xml:space="preserve"> standard suggests a clearance between 12-20 mm where practicable</w:t>
      </w:r>
      <w:r w:rsidR="00493896">
        <w:t>.</w:t>
      </w:r>
      <w:r w:rsidR="0014447D">
        <w:t xml:space="preserve"> ASTM F1250 only prescribes a minimum clearance of 60</w:t>
      </w:r>
      <w:r w:rsidR="00DE039C">
        <w:t xml:space="preserve"> </w:t>
      </w:r>
      <w:r w:rsidR="0014447D">
        <w:t>mm below the pedals when th</w:t>
      </w:r>
      <w:r w:rsidR="00553963">
        <w:t>ey are at the lowest level.</w:t>
      </w:r>
    </w:p>
    <w:p w:rsidR="002525C6" w:rsidRDefault="008058B2" w:rsidP="002525C6">
      <w:pPr>
        <w:pStyle w:val="Bulletpoint"/>
        <w:numPr>
          <w:ilvl w:val="1"/>
          <w:numId w:val="40"/>
        </w:numPr>
        <w:ind w:left="709" w:hanging="283"/>
      </w:pPr>
      <w:r>
        <w:t xml:space="preserve">EN 957-10:2005 and </w:t>
      </w:r>
      <w:r w:rsidR="002525C6">
        <w:t>ISO 20957-1:2013 prescribe a minimum radius for the edges and corners of the surface supporting bodies. The voluntary</w:t>
      </w:r>
      <w:r w:rsidR="004A1669">
        <w:t xml:space="preserve"> Australian</w:t>
      </w:r>
      <w:r w:rsidR="002525C6">
        <w:t xml:space="preserve"> standard does not</w:t>
      </w:r>
      <w:r w:rsidR="00493896">
        <w:t>.</w:t>
      </w:r>
    </w:p>
    <w:p w:rsidR="002525C6" w:rsidRDefault="002525C6" w:rsidP="002525C6">
      <w:pPr>
        <w:pStyle w:val="Bulletpoint"/>
        <w:numPr>
          <w:ilvl w:val="1"/>
          <w:numId w:val="40"/>
        </w:numPr>
        <w:ind w:left="709" w:hanging="283"/>
      </w:pPr>
      <w:r>
        <w:t>ISO 20957-1:2013 explicitly covers pull-in points for rope and belt drives with safety and testing requirements</w:t>
      </w:r>
      <w:r w:rsidR="00493896">
        <w:t>.</w:t>
      </w:r>
    </w:p>
    <w:p w:rsidR="002525C6" w:rsidRDefault="002525C6" w:rsidP="002525C6">
      <w:pPr>
        <w:pStyle w:val="Bulletpoint"/>
        <w:numPr>
          <w:ilvl w:val="1"/>
          <w:numId w:val="40"/>
        </w:numPr>
        <w:ind w:left="709" w:hanging="283"/>
      </w:pPr>
      <w:r>
        <w:t>ISO 20957-1:2013 covers safety and testing requirements for moving parts during folding and unfolding. Folding exercise cycles have become common in the market since 1994</w:t>
      </w:r>
      <w:r w:rsidR="00493896">
        <w:t>.</w:t>
      </w:r>
    </w:p>
    <w:p w:rsidR="00AF4BDA" w:rsidRDefault="002525C6" w:rsidP="002525C6">
      <w:pPr>
        <w:pStyle w:val="Bulletpoint"/>
        <w:numPr>
          <w:ilvl w:val="1"/>
          <w:numId w:val="40"/>
        </w:numPr>
        <w:ind w:left="709" w:hanging="283"/>
      </w:pPr>
      <w:r>
        <w:t>ISO 20957-1:2013</w:t>
      </w:r>
      <w:r w:rsidR="0014447D">
        <w:t xml:space="preserve"> and ISO 20957-10:2007</w:t>
      </w:r>
      <w:r>
        <w:t xml:space="preserve"> prescribe safety features for locking mechanisms</w:t>
      </w:r>
      <w:r w:rsidR="0014447D">
        <w:t xml:space="preserve"> and an emergency braking system.</w:t>
      </w:r>
      <w:r>
        <w:t xml:space="preserve"> </w:t>
      </w:r>
      <w:r w:rsidR="0014447D">
        <w:t>T</w:t>
      </w:r>
      <w:r w:rsidR="0076298B">
        <w:t>he voluntary</w:t>
      </w:r>
      <w:r w:rsidR="004A1669">
        <w:t xml:space="preserve"> Australian</w:t>
      </w:r>
      <w:r>
        <w:t xml:space="preserve"> standard does not</w:t>
      </w:r>
      <w:r w:rsidR="00A374D7">
        <w:t xml:space="preserve"> provide for this but the</w:t>
      </w:r>
      <w:r>
        <w:t xml:space="preserve"> foreword encourages manufacturers to include </w:t>
      </w:r>
      <w:r w:rsidR="00324B45">
        <w:t xml:space="preserve">a </w:t>
      </w:r>
      <w:r>
        <w:t>locking mechanism.</w:t>
      </w:r>
    </w:p>
    <w:p w:rsidR="002525C6" w:rsidRDefault="00F21B97" w:rsidP="00B17FCD">
      <w:r>
        <w:t xml:space="preserve">Given that the international standards are more recent and </w:t>
      </w:r>
      <w:r w:rsidR="00185AE6">
        <w:t>provide a comparable level of</w:t>
      </w:r>
      <w:r w:rsidR="0011433E">
        <w:t xml:space="preserve"> safety, they are appropriate for application in Australia if there is</w:t>
      </w:r>
      <w:r w:rsidR="00185AE6">
        <w:t xml:space="preserve"> a need for </w:t>
      </w:r>
      <w:r w:rsidR="00D2108C">
        <w:t xml:space="preserve">continued </w:t>
      </w:r>
      <w:r w:rsidR="00553963">
        <w:t>regulation.</w:t>
      </w:r>
    </w:p>
    <w:p w:rsidR="008A7E47" w:rsidRDefault="008A7AAF" w:rsidP="00237563">
      <w:pPr>
        <w:pStyle w:val="Numbered1"/>
        <w:keepNext/>
        <w:numPr>
          <w:ilvl w:val="0"/>
          <w:numId w:val="29"/>
        </w:numPr>
        <w:ind w:left="680" w:hanging="680"/>
      </w:pPr>
      <w:bookmarkStart w:id="44" w:name="_Toc422996123"/>
      <w:bookmarkStart w:id="45" w:name="_Toc430872767"/>
      <w:bookmarkStart w:id="46" w:name="_Toc453749354"/>
      <w:bookmarkStart w:id="47" w:name="_Toc455580019"/>
      <w:bookmarkStart w:id="48" w:name="_Toc462397157"/>
      <w:bookmarkEnd w:id="35"/>
      <w:bookmarkEnd w:id="36"/>
      <w:bookmarkEnd w:id="37"/>
      <w:bookmarkEnd w:id="38"/>
      <w:bookmarkEnd w:id="39"/>
      <w:bookmarkEnd w:id="40"/>
      <w:bookmarkEnd w:id="41"/>
      <w:bookmarkEnd w:id="42"/>
      <w:bookmarkEnd w:id="43"/>
      <w:r>
        <w:br w:type="page"/>
      </w:r>
      <w:r w:rsidR="008A7E47">
        <w:lastRenderedPageBreak/>
        <w:t xml:space="preserve">Detailed </w:t>
      </w:r>
      <w:r w:rsidR="00F63587" w:rsidRPr="00382011">
        <w:t>d</w:t>
      </w:r>
      <w:r w:rsidR="008A7E47" w:rsidRPr="00382011">
        <w:t>escription</w:t>
      </w:r>
      <w:r w:rsidR="008A7E47">
        <w:t xml:space="preserve"> of </w:t>
      </w:r>
      <w:r w:rsidR="00F63587">
        <w:t>p</w:t>
      </w:r>
      <w:r w:rsidR="00935D49">
        <w:t>olicy options</w:t>
      </w:r>
      <w:bookmarkStart w:id="49" w:name="_Toc448397937"/>
      <w:bookmarkEnd w:id="44"/>
      <w:bookmarkEnd w:id="45"/>
      <w:bookmarkEnd w:id="46"/>
      <w:bookmarkEnd w:id="47"/>
      <w:bookmarkEnd w:id="48"/>
    </w:p>
    <w:p w:rsidR="008A7E47" w:rsidRPr="00297D3B" w:rsidRDefault="008A7E47" w:rsidP="00237563">
      <w:pPr>
        <w:pStyle w:val="Heading2"/>
        <w:keepNext/>
        <w:rPr>
          <w:b w:val="0"/>
        </w:rPr>
      </w:pPr>
      <w:bookmarkStart w:id="50" w:name="_Toc453749109"/>
      <w:bookmarkStart w:id="51" w:name="_Toc453749355"/>
      <w:bookmarkStart w:id="52" w:name="_Toc453759808"/>
      <w:bookmarkStart w:id="53" w:name="_Toc453763206"/>
      <w:bookmarkStart w:id="54" w:name="_Toc453763893"/>
      <w:bookmarkStart w:id="55" w:name="_Toc453765803"/>
      <w:bookmarkStart w:id="56" w:name="_Toc454544436"/>
      <w:bookmarkStart w:id="57" w:name="_Toc455580020"/>
      <w:bookmarkStart w:id="58" w:name="_Toc456277638"/>
      <w:bookmarkStart w:id="59" w:name="_Toc456279007"/>
      <w:bookmarkStart w:id="60" w:name="_Toc457311817"/>
      <w:bookmarkStart w:id="61" w:name="_Toc459628754"/>
      <w:bookmarkStart w:id="62" w:name="_Toc462397158"/>
      <w:r w:rsidRPr="00297D3B">
        <w:rPr>
          <w:b w:val="0"/>
        </w:rPr>
        <w:t xml:space="preserve">Option 1 - Keep the current </w:t>
      </w:r>
      <w:r w:rsidR="007D403A">
        <w:rPr>
          <w:b w:val="0"/>
        </w:rPr>
        <w:t xml:space="preserve">mandatory </w:t>
      </w:r>
      <w:r w:rsidR="00D250DF">
        <w:rPr>
          <w:b w:val="0"/>
        </w:rPr>
        <w:t xml:space="preserve">safety </w:t>
      </w:r>
      <w:r w:rsidRPr="00297D3B">
        <w:rPr>
          <w:b w:val="0"/>
        </w:rPr>
        <w:t>standard (status quo)</w:t>
      </w:r>
      <w:bookmarkEnd w:id="50"/>
      <w:bookmarkEnd w:id="51"/>
      <w:bookmarkEnd w:id="52"/>
      <w:bookmarkEnd w:id="53"/>
      <w:bookmarkEnd w:id="54"/>
      <w:bookmarkEnd w:id="55"/>
      <w:bookmarkEnd w:id="56"/>
      <w:bookmarkEnd w:id="57"/>
      <w:bookmarkEnd w:id="58"/>
      <w:bookmarkEnd w:id="59"/>
      <w:bookmarkEnd w:id="60"/>
      <w:bookmarkEnd w:id="61"/>
      <w:bookmarkEnd w:id="62"/>
    </w:p>
    <w:p w:rsidR="008A7E47" w:rsidRDefault="008A7E47" w:rsidP="00297D3B">
      <w:pPr>
        <w:pStyle w:val="Heading3"/>
      </w:pPr>
      <w:bookmarkStart w:id="63" w:name="_Toc453749110"/>
      <w:bookmarkStart w:id="64" w:name="_Toc453749356"/>
      <w:bookmarkStart w:id="65" w:name="_Toc453763894"/>
      <w:bookmarkStart w:id="66" w:name="_Toc453765804"/>
      <w:bookmarkStart w:id="67" w:name="_Toc454444014"/>
      <w:bookmarkStart w:id="68" w:name="_Toc454544437"/>
      <w:bookmarkStart w:id="69" w:name="_Toc455580021"/>
      <w:bookmarkStart w:id="70" w:name="_Toc456277639"/>
      <w:bookmarkStart w:id="71" w:name="_Toc456279008"/>
      <w:bookmarkStart w:id="72" w:name="_Toc457311818"/>
      <w:bookmarkStart w:id="73" w:name="_Toc459628755"/>
      <w:bookmarkStart w:id="74" w:name="_Toc460482270"/>
      <w:bookmarkStart w:id="75" w:name="_Toc462143482"/>
      <w:bookmarkStart w:id="76" w:name="_Toc462397159"/>
      <w:r w:rsidRPr="009C2938">
        <w:t>Description</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12E84" w:rsidRPr="00A12E84" w:rsidRDefault="00A12E84" w:rsidP="00A12E84">
      <w:pPr>
        <w:rPr>
          <w:i/>
        </w:rPr>
      </w:pPr>
      <w:r w:rsidRPr="00C06821">
        <w:t xml:space="preserve">Maintaining the status quo </w:t>
      </w:r>
      <w:r>
        <w:t xml:space="preserve">would </w:t>
      </w:r>
      <w:r w:rsidRPr="00C06821">
        <w:t xml:space="preserve">mean no changes to the </w:t>
      </w:r>
      <w:r w:rsidR="007D403A">
        <w:t xml:space="preserve">mandatory </w:t>
      </w:r>
      <w:r w:rsidRPr="00C06821">
        <w:t xml:space="preserve">safety </w:t>
      </w:r>
      <w:r>
        <w:t>standard</w:t>
      </w:r>
      <w:r w:rsidRPr="00C06821">
        <w:t xml:space="preserve"> for</w:t>
      </w:r>
      <w:r>
        <w:t xml:space="preserve"> exercise cycles. Exercise cycles</w:t>
      </w:r>
      <w:r w:rsidRPr="00A76D1F">
        <w:t xml:space="preserve"> w</w:t>
      </w:r>
      <w:r>
        <w:t>ould</w:t>
      </w:r>
      <w:r w:rsidR="003440C3">
        <w:t xml:space="preserve"> remain subject to the</w:t>
      </w:r>
      <w:r w:rsidRPr="00A76D1F">
        <w:t xml:space="preserve"> </w:t>
      </w:r>
      <w:r w:rsidRPr="009F3716">
        <w:t>long</w:t>
      </w:r>
      <w:r w:rsidR="00CA555B">
        <w:t>-</w:t>
      </w:r>
      <w:r w:rsidRPr="009F3716">
        <w:t>standing</w:t>
      </w:r>
      <w:r w:rsidRPr="00A76D1F">
        <w:t xml:space="preserve"> mandatory safety </w:t>
      </w:r>
      <w:r w:rsidR="006329B7">
        <w:t>requirements</w:t>
      </w:r>
      <w:r w:rsidR="006329B7" w:rsidRPr="00A76D1F">
        <w:t xml:space="preserve"> </w:t>
      </w:r>
      <w:r w:rsidR="003440C3">
        <w:t>that currently apply</w:t>
      </w:r>
      <w:r w:rsidRPr="00A76D1F">
        <w:t>.</w:t>
      </w:r>
    </w:p>
    <w:p w:rsidR="008A7E47" w:rsidRDefault="008A7E47" w:rsidP="00297D3B">
      <w:pPr>
        <w:pStyle w:val="Heading3"/>
      </w:pPr>
      <w:bookmarkStart w:id="77" w:name="_Toc453749111"/>
      <w:bookmarkStart w:id="78" w:name="_Toc453749357"/>
      <w:bookmarkStart w:id="79" w:name="_Toc453763895"/>
      <w:bookmarkStart w:id="80" w:name="_Toc453765805"/>
      <w:bookmarkStart w:id="81" w:name="_Toc454444015"/>
      <w:bookmarkStart w:id="82" w:name="_Toc454544438"/>
      <w:bookmarkStart w:id="83" w:name="_Toc455580022"/>
      <w:bookmarkStart w:id="84" w:name="_Toc456277640"/>
      <w:bookmarkStart w:id="85" w:name="_Toc456279009"/>
      <w:bookmarkStart w:id="86" w:name="_Toc457311819"/>
      <w:bookmarkStart w:id="87" w:name="_Toc459628756"/>
      <w:bookmarkStart w:id="88" w:name="_Toc460482271"/>
      <w:bookmarkStart w:id="89" w:name="_Toc462143483"/>
      <w:bookmarkStart w:id="90" w:name="_Toc462397160"/>
      <w:r w:rsidRPr="0095683B">
        <w:t>Benefits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D6AAF" w:rsidRDefault="009D4D94" w:rsidP="00A12E84">
      <w:r>
        <w:t>The penal</w:t>
      </w:r>
      <w:r w:rsidR="006D6AAF">
        <w:t xml:space="preserve">ties associated with breaching the </w:t>
      </w:r>
      <w:r w:rsidR="007D403A">
        <w:t xml:space="preserve">mandatory </w:t>
      </w:r>
      <w:r w:rsidR="006D6AAF">
        <w:t>safety standard</w:t>
      </w:r>
      <w:r>
        <w:t xml:space="preserve"> </w:t>
      </w:r>
      <w:r w:rsidR="00034231">
        <w:t>would</w:t>
      </w:r>
      <w:r w:rsidR="006D6AAF">
        <w:t xml:space="preserve"> continue to apply and provide an incentive to suppliers to supply exercise cycles in compliance with the requ</w:t>
      </w:r>
      <w:r w:rsidR="00FF33B8">
        <w:t>irements of the</w:t>
      </w:r>
      <w:r w:rsidR="006D6AAF">
        <w:t xml:space="preserve"> </w:t>
      </w:r>
      <w:r w:rsidR="007D403A">
        <w:t xml:space="preserve">mandatory safety </w:t>
      </w:r>
      <w:r w:rsidR="006D6AAF">
        <w:t>standard.</w:t>
      </w:r>
    </w:p>
    <w:p w:rsidR="00A12E84" w:rsidRDefault="00A12E84" w:rsidP="00A12E84">
      <w:r>
        <w:t xml:space="preserve">There </w:t>
      </w:r>
      <w:r w:rsidR="00034231">
        <w:t>would</w:t>
      </w:r>
      <w:r>
        <w:t xml:space="preserve"> be no additional</w:t>
      </w:r>
      <w:r w:rsidR="006D6AAF">
        <w:t xml:space="preserve"> compliance and regulatory costs.</w:t>
      </w:r>
    </w:p>
    <w:p w:rsidR="00921DE8" w:rsidRDefault="00921DE8" w:rsidP="00921DE8">
      <w:pPr>
        <w:pStyle w:val="Heading3"/>
      </w:pPr>
      <w:bookmarkStart w:id="91" w:name="_Toc457311820"/>
      <w:bookmarkStart w:id="92" w:name="_Toc459628757"/>
      <w:bookmarkStart w:id="93" w:name="_Toc460482272"/>
      <w:bookmarkStart w:id="94" w:name="_Toc462143484"/>
      <w:bookmarkStart w:id="95" w:name="_Toc462397161"/>
      <w:r>
        <w:t>Limitations</w:t>
      </w:r>
      <w:bookmarkEnd w:id="91"/>
      <w:bookmarkEnd w:id="92"/>
      <w:bookmarkEnd w:id="93"/>
      <w:bookmarkEnd w:id="94"/>
      <w:bookmarkEnd w:id="95"/>
    </w:p>
    <w:p w:rsidR="00A223D8" w:rsidRDefault="009B1FE4" w:rsidP="00A12E84">
      <w:r>
        <w:t xml:space="preserve">The </w:t>
      </w:r>
      <w:r w:rsidR="007D403A">
        <w:t xml:space="preserve">mandatory </w:t>
      </w:r>
      <w:r>
        <w:t xml:space="preserve">safety standard </w:t>
      </w:r>
      <w:r w:rsidR="006329B7">
        <w:t xml:space="preserve">predates contemporary </w:t>
      </w:r>
      <w:r w:rsidR="00A223D8">
        <w:t>industr</w:t>
      </w:r>
      <w:r w:rsidR="000D1598">
        <w:t>y practices</w:t>
      </w:r>
      <w:r w:rsidR="00292674">
        <w:t xml:space="preserve"> and technological advancements</w:t>
      </w:r>
      <w:r w:rsidR="00E83620">
        <w:t>, such as the use of belts</w:t>
      </w:r>
      <w:r w:rsidR="00352012">
        <w:t>,</w:t>
      </w:r>
      <w:r w:rsidR="00E83620">
        <w:t xml:space="preserve"> magnetic resistance technology</w:t>
      </w:r>
      <w:r w:rsidR="00352012">
        <w:t xml:space="preserve"> and recumbent designs</w:t>
      </w:r>
      <w:r w:rsidR="00E83620">
        <w:t>.</w:t>
      </w:r>
      <w:r>
        <w:t xml:space="preserve"> The </w:t>
      </w:r>
      <w:r w:rsidR="007D403A">
        <w:t xml:space="preserve">mandatory safety </w:t>
      </w:r>
      <w:r>
        <w:t>standard may therefore be redundant and impose unnecessary compliance and regulatory costs.</w:t>
      </w:r>
    </w:p>
    <w:p w:rsidR="00160480" w:rsidRPr="00297D3B" w:rsidRDefault="00160480" w:rsidP="00160480">
      <w:pPr>
        <w:pStyle w:val="Heading2"/>
        <w:rPr>
          <w:b w:val="0"/>
        </w:rPr>
      </w:pPr>
      <w:bookmarkStart w:id="96" w:name="_Toc459628758"/>
      <w:bookmarkStart w:id="97" w:name="_Toc462397162"/>
      <w:r w:rsidRPr="00297D3B">
        <w:rPr>
          <w:b w:val="0"/>
        </w:rPr>
        <w:t xml:space="preserve">Option 2 </w:t>
      </w:r>
      <w:r>
        <w:rPr>
          <w:b w:val="0"/>
        </w:rPr>
        <w:t>–</w:t>
      </w:r>
      <w:r w:rsidRPr="00297D3B">
        <w:rPr>
          <w:b w:val="0"/>
        </w:rPr>
        <w:t xml:space="preserve"> </w:t>
      </w:r>
      <w:r w:rsidR="002636D9">
        <w:rPr>
          <w:b w:val="0"/>
        </w:rPr>
        <w:t>Revise the</w:t>
      </w:r>
      <w:r w:rsidR="00E13E1B">
        <w:rPr>
          <w:b w:val="0"/>
        </w:rPr>
        <w:t xml:space="preserve"> </w:t>
      </w:r>
      <w:r w:rsidR="007D403A">
        <w:rPr>
          <w:b w:val="0"/>
        </w:rPr>
        <w:t xml:space="preserve">mandatory </w:t>
      </w:r>
      <w:r w:rsidR="00E13E1B">
        <w:rPr>
          <w:b w:val="0"/>
        </w:rPr>
        <w:t>safety standard to a</w:t>
      </w:r>
      <w:r w:rsidR="002636D9">
        <w:rPr>
          <w:b w:val="0"/>
        </w:rPr>
        <w:t>dopt</w:t>
      </w:r>
      <w:r>
        <w:rPr>
          <w:b w:val="0"/>
        </w:rPr>
        <w:t xml:space="preserve"> international standards</w:t>
      </w:r>
      <w:bookmarkEnd w:id="96"/>
      <w:bookmarkEnd w:id="97"/>
    </w:p>
    <w:p w:rsidR="0007277B" w:rsidRDefault="00160480" w:rsidP="0007277B">
      <w:pPr>
        <w:pStyle w:val="Heading3"/>
      </w:pPr>
      <w:bookmarkStart w:id="98" w:name="_Toc459628759"/>
      <w:bookmarkStart w:id="99" w:name="_Toc460482274"/>
      <w:bookmarkStart w:id="100" w:name="_Toc462143486"/>
      <w:bookmarkStart w:id="101" w:name="_Toc462397163"/>
      <w:r w:rsidRPr="00297D3B">
        <w:t>Description</w:t>
      </w:r>
      <w:bookmarkEnd w:id="98"/>
      <w:bookmarkEnd w:id="99"/>
      <w:bookmarkEnd w:id="100"/>
      <w:bookmarkEnd w:id="101"/>
    </w:p>
    <w:p w:rsidR="0007277B" w:rsidRDefault="00B910EF" w:rsidP="002525C6">
      <w:r>
        <w:t>This option would involve revising</w:t>
      </w:r>
      <w:r w:rsidR="001F331C">
        <w:t xml:space="preserve"> </w:t>
      </w:r>
      <w:r w:rsidR="002636D9">
        <w:t>the</w:t>
      </w:r>
      <w:r w:rsidR="0007277B" w:rsidRPr="0007277B">
        <w:t xml:space="preserve"> </w:t>
      </w:r>
      <w:r w:rsidR="007D403A">
        <w:t xml:space="preserve">mandatory </w:t>
      </w:r>
      <w:r w:rsidR="00B97A69">
        <w:t xml:space="preserve">safety standard </w:t>
      </w:r>
      <w:r w:rsidR="001F331C">
        <w:t xml:space="preserve">to adopt the </w:t>
      </w:r>
      <w:r w:rsidR="00F72C11">
        <w:t xml:space="preserve">relevant </w:t>
      </w:r>
      <w:r w:rsidR="001F331C">
        <w:t>sections</w:t>
      </w:r>
      <w:r w:rsidR="000B4A5D">
        <w:t xml:space="preserve"> of international standards</w:t>
      </w:r>
      <w:r w:rsidR="001F331C">
        <w:t xml:space="preserve"> EN 957-5:2009</w:t>
      </w:r>
      <w:r w:rsidR="000B4A5D">
        <w:t>,</w:t>
      </w:r>
      <w:r w:rsidR="001960E8">
        <w:t xml:space="preserve"> EN 957-10:2005, </w:t>
      </w:r>
      <w:r w:rsidR="000B4A5D">
        <w:t xml:space="preserve">ISO 20957-1:2013 and ASTM </w:t>
      </w:r>
      <w:r w:rsidR="000B4A5D" w:rsidRPr="001D6397">
        <w:t>F1250-13</w:t>
      </w:r>
      <w:r w:rsidR="002636D9">
        <w:t>.</w:t>
      </w:r>
      <w:r w:rsidR="00D83FFF">
        <w:t xml:space="preserve"> These are the most widely accepted safety standards for exercise cycles in the world.</w:t>
      </w:r>
      <w:r w:rsidR="000B4A5D">
        <w:t xml:space="preserve"> Suppliers would need to become fa</w:t>
      </w:r>
      <w:r w:rsidR="001E5D29">
        <w:t>miliar with the terms of the revised</w:t>
      </w:r>
      <w:r w:rsidR="000B4A5D">
        <w:t xml:space="preserve"> </w:t>
      </w:r>
      <w:r w:rsidR="007D403A">
        <w:t xml:space="preserve">mandatory </w:t>
      </w:r>
      <w:r w:rsidR="000B4A5D">
        <w:t xml:space="preserve">safety standard and </w:t>
      </w:r>
      <w:r w:rsidR="0028797F">
        <w:t xml:space="preserve">ensure products </w:t>
      </w:r>
      <w:r w:rsidR="007D403A">
        <w:t xml:space="preserve">are </w:t>
      </w:r>
      <w:r w:rsidR="000B4A5D">
        <w:t>compliant.</w:t>
      </w:r>
    </w:p>
    <w:p w:rsidR="00160480" w:rsidRDefault="00160480" w:rsidP="00160480">
      <w:pPr>
        <w:pStyle w:val="Heading3"/>
      </w:pPr>
      <w:bookmarkStart w:id="102" w:name="_Toc459628760"/>
      <w:bookmarkStart w:id="103" w:name="_Toc460482275"/>
      <w:bookmarkStart w:id="104" w:name="_Toc462143487"/>
      <w:bookmarkStart w:id="105" w:name="_Toc462397164"/>
      <w:r w:rsidRPr="00297D3B">
        <w:t>Benefits</w:t>
      </w:r>
      <w:bookmarkEnd w:id="102"/>
      <w:bookmarkEnd w:id="103"/>
      <w:bookmarkEnd w:id="104"/>
      <w:bookmarkEnd w:id="105"/>
    </w:p>
    <w:p w:rsidR="00254F84" w:rsidRDefault="00254F84" w:rsidP="002525C6">
      <w:r>
        <w:t xml:space="preserve">The penalties associated with breaching </w:t>
      </w:r>
      <w:r w:rsidR="000A418B">
        <w:t xml:space="preserve">the mandatory </w:t>
      </w:r>
      <w:r>
        <w:t xml:space="preserve">safety standard </w:t>
      </w:r>
      <w:r w:rsidR="00034231">
        <w:t>would</w:t>
      </w:r>
      <w:r>
        <w:t xml:space="preserve"> continue to apply </w:t>
      </w:r>
      <w:r w:rsidR="00034231">
        <w:t>as</w:t>
      </w:r>
      <w:r>
        <w:t xml:space="preserve"> an incentive to suppliers to supply </w:t>
      </w:r>
      <w:r w:rsidR="00034231">
        <w:t xml:space="preserve">compliant </w:t>
      </w:r>
      <w:r>
        <w:t>exercise cycles</w:t>
      </w:r>
      <w:r w:rsidR="000A418B">
        <w:t>.</w:t>
      </w:r>
    </w:p>
    <w:p w:rsidR="00254F84" w:rsidRDefault="0028797F" w:rsidP="002525C6">
      <w:r>
        <w:t xml:space="preserve">Suppliers are already familiar with </w:t>
      </w:r>
      <w:r w:rsidR="00B84C03">
        <w:t xml:space="preserve">these </w:t>
      </w:r>
      <w:r w:rsidR="00C5664B">
        <w:t>international standards</w:t>
      </w:r>
      <w:r w:rsidR="00254F84">
        <w:t xml:space="preserve"> and</w:t>
      </w:r>
      <w:r>
        <w:t xml:space="preserve"> </w:t>
      </w:r>
      <w:r w:rsidR="00C110C5">
        <w:t>exercise cycles</w:t>
      </w:r>
      <w:r w:rsidR="00254F84">
        <w:t xml:space="preserve"> </w:t>
      </w:r>
      <w:r w:rsidR="00034231">
        <w:t xml:space="preserve">surveyed by the ACCC </w:t>
      </w:r>
      <w:r w:rsidR="00254F84">
        <w:t>already</w:t>
      </w:r>
      <w:r>
        <w:t xml:space="preserve"> </w:t>
      </w:r>
      <w:r w:rsidR="00034231">
        <w:t xml:space="preserve">claim </w:t>
      </w:r>
      <w:r>
        <w:t>compl</w:t>
      </w:r>
      <w:r w:rsidR="00034231">
        <w:t>iance</w:t>
      </w:r>
      <w:r>
        <w:t xml:space="preserve"> with </w:t>
      </w:r>
      <w:r w:rsidR="00034231">
        <w:t>these</w:t>
      </w:r>
      <w:r w:rsidR="00C5664B">
        <w:t xml:space="preserve"> standards, particularly ASTM F1250</w:t>
      </w:r>
      <w:r w:rsidR="00F21B97">
        <w:t xml:space="preserve"> (although the products did not specif</w:t>
      </w:r>
      <w:r w:rsidR="00910E36">
        <w:t>y which version of the standard</w:t>
      </w:r>
      <w:r w:rsidR="00F21B97">
        <w:t>)</w:t>
      </w:r>
      <w:r w:rsidR="00C5664B">
        <w:t>.</w:t>
      </w:r>
    </w:p>
    <w:p w:rsidR="00112620" w:rsidRDefault="00C62B38" w:rsidP="002525C6">
      <w:r>
        <w:t xml:space="preserve">Suppliers </w:t>
      </w:r>
      <w:r w:rsidR="000C1E9E">
        <w:t>and consumers may</w:t>
      </w:r>
      <w:r w:rsidR="007525D9">
        <w:t xml:space="preserve"> also</w:t>
      </w:r>
      <w:r w:rsidR="000C1E9E">
        <w:t xml:space="preserve"> benefit from a </w:t>
      </w:r>
      <w:r w:rsidR="000A418B">
        <w:t xml:space="preserve">mandatory </w:t>
      </w:r>
      <w:r w:rsidR="000C1E9E">
        <w:t xml:space="preserve">safety standard that references </w:t>
      </w:r>
      <w:r w:rsidR="00C5664B">
        <w:t>new design</w:t>
      </w:r>
      <w:r w:rsidR="00713AEF">
        <w:t xml:space="preserve"> technology</w:t>
      </w:r>
      <w:r w:rsidR="000C1E9E">
        <w:t>.</w:t>
      </w:r>
    </w:p>
    <w:p w:rsidR="00160480" w:rsidRDefault="00160480" w:rsidP="00A12E84">
      <w:pPr>
        <w:rPr>
          <w:rFonts w:eastAsia="Times New Roman"/>
          <w:b/>
          <w:bCs/>
          <w:color w:val="000000"/>
          <w:sz w:val="24"/>
        </w:rPr>
      </w:pPr>
      <w:r w:rsidRPr="00921DE8">
        <w:rPr>
          <w:rFonts w:eastAsia="Times New Roman"/>
          <w:b/>
          <w:bCs/>
          <w:color w:val="000000"/>
          <w:sz w:val="24"/>
        </w:rPr>
        <w:t>Limitations</w:t>
      </w:r>
    </w:p>
    <w:p w:rsidR="006F68A4" w:rsidRDefault="006F68A4" w:rsidP="00A12E84">
      <w:r>
        <w:t>Contemporary industry practices and technological advancements, such as the use of belts, magnetic resistance technology and recumbent designs suggest a</w:t>
      </w:r>
      <w:r w:rsidR="00721239">
        <w:t xml:space="preserve"> </w:t>
      </w:r>
      <w:r w:rsidR="000A418B">
        <w:t xml:space="preserve">mandatory </w:t>
      </w:r>
      <w:r w:rsidR="00721239">
        <w:t>safety</w:t>
      </w:r>
      <w:r>
        <w:t xml:space="preserve"> standard may no longer be required and </w:t>
      </w:r>
      <w:r w:rsidR="00034231">
        <w:t xml:space="preserve">could </w:t>
      </w:r>
      <w:r>
        <w:t>therefore impose unnecessary compliance and regulatory costs.</w:t>
      </w:r>
    </w:p>
    <w:p w:rsidR="008A7E47" w:rsidRPr="00297D3B" w:rsidRDefault="008A7E47" w:rsidP="00AF4BDA">
      <w:pPr>
        <w:pStyle w:val="Heading2"/>
        <w:keepNext/>
        <w:rPr>
          <w:b w:val="0"/>
        </w:rPr>
      </w:pPr>
      <w:bookmarkStart w:id="106" w:name="_Toc453749113"/>
      <w:bookmarkStart w:id="107" w:name="_Toc453749359"/>
      <w:bookmarkStart w:id="108" w:name="_Toc453759809"/>
      <w:bookmarkStart w:id="109" w:name="_Toc453763207"/>
      <w:bookmarkStart w:id="110" w:name="_Toc453763897"/>
      <w:bookmarkStart w:id="111" w:name="_Toc453765807"/>
      <w:bookmarkStart w:id="112" w:name="_Toc454544440"/>
      <w:bookmarkStart w:id="113" w:name="_Toc455580024"/>
      <w:bookmarkStart w:id="114" w:name="_Toc456277642"/>
      <w:bookmarkStart w:id="115" w:name="_Toc456279011"/>
      <w:bookmarkStart w:id="116" w:name="_Toc457311821"/>
      <w:bookmarkStart w:id="117" w:name="_Toc459628761"/>
      <w:bookmarkStart w:id="118" w:name="_Toc462397165"/>
      <w:r w:rsidRPr="00297D3B">
        <w:rPr>
          <w:b w:val="0"/>
        </w:rPr>
        <w:lastRenderedPageBreak/>
        <w:t xml:space="preserve">Option </w:t>
      </w:r>
      <w:r w:rsidR="00160480">
        <w:rPr>
          <w:b w:val="0"/>
        </w:rPr>
        <w:t>3</w:t>
      </w:r>
      <w:r w:rsidRPr="00297D3B">
        <w:rPr>
          <w:b w:val="0"/>
        </w:rPr>
        <w:t xml:space="preserve"> - Revoke the </w:t>
      </w:r>
      <w:r w:rsidR="000A418B">
        <w:rPr>
          <w:b w:val="0"/>
        </w:rPr>
        <w:t xml:space="preserve">mandatory </w:t>
      </w:r>
      <w:r w:rsidRPr="00297D3B">
        <w:rPr>
          <w:b w:val="0"/>
        </w:rPr>
        <w:t>safety standard</w:t>
      </w:r>
      <w:bookmarkEnd w:id="49"/>
      <w:bookmarkEnd w:id="106"/>
      <w:bookmarkEnd w:id="107"/>
      <w:bookmarkEnd w:id="108"/>
      <w:bookmarkEnd w:id="109"/>
      <w:bookmarkEnd w:id="110"/>
      <w:bookmarkEnd w:id="111"/>
      <w:bookmarkEnd w:id="112"/>
      <w:bookmarkEnd w:id="113"/>
      <w:bookmarkEnd w:id="114"/>
      <w:bookmarkEnd w:id="115"/>
      <w:bookmarkEnd w:id="116"/>
      <w:bookmarkEnd w:id="117"/>
      <w:bookmarkEnd w:id="118"/>
    </w:p>
    <w:p w:rsidR="008A7E47" w:rsidRDefault="008A7E47" w:rsidP="00A579D3">
      <w:pPr>
        <w:pStyle w:val="Heading3"/>
        <w:keepNext/>
      </w:pPr>
      <w:bookmarkStart w:id="119" w:name="_Toc453749114"/>
      <w:bookmarkStart w:id="120" w:name="_Toc453749360"/>
      <w:bookmarkStart w:id="121" w:name="_Toc453763898"/>
      <w:bookmarkStart w:id="122" w:name="_Toc453765808"/>
      <w:bookmarkStart w:id="123" w:name="_Toc454444018"/>
      <w:bookmarkStart w:id="124" w:name="_Toc454544441"/>
      <w:bookmarkStart w:id="125" w:name="_Toc455580025"/>
      <w:bookmarkStart w:id="126" w:name="_Toc456277643"/>
      <w:bookmarkStart w:id="127" w:name="_Toc456279012"/>
      <w:bookmarkStart w:id="128" w:name="_Toc457311822"/>
      <w:bookmarkStart w:id="129" w:name="_Toc459628762"/>
      <w:bookmarkStart w:id="130" w:name="_Toc460482277"/>
      <w:bookmarkStart w:id="131" w:name="_Toc462143489"/>
      <w:bookmarkStart w:id="132" w:name="_Toc462397166"/>
      <w:r w:rsidRPr="00297D3B">
        <w:t>Description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16170" w:rsidRDefault="009D54DD" w:rsidP="00416170">
      <w:r>
        <w:t>If</w:t>
      </w:r>
      <w:r w:rsidR="00416170">
        <w:t xml:space="preserve"> the </w:t>
      </w:r>
      <w:r w:rsidR="000A418B">
        <w:t xml:space="preserve">mandatory </w:t>
      </w:r>
      <w:r w:rsidR="00416170">
        <w:t>safety standard</w:t>
      </w:r>
      <w:r>
        <w:t xml:space="preserve"> is revoked,</w:t>
      </w:r>
      <w:r w:rsidR="00416170">
        <w:t xml:space="preserve"> the general provisions of the </w:t>
      </w:r>
      <w:r w:rsidR="0012271D">
        <w:t>Australian Consumer Law (</w:t>
      </w:r>
      <w:r w:rsidR="00416170" w:rsidRPr="002179F6">
        <w:t>ACL</w:t>
      </w:r>
      <w:r w:rsidR="0012271D">
        <w:t>)</w:t>
      </w:r>
      <w:r>
        <w:t xml:space="preserve"> continue to apply</w:t>
      </w:r>
      <w:r w:rsidR="00416170">
        <w:t>. These provisions apply to all consumer goods</w:t>
      </w:r>
      <w:r w:rsidR="00907EA4">
        <w:t>,</w:t>
      </w:r>
      <w:r w:rsidR="00416170">
        <w:t xml:space="preserve"> including the majority of consumer goods for which there is no </w:t>
      </w:r>
      <w:r w:rsidR="000A418B">
        <w:t xml:space="preserve">mandatory </w:t>
      </w:r>
      <w:r w:rsidR="00416170">
        <w:t>safety standard.</w:t>
      </w:r>
    </w:p>
    <w:p w:rsidR="00D81727" w:rsidRDefault="00416170" w:rsidP="00416170">
      <w:r w:rsidRPr="00BE1086">
        <w:t>The ACL provides consumer guarantees, one of which requires goods to be of acceptable quality including that they are safe</w:t>
      </w:r>
      <w:r w:rsidR="00D81727">
        <w:t xml:space="preserve">. The remedy for the supply of an unsafe product under the consumer guarantees regime is a refund, repair or replacement of the product. </w:t>
      </w:r>
      <w:r w:rsidR="00685F80">
        <w:t>C</w:t>
      </w:r>
      <w:r w:rsidRPr="00BE1086">
        <w:t>onsumer protections also exist to safeguard against suppliers engaging in conduct that is likely to be misleading or deceptive.</w:t>
      </w:r>
    </w:p>
    <w:p w:rsidR="00416170" w:rsidRPr="00BE1086" w:rsidRDefault="00416170" w:rsidP="00416170">
      <w:r w:rsidRPr="00BE1086">
        <w:t xml:space="preserve">Additionally, there are general product safety provisions for </w:t>
      </w:r>
      <w:r>
        <w:t xml:space="preserve">mandatory </w:t>
      </w:r>
      <w:r w:rsidRPr="00BE1086">
        <w:t>injury reporting</w:t>
      </w:r>
      <w:r w:rsidR="00D81727">
        <w:t>, recalls and product liability, and the ACCC would still be able to take safety action against suppliers of unsafe exercise cycles, for example, through compulsory recalls.</w:t>
      </w:r>
    </w:p>
    <w:p w:rsidR="00A12E84" w:rsidRPr="00A12E84" w:rsidRDefault="00416170" w:rsidP="00A12E84">
      <w:r w:rsidRPr="00BE1086">
        <w:t>These provisions give suppliers an incentive to ensure that the goods they supply are safe.</w:t>
      </w:r>
    </w:p>
    <w:p w:rsidR="008A7E47" w:rsidRDefault="008A7E47" w:rsidP="00297D3B">
      <w:pPr>
        <w:pStyle w:val="Heading3"/>
      </w:pPr>
      <w:bookmarkStart w:id="133" w:name="_Toc453749115"/>
      <w:bookmarkStart w:id="134" w:name="_Toc453749361"/>
      <w:bookmarkStart w:id="135" w:name="_Toc453763899"/>
      <w:bookmarkStart w:id="136" w:name="_Toc453765809"/>
      <w:bookmarkStart w:id="137" w:name="_Toc454444019"/>
      <w:bookmarkStart w:id="138" w:name="_Toc454544442"/>
      <w:bookmarkStart w:id="139" w:name="_Toc455580026"/>
      <w:bookmarkStart w:id="140" w:name="_Toc456277644"/>
      <w:bookmarkStart w:id="141" w:name="_Toc456279013"/>
      <w:bookmarkStart w:id="142" w:name="_Toc457311823"/>
      <w:bookmarkStart w:id="143" w:name="_Toc459628763"/>
      <w:bookmarkStart w:id="144" w:name="_Toc460482278"/>
      <w:bookmarkStart w:id="145" w:name="_Toc462143490"/>
      <w:bookmarkStart w:id="146" w:name="_Toc462397167"/>
      <w:r w:rsidRPr="00297D3B">
        <w:t>Benefits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D4D94" w:rsidRDefault="009D4D94" w:rsidP="00416170">
      <w:r>
        <w:t xml:space="preserve">Compliance costs for suppliers would be reduced, particularly costs associated with maintaining awareness of the </w:t>
      </w:r>
      <w:r w:rsidR="000A418B">
        <w:t xml:space="preserve">mandatory </w:t>
      </w:r>
      <w:r>
        <w:t>safety standard and the costs associated with unnecessary testing against safety requirements that are already part of the inherent desig</w:t>
      </w:r>
      <w:r w:rsidR="00EC0840">
        <w:t>n of the product. Revocation would</w:t>
      </w:r>
      <w:r>
        <w:t xml:space="preserve"> remove the regulatory burden of complying with a 23 year-old voluntary </w:t>
      </w:r>
      <w:r w:rsidR="000A418B">
        <w:t xml:space="preserve">Australian </w:t>
      </w:r>
      <w:r>
        <w:t>standard that was drafted to regulate product design that has now been superseded.</w:t>
      </w:r>
    </w:p>
    <w:p w:rsidR="00416170" w:rsidRDefault="00416170" w:rsidP="00416170">
      <w:r>
        <w:t>Governments would no longer incur costs associated with maintaining the mandatory safety standard for exercise cycles.</w:t>
      </w:r>
    </w:p>
    <w:p w:rsidR="00921DE8" w:rsidRDefault="00921DE8" w:rsidP="00921DE8">
      <w:pPr>
        <w:rPr>
          <w:rFonts w:eastAsia="Times New Roman"/>
          <w:b/>
          <w:bCs/>
          <w:color w:val="000000"/>
          <w:sz w:val="24"/>
        </w:rPr>
      </w:pPr>
      <w:r w:rsidRPr="00921DE8">
        <w:rPr>
          <w:rFonts w:eastAsia="Times New Roman"/>
          <w:b/>
          <w:bCs/>
          <w:color w:val="000000"/>
          <w:sz w:val="24"/>
        </w:rPr>
        <w:t>Limitations</w:t>
      </w:r>
    </w:p>
    <w:p w:rsidR="00416170" w:rsidRDefault="00154282" w:rsidP="00416170">
      <w:r>
        <w:t>Although</w:t>
      </w:r>
      <w:r w:rsidR="00A772F9">
        <w:t xml:space="preserve"> unlik</w:t>
      </w:r>
      <w:r w:rsidR="00464D62">
        <w:t>ely given the outdated safety</w:t>
      </w:r>
      <w:r w:rsidR="00A772F9">
        <w:t xml:space="preserve"> standard for exercise cycles, r</w:t>
      </w:r>
      <w:r w:rsidR="00464D62">
        <w:t>evoking the</w:t>
      </w:r>
      <w:r w:rsidR="00416170" w:rsidRPr="00B6376E">
        <w:t xml:space="preserve"> standard </w:t>
      </w:r>
      <w:r>
        <w:t>could potentially</w:t>
      </w:r>
      <w:r w:rsidRPr="00B6376E">
        <w:t xml:space="preserve"> </w:t>
      </w:r>
      <w:r w:rsidR="00416170" w:rsidRPr="00B6376E">
        <w:t>reduce consumer and r</w:t>
      </w:r>
      <w:r w:rsidR="00416170">
        <w:t>etailer confidence in the safety of exercise cycles</w:t>
      </w:r>
      <w:r w:rsidR="00416170" w:rsidRPr="00B6376E">
        <w:t>.</w:t>
      </w:r>
    </w:p>
    <w:p w:rsidR="0041713D" w:rsidRDefault="0041713D" w:rsidP="00C77BEA">
      <w:pPr>
        <w:pStyle w:val="Numbered1"/>
        <w:numPr>
          <w:ilvl w:val="0"/>
          <w:numId w:val="29"/>
        </w:numPr>
        <w:ind w:left="680" w:hanging="680"/>
      </w:pPr>
      <w:bookmarkStart w:id="147" w:name="_Toc462397168"/>
      <w:r>
        <w:t>Preliminary position</w:t>
      </w:r>
      <w:bookmarkEnd w:id="147"/>
    </w:p>
    <w:p w:rsidR="00CD4F4E" w:rsidRDefault="0041713D" w:rsidP="002F1896">
      <w:r>
        <w:t xml:space="preserve">The ACCC is currently of the view that Option </w:t>
      </w:r>
      <w:r w:rsidR="00E537A7">
        <w:t xml:space="preserve">3 </w:t>
      </w:r>
      <w:r>
        <w:t>provides the greatest</w:t>
      </w:r>
      <w:r w:rsidR="000A418B">
        <w:t xml:space="preserve"> net</w:t>
      </w:r>
      <w:r>
        <w:t xml:space="preserve"> benefit for consumers, suppliers and </w:t>
      </w:r>
      <w:r w:rsidR="00A772F9">
        <w:t>government</w:t>
      </w:r>
      <w:r>
        <w:t xml:space="preserve">. Stakeholder submissions to this consultation will </w:t>
      </w:r>
      <w:r w:rsidR="00446F5D">
        <w:t>help us</w:t>
      </w:r>
      <w:r>
        <w:t xml:space="preserve"> test this position.</w:t>
      </w:r>
    </w:p>
    <w:p w:rsidR="00352BF7" w:rsidRDefault="002F1896" w:rsidP="00DC65CF">
      <w:r w:rsidRPr="00F2271E">
        <w:t>The Office of Best Practice Regulation (OBPR) has advised that</w:t>
      </w:r>
      <w:r w:rsidR="000A418B">
        <w:t xml:space="preserve"> a Regulation Impact Statement (RIS) is not required</w:t>
      </w:r>
      <w:r w:rsidRPr="00F2271E">
        <w:t xml:space="preserve"> </w:t>
      </w:r>
      <w:r w:rsidR="00D00DDC">
        <w:t xml:space="preserve">as the </w:t>
      </w:r>
      <w:r w:rsidR="000A418B">
        <w:t xml:space="preserve">current </w:t>
      </w:r>
      <w:r w:rsidR="00D00DDC">
        <w:t>proposal will</w:t>
      </w:r>
      <w:r w:rsidRPr="00F2271E">
        <w:t xml:space="preserve"> have a minor regulatory impact on business, community organisations </w:t>
      </w:r>
      <w:r w:rsidR="000A418B">
        <w:t>and</w:t>
      </w:r>
      <w:r w:rsidR="000A418B" w:rsidRPr="00F2271E">
        <w:t xml:space="preserve"> </w:t>
      </w:r>
      <w:r w:rsidRPr="00F2271E">
        <w:t>individuals</w:t>
      </w:r>
      <w:r w:rsidR="000A418B">
        <w:t>.</w:t>
      </w:r>
    </w:p>
    <w:p w:rsidR="00352BF7" w:rsidRDefault="00685F80" w:rsidP="00352BF7">
      <w:pPr>
        <w:pStyle w:val="Numbered1"/>
        <w:numPr>
          <w:ilvl w:val="0"/>
          <w:numId w:val="29"/>
        </w:numPr>
        <w:ind w:left="680" w:hanging="680"/>
      </w:pPr>
      <w:bookmarkStart w:id="148" w:name="_Toc453749371"/>
      <w:bookmarkStart w:id="149" w:name="_Toc462397169"/>
      <w:r>
        <w:br w:type="page"/>
      </w:r>
      <w:r w:rsidR="00352BF7">
        <w:lastRenderedPageBreak/>
        <w:t>C</w:t>
      </w:r>
      <w:r w:rsidR="00352BF7" w:rsidRPr="002B2F74">
        <w:t>onsultation</w:t>
      </w:r>
      <w:r w:rsidR="00352BF7">
        <w:t xml:space="preserve"> questions</w:t>
      </w:r>
      <w:bookmarkEnd w:id="148"/>
      <w:bookmarkEnd w:id="149"/>
    </w:p>
    <w:p w:rsidR="00352BF7" w:rsidRDefault="00BC4CFE" w:rsidP="00352BF7">
      <w:pPr>
        <w:pStyle w:val="ListParagraph"/>
        <w:numPr>
          <w:ilvl w:val="0"/>
          <w:numId w:val="0"/>
        </w:numPr>
        <w:spacing w:after="240"/>
      </w:pPr>
      <w:r>
        <w:rPr>
          <w:noProof/>
        </w:rPr>
        <w:pict>
          <v:shape id="Text Box 2" o:spid="_x0000_s1043" type="#_x0000_t202" style="position:absolute;margin-left:1.55pt;margin-top:5.95pt;width:486pt;height:172.15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9XKAIAAE4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">
            <v:textbox style="mso-next-textbox:#Text Box 2">
              <w:txbxContent>
                <w:p w:rsidR="00352BF7" w:rsidRDefault="00352BF7" w:rsidP="00352BF7">
                  <w:r w:rsidRPr="00B110FC">
                    <w:t>Please consider the following questions when making a submission:</w:t>
                  </w:r>
                </w:p>
                <w:p w:rsidR="00352BF7" w:rsidRDefault="00352BF7" w:rsidP="00352BF7">
                  <w:pPr>
                    <w:pStyle w:val="ListParagraph"/>
                    <w:numPr>
                      <w:ilvl w:val="0"/>
                      <w:numId w:val="41"/>
                    </w:numPr>
                  </w:pPr>
                  <w:r>
                    <w:t>Do you agree with the ACCC’s assessment of the hazard and injury data?</w:t>
                  </w:r>
                </w:p>
                <w:p w:rsidR="00352BF7" w:rsidRDefault="00352BF7" w:rsidP="00352BF7">
                  <w:pPr>
                    <w:pStyle w:val="ListParagraph"/>
                    <w:numPr>
                      <w:ilvl w:val="0"/>
                      <w:numId w:val="41"/>
                    </w:numPr>
                  </w:pPr>
                  <w:r>
                    <w:t>Do you support the ACCC’s preliminary position?</w:t>
                  </w:r>
                </w:p>
                <w:p w:rsidR="00352BF7" w:rsidRDefault="00352BF7" w:rsidP="00352BF7">
                  <w:pPr>
                    <w:pStyle w:val="ListParagraph"/>
                    <w:numPr>
                      <w:ilvl w:val="0"/>
                      <w:numId w:val="42"/>
                    </w:numPr>
                  </w:pPr>
                  <w:proofErr w:type="gramStart"/>
                  <w:r>
                    <w:t>if</w:t>
                  </w:r>
                  <w:proofErr w:type="gramEnd"/>
                  <w:r>
                    <w:t xml:space="preserve"> so, why?</w:t>
                  </w:r>
                </w:p>
                <w:p w:rsidR="00352BF7" w:rsidRDefault="00352BF7" w:rsidP="00352BF7">
                  <w:pPr>
                    <w:pStyle w:val="ListParagraph"/>
                    <w:numPr>
                      <w:ilvl w:val="0"/>
                      <w:numId w:val="42"/>
                    </w:numPr>
                  </w:pPr>
                  <w:proofErr w:type="gramStart"/>
                  <w:r>
                    <w:t>if</w:t>
                  </w:r>
                  <w:proofErr w:type="gramEnd"/>
                  <w:r>
                    <w:t xml:space="preserve"> not, do you su</w:t>
                  </w:r>
                  <w:r w:rsidR="00057A18">
                    <w:t>pport the other options</w:t>
                  </w:r>
                  <w:r>
                    <w:t>? Why?</w:t>
                  </w:r>
                </w:p>
                <w:p w:rsidR="00352BF7" w:rsidRDefault="00352BF7" w:rsidP="00352BF7">
                  <w:pPr>
                    <w:pStyle w:val="ListParagraph"/>
                    <w:numPr>
                      <w:ilvl w:val="0"/>
                      <w:numId w:val="41"/>
                    </w:numPr>
                  </w:pPr>
                  <w:r>
                    <w:t>Do you have information or views about international standards for exercise cycles?</w:t>
                  </w:r>
                </w:p>
                <w:p w:rsidR="00352BF7" w:rsidRDefault="00352BF7" w:rsidP="00352BF7">
                  <w:pPr>
                    <w:pStyle w:val="ListParagraph"/>
                    <w:numPr>
                      <w:ilvl w:val="0"/>
                      <w:numId w:val="41"/>
                    </w:numPr>
                  </w:pPr>
                  <w:r>
                    <w:t>Are there any other policy options that the ACCC should consider?</w:t>
                  </w:r>
                </w:p>
                <w:p w:rsidR="00352BF7" w:rsidRDefault="00352BF7" w:rsidP="00352BF7">
                  <w:pPr>
                    <w:pStyle w:val="ListParagraph"/>
                    <w:numPr>
                      <w:ilvl w:val="0"/>
                      <w:numId w:val="41"/>
                    </w:numPr>
                  </w:pPr>
                  <w:r>
                    <w:t>Do you have any other comments?</w:t>
                  </w:r>
                </w:p>
              </w:txbxContent>
            </v:textbox>
          </v:shape>
        </w:pict>
      </w:r>
    </w:p>
    <w:p w:rsidR="00352BF7" w:rsidRDefault="00352BF7" w:rsidP="00352BF7">
      <w:pPr>
        <w:pStyle w:val="ListParagraph"/>
        <w:numPr>
          <w:ilvl w:val="0"/>
          <w:numId w:val="0"/>
        </w:numPr>
        <w:spacing w:after="240"/>
      </w:pPr>
    </w:p>
    <w:p w:rsidR="00352BF7" w:rsidRDefault="00352BF7" w:rsidP="00352BF7">
      <w:pPr>
        <w:pStyle w:val="ListParagraph"/>
        <w:numPr>
          <w:ilvl w:val="0"/>
          <w:numId w:val="0"/>
        </w:numPr>
        <w:spacing w:after="240"/>
      </w:pPr>
    </w:p>
    <w:p w:rsidR="00352BF7" w:rsidRDefault="00352BF7" w:rsidP="00352BF7">
      <w:pPr>
        <w:pStyle w:val="ListParagraph"/>
        <w:numPr>
          <w:ilvl w:val="0"/>
          <w:numId w:val="0"/>
        </w:numPr>
        <w:spacing w:after="240"/>
      </w:pPr>
    </w:p>
    <w:p w:rsidR="00352BF7" w:rsidRDefault="00352BF7" w:rsidP="00DC65CF"/>
    <w:p w:rsidR="00352BF7" w:rsidRDefault="00352BF7" w:rsidP="00DC65CF"/>
    <w:p w:rsidR="00352BF7" w:rsidRDefault="00352BF7" w:rsidP="00DC65CF"/>
    <w:p w:rsidR="00352BF7" w:rsidRDefault="00352BF7" w:rsidP="00DC65CF"/>
    <w:p w:rsidR="00186762" w:rsidRPr="005A60B4" w:rsidRDefault="00186762" w:rsidP="00186762">
      <w:pPr>
        <w:pStyle w:val="Numbered1"/>
        <w:numPr>
          <w:ilvl w:val="0"/>
          <w:numId w:val="29"/>
        </w:numPr>
        <w:ind w:left="680" w:hanging="680"/>
      </w:pPr>
      <w:bookmarkStart w:id="150" w:name="_Toc453749078"/>
      <w:bookmarkStart w:id="151" w:name="_Toc453749324"/>
      <w:bookmarkStart w:id="152" w:name="_Toc462397170"/>
      <w:r w:rsidRPr="005A60B4">
        <w:t xml:space="preserve">Have </w:t>
      </w:r>
      <w:r w:rsidRPr="00382011">
        <w:t>your</w:t>
      </w:r>
      <w:r w:rsidRPr="005A60B4">
        <w:t xml:space="preserve"> say</w:t>
      </w:r>
      <w:bookmarkEnd w:id="150"/>
      <w:bookmarkEnd w:id="151"/>
      <w:bookmarkEnd w:id="152"/>
    </w:p>
    <w:p w:rsidR="00186762" w:rsidRDefault="00186762" w:rsidP="00186762">
      <w:r w:rsidRPr="002B2F74">
        <w:t>The ACCC invites</w:t>
      </w:r>
      <w:r>
        <w:t xml:space="preserve"> stakeholders and</w:t>
      </w:r>
      <w:r w:rsidRPr="002B2F74">
        <w:t xml:space="preserve"> interested parties to</w:t>
      </w:r>
      <w:r>
        <w:t xml:space="preserve"> comment on these policy options.</w:t>
      </w:r>
    </w:p>
    <w:p w:rsidR="00186762" w:rsidRDefault="00186762" w:rsidP="00186762">
      <w:r>
        <w:t>Consultation is open fro</w:t>
      </w:r>
      <w:r w:rsidRPr="007F68F7">
        <w:t xml:space="preserve">m </w:t>
      </w:r>
      <w:r w:rsidR="00412DEC" w:rsidRPr="00412DEC">
        <w:t>28</w:t>
      </w:r>
      <w:r w:rsidR="000763FB" w:rsidRPr="00412DEC">
        <w:rPr>
          <w:vertAlign w:val="superscript"/>
        </w:rPr>
        <w:t>th</w:t>
      </w:r>
      <w:r w:rsidR="000763FB" w:rsidRPr="00412DEC">
        <w:t xml:space="preserve"> September</w:t>
      </w:r>
      <w:r w:rsidRPr="00412DEC">
        <w:t xml:space="preserve"> to</w:t>
      </w:r>
      <w:r w:rsidR="00412DEC" w:rsidRPr="00412DEC">
        <w:t xml:space="preserve"> 18</w:t>
      </w:r>
      <w:r w:rsidR="00412DEC" w:rsidRPr="00412DEC">
        <w:rPr>
          <w:vertAlign w:val="superscript"/>
        </w:rPr>
        <w:t>th</w:t>
      </w:r>
      <w:r w:rsidR="00412DEC" w:rsidRPr="00412DEC">
        <w:t xml:space="preserve"> </w:t>
      </w:r>
      <w:r w:rsidR="000763FB" w:rsidRPr="00412DEC">
        <w:t>November</w:t>
      </w:r>
      <w:r w:rsidRPr="00412DEC">
        <w:t xml:space="preserve"> 2016.</w:t>
      </w:r>
    </w:p>
    <w:p w:rsidR="00186762" w:rsidRDefault="00186762" w:rsidP="00186762">
      <w:r>
        <w:t xml:space="preserve">The ACCC prefers submissions via the </w:t>
      </w:r>
      <w:r w:rsidRPr="0039574F">
        <w:t>ACCC consultation hub</w:t>
      </w:r>
      <w:r>
        <w:t xml:space="preserve"> at </w:t>
      </w:r>
      <w:hyperlink r:id="rId14" w:history="1">
        <w:r w:rsidRPr="00020736">
          <w:rPr>
            <w:rStyle w:val="Hyperlink"/>
          </w:rPr>
          <w:t>consultation.accc.gov.au/</w:t>
        </w:r>
      </w:hyperlink>
      <w:r w:rsidR="00553963">
        <w:t>.</w:t>
      </w:r>
    </w:p>
    <w:p w:rsidR="00186762" w:rsidRDefault="00186762" w:rsidP="00186762">
      <w:r>
        <w:t xml:space="preserve">The ACCC will </w:t>
      </w:r>
      <w:r w:rsidRPr="007A03C1">
        <w:t xml:space="preserve">alert stakeholders and interested parties to the consultation through the Product Safety Australia website </w:t>
      </w:r>
      <w:hyperlink r:id="rId15" w:history="1">
        <w:r w:rsidRPr="007A03C1">
          <w:rPr>
            <w:rStyle w:val="Hyperlink"/>
          </w:rPr>
          <w:t>www.productsafety.gov.au/</w:t>
        </w:r>
      </w:hyperlink>
      <w:r w:rsidRPr="007A03C1">
        <w:t xml:space="preserve"> and </w:t>
      </w:r>
      <w:hyperlink r:id="rId16" w:history="1">
        <w:r w:rsidRPr="007A03C1">
          <w:rPr>
            <w:rStyle w:val="Hyperlink"/>
          </w:rPr>
          <w:t>www.business.gov.au/</w:t>
        </w:r>
      </w:hyperlink>
      <w:r w:rsidRPr="007A03C1">
        <w:t>.</w:t>
      </w:r>
    </w:p>
    <w:p w:rsidR="00186762" w:rsidRDefault="00186762" w:rsidP="00186762">
      <w:r>
        <w:t xml:space="preserve">Alternatively, email submissions to </w:t>
      </w:r>
      <w:hyperlink r:id="rId17" w:history="1">
        <w:r w:rsidRPr="007556AB">
          <w:rPr>
            <w:rStyle w:val="Hyperlink"/>
          </w:rPr>
          <w:t>productsafety.regulation@accc.gov.au</w:t>
        </w:r>
      </w:hyperlink>
      <w:r>
        <w:t xml:space="preserve"> or via post:</w:t>
      </w:r>
    </w:p>
    <w:p w:rsidR="00186762" w:rsidRDefault="00186762" w:rsidP="00186762">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186762" w:rsidRDefault="00186762" w:rsidP="00186762">
      <w:r>
        <w:t xml:space="preserve">Submissions will be published on the ACCC website at the end of the consultation period. </w:t>
      </w:r>
    </w:p>
    <w:p w:rsidR="00186762" w:rsidRDefault="00186762" w:rsidP="00186762">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186762" w:rsidRDefault="00186762" w:rsidP="00186762">
      <w:pPr>
        <w:rPr>
          <w:rFonts w:eastAsia="Calibri"/>
          <w:b/>
        </w:rPr>
      </w:pPr>
    </w:p>
    <w:p w:rsidR="00DC65CF" w:rsidRPr="00382011" w:rsidRDefault="00E537A7" w:rsidP="00DC65CF">
      <w:pPr>
        <w:rPr>
          <w:rFonts w:eastAsia="Calibri"/>
          <w:b/>
        </w:rPr>
      </w:pPr>
      <w:r>
        <w:rPr>
          <w:rFonts w:eastAsia="Calibri"/>
          <w:b/>
        </w:rPr>
        <w:br w:type="page"/>
      </w:r>
      <w:r w:rsidR="00DC65CF" w:rsidRPr="00382011">
        <w:rPr>
          <w:rFonts w:eastAsia="Calibri"/>
          <w:b/>
        </w:rPr>
        <w:lastRenderedPageBreak/>
        <w:t>Glossary</w:t>
      </w:r>
    </w:p>
    <w:p w:rsidR="00DC65CF" w:rsidRPr="00382011" w:rsidRDefault="00DC65CF" w:rsidP="00DC65CF">
      <w:pPr>
        <w:rPr>
          <w:rFonts w:eastAsia="Calibri"/>
          <w:b/>
        </w:rPr>
      </w:pPr>
    </w:p>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DC65CF" w:rsidTr="00D26B77">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D26B77">
            <w:pPr>
              <w:spacing w:after="120"/>
              <w:rPr>
                <w:b/>
                <w:bCs/>
                <w:sz w:val="20"/>
                <w:szCs w:val="20"/>
              </w:rPr>
            </w:pPr>
            <w:r w:rsidRPr="00382011">
              <w:rPr>
                <w:b/>
                <w:bCs/>
                <w:sz w:val="20"/>
                <w:szCs w:val="20"/>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D26B77">
            <w:pPr>
              <w:spacing w:after="120"/>
              <w:rPr>
                <w:b/>
                <w:bCs/>
                <w:sz w:val="20"/>
                <w:szCs w:val="20"/>
              </w:rPr>
            </w:pPr>
            <w:r w:rsidRPr="00382011">
              <w:rPr>
                <w:b/>
                <w:bCs/>
                <w:sz w:val="20"/>
                <w:szCs w:val="20"/>
              </w:rPr>
              <w:t>Definition</w:t>
            </w:r>
          </w:p>
        </w:tc>
      </w:tr>
      <w:tr w:rsidR="005878D1" w:rsidTr="00D26B77">
        <w:tc>
          <w:tcPr>
            <w:tcW w:w="2376" w:type="dxa"/>
            <w:shd w:val="clear" w:color="auto" w:fill="auto"/>
            <w:vAlign w:val="center"/>
          </w:tcPr>
          <w:p w:rsidR="005878D1" w:rsidRPr="005878D1" w:rsidRDefault="005878D1" w:rsidP="00A75FF3">
            <w:pPr>
              <w:rPr>
                <w:b/>
                <w:szCs w:val="20"/>
              </w:rPr>
            </w:pPr>
            <w:r w:rsidRPr="005878D1">
              <w:rPr>
                <w:b/>
                <w:szCs w:val="20"/>
              </w:rPr>
              <w:t>Australian Consumer Law (ACL)</w:t>
            </w:r>
          </w:p>
        </w:tc>
        <w:tc>
          <w:tcPr>
            <w:tcW w:w="6866" w:type="dxa"/>
            <w:shd w:val="clear" w:color="auto" w:fill="auto"/>
            <w:vAlign w:val="center"/>
          </w:tcPr>
          <w:p w:rsidR="005878D1" w:rsidRDefault="005878D1" w:rsidP="00A75FF3">
            <w:pPr>
              <w:rPr>
                <w:szCs w:val="20"/>
              </w:rPr>
            </w:pPr>
            <w:r>
              <w:rPr>
                <w:szCs w:val="20"/>
              </w:rPr>
              <w:t>Legislation enacted in Schedule 2 of the</w:t>
            </w:r>
            <w:r w:rsidRPr="00A870A4">
              <w:rPr>
                <w:i/>
                <w:szCs w:val="20"/>
              </w:rPr>
              <w:t xml:space="preserve"> Competition and Consumer Act 2010</w:t>
            </w:r>
            <w:r>
              <w:rPr>
                <w:szCs w:val="20"/>
              </w:rPr>
              <w:t xml:space="preserve"> (Cth) and applied nationally through State and Territory legislation in accordance with the Intergovernmental Agreement of July 2009.</w:t>
            </w:r>
          </w:p>
        </w:tc>
      </w:tr>
      <w:tr w:rsidR="005878D1" w:rsidTr="00D26B77">
        <w:tc>
          <w:tcPr>
            <w:tcW w:w="2376" w:type="dxa"/>
            <w:shd w:val="clear" w:color="auto" w:fill="auto"/>
            <w:vAlign w:val="center"/>
          </w:tcPr>
          <w:p w:rsidR="005878D1" w:rsidRPr="005878D1" w:rsidRDefault="005878D1" w:rsidP="00A75FF3">
            <w:pPr>
              <w:rPr>
                <w:b/>
                <w:szCs w:val="20"/>
              </w:rPr>
            </w:pPr>
            <w:r w:rsidRPr="005878D1">
              <w:rPr>
                <w:b/>
                <w:szCs w:val="20"/>
              </w:rPr>
              <w:t>Exercise cycle</w:t>
            </w:r>
            <w:r w:rsidR="00C3216E">
              <w:rPr>
                <w:b/>
                <w:szCs w:val="20"/>
              </w:rPr>
              <w:t>s</w:t>
            </w:r>
          </w:p>
        </w:tc>
        <w:tc>
          <w:tcPr>
            <w:tcW w:w="6866" w:type="dxa"/>
            <w:shd w:val="clear" w:color="auto" w:fill="auto"/>
            <w:vAlign w:val="center"/>
          </w:tcPr>
          <w:p w:rsidR="005878D1" w:rsidRPr="00C871AA" w:rsidRDefault="00734389" w:rsidP="00A75FF3">
            <w:pPr>
              <w:rPr>
                <w:szCs w:val="20"/>
              </w:rPr>
            </w:pPr>
            <w:r>
              <w:t xml:space="preserve">Stationary devices designed to be used for personal physical exercise by means of an activity simulating bicycle riding. </w:t>
            </w:r>
            <w:r>
              <w:rPr>
                <w:szCs w:val="20"/>
              </w:rPr>
              <w:t>Also commonly known as an exercise bicycle</w:t>
            </w:r>
            <w:r w:rsidR="00C3216E">
              <w:rPr>
                <w:szCs w:val="20"/>
              </w:rPr>
              <w:t>s</w:t>
            </w:r>
            <w:r>
              <w:rPr>
                <w:szCs w:val="20"/>
              </w:rPr>
              <w:t xml:space="preserve"> or exercise bike</w:t>
            </w:r>
            <w:r w:rsidR="00C3216E">
              <w:rPr>
                <w:szCs w:val="20"/>
              </w:rPr>
              <w:t>s</w:t>
            </w:r>
            <w:r>
              <w:rPr>
                <w:szCs w:val="20"/>
              </w:rPr>
              <w:t>.</w:t>
            </w:r>
          </w:p>
        </w:tc>
      </w:tr>
      <w:tr w:rsidR="00B338DB" w:rsidTr="00D26B77">
        <w:tc>
          <w:tcPr>
            <w:tcW w:w="2376" w:type="dxa"/>
            <w:shd w:val="clear" w:color="auto" w:fill="auto"/>
            <w:vAlign w:val="center"/>
          </w:tcPr>
          <w:p w:rsidR="00B338DB" w:rsidRPr="005878D1" w:rsidRDefault="00B338DB" w:rsidP="00A75FF3">
            <w:pPr>
              <w:rPr>
                <w:b/>
                <w:szCs w:val="20"/>
              </w:rPr>
            </w:pPr>
            <w:r>
              <w:rPr>
                <w:b/>
                <w:szCs w:val="20"/>
              </w:rPr>
              <w:t xml:space="preserve">International standards </w:t>
            </w:r>
          </w:p>
        </w:tc>
        <w:tc>
          <w:tcPr>
            <w:tcW w:w="6866" w:type="dxa"/>
            <w:shd w:val="clear" w:color="auto" w:fill="auto"/>
            <w:vAlign w:val="center"/>
          </w:tcPr>
          <w:p w:rsidR="00B338DB" w:rsidRDefault="00B338DB" w:rsidP="00982344">
            <w:pPr>
              <w:pStyle w:val="Bulletpoint"/>
              <w:numPr>
                <w:ilvl w:val="0"/>
                <w:numId w:val="0"/>
              </w:numPr>
            </w:pPr>
            <w:r w:rsidRPr="001D6397">
              <w:t>EN 957-5:2009: Stationary training equipment</w:t>
            </w:r>
            <w:r w:rsidR="00907EA4">
              <w:t xml:space="preserve"> –</w:t>
            </w:r>
            <w:r w:rsidRPr="001D6397">
              <w:t xml:space="preserve"> Part</w:t>
            </w:r>
            <w:r w:rsidR="00907EA4">
              <w:t xml:space="preserve"> </w:t>
            </w:r>
            <w:r w:rsidRPr="001D6397">
              <w:t>5: Stationary exercise bicycles and upper body crank training equipment, additional specific safety requirements and test methods</w:t>
            </w:r>
          </w:p>
          <w:p w:rsidR="00B338DB" w:rsidRDefault="00B338DB" w:rsidP="00982344">
            <w:pPr>
              <w:pStyle w:val="Bulletpoint"/>
              <w:numPr>
                <w:ilvl w:val="0"/>
                <w:numId w:val="0"/>
              </w:numPr>
            </w:pPr>
            <w:r>
              <w:t>EN 957-10:</w:t>
            </w:r>
            <w:r w:rsidRPr="001D6397">
              <w:t>2005: Stationary training equipment</w:t>
            </w:r>
            <w:r w:rsidR="00907EA4">
              <w:t xml:space="preserve"> –</w:t>
            </w:r>
            <w:r w:rsidRPr="001D6397">
              <w:t xml:space="preserve"> Part</w:t>
            </w:r>
            <w:r w:rsidR="00907EA4">
              <w:t xml:space="preserve"> </w:t>
            </w:r>
            <w:r w:rsidRPr="001D6397">
              <w:t>10: Exercise bicycles with a fixed wheel or without freewheel, additional specific safety</w:t>
            </w:r>
            <w:r>
              <w:t xml:space="preserve"> requirements and test methods</w:t>
            </w:r>
          </w:p>
          <w:p w:rsidR="00B338DB" w:rsidRDefault="00B338DB" w:rsidP="00982344">
            <w:pPr>
              <w:pStyle w:val="Bulletpoint"/>
              <w:numPr>
                <w:ilvl w:val="0"/>
                <w:numId w:val="0"/>
              </w:numPr>
            </w:pPr>
            <w:r>
              <w:t>ISO 20957-1:</w:t>
            </w:r>
            <w:r w:rsidRPr="001D6397">
              <w:t>2013: Stationary training equipment</w:t>
            </w:r>
            <w:r w:rsidR="00907EA4">
              <w:t xml:space="preserve"> –</w:t>
            </w:r>
            <w:r w:rsidRPr="001D6397">
              <w:t xml:space="preserve"> Part</w:t>
            </w:r>
            <w:r w:rsidR="00907EA4">
              <w:t xml:space="preserve"> </w:t>
            </w:r>
            <w:r w:rsidRPr="001D6397">
              <w:t>1: General safety requirements and test methods</w:t>
            </w:r>
            <w:r w:rsidR="00E55A3F" w:rsidRPr="00A33826">
              <w:t>, supplemented and amended by ISO 20957-10:2007: Stationary training equipment- Part 10: Exercise bicycles with a fixed wheel or without freewheel, additional specific safety requirements and test methods</w:t>
            </w:r>
          </w:p>
          <w:p w:rsidR="00B338DB" w:rsidRDefault="00B338DB" w:rsidP="00C6552A">
            <w:pPr>
              <w:pStyle w:val="Bulletpoint"/>
              <w:numPr>
                <w:ilvl w:val="0"/>
                <w:numId w:val="0"/>
              </w:numPr>
            </w:pPr>
            <w:r w:rsidRPr="001D6397">
              <w:t xml:space="preserve">ASTM F1250-13: Standard </w:t>
            </w:r>
            <w:r>
              <w:t>specification for stationary upright and recumbent exercise bicycles and upper body ergometers.</w:t>
            </w:r>
          </w:p>
        </w:tc>
      </w:tr>
      <w:tr w:rsidR="005878D1" w:rsidTr="00D26B77">
        <w:tc>
          <w:tcPr>
            <w:tcW w:w="2376" w:type="dxa"/>
            <w:shd w:val="clear" w:color="auto" w:fill="auto"/>
            <w:vAlign w:val="center"/>
          </w:tcPr>
          <w:p w:rsidR="005878D1" w:rsidRPr="005878D1" w:rsidRDefault="00204C25" w:rsidP="00A75FF3">
            <w:pPr>
              <w:rPr>
                <w:b/>
                <w:szCs w:val="20"/>
              </w:rPr>
            </w:pPr>
            <w:r>
              <w:rPr>
                <w:b/>
                <w:szCs w:val="20"/>
              </w:rPr>
              <w:t>Mandatory s</w:t>
            </w:r>
            <w:r w:rsidR="005878D1" w:rsidRPr="005878D1">
              <w:rPr>
                <w:b/>
                <w:szCs w:val="20"/>
              </w:rPr>
              <w:t xml:space="preserve">afety standard </w:t>
            </w:r>
          </w:p>
        </w:tc>
        <w:tc>
          <w:tcPr>
            <w:tcW w:w="6866" w:type="dxa"/>
            <w:shd w:val="clear" w:color="auto" w:fill="auto"/>
            <w:vAlign w:val="center"/>
          </w:tcPr>
          <w:p w:rsidR="005878D1" w:rsidRPr="008A1BDF" w:rsidRDefault="005878D1" w:rsidP="00A75FF3">
            <w:pPr>
              <w:rPr>
                <w:szCs w:val="20"/>
              </w:rPr>
            </w:pPr>
            <w:r>
              <w:rPr>
                <w:szCs w:val="20"/>
              </w:rPr>
              <w:t>The Australian safety standard for exercise cycles (</w:t>
            </w:r>
            <w:hyperlink r:id="rId18" w:history="1">
              <w:r w:rsidRPr="00E81973">
                <w:rPr>
                  <w:rStyle w:val="Hyperlink"/>
                  <w:rFonts w:cs="Arial"/>
                </w:rPr>
                <w:t>Consumer Protection Notice No. 9 of 1997</w:t>
              </w:r>
            </w:hyperlink>
            <w:r w:rsidRPr="00E81973">
              <w:rPr>
                <w:rFonts w:cs="Arial"/>
                <w:color w:val="333333"/>
              </w:rPr>
              <w:t>)</w:t>
            </w:r>
          </w:p>
        </w:tc>
      </w:tr>
      <w:tr w:rsidR="00F66AA2" w:rsidTr="00D26B77">
        <w:tc>
          <w:tcPr>
            <w:tcW w:w="2376" w:type="dxa"/>
            <w:shd w:val="clear" w:color="auto" w:fill="auto"/>
            <w:vAlign w:val="center"/>
          </w:tcPr>
          <w:p w:rsidR="00F66AA2" w:rsidRDefault="00F66AA2" w:rsidP="00A75FF3">
            <w:pPr>
              <w:rPr>
                <w:b/>
                <w:szCs w:val="20"/>
              </w:rPr>
            </w:pPr>
            <w:r w:rsidRPr="005878D1">
              <w:rPr>
                <w:b/>
                <w:szCs w:val="20"/>
              </w:rPr>
              <w:t xml:space="preserve">Voluntary </w:t>
            </w:r>
            <w:r w:rsidR="00204C25">
              <w:rPr>
                <w:b/>
                <w:szCs w:val="20"/>
              </w:rPr>
              <w:t xml:space="preserve">Australian </w:t>
            </w:r>
            <w:r w:rsidRPr="005878D1">
              <w:rPr>
                <w:b/>
                <w:szCs w:val="20"/>
              </w:rPr>
              <w:t xml:space="preserve">standard </w:t>
            </w:r>
          </w:p>
        </w:tc>
        <w:tc>
          <w:tcPr>
            <w:tcW w:w="6866" w:type="dxa"/>
            <w:shd w:val="clear" w:color="auto" w:fill="auto"/>
            <w:vAlign w:val="center"/>
          </w:tcPr>
          <w:p w:rsidR="00F66AA2" w:rsidRPr="006A3F84" w:rsidRDefault="00F66AA2" w:rsidP="00A75FF3">
            <w:pPr>
              <w:rPr>
                <w:szCs w:val="20"/>
              </w:rPr>
            </w:pPr>
            <w:r>
              <w:t>Australian Standard AS 4092: 1993 Exercise cycles- safety requirements.</w:t>
            </w:r>
          </w:p>
        </w:tc>
      </w:tr>
    </w:tbl>
    <w:p w:rsidR="00DC65CF" w:rsidRDefault="00DC65CF" w:rsidP="00DC65CF"/>
    <w:p w:rsidR="00AB6528" w:rsidRDefault="00AB6528" w:rsidP="00EF4464">
      <w:pPr>
        <w:pStyle w:val="ListNumber"/>
        <w:numPr>
          <w:ilvl w:val="0"/>
          <w:numId w:val="0"/>
        </w:numPr>
      </w:pPr>
    </w:p>
    <w:sectPr w:rsidR="00AB6528" w:rsidSect="00782C4B">
      <w:footerReference w:type="default" r:id="rId19"/>
      <w:footerReference w:type="first" r:id="rId20"/>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81" w:rsidRDefault="00550681" w:rsidP="004B4412">
      <w:pPr>
        <w:spacing w:before="0"/>
      </w:pPr>
      <w:r>
        <w:separator/>
      </w:r>
    </w:p>
  </w:endnote>
  <w:endnote w:type="continuationSeparator" w:id="0">
    <w:p w:rsidR="00550681" w:rsidRDefault="0055068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B" w:rsidRDefault="00782C4B">
    <w:pPr>
      <w:pStyle w:val="Footer"/>
      <w:jc w:val="right"/>
    </w:pPr>
    <w:r>
      <w:fldChar w:fldCharType="begin"/>
    </w:r>
    <w:r>
      <w:instrText xml:space="preserve"> PAGE   \* MERGEFORMAT </w:instrText>
    </w:r>
    <w:r>
      <w:fldChar w:fldCharType="separate"/>
    </w:r>
    <w:r w:rsidR="00BC4CFE">
      <w:rPr>
        <w:noProof/>
      </w:rPr>
      <w:t>10</w:t>
    </w:r>
    <w:r>
      <w:rPr>
        <w:noProof/>
      </w:rPr>
      <w:fldChar w:fldCharType="end"/>
    </w:r>
  </w:p>
  <w:p w:rsidR="00550681" w:rsidRDefault="00550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11" w:rsidRDefault="00382011">
    <w:pPr>
      <w:pStyle w:val="Footer"/>
      <w:jc w:val="right"/>
    </w:pPr>
    <w:r>
      <w:fldChar w:fldCharType="begin"/>
    </w:r>
    <w:r>
      <w:instrText xml:space="preserve"> PAGE   \* MERGEFORMAT </w:instrText>
    </w:r>
    <w:r>
      <w:fldChar w:fldCharType="separate"/>
    </w:r>
    <w:r w:rsidR="00782C4B">
      <w:rPr>
        <w:noProof/>
      </w:rPr>
      <w:t>2</w:t>
    </w:r>
    <w:r>
      <w:rPr>
        <w:noProof/>
      </w:rPr>
      <w:fldChar w:fldCharType="end"/>
    </w:r>
  </w:p>
  <w:p w:rsidR="00550681" w:rsidRDefault="00550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81" w:rsidRDefault="00550681" w:rsidP="004B4412">
      <w:pPr>
        <w:spacing w:before="0"/>
      </w:pPr>
      <w:r>
        <w:separator/>
      </w:r>
    </w:p>
  </w:footnote>
  <w:footnote w:type="continuationSeparator" w:id="0">
    <w:p w:rsidR="00550681" w:rsidRDefault="00550681" w:rsidP="004B4412">
      <w:pPr>
        <w:spacing w:before="0"/>
      </w:pPr>
      <w:r>
        <w:continuationSeparator/>
      </w:r>
    </w:p>
  </w:footnote>
  <w:footnote w:id="1">
    <w:p w:rsidR="00F21FE2" w:rsidRDefault="00F21FE2">
      <w:pPr>
        <w:pStyle w:val="FootnoteText"/>
      </w:pPr>
      <w:r w:rsidRPr="00E80FA8">
        <w:rPr>
          <w:rStyle w:val="FootnoteReference"/>
          <w:sz w:val="18"/>
          <w:szCs w:val="18"/>
        </w:rPr>
        <w:footnoteRef/>
      </w:r>
      <w:r w:rsidRPr="00E80FA8">
        <w:rPr>
          <w:sz w:val="18"/>
          <w:szCs w:val="18"/>
        </w:rPr>
        <w:t xml:space="preserve"> Victorian Injury Surveillance Unit (VISU)</w:t>
      </w:r>
      <w:r w:rsidR="00794400" w:rsidRPr="00E80FA8">
        <w:rPr>
          <w:sz w:val="18"/>
          <w:szCs w:val="18"/>
        </w:rPr>
        <w:t>,</w:t>
      </w:r>
      <w:r w:rsidRPr="00E80FA8">
        <w:rPr>
          <w:sz w:val="18"/>
          <w:szCs w:val="18"/>
        </w:rPr>
        <w:t xml:space="preserve"> </w:t>
      </w:r>
      <w:r w:rsidR="00794400" w:rsidRPr="00E80FA8">
        <w:rPr>
          <w:sz w:val="18"/>
          <w:szCs w:val="18"/>
        </w:rPr>
        <w:t xml:space="preserve">Exercise bike-related injury: </w:t>
      </w:r>
      <w:r w:rsidRPr="00E80FA8">
        <w:rPr>
          <w:sz w:val="18"/>
          <w:szCs w:val="18"/>
        </w:rPr>
        <w:t>Victorian Emergency Minimum Dataset (VEMD) from January 2006 to December 2010</w:t>
      </w:r>
      <w:r w:rsidR="00235633" w:rsidRPr="00E80FA8">
        <w:rPr>
          <w:sz w:val="18"/>
          <w:szCs w:val="18"/>
        </w:rPr>
        <w:t>,</w:t>
      </w:r>
      <w:r w:rsidR="000D7601" w:rsidRPr="00E80FA8">
        <w:rPr>
          <w:sz w:val="18"/>
          <w:szCs w:val="18"/>
        </w:rPr>
        <w:t xml:space="preserve"> Melbourne, August 2012, viewed</w:t>
      </w:r>
      <w:r w:rsidR="00794400" w:rsidRPr="00E80FA8">
        <w:rPr>
          <w:sz w:val="18"/>
          <w:szCs w:val="18"/>
        </w:rPr>
        <w:t xml:space="preserve"> 19 August </w:t>
      </w:r>
      <w:proofErr w:type="gramStart"/>
      <w:r w:rsidR="00794400" w:rsidRPr="00E80FA8">
        <w:rPr>
          <w:sz w:val="18"/>
          <w:szCs w:val="18"/>
        </w:rPr>
        <w:t>2016,</w:t>
      </w:r>
      <w:proofErr w:type="gramEnd"/>
      <w:r w:rsidR="00235633" w:rsidRPr="00E80FA8">
        <w:rPr>
          <w:sz w:val="18"/>
          <w:szCs w:val="18"/>
        </w:rPr>
        <w:t xml:space="preserve"> </w:t>
      </w:r>
      <w:hyperlink r:id="rId1" w:history="1">
        <w:r w:rsidR="00235633" w:rsidRPr="00E80FA8">
          <w:rPr>
            <w:rStyle w:val="Hyperlink"/>
            <w:sz w:val="18"/>
            <w:szCs w:val="18"/>
          </w:rPr>
          <w:t>https://www.monash.edu/__data/assets/pdf_file/0011/218567/exercise-bike.pdf</w:t>
        </w:r>
      </w:hyperlink>
      <w:r w:rsidR="00235633" w:rsidRPr="00E80FA8">
        <w:rPr>
          <w:sz w:val="18"/>
          <w:szCs w:val="18"/>
        </w:rPr>
        <w:t xml:space="preserve"> </w:t>
      </w:r>
      <w:r w:rsidR="00794400" w:rsidRPr="00E80FA8">
        <w:rPr>
          <w:sz w:val="18"/>
          <w:szCs w:val="18"/>
        </w:rPr>
        <w:t>(compared with VEMD injury data from October 1995 to December 2000).</w:t>
      </w:r>
      <w:r w:rsidR="00794400">
        <w:rPr>
          <w:szCs w:val="16"/>
        </w:rPr>
        <w:t xml:space="preserve"> </w:t>
      </w:r>
    </w:p>
  </w:footnote>
  <w:footnote w:id="2">
    <w:p w:rsidR="004D564A" w:rsidRDefault="004D564A">
      <w:pPr>
        <w:pStyle w:val="FootnoteText"/>
      </w:pPr>
      <w:r>
        <w:rPr>
          <w:rStyle w:val="FootnoteReference"/>
        </w:rPr>
        <w:footnoteRef/>
      </w:r>
      <w:r>
        <w:t xml:space="preserve"> </w:t>
      </w:r>
      <w:hyperlink r:id="rId2" w:history="1">
        <w:proofErr w:type="gramStart"/>
        <w:r>
          <w:rPr>
            <w:rStyle w:val="Hyperlink"/>
            <w:rFonts w:cs="Arial"/>
            <w:sz w:val="18"/>
            <w:szCs w:val="18"/>
          </w:rPr>
          <w:t>Consumer Protection Notice No. 9 of 1997</w:t>
        </w:r>
      </w:hyperlink>
      <w:r>
        <w:rPr>
          <w:rFonts w:cs="Arial"/>
          <w:color w:val="333333"/>
          <w:sz w:val="18"/>
          <w:szCs w:val="18"/>
        </w:rPr>
        <w:t xml:space="preserve"> (</w:t>
      </w:r>
      <w:proofErr w:type="spellStart"/>
      <w:r>
        <w:rPr>
          <w:rFonts w:cs="Arial"/>
          <w:color w:val="333333"/>
          <w:sz w:val="18"/>
          <w:szCs w:val="18"/>
        </w:rPr>
        <w:t>Cth</w:t>
      </w:r>
      <w:proofErr w:type="spellEnd"/>
      <w:r>
        <w:rPr>
          <w:rFonts w:cs="Arial"/>
          <w:color w:val="333333"/>
          <w:sz w:val="18"/>
          <w:szCs w:val="18"/>
        </w:rPr>
        <w:t>)</w:t>
      </w:r>
      <w:r w:rsidR="003B1357">
        <w:rPr>
          <w:rFonts w:cs="Arial"/>
          <w:color w:val="333333"/>
          <w:sz w:val="18"/>
          <w:szCs w:val="18"/>
        </w:rPr>
        <w:t>.</w:t>
      </w:r>
      <w:proofErr w:type="gramEnd"/>
    </w:p>
  </w:footnote>
  <w:footnote w:id="3">
    <w:p w:rsidR="002525C6" w:rsidRDefault="002525C6" w:rsidP="002525C6">
      <w:pPr>
        <w:pStyle w:val="FootnoteText"/>
      </w:pPr>
      <w:r>
        <w:rPr>
          <w:rStyle w:val="FootnoteReference"/>
        </w:rPr>
        <w:footnoteRef/>
      </w:r>
      <w:r>
        <w:t xml:space="preserve"> </w:t>
      </w:r>
      <w:r w:rsidRPr="00E80FA8">
        <w:rPr>
          <w:sz w:val="18"/>
          <w:szCs w:val="18"/>
        </w:rPr>
        <w:t>ACCC, International standards for the safety of consumer products - criteria for acceptance, ACCC policy principles,</w:t>
      </w:r>
      <w:r w:rsidR="00C3216E">
        <w:rPr>
          <w:sz w:val="18"/>
          <w:szCs w:val="18"/>
        </w:rPr>
        <w:t xml:space="preserve"> viewed</w:t>
      </w:r>
      <w:r w:rsidRPr="00E80FA8">
        <w:rPr>
          <w:sz w:val="18"/>
          <w:szCs w:val="18"/>
        </w:rPr>
        <w:t xml:space="preserve"> 22 July 2015, </w:t>
      </w:r>
      <w:hyperlink r:id="rId3" w:history="1">
        <w:r w:rsidRPr="00E80FA8">
          <w:rPr>
            <w:rStyle w:val="Hyperlink"/>
            <w:sz w:val="18"/>
            <w:szCs w:val="18"/>
          </w:rPr>
          <w:t>www.productsafety.gov.au/content/index.phtml/itemId/1014180</w:t>
        </w:r>
      </w:hyperlink>
      <w:r w:rsidR="003B1357" w:rsidRPr="00E80FA8">
        <w:rPr>
          <w:rStyle w:val="Hyperlink"/>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1C50D6"/>
    <w:multiLevelType w:val="multilevel"/>
    <w:tmpl w:val="2C80B854"/>
    <w:lvl w:ilvl="0">
      <w:start w:val="5"/>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8F179D2"/>
    <w:multiLevelType w:val="multilevel"/>
    <w:tmpl w:val="FF6A2BA6"/>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CF519CE"/>
    <w:multiLevelType w:val="multilevel"/>
    <w:tmpl w:val="6F964B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423333"/>
    <w:multiLevelType w:val="hybridMultilevel"/>
    <w:tmpl w:val="F83A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616654"/>
    <w:multiLevelType w:val="hybridMultilevel"/>
    <w:tmpl w:val="C668F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8A5528"/>
    <w:multiLevelType w:val="hybridMultilevel"/>
    <w:tmpl w:val="362C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nsid w:val="42BA08F8"/>
    <w:multiLevelType w:val="hybridMultilevel"/>
    <w:tmpl w:val="A9A22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7577EC"/>
    <w:multiLevelType w:val="hybridMultilevel"/>
    <w:tmpl w:val="8E725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6A1D46"/>
    <w:multiLevelType w:val="hybridMultilevel"/>
    <w:tmpl w:val="99BC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D42374"/>
    <w:multiLevelType w:val="multilevel"/>
    <w:tmpl w:val="9F422F3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4AA5250"/>
    <w:multiLevelType w:val="hybridMultilevel"/>
    <w:tmpl w:val="3978F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CD7313"/>
    <w:multiLevelType w:val="multilevel"/>
    <w:tmpl w:val="1E1A10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nsid w:val="60D5215B"/>
    <w:multiLevelType w:val="hybridMultilevel"/>
    <w:tmpl w:val="4EFE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6CF4145F"/>
    <w:multiLevelType w:val="hybridMultilevel"/>
    <w:tmpl w:val="52B2D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nsid w:val="73623C06"/>
    <w:multiLevelType w:val="hybridMultilevel"/>
    <w:tmpl w:val="E0D29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9">
    <w:nsid w:val="77CC116B"/>
    <w:multiLevelType w:val="hybridMultilevel"/>
    <w:tmpl w:val="C6EE16FA"/>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4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1"/>
  </w:num>
  <w:num w:numId="3">
    <w:abstractNumId w:val="7"/>
  </w:num>
  <w:num w:numId="4">
    <w:abstractNumId w:val="6"/>
  </w:num>
  <w:num w:numId="5">
    <w:abstractNumId w:val="5"/>
  </w:num>
  <w:num w:numId="6">
    <w:abstractNumId w:val="4"/>
  </w:num>
  <w:num w:numId="7">
    <w:abstractNumId w:val="1"/>
  </w:num>
  <w:num w:numId="8">
    <w:abstractNumId w:val="0"/>
  </w:num>
  <w:num w:numId="9">
    <w:abstractNumId w:val="33"/>
  </w:num>
  <w:num w:numId="10">
    <w:abstractNumId w:val="20"/>
  </w:num>
  <w:num w:numId="11">
    <w:abstractNumId w:val="9"/>
  </w:num>
  <w:num w:numId="12">
    <w:abstractNumId w:val="14"/>
  </w:num>
  <w:num w:numId="13">
    <w:abstractNumId w:val="19"/>
  </w:num>
  <w:num w:numId="14">
    <w:abstractNumId w:val="2"/>
  </w:num>
  <w:num w:numId="15">
    <w:abstractNumId w:val="35"/>
  </w:num>
  <w:num w:numId="16">
    <w:abstractNumId w:val="40"/>
  </w:num>
  <w:num w:numId="17">
    <w:abstractNumId w:val="38"/>
  </w:num>
  <w:num w:numId="18">
    <w:abstractNumId w:val="29"/>
  </w:num>
  <w:num w:numId="19">
    <w:abstractNumId w:val="18"/>
  </w:num>
  <w:num w:numId="20">
    <w:abstractNumId w:val="21"/>
  </w:num>
  <w:num w:numId="21">
    <w:abstractNumId w:val="37"/>
  </w:num>
  <w:num w:numId="22">
    <w:abstractNumId w:val="31"/>
  </w:num>
  <w:num w:numId="23">
    <w:abstractNumId w:val="8"/>
  </w:num>
  <w:num w:numId="24">
    <w:abstractNumId w:val="3"/>
  </w:num>
  <w:num w:numId="25">
    <w:abstractNumId w:val="23"/>
  </w:num>
  <w:num w:numId="26">
    <w:abstractNumId w:val="12"/>
  </w:num>
  <w:num w:numId="27">
    <w:abstractNumId w:val="32"/>
  </w:num>
  <w:num w:numId="28">
    <w:abstractNumId w:val="13"/>
  </w:num>
  <w:num w:numId="29">
    <w:abstractNumId w:val="10"/>
  </w:num>
  <w:num w:numId="30">
    <w:abstractNumId w:val="26"/>
  </w:num>
  <w:num w:numId="31">
    <w:abstractNumId w:val="25"/>
  </w:num>
  <w:num w:numId="32">
    <w:abstractNumId w:val="22"/>
  </w:num>
  <w:num w:numId="33">
    <w:abstractNumId w:val="17"/>
  </w:num>
  <w:num w:numId="34">
    <w:abstractNumId w:val="39"/>
  </w:num>
  <w:num w:numId="35">
    <w:abstractNumId w:val="30"/>
  </w:num>
  <w:num w:numId="36">
    <w:abstractNumId w:val="15"/>
  </w:num>
  <w:num w:numId="37">
    <w:abstractNumId w:val="28"/>
  </w:num>
  <w:num w:numId="38">
    <w:abstractNumId w:val="27"/>
  </w:num>
  <w:num w:numId="39">
    <w:abstractNumId w:val="34"/>
  </w:num>
  <w:num w:numId="40">
    <w:abstractNumId w:val="16"/>
  </w:num>
  <w:num w:numId="41">
    <w:abstractNumId w:val="24"/>
  </w:num>
  <w:num w:numId="42">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287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6764\D16 98988  CPS - SP - Exercise cycles - consultation paper.DOCX"/>
  </w:docVars>
  <w:rsids>
    <w:rsidRoot w:val="00935D49"/>
    <w:rsid w:val="00004ADA"/>
    <w:rsid w:val="00005966"/>
    <w:rsid w:val="00007B4A"/>
    <w:rsid w:val="000123DD"/>
    <w:rsid w:val="00012C4A"/>
    <w:rsid w:val="00013983"/>
    <w:rsid w:val="00014359"/>
    <w:rsid w:val="00014D79"/>
    <w:rsid w:val="00017A8A"/>
    <w:rsid w:val="00017DA1"/>
    <w:rsid w:val="0002115F"/>
    <w:rsid w:val="00021202"/>
    <w:rsid w:val="00021307"/>
    <w:rsid w:val="00021F9F"/>
    <w:rsid w:val="000225C4"/>
    <w:rsid w:val="00022881"/>
    <w:rsid w:val="00022A01"/>
    <w:rsid w:val="00023E29"/>
    <w:rsid w:val="00023EAC"/>
    <w:rsid w:val="00026B3F"/>
    <w:rsid w:val="000315C3"/>
    <w:rsid w:val="00033A6D"/>
    <w:rsid w:val="00033E57"/>
    <w:rsid w:val="00034231"/>
    <w:rsid w:val="00034251"/>
    <w:rsid w:val="0003578C"/>
    <w:rsid w:val="00036C24"/>
    <w:rsid w:val="000415DA"/>
    <w:rsid w:val="000428E4"/>
    <w:rsid w:val="00043E31"/>
    <w:rsid w:val="00050F59"/>
    <w:rsid w:val="0005282E"/>
    <w:rsid w:val="00053EB8"/>
    <w:rsid w:val="00056023"/>
    <w:rsid w:val="00057A18"/>
    <w:rsid w:val="00057D0C"/>
    <w:rsid w:val="0006137C"/>
    <w:rsid w:val="00063247"/>
    <w:rsid w:val="00063F9F"/>
    <w:rsid w:val="000643B6"/>
    <w:rsid w:val="00064840"/>
    <w:rsid w:val="00070F9F"/>
    <w:rsid w:val="0007137B"/>
    <w:rsid w:val="0007277B"/>
    <w:rsid w:val="000763FB"/>
    <w:rsid w:val="00082CB2"/>
    <w:rsid w:val="00083C31"/>
    <w:rsid w:val="00084813"/>
    <w:rsid w:val="00085663"/>
    <w:rsid w:val="00085EBF"/>
    <w:rsid w:val="000904B4"/>
    <w:rsid w:val="00090688"/>
    <w:rsid w:val="0009072A"/>
    <w:rsid w:val="00093119"/>
    <w:rsid w:val="00093CA6"/>
    <w:rsid w:val="000A393C"/>
    <w:rsid w:val="000A418B"/>
    <w:rsid w:val="000B01B9"/>
    <w:rsid w:val="000B4A5D"/>
    <w:rsid w:val="000B66DD"/>
    <w:rsid w:val="000B78A8"/>
    <w:rsid w:val="000C16A1"/>
    <w:rsid w:val="000C1E9E"/>
    <w:rsid w:val="000C4312"/>
    <w:rsid w:val="000C4C4D"/>
    <w:rsid w:val="000C5EE8"/>
    <w:rsid w:val="000D122C"/>
    <w:rsid w:val="000D1598"/>
    <w:rsid w:val="000D1A9D"/>
    <w:rsid w:val="000D2C4C"/>
    <w:rsid w:val="000D3784"/>
    <w:rsid w:val="000D3868"/>
    <w:rsid w:val="000D65D2"/>
    <w:rsid w:val="000D72BE"/>
    <w:rsid w:val="000D7601"/>
    <w:rsid w:val="000D7C9A"/>
    <w:rsid w:val="000E0D3A"/>
    <w:rsid w:val="000E0DBA"/>
    <w:rsid w:val="000E1819"/>
    <w:rsid w:val="000E3121"/>
    <w:rsid w:val="000E4338"/>
    <w:rsid w:val="000E57D9"/>
    <w:rsid w:val="000E6A32"/>
    <w:rsid w:val="000E6C72"/>
    <w:rsid w:val="000E7F3F"/>
    <w:rsid w:val="000F147F"/>
    <w:rsid w:val="000F1563"/>
    <w:rsid w:val="000F1B27"/>
    <w:rsid w:val="000F2368"/>
    <w:rsid w:val="000F4A37"/>
    <w:rsid w:val="000F5059"/>
    <w:rsid w:val="000F5115"/>
    <w:rsid w:val="00102C0C"/>
    <w:rsid w:val="00105656"/>
    <w:rsid w:val="0011171A"/>
    <w:rsid w:val="00111B82"/>
    <w:rsid w:val="0011230B"/>
    <w:rsid w:val="00112620"/>
    <w:rsid w:val="00112748"/>
    <w:rsid w:val="001141BF"/>
    <w:rsid w:val="0011433E"/>
    <w:rsid w:val="001147DA"/>
    <w:rsid w:val="0011510D"/>
    <w:rsid w:val="0011583D"/>
    <w:rsid w:val="001158CF"/>
    <w:rsid w:val="00115D86"/>
    <w:rsid w:val="0011667B"/>
    <w:rsid w:val="00116D5A"/>
    <w:rsid w:val="00116EB2"/>
    <w:rsid w:val="00121554"/>
    <w:rsid w:val="0012271D"/>
    <w:rsid w:val="0012444B"/>
    <w:rsid w:val="00124552"/>
    <w:rsid w:val="00124609"/>
    <w:rsid w:val="00125BA1"/>
    <w:rsid w:val="0013144E"/>
    <w:rsid w:val="00132813"/>
    <w:rsid w:val="00132DAF"/>
    <w:rsid w:val="00133DB8"/>
    <w:rsid w:val="001359E9"/>
    <w:rsid w:val="001417FE"/>
    <w:rsid w:val="0014447D"/>
    <w:rsid w:val="00146A47"/>
    <w:rsid w:val="00146D63"/>
    <w:rsid w:val="00147F1E"/>
    <w:rsid w:val="00150167"/>
    <w:rsid w:val="0015023E"/>
    <w:rsid w:val="00153F96"/>
    <w:rsid w:val="00154282"/>
    <w:rsid w:val="00154C26"/>
    <w:rsid w:val="001573E4"/>
    <w:rsid w:val="00160480"/>
    <w:rsid w:val="00160756"/>
    <w:rsid w:val="001609D6"/>
    <w:rsid w:val="00161D81"/>
    <w:rsid w:val="00163279"/>
    <w:rsid w:val="001642DA"/>
    <w:rsid w:val="00165A47"/>
    <w:rsid w:val="00166B41"/>
    <w:rsid w:val="00167C0C"/>
    <w:rsid w:val="00170D3D"/>
    <w:rsid w:val="0017232E"/>
    <w:rsid w:val="00172A78"/>
    <w:rsid w:val="00172B84"/>
    <w:rsid w:val="00174102"/>
    <w:rsid w:val="00174935"/>
    <w:rsid w:val="00175F3B"/>
    <w:rsid w:val="00180157"/>
    <w:rsid w:val="00180E2D"/>
    <w:rsid w:val="00181089"/>
    <w:rsid w:val="00181223"/>
    <w:rsid w:val="00181771"/>
    <w:rsid w:val="0018197F"/>
    <w:rsid w:val="00183645"/>
    <w:rsid w:val="00185AE6"/>
    <w:rsid w:val="0018620E"/>
    <w:rsid w:val="00186762"/>
    <w:rsid w:val="001869EA"/>
    <w:rsid w:val="00186F77"/>
    <w:rsid w:val="00187ADA"/>
    <w:rsid w:val="00187BA3"/>
    <w:rsid w:val="001913A0"/>
    <w:rsid w:val="001926A4"/>
    <w:rsid w:val="001936BA"/>
    <w:rsid w:val="00193922"/>
    <w:rsid w:val="0019409D"/>
    <w:rsid w:val="00195D8C"/>
    <w:rsid w:val="001960E8"/>
    <w:rsid w:val="00196C1C"/>
    <w:rsid w:val="001A0C2E"/>
    <w:rsid w:val="001A3A19"/>
    <w:rsid w:val="001A6DAB"/>
    <w:rsid w:val="001B246B"/>
    <w:rsid w:val="001B313A"/>
    <w:rsid w:val="001B45A0"/>
    <w:rsid w:val="001B65AA"/>
    <w:rsid w:val="001C135C"/>
    <w:rsid w:val="001C18EE"/>
    <w:rsid w:val="001C62C1"/>
    <w:rsid w:val="001D055E"/>
    <w:rsid w:val="001D07BE"/>
    <w:rsid w:val="001D32C5"/>
    <w:rsid w:val="001D4CDD"/>
    <w:rsid w:val="001D57AF"/>
    <w:rsid w:val="001D62EF"/>
    <w:rsid w:val="001D6E42"/>
    <w:rsid w:val="001D77B7"/>
    <w:rsid w:val="001E3475"/>
    <w:rsid w:val="001E357C"/>
    <w:rsid w:val="001E4369"/>
    <w:rsid w:val="001E5D29"/>
    <w:rsid w:val="001E6AB4"/>
    <w:rsid w:val="001E6B02"/>
    <w:rsid w:val="001E73C9"/>
    <w:rsid w:val="001F0EEA"/>
    <w:rsid w:val="001F1895"/>
    <w:rsid w:val="001F2F13"/>
    <w:rsid w:val="001F331C"/>
    <w:rsid w:val="001F33E0"/>
    <w:rsid w:val="001F3AD4"/>
    <w:rsid w:val="001F492E"/>
    <w:rsid w:val="001F6520"/>
    <w:rsid w:val="001F6DA3"/>
    <w:rsid w:val="002008C0"/>
    <w:rsid w:val="002019B5"/>
    <w:rsid w:val="00202CC8"/>
    <w:rsid w:val="00204C25"/>
    <w:rsid w:val="002065B1"/>
    <w:rsid w:val="0020678F"/>
    <w:rsid w:val="002124FE"/>
    <w:rsid w:val="00212737"/>
    <w:rsid w:val="00212CF7"/>
    <w:rsid w:val="002135C9"/>
    <w:rsid w:val="00215EF4"/>
    <w:rsid w:val="00216E82"/>
    <w:rsid w:val="00220103"/>
    <w:rsid w:val="0022438B"/>
    <w:rsid w:val="00224DB9"/>
    <w:rsid w:val="00225425"/>
    <w:rsid w:val="00226047"/>
    <w:rsid w:val="00233F32"/>
    <w:rsid w:val="00235633"/>
    <w:rsid w:val="00235DB5"/>
    <w:rsid w:val="00237563"/>
    <w:rsid w:val="00241154"/>
    <w:rsid w:val="00242590"/>
    <w:rsid w:val="002428E8"/>
    <w:rsid w:val="002442DF"/>
    <w:rsid w:val="0024458D"/>
    <w:rsid w:val="00244A58"/>
    <w:rsid w:val="00246408"/>
    <w:rsid w:val="002476C9"/>
    <w:rsid w:val="00247779"/>
    <w:rsid w:val="00250168"/>
    <w:rsid w:val="00251745"/>
    <w:rsid w:val="002525C6"/>
    <w:rsid w:val="002533FC"/>
    <w:rsid w:val="00253F53"/>
    <w:rsid w:val="00254666"/>
    <w:rsid w:val="00254F84"/>
    <w:rsid w:val="00255A03"/>
    <w:rsid w:val="0025722D"/>
    <w:rsid w:val="00260282"/>
    <w:rsid w:val="00260B83"/>
    <w:rsid w:val="002624BF"/>
    <w:rsid w:val="0026284D"/>
    <w:rsid w:val="00262A59"/>
    <w:rsid w:val="00263048"/>
    <w:rsid w:val="002636D9"/>
    <w:rsid w:val="00263915"/>
    <w:rsid w:val="00263AC0"/>
    <w:rsid w:val="00265ED8"/>
    <w:rsid w:val="002660F0"/>
    <w:rsid w:val="0026772D"/>
    <w:rsid w:val="002712AA"/>
    <w:rsid w:val="00271898"/>
    <w:rsid w:val="00271931"/>
    <w:rsid w:val="0027278C"/>
    <w:rsid w:val="00274469"/>
    <w:rsid w:val="002745C1"/>
    <w:rsid w:val="002778BA"/>
    <w:rsid w:val="00280B7B"/>
    <w:rsid w:val="0028290F"/>
    <w:rsid w:val="00283016"/>
    <w:rsid w:val="00283E57"/>
    <w:rsid w:val="00283E58"/>
    <w:rsid w:val="00284BD1"/>
    <w:rsid w:val="00285E42"/>
    <w:rsid w:val="00286874"/>
    <w:rsid w:val="00287708"/>
    <w:rsid w:val="0028797F"/>
    <w:rsid w:val="00292674"/>
    <w:rsid w:val="002935DA"/>
    <w:rsid w:val="0029535F"/>
    <w:rsid w:val="00296B65"/>
    <w:rsid w:val="00296F53"/>
    <w:rsid w:val="00296F8D"/>
    <w:rsid w:val="00297D3B"/>
    <w:rsid w:val="002A1973"/>
    <w:rsid w:val="002A71AA"/>
    <w:rsid w:val="002A7942"/>
    <w:rsid w:val="002A7DEF"/>
    <w:rsid w:val="002B070D"/>
    <w:rsid w:val="002B1ABD"/>
    <w:rsid w:val="002B1BA7"/>
    <w:rsid w:val="002B2200"/>
    <w:rsid w:val="002B5A37"/>
    <w:rsid w:val="002B7EB9"/>
    <w:rsid w:val="002C0C82"/>
    <w:rsid w:val="002C177E"/>
    <w:rsid w:val="002C1BBB"/>
    <w:rsid w:val="002C1CFC"/>
    <w:rsid w:val="002C1F63"/>
    <w:rsid w:val="002C7776"/>
    <w:rsid w:val="002D0C4D"/>
    <w:rsid w:val="002D5027"/>
    <w:rsid w:val="002D51BB"/>
    <w:rsid w:val="002D7E12"/>
    <w:rsid w:val="002E067C"/>
    <w:rsid w:val="002E5858"/>
    <w:rsid w:val="002F1896"/>
    <w:rsid w:val="002F447C"/>
    <w:rsid w:val="002F7986"/>
    <w:rsid w:val="002F7CDB"/>
    <w:rsid w:val="0030206D"/>
    <w:rsid w:val="003020B6"/>
    <w:rsid w:val="0030245D"/>
    <w:rsid w:val="00303C4A"/>
    <w:rsid w:val="00303C8E"/>
    <w:rsid w:val="00304EB9"/>
    <w:rsid w:val="00307F6D"/>
    <w:rsid w:val="00310C97"/>
    <w:rsid w:val="00312DEB"/>
    <w:rsid w:val="003139DB"/>
    <w:rsid w:val="00314196"/>
    <w:rsid w:val="00315888"/>
    <w:rsid w:val="003177A2"/>
    <w:rsid w:val="00317E3B"/>
    <w:rsid w:val="00322AC9"/>
    <w:rsid w:val="00322D6A"/>
    <w:rsid w:val="003241F5"/>
    <w:rsid w:val="00324B45"/>
    <w:rsid w:val="00325808"/>
    <w:rsid w:val="003266A7"/>
    <w:rsid w:val="003271B5"/>
    <w:rsid w:val="003301BA"/>
    <w:rsid w:val="00330715"/>
    <w:rsid w:val="00330CA0"/>
    <w:rsid w:val="00331264"/>
    <w:rsid w:val="00331F6D"/>
    <w:rsid w:val="00332985"/>
    <w:rsid w:val="0033433E"/>
    <w:rsid w:val="00334C8D"/>
    <w:rsid w:val="00336A80"/>
    <w:rsid w:val="00336F5A"/>
    <w:rsid w:val="003374E7"/>
    <w:rsid w:val="00340655"/>
    <w:rsid w:val="003440C3"/>
    <w:rsid w:val="003459E6"/>
    <w:rsid w:val="00350ABB"/>
    <w:rsid w:val="00351389"/>
    <w:rsid w:val="003518B3"/>
    <w:rsid w:val="00352012"/>
    <w:rsid w:val="00352BF7"/>
    <w:rsid w:val="0035400E"/>
    <w:rsid w:val="00354892"/>
    <w:rsid w:val="00363D7C"/>
    <w:rsid w:val="00364DA0"/>
    <w:rsid w:val="00364E4B"/>
    <w:rsid w:val="00367553"/>
    <w:rsid w:val="00367AAF"/>
    <w:rsid w:val="0037012D"/>
    <w:rsid w:val="003703E4"/>
    <w:rsid w:val="00370B8F"/>
    <w:rsid w:val="00371641"/>
    <w:rsid w:val="003730F9"/>
    <w:rsid w:val="0037565E"/>
    <w:rsid w:val="0037572F"/>
    <w:rsid w:val="00375A62"/>
    <w:rsid w:val="00382011"/>
    <w:rsid w:val="00382184"/>
    <w:rsid w:val="003822B7"/>
    <w:rsid w:val="003846F1"/>
    <w:rsid w:val="00390496"/>
    <w:rsid w:val="0039075A"/>
    <w:rsid w:val="00392827"/>
    <w:rsid w:val="0039574F"/>
    <w:rsid w:val="00397B15"/>
    <w:rsid w:val="003A299B"/>
    <w:rsid w:val="003A53AB"/>
    <w:rsid w:val="003A673F"/>
    <w:rsid w:val="003A67BF"/>
    <w:rsid w:val="003B1357"/>
    <w:rsid w:val="003B139B"/>
    <w:rsid w:val="003B2C4E"/>
    <w:rsid w:val="003B334F"/>
    <w:rsid w:val="003B3514"/>
    <w:rsid w:val="003B3A60"/>
    <w:rsid w:val="003B429E"/>
    <w:rsid w:val="003B5876"/>
    <w:rsid w:val="003B5A70"/>
    <w:rsid w:val="003B64FE"/>
    <w:rsid w:val="003C2F10"/>
    <w:rsid w:val="003C4908"/>
    <w:rsid w:val="003D0732"/>
    <w:rsid w:val="003D3675"/>
    <w:rsid w:val="003D3973"/>
    <w:rsid w:val="003D45FD"/>
    <w:rsid w:val="003D49AC"/>
    <w:rsid w:val="003D4E0A"/>
    <w:rsid w:val="003D680B"/>
    <w:rsid w:val="003E0762"/>
    <w:rsid w:val="003E1107"/>
    <w:rsid w:val="003E114F"/>
    <w:rsid w:val="003E349F"/>
    <w:rsid w:val="003E3DD5"/>
    <w:rsid w:val="003E54B0"/>
    <w:rsid w:val="003E566E"/>
    <w:rsid w:val="003E7D13"/>
    <w:rsid w:val="003F142F"/>
    <w:rsid w:val="003F3AD3"/>
    <w:rsid w:val="003F604E"/>
    <w:rsid w:val="003F6632"/>
    <w:rsid w:val="003F7A43"/>
    <w:rsid w:val="004032B5"/>
    <w:rsid w:val="00404DB4"/>
    <w:rsid w:val="00406153"/>
    <w:rsid w:val="004100EE"/>
    <w:rsid w:val="00412098"/>
    <w:rsid w:val="00412DEC"/>
    <w:rsid w:val="00414115"/>
    <w:rsid w:val="00416170"/>
    <w:rsid w:val="00416549"/>
    <w:rsid w:val="0041654F"/>
    <w:rsid w:val="004168FE"/>
    <w:rsid w:val="0041713D"/>
    <w:rsid w:val="00417E1B"/>
    <w:rsid w:val="00420673"/>
    <w:rsid w:val="004211D4"/>
    <w:rsid w:val="00423003"/>
    <w:rsid w:val="00424548"/>
    <w:rsid w:val="00424AE4"/>
    <w:rsid w:val="00425040"/>
    <w:rsid w:val="00427BC5"/>
    <w:rsid w:val="0043256D"/>
    <w:rsid w:val="00435633"/>
    <w:rsid w:val="004360D5"/>
    <w:rsid w:val="00437D30"/>
    <w:rsid w:val="0044047E"/>
    <w:rsid w:val="00441CE3"/>
    <w:rsid w:val="00442DFA"/>
    <w:rsid w:val="004438EC"/>
    <w:rsid w:val="00446F5D"/>
    <w:rsid w:val="00447CD6"/>
    <w:rsid w:val="00450F7B"/>
    <w:rsid w:val="00451126"/>
    <w:rsid w:val="00453E07"/>
    <w:rsid w:val="00454028"/>
    <w:rsid w:val="00455CA1"/>
    <w:rsid w:val="004574C3"/>
    <w:rsid w:val="00462F92"/>
    <w:rsid w:val="0046316B"/>
    <w:rsid w:val="00464D62"/>
    <w:rsid w:val="0046562A"/>
    <w:rsid w:val="00465C89"/>
    <w:rsid w:val="004664A7"/>
    <w:rsid w:val="0047113B"/>
    <w:rsid w:val="00471EE7"/>
    <w:rsid w:val="00473373"/>
    <w:rsid w:val="00474C57"/>
    <w:rsid w:val="00475DDE"/>
    <w:rsid w:val="004762F9"/>
    <w:rsid w:val="00477244"/>
    <w:rsid w:val="0047737C"/>
    <w:rsid w:val="004804BE"/>
    <w:rsid w:val="004806A0"/>
    <w:rsid w:val="00480854"/>
    <w:rsid w:val="00480B4B"/>
    <w:rsid w:val="00483BD5"/>
    <w:rsid w:val="00485A0A"/>
    <w:rsid w:val="00485DC4"/>
    <w:rsid w:val="004872AD"/>
    <w:rsid w:val="00490C35"/>
    <w:rsid w:val="00490D7E"/>
    <w:rsid w:val="0049212B"/>
    <w:rsid w:val="00492A6E"/>
    <w:rsid w:val="00492F94"/>
    <w:rsid w:val="00493896"/>
    <w:rsid w:val="00493D2C"/>
    <w:rsid w:val="004948F4"/>
    <w:rsid w:val="00496AF8"/>
    <w:rsid w:val="00496C4C"/>
    <w:rsid w:val="00497C7E"/>
    <w:rsid w:val="004A04B1"/>
    <w:rsid w:val="004A1654"/>
    <w:rsid w:val="004A1669"/>
    <w:rsid w:val="004A1719"/>
    <w:rsid w:val="004A193D"/>
    <w:rsid w:val="004A1FE1"/>
    <w:rsid w:val="004A71B1"/>
    <w:rsid w:val="004B02E6"/>
    <w:rsid w:val="004B0528"/>
    <w:rsid w:val="004B23D6"/>
    <w:rsid w:val="004B36A9"/>
    <w:rsid w:val="004B4412"/>
    <w:rsid w:val="004B552E"/>
    <w:rsid w:val="004C0B44"/>
    <w:rsid w:val="004C10F6"/>
    <w:rsid w:val="004C1D34"/>
    <w:rsid w:val="004C2060"/>
    <w:rsid w:val="004C348C"/>
    <w:rsid w:val="004C4075"/>
    <w:rsid w:val="004C4244"/>
    <w:rsid w:val="004C5DF8"/>
    <w:rsid w:val="004C6A5C"/>
    <w:rsid w:val="004D3B5C"/>
    <w:rsid w:val="004D4DC1"/>
    <w:rsid w:val="004D55BA"/>
    <w:rsid w:val="004D564A"/>
    <w:rsid w:val="004D5FB0"/>
    <w:rsid w:val="004D6831"/>
    <w:rsid w:val="004D6DE1"/>
    <w:rsid w:val="004D6EFE"/>
    <w:rsid w:val="004E055D"/>
    <w:rsid w:val="004E1648"/>
    <w:rsid w:val="004E1A12"/>
    <w:rsid w:val="004E40A9"/>
    <w:rsid w:val="004F0A93"/>
    <w:rsid w:val="004F2078"/>
    <w:rsid w:val="004F2368"/>
    <w:rsid w:val="004F679B"/>
    <w:rsid w:val="004F7BFC"/>
    <w:rsid w:val="00501692"/>
    <w:rsid w:val="005038DB"/>
    <w:rsid w:val="005046CB"/>
    <w:rsid w:val="00505B25"/>
    <w:rsid w:val="00505B58"/>
    <w:rsid w:val="0050656C"/>
    <w:rsid w:val="00506A00"/>
    <w:rsid w:val="00507054"/>
    <w:rsid w:val="00507942"/>
    <w:rsid w:val="00511744"/>
    <w:rsid w:val="0051519B"/>
    <w:rsid w:val="00515357"/>
    <w:rsid w:val="005207E6"/>
    <w:rsid w:val="0052379B"/>
    <w:rsid w:val="00525380"/>
    <w:rsid w:val="00530128"/>
    <w:rsid w:val="00530E3F"/>
    <w:rsid w:val="00532467"/>
    <w:rsid w:val="0053284C"/>
    <w:rsid w:val="00534AEE"/>
    <w:rsid w:val="005404C1"/>
    <w:rsid w:val="005407CB"/>
    <w:rsid w:val="0054098A"/>
    <w:rsid w:val="0054172D"/>
    <w:rsid w:val="00542C91"/>
    <w:rsid w:val="00547BA2"/>
    <w:rsid w:val="00547CCF"/>
    <w:rsid w:val="00550681"/>
    <w:rsid w:val="00550E7D"/>
    <w:rsid w:val="00553963"/>
    <w:rsid w:val="0055477A"/>
    <w:rsid w:val="0055499D"/>
    <w:rsid w:val="00555A70"/>
    <w:rsid w:val="00555F84"/>
    <w:rsid w:val="00560A66"/>
    <w:rsid w:val="00561311"/>
    <w:rsid w:val="005626E9"/>
    <w:rsid w:val="00564A4D"/>
    <w:rsid w:val="0056786E"/>
    <w:rsid w:val="00571801"/>
    <w:rsid w:val="00571B35"/>
    <w:rsid w:val="00571C9F"/>
    <w:rsid w:val="005722F6"/>
    <w:rsid w:val="00572991"/>
    <w:rsid w:val="00573932"/>
    <w:rsid w:val="00573D7B"/>
    <w:rsid w:val="00577A09"/>
    <w:rsid w:val="0058024E"/>
    <w:rsid w:val="00580B78"/>
    <w:rsid w:val="00581D21"/>
    <w:rsid w:val="005823D9"/>
    <w:rsid w:val="00584D8F"/>
    <w:rsid w:val="005856F6"/>
    <w:rsid w:val="00585FB8"/>
    <w:rsid w:val="005878D1"/>
    <w:rsid w:val="00590AB8"/>
    <w:rsid w:val="0059429D"/>
    <w:rsid w:val="00595360"/>
    <w:rsid w:val="0059571A"/>
    <w:rsid w:val="0059625F"/>
    <w:rsid w:val="00596D42"/>
    <w:rsid w:val="005A2668"/>
    <w:rsid w:val="005A404D"/>
    <w:rsid w:val="005A54BD"/>
    <w:rsid w:val="005A5BC5"/>
    <w:rsid w:val="005A60B4"/>
    <w:rsid w:val="005A7FFE"/>
    <w:rsid w:val="005B0A5F"/>
    <w:rsid w:val="005B0B0A"/>
    <w:rsid w:val="005B1E3C"/>
    <w:rsid w:val="005B361A"/>
    <w:rsid w:val="005B46FF"/>
    <w:rsid w:val="005B5F70"/>
    <w:rsid w:val="005B74F1"/>
    <w:rsid w:val="005C05A9"/>
    <w:rsid w:val="005C0AE7"/>
    <w:rsid w:val="005C24AC"/>
    <w:rsid w:val="005C26CC"/>
    <w:rsid w:val="005C4363"/>
    <w:rsid w:val="005C59D1"/>
    <w:rsid w:val="005C5F7A"/>
    <w:rsid w:val="005C5F8C"/>
    <w:rsid w:val="005C7264"/>
    <w:rsid w:val="005D1342"/>
    <w:rsid w:val="005D185E"/>
    <w:rsid w:val="005D362A"/>
    <w:rsid w:val="005D4B28"/>
    <w:rsid w:val="005D5694"/>
    <w:rsid w:val="005D678B"/>
    <w:rsid w:val="005E216C"/>
    <w:rsid w:val="005E441B"/>
    <w:rsid w:val="005E47E8"/>
    <w:rsid w:val="005E490B"/>
    <w:rsid w:val="005E53E0"/>
    <w:rsid w:val="005E6636"/>
    <w:rsid w:val="005E6C0E"/>
    <w:rsid w:val="005F0D33"/>
    <w:rsid w:val="005F19B6"/>
    <w:rsid w:val="005F26C4"/>
    <w:rsid w:val="005F71E2"/>
    <w:rsid w:val="00600D4E"/>
    <w:rsid w:val="00603892"/>
    <w:rsid w:val="00605D6C"/>
    <w:rsid w:val="0061252F"/>
    <w:rsid w:val="00615C6B"/>
    <w:rsid w:val="00617053"/>
    <w:rsid w:val="006244E3"/>
    <w:rsid w:val="00625B81"/>
    <w:rsid w:val="00627268"/>
    <w:rsid w:val="006313B8"/>
    <w:rsid w:val="00632308"/>
    <w:rsid w:val="006329B7"/>
    <w:rsid w:val="00632D6D"/>
    <w:rsid w:val="0063437B"/>
    <w:rsid w:val="00635470"/>
    <w:rsid w:val="0063778D"/>
    <w:rsid w:val="006407DC"/>
    <w:rsid w:val="006417EE"/>
    <w:rsid w:val="00642C3E"/>
    <w:rsid w:val="006456B6"/>
    <w:rsid w:val="00646025"/>
    <w:rsid w:val="006468F8"/>
    <w:rsid w:val="00650DE9"/>
    <w:rsid w:val="00652E70"/>
    <w:rsid w:val="00655773"/>
    <w:rsid w:val="006561CF"/>
    <w:rsid w:val="00660D0C"/>
    <w:rsid w:val="00660E34"/>
    <w:rsid w:val="00663DAD"/>
    <w:rsid w:val="00664473"/>
    <w:rsid w:val="00665798"/>
    <w:rsid w:val="00666380"/>
    <w:rsid w:val="00666876"/>
    <w:rsid w:val="006668D6"/>
    <w:rsid w:val="006672F7"/>
    <w:rsid w:val="006711DA"/>
    <w:rsid w:val="006729C4"/>
    <w:rsid w:val="00673CB8"/>
    <w:rsid w:val="00674310"/>
    <w:rsid w:val="006749E0"/>
    <w:rsid w:val="00674EAC"/>
    <w:rsid w:val="00675322"/>
    <w:rsid w:val="00675FA2"/>
    <w:rsid w:val="00676679"/>
    <w:rsid w:val="00677EDB"/>
    <w:rsid w:val="00681C25"/>
    <w:rsid w:val="00681F03"/>
    <w:rsid w:val="006847DF"/>
    <w:rsid w:val="00685F80"/>
    <w:rsid w:val="00686341"/>
    <w:rsid w:val="006870AC"/>
    <w:rsid w:val="00687649"/>
    <w:rsid w:val="00691143"/>
    <w:rsid w:val="0069148B"/>
    <w:rsid w:val="00691616"/>
    <w:rsid w:val="006917EB"/>
    <w:rsid w:val="00693263"/>
    <w:rsid w:val="00693D89"/>
    <w:rsid w:val="00694802"/>
    <w:rsid w:val="006A02FD"/>
    <w:rsid w:val="006A06CA"/>
    <w:rsid w:val="006A12C1"/>
    <w:rsid w:val="006A19B3"/>
    <w:rsid w:val="006A19B4"/>
    <w:rsid w:val="006A2029"/>
    <w:rsid w:val="006A312D"/>
    <w:rsid w:val="006A595C"/>
    <w:rsid w:val="006B0976"/>
    <w:rsid w:val="006B22A3"/>
    <w:rsid w:val="006B32FE"/>
    <w:rsid w:val="006B46A1"/>
    <w:rsid w:val="006B4CF9"/>
    <w:rsid w:val="006B6FE1"/>
    <w:rsid w:val="006B7AC8"/>
    <w:rsid w:val="006C01FF"/>
    <w:rsid w:val="006C4086"/>
    <w:rsid w:val="006C63D5"/>
    <w:rsid w:val="006C6EAC"/>
    <w:rsid w:val="006C756C"/>
    <w:rsid w:val="006D110A"/>
    <w:rsid w:val="006D112C"/>
    <w:rsid w:val="006D48EA"/>
    <w:rsid w:val="006D550F"/>
    <w:rsid w:val="006D6AAF"/>
    <w:rsid w:val="006D6B49"/>
    <w:rsid w:val="006D77F3"/>
    <w:rsid w:val="006D79C8"/>
    <w:rsid w:val="006E03E6"/>
    <w:rsid w:val="006F07A4"/>
    <w:rsid w:val="006F08EF"/>
    <w:rsid w:val="006F0E7F"/>
    <w:rsid w:val="006F68A4"/>
    <w:rsid w:val="007015B8"/>
    <w:rsid w:val="00701CAB"/>
    <w:rsid w:val="007022AA"/>
    <w:rsid w:val="007051CE"/>
    <w:rsid w:val="00705CF6"/>
    <w:rsid w:val="0070626A"/>
    <w:rsid w:val="00706C4D"/>
    <w:rsid w:val="00707098"/>
    <w:rsid w:val="00707340"/>
    <w:rsid w:val="007073F5"/>
    <w:rsid w:val="00707563"/>
    <w:rsid w:val="00707A7D"/>
    <w:rsid w:val="00711AFB"/>
    <w:rsid w:val="007123B4"/>
    <w:rsid w:val="00712577"/>
    <w:rsid w:val="00713598"/>
    <w:rsid w:val="00713AEF"/>
    <w:rsid w:val="00713D45"/>
    <w:rsid w:val="00714129"/>
    <w:rsid w:val="0071620F"/>
    <w:rsid w:val="00717CC8"/>
    <w:rsid w:val="00721239"/>
    <w:rsid w:val="00721621"/>
    <w:rsid w:val="00722AF4"/>
    <w:rsid w:val="0072348C"/>
    <w:rsid w:val="00724A37"/>
    <w:rsid w:val="00726F0E"/>
    <w:rsid w:val="00727DEF"/>
    <w:rsid w:val="007303C3"/>
    <w:rsid w:val="00730DCF"/>
    <w:rsid w:val="00732C01"/>
    <w:rsid w:val="00733BE6"/>
    <w:rsid w:val="00733F3D"/>
    <w:rsid w:val="00734389"/>
    <w:rsid w:val="00734AC9"/>
    <w:rsid w:val="007371B2"/>
    <w:rsid w:val="00740EA6"/>
    <w:rsid w:val="00743223"/>
    <w:rsid w:val="00744060"/>
    <w:rsid w:val="00746D01"/>
    <w:rsid w:val="00746E01"/>
    <w:rsid w:val="00747A29"/>
    <w:rsid w:val="0075059F"/>
    <w:rsid w:val="007512C9"/>
    <w:rsid w:val="00751696"/>
    <w:rsid w:val="00752001"/>
    <w:rsid w:val="007525D9"/>
    <w:rsid w:val="007565C5"/>
    <w:rsid w:val="0075688B"/>
    <w:rsid w:val="00757944"/>
    <w:rsid w:val="0076298B"/>
    <w:rsid w:val="00763E5D"/>
    <w:rsid w:val="0076627B"/>
    <w:rsid w:val="007663B4"/>
    <w:rsid w:val="00766C5E"/>
    <w:rsid w:val="00767740"/>
    <w:rsid w:val="00772377"/>
    <w:rsid w:val="007725CD"/>
    <w:rsid w:val="00774A6C"/>
    <w:rsid w:val="00776432"/>
    <w:rsid w:val="00777EE6"/>
    <w:rsid w:val="00782C4B"/>
    <w:rsid w:val="00782EEA"/>
    <w:rsid w:val="00783000"/>
    <w:rsid w:val="007852DE"/>
    <w:rsid w:val="00785FF4"/>
    <w:rsid w:val="00787463"/>
    <w:rsid w:val="007900F5"/>
    <w:rsid w:val="00790460"/>
    <w:rsid w:val="007910A6"/>
    <w:rsid w:val="007928AA"/>
    <w:rsid w:val="00792D3A"/>
    <w:rsid w:val="00794400"/>
    <w:rsid w:val="0079488D"/>
    <w:rsid w:val="0079520A"/>
    <w:rsid w:val="00795673"/>
    <w:rsid w:val="00795FCB"/>
    <w:rsid w:val="007967B3"/>
    <w:rsid w:val="007A06FA"/>
    <w:rsid w:val="007A10F1"/>
    <w:rsid w:val="007A2426"/>
    <w:rsid w:val="007A2F2D"/>
    <w:rsid w:val="007A386D"/>
    <w:rsid w:val="007A5AB5"/>
    <w:rsid w:val="007A6F2A"/>
    <w:rsid w:val="007A7F02"/>
    <w:rsid w:val="007B06B2"/>
    <w:rsid w:val="007B2C72"/>
    <w:rsid w:val="007C0DFE"/>
    <w:rsid w:val="007C1C53"/>
    <w:rsid w:val="007C223E"/>
    <w:rsid w:val="007C3314"/>
    <w:rsid w:val="007C5BE9"/>
    <w:rsid w:val="007C60D3"/>
    <w:rsid w:val="007D0628"/>
    <w:rsid w:val="007D275E"/>
    <w:rsid w:val="007D403A"/>
    <w:rsid w:val="007D43C1"/>
    <w:rsid w:val="007D4722"/>
    <w:rsid w:val="007E0CD0"/>
    <w:rsid w:val="007E1347"/>
    <w:rsid w:val="007E26A9"/>
    <w:rsid w:val="007E4904"/>
    <w:rsid w:val="007E4CB5"/>
    <w:rsid w:val="007E5E03"/>
    <w:rsid w:val="007E7F96"/>
    <w:rsid w:val="007F00F6"/>
    <w:rsid w:val="007F066B"/>
    <w:rsid w:val="007F2990"/>
    <w:rsid w:val="007F58AD"/>
    <w:rsid w:val="007F68F7"/>
    <w:rsid w:val="007F6A63"/>
    <w:rsid w:val="007F7A5D"/>
    <w:rsid w:val="00802D15"/>
    <w:rsid w:val="008033C4"/>
    <w:rsid w:val="00804060"/>
    <w:rsid w:val="008045B9"/>
    <w:rsid w:val="008058B2"/>
    <w:rsid w:val="008068B6"/>
    <w:rsid w:val="00806C88"/>
    <w:rsid w:val="00806DE8"/>
    <w:rsid w:val="0081018D"/>
    <w:rsid w:val="0081034E"/>
    <w:rsid w:val="00812691"/>
    <w:rsid w:val="008134E3"/>
    <w:rsid w:val="00813D8C"/>
    <w:rsid w:val="0081524E"/>
    <w:rsid w:val="00816A49"/>
    <w:rsid w:val="00816CC1"/>
    <w:rsid w:val="008207AF"/>
    <w:rsid w:val="00821521"/>
    <w:rsid w:val="00822A97"/>
    <w:rsid w:val="00823AA5"/>
    <w:rsid w:val="00824549"/>
    <w:rsid w:val="00825899"/>
    <w:rsid w:val="00825983"/>
    <w:rsid w:val="00825BB3"/>
    <w:rsid w:val="00827FE3"/>
    <w:rsid w:val="008314ED"/>
    <w:rsid w:val="008344F6"/>
    <w:rsid w:val="0083510F"/>
    <w:rsid w:val="00836B15"/>
    <w:rsid w:val="0083741D"/>
    <w:rsid w:val="008404BC"/>
    <w:rsid w:val="00840AF6"/>
    <w:rsid w:val="00841513"/>
    <w:rsid w:val="00842D92"/>
    <w:rsid w:val="008452A8"/>
    <w:rsid w:val="00846680"/>
    <w:rsid w:val="00847421"/>
    <w:rsid w:val="00847B6A"/>
    <w:rsid w:val="00851209"/>
    <w:rsid w:val="00852112"/>
    <w:rsid w:val="00854BF0"/>
    <w:rsid w:val="00854CEE"/>
    <w:rsid w:val="00854FA3"/>
    <w:rsid w:val="00857AE6"/>
    <w:rsid w:val="0086325C"/>
    <w:rsid w:val="00863CC2"/>
    <w:rsid w:val="00873C10"/>
    <w:rsid w:val="00874646"/>
    <w:rsid w:val="008774DF"/>
    <w:rsid w:val="008776AC"/>
    <w:rsid w:val="0088007E"/>
    <w:rsid w:val="00881D98"/>
    <w:rsid w:val="00881EDE"/>
    <w:rsid w:val="008823D0"/>
    <w:rsid w:val="00882845"/>
    <w:rsid w:val="00882F7B"/>
    <w:rsid w:val="0088377C"/>
    <w:rsid w:val="008837AC"/>
    <w:rsid w:val="0088398D"/>
    <w:rsid w:val="00884083"/>
    <w:rsid w:val="00887D2F"/>
    <w:rsid w:val="008902C2"/>
    <w:rsid w:val="00890A5A"/>
    <w:rsid w:val="00891B40"/>
    <w:rsid w:val="00893ADB"/>
    <w:rsid w:val="008945B4"/>
    <w:rsid w:val="0089538C"/>
    <w:rsid w:val="00895DD7"/>
    <w:rsid w:val="008A2330"/>
    <w:rsid w:val="008A2D2B"/>
    <w:rsid w:val="008A587D"/>
    <w:rsid w:val="008A5B50"/>
    <w:rsid w:val="008A7AAF"/>
    <w:rsid w:val="008A7DE4"/>
    <w:rsid w:val="008A7E47"/>
    <w:rsid w:val="008B0088"/>
    <w:rsid w:val="008B62D6"/>
    <w:rsid w:val="008C0D0F"/>
    <w:rsid w:val="008C130A"/>
    <w:rsid w:val="008C16BB"/>
    <w:rsid w:val="008C5486"/>
    <w:rsid w:val="008C55E2"/>
    <w:rsid w:val="008C69E9"/>
    <w:rsid w:val="008D3B71"/>
    <w:rsid w:val="008D4630"/>
    <w:rsid w:val="008D48E3"/>
    <w:rsid w:val="008D5626"/>
    <w:rsid w:val="008E23ED"/>
    <w:rsid w:val="008E4F1F"/>
    <w:rsid w:val="008E7031"/>
    <w:rsid w:val="008E7ECD"/>
    <w:rsid w:val="008F1F23"/>
    <w:rsid w:val="008F2C98"/>
    <w:rsid w:val="008F34C2"/>
    <w:rsid w:val="008F4206"/>
    <w:rsid w:val="008F6000"/>
    <w:rsid w:val="008F782C"/>
    <w:rsid w:val="008F7CD3"/>
    <w:rsid w:val="008F7F83"/>
    <w:rsid w:val="00906798"/>
    <w:rsid w:val="00906B7B"/>
    <w:rsid w:val="00907EA4"/>
    <w:rsid w:val="00910E36"/>
    <w:rsid w:val="009120A1"/>
    <w:rsid w:val="00913E47"/>
    <w:rsid w:val="00915DCD"/>
    <w:rsid w:val="00921DE8"/>
    <w:rsid w:val="00922C95"/>
    <w:rsid w:val="009233EE"/>
    <w:rsid w:val="00925D43"/>
    <w:rsid w:val="00926263"/>
    <w:rsid w:val="00926FDA"/>
    <w:rsid w:val="0093242D"/>
    <w:rsid w:val="00933510"/>
    <w:rsid w:val="009355A5"/>
    <w:rsid w:val="00935D49"/>
    <w:rsid w:val="00941858"/>
    <w:rsid w:val="009440D0"/>
    <w:rsid w:val="009453F9"/>
    <w:rsid w:val="0095029E"/>
    <w:rsid w:val="00952CA9"/>
    <w:rsid w:val="00955269"/>
    <w:rsid w:val="00955E60"/>
    <w:rsid w:val="0095683B"/>
    <w:rsid w:val="0095704E"/>
    <w:rsid w:val="009661DE"/>
    <w:rsid w:val="00967670"/>
    <w:rsid w:val="00970772"/>
    <w:rsid w:val="00971C4D"/>
    <w:rsid w:val="009722F7"/>
    <w:rsid w:val="00972E73"/>
    <w:rsid w:val="009730B9"/>
    <w:rsid w:val="00974DC9"/>
    <w:rsid w:val="00976F37"/>
    <w:rsid w:val="00980F47"/>
    <w:rsid w:val="009814BE"/>
    <w:rsid w:val="009820C6"/>
    <w:rsid w:val="009827EB"/>
    <w:rsid w:val="00984235"/>
    <w:rsid w:val="009856B7"/>
    <w:rsid w:val="0098602B"/>
    <w:rsid w:val="00991B3B"/>
    <w:rsid w:val="00993BF6"/>
    <w:rsid w:val="0099438B"/>
    <w:rsid w:val="009962BA"/>
    <w:rsid w:val="009A2521"/>
    <w:rsid w:val="009B1FE4"/>
    <w:rsid w:val="009B254D"/>
    <w:rsid w:val="009B72E4"/>
    <w:rsid w:val="009B74B0"/>
    <w:rsid w:val="009B78E4"/>
    <w:rsid w:val="009C1EAE"/>
    <w:rsid w:val="009C2313"/>
    <w:rsid w:val="009C2938"/>
    <w:rsid w:val="009C4A7F"/>
    <w:rsid w:val="009C59AC"/>
    <w:rsid w:val="009C6F21"/>
    <w:rsid w:val="009D277F"/>
    <w:rsid w:val="009D32F1"/>
    <w:rsid w:val="009D4414"/>
    <w:rsid w:val="009D4D94"/>
    <w:rsid w:val="009D4E49"/>
    <w:rsid w:val="009D53F8"/>
    <w:rsid w:val="009D54DD"/>
    <w:rsid w:val="009D5FBE"/>
    <w:rsid w:val="009D6B46"/>
    <w:rsid w:val="009E11DD"/>
    <w:rsid w:val="009E225F"/>
    <w:rsid w:val="009E369F"/>
    <w:rsid w:val="009E4F17"/>
    <w:rsid w:val="009E5FC7"/>
    <w:rsid w:val="009E72A9"/>
    <w:rsid w:val="009E78C1"/>
    <w:rsid w:val="009E7EEA"/>
    <w:rsid w:val="009F0D3C"/>
    <w:rsid w:val="009F4940"/>
    <w:rsid w:val="009F52D9"/>
    <w:rsid w:val="009F5E9F"/>
    <w:rsid w:val="009F77DD"/>
    <w:rsid w:val="00A003F5"/>
    <w:rsid w:val="00A014E6"/>
    <w:rsid w:val="00A02EC1"/>
    <w:rsid w:val="00A037E9"/>
    <w:rsid w:val="00A07335"/>
    <w:rsid w:val="00A073FD"/>
    <w:rsid w:val="00A12E84"/>
    <w:rsid w:val="00A14B66"/>
    <w:rsid w:val="00A15600"/>
    <w:rsid w:val="00A15E65"/>
    <w:rsid w:val="00A1665B"/>
    <w:rsid w:val="00A178A1"/>
    <w:rsid w:val="00A20FFA"/>
    <w:rsid w:val="00A21A0C"/>
    <w:rsid w:val="00A223D8"/>
    <w:rsid w:val="00A22CEF"/>
    <w:rsid w:val="00A2397A"/>
    <w:rsid w:val="00A24076"/>
    <w:rsid w:val="00A24C82"/>
    <w:rsid w:val="00A250FE"/>
    <w:rsid w:val="00A256E2"/>
    <w:rsid w:val="00A25AD6"/>
    <w:rsid w:val="00A26920"/>
    <w:rsid w:val="00A271B2"/>
    <w:rsid w:val="00A303B9"/>
    <w:rsid w:val="00A30582"/>
    <w:rsid w:val="00A32C12"/>
    <w:rsid w:val="00A33DE0"/>
    <w:rsid w:val="00A374D7"/>
    <w:rsid w:val="00A37CE5"/>
    <w:rsid w:val="00A406FB"/>
    <w:rsid w:val="00A407FB"/>
    <w:rsid w:val="00A4478A"/>
    <w:rsid w:val="00A44852"/>
    <w:rsid w:val="00A449CB"/>
    <w:rsid w:val="00A46674"/>
    <w:rsid w:val="00A478CF"/>
    <w:rsid w:val="00A47C24"/>
    <w:rsid w:val="00A506AF"/>
    <w:rsid w:val="00A52A26"/>
    <w:rsid w:val="00A56A4B"/>
    <w:rsid w:val="00A579D3"/>
    <w:rsid w:val="00A57D04"/>
    <w:rsid w:val="00A605F8"/>
    <w:rsid w:val="00A60A26"/>
    <w:rsid w:val="00A61598"/>
    <w:rsid w:val="00A615E8"/>
    <w:rsid w:val="00A6611D"/>
    <w:rsid w:val="00A66460"/>
    <w:rsid w:val="00A6693D"/>
    <w:rsid w:val="00A66D3E"/>
    <w:rsid w:val="00A67030"/>
    <w:rsid w:val="00A72213"/>
    <w:rsid w:val="00A7357D"/>
    <w:rsid w:val="00A736A8"/>
    <w:rsid w:val="00A772F9"/>
    <w:rsid w:val="00A77DC2"/>
    <w:rsid w:val="00A80F02"/>
    <w:rsid w:val="00A81A8A"/>
    <w:rsid w:val="00A84F46"/>
    <w:rsid w:val="00A864B7"/>
    <w:rsid w:val="00A871F4"/>
    <w:rsid w:val="00A8735D"/>
    <w:rsid w:val="00A90B74"/>
    <w:rsid w:val="00A911FC"/>
    <w:rsid w:val="00A91DAA"/>
    <w:rsid w:val="00A92F23"/>
    <w:rsid w:val="00A95514"/>
    <w:rsid w:val="00A968D4"/>
    <w:rsid w:val="00AA0F76"/>
    <w:rsid w:val="00AA36E7"/>
    <w:rsid w:val="00AA4DEE"/>
    <w:rsid w:val="00AA51E0"/>
    <w:rsid w:val="00AA6022"/>
    <w:rsid w:val="00AA79A7"/>
    <w:rsid w:val="00AB30E4"/>
    <w:rsid w:val="00AB310D"/>
    <w:rsid w:val="00AB4B90"/>
    <w:rsid w:val="00AB537D"/>
    <w:rsid w:val="00AB6528"/>
    <w:rsid w:val="00AC1B2C"/>
    <w:rsid w:val="00AC1FB8"/>
    <w:rsid w:val="00AC3264"/>
    <w:rsid w:val="00AC3378"/>
    <w:rsid w:val="00AC5836"/>
    <w:rsid w:val="00AC6F01"/>
    <w:rsid w:val="00AC7784"/>
    <w:rsid w:val="00AD0526"/>
    <w:rsid w:val="00AD0B30"/>
    <w:rsid w:val="00AD16C0"/>
    <w:rsid w:val="00AD24CF"/>
    <w:rsid w:val="00AD3382"/>
    <w:rsid w:val="00AE08B8"/>
    <w:rsid w:val="00AE0FE2"/>
    <w:rsid w:val="00AE16B5"/>
    <w:rsid w:val="00AE1BF1"/>
    <w:rsid w:val="00AE269D"/>
    <w:rsid w:val="00AE270A"/>
    <w:rsid w:val="00AE3687"/>
    <w:rsid w:val="00AE62A1"/>
    <w:rsid w:val="00AF0DD2"/>
    <w:rsid w:val="00AF2073"/>
    <w:rsid w:val="00AF2143"/>
    <w:rsid w:val="00AF29ED"/>
    <w:rsid w:val="00AF4BDA"/>
    <w:rsid w:val="00B0249B"/>
    <w:rsid w:val="00B053E7"/>
    <w:rsid w:val="00B07140"/>
    <w:rsid w:val="00B0776E"/>
    <w:rsid w:val="00B07BBE"/>
    <w:rsid w:val="00B10314"/>
    <w:rsid w:val="00B10E48"/>
    <w:rsid w:val="00B110FC"/>
    <w:rsid w:val="00B12357"/>
    <w:rsid w:val="00B13048"/>
    <w:rsid w:val="00B138C4"/>
    <w:rsid w:val="00B145BE"/>
    <w:rsid w:val="00B15998"/>
    <w:rsid w:val="00B16838"/>
    <w:rsid w:val="00B1716D"/>
    <w:rsid w:val="00B17A1D"/>
    <w:rsid w:val="00B17FCD"/>
    <w:rsid w:val="00B207A0"/>
    <w:rsid w:val="00B21100"/>
    <w:rsid w:val="00B21594"/>
    <w:rsid w:val="00B224E1"/>
    <w:rsid w:val="00B23856"/>
    <w:rsid w:val="00B279DD"/>
    <w:rsid w:val="00B31317"/>
    <w:rsid w:val="00B31BF6"/>
    <w:rsid w:val="00B338DB"/>
    <w:rsid w:val="00B34D8C"/>
    <w:rsid w:val="00B3746C"/>
    <w:rsid w:val="00B46ADC"/>
    <w:rsid w:val="00B50BC9"/>
    <w:rsid w:val="00B55E50"/>
    <w:rsid w:val="00B56E03"/>
    <w:rsid w:val="00B57D11"/>
    <w:rsid w:val="00B60F5D"/>
    <w:rsid w:val="00B636D5"/>
    <w:rsid w:val="00B6475E"/>
    <w:rsid w:val="00B67CDB"/>
    <w:rsid w:val="00B67E91"/>
    <w:rsid w:val="00B71EF9"/>
    <w:rsid w:val="00B72D45"/>
    <w:rsid w:val="00B73C53"/>
    <w:rsid w:val="00B745EB"/>
    <w:rsid w:val="00B76790"/>
    <w:rsid w:val="00B77D26"/>
    <w:rsid w:val="00B8009D"/>
    <w:rsid w:val="00B8080B"/>
    <w:rsid w:val="00B81452"/>
    <w:rsid w:val="00B83E1F"/>
    <w:rsid w:val="00B84C03"/>
    <w:rsid w:val="00B85234"/>
    <w:rsid w:val="00B86BCA"/>
    <w:rsid w:val="00B87018"/>
    <w:rsid w:val="00B87C39"/>
    <w:rsid w:val="00B87F4F"/>
    <w:rsid w:val="00B910EF"/>
    <w:rsid w:val="00B91892"/>
    <w:rsid w:val="00B91910"/>
    <w:rsid w:val="00B91D8A"/>
    <w:rsid w:val="00B92903"/>
    <w:rsid w:val="00B9352A"/>
    <w:rsid w:val="00B951CE"/>
    <w:rsid w:val="00B962B8"/>
    <w:rsid w:val="00B97A69"/>
    <w:rsid w:val="00B97D27"/>
    <w:rsid w:val="00BA1262"/>
    <w:rsid w:val="00BA1499"/>
    <w:rsid w:val="00BA370E"/>
    <w:rsid w:val="00BA3DFA"/>
    <w:rsid w:val="00BA41C0"/>
    <w:rsid w:val="00BA4665"/>
    <w:rsid w:val="00BA5765"/>
    <w:rsid w:val="00BA5784"/>
    <w:rsid w:val="00BA5E23"/>
    <w:rsid w:val="00BA5E27"/>
    <w:rsid w:val="00BA7B36"/>
    <w:rsid w:val="00BB08E2"/>
    <w:rsid w:val="00BB2965"/>
    <w:rsid w:val="00BB2BD4"/>
    <w:rsid w:val="00BB2FB2"/>
    <w:rsid w:val="00BB3304"/>
    <w:rsid w:val="00BB3B03"/>
    <w:rsid w:val="00BB429F"/>
    <w:rsid w:val="00BB4634"/>
    <w:rsid w:val="00BB4CD3"/>
    <w:rsid w:val="00BB5D9C"/>
    <w:rsid w:val="00BB7F46"/>
    <w:rsid w:val="00BC4CFE"/>
    <w:rsid w:val="00BC60C0"/>
    <w:rsid w:val="00BC63FB"/>
    <w:rsid w:val="00BD0E71"/>
    <w:rsid w:val="00BD1973"/>
    <w:rsid w:val="00BD3446"/>
    <w:rsid w:val="00BD4F7D"/>
    <w:rsid w:val="00BD5BDB"/>
    <w:rsid w:val="00BD5BF0"/>
    <w:rsid w:val="00BD5D7F"/>
    <w:rsid w:val="00BE0A1D"/>
    <w:rsid w:val="00BE1F1B"/>
    <w:rsid w:val="00BE3C42"/>
    <w:rsid w:val="00BE47B5"/>
    <w:rsid w:val="00BE4C99"/>
    <w:rsid w:val="00BE75F2"/>
    <w:rsid w:val="00BE78CF"/>
    <w:rsid w:val="00BF1FFB"/>
    <w:rsid w:val="00BF2704"/>
    <w:rsid w:val="00BF2750"/>
    <w:rsid w:val="00BF2C68"/>
    <w:rsid w:val="00BF3ED7"/>
    <w:rsid w:val="00BF661B"/>
    <w:rsid w:val="00C058AB"/>
    <w:rsid w:val="00C06739"/>
    <w:rsid w:val="00C068C6"/>
    <w:rsid w:val="00C110C5"/>
    <w:rsid w:val="00C13E98"/>
    <w:rsid w:val="00C144E0"/>
    <w:rsid w:val="00C1578E"/>
    <w:rsid w:val="00C16994"/>
    <w:rsid w:val="00C17052"/>
    <w:rsid w:val="00C21062"/>
    <w:rsid w:val="00C21699"/>
    <w:rsid w:val="00C21F5D"/>
    <w:rsid w:val="00C23298"/>
    <w:rsid w:val="00C24816"/>
    <w:rsid w:val="00C25A65"/>
    <w:rsid w:val="00C273C9"/>
    <w:rsid w:val="00C27958"/>
    <w:rsid w:val="00C305CD"/>
    <w:rsid w:val="00C3216E"/>
    <w:rsid w:val="00C33BFF"/>
    <w:rsid w:val="00C33D73"/>
    <w:rsid w:val="00C34CF8"/>
    <w:rsid w:val="00C35A55"/>
    <w:rsid w:val="00C36573"/>
    <w:rsid w:val="00C369F4"/>
    <w:rsid w:val="00C402C0"/>
    <w:rsid w:val="00C410E3"/>
    <w:rsid w:val="00C412AB"/>
    <w:rsid w:val="00C4151B"/>
    <w:rsid w:val="00C445FD"/>
    <w:rsid w:val="00C4511B"/>
    <w:rsid w:val="00C474C6"/>
    <w:rsid w:val="00C47BD7"/>
    <w:rsid w:val="00C52697"/>
    <w:rsid w:val="00C538A9"/>
    <w:rsid w:val="00C53B5A"/>
    <w:rsid w:val="00C54F5A"/>
    <w:rsid w:val="00C5664B"/>
    <w:rsid w:val="00C601EB"/>
    <w:rsid w:val="00C62B38"/>
    <w:rsid w:val="00C6552A"/>
    <w:rsid w:val="00C65BDA"/>
    <w:rsid w:val="00C6681E"/>
    <w:rsid w:val="00C72C99"/>
    <w:rsid w:val="00C755AD"/>
    <w:rsid w:val="00C75E4B"/>
    <w:rsid w:val="00C77058"/>
    <w:rsid w:val="00C77BEA"/>
    <w:rsid w:val="00C803C1"/>
    <w:rsid w:val="00C82063"/>
    <w:rsid w:val="00C8389C"/>
    <w:rsid w:val="00C83AD6"/>
    <w:rsid w:val="00C864A3"/>
    <w:rsid w:val="00C86679"/>
    <w:rsid w:val="00C93DC7"/>
    <w:rsid w:val="00C94CB5"/>
    <w:rsid w:val="00C96F55"/>
    <w:rsid w:val="00CA130D"/>
    <w:rsid w:val="00CA2F26"/>
    <w:rsid w:val="00CA37CA"/>
    <w:rsid w:val="00CA555B"/>
    <w:rsid w:val="00CB0F0C"/>
    <w:rsid w:val="00CB1511"/>
    <w:rsid w:val="00CB31AC"/>
    <w:rsid w:val="00CB666B"/>
    <w:rsid w:val="00CB75D7"/>
    <w:rsid w:val="00CB7638"/>
    <w:rsid w:val="00CB7853"/>
    <w:rsid w:val="00CC2659"/>
    <w:rsid w:val="00CD0E11"/>
    <w:rsid w:val="00CD0EF7"/>
    <w:rsid w:val="00CD1AC8"/>
    <w:rsid w:val="00CD252C"/>
    <w:rsid w:val="00CD443A"/>
    <w:rsid w:val="00CD4F4E"/>
    <w:rsid w:val="00CD5E4C"/>
    <w:rsid w:val="00CD614C"/>
    <w:rsid w:val="00CE01D1"/>
    <w:rsid w:val="00CE1FEE"/>
    <w:rsid w:val="00CE2169"/>
    <w:rsid w:val="00CE2A0B"/>
    <w:rsid w:val="00CE6BCF"/>
    <w:rsid w:val="00CF0739"/>
    <w:rsid w:val="00CF23EB"/>
    <w:rsid w:val="00CF39BC"/>
    <w:rsid w:val="00CF3E0C"/>
    <w:rsid w:val="00CF4762"/>
    <w:rsid w:val="00CF5CF4"/>
    <w:rsid w:val="00CF799E"/>
    <w:rsid w:val="00D0062C"/>
    <w:rsid w:val="00D00DDC"/>
    <w:rsid w:val="00D01A6E"/>
    <w:rsid w:val="00D01CF0"/>
    <w:rsid w:val="00D0253C"/>
    <w:rsid w:val="00D03179"/>
    <w:rsid w:val="00D03C97"/>
    <w:rsid w:val="00D0442A"/>
    <w:rsid w:val="00D06837"/>
    <w:rsid w:val="00D07FBB"/>
    <w:rsid w:val="00D106E6"/>
    <w:rsid w:val="00D1293B"/>
    <w:rsid w:val="00D1614F"/>
    <w:rsid w:val="00D16700"/>
    <w:rsid w:val="00D17A0B"/>
    <w:rsid w:val="00D203E1"/>
    <w:rsid w:val="00D205E8"/>
    <w:rsid w:val="00D20609"/>
    <w:rsid w:val="00D2102F"/>
    <w:rsid w:val="00D2108C"/>
    <w:rsid w:val="00D25035"/>
    <w:rsid w:val="00D250DF"/>
    <w:rsid w:val="00D256E0"/>
    <w:rsid w:val="00D25E1A"/>
    <w:rsid w:val="00D25E41"/>
    <w:rsid w:val="00D30E23"/>
    <w:rsid w:val="00D319AE"/>
    <w:rsid w:val="00D35E9A"/>
    <w:rsid w:val="00D37BA7"/>
    <w:rsid w:val="00D41CC0"/>
    <w:rsid w:val="00D430D8"/>
    <w:rsid w:val="00D43FF1"/>
    <w:rsid w:val="00D44E1E"/>
    <w:rsid w:val="00D450CA"/>
    <w:rsid w:val="00D4551F"/>
    <w:rsid w:val="00D45CEF"/>
    <w:rsid w:val="00D46911"/>
    <w:rsid w:val="00D47885"/>
    <w:rsid w:val="00D507D3"/>
    <w:rsid w:val="00D52317"/>
    <w:rsid w:val="00D52E21"/>
    <w:rsid w:val="00D530B4"/>
    <w:rsid w:val="00D537C5"/>
    <w:rsid w:val="00D544B8"/>
    <w:rsid w:val="00D555A5"/>
    <w:rsid w:val="00D55F69"/>
    <w:rsid w:val="00D57582"/>
    <w:rsid w:val="00D61388"/>
    <w:rsid w:val="00D61A54"/>
    <w:rsid w:val="00D63B1F"/>
    <w:rsid w:val="00D64DEA"/>
    <w:rsid w:val="00D656CB"/>
    <w:rsid w:val="00D73E67"/>
    <w:rsid w:val="00D7776D"/>
    <w:rsid w:val="00D80893"/>
    <w:rsid w:val="00D81727"/>
    <w:rsid w:val="00D828C1"/>
    <w:rsid w:val="00D829A9"/>
    <w:rsid w:val="00D83942"/>
    <w:rsid w:val="00D83FFF"/>
    <w:rsid w:val="00D8446D"/>
    <w:rsid w:val="00D85E96"/>
    <w:rsid w:val="00D86955"/>
    <w:rsid w:val="00D90C52"/>
    <w:rsid w:val="00D90F43"/>
    <w:rsid w:val="00D92752"/>
    <w:rsid w:val="00D92CF1"/>
    <w:rsid w:val="00D92D38"/>
    <w:rsid w:val="00D92E8E"/>
    <w:rsid w:val="00D94B9E"/>
    <w:rsid w:val="00D950F5"/>
    <w:rsid w:val="00D96549"/>
    <w:rsid w:val="00D965A8"/>
    <w:rsid w:val="00DA0F88"/>
    <w:rsid w:val="00DA15D1"/>
    <w:rsid w:val="00DA596B"/>
    <w:rsid w:val="00DA6370"/>
    <w:rsid w:val="00DB02C7"/>
    <w:rsid w:val="00DB08B9"/>
    <w:rsid w:val="00DB0F93"/>
    <w:rsid w:val="00DB68F8"/>
    <w:rsid w:val="00DC0C0E"/>
    <w:rsid w:val="00DC1303"/>
    <w:rsid w:val="00DC18A0"/>
    <w:rsid w:val="00DC390E"/>
    <w:rsid w:val="00DC542F"/>
    <w:rsid w:val="00DC5EF4"/>
    <w:rsid w:val="00DC65CF"/>
    <w:rsid w:val="00DC7314"/>
    <w:rsid w:val="00DC7981"/>
    <w:rsid w:val="00DC7F47"/>
    <w:rsid w:val="00DD056D"/>
    <w:rsid w:val="00DD2499"/>
    <w:rsid w:val="00DD4081"/>
    <w:rsid w:val="00DD50A4"/>
    <w:rsid w:val="00DD63B5"/>
    <w:rsid w:val="00DD7648"/>
    <w:rsid w:val="00DE039C"/>
    <w:rsid w:val="00DE0450"/>
    <w:rsid w:val="00DE37CD"/>
    <w:rsid w:val="00DE4EFA"/>
    <w:rsid w:val="00DE5520"/>
    <w:rsid w:val="00DE5B43"/>
    <w:rsid w:val="00DE61E2"/>
    <w:rsid w:val="00DE7CA0"/>
    <w:rsid w:val="00DF0352"/>
    <w:rsid w:val="00DF389A"/>
    <w:rsid w:val="00DF500E"/>
    <w:rsid w:val="00E00F75"/>
    <w:rsid w:val="00E0130C"/>
    <w:rsid w:val="00E01A14"/>
    <w:rsid w:val="00E02C56"/>
    <w:rsid w:val="00E038F9"/>
    <w:rsid w:val="00E04818"/>
    <w:rsid w:val="00E04DEE"/>
    <w:rsid w:val="00E06442"/>
    <w:rsid w:val="00E11AC3"/>
    <w:rsid w:val="00E11C5C"/>
    <w:rsid w:val="00E11FDC"/>
    <w:rsid w:val="00E12412"/>
    <w:rsid w:val="00E13E1B"/>
    <w:rsid w:val="00E155B2"/>
    <w:rsid w:val="00E16A9B"/>
    <w:rsid w:val="00E16FF7"/>
    <w:rsid w:val="00E175F3"/>
    <w:rsid w:val="00E21E75"/>
    <w:rsid w:val="00E23993"/>
    <w:rsid w:val="00E2546F"/>
    <w:rsid w:val="00E25B8C"/>
    <w:rsid w:val="00E31567"/>
    <w:rsid w:val="00E31F96"/>
    <w:rsid w:val="00E34830"/>
    <w:rsid w:val="00E35713"/>
    <w:rsid w:val="00E3770E"/>
    <w:rsid w:val="00E4197A"/>
    <w:rsid w:val="00E44210"/>
    <w:rsid w:val="00E45E58"/>
    <w:rsid w:val="00E4674F"/>
    <w:rsid w:val="00E50575"/>
    <w:rsid w:val="00E530BF"/>
    <w:rsid w:val="00E532A8"/>
    <w:rsid w:val="00E537A7"/>
    <w:rsid w:val="00E5501C"/>
    <w:rsid w:val="00E55910"/>
    <w:rsid w:val="00E55A3F"/>
    <w:rsid w:val="00E568E1"/>
    <w:rsid w:val="00E574B9"/>
    <w:rsid w:val="00E5795B"/>
    <w:rsid w:val="00E6074C"/>
    <w:rsid w:val="00E614CF"/>
    <w:rsid w:val="00E65C85"/>
    <w:rsid w:val="00E66199"/>
    <w:rsid w:val="00E700AE"/>
    <w:rsid w:val="00E71DE6"/>
    <w:rsid w:val="00E74E7C"/>
    <w:rsid w:val="00E751A7"/>
    <w:rsid w:val="00E75346"/>
    <w:rsid w:val="00E755EC"/>
    <w:rsid w:val="00E7624D"/>
    <w:rsid w:val="00E775D6"/>
    <w:rsid w:val="00E7774B"/>
    <w:rsid w:val="00E80D20"/>
    <w:rsid w:val="00E80FA8"/>
    <w:rsid w:val="00E81973"/>
    <w:rsid w:val="00E83620"/>
    <w:rsid w:val="00E84152"/>
    <w:rsid w:val="00E84E8A"/>
    <w:rsid w:val="00E85F2A"/>
    <w:rsid w:val="00E917E8"/>
    <w:rsid w:val="00E91927"/>
    <w:rsid w:val="00E91B4F"/>
    <w:rsid w:val="00E94D04"/>
    <w:rsid w:val="00E958F6"/>
    <w:rsid w:val="00E97960"/>
    <w:rsid w:val="00E97E7E"/>
    <w:rsid w:val="00EA034D"/>
    <w:rsid w:val="00EA0388"/>
    <w:rsid w:val="00EA14D1"/>
    <w:rsid w:val="00EA279C"/>
    <w:rsid w:val="00EA30AD"/>
    <w:rsid w:val="00EA3D42"/>
    <w:rsid w:val="00EA417D"/>
    <w:rsid w:val="00EA4B83"/>
    <w:rsid w:val="00EA592E"/>
    <w:rsid w:val="00EA5E10"/>
    <w:rsid w:val="00EA6B1B"/>
    <w:rsid w:val="00EB23C7"/>
    <w:rsid w:val="00EB292C"/>
    <w:rsid w:val="00EB2D19"/>
    <w:rsid w:val="00EB35A9"/>
    <w:rsid w:val="00EB3953"/>
    <w:rsid w:val="00EB4255"/>
    <w:rsid w:val="00EB47D8"/>
    <w:rsid w:val="00EB6F20"/>
    <w:rsid w:val="00EC0840"/>
    <w:rsid w:val="00EC1068"/>
    <w:rsid w:val="00EC2671"/>
    <w:rsid w:val="00ED0377"/>
    <w:rsid w:val="00ED3A3F"/>
    <w:rsid w:val="00ED4253"/>
    <w:rsid w:val="00ED565C"/>
    <w:rsid w:val="00ED694B"/>
    <w:rsid w:val="00ED7300"/>
    <w:rsid w:val="00EE0610"/>
    <w:rsid w:val="00EE1286"/>
    <w:rsid w:val="00EE28F3"/>
    <w:rsid w:val="00EE46C2"/>
    <w:rsid w:val="00EE54D6"/>
    <w:rsid w:val="00EE7DA4"/>
    <w:rsid w:val="00EE7F50"/>
    <w:rsid w:val="00EF0061"/>
    <w:rsid w:val="00EF103D"/>
    <w:rsid w:val="00EF4464"/>
    <w:rsid w:val="00EF464A"/>
    <w:rsid w:val="00EF5110"/>
    <w:rsid w:val="00EF70E4"/>
    <w:rsid w:val="00F01C0E"/>
    <w:rsid w:val="00F033B3"/>
    <w:rsid w:val="00F0440B"/>
    <w:rsid w:val="00F05FFA"/>
    <w:rsid w:val="00F064D5"/>
    <w:rsid w:val="00F0661A"/>
    <w:rsid w:val="00F07842"/>
    <w:rsid w:val="00F11303"/>
    <w:rsid w:val="00F11777"/>
    <w:rsid w:val="00F13972"/>
    <w:rsid w:val="00F13AF6"/>
    <w:rsid w:val="00F15882"/>
    <w:rsid w:val="00F15B98"/>
    <w:rsid w:val="00F1773B"/>
    <w:rsid w:val="00F20771"/>
    <w:rsid w:val="00F20BD3"/>
    <w:rsid w:val="00F210C1"/>
    <w:rsid w:val="00F21B97"/>
    <w:rsid w:val="00F21FE2"/>
    <w:rsid w:val="00F24F0B"/>
    <w:rsid w:val="00F25E31"/>
    <w:rsid w:val="00F26144"/>
    <w:rsid w:val="00F3313D"/>
    <w:rsid w:val="00F3693D"/>
    <w:rsid w:val="00F36981"/>
    <w:rsid w:val="00F373A5"/>
    <w:rsid w:val="00F41835"/>
    <w:rsid w:val="00F42941"/>
    <w:rsid w:val="00F45694"/>
    <w:rsid w:val="00F47559"/>
    <w:rsid w:val="00F47A7B"/>
    <w:rsid w:val="00F545B2"/>
    <w:rsid w:val="00F55503"/>
    <w:rsid w:val="00F57300"/>
    <w:rsid w:val="00F60BE4"/>
    <w:rsid w:val="00F60D69"/>
    <w:rsid w:val="00F60F2D"/>
    <w:rsid w:val="00F61B84"/>
    <w:rsid w:val="00F63161"/>
    <w:rsid w:val="00F63587"/>
    <w:rsid w:val="00F642D4"/>
    <w:rsid w:val="00F64C7B"/>
    <w:rsid w:val="00F66AA2"/>
    <w:rsid w:val="00F671BE"/>
    <w:rsid w:val="00F676DD"/>
    <w:rsid w:val="00F67D05"/>
    <w:rsid w:val="00F67F48"/>
    <w:rsid w:val="00F70134"/>
    <w:rsid w:val="00F72AFF"/>
    <w:rsid w:val="00F72C11"/>
    <w:rsid w:val="00F739B9"/>
    <w:rsid w:val="00F75A26"/>
    <w:rsid w:val="00F81B86"/>
    <w:rsid w:val="00F82104"/>
    <w:rsid w:val="00F82592"/>
    <w:rsid w:val="00F83A0E"/>
    <w:rsid w:val="00F83FAD"/>
    <w:rsid w:val="00F87514"/>
    <w:rsid w:val="00F908D0"/>
    <w:rsid w:val="00F90E23"/>
    <w:rsid w:val="00F91DC6"/>
    <w:rsid w:val="00F94343"/>
    <w:rsid w:val="00F95299"/>
    <w:rsid w:val="00F952A0"/>
    <w:rsid w:val="00F96A85"/>
    <w:rsid w:val="00FA1C20"/>
    <w:rsid w:val="00FA20B4"/>
    <w:rsid w:val="00FA3C7F"/>
    <w:rsid w:val="00FA6716"/>
    <w:rsid w:val="00FA6A33"/>
    <w:rsid w:val="00FB01E5"/>
    <w:rsid w:val="00FB1272"/>
    <w:rsid w:val="00FB1A65"/>
    <w:rsid w:val="00FB1C4D"/>
    <w:rsid w:val="00FB52D7"/>
    <w:rsid w:val="00FB54AE"/>
    <w:rsid w:val="00FB6617"/>
    <w:rsid w:val="00FB70C7"/>
    <w:rsid w:val="00FB724C"/>
    <w:rsid w:val="00FB72B7"/>
    <w:rsid w:val="00FB74E2"/>
    <w:rsid w:val="00FC14AD"/>
    <w:rsid w:val="00FC6F45"/>
    <w:rsid w:val="00FD1D5A"/>
    <w:rsid w:val="00FD273B"/>
    <w:rsid w:val="00FD5614"/>
    <w:rsid w:val="00FD7474"/>
    <w:rsid w:val="00FE0BE1"/>
    <w:rsid w:val="00FE1164"/>
    <w:rsid w:val="00FE1DE9"/>
    <w:rsid w:val="00FE2733"/>
    <w:rsid w:val="00FE39C2"/>
    <w:rsid w:val="00FE4D7B"/>
    <w:rsid w:val="00FE5E61"/>
    <w:rsid w:val="00FE6417"/>
    <w:rsid w:val="00FE64AE"/>
    <w:rsid w:val="00FF0FA3"/>
    <w:rsid w:val="00FF33B8"/>
    <w:rsid w:val="00FF39E9"/>
    <w:rsid w:val="00FF624C"/>
    <w:rsid w:val="00FF6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3"/>
      </w:numPr>
      <w:tabs>
        <w:tab w:val="left" w:pos="680"/>
      </w:tabs>
      <w:spacing w:before="120"/>
    </w:pPr>
    <w:rPr>
      <w:sz w:val="22"/>
      <w:szCs w:val="22"/>
      <w:lang w:eastAsia="en-US"/>
    </w:rPr>
  </w:style>
  <w:style w:type="paragraph" w:customStyle="1" w:styleId="Listalphabet3">
    <w:name w:val="List alphabet 3"/>
    <w:rsid w:val="00CF799E"/>
    <w:pPr>
      <w:numPr>
        <w:numId w:val="19"/>
      </w:numPr>
      <w:tabs>
        <w:tab w:val="left" w:pos="1021"/>
      </w:tabs>
      <w:spacing w:before="120"/>
    </w:pPr>
    <w:rPr>
      <w:sz w:val="22"/>
      <w:szCs w:val="22"/>
      <w:lang w:eastAsia="en-US"/>
    </w:rPr>
  </w:style>
  <w:style w:type="paragraph" w:customStyle="1" w:styleId="Listalphabet4">
    <w:name w:val="List alphabet 4"/>
    <w:rsid w:val="00CF799E"/>
    <w:pPr>
      <w:numPr>
        <w:numId w:val="20"/>
      </w:numPr>
      <w:tabs>
        <w:tab w:val="left" w:pos="1361"/>
      </w:tabs>
      <w:spacing w:before="120"/>
    </w:pPr>
    <w:rPr>
      <w:sz w:val="22"/>
      <w:szCs w:val="22"/>
      <w:lang w:eastAsia="en-US"/>
    </w:rPr>
  </w:style>
  <w:style w:type="paragraph" w:customStyle="1" w:styleId="Listalphabet5">
    <w:name w:val="List alphabet 5"/>
    <w:rsid w:val="00CF799E"/>
    <w:pPr>
      <w:numPr>
        <w:numId w:val="21"/>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hyperlink" Target="http://www.comlaw.gov.au/Details/F2005B0106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productsafety.regulation@accc.gov.au"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c.psa.appsdev/standards/exercise-cycles" TargetMode="External"/><Relationship Id="rId5" Type="http://schemas.microsoft.com/office/2007/relationships/stylesWithEffects" Target="stylesWithEffects.xml"/><Relationship Id="rId15" Type="http://schemas.openxmlformats.org/officeDocument/2006/relationships/hyperlink" Target="http://www.productsafety.gov.a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nsultation.acc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ductsafety.gov.au/content/index.phtml/itemId/1014180" TargetMode="External"/><Relationship Id="rId2" Type="http://schemas.openxmlformats.org/officeDocument/2006/relationships/hyperlink" Target="http://www.comlaw.gov.au/Details/F2005B01068" TargetMode="External"/><Relationship Id="rId1" Type="http://schemas.openxmlformats.org/officeDocument/2006/relationships/hyperlink" Target="https://www.monash.edu/__data/assets/pdf_file/0011/218567/exercise-bi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5168A-EFBE-4038-B46B-774151C9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7404C447</Template>
  <TotalTime>1</TotalTime>
  <Pages>11</Pages>
  <Words>2814</Words>
  <Characters>16411</Characters>
  <Application>Microsoft Office Word</Application>
  <DocSecurity>4</DocSecurity>
  <Lines>381</Lines>
  <Paragraphs>184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19041</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Moss, William</cp:lastModifiedBy>
  <cp:revision>2</cp:revision>
  <cp:lastPrinted>2016-08-22T01:48:00Z</cp:lastPrinted>
  <dcterms:created xsi:type="dcterms:W3CDTF">2016-09-27T00:33:00Z</dcterms:created>
  <dcterms:modified xsi:type="dcterms:W3CDTF">2016-09-27T00:33:00Z</dcterms:modified>
</cp:coreProperties>
</file>