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8D043D10"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AC1165" w14:textId="7C214BAD" w:rsidR="00AC7397" w:rsidRDefault="00DA4AAD" w:rsidP="00030B8B">
      <w:r>
        <w:rPr>
          <w:noProof/>
          <w:lang w:eastAsia="en-AU"/>
        </w:rPr>
        <mc:AlternateContent>
          <mc:Choice Requires="wps">
            <w:drawing>
              <wp:anchor distT="0" distB="0" distL="114300" distR="114300" simplePos="0" relativeHeight="251659264" behindDoc="1" locked="0" layoutInCell="1" allowOverlap="1" wp14:anchorId="3957D76F" wp14:editId="6B9822F0">
                <wp:simplePos x="0" y="0"/>
                <wp:positionH relativeFrom="column">
                  <wp:posOffset>-668655</wp:posOffset>
                </wp:positionH>
                <wp:positionV relativeFrom="paragraph">
                  <wp:posOffset>-491402</wp:posOffset>
                </wp:positionV>
                <wp:extent cx="7058025" cy="10111416"/>
                <wp:effectExtent l="0" t="0" r="9525" b="4445"/>
                <wp:wrapNone/>
                <wp:docPr id="3" name="Rectangle 3"/>
                <wp:cNvGraphicFramePr/>
                <a:graphic xmlns:a="http://schemas.openxmlformats.org/drawingml/2006/main">
                  <a:graphicData uri="http://schemas.microsoft.com/office/word/2010/wordprocessingShape">
                    <wps:wsp>
                      <wps:cNvSpPr/>
                      <wps:spPr>
                        <a:xfrm>
                          <a:off x="0" y="0"/>
                          <a:ext cx="7058025" cy="10111416"/>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6E130" w14:textId="77777777" w:rsidR="004012F1" w:rsidRDefault="004012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7D76F" id="Rectangle 3" o:spid="_x0000_s1026" style="position:absolute;margin-left:-52.65pt;margin-top:-38.7pt;width:555.75pt;height:7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" fillcolor="#d5d6d2 [3214]" stroked="f" strokeweight="2pt">
                <v:textbox>
                  <w:txbxContent>
                    <w:p w14:paraId="36A6E130" w14:textId="77777777" w:rsidR="004012F1" w:rsidRDefault="004012F1"/>
                  </w:txbxContent>
                </v:textbox>
              </v:rect>
            </w:pict>
          </mc:Fallback>
        </mc:AlternateContent>
      </w:r>
    </w:p>
    <w:sdt>
      <w:sdtPr>
        <w:id w:val="-33892015"/>
        <w:docPartObj>
          <w:docPartGallery w:val="Cover Pages"/>
          <w:docPartUnique/>
        </w:docPartObj>
      </w:sdtPr>
      <w:sdtEndPr/>
      <w:sdtContent>
        <w:p w14:paraId="621A230F" w14:textId="6718D8AA" w:rsidR="004351B7" w:rsidRDefault="00E3179B" w:rsidP="00030B8B">
          <w:r>
            <w:rPr>
              <w:noProof/>
              <w:u w:val="single"/>
              <w:lang w:eastAsia="en-AU"/>
            </w:rPr>
            <w:drawing>
              <wp:anchor distT="0" distB="0" distL="114300" distR="114300" simplePos="0" relativeHeight="251660288" behindDoc="0" locked="0" layoutInCell="1" allowOverlap="1" wp14:anchorId="776A9BC0" wp14:editId="30BD5F4F">
                <wp:simplePos x="0" y="0"/>
                <wp:positionH relativeFrom="margin">
                  <wp:align>center</wp:align>
                </wp:positionH>
                <wp:positionV relativeFrom="paragraph">
                  <wp:posOffset>4916805</wp:posOffset>
                </wp:positionV>
                <wp:extent cx="3553428" cy="3750067"/>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3428" cy="375006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bottom w:val="none" w:sz="0" w:space="0" w:color="auto"/>
            </w:tblBorders>
            <w:tblLook w:val="0400" w:firstRow="0" w:lastRow="0" w:firstColumn="0" w:lastColumn="0" w:noHBand="0" w:noVBand="1"/>
          </w:tblPr>
          <w:tblGrid>
            <w:gridCol w:w="9026"/>
          </w:tblGrid>
          <w:tr w:rsidR="004351B7" w:rsidRPr="00C755AD" w14:paraId="077DF099" w14:textId="77777777" w:rsidTr="007C0352">
            <w:trPr>
              <w:trHeight w:val="2384"/>
            </w:trPr>
            <w:tc>
              <w:tcPr>
                <w:tcW w:w="9026" w:type="dxa"/>
              </w:tcPr>
              <w:p w14:paraId="0C74F845" w14:textId="5D232446" w:rsidR="004351B7" w:rsidRDefault="004351B7" w:rsidP="00674220">
                <w:r>
                  <w:br w:type="page"/>
                </w:r>
                <w:r>
                  <w:rPr>
                    <w:noProof/>
                    <w:lang w:eastAsia="en-AU"/>
                  </w:rPr>
                  <w:drawing>
                    <wp:inline distT="0" distB="0" distL="0" distR="0" wp14:anchorId="42EC9E44" wp14:editId="0A8062D5">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10">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6D96EB91" w14:textId="77777777" w:rsidR="007214F2" w:rsidRPr="007214F2" w:rsidRDefault="007214F2" w:rsidP="00674220">
                <w:pPr>
                  <w:rPr>
                    <w:sz w:val="40"/>
                    <w:szCs w:val="40"/>
                  </w:rPr>
                </w:pPr>
              </w:p>
              <w:p w14:paraId="7E651906" w14:textId="79A89FAD" w:rsidR="004351B7" w:rsidRPr="001F089E" w:rsidRDefault="004351B7" w:rsidP="00674220">
                <w:pPr>
                  <w:rPr>
                    <w:sz w:val="4"/>
                    <w:szCs w:val="4"/>
                  </w:rPr>
                </w:pPr>
              </w:p>
            </w:tc>
          </w:tr>
          <w:tr w:rsidR="004351B7" w:rsidRPr="00C755AD" w14:paraId="2ADB9670" w14:textId="77777777" w:rsidTr="004351B7">
            <w:tc>
              <w:tcPr>
                <w:tcW w:w="9026" w:type="dxa"/>
              </w:tcPr>
              <w:p w14:paraId="0583C2FA" w14:textId="03B6B0C6" w:rsidR="004351B7" w:rsidRPr="00F108E3" w:rsidRDefault="003667C7" w:rsidP="0034387F">
                <w:pPr>
                  <w:rPr>
                    <w:rFonts w:ascii="Lucida Fax" w:hAnsi="Lucida Fax"/>
                    <w:color w:val="410099"/>
                    <w:sz w:val="72"/>
                    <w:szCs w:val="72"/>
                  </w:rPr>
                </w:pPr>
                <w:r>
                  <w:rPr>
                    <w:rFonts w:ascii="Lucida Fax" w:hAnsi="Lucida Fax"/>
                    <w:color w:val="410099"/>
                    <w:sz w:val="72"/>
                    <w:szCs w:val="72"/>
                  </w:rPr>
                  <w:t xml:space="preserve">Button batteries in toys for children </w:t>
                </w:r>
                <w:r w:rsidR="0034387F">
                  <w:rPr>
                    <w:rFonts w:ascii="Lucida Fax" w:hAnsi="Lucida Fax"/>
                    <w:color w:val="410099"/>
                    <w:sz w:val="72"/>
                    <w:szCs w:val="72"/>
                  </w:rPr>
                  <w:t>up to and including</w:t>
                </w:r>
                <w:r>
                  <w:rPr>
                    <w:rFonts w:ascii="Lucida Fax" w:hAnsi="Lucida Fax"/>
                    <w:color w:val="410099"/>
                    <w:sz w:val="72"/>
                    <w:szCs w:val="72"/>
                  </w:rPr>
                  <w:t xml:space="preserve"> 36 months</w:t>
                </w:r>
              </w:p>
            </w:tc>
          </w:tr>
          <w:tr w:rsidR="004351B7" w:rsidRPr="00C755AD" w14:paraId="046622C7" w14:textId="77777777" w:rsidTr="004351B7">
            <w:tc>
              <w:tcPr>
                <w:tcW w:w="9026" w:type="dxa"/>
              </w:tcPr>
              <w:p w14:paraId="45270135" w14:textId="09B60B8C" w:rsidR="004351B7" w:rsidRPr="00C531EB" w:rsidRDefault="00EC5EFF" w:rsidP="00674220">
                <w:pPr>
                  <w:pStyle w:val="Subtitle"/>
                  <w:rPr>
                    <w:rFonts w:ascii="Lucida Fax" w:hAnsi="Lucida Fax"/>
                  </w:rPr>
                </w:pPr>
                <w:r w:rsidRPr="00C531EB">
                  <w:rPr>
                    <w:rFonts w:ascii="Lucida Fax" w:hAnsi="Lucida Fax"/>
                  </w:rPr>
                  <w:t>Further c</w:t>
                </w:r>
                <w:r w:rsidR="004351B7" w:rsidRPr="00C531EB">
                  <w:rPr>
                    <w:rFonts w:ascii="Lucida Fax" w:hAnsi="Lucida Fax"/>
                  </w:rPr>
                  <w:t>onsultation paper</w:t>
                </w:r>
              </w:p>
            </w:tc>
          </w:tr>
          <w:tr w:rsidR="004351B7" w:rsidRPr="00C755AD" w14:paraId="7D1C85AB" w14:textId="77777777" w:rsidTr="004351B7">
            <w:tc>
              <w:tcPr>
                <w:tcW w:w="9026" w:type="dxa"/>
              </w:tcPr>
              <w:p w14:paraId="3C7C61CC" w14:textId="0B51598E" w:rsidR="004351B7" w:rsidRDefault="00C9544E" w:rsidP="00956D06">
                <w:pPr>
                  <w:pStyle w:val="Subtitle"/>
                  <w:rPr>
                    <w:rFonts w:ascii="Lucida Fax" w:hAnsi="Lucida Fax"/>
                    <w:sz w:val="24"/>
                    <w:szCs w:val="24"/>
                  </w:rPr>
                </w:pPr>
                <w:r>
                  <w:rPr>
                    <w:rFonts w:ascii="Lucida Fax" w:hAnsi="Lucida Fax"/>
                    <w:sz w:val="24"/>
                    <w:szCs w:val="24"/>
                  </w:rPr>
                  <w:t>November</w:t>
                </w:r>
                <w:r w:rsidR="008119CF" w:rsidRPr="006F23BB">
                  <w:rPr>
                    <w:rFonts w:ascii="Lucida Fax" w:hAnsi="Lucida Fax"/>
                    <w:sz w:val="24"/>
                    <w:szCs w:val="24"/>
                  </w:rPr>
                  <w:t xml:space="preserve"> </w:t>
                </w:r>
                <w:r w:rsidR="004351B7" w:rsidRPr="006F23BB">
                  <w:rPr>
                    <w:rFonts w:ascii="Lucida Fax" w:hAnsi="Lucida Fax"/>
                    <w:sz w:val="24"/>
                    <w:szCs w:val="24"/>
                  </w:rPr>
                  <w:t>201</w:t>
                </w:r>
                <w:r w:rsidR="00AC116C" w:rsidRPr="006F23BB">
                  <w:rPr>
                    <w:rFonts w:ascii="Lucida Fax" w:hAnsi="Lucida Fax"/>
                    <w:sz w:val="24"/>
                    <w:szCs w:val="24"/>
                  </w:rPr>
                  <w:t>9</w:t>
                </w:r>
              </w:p>
              <w:p w14:paraId="5F68E2A6" w14:textId="7B198312" w:rsidR="004E5603" w:rsidRDefault="004E5603" w:rsidP="004E5603"/>
              <w:p w14:paraId="0BFCC266" w14:textId="34511037" w:rsidR="004E5603" w:rsidRPr="004E5603" w:rsidRDefault="004E5603" w:rsidP="004E5603">
                <w:pPr>
                  <w:rPr>
                    <w:highlight w:val="yellow"/>
                  </w:rPr>
                </w:pPr>
              </w:p>
              <w:p w14:paraId="0204617C" w14:textId="245B8C0F" w:rsidR="004E5603" w:rsidRPr="004E5603" w:rsidRDefault="004E5603" w:rsidP="004E5603"/>
            </w:tc>
          </w:tr>
        </w:tbl>
        <w:p w14:paraId="2666703D" w14:textId="2396B05B" w:rsidR="004351B7" w:rsidRDefault="004351B7" w:rsidP="004351B7">
          <w:r>
            <w:br w:type="page"/>
          </w:r>
        </w:p>
        <w:p w14:paraId="337903F8" w14:textId="7D31CA60" w:rsidR="0067579F" w:rsidRDefault="0067579F" w:rsidP="0067579F">
          <w:pPr>
            <w:jc w:val="center"/>
            <w:rPr>
              <w:u w:val="single"/>
              <w:lang w:val="en-GB"/>
            </w:rPr>
          </w:pPr>
        </w:p>
        <w:p w14:paraId="6AEFA2EF" w14:textId="50F226EA" w:rsidR="0067579F" w:rsidRDefault="0067579F" w:rsidP="0067579F">
          <w:pPr>
            <w:jc w:val="center"/>
            <w:rPr>
              <w:u w:val="single"/>
              <w:lang w:val="en-GB"/>
            </w:rPr>
          </w:pPr>
        </w:p>
        <w:p w14:paraId="7A1E3A12" w14:textId="77777777" w:rsidR="0067579F" w:rsidRDefault="0067579F" w:rsidP="0067579F">
          <w:pPr>
            <w:jc w:val="center"/>
            <w:rPr>
              <w:u w:val="single"/>
              <w:lang w:val="en-GB"/>
            </w:rPr>
          </w:pPr>
        </w:p>
        <w:p w14:paraId="33EB343F" w14:textId="77777777" w:rsidR="0067579F" w:rsidRDefault="0067579F" w:rsidP="0067579F">
          <w:pPr>
            <w:jc w:val="center"/>
            <w:rPr>
              <w:u w:val="single"/>
              <w:lang w:val="en-GB"/>
            </w:rPr>
          </w:pPr>
        </w:p>
        <w:p w14:paraId="75677196" w14:textId="4B41A135" w:rsidR="0067579F" w:rsidRDefault="0067579F" w:rsidP="0067579F">
          <w:pPr>
            <w:jc w:val="center"/>
            <w:rPr>
              <w:u w:val="single"/>
              <w:lang w:val="en-GB"/>
            </w:rPr>
          </w:pPr>
        </w:p>
        <w:p w14:paraId="14646517" w14:textId="77777777" w:rsidR="0067579F" w:rsidRDefault="0067579F" w:rsidP="0067579F">
          <w:pPr>
            <w:jc w:val="center"/>
            <w:rPr>
              <w:u w:val="single"/>
              <w:lang w:val="en-GB"/>
            </w:rPr>
          </w:pPr>
        </w:p>
        <w:p w14:paraId="52D55093" w14:textId="07ECB077" w:rsidR="0067579F" w:rsidRDefault="0067579F" w:rsidP="0067579F">
          <w:pPr>
            <w:jc w:val="center"/>
            <w:rPr>
              <w:u w:val="single"/>
              <w:lang w:val="en-GB"/>
            </w:rPr>
          </w:pPr>
        </w:p>
        <w:p w14:paraId="1E3A751D" w14:textId="12D4CCB5" w:rsidR="001F089E" w:rsidRDefault="001F089E" w:rsidP="0067579F">
          <w:pPr>
            <w:jc w:val="center"/>
            <w:rPr>
              <w:u w:val="single"/>
              <w:lang w:val="en-GB"/>
            </w:rPr>
          </w:pPr>
        </w:p>
        <w:p w14:paraId="08BE0A35" w14:textId="441042D6" w:rsidR="001F089E" w:rsidRDefault="001F089E" w:rsidP="0067579F">
          <w:pPr>
            <w:jc w:val="center"/>
            <w:rPr>
              <w:u w:val="single"/>
              <w:lang w:val="en-GB"/>
            </w:rPr>
          </w:pPr>
        </w:p>
        <w:p w14:paraId="3EE0DCD1" w14:textId="380324FB" w:rsidR="001F089E" w:rsidRDefault="001F089E" w:rsidP="0067579F">
          <w:pPr>
            <w:jc w:val="center"/>
            <w:rPr>
              <w:u w:val="single"/>
              <w:lang w:val="en-GB"/>
            </w:rPr>
          </w:pPr>
        </w:p>
        <w:p w14:paraId="6BAE8E51" w14:textId="384B31D9" w:rsidR="001F089E" w:rsidRDefault="001F089E" w:rsidP="0067579F">
          <w:pPr>
            <w:jc w:val="center"/>
            <w:rPr>
              <w:u w:val="single"/>
              <w:lang w:val="en-GB"/>
            </w:rPr>
          </w:pPr>
        </w:p>
        <w:p w14:paraId="37C4315E" w14:textId="5594FA05" w:rsidR="001F089E" w:rsidRDefault="001F089E" w:rsidP="0067579F">
          <w:pPr>
            <w:jc w:val="center"/>
            <w:rPr>
              <w:u w:val="single"/>
              <w:lang w:val="en-GB"/>
            </w:rPr>
          </w:pPr>
        </w:p>
        <w:p w14:paraId="4F48680F" w14:textId="337A741A" w:rsidR="001F089E" w:rsidRDefault="001F089E" w:rsidP="0067579F">
          <w:pPr>
            <w:jc w:val="center"/>
            <w:rPr>
              <w:u w:val="single"/>
              <w:lang w:val="en-GB"/>
            </w:rPr>
          </w:pPr>
        </w:p>
        <w:p w14:paraId="7BC4E41B" w14:textId="2DDB2BD6" w:rsidR="001F089E" w:rsidRDefault="001F089E" w:rsidP="0067579F">
          <w:pPr>
            <w:jc w:val="center"/>
            <w:rPr>
              <w:u w:val="single"/>
              <w:lang w:val="en-GB"/>
            </w:rPr>
          </w:pPr>
        </w:p>
        <w:p w14:paraId="4C2D8350" w14:textId="6572D9DE" w:rsidR="001F089E" w:rsidRDefault="001F089E" w:rsidP="0067579F">
          <w:pPr>
            <w:jc w:val="center"/>
            <w:rPr>
              <w:u w:val="single"/>
              <w:lang w:val="en-GB"/>
            </w:rPr>
          </w:pPr>
        </w:p>
        <w:p w14:paraId="021CFFDB" w14:textId="5983121E" w:rsidR="001F089E" w:rsidRDefault="001F089E" w:rsidP="0067579F">
          <w:pPr>
            <w:jc w:val="center"/>
            <w:rPr>
              <w:u w:val="single"/>
              <w:lang w:val="en-GB"/>
            </w:rPr>
          </w:pPr>
        </w:p>
        <w:p w14:paraId="145AF16D" w14:textId="6A0A4D87" w:rsidR="001F089E" w:rsidRDefault="001F089E" w:rsidP="0067579F">
          <w:pPr>
            <w:jc w:val="center"/>
            <w:rPr>
              <w:u w:val="single"/>
              <w:lang w:val="en-GB"/>
            </w:rPr>
          </w:pPr>
        </w:p>
        <w:p w14:paraId="284D36A5" w14:textId="6DCDF455" w:rsidR="001F089E" w:rsidRDefault="001F089E" w:rsidP="0067579F">
          <w:pPr>
            <w:jc w:val="center"/>
            <w:rPr>
              <w:u w:val="single"/>
              <w:lang w:val="en-GB"/>
            </w:rPr>
          </w:pPr>
        </w:p>
        <w:p w14:paraId="1123577E" w14:textId="5B2DA4CA" w:rsidR="001F089E" w:rsidRDefault="001F089E" w:rsidP="0067579F">
          <w:pPr>
            <w:jc w:val="center"/>
            <w:rPr>
              <w:u w:val="single"/>
              <w:lang w:val="en-GB"/>
            </w:rPr>
          </w:pPr>
        </w:p>
        <w:p w14:paraId="3E21881D" w14:textId="7204B279" w:rsidR="001F089E" w:rsidRDefault="001F089E" w:rsidP="0067579F">
          <w:pPr>
            <w:jc w:val="center"/>
            <w:rPr>
              <w:u w:val="single"/>
              <w:lang w:val="en-GB"/>
            </w:rPr>
          </w:pPr>
        </w:p>
        <w:p w14:paraId="5B5A362F" w14:textId="4E3826A1" w:rsidR="0067579F" w:rsidRDefault="0067579F" w:rsidP="0067579F">
          <w:pPr>
            <w:jc w:val="center"/>
            <w:rPr>
              <w:u w:val="single"/>
              <w:lang w:val="en-GB"/>
            </w:rPr>
          </w:pPr>
        </w:p>
        <w:p w14:paraId="5B2EBB23" w14:textId="2ACE26F3" w:rsidR="00A81DE2" w:rsidRDefault="00A81DE2" w:rsidP="0067579F">
          <w:pPr>
            <w:jc w:val="center"/>
            <w:rPr>
              <w:u w:val="single"/>
              <w:lang w:val="en-GB"/>
            </w:rPr>
          </w:pPr>
        </w:p>
        <w:p w14:paraId="41B90E12" w14:textId="77777777" w:rsidR="00A81DE2" w:rsidRDefault="00A81DE2" w:rsidP="0067579F">
          <w:pPr>
            <w:jc w:val="center"/>
            <w:rPr>
              <w:u w:val="single"/>
              <w:lang w:val="en-GB"/>
            </w:rPr>
          </w:pPr>
        </w:p>
        <w:p w14:paraId="04166F9F" w14:textId="77777777" w:rsidR="0067579F" w:rsidRDefault="0067579F" w:rsidP="0067579F">
          <w:pPr>
            <w:jc w:val="center"/>
            <w:rPr>
              <w:u w:val="single"/>
              <w:lang w:val="en-GB"/>
            </w:rPr>
          </w:pPr>
        </w:p>
        <w:p w14:paraId="734B971B" w14:textId="07F41647" w:rsidR="0067579F" w:rsidRPr="00ED5EE6" w:rsidRDefault="0067579F" w:rsidP="00345D2B">
          <w:pPr>
            <w:jc w:val="center"/>
            <w:rPr>
              <w:u w:val="single"/>
              <w:lang w:val="en-GB"/>
            </w:rPr>
          </w:pPr>
          <w:r w:rsidRPr="00ED5EE6">
            <w:rPr>
              <w:u w:val="single"/>
              <w:lang w:val="en-GB"/>
            </w:rPr>
            <w:t>Disclaimer</w:t>
          </w:r>
        </w:p>
        <w:p w14:paraId="35F0C9A4" w14:textId="69FC352B" w:rsidR="0067579F" w:rsidRPr="00B166BC" w:rsidRDefault="0067579F" w:rsidP="00345D2B">
          <w:pPr>
            <w:pBdr>
              <w:top w:val="single" w:sz="4" w:space="1" w:color="auto"/>
              <w:left w:val="single" w:sz="4" w:space="4" w:color="auto"/>
              <w:bottom w:val="single" w:sz="4" w:space="1" w:color="auto"/>
              <w:right w:val="single" w:sz="4" w:space="4" w:color="auto"/>
            </w:pBdr>
            <w:spacing w:before="120" w:after="120"/>
            <w:rPr>
              <w:lang w:val="en-GB"/>
            </w:rPr>
          </w:pPr>
          <w:r w:rsidRPr="00B166BC">
            <w:rPr>
              <w:lang w:val="en-GB"/>
            </w:rPr>
            <w:t>The Australian Competition &amp; Consumer Commission (ACCC) has developed this consultation paper to seek the</w:t>
          </w:r>
          <w:r w:rsidR="003667C7">
            <w:rPr>
              <w:lang w:val="en-GB"/>
            </w:rPr>
            <w:t xml:space="preserve"> views of stakeholders </w:t>
          </w:r>
          <w:r w:rsidR="003667C7" w:rsidRPr="00CA6C84">
            <w:rPr>
              <w:lang w:val="en-GB"/>
            </w:rPr>
            <w:t xml:space="preserve">about button batteries in toys for children </w:t>
          </w:r>
          <w:r w:rsidR="00CA6C84" w:rsidRPr="00CA6C84">
            <w:rPr>
              <w:lang w:val="en-GB"/>
            </w:rPr>
            <w:t>up to and including</w:t>
          </w:r>
          <w:r w:rsidR="003667C7" w:rsidRPr="00CA6C84">
            <w:rPr>
              <w:lang w:val="en-GB"/>
            </w:rPr>
            <w:t xml:space="preserve"> 36 months.</w:t>
          </w:r>
        </w:p>
        <w:p w14:paraId="43768354" w14:textId="1247C3B1" w:rsidR="00AC116C" w:rsidRPr="00395771" w:rsidRDefault="0067579F" w:rsidP="00395771">
          <w:pPr>
            <w:pBdr>
              <w:top w:val="single" w:sz="4" w:space="1" w:color="auto"/>
              <w:left w:val="single" w:sz="4" w:space="4" w:color="auto"/>
              <w:bottom w:val="single" w:sz="4" w:space="1" w:color="auto"/>
              <w:right w:val="single" w:sz="4" w:space="4" w:color="auto"/>
            </w:pBdr>
            <w:spacing w:before="120" w:after="120"/>
          </w:pPr>
          <w:r w:rsidRPr="00071F8F">
            <w:t>© Commonwealth of Australia 201</w:t>
          </w:r>
          <w:r>
            <w:t>9</w:t>
          </w:r>
          <w:r w:rsidRPr="00071F8F">
            <w:t xml:space="preserve">. </w:t>
          </w:r>
          <w:r w:rsidRPr="00071F8F">
            <w:rPr>
              <w:lang w:val="en-GB"/>
            </w:rPr>
            <w:t>All</w:t>
          </w:r>
          <w:r w:rsidRPr="00B166BC">
            <w:rPr>
              <w:lang w:val="en-GB"/>
            </w:rPr>
            <w:t xml:space="preserve"> material contained within this work is provided under a Creative Commons Attribution 3.0 Australia licence (</w:t>
          </w:r>
          <w:hyperlink r:id="rId11" w:history="1">
            <w:r w:rsidRPr="00B166BC">
              <w:rPr>
                <w:rStyle w:val="Hyperlink"/>
                <w:lang w:val="en-GB"/>
              </w:rPr>
              <w:t>http://creativecommons.org.au/</w:t>
            </w:r>
          </w:hyperlink>
          <w:r w:rsidRPr="00B166BC">
            <w:rPr>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r w:rsidR="008032EA">
            <w:rPr>
              <w:lang w:val="en-GB"/>
            </w:rPr>
            <w:t>.</w:t>
          </w:r>
        </w:p>
      </w:sdtContent>
    </w:sdt>
    <w:p w14:paraId="1B31056B" w14:textId="77777777" w:rsidR="00C312A0" w:rsidRDefault="00C312A0">
      <w:pPr>
        <w:sectPr w:rsidR="00C312A0" w:rsidSect="00C06739">
          <w:pgSz w:w="11906" w:h="16838"/>
          <w:pgMar w:top="1276" w:right="1440" w:bottom="1440" w:left="1440" w:header="708" w:footer="708" w:gutter="0"/>
          <w:pgNumType w:start="0"/>
          <w:cols w:space="708"/>
          <w:titlePg/>
          <w:docGrid w:linePitch="360"/>
        </w:sectPr>
      </w:pPr>
    </w:p>
    <w:p w14:paraId="1953F02D" w14:textId="466EC91D" w:rsidR="00F108E3" w:rsidRPr="00C531EB" w:rsidRDefault="00F108E3" w:rsidP="003667C7">
      <w:pPr>
        <w:pStyle w:val="Heading3"/>
        <w:rPr>
          <w:b w:val="0"/>
        </w:rPr>
      </w:pPr>
      <w:r w:rsidRPr="00C531EB">
        <w:rPr>
          <w:b w:val="0"/>
        </w:rPr>
        <w:lastRenderedPageBreak/>
        <w:t>Table of contents</w:t>
      </w:r>
    </w:p>
    <w:p w14:paraId="1E1AB48E" w14:textId="54C4B9E2" w:rsidR="006B3994" w:rsidRPr="006B3994" w:rsidRDefault="001F089E">
      <w:pPr>
        <w:pStyle w:val="TOC1"/>
        <w:rPr>
          <w:rFonts w:eastAsiaTheme="minorEastAsia" w:cs="Arial"/>
          <w:lang w:val="en-AU" w:eastAsia="en-AU"/>
        </w:rPr>
      </w:pPr>
      <w:r w:rsidRPr="00223DC8">
        <w:rPr>
          <w:rFonts w:cs="Arial"/>
        </w:rPr>
        <w:fldChar w:fldCharType="begin"/>
      </w:r>
      <w:r w:rsidRPr="00223DC8">
        <w:rPr>
          <w:rFonts w:cs="Arial"/>
        </w:rPr>
        <w:instrText xml:space="preserve"> TOC \o "1-1" \h \z \u </w:instrText>
      </w:r>
      <w:r w:rsidRPr="00223DC8">
        <w:rPr>
          <w:rFonts w:cs="Arial"/>
        </w:rPr>
        <w:fldChar w:fldCharType="separate"/>
      </w:r>
      <w:hyperlink w:anchor="_Toc15468224" w:history="1">
        <w:r w:rsidR="006B3994" w:rsidRPr="006B3994">
          <w:rPr>
            <w:rStyle w:val="Hyperlink"/>
            <w:rFonts w:cs="Arial"/>
          </w:rPr>
          <w:t>1.</w:t>
        </w:r>
        <w:r w:rsidR="006B3994" w:rsidRPr="006B3994">
          <w:rPr>
            <w:rFonts w:eastAsiaTheme="minorEastAsia" w:cs="Arial"/>
            <w:lang w:val="en-AU" w:eastAsia="en-AU"/>
          </w:rPr>
          <w:tab/>
        </w:r>
        <w:r w:rsidR="006B3994" w:rsidRPr="006B3994">
          <w:rPr>
            <w:rStyle w:val="Hyperlink"/>
            <w:rFonts w:cs="Arial"/>
          </w:rPr>
          <w:t>Introduction</w:t>
        </w:r>
        <w:r w:rsidR="006B3994" w:rsidRPr="006B3994">
          <w:rPr>
            <w:rFonts w:cs="Arial"/>
            <w:webHidden/>
          </w:rPr>
          <w:tab/>
        </w:r>
        <w:r w:rsidR="006B3994" w:rsidRPr="006B3994">
          <w:rPr>
            <w:rFonts w:cs="Arial"/>
            <w:webHidden/>
          </w:rPr>
          <w:fldChar w:fldCharType="begin"/>
        </w:r>
        <w:r w:rsidR="006B3994" w:rsidRPr="006B3994">
          <w:rPr>
            <w:rFonts w:cs="Arial"/>
            <w:webHidden/>
          </w:rPr>
          <w:instrText xml:space="preserve"> PAGEREF _Toc15468224 \h </w:instrText>
        </w:r>
        <w:r w:rsidR="006B3994" w:rsidRPr="006B3994">
          <w:rPr>
            <w:rFonts w:cs="Arial"/>
            <w:webHidden/>
          </w:rPr>
        </w:r>
        <w:r w:rsidR="006B3994" w:rsidRPr="006B3994">
          <w:rPr>
            <w:rFonts w:cs="Arial"/>
            <w:webHidden/>
          </w:rPr>
          <w:fldChar w:fldCharType="separate"/>
        </w:r>
        <w:r w:rsidR="00956D06">
          <w:rPr>
            <w:rFonts w:cs="Arial"/>
            <w:webHidden/>
          </w:rPr>
          <w:t>4</w:t>
        </w:r>
        <w:r w:rsidR="006B3994" w:rsidRPr="006B3994">
          <w:rPr>
            <w:rFonts w:cs="Arial"/>
            <w:webHidden/>
          </w:rPr>
          <w:fldChar w:fldCharType="end"/>
        </w:r>
      </w:hyperlink>
    </w:p>
    <w:p w14:paraId="018D7DB6" w14:textId="66607D3E" w:rsidR="006B3994" w:rsidRPr="006B3994" w:rsidRDefault="00EF017B">
      <w:pPr>
        <w:pStyle w:val="TOC1"/>
        <w:rPr>
          <w:rFonts w:eastAsiaTheme="minorEastAsia" w:cs="Arial"/>
          <w:lang w:val="en-AU" w:eastAsia="en-AU"/>
        </w:rPr>
      </w:pPr>
      <w:hyperlink w:anchor="_Toc15468225" w:history="1">
        <w:r w:rsidR="006B3994" w:rsidRPr="006B3994">
          <w:rPr>
            <w:rStyle w:val="Hyperlink"/>
            <w:rFonts w:cs="Arial"/>
          </w:rPr>
          <w:t>2.</w:t>
        </w:r>
        <w:r w:rsidR="006B3994" w:rsidRPr="006B3994">
          <w:rPr>
            <w:rFonts w:eastAsiaTheme="minorEastAsia" w:cs="Arial"/>
            <w:lang w:val="en-AU" w:eastAsia="en-AU"/>
          </w:rPr>
          <w:tab/>
        </w:r>
        <w:r w:rsidR="006B3994" w:rsidRPr="006B3994">
          <w:rPr>
            <w:rStyle w:val="Hyperlink"/>
            <w:rFonts w:cs="Arial"/>
          </w:rPr>
          <w:t>Background</w:t>
        </w:r>
        <w:r w:rsidR="006B3994" w:rsidRPr="006B3994">
          <w:rPr>
            <w:rFonts w:cs="Arial"/>
            <w:webHidden/>
          </w:rPr>
          <w:tab/>
        </w:r>
        <w:r w:rsidR="006B3994" w:rsidRPr="006B3994">
          <w:rPr>
            <w:rFonts w:cs="Arial"/>
            <w:webHidden/>
          </w:rPr>
          <w:fldChar w:fldCharType="begin"/>
        </w:r>
        <w:r w:rsidR="006B3994" w:rsidRPr="006B3994">
          <w:rPr>
            <w:rFonts w:cs="Arial"/>
            <w:webHidden/>
          </w:rPr>
          <w:instrText xml:space="preserve"> PAGEREF _Toc15468225 \h </w:instrText>
        </w:r>
        <w:r w:rsidR="006B3994" w:rsidRPr="006B3994">
          <w:rPr>
            <w:rFonts w:cs="Arial"/>
            <w:webHidden/>
          </w:rPr>
        </w:r>
        <w:r w:rsidR="006B3994" w:rsidRPr="006B3994">
          <w:rPr>
            <w:rFonts w:cs="Arial"/>
            <w:webHidden/>
          </w:rPr>
          <w:fldChar w:fldCharType="separate"/>
        </w:r>
        <w:r w:rsidR="00956D06">
          <w:rPr>
            <w:rFonts w:cs="Arial"/>
            <w:webHidden/>
          </w:rPr>
          <w:t>4</w:t>
        </w:r>
        <w:r w:rsidR="006B3994" w:rsidRPr="006B3994">
          <w:rPr>
            <w:rFonts w:cs="Arial"/>
            <w:webHidden/>
          </w:rPr>
          <w:fldChar w:fldCharType="end"/>
        </w:r>
      </w:hyperlink>
    </w:p>
    <w:p w14:paraId="2C1C6597" w14:textId="1EB191B6" w:rsidR="006B3994" w:rsidRPr="006B3994" w:rsidRDefault="00EF017B">
      <w:pPr>
        <w:pStyle w:val="TOC1"/>
        <w:rPr>
          <w:rFonts w:eastAsiaTheme="minorEastAsia" w:cs="Arial"/>
          <w:lang w:val="en-AU" w:eastAsia="en-AU"/>
        </w:rPr>
      </w:pPr>
      <w:hyperlink w:anchor="_Toc15468226" w:history="1">
        <w:r w:rsidR="006B3994" w:rsidRPr="006B3994">
          <w:rPr>
            <w:rStyle w:val="Hyperlink"/>
            <w:rFonts w:cs="Arial"/>
          </w:rPr>
          <w:t>3.</w:t>
        </w:r>
        <w:r w:rsidR="006B3994" w:rsidRPr="006B3994">
          <w:rPr>
            <w:rFonts w:eastAsiaTheme="minorEastAsia" w:cs="Arial"/>
            <w:lang w:val="en-AU" w:eastAsia="en-AU"/>
          </w:rPr>
          <w:tab/>
        </w:r>
        <w:r w:rsidR="006B3994" w:rsidRPr="006B3994">
          <w:rPr>
            <w:rStyle w:val="Hyperlink"/>
            <w:rFonts w:cs="Arial"/>
          </w:rPr>
          <w:t>The hazard</w:t>
        </w:r>
        <w:r w:rsidR="006B3994" w:rsidRPr="006B3994">
          <w:rPr>
            <w:rFonts w:cs="Arial"/>
            <w:webHidden/>
          </w:rPr>
          <w:tab/>
        </w:r>
        <w:r w:rsidR="00D317EE">
          <w:rPr>
            <w:rFonts w:cs="Arial"/>
            <w:webHidden/>
          </w:rPr>
          <w:t>6</w:t>
        </w:r>
      </w:hyperlink>
    </w:p>
    <w:p w14:paraId="58722DB8" w14:textId="1D2FB2F5" w:rsidR="006B3994" w:rsidRPr="006B3994" w:rsidRDefault="00EF017B">
      <w:pPr>
        <w:pStyle w:val="TOC1"/>
        <w:rPr>
          <w:rFonts w:eastAsiaTheme="minorEastAsia" w:cs="Arial"/>
          <w:lang w:val="en-AU" w:eastAsia="en-AU"/>
        </w:rPr>
      </w:pPr>
      <w:hyperlink w:anchor="_Toc15468227" w:history="1">
        <w:r w:rsidR="006B3994" w:rsidRPr="006B3994">
          <w:rPr>
            <w:rStyle w:val="Hyperlink"/>
            <w:rFonts w:cs="Arial"/>
          </w:rPr>
          <w:t>4.</w:t>
        </w:r>
        <w:r w:rsidR="006B3994" w:rsidRPr="006B3994">
          <w:rPr>
            <w:rFonts w:eastAsiaTheme="minorEastAsia" w:cs="Arial"/>
            <w:lang w:val="en-AU" w:eastAsia="en-AU"/>
          </w:rPr>
          <w:tab/>
        </w:r>
        <w:r w:rsidR="006B3994" w:rsidRPr="006B3994">
          <w:rPr>
            <w:rStyle w:val="Hyperlink"/>
            <w:rFonts w:cs="Arial"/>
          </w:rPr>
          <w:t>Deaths and injuries</w:t>
        </w:r>
        <w:r w:rsidR="006B3994" w:rsidRPr="006B3994">
          <w:rPr>
            <w:rFonts w:cs="Arial"/>
            <w:webHidden/>
          </w:rPr>
          <w:tab/>
        </w:r>
        <w:r w:rsidR="00D317EE">
          <w:rPr>
            <w:rFonts w:cs="Arial"/>
            <w:webHidden/>
          </w:rPr>
          <w:t>7</w:t>
        </w:r>
      </w:hyperlink>
    </w:p>
    <w:p w14:paraId="2F50C559" w14:textId="49F1318D" w:rsidR="006B3994" w:rsidRPr="006B3994" w:rsidRDefault="00EF017B">
      <w:pPr>
        <w:pStyle w:val="TOC1"/>
        <w:rPr>
          <w:rFonts w:eastAsiaTheme="minorEastAsia" w:cs="Arial"/>
          <w:lang w:val="en-AU" w:eastAsia="en-AU"/>
        </w:rPr>
      </w:pPr>
      <w:hyperlink w:anchor="_Toc15468228" w:history="1">
        <w:r w:rsidR="006B3994" w:rsidRPr="006B3994">
          <w:rPr>
            <w:rStyle w:val="Hyperlink"/>
            <w:rFonts w:cs="Arial"/>
          </w:rPr>
          <w:t>5.</w:t>
        </w:r>
        <w:r w:rsidR="006B3994" w:rsidRPr="006B3994">
          <w:rPr>
            <w:rFonts w:eastAsiaTheme="minorEastAsia" w:cs="Arial"/>
            <w:lang w:val="en-AU" w:eastAsia="en-AU"/>
          </w:rPr>
          <w:tab/>
        </w:r>
        <w:r w:rsidR="006B3994" w:rsidRPr="006B3994">
          <w:rPr>
            <w:rStyle w:val="Hyperlink"/>
            <w:rFonts w:cs="Arial"/>
          </w:rPr>
          <w:t>The regulatory environment</w:t>
        </w:r>
        <w:r w:rsidR="006B3994" w:rsidRPr="006B3994">
          <w:rPr>
            <w:rFonts w:cs="Arial"/>
            <w:webHidden/>
          </w:rPr>
          <w:tab/>
        </w:r>
        <w:r w:rsidR="00D317EE">
          <w:rPr>
            <w:rFonts w:cs="Arial"/>
            <w:webHidden/>
          </w:rPr>
          <w:t>10</w:t>
        </w:r>
      </w:hyperlink>
    </w:p>
    <w:p w14:paraId="48AFACDE" w14:textId="4506D22D" w:rsidR="006B3994" w:rsidRPr="006B3994" w:rsidRDefault="00EF017B">
      <w:pPr>
        <w:pStyle w:val="TOC1"/>
        <w:rPr>
          <w:rFonts w:eastAsiaTheme="minorEastAsia" w:cs="Arial"/>
          <w:lang w:val="en-AU" w:eastAsia="en-AU"/>
        </w:rPr>
      </w:pPr>
      <w:hyperlink w:anchor="_Toc15468229" w:history="1">
        <w:r w:rsidR="006B3994" w:rsidRPr="006B3994">
          <w:rPr>
            <w:rStyle w:val="Hyperlink"/>
            <w:rFonts w:cs="Arial"/>
          </w:rPr>
          <w:t>6.</w:t>
        </w:r>
        <w:r w:rsidR="006B3994" w:rsidRPr="006B3994">
          <w:rPr>
            <w:rFonts w:eastAsiaTheme="minorEastAsia" w:cs="Arial"/>
            <w:lang w:val="en-AU" w:eastAsia="en-AU"/>
          </w:rPr>
          <w:tab/>
        </w:r>
        <w:r w:rsidR="006B3994" w:rsidRPr="006B3994">
          <w:rPr>
            <w:rStyle w:val="Hyperlink"/>
            <w:rFonts w:cs="Arial"/>
          </w:rPr>
          <w:t>International standards</w:t>
        </w:r>
        <w:r w:rsidR="006B3994" w:rsidRPr="006B3994">
          <w:rPr>
            <w:rFonts w:cs="Arial"/>
            <w:webHidden/>
          </w:rPr>
          <w:tab/>
        </w:r>
        <w:r w:rsidR="00D317EE">
          <w:rPr>
            <w:rFonts w:cs="Arial"/>
            <w:webHidden/>
          </w:rPr>
          <w:t>12</w:t>
        </w:r>
      </w:hyperlink>
    </w:p>
    <w:p w14:paraId="168789B5" w14:textId="5E09EF49" w:rsidR="006B3994" w:rsidRPr="006B3994" w:rsidRDefault="00EF017B">
      <w:pPr>
        <w:pStyle w:val="TOC1"/>
        <w:rPr>
          <w:rFonts w:eastAsiaTheme="minorEastAsia" w:cs="Arial"/>
          <w:lang w:val="en-AU" w:eastAsia="en-AU"/>
        </w:rPr>
      </w:pPr>
      <w:hyperlink w:anchor="_Toc15468230" w:history="1">
        <w:r w:rsidR="006B3994" w:rsidRPr="006B3994">
          <w:rPr>
            <w:rStyle w:val="Hyperlink"/>
            <w:rFonts w:cs="Arial"/>
          </w:rPr>
          <w:t>7.</w:t>
        </w:r>
        <w:r w:rsidR="006B3994" w:rsidRPr="006B3994">
          <w:rPr>
            <w:rFonts w:eastAsiaTheme="minorEastAsia" w:cs="Arial"/>
            <w:lang w:val="en-AU" w:eastAsia="en-AU"/>
          </w:rPr>
          <w:tab/>
        </w:r>
        <w:r w:rsidR="006B3994" w:rsidRPr="006B3994">
          <w:rPr>
            <w:rStyle w:val="Hyperlink"/>
            <w:rFonts w:cs="Arial"/>
          </w:rPr>
          <w:t>Issues/Discussion</w:t>
        </w:r>
        <w:r w:rsidR="006B3994" w:rsidRPr="006B3994">
          <w:rPr>
            <w:rFonts w:cs="Arial"/>
            <w:webHidden/>
          </w:rPr>
          <w:tab/>
        </w:r>
        <w:r w:rsidR="006B3994" w:rsidRPr="006B3994">
          <w:rPr>
            <w:rFonts w:cs="Arial"/>
            <w:webHidden/>
          </w:rPr>
          <w:fldChar w:fldCharType="begin"/>
        </w:r>
        <w:r w:rsidR="006B3994" w:rsidRPr="006B3994">
          <w:rPr>
            <w:rFonts w:cs="Arial"/>
            <w:webHidden/>
          </w:rPr>
          <w:instrText xml:space="preserve"> PAGEREF _Toc15468230 \h </w:instrText>
        </w:r>
        <w:r w:rsidR="006B3994" w:rsidRPr="006B3994">
          <w:rPr>
            <w:rFonts w:cs="Arial"/>
            <w:webHidden/>
          </w:rPr>
        </w:r>
        <w:r w:rsidR="006B3994" w:rsidRPr="006B3994">
          <w:rPr>
            <w:rFonts w:cs="Arial"/>
            <w:webHidden/>
          </w:rPr>
          <w:fldChar w:fldCharType="separate"/>
        </w:r>
        <w:r w:rsidR="00956D06">
          <w:rPr>
            <w:rFonts w:cs="Arial"/>
            <w:webHidden/>
          </w:rPr>
          <w:t>13</w:t>
        </w:r>
        <w:r w:rsidR="006B3994" w:rsidRPr="006B3994">
          <w:rPr>
            <w:rFonts w:cs="Arial"/>
            <w:webHidden/>
          </w:rPr>
          <w:fldChar w:fldCharType="end"/>
        </w:r>
      </w:hyperlink>
    </w:p>
    <w:p w14:paraId="68BA9C0D" w14:textId="3E2DA693" w:rsidR="006B3994" w:rsidRPr="006B3994" w:rsidRDefault="00EF017B">
      <w:pPr>
        <w:pStyle w:val="TOC1"/>
        <w:rPr>
          <w:rFonts w:eastAsiaTheme="minorEastAsia" w:cs="Arial"/>
          <w:lang w:val="en-AU" w:eastAsia="en-AU"/>
        </w:rPr>
      </w:pPr>
      <w:hyperlink w:anchor="_Toc15468231" w:history="1">
        <w:r w:rsidR="006B3994" w:rsidRPr="006B3994">
          <w:rPr>
            <w:rStyle w:val="Hyperlink"/>
            <w:rFonts w:cs="Arial"/>
          </w:rPr>
          <w:t>8.</w:t>
        </w:r>
        <w:r w:rsidR="006B3994" w:rsidRPr="006B3994">
          <w:rPr>
            <w:rFonts w:eastAsiaTheme="minorEastAsia" w:cs="Arial"/>
            <w:lang w:val="en-AU" w:eastAsia="en-AU"/>
          </w:rPr>
          <w:tab/>
        </w:r>
        <w:r w:rsidR="00D317EE">
          <w:rPr>
            <w:rStyle w:val="Hyperlink"/>
            <w:rFonts w:cs="Arial"/>
          </w:rPr>
          <w:t>Preliminary position</w:t>
        </w:r>
        <w:r w:rsidR="006B3994" w:rsidRPr="006B3994">
          <w:rPr>
            <w:rFonts w:cs="Arial"/>
            <w:webHidden/>
          </w:rPr>
          <w:tab/>
        </w:r>
        <w:r w:rsidR="00E23B23">
          <w:rPr>
            <w:rFonts w:cs="Arial"/>
            <w:webHidden/>
          </w:rPr>
          <w:t>1</w:t>
        </w:r>
        <w:r w:rsidR="00D317EE">
          <w:rPr>
            <w:rFonts w:cs="Arial"/>
            <w:webHidden/>
          </w:rPr>
          <w:t>7</w:t>
        </w:r>
      </w:hyperlink>
    </w:p>
    <w:p w14:paraId="5A017A82" w14:textId="785C342F" w:rsidR="006B3994" w:rsidRPr="006B3994" w:rsidRDefault="00EF017B">
      <w:pPr>
        <w:pStyle w:val="TOC1"/>
        <w:rPr>
          <w:rFonts w:eastAsiaTheme="minorEastAsia" w:cs="Arial"/>
          <w:lang w:val="en-AU" w:eastAsia="en-AU"/>
        </w:rPr>
      </w:pPr>
      <w:hyperlink w:anchor="_Toc15468232" w:history="1">
        <w:r w:rsidR="006B3994" w:rsidRPr="006B3994">
          <w:rPr>
            <w:rStyle w:val="Hyperlink"/>
            <w:rFonts w:cs="Arial"/>
          </w:rPr>
          <w:t>9.</w:t>
        </w:r>
        <w:r w:rsidR="006B3994" w:rsidRPr="006B3994">
          <w:rPr>
            <w:rFonts w:eastAsiaTheme="minorEastAsia" w:cs="Arial"/>
            <w:lang w:val="en-AU" w:eastAsia="en-AU"/>
          </w:rPr>
          <w:tab/>
        </w:r>
        <w:r w:rsidR="006B3994" w:rsidRPr="006B3994">
          <w:rPr>
            <w:rStyle w:val="Hyperlink"/>
            <w:rFonts w:cs="Arial"/>
          </w:rPr>
          <w:t>Key questions</w:t>
        </w:r>
        <w:r w:rsidR="006B3994" w:rsidRPr="006B3994">
          <w:rPr>
            <w:rFonts w:cs="Arial"/>
            <w:webHidden/>
          </w:rPr>
          <w:tab/>
        </w:r>
        <w:r w:rsidR="00E23B23">
          <w:rPr>
            <w:rFonts w:cs="Arial"/>
            <w:webHidden/>
          </w:rPr>
          <w:t>1</w:t>
        </w:r>
        <w:r w:rsidR="00D317EE">
          <w:rPr>
            <w:rFonts w:cs="Arial"/>
            <w:webHidden/>
          </w:rPr>
          <w:t>8</w:t>
        </w:r>
      </w:hyperlink>
    </w:p>
    <w:p w14:paraId="05C5BAA0" w14:textId="044AE6AA" w:rsidR="006B3994" w:rsidRPr="006B3994" w:rsidRDefault="00EF017B">
      <w:pPr>
        <w:pStyle w:val="TOC1"/>
        <w:rPr>
          <w:rFonts w:eastAsiaTheme="minorEastAsia" w:cs="Arial"/>
          <w:lang w:val="en-AU" w:eastAsia="en-AU"/>
        </w:rPr>
      </w:pPr>
      <w:hyperlink w:anchor="_Toc15468233" w:history="1">
        <w:r w:rsidR="006B3994" w:rsidRPr="006B3994">
          <w:rPr>
            <w:rStyle w:val="Hyperlink"/>
            <w:rFonts w:cs="Arial"/>
          </w:rPr>
          <w:t>10.</w:t>
        </w:r>
        <w:r w:rsidR="006B3994" w:rsidRPr="006B3994">
          <w:rPr>
            <w:rFonts w:eastAsiaTheme="minorEastAsia" w:cs="Arial"/>
            <w:lang w:val="en-AU" w:eastAsia="en-AU"/>
          </w:rPr>
          <w:tab/>
        </w:r>
        <w:r w:rsidR="006B3994" w:rsidRPr="006B3994">
          <w:rPr>
            <w:rStyle w:val="Hyperlink"/>
            <w:rFonts w:cs="Arial"/>
          </w:rPr>
          <w:t>Have your say</w:t>
        </w:r>
        <w:r w:rsidR="006B3994" w:rsidRPr="006B3994">
          <w:rPr>
            <w:rFonts w:cs="Arial"/>
            <w:webHidden/>
          </w:rPr>
          <w:tab/>
        </w:r>
        <w:r w:rsidR="00E23B23">
          <w:rPr>
            <w:rFonts w:cs="Arial"/>
            <w:webHidden/>
          </w:rPr>
          <w:t>1</w:t>
        </w:r>
        <w:r w:rsidR="00D317EE">
          <w:rPr>
            <w:rFonts w:cs="Arial"/>
            <w:webHidden/>
          </w:rPr>
          <w:t>8</w:t>
        </w:r>
      </w:hyperlink>
    </w:p>
    <w:p w14:paraId="275B77E1" w14:textId="44E4F1BD" w:rsidR="001F089E" w:rsidRDefault="001F089E" w:rsidP="001F089E">
      <w:pPr>
        <w:pStyle w:val="Numbered1"/>
        <w:sectPr w:rsidR="001F089E" w:rsidSect="001F089E">
          <w:headerReference w:type="even" r:id="rId12"/>
          <w:headerReference w:type="default" r:id="rId13"/>
          <w:headerReference w:type="first" r:id="rId14"/>
          <w:footerReference w:type="first" r:id="rId15"/>
          <w:pgSz w:w="11906" w:h="16838"/>
          <w:pgMar w:top="1276" w:right="1440" w:bottom="1440" w:left="1440" w:header="708" w:footer="708" w:gutter="0"/>
          <w:pgNumType w:start="3"/>
          <w:cols w:space="708"/>
          <w:titlePg/>
          <w:docGrid w:linePitch="360"/>
        </w:sectPr>
      </w:pPr>
      <w:r w:rsidRPr="00223DC8">
        <w:rPr>
          <w:rFonts w:ascii="Arial" w:hAnsi="Arial" w:cs="Arial"/>
        </w:rPr>
        <w:fldChar w:fldCharType="end"/>
      </w:r>
    </w:p>
    <w:p w14:paraId="218E2243" w14:textId="6DCE889A" w:rsidR="00687F39" w:rsidRPr="00381464" w:rsidRDefault="00126288" w:rsidP="00CC0BB1">
      <w:pPr>
        <w:pStyle w:val="Numbered1"/>
        <w:numPr>
          <w:ilvl w:val="0"/>
          <w:numId w:val="12"/>
        </w:numPr>
        <w:ind w:left="357" w:hanging="357"/>
        <w:rPr>
          <w:rFonts w:ascii="Lucida Fax" w:hAnsi="Lucida Fax"/>
          <w:color w:val="51626F"/>
        </w:rPr>
      </w:pPr>
      <w:bookmarkStart w:id="1" w:name="_Toc15468224"/>
      <w:r w:rsidRPr="00381464">
        <w:rPr>
          <w:rFonts w:ascii="Lucida Fax" w:hAnsi="Lucida Fax"/>
          <w:color w:val="51626F"/>
        </w:rPr>
        <w:lastRenderedPageBreak/>
        <w:t>Introduction</w:t>
      </w:r>
      <w:bookmarkEnd w:id="1"/>
    </w:p>
    <w:p w14:paraId="15094B32" w14:textId="517F4C85" w:rsidR="0067579F" w:rsidRDefault="00126288" w:rsidP="00126288">
      <w:r w:rsidRPr="004421B4">
        <w:t>The</w:t>
      </w:r>
      <w:r>
        <w:t xml:space="preserve"> Australian Competition and Consumer Commission (</w:t>
      </w:r>
      <w:r w:rsidRPr="00F23BA2">
        <w:rPr>
          <w:b/>
        </w:rPr>
        <w:t>ACCC</w:t>
      </w:r>
      <w:r>
        <w:t>) is reviewing the</w:t>
      </w:r>
      <w:r w:rsidR="003667C7">
        <w:t xml:space="preserve"> mandatory safety</w:t>
      </w:r>
      <w:r w:rsidR="001F1408">
        <w:t xml:space="preserve"> standards for children’s toys, including </w:t>
      </w:r>
      <w:r w:rsidR="000C5256">
        <w:t xml:space="preserve">the </w:t>
      </w:r>
      <w:hyperlink r:id="rId16" w:history="1">
        <w:r w:rsidR="000C5256" w:rsidRPr="00C531EB">
          <w:rPr>
            <w:rStyle w:val="Hyperlink"/>
          </w:rPr>
          <w:t>Consumer Protection Notice No. 14 of 2003 - Consumer Product Safety Standard: Toys for children up to and including 36 months of age</w:t>
        </w:r>
      </w:hyperlink>
      <w:r w:rsidR="000C5256" w:rsidRPr="00BE48CB">
        <w:t xml:space="preserve"> </w:t>
      </w:r>
      <w:r w:rsidR="000C5256">
        <w:t>(</w:t>
      </w:r>
      <w:r w:rsidR="006E7299">
        <w:t xml:space="preserve">the </w:t>
      </w:r>
      <w:r w:rsidR="006E7299" w:rsidRPr="006E7299">
        <w:rPr>
          <w:b/>
        </w:rPr>
        <w:t>mandatory standard</w:t>
      </w:r>
      <w:r w:rsidR="006E7299">
        <w:t>)</w:t>
      </w:r>
      <w:r w:rsidR="003667C7">
        <w:t>.</w:t>
      </w:r>
    </w:p>
    <w:p w14:paraId="0AAFED30" w14:textId="7819DB55" w:rsidR="003667C7" w:rsidRDefault="001F1408" w:rsidP="00FA3C89">
      <w:pPr>
        <w:spacing w:after="200"/>
      </w:pPr>
      <w:r>
        <w:t>In February 2017 t</w:t>
      </w:r>
      <w:r w:rsidR="003667C7">
        <w:t xml:space="preserve">he ACCC </w:t>
      </w:r>
      <w:r>
        <w:t xml:space="preserve">consulted </w:t>
      </w:r>
      <w:r w:rsidR="00EC5EFF">
        <w:t>on the</w:t>
      </w:r>
      <w:r>
        <w:t xml:space="preserve"> </w:t>
      </w:r>
      <w:r w:rsidR="00662FD4">
        <w:t>five</w:t>
      </w:r>
      <w:r w:rsidR="00E540BA">
        <w:t xml:space="preserve"> </w:t>
      </w:r>
      <w:r w:rsidR="006E7299">
        <w:t xml:space="preserve">mandatory </w:t>
      </w:r>
      <w:r w:rsidR="00141A8E">
        <w:t xml:space="preserve">safety </w:t>
      </w:r>
      <w:r w:rsidR="003667C7">
        <w:t>standard</w:t>
      </w:r>
      <w:r w:rsidR="00EC5EFF">
        <w:t>s</w:t>
      </w:r>
      <w:r w:rsidR="00E57D8D">
        <w:t xml:space="preserve"> for children’s toys</w:t>
      </w:r>
      <w:r w:rsidR="00662FD4">
        <w:t xml:space="preserve">. </w:t>
      </w:r>
      <w:r w:rsidR="00E540BA">
        <w:t xml:space="preserve">We are now </w:t>
      </w:r>
      <w:r>
        <w:t xml:space="preserve">seeking </w:t>
      </w:r>
      <w:r w:rsidR="00E540BA">
        <w:t xml:space="preserve">further </w:t>
      </w:r>
      <w:r>
        <w:t xml:space="preserve">views </w:t>
      </w:r>
      <w:r w:rsidR="00E540BA">
        <w:t xml:space="preserve">specifically </w:t>
      </w:r>
      <w:r>
        <w:t xml:space="preserve">on toys for children up to and including 36 months of age </w:t>
      </w:r>
      <w:r w:rsidRPr="00CA6C84">
        <w:rPr>
          <w:u w:val="single"/>
        </w:rPr>
        <w:t>which contain button batteries</w:t>
      </w:r>
      <w:r w:rsidR="00CA6C84">
        <w:rPr>
          <w:u w:val="single"/>
        </w:rPr>
        <w:t>,</w:t>
      </w:r>
      <w:r w:rsidR="003667C7">
        <w:t xml:space="preserve"> before finalising any</w:t>
      </w:r>
      <w:r w:rsidR="00331F62">
        <w:t xml:space="preserve"> recommendation on revising the</w:t>
      </w:r>
      <w:r w:rsidR="003667C7">
        <w:t xml:space="preserve"> </w:t>
      </w:r>
      <w:r w:rsidR="006E7299">
        <w:t xml:space="preserve">mandatory </w:t>
      </w:r>
      <w:r w:rsidR="003667C7">
        <w:t>standard.</w:t>
      </w:r>
    </w:p>
    <w:p w14:paraId="783AFE14" w14:textId="5E3D075F" w:rsidR="00126288" w:rsidRDefault="003667C7" w:rsidP="00FA3C89">
      <w:pPr>
        <w:spacing w:after="200"/>
      </w:pPr>
      <w:r>
        <w:t xml:space="preserve">We </w:t>
      </w:r>
      <w:r w:rsidR="00126288" w:rsidRPr="008353A5">
        <w:t>invite feedback from</w:t>
      </w:r>
      <w:r w:rsidR="00126288">
        <w:t xml:space="preserve"> business, consumers, associations, safety experts, government and interested members of the public. </w:t>
      </w:r>
      <w:r w:rsidR="0067579F">
        <w:t>You do not need to answer the specific questions to make a valid submission.</w:t>
      </w: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FA3C89" w14:paraId="694EA38C" w14:textId="7E08A0F8" w:rsidTr="00E058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14546A" w14:textId="40232450" w:rsidR="00FA3C89" w:rsidRPr="00FA3C89" w:rsidRDefault="00FA3C89" w:rsidP="00D2228B">
            <w:pPr>
              <w:spacing w:before="200" w:after="200"/>
              <w:jc w:val="both"/>
              <w:rPr>
                <w:sz w:val="22"/>
              </w:rPr>
            </w:pPr>
            <w:r w:rsidRPr="00FA3C89">
              <w:rPr>
                <w:sz w:val="22"/>
              </w:rPr>
              <w:t xml:space="preserve">This </w:t>
            </w:r>
            <w:r w:rsidR="002F0E74">
              <w:rPr>
                <w:sz w:val="22"/>
              </w:rPr>
              <w:t xml:space="preserve">process </w:t>
            </w:r>
            <w:r w:rsidRPr="00FA3C89">
              <w:rPr>
                <w:sz w:val="22"/>
              </w:rPr>
              <w:t xml:space="preserve">may be the only opportunity for you to provide input into this </w:t>
            </w:r>
            <w:r w:rsidR="006F6B2B">
              <w:rPr>
                <w:sz w:val="22"/>
              </w:rPr>
              <w:t>consultation</w:t>
            </w:r>
            <w:r w:rsidRPr="00FA3C89">
              <w:rPr>
                <w:sz w:val="22"/>
              </w:rPr>
              <w:t>. We encourage you to make a submission</w:t>
            </w:r>
            <w:r w:rsidR="008418FE">
              <w:rPr>
                <w:sz w:val="22"/>
              </w:rPr>
              <w:t xml:space="preserve"> to this consultation </w:t>
            </w:r>
            <w:r w:rsidR="002F0E74">
              <w:rPr>
                <w:sz w:val="22"/>
              </w:rPr>
              <w:t>in relation to</w:t>
            </w:r>
            <w:r w:rsidR="008418FE">
              <w:rPr>
                <w:sz w:val="22"/>
              </w:rPr>
              <w:t xml:space="preserve"> toys </w:t>
            </w:r>
            <w:r w:rsidR="002F0E74">
              <w:rPr>
                <w:sz w:val="22"/>
              </w:rPr>
              <w:t xml:space="preserve">which contain button batteries </w:t>
            </w:r>
            <w:r w:rsidR="008418FE">
              <w:rPr>
                <w:sz w:val="22"/>
              </w:rPr>
              <w:t xml:space="preserve">separately from any submission you may </w:t>
            </w:r>
            <w:r w:rsidR="00D2228B">
              <w:rPr>
                <w:sz w:val="22"/>
              </w:rPr>
              <w:t>have made</w:t>
            </w:r>
            <w:r w:rsidR="008418FE">
              <w:rPr>
                <w:sz w:val="22"/>
              </w:rPr>
              <w:t xml:space="preserve"> to the </w:t>
            </w:r>
            <w:r w:rsidR="002F0E74">
              <w:rPr>
                <w:sz w:val="22"/>
              </w:rPr>
              <w:t>general</w:t>
            </w:r>
            <w:r w:rsidR="008418FE">
              <w:rPr>
                <w:sz w:val="22"/>
              </w:rPr>
              <w:t xml:space="preserve"> consultation on button batteries</w:t>
            </w:r>
            <w:r w:rsidR="00D2228B">
              <w:rPr>
                <w:sz w:val="22"/>
              </w:rPr>
              <w:t xml:space="preserve">. </w:t>
            </w:r>
          </w:p>
        </w:tc>
      </w:tr>
    </w:tbl>
    <w:p w14:paraId="2AA743BE" w14:textId="3C51F09B" w:rsidR="000E3A2E" w:rsidRPr="00381464" w:rsidRDefault="00126288" w:rsidP="00CC0BB1">
      <w:pPr>
        <w:pStyle w:val="Numbered1"/>
        <w:numPr>
          <w:ilvl w:val="0"/>
          <w:numId w:val="12"/>
        </w:numPr>
        <w:ind w:left="357" w:hanging="357"/>
        <w:rPr>
          <w:rFonts w:ascii="Lucida Fax" w:hAnsi="Lucida Fax"/>
          <w:color w:val="51626F"/>
        </w:rPr>
      </w:pPr>
      <w:bookmarkStart w:id="2" w:name="_Toc15468225"/>
      <w:r w:rsidRPr="00381464">
        <w:rPr>
          <w:rFonts w:ascii="Lucida Fax" w:hAnsi="Lucida Fax"/>
          <w:color w:val="51626F"/>
        </w:rPr>
        <w:t>Background</w:t>
      </w:r>
      <w:bookmarkEnd w:id="2"/>
    </w:p>
    <w:p w14:paraId="4CAEF997" w14:textId="73239B8D" w:rsidR="00EC5EFF" w:rsidRPr="00381464" w:rsidRDefault="00EC5EFF" w:rsidP="00462D6C">
      <w:pPr>
        <w:pStyle w:val="Heading2"/>
        <w:rPr>
          <w:rFonts w:eastAsia="Times New Roman" w:cs="Times New Roman"/>
          <w:color w:val="51626F"/>
        </w:rPr>
      </w:pPr>
      <w:r w:rsidRPr="00381464">
        <w:rPr>
          <w:rFonts w:eastAsia="Times New Roman" w:cs="Times New Roman"/>
          <w:color w:val="51626F"/>
        </w:rPr>
        <w:t>Button batteries</w:t>
      </w:r>
    </w:p>
    <w:p w14:paraId="6FE1917C" w14:textId="40B60780" w:rsidR="006168AF" w:rsidRPr="00C531EB" w:rsidRDefault="00A96CDD" w:rsidP="00C531EB">
      <w:pPr>
        <w:tabs>
          <w:tab w:val="left" w:pos="993"/>
        </w:tabs>
        <w:rPr>
          <w:rFonts w:cs="Arial"/>
        </w:rPr>
      </w:pPr>
      <w:r w:rsidRPr="00C531EB">
        <w:rPr>
          <w:rFonts w:cs="Arial"/>
        </w:rPr>
        <w:t>Button batteries are flat, round, single cell batteries with diameters up to 32 mm and heights ranging from</w:t>
      </w:r>
      <w:r w:rsidR="002C4251">
        <w:rPr>
          <w:rFonts w:cs="Arial"/>
        </w:rPr>
        <w:t xml:space="preserve"> 1-11 mm</w:t>
      </w:r>
      <w:r w:rsidRPr="00C531EB">
        <w:rPr>
          <w:rFonts w:cs="Arial"/>
        </w:rPr>
        <w:t xml:space="preserve">. These batteries are </w:t>
      </w:r>
      <w:r w:rsidR="00E57D8D">
        <w:rPr>
          <w:rFonts w:cs="Arial"/>
        </w:rPr>
        <w:t xml:space="preserve">generally </w:t>
      </w:r>
      <w:r w:rsidRPr="00C531EB">
        <w:rPr>
          <w:rFonts w:cs="Arial"/>
        </w:rPr>
        <w:t>referred to as button or coin batteries. Their small size, while suited to many uses, makes it easy for children to ingest them. Button batteries are used in a broad range of consumer and household products including toys, TV remote controls, cameras, watches, calculators, greeting cards, scales, torches, digital thermometers</w:t>
      </w:r>
      <w:r w:rsidR="00C531EB">
        <w:rPr>
          <w:rFonts w:cs="Arial"/>
        </w:rPr>
        <w:t>, novelty items and LED lights.</w:t>
      </w:r>
    </w:p>
    <w:p w14:paraId="602EC277" w14:textId="152E8D76" w:rsidR="00A96CDD" w:rsidRPr="00C531EB" w:rsidRDefault="00A96CDD" w:rsidP="00C531EB">
      <w:pPr>
        <w:tabs>
          <w:tab w:val="left" w:pos="993"/>
        </w:tabs>
        <w:rPr>
          <w:rFonts w:cs="Arial"/>
        </w:rPr>
      </w:pPr>
      <w:r w:rsidRPr="00C531EB">
        <w:rPr>
          <w:rFonts w:cs="Arial"/>
        </w:rPr>
        <w:t xml:space="preserve">For the purposes of this paper, button batteries include all flat, disc-shaped cells or batteries regardless of their size or chemistry. ‘Coin’, ‘disc’ and ‘button’ cells or batteries are taken to be the same article. Button batteries generally operate using four chemistries: alkaline, lithium, silver oxide and zinc-air. </w:t>
      </w:r>
    </w:p>
    <w:p w14:paraId="6CAADA94" w14:textId="5774068A" w:rsidR="006168AF" w:rsidRDefault="00A96CDD" w:rsidP="00A96CDD">
      <w:pPr>
        <w:tabs>
          <w:tab w:val="left" w:pos="993"/>
        </w:tabs>
        <w:rPr>
          <w:rFonts w:cs="Arial"/>
          <w:color w:val="000000"/>
        </w:rPr>
      </w:pPr>
      <w:r w:rsidRPr="00A96CDD">
        <w:rPr>
          <w:rFonts w:cs="Arial"/>
          <w:color w:val="000000"/>
        </w:rPr>
        <w:t xml:space="preserve">It is the combination of battery diameter size, </w:t>
      </w:r>
      <w:r w:rsidR="00E57D8D">
        <w:rPr>
          <w:rFonts w:cs="Arial"/>
          <w:color w:val="000000"/>
        </w:rPr>
        <w:t xml:space="preserve">battery </w:t>
      </w:r>
      <w:r w:rsidR="00E57D8D" w:rsidRPr="00A96CDD">
        <w:rPr>
          <w:rFonts w:cs="Arial"/>
          <w:color w:val="000000"/>
        </w:rPr>
        <w:t>voltage (including propensity to retain residual voltage)</w:t>
      </w:r>
      <w:r w:rsidR="00E57D8D">
        <w:rPr>
          <w:rFonts w:cs="Arial"/>
          <w:color w:val="000000"/>
        </w:rPr>
        <w:t>, and</w:t>
      </w:r>
      <w:r w:rsidR="00E57D8D" w:rsidRPr="00A96CDD">
        <w:rPr>
          <w:rFonts w:cs="Arial"/>
          <w:color w:val="000000"/>
        </w:rPr>
        <w:t xml:space="preserve"> </w:t>
      </w:r>
      <w:r w:rsidRPr="00A96CDD">
        <w:rPr>
          <w:rFonts w:cs="Arial"/>
          <w:color w:val="000000"/>
        </w:rPr>
        <w:t>mode of exposure (ingestion vs insertion</w:t>
      </w:r>
      <w:r w:rsidR="00E57D8D">
        <w:rPr>
          <w:rFonts w:cs="Arial"/>
          <w:color w:val="000000"/>
        </w:rPr>
        <w:t xml:space="preserve"> into the body</w:t>
      </w:r>
      <w:r w:rsidRPr="00A96CDD">
        <w:rPr>
          <w:rFonts w:cs="Arial"/>
          <w:color w:val="000000"/>
        </w:rPr>
        <w:t xml:space="preserve">) that is critical for safety. Button batteries of all sizes, voltages and chemistries can cause caustic burns in contact with </w:t>
      </w:r>
      <w:r w:rsidR="00E57D8D">
        <w:rPr>
          <w:rFonts w:cs="Arial"/>
          <w:color w:val="000000"/>
        </w:rPr>
        <w:t xml:space="preserve">human </w:t>
      </w:r>
      <w:r w:rsidRPr="00A96CDD">
        <w:rPr>
          <w:rFonts w:cs="Arial"/>
          <w:color w:val="000000"/>
        </w:rPr>
        <w:t xml:space="preserve">tissue. However, it is the combination of </w:t>
      </w:r>
      <w:r w:rsidR="00E57D8D">
        <w:rPr>
          <w:rFonts w:cs="Arial"/>
          <w:color w:val="000000"/>
        </w:rPr>
        <w:t xml:space="preserve">a </w:t>
      </w:r>
      <w:r w:rsidRPr="00A96CDD">
        <w:rPr>
          <w:rFonts w:cs="Arial"/>
          <w:color w:val="000000"/>
        </w:rPr>
        <w:t>larger battery diameter, higher (and residual) voltage and exposure via swallowing that results in the most catastrophic injuries and death. This is because the larger batteries may lodge in a child’s oesophagus, will have residual electrical charge and if burns ensue, they are in p</w:t>
      </w:r>
      <w:r w:rsidR="00C531EB">
        <w:rPr>
          <w:rFonts w:cs="Arial"/>
          <w:color w:val="000000"/>
        </w:rPr>
        <w:t>roximity to major blood supply.</w:t>
      </w:r>
    </w:p>
    <w:p w14:paraId="7D2CB7B1" w14:textId="28B4F473" w:rsidR="006168AF" w:rsidRPr="00B10A24" w:rsidRDefault="00A96CDD" w:rsidP="00A96CDD">
      <w:pPr>
        <w:tabs>
          <w:tab w:val="left" w:pos="993"/>
        </w:tabs>
      </w:pPr>
      <w:r w:rsidRPr="00A96CDD">
        <w:rPr>
          <w:rFonts w:cs="Arial"/>
          <w:color w:val="000000"/>
        </w:rPr>
        <w:t>While lithium and alkaline chemistry battery types are known to have caused more major injuries and fatalities, all button batteries present a risk when ingested or inserted.</w:t>
      </w:r>
      <w:r w:rsidR="00E57D8D">
        <w:rPr>
          <w:rFonts w:cs="Arial"/>
          <w:color w:val="000000"/>
        </w:rPr>
        <w:t xml:space="preserve"> </w:t>
      </w:r>
      <w:r>
        <w:t>Button batteries can cause very serious injury and even death if ingested, particularly in children under the age of six</w:t>
      </w:r>
      <w:r w:rsidR="00E57D8D">
        <w:t xml:space="preserve"> years</w:t>
      </w:r>
      <w:r>
        <w:t>. Serious injury can occur in as little as two hours. There is a growing record of these injuries and deaths all over the world, including Australia</w:t>
      </w:r>
      <w:r w:rsidR="00E57D8D">
        <w:t xml:space="preserve">, where two </w:t>
      </w:r>
      <w:r>
        <w:t>children, Summer Alice Steer and Isabella Estelle Rees, have died from button battery injuries.</w:t>
      </w:r>
    </w:p>
    <w:p w14:paraId="3C116C50" w14:textId="6D0ABC68" w:rsidR="002C5E61" w:rsidRPr="00381464" w:rsidRDefault="004052D4" w:rsidP="00C531EB">
      <w:pPr>
        <w:pStyle w:val="Heading2"/>
        <w:keepNext/>
        <w:rPr>
          <w:color w:val="auto"/>
          <w:sz w:val="22"/>
          <w:szCs w:val="22"/>
        </w:rPr>
      </w:pPr>
      <w:r w:rsidRPr="00381464">
        <w:rPr>
          <w:rFonts w:eastAsia="Times New Roman" w:cs="Times New Roman"/>
          <w:color w:val="51626F"/>
        </w:rPr>
        <w:lastRenderedPageBreak/>
        <w:t>Asphyxia</w:t>
      </w:r>
      <w:r w:rsidR="001A6A64" w:rsidRPr="00381464">
        <w:rPr>
          <w:rFonts w:eastAsia="Times New Roman" w:cs="Times New Roman"/>
          <w:color w:val="51626F"/>
        </w:rPr>
        <w:t xml:space="preserve"> in children</w:t>
      </w:r>
    </w:p>
    <w:p w14:paraId="3CD59071" w14:textId="7A80D1C0" w:rsidR="006168AF" w:rsidRDefault="00A96CDD" w:rsidP="00462D6C">
      <w:pPr>
        <w:pStyle w:val="Heading2"/>
        <w:rPr>
          <w:color w:val="auto"/>
          <w:sz w:val="22"/>
          <w:szCs w:val="22"/>
        </w:rPr>
      </w:pPr>
      <w:r>
        <w:rPr>
          <w:color w:val="auto"/>
          <w:sz w:val="22"/>
          <w:szCs w:val="22"/>
        </w:rPr>
        <w:t xml:space="preserve">The key hazard currently addressed in the mandatory standard for toys for children up to and including 36 months of age relates to the potential ingestion of small parts generated by the toy. </w:t>
      </w:r>
      <w:r w:rsidR="004052D4" w:rsidRPr="00BA085A">
        <w:rPr>
          <w:color w:val="auto"/>
          <w:sz w:val="22"/>
          <w:szCs w:val="22"/>
        </w:rPr>
        <w:t>Asphyxia is defined as lack of oxygen in the blood due to interference with respiration. Specifically, c</w:t>
      </w:r>
      <w:r w:rsidR="001A6A64" w:rsidRPr="00BA085A">
        <w:rPr>
          <w:color w:val="auto"/>
          <w:sz w:val="22"/>
          <w:szCs w:val="22"/>
        </w:rPr>
        <w:t>hoking is the interruption of respiration by an internal obstruction of the airway, usually a food item or</w:t>
      </w:r>
      <w:r w:rsidR="004052D4" w:rsidRPr="00BA085A">
        <w:rPr>
          <w:color w:val="auto"/>
          <w:sz w:val="22"/>
          <w:szCs w:val="22"/>
        </w:rPr>
        <w:t xml:space="preserve"> a</w:t>
      </w:r>
      <w:r w:rsidR="001A6A64" w:rsidRPr="00BA085A">
        <w:rPr>
          <w:color w:val="auto"/>
          <w:sz w:val="22"/>
          <w:szCs w:val="22"/>
        </w:rPr>
        <w:t xml:space="preserve"> small object. Aspiration occurs when this object is inhaled into the respiratory system</w:t>
      </w:r>
      <w:r w:rsidR="001A6A64" w:rsidRPr="00BA085A">
        <w:rPr>
          <w:rStyle w:val="FootnoteReference"/>
          <w:color w:val="auto"/>
          <w:sz w:val="22"/>
          <w:szCs w:val="22"/>
        </w:rPr>
        <w:footnoteReference w:id="1"/>
      </w:r>
      <w:r w:rsidR="00C531EB">
        <w:rPr>
          <w:color w:val="auto"/>
          <w:sz w:val="22"/>
          <w:szCs w:val="22"/>
        </w:rPr>
        <w:t>.</w:t>
      </w:r>
    </w:p>
    <w:p w14:paraId="4FEB5AC0" w14:textId="2EEFB3E8" w:rsidR="00B10A24" w:rsidRPr="00B766B7" w:rsidRDefault="008C6634" w:rsidP="00462D6C">
      <w:pPr>
        <w:pStyle w:val="Heading2"/>
        <w:rPr>
          <w:color w:val="000000"/>
          <w:sz w:val="23"/>
          <w:szCs w:val="23"/>
          <w:shd w:val="clear" w:color="auto" w:fill="FFFFFF"/>
        </w:rPr>
      </w:pPr>
      <w:r w:rsidRPr="00B766B7">
        <w:rPr>
          <w:color w:val="000000"/>
          <w:sz w:val="22"/>
          <w:szCs w:val="22"/>
        </w:rPr>
        <w:t>Young children are particularly at risk from these events because they have small and und</w:t>
      </w:r>
      <w:r w:rsidR="001030B5" w:rsidRPr="00B766B7">
        <w:rPr>
          <w:color w:val="000000"/>
          <w:sz w:val="22"/>
          <w:szCs w:val="22"/>
        </w:rPr>
        <w:t>eveloped airways. F</w:t>
      </w:r>
      <w:r w:rsidRPr="00B766B7">
        <w:rPr>
          <w:color w:val="000000"/>
          <w:sz w:val="22"/>
          <w:szCs w:val="22"/>
        </w:rPr>
        <w:t>or infants the larynx is not only the narrowest part of the upper airway but is relatively smaller than in older children meaning that infants are particularly vulnerable to foreign objects becoming lodged leading to asphyxiation</w:t>
      </w:r>
      <w:r w:rsidRPr="00B766B7">
        <w:rPr>
          <w:rStyle w:val="FootnoteReference"/>
          <w:color w:val="000000"/>
          <w:sz w:val="20"/>
          <w:szCs w:val="20"/>
        </w:rPr>
        <w:footnoteReference w:id="2"/>
      </w:r>
      <w:r w:rsidR="001A6A64" w:rsidRPr="00B766B7">
        <w:rPr>
          <w:color w:val="000000"/>
          <w:sz w:val="23"/>
          <w:szCs w:val="23"/>
          <w:shd w:val="clear" w:color="auto" w:fill="FFFFFF"/>
        </w:rPr>
        <w:t>.</w:t>
      </w:r>
    </w:p>
    <w:p w14:paraId="2E552FF6" w14:textId="424E464A" w:rsidR="002E59F6" w:rsidRPr="00B766B7" w:rsidRDefault="001E527F" w:rsidP="00B10A24">
      <w:pPr>
        <w:tabs>
          <w:tab w:val="left" w:pos="993"/>
        </w:tabs>
        <w:rPr>
          <w:color w:val="000000"/>
          <w:shd w:val="clear" w:color="auto" w:fill="FFFFFF"/>
        </w:rPr>
      </w:pPr>
      <w:r w:rsidRPr="00B766B7">
        <w:rPr>
          <w:color w:val="000000"/>
          <w:shd w:val="clear" w:color="auto" w:fill="FFFFFF"/>
        </w:rPr>
        <w:t>Additionally,</w:t>
      </w:r>
      <w:r w:rsidR="001A6A64" w:rsidRPr="00B766B7">
        <w:rPr>
          <w:color w:val="000000"/>
          <w:shd w:val="clear" w:color="auto" w:fill="FFFFFF"/>
        </w:rPr>
        <w:t xml:space="preserve"> </w:t>
      </w:r>
      <w:r w:rsidRPr="00B766B7">
        <w:rPr>
          <w:color w:val="000000"/>
          <w:shd w:val="clear" w:color="auto" w:fill="FFFFFF"/>
        </w:rPr>
        <w:t>t</w:t>
      </w:r>
      <w:r w:rsidR="001A6A64" w:rsidRPr="00B766B7">
        <w:rPr>
          <w:color w:val="000000"/>
          <w:shd w:val="clear" w:color="auto" w:fill="FFFFFF"/>
        </w:rPr>
        <w:t>he swallowing mechanism</w:t>
      </w:r>
      <w:r w:rsidRPr="00B766B7">
        <w:rPr>
          <w:color w:val="000000"/>
          <w:shd w:val="clear" w:color="auto" w:fill="FFFFFF"/>
        </w:rPr>
        <w:t xml:space="preserve"> of infants and young children</w:t>
      </w:r>
      <w:r w:rsidR="001A6A64" w:rsidRPr="00B766B7">
        <w:rPr>
          <w:color w:val="000000"/>
          <w:shd w:val="clear" w:color="auto" w:fill="FFFFFF"/>
        </w:rPr>
        <w:t xml:space="preserve"> i</w:t>
      </w:r>
      <w:r w:rsidR="004052D4" w:rsidRPr="00B766B7">
        <w:rPr>
          <w:color w:val="000000"/>
          <w:shd w:val="clear" w:color="auto" w:fill="FFFFFF"/>
        </w:rPr>
        <w:t>s still underdeveloped, and children</w:t>
      </w:r>
      <w:r w:rsidR="001A6A64" w:rsidRPr="00B766B7">
        <w:rPr>
          <w:color w:val="000000"/>
          <w:shd w:val="clear" w:color="auto" w:fill="FFFFFF"/>
        </w:rPr>
        <w:t xml:space="preserve"> lack the experience to prevent or abort</w:t>
      </w:r>
      <w:r w:rsidR="004052D4" w:rsidRPr="00B766B7">
        <w:rPr>
          <w:color w:val="000000"/>
          <w:shd w:val="clear" w:color="auto" w:fill="FFFFFF"/>
        </w:rPr>
        <w:t xml:space="preserve"> a potential choking episode</w:t>
      </w:r>
      <w:r w:rsidR="001A6A64" w:rsidRPr="00B766B7">
        <w:rPr>
          <w:color w:val="000000"/>
          <w:shd w:val="clear" w:color="auto" w:fill="FFFFFF"/>
        </w:rPr>
        <w:t>.</w:t>
      </w:r>
      <w:r w:rsidRPr="00B766B7">
        <w:rPr>
          <w:color w:val="000000"/>
          <w:shd w:val="clear" w:color="auto" w:fill="FFFFFF"/>
        </w:rPr>
        <w:t xml:space="preserve"> As part of their development young children also explore the world through</w:t>
      </w:r>
      <w:r w:rsidR="00D126E3" w:rsidRPr="00B766B7">
        <w:rPr>
          <w:color w:val="000000"/>
          <w:shd w:val="clear" w:color="auto" w:fill="FFFFFF"/>
        </w:rPr>
        <w:t xml:space="preserve"> placing objects in their mouth with this</w:t>
      </w:r>
      <w:r w:rsidR="001A6A64" w:rsidRPr="00B766B7">
        <w:rPr>
          <w:color w:val="000000"/>
          <w:shd w:val="clear" w:color="auto" w:fill="FFFFFF"/>
        </w:rPr>
        <w:t xml:space="preserve"> mout</w:t>
      </w:r>
      <w:r w:rsidR="00D126E3" w:rsidRPr="00B766B7">
        <w:rPr>
          <w:color w:val="000000"/>
          <w:shd w:val="clear" w:color="auto" w:fill="FFFFFF"/>
        </w:rPr>
        <w:t xml:space="preserve">hing behaviour most </w:t>
      </w:r>
      <w:r w:rsidR="00D126E3" w:rsidRPr="00B766B7">
        <w:rPr>
          <w:rFonts w:cs="Arial"/>
          <w:color w:val="000000"/>
        </w:rPr>
        <w:t>prevalent</w:t>
      </w:r>
      <w:r w:rsidR="00D126E3" w:rsidRPr="00B766B7">
        <w:rPr>
          <w:color w:val="000000"/>
          <w:shd w:val="clear" w:color="auto" w:fill="FFFFFF"/>
        </w:rPr>
        <w:t xml:space="preserve"> in children under three years of age</w:t>
      </w:r>
      <w:r w:rsidRPr="00B766B7">
        <w:rPr>
          <w:rStyle w:val="FootnoteReference"/>
          <w:color w:val="000000"/>
          <w:shd w:val="clear" w:color="auto" w:fill="FFFFFF"/>
        </w:rPr>
        <w:footnoteReference w:id="3"/>
      </w:r>
      <w:r w:rsidR="004052D4" w:rsidRPr="00B766B7">
        <w:rPr>
          <w:color w:val="000000"/>
          <w:shd w:val="clear" w:color="auto" w:fill="FFFFFF"/>
        </w:rPr>
        <w:t>.</w:t>
      </w:r>
    </w:p>
    <w:p w14:paraId="2A266E2E" w14:textId="07263ACE" w:rsidR="00233428" w:rsidRPr="00381464" w:rsidRDefault="00233428" w:rsidP="00462D6C">
      <w:pPr>
        <w:pStyle w:val="Heading2"/>
        <w:rPr>
          <w:rFonts w:eastAsia="Times New Roman" w:cs="Times New Roman"/>
          <w:color w:val="51626F"/>
        </w:rPr>
      </w:pPr>
      <w:r w:rsidRPr="00381464">
        <w:rPr>
          <w:rFonts w:eastAsia="Times New Roman" w:cs="Times New Roman"/>
          <w:color w:val="51626F"/>
        </w:rPr>
        <w:t>Previous toy consultation</w:t>
      </w:r>
    </w:p>
    <w:p w14:paraId="1369DE1D" w14:textId="5E54F0CF" w:rsidR="00DE52DA" w:rsidRDefault="00DE52DA" w:rsidP="00233428">
      <w:pPr>
        <w:tabs>
          <w:tab w:val="left" w:pos="993"/>
        </w:tabs>
        <w:rPr>
          <w:rFonts w:cs="Arial"/>
        </w:rPr>
      </w:pPr>
      <w:r>
        <w:rPr>
          <w:rFonts w:cs="Arial"/>
        </w:rPr>
        <w:t xml:space="preserve">In 2017 the ACCC released a consultation paper discussing options for </w:t>
      </w:r>
      <w:r w:rsidR="00E8626C">
        <w:rPr>
          <w:rFonts w:cs="Arial"/>
        </w:rPr>
        <w:t>the five</w:t>
      </w:r>
      <w:r>
        <w:rPr>
          <w:rFonts w:cs="Arial"/>
        </w:rPr>
        <w:t xml:space="preserve"> mandatory standards </w:t>
      </w:r>
      <w:r w:rsidR="00156C20">
        <w:rPr>
          <w:rFonts w:cs="Arial"/>
        </w:rPr>
        <w:t>for</w:t>
      </w:r>
      <w:r>
        <w:rPr>
          <w:rFonts w:cs="Arial"/>
        </w:rPr>
        <w:t xml:space="preserve"> children’s toys. This </w:t>
      </w:r>
      <w:r w:rsidR="004A4FC5">
        <w:rPr>
          <w:rFonts w:cs="Arial"/>
        </w:rPr>
        <w:t xml:space="preserve">consultation </w:t>
      </w:r>
      <w:r>
        <w:rPr>
          <w:rFonts w:cs="Arial"/>
        </w:rPr>
        <w:t>included discussion about warnings for toys</w:t>
      </w:r>
      <w:r w:rsidR="0055322E">
        <w:rPr>
          <w:rFonts w:cs="Arial"/>
        </w:rPr>
        <w:t xml:space="preserve"> for children </w:t>
      </w:r>
      <w:r w:rsidR="00855CAE">
        <w:rPr>
          <w:rFonts w:cs="Arial"/>
        </w:rPr>
        <w:t xml:space="preserve">up to and including </w:t>
      </w:r>
      <w:r w:rsidR="0055322E">
        <w:rPr>
          <w:rFonts w:cs="Arial"/>
        </w:rPr>
        <w:t>36 months</w:t>
      </w:r>
      <w:r>
        <w:rPr>
          <w:rFonts w:cs="Arial"/>
        </w:rPr>
        <w:t xml:space="preserve"> containing button batteries</w:t>
      </w:r>
      <w:r w:rsidR="004A4FC5">
        <w:rPr>
          <w:rFonts w:cs="Arial"/>
        </w:rPr>
        <w:t xml:space="preserve"> and the </w:t>
      </w:r>
      <w:r>
        <w:rPr>
          <w:rFonts w:cs="Arial"/>
        </w:rPr>
        <w:t>following question was asked</w:t>
      </w:r>
      <w:r w:rsidR="004A4FC5">
        <w:rPr>
          <w:rFonts w:cs="Arial"/>
        </w:rPr>
        <w:t>:</w:t>
      </w:r>
    </w:p>
    <w:p w14:paraId="67B36697" w14:textId="4488DF01" w:rsidR="00E96424" w:rsidRDefault="00233428" w:rsidP="001C5361">
      <w:pPr>
        <w:spacing w:before="120"/>
        <w:ind w:left="357"/>
      </w:pPr>
      <w:r w:rsidRPr="004A4FC5">
        <w:rPr>
          <w:i/>
        </w:rPr>
        <w:t>Should we mandate a warning on toys containing button or coin cell batteries to draw attention to the hazards to young children?</w:t>
      </w:r>
    </w:p>
    <w:p w14:paraId="7C6E0143" w14:textId="01BDD29A" w:rsidR="00E96424" w:rsidRDefault="00E96424" w:rsidP="00233428">
      <w:pPr>
        <w:pStyle w:val="Heading3"/>
        <w:spacing w:before="120" w:after="200"/>
        <w:rPr>
          <w:rFonts w:cs="Arial"/>
          <w:b w:val="0"/>
          <w:sz w:val="22"/>
        </w:rPr>
      </w:pPr>
      <w:r>
        <w:rPr>
          <w:rFonts w:cs="Arial"/>
          <w:b w:val="0"/>
          <w:sz w:val="22"/>
        </w:rPr>
        <w:t>At the time of consultation the paper identified that the Un</w:t>
      </w:r>
      <w:r w:rsidR="005B70E5">
        <w:rPr>
          <w:rFonts w:cs="Arial"/>
          <w:b w:val="0"/>
          <w:sz w:val="22"/>
        </w:rPr>
        <w:t>ited States regulations require</w:t>
      </w:r>
      <w:r>
        <w:rPr>
          <w:rFonts w:cs="Arial"/>
          <w:b w:val="0"/>
          <w:sz w:val="22"/>
        </w:rPr>
        <w:t xml:space="preserve"> toys that </w:t>
      </w:r>
      <w:r w:rsidR="002D24F6">
        <w:rPr>
          <w:rFonts w:cs="Arial"/>
          <w:b w:val="0"/>
          <w:sz w:val="22"/>
        </w:rPr>
        <w:t>are powered by</w:t>
      </w:r>
      <w:r>
        <w:rPr>
          <w:rFonts w:cs="Arial"/>
          <w:b w:val="0"/>
          <w:sz w:val="22"/>
        </w:rPr>
        <w:t xml:space="preserve"> a button or coin battery </w:t>
      </w:r>
      <w:r w:rsidR="005B70E5">
        <w:rPr>
          <w:rFonts w:cs="Arial"/>
          <w:b w:val="0"/>
          <w:sz w:val="22"/>
        </w:rPr>
        <w:t>to include a warning label on the product packaging or on a leaflet accompanying the packaging. The consultation paper also highlighted that</w:t>
      </w:r>
      <w:r w:rsidR="0055322E">
        <w:rPr>
          <w:rFonts w:cs="Arial"/>
          <w:b w:val="0"/>
          <w:sz w:val="22"/>
        </w:rPr>
        <w:t xml:space="preserve"> although at the time of consultation</w:t>
      </w:r>
      <w:r w:rsidR="005B70E5">
        <w:rPr>
          <w:rFonts w:cs="Arial"/>
          <w:b w:val="0"/>
          <w:sz w:val="22"/>
        </w:rPr>
        <w:t xml:space="preserve"> the International Electrotechnical Commission </w:t>
      </w:r>
      <w:r w:rsidR="00B766B7">
        <w:rPr>
          <w:rFonts w:cs="Arial"/>
          <w:b w:val="0"/>
          <w:sz w:val="22"/>
        </w:rPr>
        <w:t xml:space="preserve">(IEC) </w:t>
      </w:r>
      <w:r w:rsidR="002D24F6">
        <w:rPr>
          <w:rFonts w:cs="Arial"/>
          <w:b w:val="0"/>
          <w:sz w:val="22"/>
        </w:rPr>
        <w:t>standard</w:t>
      </w:r>
      <w:r w:rsidR="0055322E">
        <w:rPr>
          <w:rFonts w:cs="Arial"/>
          <w:b w:val="0"/>
          <w:sz w:val="22"/>
        </w:rPr>
        <w:t xml:space="preserve"> did not include requirements for warnings the </w:t>
      </w:r>
      <w:r w:rsidR="00156C20">
        <w:rPr>
          <w:rFonts w:cs="Arial"/>
          <w:b w:val="0"/>
          <w:sz w:val="22"/>
        </w:rPr>
        <w:t xml:space="preserve">IEC </w:t>
      </w:r>
      <w:r w:rsidR="0055322E">
        <w:rPr>
          <w:rFonts w:cs="Arial"/>
          <w:b w:val="0"/>
          <w:sz w:val="22"/>
        </w:rPr>
        <w:t>technical committee was actively considering this matter and a future standard</w:t>
      </w:r>
      <w:r w:rsidR="002D24F6">
        <w:rPr>
          <w:rFonts w:cs="Arial"/>
          <w:b w:val="0"/>
          <w:sz w:val="22"/>
        </w:rPr>
        <w:t xml:space="preserve"> </w:t>
      </w:r>
      <w:r w:rsidR="005B70E5">
        <w:rPr>
          <w:rFonts w:cs="Arial"/>
          <w:b w:val="0"/>
          <w:sz w:val="22"/>
        </w:rPr>
        <w:t>was likely to</w:t>
      </w:r>
      <w:r w:rsidR="00FE7558">
        <w:rPr>
          <w:rFonts w:cs="Arial"/>
          <w:b w:val="0"/>
          <w:sz w:val="22"/>
        </w:rPr>
        <w:t xml:space="preserve"> include a similar requirement.</w:t>
      </w:r>
    </w:p>
    <w:p w14:paraId="3ED6093A" w14:textId="6EA2F3C0" w:rsidR="00233428" w:rsidRPr="000A7B98" w:rsidRDefault="00DA2C27" w:rsidP="00233428">
      <w:pPr>
        <w:pStyle w:val="Heading3"/>
        <w:spacing w:before="120" w:after="200"/>
        <w:rPr>
          <w:rFonts w:cs="Arial"/>
          <w:b w:val="0"/>
          <w:sz w:val="22"/>
        </w:rPr>
      </w:pPr>
      <w:r>
        <w:rPr>
          <w:rFonts w:cs="Arial"/>
          <w:b w:val="0"/>
          <w:sz w:val="22"/>
        </w:rPr>
        <w:t xml:space="preserve">A total of 16 </w:t>
      </w:r>
      <w:r w:rsidR="00462D6C">
        <w:rPr>
          <w:rFonts w:cs="Arial"/>
          <w:b w:val="0"/>
          <w:sz w:val="22"/>
        </w:rPr>
        <w:t xml:space="preserve">stakeholder </w:t>
      </w:r>
      <w:r>
        <w:rPr>
          <w:rFonts w:cs="Arial"/>
          <w:b w:val="0"/>
          <w:sz w:val="22"/>
        </w:rPr>
        <w:t xml:space="preserve">submissions were received during the 2017 consultation process. </w:t>
      </w:r>
      <w:r w:rsidR="00233428" w:rsidRPr="000A7B98">
        <w:rPr>
          <w:rFonts w:cs="Arial"/>
          <w:b w:val="0"/>
          <w:sz w:val="22"/>
        </w:rPr>
        <w:t xml:space="preserve">Thirteen </w:t>
      </w:r>
      <w:r w:rsidR="00462D6C">
        <w:rPr>
          <w:rFonts w:cs="Arial"/>
          <w:b w:val="0"/>
          <w:sz w:val="22"/>
        </w:rPr>
        <w:t>stakeholders</w:t>
      </w:r>
      <w:r w:rsidR="00233428" w:rsidRPr="000A7B98">
        <w:rPr>
          <w:rFonts w:cs="Arial"/>
          <w:b w:val="0"/>
          <w:sz w:val="22"/>
        </w:rPr>
        <w:t xml:space="preserve"> supported th</w:t>
      </w:r>
      <w:r>
        <w:rPr>
          <w:rFonts w:cs="Arial"/>
          <w:b w:val="0"/>
          <w:sz w:val="22"/>
        </w:rPr>
        <w:t xml:space="preserve">e proposal to mandate a warning label </w:t>
      </w:r>
      <w:r w:rsidR="00233428" w:rsidRPr="000A7B98">
        <w:rPr>
          <w:rFonts w:cs="Arial"/>
          <w:b w:val="0"/>
          <w:sz w:val="22"/>
        </w:rPr>
        <w:t>due to the potential for and severity of injury and the number of incidents, which are more common than some other products for which warning labels are required.</w:t>
      </w:r>
    </w:p>
    <w:p w14:paraId="342CD53B" w14:textId="77777777" w:rsidR="00233428" w:rsidRPr="000A7B98" w:rsidRDefault="00233428" w:rsidP="00233428">
      <w:pPr>
        <w:spacing w:before="120" w:after="200"/>
        <w:rPr>
          <w:rFonts w:eastAsiaTheme="majorEastAsia" w:cs="Arial"/>
          <w:bCs/>
        </w:rPr>
      </w:pPr>
      <w:r w:rsidRPr="000A7B98">
        <w:rPr>
          <w:rFonts w:eastAsiaTheme="majorEastAsia" w:cs="Arial"/>
          <w:bCs/>
        </w:rPr>
        <w:t>One stakeholder supported a warning label but thought this should be extended to toys for children older than 36 months and another thought the warning should be on the toy as well as the packaging.</w:t>
      </w:r>
    </w:p>
    <w:p w14:paraId="36FD0623" w14:textId="0C3414E4" w:rsidR="00233428" w:rsidRPr="000A7B98" w:rsidRDefault="00233428" w:rsidP="00233428">
      <w:pPr>
        <w:spacing w:before="120" w:after="200"/>
        <w:rPr>
          <w:rFonts w:eastAsiaTheme="majorEastAsia" w:cs="Arial"/>
          <w:bCs/>
        </w:rPr>
      </w:pPr>
      <w:r w:rsidRPr="000A7B98">
        <w:rPr>
          <w:rFonts w:eastAsiaTheme="majorEastAsia" w:cs="Arial"/>
          <w:bCs/>
        </w:rPr>
        <w:t>One stakeholder stated that warning labels are unlikely to be helpful as parents throw away the packaging, and that there are numerous other items which contain batteries that are also attractive to small children</w:t>
      </w:r>
      <w:r w:rsidR="00627598">
        <w:rPr>
          <w:rFonts w:eastAsiaTheme="majorEastAsia" w:cs="Arial"/>
          <w:bCs/>
        </w:rPr>
        <w:t>. This stakeholder also stated</w:t>
      </w:r>
      <w:r w:rsidRPr="000A7B98">
        <w:rPr>
          <w:rFonts w:eastAsiaTheme="majorEastAsia" w:cs="Arial"/>
          <w:bCs/>
        </w:rPr>
        <w:t xml:space="preserve"> education would be a more effective tool.</w:t>
      </w:r>
    </w:p>
    <w:p w14:paraId="0B68F985" w14:textId="57C16D6C" w:rsidR="00462D6C" w:rsidRPr="00462D6C" w:rsidRDefault="003744E1" w:rsidP="00462D6C">
      <w:pPr>
        <w:pStyle w:val="Heading2"/>
        <w:rPr>
          <w:rFonts w:eastAsia="Times New Roman" w:cs="Times New Roman"/>
          <w:color w:val="51626F"/>
        </w:rPr>
      </w:pPr>
      <w:r>
        <w:rPr>
          <w:rFonts w:eastAsia="Times New Roman" w:cs="Times New Roman"/>
          <w:color w:val="51626F"/>
        </w:rPr>
        <w:lastRenderedPageBreak/>
        <w:t>Further</w:t>
      </w:r>
      <w:r w:rsidR="005433C9">
        <w:rPr>
          <w:rFonts w:eastAsia="Times New Roman" w:cs="Times New Roman"/>
          <w:color w:val="51626F"/>
        </w:rPr>
        <w:t xml:space="preserve"> consultation</w:t>
      </w:r>
    </w:p>
    <w:p w14:paraId="23E12E0E" w14:textId="7E55E20F" w:rsidR="00233428" w:rsidRDefault="0055322E" w:rsidP="00233428">
      <w:pPr>
        <w:tabs>
          <w:tab w:val="left" w:pos="993"/>
        </w:tabs>
        <w:rPr>
          <w:rFonts w:cs="Arial"/>
        </w:rPr>
      </w:pPr>
      <w:r>
        <w:rPr>
          <w:rFonts w:cs="Arial"/>
        </w:rPr>
        <w:t>A</w:t>
      </w:r>
      <w:r w:rsidR="00AA0C80">
        <w:rPr>
          <w:rFonts w:cs="Arial"/>
        </w:rPr>
        <w:t xml:space="preserve"> </w:t>
      </w:r>
      <w:r>
        <w:rPr>
          <w:rFonts w:cs="Arial"/>
        </w:rPr>
        <w:t xml:space="preserve">new </w:t>
      </w:r>
      <w:r w:rsidR="00B7011B">
        <w:rPr>
          <w:rFonts w:cs="Arial"/>
        </w:rPr>
        <w:t>IEC</w:t>
      </w:r>
      <w:r w:rsidR="00B766B7">
        <w:rPr>
          <w:rFonts w:cs="Arial"/>
        </w:rPr>
        <w:t xml:space="preserve"> </w:t>
      </w:r>
      <w:r>
        <w:rPr>
          <w:rFonts w:cs="Arial"/>
        </w:rPr>
        <w:t xml:space="preserve">standard </w:t>
      </w:r>
      <w:r w:rsidR="00AA0C80">
        <w:rPr>
          <w:rFonts w:cs="Arial"/>
        </w:rPr>
        <w:t xml:space="preserve">was made in </w:t>
      </w:r>
      <w:r w:rsidR="00C01E34">
        <w:rPr>
          <w:rFonts w:cs="Arial"/>
        </w:rPr>
        <w:t xml:space="preserve">2018 </w:t>
      </w:r>
      <w:r w:rsidR="00AA0C80">
        <w:rPr>
          <w:rFonts w:cs="Arial"/>
        </w:rPr>
        <w:t xml:space="preserve">and </w:t>
      </w:r>
      <w:r>
        <w:rPr>
          <w:rFonts w:cs="Arial"/>
        </w:rPr>
        <w:t>now includes requirements for warnings for button batteries</w:t>
      </w:r>
      <w:r w:rsidR="00AA0C80">
        <w:rPr>
          <w:rFonts w:cs="Arial"/>
        </w:rPr>
        <w:t>.</w:t>
      </w:r>
      <w:r>
        <w:rPr>
          <w:rFonts w:cs="Arial"/>
        </w:rPr>
        <w:t xml:space="preserve"> </w:t>
      </w:r>
      <w:r w:rsidR="00AA0C80">
        <w:rPr>
          <w:rFonts w:cs="Arial"/>
        </w:rPr>
        <w:t>These requirements</w:t>
      </w:r>
      <w:r>
        <w:rPr>
          <w:rFonts w:cs="Arial"/>
        </w:rPr>
        <w:t xml:space="preserve"> have also been adopted in an updated voluntary Australian standard</w:t>
      </w:r>
      <w:r w:rsidR="00AA0C80">
        <w:rPr>
          <w:rFonts w:cs="Arial"/>
        </w:rPr>
        <w:t>. T</w:t>
      </w:r>
      <w:r w:rsidR="00233428">
        <w:rPr>
          <w:rFonts w:cs="Arial"/>
        </w:rPr>
        <w:t xml:space="preserve">he ACCC is </w:t>
      </w:r>
      <w:r w:rsidR="00462D6C">
        <w:rPr>
          <w:rFonts w:cs="Arial"/>
        </w:rPr>
        <w:t xml:space="preserve">now </w:t>
      </w:r>
      <w:r w:rsidR="005B70E5">
        <w:rPr>
          <w:rFonts w:cs="Arial"/>
        </w:rPr>
        <w:t xml:space="preserve">consulting on the option of including a requirement in a new mandatory standard </w:t>
      </w:r>
      <w:r w:rsidR="00AA0C80">
        <w:rPr>
          <w:rFonts w:cs="Arial"/>
        </w:rPr>
        <w:t xml:space="preserve">for </w:t>
      </w:r>
      <w:r w:rsidR="005B70E5">
        <w:rPr>
          <w:rFonts w:cs="Arial"/>
        </w:rPr>
        <w:t>children’s toy</w:t>
      </w:r>
      <w:r w:rsidR="00AA0C80">
        <w:rPr>
          <w:rFonts w:cs="Arial"/>
        </w:rPr>
        <w:t>s</w:t>
      </w:r>
      <w:r w:rsidR="005B70E5">
        <w:rPr>
          <w:rFonts w:cs="Arial"/>
        </w:rPr>
        <w:t xml:space="preserve"> </w:t>
      </w:r>
      <w:r w:rsidR="00123204">
        <w:rPr>
          <w:rFonts w:cs="Arial"/>
        </w:rPr>
        <w:t>containing button batter</w:t>
      </w:r>
      <w:r w:rsidR="00AA0C80">
        <w:rPr>
          <w:rFonts w:cs="Arial"/>
        </w:rPr>
        <w:t>ies to be</w:t>
      </w:r>
      <w:r w:rsidR="005B70E5">
        <w:rPr>
          <w:rFonts w:cs="Arial"/>
        </w:rPr>
        <w:t xml:space="preserve"> accompanied by a warning label</w:t>
      </w:r>
      <w:r w:rsidR="00123204">
        <w:rPr>
          <w:rFonts w:cs="Arial"/>
        </w:rPr>
        <w:t xml:space="preserve"> </w:t>
      </w:r>
      <w:r w:rsidR="00AA0C80">
        <w:rPr>
          <w:rFonts w:cs="Arial"/>
        </w:rPr>
        <w:t xml:space="preserve">on the product packaging and </w:t>
      </w:r>
      <w:r w:rsidR="00123204">
        <w:rPr>
          <w:rFonts w:cs="Arial"/>
        </w:rPr>
        <w:t xml:space="preserve">with the </w:t>
      </w:r>
      <w:r w:rsidR="00AA0C80">
        <w:rPr>
          <w:rFonts w:cs="Arial"/>
        </w:rPr>
        <w:t xml:space="preserve">user </w:t>
      </w:r>
      <w:r w:rsidR="00123204">
        <w:rPr>
          <w:rFonts w:cs="Arial"/>
        </w:rPr>
        <w:t>instructions</w:t>
      </w:r>
      <w:r w:rsidR="005B70E5">
        <w:rPr>
          <w:rFonts w:cs="Arial"/>
        </w:rPr>
        <w:t>. The ACCC is seeking views on</w:t>
      </w:r>
      <w:r w:rsidR="00233428">
        <w:rPr>
          <w:rFonts w:cs="Arial"/>
        </w:rPr>
        <w:t xml:space="preserve"> </w:t>
      </w:r>
      <w:r>
        <w:rPr>
          <w:rFonts w:cs="Arial"/>
        </w:rPr>
        <w:t>permitting</w:t>
      </w:r>
      <w:r w:rsidR="00233428">
        <w:rPr>
          <w:rFonts w:cs="Arial"/>
        </w:rPr>
        <w:t xml:space="preserve"> compliance </w:t>
      </w:r>
      <w:r w:rsidR="00123204">
        <w:rPr>
          <w:rFonts w:cs="Arial"/>
        </w:rPr>
        <w:t>with this requirement</w:t>
      </w:r>
      <w:r w:rsidR="005B70E5">
        <w:rPr>
          <w:rFonts w:cs="Arial"/>
        </w:rPr>
        <w:t xml:space="preserve"> through reference to</w:t>
      </w:r>
      <w:r w:rsidR="00847E9E">
        <w:rPr>
          <w:rFonts w:cs="Arial"/>
        </w:rPr>
        <w:t xml:space="preserve"> applicable</w:t>
      </w:r>
      <w:r w:rsidR="00233428">
        <w:rPr>
          <w:rFonts w:cs="Arial"/>
        </w:rPr>
        <w:t xml:space="preserve"> voluntary Australian standards and trusted </w:t>
      </w:r>
      <w:r w:rsidR="002A1805">
        <w:rPr>
          <w:rFonts w:cs="Arial"/>
        </w:rPr>
        <w:t>overseas</w:t>
      </w:r>
      <w:r w:rsidR="00233428">
        <w:rPr>
          <w:rFonts w:cs="Arial"/>
        </w:rPr>
        <w:t xml:space="preserve"> standards</w:t>
      </w:r>
      <w:r w:rsidR="002A1805">
        <w:rPr>
          <w:rFonts w:cs="Arial"/>
        </w:rPr>
        <w:t xml:space="preserve"> made by</w:t>
      </w:r>
      <w:r w:rsidR="00E15389">
        <w:rPr>
          <w:rFonts w:cs="Arial"/>
        </w:rPr>
        <w:t xml:space="preserve"> an expert</w:t>
      </w:r>
      <w:r w:rsidR="002A1805">
        <w:rPr>
          <w:rFonts w:cs="Arial"/>
        </w:rPr>
        <w:t xml:space="preserve"> technical </w:t>
      </w:r>
      <w:r w:rsidR="00123204">
        <w:rPr>
          <w:rFonts w:cs="Arial"/>
        </w:rPr>
        <w:t>organisation</w:t>
      </w:r>
      <w:r w:rsidR="00E15389">
        <w:rPr>
          <w:rFonts w:cs="Arial"/>
        </w:rPr>
        <w:t>.</w:t>
      </w:r>
      <w:r w:rsidR="00233428">
        <w:rPr>
          <w:rFonts w:cs="Arial"/>
        </w:rPr>
        <w:t xml:space="preserve"> </w:t>
      </w:r>
      <w:r w:rsidR="002C5E61">
        <w:rPr>
          <w:rFonts w:cs="Arial"/>
        </w:rPr>
        <w:t xml:space="preserve">These options are discussed below </w:t>
      </w:r>
      <w:r w:rsidR="008F150C">
        <w:rPr>
          <w:rFonts w:cs="Arial"/>
        </w:rPr>
        <w:t>in Parts 6 and 7 of this paper.</w:t>
      </w:r>
    </w:p>
    <w:p w14:paraId="2F783A7E" w14:textId="47AA6A49" w:rsidR="00233428" w:rsidRPr="00381464" w:rsidRDefault="00233428" w:rsidP="00233428">
      <w:pPr>
        <w:pStyle w:val="Numbered1"/>
        <w:numPr>
          <w:ilvl w:val="0"/>
          <w:numId w:val="12"/>
        </w:numPr>
        <w:rPr>
          <w:rFonts w:ascii="Lucida Fax" w:hAnsi="Lucida Fax"/>
          <w:color w:val="51626F"/>
        </w:rPr>
      </w:pPr>
      <w:bookmarkStart w:id="3" w:name="_Toc15468226"/>
      <w:r w:rsidRPr="00381464">
        <w:rPr>
          <w:rFonts w:ascii="Lucida Fax" w:hAnsi="Lucida Fax"/>
          <w:color w:val="51626F"/>
        </w:rPr>
        <w:t>The hazard</w:t>
      </w:r>
      <w:bookmarkEnd w:id="3"/>
    </w:p>
    <w:p w14:paraId="336D9F58" w14:textId="6CDF24FE" w:rsidR="006168AF" w:rsidRPr="00FE7558" w:rsidRDefault="00040964" w:rsidP="00FE7558">
      <w:pPr>
        <w:tabs>
          <w:tab w:val="left" w:pos="993"/>
        </w:tabs>
        <w:rPr>
          <w:rFonts w:cs="Arial"/>
        </w:rPr>
      </w:pPr>
      <w:r w:rsidRPr="00FE7558">
        <w:rPr>
          <w:rFonts w:cs="Arial"/>
        </w:rPr>
        <w:t xml:space="preserve">Button batteries are hazardous because of their size, shape, design and electrical charge. When ingested or inserted, these batteries can get stuck or lodged in the body. When lodged in the body and in contact with bodily fluid, the energy contained within the battery can generate a chemical reaction called electrolysis. An electrical </w:t>
      </w:r>
      <w:r w:rsidR="00B766B7">
        <w:rPr>
          <w:rFonts w:cs="Arial"/>
        </w:rPr>
        <w:t>potential of as little as 1.229 </w:t>
      </w:r>
      <w:r w:rsidRPr="00FE7558">
        <w:rPr>
          <w:rFonts w:cs="Arial"/>
        </w:rPr>
        <w:t>volts is s</w:t>
      </w:r>
      <w:r w:rsidR="00FE7558">
        <w:rPr>
          <w:rFonts w:cs="Arial"/>
        </w:rPr>
        <w:t>ufficient to cause the reaction</w:t>
      </w:r>
      <w:r w:rsidR="004646D9">
        <w:rPr>
          <w:rFonts w:cs="Arial"/>
        </w:rPr>
        <w:t>.</w:t>
      </w:r>
      <w:r w:rsidR="004646D9">
        <w:rPr>
          <w:rStyle w:val="FootnoteReference"/>
          <w:rFonts w:cs="Arial"/>
        </w:rPr>
        <w:footnoteReference w:id="4"/>
      </w:r>
      <w:r w:rsidR="00FE7558">
        <w:rPr>
          <w:rFonts w:cs="Arial"/>
        </w:rPr>
        <w:t xml:space="preserve"> </w:t>
      </w:r>
      <w:r w:rsidRPr="00FE7558">
        <w:rPr>
          <w:rFonts w:cs="Arial"/>
        </w:rPr>
        <w:t>At the negative terminal of the battery, hydroxide ions and hydrogen gas will be produced. The hydroxide ions act like caustic soda, chemically burning tissues and causing liquefactive necrosis</w:t>
      </w:r>
      <w:r w:rsidR="00FE7558">
        <w:rPr>
          <w:rFonts w:cs="Arial"/>
        </w:rPr>
        <w:t>.</w:t>
      </w:r>
      <w:r w:rsidR="004646D9">
        <w:rPr>
          <w:rStyle w:val="FootnoteReference"/>
          <w:rFonts w:cs="Arial"/>
        </w:rPr>
        <w:footnoteReference w:id="5"/>
      </w:r>
      <w:r w:rsidRPr="00FE7558">
        <w:rPr>
          <w:rFonts w:cs="Arial"/>
        </w:rPr>
        <w:t xml:space="preserve"> </w:t>
      </w:r>
    </w:p>
    <w:p w14:paraId="376AD3C1" w14:textId="19622B14" w:rsidR="00040964" w:rsidRPr="00FE7558" w:rsidRDefault="00040964" w:rsidP="00FE7558">
      <w:pPr>
        <w:tabs>
          <w:tab w:val="left" w:pos="993"/>
        </w:tabs>
        <w:rPr>
          <w:rFonts w:cs="Arial"/>
        </w:rPr>
      </w:pPr>
      <w:r w:rsidRPr="00FE7558">
        <w:rPr>
          <w:rFonts w:cs="Arial"/>
        </w:rPr>
        <w:t>The terminals of a button battery collectively cover almost the entire battery surface area and are often separated by less than a millimetre. This greatly increases the chances of bodily fluids completing a circuit between the terminals and releasing the energy in the battery to create the corrosive hydroxide ions. Other types of batteries that can be ingested (like AAA batteries) have comparatively smaller terminals separated by a greater distance, which decreases the chances of a circuit being completed between the terminals. Following ingestion, the caustic burn can go through the oesophageal wall in as little as two hours, causing severe and life threatening inj</w:t>
      </w:r>
      <w:r w:rsidR="004646D9">
        <w:rPr>
          <w:rFonts w:cs="Arial"/>
        </w:rPr>
        <w:t>uries</w:t>
      </w:r>
      <w:r w:rsidRPr="00FE7558">
        <w:rPr>
          <w:rFonts w:cs="Arial"/>
        </w:rPr>
        <w:t>, which may cause death. Death is typically by excessive blood loss and cardiac arrest</w:t>
      </w:r>
      <w:r w:rsidR="00FE7558">
        <w:rPr>
          <w:rFonts w:cs="Arial"/>
        </w:rPr>
        <w:t>.</w:t>
      </w:r>
      <w:r w:rsidR="004275B5">
        <w:rPr>
          <w:rStyle w:val="FootnoteReference"/>
          <w:rFonts w:cs="Arial"/>
        </w:rPr>
        <w:footnoteReference w:id="6"/>
      </w:r>
    </w:p>
    <w:p w14:paraId="184A6862" w14:textId="08F6283F" w:rsidR="00040964" w:rsidRDefault="00040964" w:rsidP="00FE7558">
      <w:pPr>
        <w:tabs>
          <w:tab w:val="left" w:pos="993"/>
        </w:tabs>
        <w:spacing w:after="120"/>
        <w:rPr>
          <w:rFonts w:cs="Arial"/>
        </w:rPr>
      </w:pPr>
      <w:r w:rsidRPr="00FE7558">
        <w:rPr>
          <w:rFonts w:cs="Arial"/>
        </w:rPr>
        <w:t>Children are at the greatest risk of injury due to their narrower oesophagus and tendency to place small objects into their mouths, ears and noses. Button batteries with diameters in the range of</w:t>
      </w:r>
      <w:r w:rsidR="00A661CA">
        <w:rPr>
          <w:rFonts w:cs="Arial"/>
        </w:rPr>
        <w:t xml:space="preserve"> 16-23 mm</w:t>
      </w:r>
      <w:r w:rsidRPr="00FE7558">
        <w:rPr>
          <w:rFonts w:cs="Arial"/>
        </w:rPr>
        <w:t xml:space="preserve"> can be ingested by a small child and are large enough to get stuck in their oesophagus. Many button battery ingestions go unwitnessed by parents and carers, and children are generally non-verbal or do not say that they ingested a battery. Symptoms of a button</w:t>
      </w:r>
      <w:r w:rsidR="00FE7558">
        <w:rPr>
          <w:rFonts w:cs="Arial"/>
        </w:rPr>
        <w:t xml:space="preserve"> battery ingestion may include:</w:t>
      </w:r>
    </w:p>
    <w:p w14:paraId="79934633" w14:textId="4E065859" w:rsidR="00040964" w:rsidRPr="00FE7558" w:rsidRDefault="00FE7558" w:rsidP="00FE7558">
      <w:pPr>
        <w:pStyle w:val="ListParagraph"/>
        <w:numPr>
          <w:ilvl w:val="0"/>
          <w:numId w:val="50"/>
        </w:numPr>
        <w:autoSpaceDE w:val="0"/>
        <w:autoSpaceDN w:val="0"/>
        <w:adjustRightInd w:val="0"/>
        <w:spacing w:before="0" w:after="150"/>
        <w:rPr>
          <w:rFonts w:cs="Arial"/>
          <w:color w:val="000000"/>
        </w:rPr>
      </w:pPr>
      <w:r w:rsidRPr="00FE7558">
        <w:rPr>
          <w:rFonts w:cs="Arial"/>
          <w:color w:val="000000"/>
        </w:rPr>
        <w:t>gagging or choking</w:t>
      </w:r>
    </w:p>
    <w:p w14:paraId="21F90120" w14:textId="7BAA9BA4" w:rsidR="00040964" w:rsidRPr="00040964" w:rsidRDefault="00FE7558" w:rsidP="00FE7558">
      <w:pPr>
        <w:pStyle w:val="ListParagraph"/>
        <w:numPr>
          <w:ilvl w:val="0"/>
          <w:numId w:val="48"/>
        </w:numPr>
        <w:autoSpaceDE w:val="0"/>
        <w:autoSpaceDN w:val="0"/>
        <w:adjustRightInd w:val="0"/>
        <w:spacing w:before="0" w:after="150"/>
        <w:rPr>
          <w:rFonts w:cs="Arial"/>
          <w:color w:val="000000"/>
        </w:rPr>
      </w:pPr>
      <w:r>
        <w:rPr>
          <w:rFonts w:cs="Arial"/>
          <w:color w:val="000000"/>
        </w:rPr>
        <w:t>drooling</w:t>
      </w:r>
    </w:p>
    <w:p w14:paraId="68ACDFFF" w14:textId="4BAD1A5C" w:rsidR="00040964" w:rsidRPr="00040964" w:rsidRDefault="00040964" w:rsidP="00FE7558">
      <w:pPr>
        <w:pStyle w:val="ListParagraph"/>
        <w:numPr>
          <w:ilvl w:val="0"/>
          <w:numId w:val="48"/>
        </w:numPr>
        <w:autoSpaceDE w:val="0"/>
        <w:autoSpaceDN w:val="0"/>
        <w:adjustRightInd w:val="0"/>
        <w:spacing w:before="0" w:after="150"/>
        <w:rPr>
          <w:rFonts w:cs="Arial"/>
          <w:color w:val="000000"/>
        </w:rPr>
      </w:pPr>
      <w:r w:rsidRPr="00040964">
        <w:rPr>
          <w:rFonts w:cs="Arial"/>
          <w:color w:val="000000"/>
        </w:rPr>
        <w:t>chest pain</w:t>
      </w:r>
      <w:r w:rsidR="00FE7558">
        <w:rPr>
          <w:rFonts w:cs="Arial"/>
          <w:color w:val="000000"/>
        </w:rPr>
        <w:t xml:space="preserve"> (this may present as grunting)</w:t>
      </w:r>
    </w:p>
    <w:p w14:paraId="4B1A1C64" w14:textId="2BC8AC16" w:rsidR="00040964" w:rsidRPr="00040964" w:rsidRDefault="00FE7558" w:rsidP="00FE7558">
      <w:pPr>
        <w:pStyle w:val="ListParagraph"/>
        <w:numPr>
          <w:ilvl w:val="0"/>
          <w:numId w:val="48"/>
        </w:numPr>
        <w:autoSpaceDE w:val="0"/>
        <w:autoSpaceDN w:val="0"/>
        <w:adjustRightInd w:val="0"/>
        <w:spacing w:before="0" w:after="150"/>
        <w:rPr>
          <w:rFonts w:cs="Arial"/>
          <w:color w:val="000000"/>
        </w:rPr>
      </w:pPr>
      <w:r>
        <w:rPr>
          <w:rFonts w:cs="Arial"/>
          <w:color w:val="000000"/>
        </w:rPr>
        <w:t>coughing or noisy breathing</w:t>
      </w:r>
    </w:p>
    <w:p w14:paraId="43C0119A" w14:textId="3F1C0C20" w:rsidR="00040964" w:rsidRPr="00040964" w:rsidRDefault="00040964" w:rsidP="00FE7558">
      <w:pPr>
        <w:pStyle w:val="ListParagraph"/>
        <w:numPr>
          <w:ilvl w:val="0"/>
          <w:numId w:val="48"/>
        </w:numPr>
        <w:autoSpaceDE w:val="0"/>
        <w:autoSpaceDN w:val="0"/>
        <w:adjustRightInd w:val="0"/>
        <w:spacing w:before="0" w:after="150"/>
        <w:rPr>
          <w:rFonts w:cs="Arial"/>
          <w:color w:val="000000"/>
        </w:rPr>
      </w:pPr>
      <w:r w:rsidRPr="00040964">
        <w:rPr>
          <w:rFonts w:cs="Arial"/>
          <w:color w:val="000000"/>
        </w:rPr>
        <w:t xml:space="preserve">unexplained vomiting or food refusal </w:t>
      </w:r>
    </w:p>
    <w:p w14:paraId="3A7022A7" w14:textId="4AEB5C66" w:rsidR="00040964" w:rsidRPr="00040964" w:rsidRDefault="00040964" w:rsidP="00FE7558">
      <w:pPr>
        <w:pStyle w:val="ListParagraph"/>
        <w:numPr>
          <w:ilvl w:val="0"/>
          <w:numId w:val="48"/>
        </w:numPr>
        <w:autoSpaceDE w:val="0"/>
        <w:autoSpaceDN w:val="0"/>
        <w:adjustRightInd w:val="0"/>
        <w:spacing w:before="0" w:after="150"/>
        <w:rPr>
          <w:rFonts w:cs="Arial"/>
          <w:color w:val="000000"/>
        </w:rPr>
      </w:pPr>
      <w:r w:rsidRPr="00040964">
        <w:rPr>
          <w:rFonts w:cs="Arial"/>
          <w:color w:val="000000"/>
        </w:rPr>
        <w:t xml:space="preserve">bleeding from the gut: black or red vomits or bowel motions </w:t>
      </w:r>
    </w:p>
    <w:p w14:paraId="7AEE351C" w14:textId="2A306B88" w:rsidR="00040964" w:rsidRPr="00040964" w:rsidRDefault="00040964" w:rsidP="00FE7558">
      <w:pPr>
        <w:pStyle w:val="ListParagraph"/>
        <w:numPr>
          <w:ilvl w:val="0"/>
          <w:numId w:val="48"/>
        </w:numPr>
        <w:autoSpaceDE w:val="0"/>
        <w:autoSpaceDN w:val="0"/>
        <w:adjustRightInd w:val="0"/>
        <w:spacing w:before="0" w:after="150"/>
        <w:rPr>
          <w:rFonts w:cs="Arial"/>
          <w:color w:val="000000"/>
        </w:rPr>
      </w:pPr>
      <w:r w:rsidRPr="00040964">
        <w:rPr>
          <w:rFonts w:cs="Arial"/>
          <w:color w:val="000000"/>
        </w:rPr>
        <w:lastRenderedPageBreak/>
        <w:t xml:space="preserve">nose bleeds―sometimes this can be blood vomited from the nose </w:t>
      </w:r>
    </w:p>
    <w:p w14:paraId="45BE7D35" w14:textId="333A1148" w:rsidR="00C67809" w:rsidRDefault="00C531EB" w:rsidP="00FE7558">
      <w:pPr>
        <w:pStyle w:val="ListParagraph"/>
        <w:numPr>
          <w:ilvl w:val="0"/>
          <w:numId w:val="48"/>
        </w:numPr>
        <w:autoSpaceDE w:val="0"/>
        <w:autoSpaceDN w:val="0"/>
        <w:adjustRightInd w:val="0"/>
        <w:spacing w:before="0" w:after="120"/>
        <w:ind w:left="357" w:hanging="357"/>
        <w:rPr>
          <w:rFonts w:cs="Arial"/>
          <w:color w:val="000000"/>
        </w:rPr>
      </w:pPr>
      <w:r>
        <w:rPr>
          <w:rFonts w:cs="Arial"/>
          <w:color w:val="000000"/>
        </w:rPr>
        <w:t>unexplained fever.</w:t>
      </w:r>
    </w:p>
    <w:p w14:paraId="74E554B6" w14:textId="71C45210" w:rsidR="001030B5" w:rsidRDefault="00040964" w:rsidP="00FE7558">
      <w:pPr>
        <w:pStyle w:val="Numbered1"/>
        <w:spacing w:before="200"/>
        <w:rPr>
          <w:rFonts w:ascii="Arial" w:hAnsi="Arial" w:cs="Arial"/>
          <w:color w:val="000000"/>
          <w:sz w:val="22"/>
          <w:szCs w:val="22"/>
        </w:rPr>
      </w:pPr>
      <w:r w:rsidRPr="00C67809">
        <w:rPr>
          <w:rFonts w:ascii="Arial" w:hAnsi="Arial" w:cs="Arial"/>
          <w:color w:val="000000"/>
          <w:sz w:val="22"/>
          <w:szCs w:val="22"/>
        </w:rPr>
        <w:t>H</w:t>
      </w:r>
      <w:r w:rsidR="00E54240" w:rsidRPr="00C67809">
        <w:rPr>
          <w:rFonts w:ascii="Arial" w:hAnsi="Arial" w:cs="Arial"/>
          <w:color w:val="000000"/>
          <w:sz w:val="22"/>
          <w:szCs w:val="22"/>
        </w:rPr>
        <w:t>o</w:t>
      </w:r>
      <w:r w:rsidRPr="00C67809">
        <w:rPr>
          <w:rFonts w:ascii="Arial" w:hAnsi="Arial" w:cs="Arial"/>
          <w:color w:val="000000"/>
          <w:sz w:val="22"/>
          <w:szCs w:val="22"/>
        </w:rPr>
        <w:t>wever, these symptoms are similar to many other conditions and may not appear for some time, so it may not be suspected that the child has ingested a battery and there can be delays in diagnosis and removal of the battery. Since serious injury can occur in as little as two hours, a delayed presentation or diagnosis can res</w:t>
      </w:r>
      <w:r w:rsidR="00FE7558">
        <w:rPr>
          <w:rFonts w:ascii="Arial" w:hAnsi="Arial" w:cs="Arial"/>
          <w:color w:val="000000"/>
          <w:sz w:val="22"/>
          <w:szCs w:val="22"/>
        </w:rPr>
        <w:t>ult in serious injury or death.</w:t>
      </w:r>
    </w:p>
    <w:p w14:paraId="43E50DE6" w14:textId="77777777" w:rsidR="00233428" w:rsidRPr="00381464" w:rsidRDefault="00233428" w:rsidP="00233428">
      <w:pPr>
        <w:pStyle w:val="Numbered1"/>
        <w:numPr>
          <w:ilvl w:val="0"/>
          <w:numId w:val="12"/>
        </w:numPr>
        <w:ind w:left="357" w:hanging="357"/>
        <w:rPr>
          <w:rFonts w:ascii="Lucida Fax" w:hAnsi="Lucida Fax"/>
          <w:color w:val="51626F"/>
        </w:rPr>
      </w:pPr>
      <w:bookmarkStart w:id="4" w:name="_Toc15468227"/>
      <w:r w:rsidRPr="00381464">
        <w:rPr>
          <w:rFonts w:ascii="Lucida Fax" w:hAnsi="Lucida Fax"/>
          <w:color w:val="51626F"/>
        </w:rPr>
        <w:t>Deaths and injuries</w:t>
      </w:r>
      <w:bookmarkEnd w:id="4"/>
    </w:p>
    <w:p w14:paraId="43953BDD" w14:textId="743B9EB4" w:rsidR="007D44EF" w:rsidRDefault="007D44EF" w:rsidP="00233428">
      <w:r>
        <w:t xml:space="preserve">Information on </w:t>
      </w:r>
      <w:r w:rsidR="002F68DB">
        <w:t>injuries or deaths specifically relating to batteries contained in children’s toys is difficult to obtain as available data generally relates to incidents where button batteries from any product have been involved.</w:t>
      </w:r>
    </w:p>
    <w:p w14:paraId="4552F843" w14:textId="6C599425" w:rsidR="00233428" w:rsidRPr="00FC7A9D" w:rsidRDefault="00233428" w:rsidP="00233428">
      <w:r>
        <w:t>In Australia, two children, Summer Steer and Isabella Rees, have died from injuries caused by ingesting a butto</w:t>
      </w:r>
      <w:r w:rsidR="00393D1E">
        <w:t>n battery. State and territory C</w:t>
      </w:r>
      <w:r>
        <w:t>oroners have jurisdiction to investigate sudden and unexpected deaths, such as deaths from button battery ingestions. Coronial inquests have b</w:t>
      </w:r>
      <w:r w:rsidR="00393D1E">
        <w:t>een conducted into both deaths.</w:t>
      </w:r>
    </w:p>
    <w:p w14:paraId="1B0AF5AA" w14:textId="676E1D41" w:rsidR="00233428" w:rsidRDefault="00233428" w:rsidP="00233428">
      <w:pPr>
        <w:rPr>
          <w:rFonts w:cs="Arial"/>
        </w:rPr>
      </w:pPr>
      <w:r w:rsidRPr="005C2C1E">
        <w:rPr>
          <w:rFonts w:cs="Arial"/>
        </w:rPr>
        <w:t xml:space="preserve">There is a growing record of these injuries and deaths all over the world, including Australia. </w:t>
      </w:r>
      <w:r>
        <w:rPr>
          <w:rFonts w:cs="Arial"/>
        </w:rPr>
        <w:t>Globally, at least 64 children have died and thousands have been injured f</w:t>
      </w:r>
      <w:r w:rsidR="008F150C">
        <w:rPr>
          <w:rFonts w:cs="Arial"/>
        </w:rPr>
        <w:t>rom ingesting button batteries.</w:t>
      </w:r>
    </w:p>
    <w:p w14:paraId="742AFBE2" w14:textId="1AA34329" w:rsidR="00924943" w:rsidRDefault="00924943" w:rsidP="00233428">
      <w:pPr>
        <w:rPr>
          <w:rFonts w:cs="Arial"/>
        </w:rPr>
      </w:pPr>
      <w:r>
        <w:t>There is no national database for consumer product-related injuries or attendances at E</w:t>
      </w:r>
      <w:r w:rsidR="000125AD">
        <w:t>mergency Departments (EDs)</w:t>
      </w:r>
      <w:r>
        <w:t xml:space="preserve"> in Australia. Consequently, t</w:t>
      </w:r>
      <w:r w:rsidRPr="00485241">
        <w:t>here</w:t>
      </w:r>
      <w:r>
        <w:t xml:space="preserve"> is no single point of reference for nationwide data on button battery exposures (ingestions or insertions) in Australia.</w:t>
      </w:r>
    </w:p>
    <w:p w14:paraId="0E7F2DA3" w14:textId="48596580" w:rsidR="00233428" w:rsidRPr="00A5299F" w:rsidRDefault="00233428" w:rsidP="00233428">
      <w:pPr>
        <w:rPr>
          <w:rFonts w:cs="Arial"/>
        </w:rPr>
      </w:pPr>
      <w:r w:rsidRPr="00A5299F">
        <w:rPr>
          <w:rFonts w:cs="Arial"/>
        </w:rPr>
        <w:t xml:space="preserve">Since 1999, hundreds of Australian children have presented at hospital </w:t>
      </w:r>
      <w:r w:rsidR="000C5B88">
        <w:rPr>
          <w:rFonts w:cs="Arial"/>
        </w:rPr>
        <w:t>EDs</w:t>
      </w:r>
      <w:r w:rsidRPr="00A5299F">
        <w:rPr>
          <w:rFonts w:cs="Arial"/>
        </w:rPr>
        <w:t xml:space="preserve"> after ingesting or inserting button batteries, with some of th</w:t>
      </w:r>
      <w:r w:rsidR="008F150C">
        <w:rPr>
          <w:rFonts w:cs="Arial"/>
        </w:rPr>
        <w:t>em sustaining serious injuries.</w:t>
      </w:r>
    </w:p>
    <w:p w14:paraId="24BBED30" w14:textId="71222128" w:rsidR="00B154B2" w:rsidRDefault="00233428" w:rsidP="00233428">
      <w:pPr>
        <w:rPr>
          <w:rFonts w:cs="Arial"/>
        </w:rPr>
      </w:pPr>
      <w:r w:rsidRPr="00A5299F">
        <w:t>P</w:t>
      </w:r>
      <w:r w:rsidR="00924943" w:rsidRPr="00A5299F">
        <w:t xml:space="preserve">oison </w:t>
      </w:r>
      <w:r w:rsidRPr="00A5299F">
        <w:t>I</w:t>
      </w:r>
      <w:r w:rsidR="00924943" w:rsidRPr="00A5299F">
        <w:t xml:space="preserve">nformation </w:t>
      </w:r>
      <w:r w:rsidRPr="00A5299F">
        <w:t>C</w:t>
      </w:r>
      <w:r w:rsidR="00924943" w:rsidRPr="00A5299F">
        <w:t>entre</w:t>
      </w:r>
      <w:r w:rsidRPr="00A5299F">
        <w:t xml:space="preserve"> </w:t>
      </w:r>
      <w:r w:rsidR="00EA18E1">
        <w:t xml:space="preserve">(PIC) </w:t>
      </w:r>
      <w:r w:rsidRPr="00A5299F">
        <w:t xml:space="preserve">data </w:t>
      </w:r>
      <w:r w:rsidR="004275B5">
        <w:t xml:space="preserve">(see </w:t>
      </w:r>
      <w:r w:rsidR="004275B5" w:rsidRPr="001063CD">
        <w:rPr>
          <w:b/>
        </w:rPr>
        <w:t>Table 1</w:t>
      </w:r>
      <w:r w:rsidR="004275B5">
        <w:t xml:space="preserve">) </w:t>
      </w:r>
      <w:r w:rsidRPr="00A5299F">
        <w:t xml:space="preserve">indicates that button battery exposures occur all over Australia. The greatest numbers of exposures were in New South Wales </w:t>
      </w:r>
      <w:r w:rsidR="00924943" w:rsidRPr="00A5299F">
        <w:t>(284 cases between 2015 and 2018</w:t>
      </w:r>
      <w:r w:rsidR="006A5FFA">
        <w:t>)</w:t>
      </w:r>
      <w:r w:rsidR="00924943" w:rsidRPr="00A5299F">
        <w:t xml:space="preserve"> </w:t>
      </w:r>
      <w:r w:rsidRPr="00A5299F">
        <w:t>and Victoria</w:t>
      </w:r>
      <w:r w:rsidR="00924943" w:rsidRPr="00A5299F">
        <w:t xml:space="preserve"> (229 cases between 2</w:t>
      </w:r>
      <w:r w:rsidR="00040964">
        <w:t>01</w:t>
      </w:r>
      <w:r w:rsidR="00924943" w:rsidRPr="00A5299F">
        <w:t>5 and 2</w:t>
      </w:r>
      <w:r w:rsidR="00040964">
        <w:t>01</w:t>
      </w:r>
      <w:r w:rsidR="00924943" w:rsidRPr="00A5299F">
        <w:t xml:space="preserve">8). </w:t>
      </w:r>
      <w:r w:rsidR="00924943" w:rsidRPr="00A5299F">
        <w:rPr>
          <w:rFonts w:cs="Arial"/>
        </w:rPr>
        <w:t>Young children under five years of age are most prone to button battery exposures</w:t>
      </w:r>
      <w:r w:rsidR="00A5299F" w:rsidRPr="00A5299F">
        <w:rPr>
          <w:rFonts w:cs="Arial"/>
        </w:rPr>
        <w:t>.</w:t>
      </w:r>
    </w:p>
    <w:p w14:paraId="6CF72B1B" w14:textId="77777777" w:rsidR="00B154B2" w:rsidRPr="0054455D" w:rsidRDefault="00B154B2" w:rsidP="0054455D">
      <w:pPr>
        <w:pStyle w:val="Tabletitle"/>
      </w:pPr>
      <w:r w:rsidRPr="0054455D">
        <w:t>Table 1: Reported button battery exposures across Australia from 2015 to 2018</w:t>
      </w:r>
    </w:p>
    <w:tbl>
      <w:tblPr>
        <w:tblStyle w:val="LightShading12"/>
        <w:tblW w:w="0" w:type="auto"/>
        <w:tblLook w:val="04A0" w:firstRow="1" w:lastRow="0" w:firstColumn="1" w:lastColumn="0" w:noHBand="0" w:noVBand="1"/>
      </w:tblPr>
      <w:tblGrid>
        <w:gridCol w:w="3011"/>
        <w:gridCol w:w="3004"/>
        <w:gridCol w:w="3011"/>
      </w:tblGrid>
      <w:tr w:rsidR="0054455D" w:rsidRPr="0054455D" w14:paraId="02369E56" w14:textId="77777777" w:rsidTr="00401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14:paraId="353437F5" w14:textId="77777777" w:rsidR="0054455D" w:rsidRPr="0054455D" w:rsidRDefault="0054455D" w:rsidP="0054455D">
            <w:pPr>
              <w:spacing w:after="60"/>
            </w:pPr>
            <w:r w:rsidRPr="0054455D">
              <w:t>State</w:t>
            </w:r>
          </w:p>
        </w:tc>
        <w:tc>
          <w:tcPr>
            <w:tcW w:w="3081" w:type="dxa"/>
          </w:tcPr>
          <w:p w14:paraId="2F537810" w14:textId="77777777" w:rsidR="0054455D" w:rsidRPr="0054455D" w:rsidRDefault="0054455D" w:rsidP="0054455D">
            <w:pPr>
              <w:spacing w:after="60"/>
              <w:jc w:val="right"/>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No. of paediatric cases</w:t>
            </w:r>
          </w:p>
        </w:tc>
        <w:tc>
          <w:tcPr>
            <w:tcW w:w="3081" w:type="dxa"/>
          </w:tcPr>
          <w:p w14:paraId="3031D149" w14:textId="0811D6A4" w:rsidR="0054455D" w:rsidRPr="0054455D" w:rsidRDefault="0054455D" w:rsidP="001D085A">
            <w:pPr>
              <w:spacing w:after="60"/>
              <w:jc w:val="right"/>
              <w:cnfStyle w:val="100000000000" w:firstRow="1"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Paediatric cases/100 000 people/year</w:t>
            </w:r>
          </w:p>
        </w:tc>
      </w:tr>
      <w:tr w:rsidR="0054455D" w:rsidRPr="0054455D" w14:paraId="09DF23E4"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0465014B" w14:textId="77777777" w:rsidR="0054455D" w:rsidRPr="0054455D" w:rsidRDefault="0054455D" w:rsidP="0054455D">
            <w:pPr>
              <w:spacing w:after="60"/>
            </w:pPr>
            <w:r w:rsidRPr="0054455D">
              <w:t>New South Wales</w:t>
            </w:r>
          </w:p>
        </w:tc>
        <w:tc>
          <w:tcPr>
            <w:tcW w:w="3081" w:type="dxa"/>
          </w:tcPr>
          <w:p w14:paraId="31EF48A1"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284</w:t>
            </w:r>
          </w:p>
        </w:tc>
        <w:tc>
          <w:tcPr>
            <w:tcW w:w="3081" w:type="dxa"/>
          </w:tcPr>
          <w:p w14:paraId="43C223AB"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4.88</w:t>
            </w:r>
          </w:p>
        </w:tc>
      </w:tr>
      <w:tr w:rsidR="0054455D" w:rsidRPr="0054455D" w14:paraId="63019BBE"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507085A5" w14:textId="77777777" w:rsidR="0054455D" w:rsidRPr="0054455D" w:rsidRDefault="0054455D" w:rsidP="0054455D">
            <w:pPr>
              <w:spacing w:after="60"/>
            </w:pPr>
            <w:r w:rsidRPr="0054455D">
              <w:t>Victoria</w:t>
            </w:r>
          </w:p>
        </w:tc>
        <w:tc>
          <w:tcPr>
            <w:tcW w:w="3081" w:type="dxa"/>
          </w:tcPr>
          <w:p w14:paraId="07C3DE0A"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229</w:t>
            </w:r>
          </w:p>
        </w:tc>
        <w:tc>
          <w:tcPr>
            <w:tcW w:w="3081" w:type="dxa"/>
          </w:tcPr>
          <w:p w14:paraId="0029E9F9"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4.96</w:t>
            </w:r>
          </w:p>
        </w:tc>
      </w:tr>
      <w:tr w:rsidR="0054455D" w:rsidRPr="0054455D" w14:paraId="4342BCE2"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4FC0C142" w14:textId="77777777" w:rsidR="0054455D" w:rsidRPr="0054455D" w:rsidRDefault="0054455D" w:rsidP="0054455D">
            <w:pPr>
              <w:spacing w:after="60"/>
            </w:pPr>
            <w:r w:rsidRPr="0054455D">
              <w:t>Queensland</w:t>
            </w:r>
          </w:p>
        </w:tc>
        <w:tc>
          <w:tcPr>
            <w:tcW w:w="3081" w:type="dxa"/>
          </w:tcPr>
          <w:p w14:paraId="30C2E528"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180</w:t>
            </w:r>
          </w:p>
        </w:tc>
        <w:tc>
          <w:tcPr>
            <w:tcW w:w="3081" w:type="dxa"/>
          </w:tcPr>
          <w:p w14:paraId="3FDE03C0" w14:textId="68F2EA12"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4.7</w:t>
            </w:r>
            <w:r w:rsidR="005603E4">
              <w:rPr>
                <w:rFonts w:eastAsia="Times New Roman" w:cs="Times New Roman"/>
                <w:szCs w:val="20"/>
              </w:rPr>
              <w:t>0</w:t>
            </w:r>
          </w:p>
        </w:tc>
      </w:tr>
      <w:tr w:rsidR="0054455D" w:rsidRPr="0054455D" w14:paraId="546BABD7"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725505A9" w14:textId="77777777" w:rsidR="0054455D" w:rsidRPr="0054455D" w:rsidRDefault="0054455D" w:rsidP="0054455D">
            <w:pPr>
              <w:spacing w:after="60"/>
            </w:pPr>
            <w:r w:rsidRPr="0054455D">
              <w:t>Western Australia</w:t>
            </w:r>
          </w:p>
        </w:tc>
        <w:tc>
          <w:tcPr>
            <w:tcW w:w="3081" w:type="dxa"/>
          </w:tcPr>
          <w:p w14:paraId="42C72340"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87</w:t>
            </w:r>
          </w:p>
        </w:tc>
        <w:tc>
          <w:tcPr>
            <w:tcW w:w="3081" w:type="dxa"/>
          </w:tcPr>
          <w:p w14:paraId="6CA015A7"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4.42</w:t>
            </w:r>
          </w:p>
        </w:tc>
      </w:tr>
      <w:tr w:rsidR="0054455D" w:rsidRPr="0054455D" w14:paraId="0F6FAB51"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41AC40D4" w14:textId="77777777" w:rsidR="0054455D" w:rsidRPr="0054455D" w:rsidRDefault="0054455D" w:rsidP="0054455D">
            <w:pPr>
              <w:spacing w:after="60"/>
            </w:pPr>
            <w:r w:rsidRPr="0054455D">
              <w:t>South Australia</w:t>
            </w:r>
          </w:p>
        </w:tc>
        <w:tc>
          <w:tcPr>
            <w:tcW w:w="3081" w:type="dxa"/>
          </w:tcPr>
          <w:p w14:paraId="083FEA2C"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85</w:t>
            </w:r>
          </w:p>
        </w:tc>
        <w:tc>
          <w:tcPr>
            <w:tcW w:w="3081" w:type="dxa"/>
          </w:tcPr>
          <w:p w14:paraId="170755B4"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6.92</w:t>
            </w:r>
          </w:p>
        </w:tc>
      </w:tr>
      <w:tr w:rsidR="0054455D" w:rsidRPr="0054455D" w14:paraId="442612F5"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4A0BFC7F" w14:textId="77777777" w:rsidR="0054455D" w:rsidRPr="0054455D" w:rsidRDefault="0054455D" w:rsidP="0054455D">
            <w:pPr>
              <w:spacing w:after="60"/>
            </w:pPr>
            <w:r w:rsidRPr="0054455D">
              <w:t>Australian Capital Territory</w:t>
            </w:r>
          </w:p>
        </w:tc>
        <w:tc>
          <w:tcPr>
            <w:tcW w:w="3081" w:type="dxa"/>
          </w:tcPr>
          <w:p w14:paraId="48E26535"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18</w:t>
            </w:r>
          </w:p>
        </w:tc>
        <w:tc>
          <w:tcPr>
            <w:tcW w:w="3081" w:type="dxa"/>
          </w:tcPr>
          <w:p w14:paraId="305190A0"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5.83</w:t>
            </w:r>
          </w:p>
        </w:tc>
      </w:tr>
      <w:tr w:rsidR="0054455D" w:rsidRPr="0054455D" w14:paraId="5DB11396"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03B209C3" w14:textId="77777777" w:rsidR="0054455D" w:rsidRPr="0054455D" w:rsidRDefault="0054455D" w:rsidP="0054455D">
            <w:pPr>
              <w:spacing w:after="60"/>
            </w:pPr>
            <w:r w:rsidRPr="0054455D">
              <w:t>Tasmania</w:t>
            </w:r>
          </w:p>
        </w:tc>
        <w:tc>
          <w:tcPr>
            <w:tcW w:w="3081" w:type="dxa"/>
          </w:tcPr>
          <w:p w14:paraId="602D3FA0"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16</w:t>
            </w:r>
          </w:p>
        </w:tc>
        <w:tc>
          <w:tcPr>
            <w:tcW w:w="3081" w:type="dxa"/>
          </w:tcPr>
          <w:p w14:paraId="42EEC966"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4.26</w:t>
            </w:r>
          </w:p>
        </w:tc>
      </w:tr>
      <w:tr w:rsidR="0054455D" w:rsidRPr="0054455D" w14:paraId="47E4C666" w14:textId="77777777" w:rsidTr="004012F1">
        <w:tc>
          <w:tcPr>
            <w:cnfStyle w:val="001000000000" w:firstRow="0" w:lastRow="0" w:firstColumn="1" w:lastColumn="0" w:oddVBand="0" w:evenVBand="0" w:oddHBand="0" w:evenHBand="0" w:firstRowFirstColumn="0" w:firstRowLastColumn="0" w:lastRowFirstColumn="0" w:lastRowLastColumn="0"/>
            <w:tcW w:w="3080" w:type="dxa"/>
          </w:tcPr>
          <w:p w14:paraId="6D4950E8" w14:textId="77777777" w:rsidR="0054455D" w:rsidRPr="0054455D" w:rsidRDefault="0054455D" w:rsidP="0054455D">
            <w:pPr>
              <w:spacing w:after="60"/>
            </w:pPr>
            <w:r w:rsidRPr="0054455D">
              <w:t>Northern Territory</w:t>
            </w:r>
          </w:p>
        </w:tc>
        <w:tc>
          <w:tcPr>
            <w:tcW w:w="3081" w:type="dxa"/>
          </w:tcPr>
          <w:p w14:paraId="30B1D84E" w14:textId="77777777"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6</w:t>
            </w:r>
          </w:p>
        </w:tc>
        <w:tc>
          <w:tcPr>
            <w:tcW w:w="3081" w:type="dxa"/>
          </w:tcPr>
          <w:p w14:paraId="31C40446" w14:textId="563E491B" w:rsidR="0054455D" w:rsidRPr="0054455D" w:rsidRDefault="0054455D" w:rsidP="0054455D">
            <w:pPr>
              <w:spacing w:after="60"/>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Cs w:val="20"/>
              </w:rPr>
            </w:pPr>
            <w:r w:rsidRPr="0054455D">
              <w:rPr>
                <w:rFonts w:eastAsia="Times New Roman" w:cs="Times New Roman"/>
                <w:szCs w:val="20"/>
              </w:rPr>
              <w:t>2.9</w:t>
            </w:r>
            <w:r w:rsidR="005603E4">
              <w:rPr>
                <w:rFonts w:eastAsia="Times New Roman" w:cs="Times New Roman"/>
                <w:szCs w:val="20"/>
              </w:rPr>
              <w:t>0</w:t>
            </w:r>
          </w:p>
        </w:tc>
      </w:tr>
    </w:tbl>
    <w:p w14:paraId="7D94E653" w14:textId="457993F3" w:rsidR="006168AF" w:rsidRDefault="00B154B2" w:rsidP="005603E4">
      <w:r>
        <w:lastRenderedPageBreak/>
        <w:t xml:space="preserve">Data from all of the organisations in Table 1 indicate that young children under five years of age are most prone to button battery exposures. As Figure </w:t>
      </w:r>
      <w:r w:rsidR="004275B5">
        <w:t>1</w:t>
      </w:r>
      <w:r w:rsidR="004275B5">
        <w:rPr>
          <w:rStyle w:val="CommentReference"/>
        </w:rPr>
        <w:t xml:space="preserve"> </w:t>
      </w:r>
      <w:r w:rsidR="004275B5">
        <w:t>below</w:t>
      </w:r>
      <w:r>
        <w:t xml:space="preserve"> shows, this pattern is consistent across all time periods measured and all of Australia.</w:t>
      </w:r>
    </w:p>
    <w:p w14:paraId="417ABD05" w14:textId="16A554B4" w:rsidR="00B154B2" w:rsidRPr="005603E4" w:rsidRDefault="00B154B2" w:rsidP="005603E4">
      <w:pPr>
        <w:pStyle w:val="Tabletitle"/>
        <w:keepNext/>
      </w:pPr>
      <w:r w:rsidRPr="005603E4">
        <w:t xml:space="preserve">Figure </w:t>
      </w:r>
      <w:r w:rsidR="004275B5">
        <w:t>1</w:t>
      </w:r>
      <w:r w:rsidRPr="005603E4">
        <w:t>: Reported button battery exposures in children aged 0-10 years across Australia from 1999 to 2018</w:t>
      </w:r>
    </w:p>
    <w:p w14:paraId="2D6BA485" w14:textId="1CB23C37" w:rsidR="00B154B2" w:rsidRDefault="00B154B2" w:rsidP="00B154B2">
      <w:pPr>
        <w:rPr>
          <w:rFonts w:cs="Arial"/>
        </w:rPr>
      </w:pPr>
      <w:r>
        <w:rPr>
          <w:b/>
          <w:noProof/>
          <w:lang w:eastAsia="en-AU"/>
        </w:rPr>
        <w:drawing>
          <wp:inline distT="0" distB="0" distL="0" distR="0" wp14:anchorId="7CBCC3D2" wp14:editId="70B1582E">
            <wp:extent cx="4318914" cy="2700000"/>
            <wp:effectExtent l="19050" t="19050" r="24765" b="247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914" cy="2700000"/>
                    </a:xfrm>
                    <a:prstGeom prst="rect">
                      <a:avLst/>
                    </a:prstGeom>
                    <a:noFill/>
                    <a:ln w="12700">
                      <a:solidFill>
                        <a:schemeClr val="tx1"/>
                      </a:solidFill>
                    </a:ln>
                  </pic:spPr>
                </pic:pic>
              </a:graphicData>
            </a:graphic>
          </wp:inline>
        </w:drawing>
      </w:r>
    </w:p>
    <w:p w14:paraId="28F77DA5" w14:textId="3461ECD3" w:rsidR="00A5299F" w:rsidRDefault="00A5299F" w:rsidP="00233428">
      <w:r w:rsidRPr="00A5299F">
        <w:t>Long term data fro</w:t>
      </w:r>
      <w:r w:rsidR="0054455D">
        <w:t xml:space="preserve">m Victoria (collected by VISU) </w:t>
      </w:r>
      <w:r w:rsidRPr="00A5299F">
        <w:t xml:space="preserve">and </w:t>
      </w:r>
      <w:r w:rsidR="0054455D">
        <w:t xml:space="preserve">Queensland (collected by QISU) </w:t>
      </w:r>
      <w:r w:rsidRPr="00A5299F">
        <w:t>indicates that the number of button battery exposures in children under the age of five ha</w:t>
      </w:r>
      <w:r w:rsidR="006A5FFA">
        <w:t>s</w:t>
      </w:r>
      <w:r w:rsidRPr="00A5299F">
        <w:t xml:space="preserve"> been increasing</w:t>
      </w:r>
      <w:r w:rsidR="004275B5">
        <w:t xml:space="preserve"> (Figures 2 and 3)</w:t>
      </w:r>
      <w:r w:rsidRPr="00A5299F">
        <w:t>.</w:t>
      </w:r>
      <w:r w:rsidR="006A5FFA">
        <w:t xml:space="preserve"> </w:t>
      </w:r>
    </w:p>
    <w:p w14:paraId="027630D8" w14:textId="6D8E3B08" w:rsidR="00B154B2" w:rsidRPr="000F1F59" w:rsidRDefault="00B154B2" w:rsidP="005603E4">
      <w:pPr>
        <w:keepNext/>
        <w:rPr>
          <w:b/>
        </w:rPr>
      </w:pPr>
      <w:r w:rsidRPr="00904C73">
        <w:rPr>
          <w:b/>
        </w:rPr>
        <w:t xml:space="preserve">Figure </w:t>
      </w:r>
      <w:r>
        <w:rPr>
          <w:b/>
        </w:rPr>
        <w:t>2</w:t>
      </w:r>
      <w:r w:rsidRPr="000F1F59">
        <w:rPr>
          <w:b/>
        </w:rPr>
        <w:t>: Reported button battery exposures per year from 1999 to 2018 in Victorian children under five years of age (VISU)</w:t>
      </w:r>
    </w:p>
    <w:p w14:paraId="0B3C8C70" w14:textId="77777777" w:rsidR="00B154B2" w:rsidRDefault="00B154B2" w:rsidP="00B154B2">
      <w:r>
        <w:rPr>
          <w:noProof/>
          <w:lang w:eastAsia="en-AU"/>
        </w:rPr>
        <w:drawing>
          <wp:inline distT="0" distB="0" distL="0" distR="0" wp14:anchorId="42189278" wp14:editId="43B7EEF1">
            <wp:extent cx="3890741" cy="2592000"/>
            <wp:effectExtent l="19050" t="19050" r="14605" b="184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0741" cy="2592000"/>
                    </a:xfrm>
                    <a:prstGeom prst="rect">
                      <a:avLst/>
                    </a:prstGeom>
                    <a:noFill/>
                    <a:ln w="12700">
                      <a:solidFill>
                        <a:schemeClr val="tx1"/>
                      </a:solidFill>
                    </a:ln>
                  </pic:spPr>
                </pic:pic>
              </a:graphicData>
            </a:graphic>
          </wp:inline>
        </w:drawing>
      </w:r>
    </w:p>
    <w:p w14:paraId="234EDB22" w14:textId="605D6F6D" w:rsidR="00B766B7" w:rsidRDefault="00B766B7" w:rsidP="00B154B2">
      <w:pPr>
        <w:rPr>
          <w:b/>
        </w:rPr>
      </w:pPr>
    </w:p>
    <w:p w14:paraId="7B88892D" w14:textId="1F67EBDA" w:rsidR="004275B5" w:rsidRDefault="004275B5" w:rsidP="00B154B2">
      <w:pPr>
        <w:rPr>
          <w:b/>
        </w:rPr>
      </w:pPr>
    </w:p>
    <w:p w14:paraId="70CFC2D7" w14:textId="77777777" w:rsidR="004275B5" w:rsidRDefault="004275B5" w:rsidP="00B154B2">
      <w:pPr>
        <w:rPr>
          <w:b/>
        </w:rPr>
      </w:pPr>
    </w:p>
    <w:p w14:paraId="2CE4607C" w14:textId="620CE234" w:rsidR="00B154B2" w:rsidRPr="000F1F59" w:rsidRDefault="00B154B2" w:rsidP="00B154B2">
      <w:pPr>
        <w:rPr>
          <w:b/>
        </w:rPr>
      </w:pPr>
      <w:r w:rsidRPr="000F1F59">
        <w:rPr>
          <w:b/>
        </w:rPr>
        <w:lastRenderedPageBreak/>
        <w:t>Figure 3: Reported button battery exposures per year from 1999 to 2016 in Queensland children under five years of age (QISU)</w:t>
      </w:r>
    </w:p>
    <w:p w14:paraId="50563D91" w14:textId="77777777" w:rsidR="00B154B2" w:rsidRDefault="00B154B2" w:rsidP="00B154B2">
      <w:r>
        <w:rPr>
          <w:noProof/>
          <w:lang w:eastAsia="en-AU"/>
        </w:rPr>
        <w:drawing>
          <wp:inline distT="0" distB="0" distL="0" distR="0" wp14:anchorId="02567C3B" wp14:editId="4AE88D65">
            <wp:extent cx="4341453" cy="2592000"/>
            <wp:effectExtent l="19050" t="19050" r="21590" b="184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1453" cy="2592000"/>
                    </a:xfrm>
                    <a:prstGeom prst="rect">
                      <a:avLst/>
                    </a:prstGeom>
                    <a:noFill/>
                    <a:ln w="12700">
                      <a:solidFill>
                        <a:schemeClr val="tx1"/>
                      </a:solidFill>
                    </a:ln>
                  </pic:spPr>
                </pic:pic>
              </a:graphicData>
            </a:graphic>
          </wp:inline>
        </w:drawing>
      </w:r>
    </w:p>
    <w:p w14:paraId="40068681" w14:textId="6C808369" w:rsidR="00233428" w:rsidRPr="00A5299F" w:rsidRDefault="00A5299F" w:rsidP="00233428">
      <w:r w:rsidRPr="00A5299F">
        <w:t>P</w:t>
      </w:r>
      <w:r w:rsidR="001D085A">
        <w:t xml:space="preserve">oison Information Centre </w:t>
      </w:r>
      <w:r w:rsidRPr="00A5299F">
        <w:t>data also indicates how the children gained access to the button batteries that caused injury. Of the 99 cases where the source of the battery was known, the child most often gained access to the battery directly from the produc</w:t>
      </w:r>
      <w:r w:rsidR="001D085A">
        <w:t>t compartment (31 </w:t>
      </w:r>
      <w:r w:rsidRPr="00A5299F">
        <w:t>per</w:t>
      </w:r>
      <w:r w:rsidR="001D085A">
        <w:t> </w:t>
      </w:r>
      <w:r w:rsidRPr="00A5299F">
        <w:t>cent). The next most frequent method of access was the child removing the button battery directly from the packaging (21 per cent).</w:t>
      </w:r>
    </w:p>
    <w:p w14:paraId="240906F6" w14:textId="685CD03A" w:rsidR="00A5299F" w:rsidRDefault="00A5299F" w:rsidP="00A5299F">
      <w:r w:rsidRPr="00A5299F">
        <w:t>Long term and recent exposure data indicate</w:t>
      </w:r>
      <w:r w:rsidR="00CB0AE0">
        <w:t>s</w:t>
      </w:r>
      <w:r w:rsidRPr="00A5299F">
        <w:t xml:space="preserve"> that in about 80 per cent of the cases, the visit to the </w:t>
      </w:r>
      <w:r w:rsidR="00B154B2">
        <w:t>emergency department</w:t>
      </w:r>
      <w:r w:rsidR="00B154B2" w:rsidRPr="00A5299F">
        <w:t xml:space="preserve"> </w:t>
      </w:r>
      <w:r w:rsidRPr="00A5299F">
        <w:t>does not result in immediate admission to hospital and further treatment. This could be because the battery is either removed from an orifice without the need for admission or has passed through the b</w:t>
      </w:r>
      <w:r w:rsidR="006328B8">
        <w:t>ody without immediate incident.</w:t>
      </w:r>
    </w:p>
    <w:p w14:paraId="44E9A022" w14:textId="01835715" w:rsidR="007D79E8" w:rsidRDefault="003C7F13" w:rsidP="00A5299F">
      <w:r>
        <w:t>Most recent data provided by QISU</w:t>
      </w:r>
      <w:r w:rsidR="00F5381A">
        <w:rPr>
          <w:rStyle w:val="FootnoteReference"/>
        </w:rPr>
        <w:footnoteReference w:id="7"/>
      </w:r>
      <w:r>
        <w:t xml:space="preserve"> in relation to injuries associated with </w:t>
      </w:r>
      <w:r w:rsidRPr="004275B5">
        <w:rPr>
          <w:u w:val="single"/>
        </w:rPr>
        <w:t>toy</w:t>
      </w:r>
      <w:r>
        <w:t xml:space="preserve"> products in children under the age of 36 months indicates that for the period </w:t>
      </w:r>
      <w:r w:rsidR="007D79E8">
        <w:t>201</w:t>
      </w:r>
      <w:r>
        <w:t xml:space="preserve">3-2017, 1269 validated injuries occurred. Of these 21 were categorised as </w:t>
      </w:r>
      <w:r w:rsidR="007D79E8">
        <w:t xml:space="preserve">being as a result of </w:t>
      </w:r>
      <w:r>
        <w:t>“Battery from toy”. All 21 involved the patient being discharged.</w:t>
      </w:r>
      <w:r w:rsidR="007D79E8">
        <w:t xml:space="preserve"> This QISU data is collected from participating emergency departments across Queensland. QISU </w:t>
      </w:r>
      <w:r w:rsidR="00D92F78">
        <w:t>indicate</w:t>
      </w:r>
      <w:r w:rsidR="007D79E8">
        <w:t xml:space="preserve"> the data is estimated to represent one quarter to one fifth of all </w:t>
      </w:r>
      <w:r w:rsidR="00D92F78">
        <w:t>emergency department</w:t>
      </w:r>
      <w:r w:rsidR="007D79E8">
        <w:t xml:space="preserve"> presentations in </w:t>
      </w:r>
      <w:r w:rsidR="00D92F78">
        <w:t>Queensland</w:t>
      </w:r>
      <w:r w:rsidR="007D79E8">
        <w:t xml:space="preserve">. </w:t>
      </w:r>
    </w:p>
    <w:p w14:paraId="4BAD283F" w14:textId="4081B9D7" w:rsidR="003C7F13" w:rsidRPr="00A5299F" w:rsidRDefault="007D79E8" w:rsidP="00A5299F">
      <w:r>
        <w:t>It also should be noted that the relatively low numbers of validated incidents with this specific category (toys for children under 36 months) is likely to be as a result of the protections already in place in the standard in terms of battery compartment security.</w:t>
      </w:r>
    </w:p>
    <w:p w14:paraId="28507F74" w14:textId="095CD015" w:rsidR="00A5299F" w:rsidRPr="00A5299F" w:rsidRDefault="00A5299F" w:rsidP="00A5299F">
      <w:r w:rsidRPr="00A5299F">
        <w:t>However, the damage caused by button battery exposure can manifest well after the event, even if there is no immediate effect.</w:t>
      </w:r>
    </w:p>
    <w:p w14:paraId="49D88C34" w14:textId="68F77FB5" w:rsidR="00B154B2" w:rsidRDefault="00B154B2" w:rsidP="00B154B2">
      <w:r w:rsidRPr="0081363C">
        <w:t>The Australian Paediatric Surveillance Unit (APSU) is conducting an ongoing study into severe injury related to button batteries</w:t>
      </w:r>
      <w:r>
        <w:rPr>
          <w:rStyle w:val="FootnoteReference"/>
        </w:rPr>
        <w:footnoteReference w:id="8"/>
      </w:r>
      <w:r w:rsidR="00CB0AE0">
        <w:t>.</w:t>
      </w:r>
      <w:r w:rsidRPr="0081363C">
        <w:t xml:space="preserve"> The purpose of the study is to collect information about injuries resulting from ingested or inserted button batteries. </w:t>
      </w:r>
      <w:r w:rsidRPr="00A5299F">
        <w:t>The study c</w:t>
      </w:r>
      <w:r>
        <w:t>ommenced in December 2017.</w:t>
      </w:r>
    </w:p>
    <w:p w14:paraId="13877C29" w14:textId="14ECECAF" w:rsidR="00B154B2" w:rsidRDefault="00B154B2" w:rsidP="00B154B2">
      <w:r w:rsidRPr="0081363C">
        <w:t xml:space="preserve">Between December 2017 and August 2019, the study has identified 26 individual cases of serious injury following exposure to a button battery. It is likely that this is an under </w:t>
      </w:r>
      <w:r w:rsidRPr="0081363C">
        <w:lastRenderedPageBreak/>
        <w:t>representation of the number of cases nationally as the study relies on doctors and in</w:t>
      </w:r>
      <w:r w:rsidR="00B4538D">
        <w:t>d</w:t>
      </w:r>
      <w:r w:rsidRPr="0081363C">
        <w:t>i</w:t>
      </w:r>
      <w:r w:rsidR="00B4538D">
        <w:t>vi</w:t>
      </w:r>
      <w:r w:rsidRPr="0081363C">
        <w:t>duals reporting serious incidents.</w:t>
      </w:r>
    </w:p>
    <w:p w14:paraId="3A6B09DB" w14:textId="23726F60" w:rsidR="00233428" w:rsidRPr="00381464" w:rsidRDefault="00233428" w:rsidP="00233428">
      <w:pPr>
        <w:pStyle w:val="Numbered1"/>
        <w:numPr>
          <w:ilvl w:val="0"/>
          <w:numId w:val="12"/>
        </w:numPr>
        <w:ind w:left="357" w:hanging="357"/>
        <w:rPr>
          <w:rFonts w:ascii="Lucida Fax" w:hAnsi="Lucida Fax"/>
          <w:color w:val="51626F"/>
        </w:rPr>
      </w:pPr>
      <w:bookmarkStart w:id="5" w:name="_Toc15468228"/>
      <w:r w:rsidRPr="00381464">
        <w:rPr>
          <w:rFonts w:ascii="Lucida Fax" w:hAnsi="Lucida Fax"/>
          <w:color w:val="51626F"/>
        </w:rPr>
        <w:t>The regulatory environment</w:t>
      </w:r>
      <w:bookmarkEnd w:id="5"/>
    </w:p>
    <w:p w14:paraId="3749E77C" w14:textId="2B53C4DC" w:rsidR="00EC5EFF" w:rsidRDefault="005A052B" w:rsidP="005A052B">
      <w:r>
        <w:t xml:space="preserve">Toy standards around </w:t>
      </w:r>
      <w:r w:rsidR="001030B5">
        <w:t>the world, including Australia,</w:t>
      </w:r>
      <w:r w:rsidR="00EC5EFF">
        <w:t xml:space="preserve"> </w:t>
      </w:r>
      <w:r w:rsidR="001030B5">
        <w:t>typically include requirements to address the hazard of asphyxiation from</w:t>
      </w:r>
      <w:r>
        <w:t xml:space="preserve"> children’s toys</w:t>
      </w:r>
      <w:r w:rsidR="001030B5">
        <w:t>. This hazard is addressed</w:t>
      </w:r>
      <w:r w:rsidR="004157CD">
        <w:t xml:space="preserve"> through requirements that prevent young children from being exposed to small</w:t>
      </w:r>
      <w:r>
        <w:t xml:space="preserve"> </w:t>
      </w:r>
      <w:r w:rsidR="00CF3272">
        <w:t xml:space="preserve">parts </w:t>
      </w:r>
      <w:r>
        <w:t>that presen</w:t>
      </w:r>
      <w:r w:rsidR="006328B8">
        <w:t>t a choking hazard to children.</w:t>
      </w:r>
    </w:p>
    <w:p w14:paraId="12006AA3" w14:textId="25DAB760" w:rsidR="006168AF" w:rsidRDefault="00086C66" w:rsidP="00086C66">
      <w:r>
        <w:t xml:space="preserve">The </w:t>
      </w:r>
      <w:r w:rsidR="00CF3272">
        <w:t xml:space="preserve">Australian </w:t>
      </w:r>
      <w:r>
        <w:t xml:space="preserve">mandatory </w:t>
      </w:r>
      <w:r w:rsidRPr="00BE48CB">
        <w:t xml:space="preserve">standard </w:t>
      </w:r>
      <w:hyperlink r:id="rId20" w:history="1">
        <w:r w:rsidRPr="005603E4">
          <w:rPr>
            <w:rStyle w:val="Hyperlink"/>
          </w:rPr>
          <w:t>Consumer Protection Notice No. 14 of 2003 - Consumer Product Safety Standard: Toys for children up to and including 36 months of age</w:t>
        </w:r>
      </w:hyperlink>
      <w:r w:rsidRPr="00BE48CB">
        <w:t xml:space="preserve"> prescrib</w:t>
      </w:r>
      <w:r w:rsidR="00A5299F">
        <w:t xml:space="preserve">es requirements for the design and </w:t>
      </w:r>
      <w:r w:rsidRPr="00BE48CB">
        <w:t xml:space="preserve">construction of toys for children </w:t>
      </w:r>
      <w:r>
        <w:t xml:space="preserve">of ages </w:t>
      </w:r>
      <w:r w:rsidRPr="00BE48CB">
        <w:t>up to and including</w:t>
      </w:r>
      <w:r>
        <w:t xml:space="preserve"> 36 months</w:t>
      </w:r>
      <w:r w:rsidR="0024758B">
        <w:t>. The mandatory standard prohibits the supply of toys to this age group if that toy contains a small part that accompanies the toy, where the small part is removable or where a small part would be liberated from a toy as a resu</w:t>
      </w:r>
      <w:r w:rsidR="005603E4">
        <w:t>lt of reasonable wear and tear.</w:t>
      </w:r>
    </w:p>
    <w:p w14:paraId="11F284F5" w14:textId="16805A3F" w:rsidR="00086C66" w:rsidRDefault="0024758B" w:rsidP="00086C66">
      <w:r>
        <w:t>The mandatory standard includes requirements for testing compl</w:t>
      </w:r>
      <w:r w:rsidR="006328B8">
        <w:t xml:space="preserve">iance with these requirements. </w:t>
      </w:r>
      <w:r>
        <w:t xml:space="preserve">A small part is one that is less than 31 mm in diameter and 57 mm long as these are the dimensions identified below </w:t>
      </w:r>
      <w:r w:rsidR="00890746">
        <w:t xml:space="preserve">for </w:t>
      </w:r>
      <w:r>
        <w:t xml:space="preserve">a part </w:t>
      </w:r>
      <w:r w:rsidR="00890746">
        <w:t xml:space="preserve">that </w:t>
      </w:r>
      <w:r>
        <w:t>presents as a choking hazard. To address the choking hazard presented by a battery there are</w:t>
      </w:r>
      <w:r w:rsidR="001C5361">
        <w:t xml:space="preserve"> </w:t>
      </w:r>
      <w:r w:rsidR="00086C66">
        <w:t>specific requi</w:t>
      </w:r>
      <w:r w:rsidR="000C5256">
        <w:t>rements for battery enclosures</w:t>
      </w:r>
      <w:r w:rsidR="00890746">
        <w:t xml:space="preserve"> in toys</w:t>
      </w:r>
      <w:r w:rsidR="000C5256">
        <w:t>.</w:t>
      </w:r>
      <w:r w:rsidR="00175322">
        <w:t xml:space="preserve"> </w:t>
      </w:r>
      <w:r w:rsidR="000C5256">
        <w:t xml:space="preserve">It is based on certain sections of the </w:t>
      </w:r>
      <w:r w:rsidR="000C5256" w:rsidRPr="000C5256">
        <w:t>voluntary Australian/New Zealand Standard</w:t>
      </w:r>
      <w:r w:rsidR="000C5256" w:rsidRPr="00D45E3C">
        <w:rPr>
          <w:i/>
        </w:rPr>
        <w:t xml:space="preserve"> AS/NZS ISO 8124.1:2002 'Safety of toys Part 1: Safety aspects related to mechanical and physical properties'</w:t>
      </w:r>
      <w:r w:rsidR="000C5256">
        <w:t>.</w:t>
      </w:r>
    </w:p>
    <w:p w14:paraId="5B39B971" w14:textId="2FC127E5" w:rsidR="002A1805" w:rsidRDefault="00086C66" w:rsidP="00086C66">
      <w:r>
        <w:t>A key requirement of the mandatory standard</w:t>
      </w:r>
      <w:r w:rsidR="00E8626C">
        <w:t xml:space="preserve"> </w:t>
      </w:r>
      <w:r w:rsidR="00890746">
        <w:t xml:space="preserve">designed </w:t>
      </w:r>
      <w:r w:rsidR="00E8626C">
        <w:t>to prevent children from obtaining a battery through access to a toy</w:t>
      </w:r>
      <w:r w:rsidR="00890746">
        <w:t>,</w:t>
      </w:r>
      <w:r>
        <w:t xml:space="preserve"> is that a tool or at least two independent and simultaneous movements </w:t>
      </w:r>
      <w:r w:rsidR="00890746">
        <w:t xml:space="preserve">must </w:t>
      </w:r>
      <w:r>
        <w:t>be required to open a battery compartment</w:t>
      </w:r>
      <w:r w:rsidR="00890746">
        <w:t>.</w:t>
      </w:r>
      <w:r w:rsidR="002A1805">
        <w:t xml:space="preserve"> </w:t>
      </w:r>
      <w:r w:rsidR="004157CD">
        <w:t xml:space="preserve">As greater awareness has developed </w:t>
      </w:r>
      <w:r w:rsidR="00890746">
        <w:t>about the hazards of</w:t>
      </w:r>
      <w:r w:rsidR="004157CD">
        <w:t xml:space="preserve"> button or coin batteries</w:t>
      </w:r>
      <w:r w:rsidR="00890746">
        <w:t>,</w:t>
      </w:r>
      <w:r w:rsidR="004157CD">
        <w:t xml:space="preserve"> </w:t>
      </w:r>
      <w:r w:rsidR="00C9544E">
        <w:t xml:space="preserve">international </w:t>
      </w:r>
      <w:r w:rsidR="004C7AF1">
        <w:t xml:space="preserve">standards now include requirements to warn of these hazards through labelling requirements. </w:t>
      </w:r>
      <w:r w:rsidR="002A1805">
        <w:t xml:space="preserve">The mandatory standard does not </w:t>
      </w:r>
      <w:r w:rsidR="000B061F">
        <w:t xml:space="preserve">currently </w:t>
      </w:r>
      <w:r w:rsidR="002A1805">
        <w:t>include a requirement that a toy containing a button or coin battery is accompanied by a warning label</w:t>
      </w:r>
      <w:r w:rsidR="002F68DB">
        <w:t xml:space="preserve"> on</w:t>
      </w:r>
      <w:r w:rsidR="004C7AF1">
        <w:t xml:space="preserve"> either on</w:t>
      </w:r>
      <w:r w:rsidR="002F68DB">
        <w:t xml:space="preserve"> the packaging or with the toy’s instructions</w:t>
      </w:r>
      <w:r w:rsidR="004C7AF1">
        <w:t xml:space="preserve"> or both</w:t>
      </w:r>
      <w:r w:rsidR="006328B8">
        <w:t>.</w:t>
      </w:r>
    </w:p>
    <w:p w14:paraId="06186544" w14:textId="52D86244" w:rsidR="00086C66" w:rsidRPr="00381464" w:rsidRDefault="00086C66" w:rsidP="00E540BA">
      <w:pPr>
        <w:pStyle w:val="Heading2"/>
        <w:keepNext/>
        <w:rPr>
          <w:rFonts w:eastAsia="Times New Roman" w:cs="Times New Roman"/>
          <w:color w:val="51626F"/>
        </w:rPr>
      </w:pPr>
      <w:r w:rsidRPr="00381464">
        <w:rPr>
          <w:rFonts w:eastAsia="Times New Roman" w:cs="Times New Roman"/>
          <w:color w:val="51626F"/>
        </w:rPr>
        <w:t>ACCC Priorities</w:t>
      </w:r>
    </w:p>
    <w:p w14:paraId="67694793" w14:textId="536FB1AE" w:rsidR="001F1408" w:rsidRDefault="00F67EA6" w:rsidP="004B4CE9">
      <w:pPr>
        <w:tabs>
          <w:tab w:val="left" w:pos="993"/>
        </w:tabs>
        <w:rPr>
          <w:rFonts w:cs="Arial"/>
        </w:rPr>
      </w:pPr>
      <w:r>
        <w:rPr>
          <w:rFonts w:cs="Arial"/>
        </w:rPr>
        <w:t xml:space="preserve">The </w:t>
      </w:r>
      <w:r w:rsidRPr="000758E3">
        <w:rPr>
          <w:rFonts w:cs="Arial"/>
        </w:rPr>
        <w:t>A</w:t>
      </w:r>
      <w:r w:rsidR="00B968FF">
        <w:rPr>
          <w:rFonts w:cs="Arial"/>
        </w:rPr>
        <w:t xml:space="preserve">CCC </w:t>
      </w:r>
      <w:r>
        <w:rPr>
          <w:rFonts w:cs="Arial"/>
        </w:rPr>
        <w:t xml:space="preserve">identified button batteries as one of its product safety priorities </w:t>
      </w:r>
      <w:r w:rsidR="00E9504C">
        <w:rPr>
          <w:rFonts w:cs="Arial"/>
        </w:rPr>
        <w:t xml:space="preserve">in 2018 and </w:t>
      </w:r>
      <w:r w:rsidR="00890746">
        <w:rPr>
          <w:rFonts w:cs="Arial"/>
        </w:rPr>
        <w:t xml:space="preserve">2019, </w:t>
      </w:r>
      <w:r>
        <w:rPr>
          <w:rFonts w:cs="Arial"/>
        </w:rPr>
        <w:t xml:space="preserve">and has been working on improving button battery safety for </w:t>
      </w:r>
      <w:r w:rsidR="00EC5EFF">
        <w:rPr>
          <w:rFonts w:cs="Arial"/>
        </w:rPr>
        <w:t>a number of</w:t>
      </w:r>
      <w:r>
        <w:rPr>
          <w:rFonts w:cs="Arial"/>
        </w:rPr>
        <w:t xml:space="preserve"> years.</w:t>
      </w:r>
    </w:p>
    <w:p w14:paraId="344AB203" w14:textId="070ED6CB" w:rsidR="00E9504C" w:rsidRPr="00B12C07" w:rsidRDefault="00F67EA6" w:rsidP="00E9504C">
      <w:pPr>
        <w:tabs>
          <w:tab w:val="left" w:pos="993"/>
        </w:tabs>
        <w:rPr>
          <w:rFonts w:cs="Arial"/>
        </w:rPr>
      </w:pPr>
      <w:r>
        <w:rPr>
          <w:rFonts w:cs="Arial"/>
        </w:rPr>
        <w:t xml:space="preserve">From 2016 to 2018, the ACCC led the </w:t>
      </w:r>
      <w:r w:rsidRPr="00E82B63">
        <w:rPr>
          <w:rFonts w:cs="Arial"/>
          <w:i/>
        </w:rPr>
        <w:t>National strategy for improving the safety of button battery consumer products</w:t>
      </w:r>
      <w:r w:rsidRPr="004A0DC5">
        <w:rPr>
          <w:rFonts w:cs="Arial"/>
        </w:rPr>
        <w:t xml:space="preserve"> </w:t>
      </w:r>
      <w:r>
        <w:rPr>
          <w:rFonts w:cs="Arial"/>
        </w:rPr>
        <w:t>(</w:t>
      </w:r>
      <w:r w:rsidR="008554D6">
        <w:rPr>
          <w:rFonts w:cs="Arial"/>
        </w:rPr>
        <w:t xml:space="preserve">the </w:t>
      </w:r>
      <w:r w:rsidRPr="008554D6">
        <w:rPr>
          <w:rFonts w:cs="Arial"/>
          <w:b/>
        </w:rPr>
        <w:t>National Strategy</w:t>
      </w:r>
      <w:r>
        <w:rPr>
          <w:rFonts w:cs="Arial"/>
        </w:rPr>
        <w:t xml:space="preserve">) </w:t>
      </w:r>
      <w:r w:rsidR="00E9504C">
        <w:rPr>
          <w:rFonts w:cs="Arial"/>
        </w:rPr>
        <w:t>with the assistance of other A</w:t>
      </w:r>
      <w:r w:rsidR="00E82758">
        <w:rPr>
          <w:rFonts w:cs="Arial"/>
        </w:rPr>
        <w:t>ustralian Consumer Law (</w:t>
      </w:r>
      <w:r w:rsidR="00E82758" w:rsidRPr="001063CD">
        <w:rPr>
          <w:rFonts w:cs="Arial"/>
          <w:b/>
        </w:rPr>
        <w:t>A</w:t>
      </w:r>
      <w:r w:rsidR="00E9504C" w:rsidRPr="001063CD">
        <w:rPr>
          <w:rFonts w:cs="Arial"/>
          <w:b/>
        </w:rPr>
        <w:t>CL</w:t>
      </w:r>
      <w:r w:rsidR="00E82758">
        <w:rPr>
          <w:rFonts w:cs="Arial"/>
        </w:rPr>
        <w:t>)</w:t>
      </w:r>
      <w:r w:rsidR="00460D4E">
        <w:rPr>
          <w:rFonts w:cs="Arial"/>
        </w:rPr>
        <w:t xml:space="preserve"> regulators.</w:t>
      </w:r>
    </w:p>
    <w:p w14:paraId="4B1E5771" w14:textId="77777777" w:rsidR="00E9504C" w:rsidRPr="00B12C07" w:rsidRDefault="00E9504C" w:rsidP="00E9504C">
      <w:pPr>
        <w:tabs>
          <w:tab w:val="left" w:pos="993"/>
        </w:tabs>
        <w:rPr>
          <w:rFonts w:cs="Arial"/>
        </w:rPr>
      </w:pPr>
      <w:r w:rsidRPr="00B12C07">
        <w:rPr>
          <w:rFonts w:cs="Arial"/>
        </w:rPr>
        <w:t xml:space="preserve">The overarching objective of the National Strategy was to </w:t>
      </w:r>
      <w:r>
        <w:rPr>
          <w:rFonts w:cs="Arial"/>
        </w:rPr>
        <w:t xml:space="preserve">examine whether it was possible </w:t>
      </w:r>
      <w:r w:rsidRPr="00B12C07">
        <w:rPr>
          <w:rFonts w:cs="Arial"/>
        </w:rPr>
        <w:t>to reduce child exposure to unsecured button bat</w:t>
      </w:r>
      <w:r>
        <w:rPr>
          <w:rFonts w:cs="Arial"/>
        </w:rPr>
        <w:t xml:space="preserve">teries through voluntary safety </w:t>
      </w:r>
      <w:r w:rsidRPr="00B12C07">
        <w:rPr>
          <w:rFonts w:cs="Arial"/>
        </w:rPr>
        <w:t>improvements made by suppliers and to raise awareness to e</w:t>
      </w:r>
      <w:r>
        <w:rPr>
          <w:rFonts w:cs="Arial"/>
        </w:rPr>
        <w:t xml:space="preserve">liminate button battery related </w:t>
      </w:r>
      <w:r w:rsidRPr="00B12C07">
        <w:rPr>
          <w:rFonts w:cs="Arial"/>
        </w:rPr>
        <w:t>injuries in Australia. The National Strategy included:</w:t>
      </w:r>
    </w:p>
    <w:p w14:paraId="660D6337" w14:textId="4C711BD3" w:rsidR="00E9504C" w:rsidRDefault="00E9504C" w:rsidP="00E9504C">
      <w:pPr>
        <w:pStyle w:val="ListParagraph"/>
        <w:numPr>
          <w:ilvl w:val="0"/>
          <w:numId w:val="46"/>
        </w:numPr>
        <w:tabs>
          <w:tab w:val="left" w:pos="993"/>
        </w:tabs>
        <w:rPr>
          <w:rFonts w:cs="Arial"/>
        </w:rPr>
      </w:pPr>
      <w:r w:rsidRPr="00B12C07">
        <w:rPr>
          <w:rFonts w:cs="Arial"/>
        </w:rPr>
        <w:t>co-surveillance with A</w:t>
      </w:r>
      <w:r w:rsidR="00E82758">
        <w:rPr>
          <w:rFonts w:cs="Arial"/>
        </w:rPr>
        <w:t>ustralian Consumer Law</w:t>
      </w:r>
      <w:r w:rsidRPr="00B12C07">
        <w:rPr>
          <w:rFonts w:cs="Arial"/>
        </w:rPr>
        <w:t xml:space="preserve"> regulators and assessment of products containing button</w:t>
      </w:r>
      <w:r>
        <w:rPr>
          <w:rFonts w:cs="Arial"/>
        </w:rPr>
        <w:t xml:space="preserve"> batteries</w:t>
      </w:r>
    </w:p>
    <w:p w14:paraId="2AA414AA" w14:textId="77777777" w:rsidR="00E9504C" w:rsidRDefault="00E9504C" w:rsidP="00E9504C">
      <w:pPr>
        <w:pStyle w:val="ListParagraph"/>
        <w:numPr>
          <w:ilvl w:val="0"/>
          <w:numId w:val="46"/>
        </w:numPr>
        <w:tabs>
          <w:tab w:val="left" w:pos="993"/>
        </w:tabs>
        <w:rPr>
          <w:rFonts w:cs="Arial"/>
        </w:rPr>
      </w:pPr>
      <w:r w:rsidRPr="00B12C07">
        <w:rPr>
          <w:rFonts w:cs="Arial"/>
        </w:rPr>
        <w:t>promotion of information to assist suppliers source safer products</w:t>
      </w:r>
    </w:p>
    <w:p w14:paraId="73B995DF" w14:textId="77777777" w:rsidR="00E9504C" w:rsidRDefault="00E9504C" w:rsidP="00E9504C">
      <w:pPr>
        <w:pStyle w:val="ListParagraph"/>
        <w:numPr>
          <w:ilvl w:val="0"/>
          <w:numId w:val="46"/>
        </w:numPr>
        <w:tabs>
          <w:tab w:val="left" w:pos="993"/>
        </w:tabs>
        <w:rPr>
          <w:rFonts w:cs="Arial"/>
        </w:rPr>
      </w:pPr>
      <w:r w:rsidRPr="00B12C07">
        <w:rPr>
          <w:rFonts w:cs="Arial"/>
        </w:rPr>
        <w:t>voluntary recalls of unsafe products by supplier</w:t>
      </w:r>
      <w:r>
        <w:rPr>
          <w:rFonts w:cs="Arial"/>
        </w:rPr>
        <w:t>s</w:t>
      </w:r>
    </w:p>
    <w:p w14:paraId="31B77D3B" w14:textId="77777777" w:rsidR="00E9504C" w:rsidRDefault="00E9504C" w:rsidP="00E9504C">
      <w:pPr>
        <w:pStyle w:val="ListParagraph"/>
        <w:numPr>
          <w:ilvl w:val="0"/>
          <w:numId w:val="46"/>
        </w:numPr>
        <w:tabs>
          <w:tab w:val="left" w:pos="993"/>
        </w:tabs>
        <w:rPr>
          <w:rFonts w:cs="Arial"/>
        </w:rPr>
      </w:pPr>
      <w:r w:rsidRPr="00B12C07">
        <w:rPr>
          <w:rFonts w:cs="Arial"/>
        </w:rPr>
        <w:t>creation and promotion of safety awareness resources such as the ‘Button Battery Safety</w:t>
      </w:r>
      <w:r>
        <w:rPr>
          <w:rFonts w:cs="Arial"/>
        </w:rPr>
        <w:t xml:space="preserve"> </w:t>
      </w:r>
      <w:r w:rsidRPr="00B12C07">
        <w:rPr>
          <w:rFonts w:cs="Arial"/>
        </w:rPr>
        <w:t>in the Home’ YouTube video</w:t>
      </w:r>
    </w:p>
    <w:p w14:paraId="674C0597" w14:textId="0155A3E3" w:rsidR="00E9504C" w:rsidRPr="00815504" w:rsidRDefault="00E9504C" w:rsidP="00E9504C">
      <w:pPr>
        <w:pStyle w:val="ListParagraph"/>
        <w:numPr>
          <w:ilvl w:val="0"/>
          <w:numId w:val="46"/>
        </w:numPr>
        <w:tabs>
          <w:tab w:val="left" w:pos="993"/>
        </w:tabs>
        <w:rPr>
          <w:rFonts w:cs="Arial"/>
        </w:rPr>
      </w:pPr>
      <w:r w:rsidRPr="00B12C07">
        <w:rPr>
          <w:rFonts w:cs="Arial"/>
        </w:rPr>
        <w:lastRenderedPageBreak/>
        <w:t>collection of evidence sufficient to consider the need for regulatory intervention.</w:t>
      </w:r>
    </w:p>
    <w:p w14:paraId="3DDD3CAA" w14:textId="064F5476" w:rsidR="00B4538D" w:rsidRDefault="00E9504C" w:rsidP="004B4CE9">
      <w:pPr>
        <w:tabs>
          <w:tab w:val="left" w:pos="993"/>
        </w:tabs>
        <w:rPr>
          <w:rFonts w:cs="Arial"/>
        </w:rPr>
      </w:pPr>
      <w:r w:rsidRPr="00684F37">
        <w:rPr>
          <w:rFonts w:cs="Arial"/>
        </w:rPr>
        <w:t>During the implementation of the National Strategy, the AC</w:t>
      </w:r>
      <w:r>
        <w:rPr>
          <w:rFonts w:cs="Arial"/>
        </w:rPr>
        <w:t xml:space="preserve">CC and the other ACL regulators </w:t>
      </w:r>
      <w:r w:rsidRPr="00684F37">
        <w:rPr>
          <w:rFonts w:cs="Arial"/>
        </w:rPr>
        <w:t xml:space="preserve">strongly encouraged and supported industry to develop </w:t>
      </w:r>
      <w:r>
        <w:rPr>
          <w:rFonts w:cs="Arial"/>
        </w:rPr>
        <w:t>and implement voluntary safety improvements, including the</w:t>
      </w:r>
      <w:r w:rsidR="009D248B">
        <w:rPr>
          <w:rFonts w:cs="Arial"/>
        </w:rPr>
        <w:t xml:space="preserve"> voluntary</w:t>
      </w:r>
      <w:r>
        <w:rPr>
          <w:rFonts w:cs="Arial"/>
        </w:rPr>
        <w:t xml:space="preserve"> </w:t>
      </w:r>
      <w:hyperlink r:id="rId21" w:history="1">
        <w:r w:rsidRPr="00815504">
          <w:rPr>
            <w:rStyle w:val="Hyperlink"/>
            <w:rFonts w:cs="Arial"/>
          </w:rPr>
          <w:t>Industry Code for Consumer Goods that Contain Button Batteries</w:t>
        </w:r>
      </w:hyperlink>
      <w:r w:rsidR="005603E4">
        <w:rPr>
          <w:rFonts w:cs="Arial"/>
        </w:rPr>
        <w:t>.</w:t>
      </w:r>
    </w:p>
    <w:p w14:paraId="44A9F5CB" w14:textId="1F87F561" w:rsidR="00EC5EFF" w:rsidRDefault="00A5299F" w:rsidP="004B4CE9">
      <w:pPr>
        <w:tabs>
          <w:tab w:val="left" w:pos="993"/>
        </w:tabs>
        <w:rPr>
          <w:rFonts w:cs="Arial"/>
        </w:rPr>
      </w:pPr>
      <w:r>
        <w:rPr>
          <w:rFonts w:cs="Arial"/>
        </w:rPr>
        <w:t>In 2019</w:t>
      </w:r>
      <w:r w:rsidR="00F67EA6">
        <w:rPr>
          <w:rFonts w:cs="Arial"/>
        </w:rPr>
        <w:t xml:space="preserve"> a Safety Warning Notice </w:t>
      </w:r>
      <w:r>
        <w:rPr>
          <w:rFonts w:cs="Arial"/>
        </w:rPr>
        <w:t>was issued warning</w:t>
      </w:r>
      <w:r w:rsidR="00F67EA6" w:rsidRPr="0035045C">
        <w:rPr>
          <w:rFonts w:cs="Arial"/>
        </w:rPr>
        <w:t xml:space="preserve"> the Australian public on the dangers of button batteries</w:t>
      </w:r>
      <w:r w:rsidR="00FC7A9D">
        <w:rPr>
          <w:rFonts w:cs="Arial"/>
        </w:rPr>
        <w:t>.</w:t>
      </w:r>
    </w:p>
    <w:p w14:paraId="7920E531" w14:textId="100961F9" w:rsidR="00E9504C" w:rsidRDefault="00E9504C" w:rsidP="004B4CE9">
      <w:pPr>
        <w:tabs>
          <w:tab w:val="left" w:pos="993"/>
        </w:tabs>
        <w:rPr>
          <w:rFonts w:cs="Arial"/>
        </w:rPr>
      </w:pPr>
      <w:r>
        <w:t>In 2019, the ACCC evaluated the impact of the National Strategy on button battery safety, as demonstrated by goods available in the market place and trends in injury and exposure data. The ACCC concluded that there was evidence of market failure in the safety of button battery consumer goods.</w:t>
      </w:r>
    </w:p>
    <w:p w14:paraId="47374748" w14:textId="6466BEC9" w:rsidR="00086C66" w:rsidRPr="00EC5EFF" w:rsidRDefault="00B84D69" w:rsidP="004B4CE9">
      <w:pPr>
        <w:tabs>
          <w:tab w:val="left" w:pos="993"/>
        </w:tabs>
        <w:rPr>
          <w:rFonts w:cs="Arial"/>
        </w:rPr>
      </w:pPr>
      <w:r>
        <w:rPr>
          <w:rFonts w:cs="Arial"/>
        </w:rPr>
        <w:t>The ACCC has established a</w:t>
      </w:r>
      <w:r w:rsidR="00186EE5">
        <w:rPr>
          <w:rFonts w:cs="Arial"/>
        </w:rPr>
        <w:t xml:space="preserve"> Button Battery Taskf</w:t>
      </w:r>
      <w:r w:rsidR="00086C66">
        <w:rPr>
          <w:rFonts w:cs="Arial"/>
        </w:rPr>
        <w:t>orce to examine the wider safety issues around all button batteries</w:t>
      </w:r>
      <w:r w:rsidR="00186EE5">
        <w:rPr>
          <w:rFonts w:cs="Arial"/>
        </w:rPr>
        <w:t>. That Taskf</w:t>
      </w:r>
      <w:r w:rsidR="006233E4">
        <w:rPr>
          <w:rFonts w:cs="Arial"/>
        </w:rPr>
        <w:t>orce has now consulted with stakeholders and is considering options for further action based on these responses</w:t>
      </w:r>
      <w:r w:rsidR="00086C66">
        <w:rPr>
          <w:rFonts w:cs="Arial"/>
        </w:rPr>
        <w:t>.</w:t>
      </w:r>
    </w:p>
    <w:p w14:paraId="1C9B3D70" w14:textId="5972418F" w:rsidR="00941406" w:rsidRPr="00381464" w:rsidRDefault="00EC5EFF" w:rsidP="00E540BA">
      <w:pPr>
        <w:pStyle w:val="Heading2"/>
        <w:keepNext/>
        <w:rPr>
          <w:rFonts w:eastAsia="Times New Roman" w:cs="Times New Roman"/>
          <w:color w:val="51626F"/>
        </w:rPr>
      </w:pPr>
      <w:r w:rsidRPr="00381464">
        <w:rPr>
          <w:rFonts w:eastAsia="Times New Roman" w:cs="Times New Roman"/>
          <w:color w:val="51626F"/>
        </w:rPr>
        <w:t xml:space="preserve">Voluntary Industry </w:t>
      </w:r>
      <w:r w:rsidR="009D248B">
        <w:rPr>
          <w:rFonts w:eastAsia="Times New Roman" w:cs="Times New Roman"/>
          <w:color w:val="51626F"/>
        </w:rPr>
        <w:t>C</w:t>
      </w:r>
      <w:r w:rsidRPr="00381464">
        <w:rPr>
          <w:rFonts w:eastAsia="Times New Roman" w:cs="Times New Roman"/>
          <w:color w:val="51626F"/>
        </w:rPr>
        <w:t>ode</w:t>
      </w:r>
    </w:p>
    <w:p w14:paraId="11304E08" w14:textId="741AED1F" w:rsidR="00FC7A9D" w:rsidRDefault="00A5299F" w:rsidP="00FC7A9D">
      <w:r>
        <w:t>In 2016</w:t>
      </w:r>
      <w:r w:rsidR="00FC7A9D">
        <w:t xml:space="preserve"> an industry working group of retailers, associations and product safety consultants developed the</w:t>
      </w:r>
      <w:r w:rsidR="009D248B">
        <w:t xml:space="preserve"> voluntary</w:t>
      </w:r>
      <w:r w:rsidR="00FC7A9D">
        <w:t xml:space="preserve"> </w:t>
      </w:r>
      <w:r w:rsidR="009D248B">
        <w:t xml:space="preserve">Industry </w:t>
      </w:r>
      <w:r w:rsidR="00FC7A9D">
        <w:t>Code</w:t>
      </w:r>
      <w:r w:rsidR="009D248B">
        <w:t xml:space="preserve"> (the </w:t>
      </w:r>
      <w:r w:rsidR="009D248B" w:rsidRPr="009D248B">
        <w:rPr>
          <w:b/>
        </w:rPr>
        <w:t>Code</w:t>
      </w:r>
      <w:r w:rsidR="009D248B">
        <w:t>)</w:t>
      </w:r>
      <w:r w:rsidR="00FC7A9D">
        <w:t xml:space="preserve">, with input from the ACCC and other ACL regulators. The Code sets out best </w:t>
      </w:r>
      <w:r w:rsidR="00FC7A9D" w:rsidRPr="00BE48CB">
        <w:t>practice for supplying safer button battery related products</w:t>
      </w:r>
      <w:r w:rsidR="009D248B">
        <w:t xml:space="preserve"> and </w:t>
      </w:r>
      <w:r w:rsidR="00FC7A9D" w:rsidRPr="00BE48CB">
        <w:t xml:space="preserve">is available on the </w:t>
      </w:r>
      <w:r w:rsidR="00FC7A9D">
        <w:t xml:space="preserve">ACCC’s </w:t>
      </w:r>
      <w:r w:rsidR="00FC7A9D" w:rsidRPr="00A31D53">
        <w:t>Product Safety Australia website</w:t>
      </w:r>
      <w:r w:rsidR="00FC7A9D" w:rsidRPr="00BE48CB">
        <w:t>. The</w:t>
      </w:r>
      <w:r w:rsidR="00FC7A9D">
        <w:t xml:space="preserve"> Commonwealth Safety Warning Notice on button batteries, publishe</w:t>
      </w:r>
      <w:r>
        <w:t>d in March 2019, also encouraged</w:t>
      </w:r>
      <w:r w:rsidR="00FC7A9D">
        <w:t xml:space="preserve"> suppliers to ad</w:t>
      </w:r>
      <w:r w:rsidR="005603E4">
        <w:t>opt the principles of the Code.</w:t>
      </w:r>
    </w:p>
    <w:p w14:paraId="052E4DD8" w14:textId="77777777" w:rsidR="00FC7A9D" w:rsidRDefault="00FC7A9D" w:rsidP="00FC7A9D">
      <w:r>
        <w:t>The Code is a guide for suppliers (i.e. manufacturers, distributers, importers, retailers, and online suppliers) in making responsible decisions about button battery safety when procuring, designing, developing or retailing button battery-powered devices. The essential requirements for compliance with the Code include:</w:t>
      </w:r>
    </w:p>
    <w:p w14:paraId="5C6D0F24" w14:textId="77777777" w:rsidR="00FC7A9D" w:rsidRDefault="00FC7A9D" w:rsidP="00E10134">
      <w:pPr>
        <w:pStyle w:val="ListParagraph"/>
        <w:numPr>
          <w:ilvl w:val="0"/>
          <w:numId w:val="30"/>
        </w:numPr>
      </w:pPr>
      <w:r>
        <w:t>Consumer goods that use one or more replaceable button batteries must be designed and manufactured such that batteries in the device are not accessible to young children under normal use or foreseeable misuse.</w:t>
      </w:r>
    </w:p>
    <w:p w14:paraId="5EEAB058" w14:textId="77777777" w:rsidR="00FC7A9D" w:rsidRDefault="00FC7A9D" w:rsidP="00E10134">
      <w:pPr>
        <w:pStyle w:val="ListParagraph"/>
        <w:numPr>
          <w:ilvl w:val="0"/>
          <w:numId w:val="30"/>
        </w:numPr>
      </w:pPr>
      <w:r>
        <w:t>Consumer goods that use one or more replaceable button batteries must either:</w:t>
      </w:r>
    </w:p>
    <w:p w14:paraId="6C7BF8C2" w14:textId="77777777" w:rsidR="00FC7A9D" w:rsidRDefault="00FC7A9D" w:rsidP="0016747D">
      <w:pPr>
        <w:pStyle w:val="ListParagraph"/>
        <w:numPr>
          <w:ilvl w:val="0"/>
          <w:numId w:val="37"/>
        </w:numPr>
      </w:pPr>
      <w:r>
        <w:t>have a battery compartment (or other enclosure) that is secured (preferably with a captive screw, a bolt or mechanism) such that it requires a tool to gain access to the batteries</w:t>
      </w:r>
    </w:p>
    <w:p w14:paraId="6B030DAE" w14:textId="77777777" w:rsidR="00FC7A9D" w:rsidRDefault="00FC7A9D" w:rsidP="0016747D">
      <w:pPr>
        <w:pStyle w:val="ListParagraph"/>
        <w:numPr>
          <w:ilvl w:val="0"/>
          <w:numId w:val="37"/>
        </w:numPr>
      </w:pPr>
      <w:r>
        <w:t>have a battery compartment that requires two or more independent, and simultaneous actions to remove its cover.</w:t>
      </w:r>
    </w:p>
    <w:p w14:paraId="6F30B8EE" w14:textId="77777777" w:rsidR="00FC7A9D" w:rsidRDefault="00FC7A9D" w:rsidP="00E10134">
      <w:pPr>
        <w:pStyle w:val="ListParagraph"/>
        <w:numPr>
          <w:ilvl w:val="0"/>
          <w:numId w:val="30"/>
        </w:numPr>
      </w:pPr>
      <w:r>
        <w:t>Any button batteries supplied with consumer goods must be in packaging that is not accessible to young children under normal use or foreseeable misuse.</w:t>
      </w:r>
    </w:p>
    <w:p w14:paraId="3E726A72" w14:textId="56E65029" w:rsidR="00EC5EFF" w:rsidRDefault="00FC7A9D" w:rsidP="00E10134">
      <w:pPr>
        <w:pStyle w:val="ListParagraph"/>
        <w:numPr>
          <w:ilvl w:val="0"/>
          <w:numId w:val="30"/>
        </w:numPr>
      </w:pPr>
      <w:r>
        <w:t>Inform consumers at the point of sale, including for online sales, if the product they are purchasing requires button batteries to operate and that these are hazardous to young children.</w:t>
      </w:r>
    </w:p>
    <w:p w14:paraId="5C9E1207" w14:textId="506D23ED" w:rsidR="004C7AF1" w:rsidRPr="00086C66" w:rsidRDefault="004C7AF1" w:rsidP="004C7AF1">
      <w:r>
        <w:t xml:space="preserve">Toys for children </w:t>
      </w:r>
      <w:r w:rsidR="00E60D6C">
        <w:t>up to</w:t>
      </w:r>
      <w:r w:rsidR="00855CAE">
        <w:t xml:space="preserve"> and including</w:t>
      </w:r>
      <w:r w:rsidR="00E60D6C">
        <w:t xml:space="preserve"> </w:t>
      </w:r>
      <w:r>
        <w:t>36 months are a subset of products which already include requirements to prevent access to batt</w:t>
      </w:r>
      <w:r w:rsidR="006328B8">
        <w:t>ery compartments and batteries.</w:t>
      </w:r>
    </w:p>
    <w:p w14:paraId="701F6589" w14:textId="42F4E478" w:rsidR="00EC5EFF" w:rsidRPr="00381464" w:rsidRDefault="006B3994" w:rsidP="00E540BA">
      <w:pPr>
        <w:pStyle w:val="Heading2"/>
        <w:keepNext/>
        <w:rPr>
          <w:rFonts w:eastAsia="Times New Roman" w:cs="Times New Roman"/>
          <w:color w:val="51626F"/>
        </w:rPr>
      </w:pPr>
      <w:r w:rsidRPr="00381464">
        <w:rPr>
          <w:rFonts w:eastAsia="Times New Roman" w:cs="Times New Roman"/>
          <w:color w:val="51626F"/>
        </w:rPr>
        <w:lastRenderedPageBreak/>
        <w:t xml:space="preserve">Button </w:t>
      </w:r>
      <w:r w:rsidR="00291711" w:rsidRPr="00381464">
        <w:rPr>
          <w:rFonts w:eastAsia="Times New Roman" w:cs="Times New Roman"/>
          <w:color w:val="51626F"/>
        </w:rPr>
        <w:t xml:space="preserve">Battery </w:t>
      </w:r>
      <w:r w:rsidR="00EC5EFF" w:rsidRPr="00381464">
        <w:rPr>
          <w:rFonts w:eastAsia="Times New Roman" w:cs="Times New Roman"/>
          <w:color w:val="51626F"/>
        </w:rPr>
        <w:t>Task</w:t>
      </w:r>
      <w:r w:rsidR="00291711" w:rsidRPr="00381464">
        <w:rPr>
          <w:rFonts w:eastAsia="Times New Roman" w:cs="Times New Roman"/>
          <w:color w:val="51626F"/>
        </w:rPr>
        <w:t>f</w:t>
      </w:r>
      <w:r w:rsidR="00EC5EFF" w:rsidRPr="00381464">
        <w:rPr>
          <w:rFonts w:eastAsia="Times New Roman" w:cs="Times New Roman"/>
          <w:color w:val="51626F"/>
        </w:rPr>
        <w:t>orce</w:t>
      </w:r>
    </w:p>
    <w:p w14:paraId="3898D4BC" w14:textId="2AF93541" w:rsidR="00B4538D" w:rsidRPr="00055767" w:rsidRDefault="00055767" w:rsidP="005603E4">
      <w:pPr>
        <w:tabs>
          <w:tab w:val="left" w:pos="993"/>
        </w:tabs>
        <w:rPr>
          <w:rFonts w:cs="Arial"/>
          <w:color w:val="000000"/>
        </w:rPr>
      </w:pPr>
      <w:r w:rsidRPr="00055767">
        <w:rPr>
          <w:rFonts w:cs="Arial"/>
          <w:color w:val="000000"/>
        </w:rPr>
        <w:t>The ACCC’s preliminary view is that there is a market failure with regard to the safety of button battery products and that government needs to consider available remedies, including whether regulation should be considered to address the button battery hazard. The ACCC has identified a range of key safety measures that could improve safety of consumer products containing button batteries (including batteries themselves a</w:t>
      </w:r>
      <w:r w:rsidR="005603E4">
        <w:rPr>
          <w:rFonts w:cs="Arial"/>
          <w:color w:val="000000"/>
        </w:rPr>
        <w:t>t first supply). These include:</w:t>
      </w:r>
    </w:p>
    <w:p w14:paraId="29E0F702" w14:textId="460A8D43" w:rsidR="00055767" w:rsidRPr="00055767" w:rsidRDefault="00055767" w:rsidP="00C80685">
      <w:pPr>
        <w:pStyle w:val="Bulletpoint"/>
      </w:pPr>
      <w:r w:rsidRPr="00055767">
        <w:t>secure battery compartments so that children cannot access butto</w:t>
      </w:r>
      <w:r w:rsidR="005603E4">
        <w:t>n batteries from these products</w:t>
      </w:r>
    </w:p>
    <w:p w14:paraId="3670E430" w14:textId="19734FBD" w:rsidR="00055767" w:rsidRPr="00055767" w:rsidRDefault="00055767" w:rsidP="00C80685">
      <w:pPr>
        <w:pStyle w:val="Bulletpoint"/>
      </w:pPr>
      <w:r w:rsidRPr="00055767">
        <w:t xml:space="preserve">child-resistant packaging to prevent children </w:t>
      </w:r>
      <w:r w:rsidR="005603E4">
        <w:t>from accessing button batteries</w:t>
      </w:r>
    </w:p>
    <w:p w14:paraId="23EEE4D3" w14:textId="6C175137" w:rsidR="00055767" w:rsidRPr="00055767" w:rsidRDefault="00055767" w:rsidP="00C80685">
      <w:pPr>
        <w:pStyle w:val="Bulletpoint"/>
      </w:pPr>
      <w:r w:rsidRPr="00055767">
        <w:t>specific warnings and information alerting consumers to the dangers of button batteries and guidance on what to do in the event of a button battery ingestion, o</w:t>
      </w:r>
      <w:r w:rsidR="005603E4">
        <w:t>n products and at point of sale</w:t>
      </w:r>
    </w:p>
    <w:p w14:paraId="1ECD2EE6" w14:textId="6CF72C59" w:rsidR="00055767" w:rsidRPr="00055767" w:rsidRDefault="00055767" w:rsidP="00C80685">
      <w:pPr>
        <w:pStyle w:val="Bulletpoint"/>
      </w:pPr>
      <w:r w:rsidRPr="00055767">
        <w:t xml:space="preserve">means of safe disposal </w:t>
      </w:r>
      <w:r w:rsidR="005603E4">
        <w:t>of used batteries in households</w:t>
      </w:r>
    </w:p>
    <w:p w14:paraId="408CE287" w14:textId="51E89D35" w:rsidR="00055767" w:rsidRPr="00055767" w:rsidRDefault="00055767" w:rsidP="00C80685">
      <w:pPr>
        <w:pStyle w:val="Bulletpoint"/>
      </w:pPr>
      <w:r w:rsidRPr="00055767">
        <w:t>improved design and technology of battery manuf</w:t>
      </w:r>
      <w:r w:rsidR="005603E4">
        <w:t>acture to eliminate the hazard.</w:t>
      </w:r>
    </w:p>
    <w:p w14:paraId="310C69F8" w14:textId="221FC483" w:rsidR="00055767" w:rsidRPr="00055767" w:rsidRDefault="00055767" w:rsidP="005603E4">
      <w:pPr>
        <w:tabs>
          <w:tab w:val="left" w:pos="993"/>
        </w:tabs>
        <w:rPr>
          <w:rFonts w:cs="Arial"/>
          <w:color w:val="000000"/>
        </w:rPr>
      </w:pPr>
      <w:r w:rsidRPr="00055767">
        <w:rPr>
          <w:rFonts w:cs="Arial"/>
          <w:color w:val="000000"/>
        </w:rPr>
        <w:t>Some of these measures could be subject to safety regulation, however others</w:t>
      </w:r>
      <w:r w:rsidR="00D450FC">
        <w:rPr>
          <w:rFonts w:cs="Arial"/>
          <w:color w:val="000000"/>
        </w:rPr>
        <w:t>,</w:t>
      </w:r>
      <w:r w:rsidRPr="00055767">
        <w:rPr>
          <w:rFonts w:cs="Arial"/>
          <w:color w:val="000000"/>
        </w:rPr>
        <w:t xml:space="preserve"> such as battery disposal and improved battery design are outside the remit of consume</w:t>
      </w:r>
      <w:r w:rsidR="005603E4">
        <w:rPr>
          <w:rFonts w:cs="Arial"/>
          <w:color w:val="000000"/>
        </w:rPr>
        <w:t>r law, or simply not available.</w:t>
      </w:r>
    </w:p>
    <w:p w14:paraId="6F16DFC2" w14:textId="075C5D21" w:rsidR="0034387F" w:rsidRPr="00A5299F" w:rsidRDefault="008D322C" w:rsidP="004B4CE9">
      <w:pPr>
        <w:tabs>
          <w:tab w:val="left" w:pos="993"/>
        </w:tabs>
        <w:rPr>
          <w:rFonts w:cs="Arial"/>
        </w:rPr>
      </w:pPr>
      <w:r>
        <w:rPr>
          <w:rFonts w:cs="Arial"/>
          <w:color w:val="000000"/>
        </w:rPr>
        <w:t>The Australian Consumer L</w:t>
      </w:r>
      <w:r w:rsidR="00055767" w:rsidRPr="00055767">
        <w:rPr>
          <w:rFonts w:cs="Arial"/>
          <w:color w:val="000000"/>
        </w:rPr>
        <w:t xml:space="preserve">aw enables development of regulation to address the safety of consumer goods, including through application of mandatory safety standards, mandatory information standards, interim </w:t>
      </w:r>
      <w:r w:rsidR="00D450FC">
        <w:rPr>
          <w:rFonts w:cs="Arial"/>
          <w:color w:val="000000"/>
        </w:rPr>
        <w:t xml:space="preserve">bans </w:t>
      </w:r>
      <w:r w:rsidR="00055767" w:rsidRPr="00055767">
        <w:rPr>
          <w:rFonts w:cs="Arial"/>
          <w:color w:val="000000"/>
        </w:rPr>
        <w:t xml:space="preserve">and permanent bans. </w:t>
      </w:r>
      <w:r w:rsidR="000A7B98">
        <w:rPr>
          <w:rFonts w:cs="Arial"/>
        </w:rPr>
        <w:t>The ACCC</w:t>
      </w:r>
      <w:r w:rsidR="008A2BDD">
        <w:rPr>
          <w:rFonts w:cs="Arial"/>
        </w:rPr>
        <w:t>, through the mechanism of a dedicated Button Battery Task</w:t>
      </w:r>
      <w:r w:rsidR="00291711">
        <w:rPr>
          <w:rFonts w:cs="Arial"/>
        </w:rPr>
        <w:t>f</w:t>
      </w:r>
      <w:r w:rsidR="008A2BDD">
        <w:rPr>
          <w:rFonts w:cs="Arial"/>
        </w:rPr>
        <w:t>orce,</w:t>
      </w:r>
      <w:r w:rsidR="000A7B98">
        <w:rPr>
          <w:rFonts w:cs="Arial"/>
        </w:rPr>
        <w:t xml:space="preserve"> is now </w:t>
      </w:r>
      <w:r w:rsidR="008A2BDD">
        <w:rPr>
          <w:rFonts w:cs="Arial"/>
        </w:rPr>
        <w:t xml:space="preserve">separately </w:t>
      </w:r>
      <w:r w:rsidR="000A7B98">
        <w:rPr>
          <w:rFonts w:cs="Arial"/>
        </w:rPr>
        <w:t xml:space="preserve">investigating </w:t>
      </w:r>
      <w:r w:rsidR="00A5299F">
        <w:rPr>
          <w:rFonts w:cs="Arial"/>
        </w:rPr>
        <w:t xml:space="preserve">various </w:t>
      </w:r>
      <w:r w:rsidR="008554D6">
        <w:rPr>
          <w:rFonts w:cs="Arial"/>
        </w:rPr>
        <w:t xml:space="preserve">regulatory options </w:t>
      </w:r>
      <w:r w:rsidR="000A7B98" w:rsidRPr="005C2C1E">
        <w:rPr>
          <w:rFonts w:cs="Arial"/>
        </w:rPr>
        <w:t xml:space="preserve">under the </w:t>
      </w:r>
      <w:r w:rsidR="000A7B98">
        <w:rPr>
          <w:rFonts w:cs="Arial"/>
        </w:rPr>
        <w:t>ACL</w:t>
      </w:r>
      <w:r w:rsidR="000A7B98" w:rsidRPr="005C2C1E">
        <w:rPr>
          <w:rFonts w:cs="Arial"/>
        </w:rPr>
        <w:t xml:space="preserve"> to </w:t>
      </w:r>
      <w:r w:rsidR="008A2BDD">
        <w:rPr>
          <w:rFonts w:cs="Arial"/>
        </w:rPr>
        <w:t xml:space="preserve">universally </w:t>
      </w:r>
      <w:r w:rsidR="000A7B98" w:rsidRPr="005C2C1E">
        <w:rPr>
          <w:rFonts w:cs="Arial"/>
        </w:rPr>
        <w:t>improve the safety of button batteries and products that contain them</w:t>
      </w:r>
      <w:r w:rsidR="000A7B98">
        <w:rPr>
          <w:rFonts w:cs="Arial"/>
        </w:rPr>
        <w:t>.</w:t>
      </w:r>
      <w:r w:rsidR="002A1805">
        <w:rPr>
          <w:rFonts w:cs="Arial"/>
        </w:rPr>
        <w:t xml:space="preserve"> The </w:t>
      </w:r>
      <w:r w:rsidR="002F68DB">
        <w:rPr>
          <w:rFonts w:cs="Arial"/>
        </w:rPr>
        <w:t>T</w:t>
      </w:r>
      <w:r w:rsidR="002A1805">
        <w:rPr>
          <w:rFonts w:cs="Arial"/>
        </w:rPr>
        <w:t>ask</w:t>
      </w:r>
      <w:r w:rsidR="00291711">
        <w:rPr>
          <w:rFonts w:cs="Arial"/>
        </w:rPr>
        <w:t>f</w:t>
      </w:r>
      <w:r w:rsidR="002A1805">
        <w:rPr>
          <w:rFonts w:cs="Arial"/>
        </w:rPr>
        <w:t xml:space="preserve">orce </w:t>
      </w:r>
      <w:r w:rsidR="00E222CB">
        <w:rPr>
          <w:rFonts w:cs="Arial"/>
        </w:rPr>
        <w:t>is</w:t>
      </w:r>
      <w:r w:rsidR="002A1805">
        <w:rPr>
          <w:rFonts w:cs="Arial"/>
        </w:rPr>
        <w:t xml:space="preserve"> separately consult</w:t>
      </w:r>
      <w:r w:rsidR="00E222CB">
        <w:rPr>
          <w:rFonts w:cs="Arial"/>
        </w:rPr>
        <w:t>ing</w:t>
      </w:r>
      <w:r w:rsidR="002A1805">
        <w:rPr>
          <w:rFonts w:cs="Arial"/>
        </w:rPr>
        <w:t xml:space="preserve"> on options to reduce the hazard of button batteries for </w:t>
      </w:r>
      <w:r w:rsidR="002F68DB">
        <w:rPr>
          <w:rFonts w:cs="Arial"/>
        </w:rPr>
        <w:t xml:space="preserve">non-toy </w:t>
      </w:r>
      <w:r w:rsidR="002A1805">
        <w:rPr>
          <w:rFonts w:cs="Arial"/>
        </w:rPr>
        <w:t xml:space="preserve">products and the </w:t>
      </w:r>
      <w:r w:rsidR="002F68DB">
        <w:rPr>
          <w:rFonts w:cs="Arial"/>
        </w:rPr>
        <w:t>supply</w:t>
      </w:r>
      <w:r w:rsidR="002A1805">
        <w:rPr>
          <w:rFonts w:cs="Arial"/>
        </w:rPr>
        <w:t xml:space="preserve"> of loose batteries not capt</w:t>
      </w:r>
      <w:r w:rsidR="006328B8">
        <w:rPr>
          <w:rFonts w:cs="Arial"/>
        </w:rPr>
        <w:t>ured by the mandatory standard.</w:t>
      </w:r>
    </w:p>
    <w:p w14:paraId="30DA33D3" w14:textId="1AB93276" w:rsidR="00F63432" w:rsidRPr="00381464" w:rsidRDefault="00F63432" w:rsidP="00D92F78">
      <w:pPr>
        <w:pStyle w:val="Numbered1"/>
        <w:keepNext/>
        <w:numPr>
          <w:ilvl w:val="0"/>
          <w:numId w:val="12"/>
        </w:numPr>
        <w:ind w:left="357" w:hanging="357"/>
        <w:rPr>
          <w:rFonts w:ascii="Lucida Fax" w:hAnsi="Lucida Fax"/>
          <w:color w:val="51626F"/>
        </w:rPr>
      </w:pPr>
      <w:bookmarkStart w:id="6" w:name="_Toc14788110"/>
      <w:bookmarkStart w:id="7" w:name="_Toc14796243"/>
      <w:bookmarkStart w:id="8" w:name="_Toc14788111"/>
      <w:bookmarkStart w:id="9" w:name="_Toc14796244"/>
      <w:bookmarkStart w:id="10" w:name="_Toc14788112"/>
      <w:bookmarkStart w:id="11" w:name="_Toc14796245"/>
      <w:bookmarkStart w:id="12" w:name="_Toc14788113"/>
      <w:bookmarkStart w:id="13" w:name="_Toc14796246"/>
      <w:bookmarkStart w:id="14" w:name="_Toc14788114"/>
      <w:bookmarkStart w:id="15" w:name="_Toc14796247"/>
      <w:bookmarkStart w:id="16" w:name="_Toc14788115"/>
      <w:bookmarkStart w:id="17" w:name="_Toc14796248"/>
      <w:bookmarkStart w:id="18" w:name="_Toc14788116"/>
      <w:bookmarkStart w:id="19" w:name="_Toc14796249"/>
      <w:bookmarkStart w:id="20" w:name="_Toc15468229"/>
      <w:bookmarkEnd w:id="6"/>
      <w:bookmarkEnd w:id="7"/>
      <w:bookmarkEnd w:id="8"/>
      <w:bookmarkEnd w:id="9"/>
      <w:bookmarkEnd w:id="10"/>
      <w:bookmarkEnd w:id="11"/>
      <w:bookmarkEnd w:id="12"/>
      <w:bookmarkEnd w:id="13"/>
      <w:bookmarkEnd w:id="14"/>
      <w:bookmarkEnd w:id="15"/>
      <w:bookmarkEnd w:id="16"/>
      <w:bookmarkEnd w:id="17"/>
      <w:bookmarkEnd w:id="18"/>
      <w:bookmarkEnd w:id="19"/>
      <w:r w:rsidRPr="00381464">
        <w:rPr>
          <w:rFonts w:ascii="Lucida Fax" w:hAnsi="Lucida Fax"/>
          <w:color w:val="51626F"/>
        </w:rPr>
        <w:t>International standards</w:t>
      </w:r>
      <w:bookmarkEnd w:id="20"/>
    </w:p>
    <w:p w14:paraId="1862F659" w14:textId="4004C5B8" w:rsidR="00CA6C5D" w:rsidRDefault="00CA6C5D" w:rsidP="001E6247">
      <w:r w:rsidRPr="00282D20">
        <w:t xml:space="preserve">When making recommendations for new and amended regulations </w:t>
      </w:r>
      <w:r w:rsidRPr="00A70E0D">
        <w:rPr>
          <w:i/>
        </w:rPr>
        <w:t>The</w:t>
      </w:r>
      <w:r w:rsidRPr="00282D20">
        <w:rPr>
          <w:i/>
        </w:rPr>
        <w:t xml:space="preserve"> Australian Government Guide to Regulation 2014</w:t>
      </w:r>
      <w:r w:rsidRPr="00282D20">
        <w:t xml:space="preserve"> requires policy makers to consider international standar</w:t>
      </w:r>
      <w:r>
        <w:t>ds as an option for regulation.</w:t>
      </w:r>
    </w:p>
    <w:p w14:paraId="504E15D5" w14:textId="02B03E76" w:rsidR="0075394A" w:rsidRPr="000A639D" w:rsidRDefault="0075394A" w:rsidP="0075394A">
      <w:r w:rsidRPr="000A639D">
        <w:t xml:space="preserve">The ACCC has </w:t>
      </w:r>
      <w:r>
        <w:t xml:space="preserve">assessed the US regulations (including the ASTM standard), European, ISO and IEC standards </w:t>
      </w:r>
      <w:r w:rsidRPr="000A639D">
        <w:t>against the following criteria</w:t>
      </w:r>
      <w:r w:rsidRPr="000A639D">
        <w:rPr>
          <w:vertAlign w:val="superscript"/>
        </w:rPr>
        <w:footnoteReference w:id="9"/>
      </w:r>
      <w:r w:rsidR="006328B8">
        <w:t>:</w:t>
      </w:r>
    </w:p>
    <w:p w14:paraId="5EA85AC1" w14:textId="77777777" w:rsidR="0075394A" w:rsidRPr="000A639D" w:rsidRDefault="0075394A" w:rsidP="0016747D">
      <w:pPr>
        <w:pStyle w:val="ListParagraph"/>
        <w:numPr>
          <w:ilvl w:val="0"/>
          <w:numId w:val="30"/>
        </w:numPr>
      </w:pPr>
      <w:r w:rsidRPr="000A639D">
        <w:t>Addressing safety concerns: Is there evidence that the international standard provides an acceptable level of consumer safety?</w:t>
      </w:r>
    </w:p>
    <w:p w14:paraId="7BAE77CD" w14:textId="77777777" w:rsidR="0075394A" w:rsidRPr="000A639D" w:rsidRDefault="0075394A" w:rsidP="0016747D">
      <w:pPr>
        <w:pStyle w:val="ListParagraph"/>
        <w:numPr>
          <w:ilvl w:val="0"/>
          <w:numId w:val="30"/>
        </w:numPr>
      </w:pPr>
      <w:r w:rsidRPr="000A639D">
        <w:t>Comparable jurisdiction to Australia: Is the international standard published or developed by a legitimate standards body or government agency from an economy or nation with comparable economic and regulatory processes to Australia?</w:t>
      </w:r>
    </w:p>
    <w:p w14:paraId="1221F25F" w14:textId="4379D370" w:rsidR="0075394A" w:rsidRDefault="0075394A" w:rsidP="0016747D">
      <w:pPr>
        <w:pStyle w:val="ListParagraph"/>
        <w:numPr>
          <w:ilvl w:val="0"/>
          <w:numId w:val="30"/>
        </w:numPr>
      </w:pPr>
      <w:r w:rsidRPr="000A639D">
        <w:t>Applicability to the Australian context:</w:t>
      </w:r>
      <w:r w:rsidRPr="0016747D">
        <w:t xml:space="preserve"> </w:t>
      </w:r>
      <w:r w:rsidRPr="000A639D">
        <w:t>Is the international standard applicable and sufficient in the Australian context?</w:t>
      </w:r>
    </w:p>
    <w:p w14:paraId="3509F91E" w14:textId="20D0339B" w:rsidR="00CA6C5D" w:rsidRDefault="007E6842" w:rsidP="001E6247">
      <w:pPr>
        <w:spacing w:line="220" w:lineRule="atLeast"/>
        <w:rPr>
          <w:rFonts w:cs="Arial"/>
        </w:rPr>
      </w:pPr>
      <w:r>
        <w:rPr>
          <w:rFonts w:cs="Arial"/>
        </w:rPr>
        <w:t>The European Union</w:t>
      </w:r>
      <w:r w:rsidR="00B26BB2">
        <w:rPr>
          <w:rFonts w:cs="Arial"/>
        </w:rPr>
        <w:t xml:space="preserve"> (</w:t>
      </w:r>
      <w:r w:rsidR="00B26BB2" w:rsidRPr="00D317EE">
        <w:rPr>
          <w:rFonts w:cs="Arial"/>
        </w:rPr>
        <w:t>EU</w:t>
      </w:r>
      <w:r w:rsidR="00B26BB2">
        <w:rPr>
          <w:rFonts w:cs="Arial"/>
        </w:rPr>
        <w:t>)</w:t>
      </w:r>
      <w:r w:rsidR="006864A3">
        <w:rPr>
          <w:rFonts w:cs="Arial"/>
        </w:rPr>
        <w:t xml:space="preserve"> </w:t>
      </w:r>
      <w:r>
        <w:rPr>
          <w:rFonts w:cs="Arial"/>
        </w:rPr>
        <w:t xml:space="preserve">and the </w:t>
      </w:r>
      <w:r w:rsidR="00F911CC">
        <w:rPr>
          <w:rFonts w:cs="Arial"/>
        </w:rPr>
        <w:t>United States (</w:t>
      </w:r>
      <w:r w:rsidRPr="00D317EE">
        <w:rPr>
          <w:rFonts w:cs="Arial"/>
        </w:rPr>
        <w:t>US</w:t>
      </w:r>
      <w:r w:rsidR="00F911CC">
        <w:rPr>
          <w:rFonts w:cs="Arial"/>
        </w:rPr>
        <w:t>)</w:t>
      </w:r>
      <w:r w:rsidR="005714AB">
        <w:rPr>
          <w:rFonts w:cs="Arial"/>
        </w:rPr>
        <w:t xml:space="preserve"> are among a number of</w:t>
      </w:r>
      <w:r>
        <w:rPr>
          <w:rFonts w:cs="Arial"/>
        </w:rPr>
        <w:t xml:space="preserve"> jurisdictions with </w:t>
      </w:r>
      <w:r w:rsidR="0075394A">
        <w:rPr>
          <w:rFonts w:cs="Arial"/>
        </w:rPr>
        <w:t xml:space="preserve">a </w:t>
      </w:r>
      <w:r w:rsidR="00305A23">
        <w:rPr>
          <w:rFonts w:cs="Arial"/>
        </w:rPr>
        <w:t xml:space="preserve">standards </w:t>
      </w:r>
      <w:r w:rsidR="0075394A">
        <w:rPr>
          <w:rFonts w:cs="Arial"/>
        </w:rPr>
        <w:t>focus</w:t>
      </w:r>
      <w:r w:rsidR="00A5299F">
        <w:rPr>
          <w:rFonts w:cs="Arial"/>
        </w:rPr>
        <w:t xml:space="preserve"> on button batteries. T</w:t>
      </w:r>
      <w:r w:rsidR="0075394A">
        <w:rPr>
          <w:rFonts w:cs="Arial"/>
        </w:rPr>
        <w:t>he US requirements</w:t>
      </w:r>
      <w:r w:rsidR="00305A23">
        <w:rPr>
          <w:rFonts w:cs="Arial"/>
        </w:rPr>
        <w:t>,</w:t>
      </w:r>
      <w:r w:rsidR="0075394A">
        <w:rPr>
          <w:rFonts w:cs="Arial"/>
        </w:rPr>
        <w:t xml:space="preserve"> </w:t>
      </w:r>
      <w:r w:rsidR="00305A23">
        <w:rPr>
          <w:rFonts w:cs="Arial"/>
        </w:rPr>
        <w:t>as</w:t>
      </w:r>
      <w:r w:rsidR="0075394A">
        <w:rPr>
          <w:rFonts w:cs="Arial"/>
        </w:rPr>
        <w:t xml:space="preserve"> contained in the </w:t>
      </w:r>
      <w:r w:rsidR="00C860B1">
        <w:rPr>
          <w:rFonts w:cs="Arial"/>
        </w:rPr>
        <w:t xml:space="preserve">US </w:t>
      </w:r>
      <w:r w:rsidR="0075394A">
        <w:rPr>
          <w:rFonts w:cs="Arial"/>
        </w:rPr>
        <w:lastRenderedPageBreak/>
        <w:t xml:space="preserve">standard </w:t>
      </w:r>
      <w:r w:rsidR="00305A23">
        <w:rPr>
          <w:rFonts w:cs="Arial"/>
        </w:rPr>
        <w:t xml:space="preserve">ASTM F963 </w:t>
      </w:r>
      <w:r w:rsidR="0075394A">
        <w:rPr>
          <w:rFonts w:cs="Arial"/>
        </w:rPr>
        <w:t>have been mandated</w:t>
      </w:r>
      <w:r w:rsidR="00305A23">
        <w:rPr>
          <w:rFonts w:cs="Arial"/>
        </w:rPr>
        <w:t xml:space="preserve"> via legislation</w:t>
      </w:r>
      <w:r w:rsidR="0075394A">
        <w:rPr>
          <w:rFonts w:cs="Arial"/>
        </w:rPr>
        <w:t>.</w:t>
      </w:r>
      <w:r w:rsidR="00A92C77">
        <w:rPr>
          <w:rFonts w:cs="Arial"/>
        </w:rPr>
        <w:t xml:space="preserve"> The EU has in place a specific Toy Safety Directive which, as part of a General Product Safety Directive establishes the principal that only safe consumer goods, including toys can be</w:t>
      </w:r>
      <w:r w:rsidR="005603E4">
        <w:rPr>
          <w:rFonts w:cs="Arial"/>
        </w:rPr>
        <w:t xml:space="preserve"> supplied in EU member nations.</w:t>
      </w:r>
    </w:p>
    <w:p w14:paraId="5CE77CB6" w14:textId="1174D7D3" w:rsidR="00CA6C5D" w:rsidRPr="00282D20" w:rsidRDefault="00305A23" w:rsidP="00B1766E">
      <w:pPr>
        <w:spacing w:after="120"/>
      </w:pPr>
      <w:r>
        <w:t>As part of its review t</w:t>
      </w:r>
      <w:r w:rsidR="00CA6C5D">
        <w:t>he ACCC has</w:t>
      </w:r>
      <w:r w:rsidR="006D0897">
        <w:t xml:space="preserve"> undertaken a detailed</w:t>
      </w:r>
      <w:r w:rsidR="00CA6C5D">
        <w:t xml:space="preserve"> assess</w:t>
      </w:r>
      <w:r w:rsidR="006D0897">
        <w:t>ment</w:t>
      </w:r>
      <w:r w:rsidR="00CA6C5D">
        <w:t xml:space="preserve"> </w:t>
      </w:r>
      <w:r w:rsidR="0043796D">
        <w:t xml:space="preserve">of </w:t>
      </w:r>
      <w:r w:rsidR="00CA6C5D">
        <w:t xml:space="preserve">the </w:t>
      </w:r>
      <w:r>
        <w:t>following</w:t>
      </w:r>
      <w:r w:rsidR="00CA6C5D">
        <w:t xml:space="preserve"> standards</w:t>
      </w:r>
      <w:r>
        <w:rPr>
          <w:sz w:val="18"/>
          <w:szCs w:val="18"/>
          <w:vertAlign w:val="superscript"/>
        </w:rPr>
        <w:t>:</w:t>
      </w:r>
    </w:p>
    <w:p w14:paraId="13A61BE3" w14:textId="30C64513" w:rsidR="00F63432" w:rsidRDefault="00305A23" w:rsidP="00E10134">
      <w:pPr>
        <w:pStyle w:val="ListParagraph"/>
        <w:numPr>
          <w:ilvl w:val="0"/>
          <w:numId w:val="27"/>
        </w:numPr>
        <w:spacing w:before="0" w:after="120"/>
        <w:rPr>
          <w:rFonts w:cs="Arial"/>
        </w:rPr>
      </w:pPr>
      <w:r>
        <w:rPr>
          <w:rFonts w:cs="Arial"/>
        </w:rPr>
        <w:t>IS EN 71-1: 2014 (+A1:2018)- Safety of toys – Part 1: Mechanical and physical properties</w:t>
      </w:r>
      <w:r w:rsidR="00280B43">
        <w:rPr>
          <w:rFonts w:cs="Arial"/>
        </w:rPr>
        <w:t xml:space="preserve"> (the </w:t>
      </w:r>
      <w:r w:rsidR="00280B43" w:rsidRPr="00280B43">
        <w:rPr>
          <w:rFonts w:cs="Arial"/>
          <w:b/>
        </w:rPr>
        <w:t xml:space="preserve">European </w:t>
      </w:r>
      <w:r w:rsidR="00DD5A8E">
        <w:rPr>
          <w:rFonts w:cs="Arial"/>
          <w:b/>
        </w:rPr>
        <w:t xml:space="preserve">toy </w:t>
      </w:r>
      <w:r w:rsidR="00280B43" w:rsidRPr="00280B43">
        <w:rPr>
          <w:rFonts w:cs="Arial"/>
          <w:b/>
        </w:rPr>
        <w:t>standard</w:t>
      </w:r>
      <w:r w:rsidR="00280B43">
        <w:rPr>
          <w:rFonts w:cs="Arial"/>
        </w:rPr>
        <w:t>)</w:t>
      </w:r>
    </w:p>
    <w:p w14:paraId="43F8B27A" w14:textId="1C6FFC0B" w:rsidR="0043796D" w:rsidRPr="00305A23" w:rsidRDefault="00305A23" w:rsidP="00E10134">
      <w:pPr>
        <w:pStyle w:val="ListParagraph"/>
        <w:numPr>
          <w:ilvl w:val="0"/>
          <w:numId w:val="27"/>
        </w:numPr>
        <w:spacing w:before="0" w:after="120"/>
      </w:pPr>
      <w:r>
        <w:rPr>
          <w:rFonts w:cs="Arial"/>
        </w:rPr>
        <w:t>ASTM F963-17 Standard Consumer Safety Specification for Toy Safety</w:t>
      </w:r>
      <w:r w:rsidR="00CA30F2">
        <w:rPr>
          <w:rFonts w:cs="Arial"/>
        </w:rPr>
        <w:t xml:space="preserve"> (brought into effect by US Code of Federal Regulations Part 1250)</w:t>
      </w:r>
      <w:r w:rsidR="00280B43">
        <w:rPr>
          <w:rFonts w:cs="Arial"/>
        </w:rPr>
        <w:t xml:space="preserve"> (the </w:t>
      </w:r>
      <w:r w:rsidR="00280B43" w:rsidRPr="00280B43">
        <w:rPr>
          <w:rFonts w:cs="Arial"/>
          <w:b/>
        </w:rPr>
        <w:t xml:space="preserve">US </w:t>
      </w:r>
      <w:r w:rsidR="00DD5A8E">
        <w:rPr>
          <w:rFonts w:cs="Arial"/>
          <w:b/>
        </w:rPr>
        <w:t xml:space="preserve">toy </w:t>
      </w:r>
      <w:r w:rsidR="00280B43" w:rsidRPr="00280B43">
        <w:rPr>
          <w:rFonts w:cs="Arial"/>
          <w:b/>
        </w:rPr>
        <w:t>standard</w:t>
      </w:r>
      <w:r w:rsidR="00280B43">
        <w:rPr>
          <w:rFonts w:cs="Arial"/>
        </w:rPr>
        <w:t>)</w:t>
      </w:r>
    </w:p>
    <w:p w14:paraId="6B27CD20" w14:textId="4BFD7653" w:rsidR="006864A3" w:rsidRPr="00280B43" w:rsidRDefault="00305A23" w:rsidP="00E10134">
      <w:pPr>
        <w:pStyle w:val="ListParagraph"/>
        <w:numPr>
          <w:ilvl w:val="0"/>
          <w:numId w:val="27"/>
        </w:numPr>
        <w:spacing w:before="0" w:after="120"/>
      </w:pPr>
      <w:r>
        <w:rPr>
          <w:rFonts w:cs="Arial"/>
        </w:rPr>
        <w:t xml:space="preserve">ISO 8124-1 2018 </w:t>
      </w:r>
      <w:r w:rsidR="00CA30F2">
        <w:rPr>
          <w:rFonts w:cs="Arial"/>
        </w:rPr>
        <w:t>Safety of toys Part 1: S</w:t>
      </w:r>
      <w:r>
        <w:rPr>
          <w:rFonts w:cs="Arial"/>
        </w:rPr>
        <w:t>afety aspects related to mechanical and physical properties</w:t>
      </w:r>
      <w:r w:rsidR="00280B43">
        <w:rPr>
          <w:rFonts w:cs="Arial"/>
        </w:rPr>
        <w:t xml:space="preserve"> (the</w:t>
      </w:r>
      <w:r w:rsidR="00E222CB">
        <w:rPr>
          <w:rFonts w:cs="Arial"/>
        </w:rPr>
        <w:t xml:space="preserve"> </w:t>
      </w:r>
      <w:r w:rsidR="00280B43" w:rsidRPr="00280B43">
        <w:rPr>
          <w:rFonts w:cs="Arial"/>
          <w:b/>
        </w:rPr>
        <w:t xml:space="preserve">International </w:t>
      </w:r>
      <w:r w:rsidR="00DD5A8E">
        <w:rPr>
          <w:rFonts w:cs="Arial"/>
          <w:b/>
        </w:rPr>
        <w:t xml:space="preserve">toy </w:t>
      </w:r>
      <w:r w:rsidR="00280B43" w:rsidRPr="00280B43">
        <w:rPr>
          <w:rFonts w:cs="Arial"/>
          <w:b/>
        </w:rPr>
        <w:t>standard</w:t>
      </w:r>
      <w:r w:rsidR="00280B43">
        <w:rPr>
          <w:rFonts w:cs="Arial"/>
        </w:rPr>
        <w:t>)</w:t>
      </w:r>
    </w:p>
    <w:p w14:paraId="2A408DCF" w14:textId="4C312F81" w:rsidR="00280B43" w:rsidRPr="00305A23" w:rsidRDefault="00280B43" w:rsidP="00E10134">
      <w:pPr>
        <w:pStyle w:val="ListParagraph"/>
        <w:numPr>
          <w:ilvl w:val="0"/>
          <w:numId w:val="27"/>
        </w:numPr>
        <w:spacing w:before="0" w:after="120"/>
      </w:pPr>
      <w:r>
        <w:t>AS/NZS ISO 8124.1:2019</w:t>
      </w:r>
      <w:r w:rsidR="00A32706">
        <w:t xml:space="preserve"> </w:t>
      </w:r>
      <w:r>
        <w:t xml:space="preserve">(the </w:t>
      </w:r>
      <w:r w:rsidRPr="00280B43">
        <w:rPr>
          <w:b/>
        </w:rPr>
        <w:t xml:space="preserve">voluntary Australian </w:t>
      </w:r>
      <w:r w:rsidR="00DD5A8E">
        <w:rPr>
          <w:b/>
        </w:rPr>
        <w:t xml:space="preserve">toy </w:t>
      </w:r>
      <w:r w:rsidRPr="00280B43">
        <w:rPr>
          <w:b/>
        </w:rPr>
        <w:t>standard</w:t>
      </w:r>
      <w:r>
        <w:t>)</w:t>
      </w:r>
    </w:p>
    <w:p w14:paraId="39716602" w14:textId="5AD59474" w:rsidR="00305A23" w:rsidRDefault="00305A23" w:rsidP="00E10134">
      <w:pPr>
        <w:pStyle w:val="ListParagraph"/>
        <w:numPr>
          <w:ilvl w:val="0"/>
          <w:numId w:val="27"/>
        </w:numPr>
        <w:spacing w:before="0" w:after="120"/>
      </w:pPr>
      <w:r>
        <w:rPr>
          <w:rFonts w:cs="Arial"/>
        </w:rPr>
        <w:t>AS/NZS 62115: 2018 (IEC 62115) Electric toys-Safety</w:t>
      </w:r>
      <w:r w:rsidR="00280B43">
        <w:rPr>
          <w:rFonts w:cs="Arial"/>
        </w:rPr>
        <w:t xml:space="preserve"> (the</w:t>
      </w:r>
      <w:r w:rsidR="00E222CB">
        <w:rPr>
          <w:rFonts w:cs="Arial"/>
        </w:rPr>
        <w:t xml:space="preserve"> </w:t>
      </w:r>
      <w:r w:rsidR="00BE7DD3">
        <w:rPr>
          <w:rFonts w:cs="Arial"/>
          <w:b/>
        </w:rPr>
        <w:t>v</w:t>
      </w:r>
      <w:r w:rsidR="00C9544E">
        <w:rPr>
          <w:rFonts w:cs="Arial"/>
          <w:b/>
        </w:rPr>
        <w:t>oluntary Australian e</w:t>
      </w:r>
      <w:r w:rsidR="00280B43" w:rsidRPr="00280B43">
        <w:rPr>
          <w:rFonts w:cs="Arial"/>
          <w:b/>
        </w:rPr>
        <w:t>lectric toy standard</w:t>
      </w:r>
      <w:r w:rsidR="00280B43">
        <w:rPr>
          <w:rFonts w:cs="Arial"/>
        </w:rPr>
        <w:t>)</w:t>
      </w:r>
    </w:p>
    <w:p w14:paraId="5054DB99" w14:textId="700EF8FB" w:rsidR="00772DCB" w:rsidRPr="00381464" w:rsidRDefault="00F27579" w:rsidP="00462D6C">
      <w:pPr>
        <w:pStyle w:val="Heading2"/>
        <w:keepNext/>
        <w:rPr>
          <w:rFonts w:eastAsia="Times New Roman" w:cs="Times New Roman"/>
          <w:color w:val="51626F"/>
        </w:rPr>
      </w:pPr>
      <w:r w:rsidRPr="00381464">
        <w:rPr>
          <w:rFonts w:eastAsia="Times New Roman" w:cs="Times New Roman"/>
          <w:color w:val="51626F"/>
        </w:rPr>
        <w:t xml:space="preserve">Treatment of button battery safety in </w:t>
      </w:r>
      <w:r w:rsidR="00D317EE" w:rsidRPr="00381464">
        <w:rPr>
          <w:rFonts w:eastAsia="Times New Roman" w:cs="Times New Roman"/>
          <w:color w:val="51626F"/>
        </w:rPr>
        <w:t xml:space="preserve">toy </w:t>
      </w:r>
      <w:r w:rsidRPr="00381464">
        <w:rPr>
          <w:rFonts w:eastAsia="Times New Roman" w:cs="Times New Roman"/>
          <w:color w:val="51626F"/>
        </w:rPr>
        <w:t>s</w:t>
      </w:r>
      <w:r w:rsidR="00772DCB" w:rsidRPr="00381464">
        <w:rPr>
          <w:rFonts w:eastAsia="Times New Roman" w:cs="Times New Roman"/>
          <w:color w:val="51626F"/>
        </w:rPr>
        <w:t>tandards</w:t>
      </w:r>
    </w:p>
    <w:p w14:paraId="13F2B57E" w14:textId="2F8B0057" w:rsidR="00772DCB" w:rsidRDefault="003744E1" w:rsidP="00772DCB">
      <w:r>
        <w:t>The</w:t>
      </w:r>
      <w:r w:rsidR="00E222CB">
        <w:t xml:space="preserve"> </w:t>
      </w:r>
      <w:r w:rsidRPr="004C7AF1">
        <w:rPr>
          <w:b/>
        </w:rPr>
        <w:t>I</w:t>
      </w:r>
      <w:r w:rsidR="00772DCB" w:rsidRPr="004C7AF1">
        <w:rPr>
          <w:b/>
        </w:rPr>
        <w:t xml:space="preserve">nternational </w:t>
      </w:r>
      <w:r w:rsidR="00DD5A8E">
        <w:rPr>
          <w:b/>
        </w:rPr>
        <w:t xml:space="preserve">toy </w:t>
      </w:r>
      <w:r w:rsidR="00772DCB" w:rsidRPr="004C7AF1">
        <w:rPr>
          <w:b/>
        </w:rPr>
        <w:t>standard</w:t>
      </w:r>
      <w:r w:rsidR="00772DCB">
        <w:t xml:space="preserve"> for </w:t>
      </w:r>
      <w:r w:rsidR="008A2BDD">
        <w:t>the s</w:t>
      </w:r>
      <w:r w:rsidR="00772DCB">
        <w:t xml:space="preserve">afety of toys, is the basis for similar </w:t>
      </w:r>
      <w:r w:rsidR="00CE1BA2">
        <w:t xml:space="preserve">voluntary </w:t>
      </w:r>
      <w:r w:rsidR="00772DCB">
        <w:t xml:space="preserve">toy standards </w:t>
      </w:r>
      <w:r w:rsidR="00F0447D">
        <w:t>across</w:t>
      </w:r>
      <w:r w:rsidR="00772DCB">
        <w:t xml:space="preserve"> Europe and Australia</w:t>
      </w:r>
      <w:r w:rsidR="00F41A46">
        <w:t>,</w:t>
      </w:r>
      <w:r w:rsidR="00772DCB">
        <w:t xml:space="preserve"> as these </w:t>
      </w:r>
      <w:r w:rsidR="004C7AF1">
        <w:t xml:space="preserve">jurisdictions have adopted the </w:t>
      </w:r>
      <w:r w:rsidR="00DD5A8E">
        <w:t>same requirements</w:t>
      </w:r>
      <w:r w:rsidR="00772DCB">
        <w:t>.</w:t>
      </w:r>
      <w:r w:rsidR="00F0447D">
        <w:t xml:space="preserve"> </w:t>
      </w:r>
      <w:r w:rsidR="009C695E">
        <w:t xml:space="preserve">The </w:t>
      </w:r>
      <w:r w:rsidR="00BE7DD3">
        <w:rPr>
          <w:b/>
        </w:rPr>
        <w:t>v</w:t>
      </w:r>
      <w:r w:rsidR="00B80651" w:rsidRPr="00B80651">
        <w:rPr>
          <w:b/>
        </w:rPr>
        <w:t xml:space="preserve">oluntary </w:t>
      </w:r>
      <w:r w:rsidR="009C695E" w:rsidRPr="00B80651">
        <w:rPr>
          <w:b/>
        </w:rPr>
        <w:t xml:space="preserve">Australian </w:t>
      </w:r>
      <w:r w:rsidR="00DD5A8E">
        <w:rPr>
          <w:b/>
        </w:rPr>
        <w:t xml:space="preserve">toy </w:t>
      </w:r>
      <w:r w:rsidR="009C695E" w:rsidRPr="00B80651">
        <w:rPr>
          <w:b/>
        </w:rPr>
        <w:t>standard</w:t>
      </w:r>
      <w:r w:rsidR="009C695E">
        <w:t xml:space="preserve"> mirrors the </w:t>
      </w:r>
      <w:r w:rsidR="009C695E" w:rsidRPr="00B80651">
        <w:rPr>
          <w:b/>
        </w:rPr>
        <w:t xml:space="preserve">International </w:t>
      </w:r>
      <w:r w:rsidR="00DD5A8E">
        <w:rPr>
          <w:b/>
        </w:rPr>
        <w:t xml:space="preserve">toy </w:t>
      </w:r>
      <w:r w:rsidR="009C695E" w:rsidRPr="00B80651">
        <w:rPr>
          <w:b/>
        </w:rPr>
        <w:t>standard</w:t>
      </w:r>
      <w:r w:rsidR="00F0447D">
        <w:rPr>
          <w:b/>
        </w:rPr>
        <w:t>.</w:t>
      </w:r>
      <w:r w:rsidR="00F0447D">
        <w:t xml:space="preserve"> The </w:t>
      </w:r>
      <w:r w:rsidR="009C695E" w:rsidRPr="00DD5A8E">
        <w:rPr>
          <w:b/>
        </w:rPr>
        <w:t xml:space="preserve">European </w:t>
      </w:r>
      <w:r w:rsidR="00DD5A8E">
        <w:rPr>
          <w:b/>
        </w:rPr>
        <w:t xml:space="preserve">toy </w:t>
      </w:r>
      <w:r w:rsidR="009C695E" w:rsidRPr="00DD5A8E">
        <w:rPr>
          <w:b/>
        </w:rPr>
        <w:t>standard</w:t>
      </w:r>
      <w:r w:rsidR="009C695E">
        <w:t xml:space="preserve"> is substantially the sa</w:t>
      </w:r>
      <w:r w:rsidR="00F27579">
        <w:t xml:space="preserve">me as the </w:t>
      </w:r>
      <w:r w:rsidR="00F27579" w:rsidRPr="00DD5A8E">
        <w:rPr>
          <w:b/>
        </w:rPr>
        <w:t>International</w:t>
      </w:r>
      <w:r w:rsidR="00F0447D" w:rsidRPr="00DD5A8E">
        <w:rPr>
          <w:b/>
        </w:rPr>
        <w:t xml:space="preserve"> </w:t>
      </w:r>
      <w:r w:rsidR="00DD5A8E">
        <w:rPr>
          <w:b/>
        </w:rPr>
        <w:t xml:space="preserve">toy </w:t>
      </w:r>
      <w:r w:rsidR="00F0447D" w:rsidRPr="00DD5A8E">
        <w:rPr>
          <w:b/>
        </w:rPr>
        <w:t>standard</w:t>
      </w:r>
      <w:r w:rsidR="00F27579">
        <w:t xml:space="preserve">. The </w:t>
      </w:r>
      <w:r w:rsidR="00F27579" w:rsidRPr="00DD5A8E">
        <w:rPr>
          <w:b/>
        </w:rPr>
        <w:t xml:space="preserve">US </w:t>
      </w:r>
      <w:r w:rsidR="00DD5A8E" w:rsidRPr="00DD5A8E">
        <w:rPr>
          <w:b/>
        </w:rPr>
        <w:t xml:space="preserve">toy </w:t>
      </w:r>
      <w:r w:rsidR="00F27579" w:rsidRPr="00DD5A8E">
        <w:rPr>
          <w:b/>
        </w:rPr>
        <w:t>standard</w:t>
      </w:r>
      <w:r w:rsidR="00F27579">
        <w:t xml:space="preserve"> also has similar requirements</w:t>
      </w:r>
      <w:r w:rsidR="00DD5A8E">
        <w:t>. A</w:t>
      </w:r>
      <w:r w:rsidR="00D317EE">
        <w:t>ll these toy</w:t>
      </w:r>
      <w:r w:rsidR="00F27579">
        <w:t xml:space="preserve"> standards fundamentally address </w:t>
      </w:r>
      <w:r w:rsidR="00DD5A8E">
        <w:t>common</w:t>
      </w:r>
      <w:r w:rsidR="00F27579">
        <w:t xml:space="preserve"> products and safety issues.</w:t>
      </w:r>
    </w:p>
    <w:p w14:paraId="2BE2DBBF" w14:textId="131BB781" w:rsidR="00F27579" w:rsidRDefault="00F27579" w:rsidP="00772DCB">
      <w:r>
        <w:t xml:space="preserve">The International, Australian and European </w:t>
      </w:r>
      <w:r w:rsidR="00DD5A8E">
        <w:t xml:space="preserve">toy </w:t>
      </w:r>
      <w:r>
        <w:t xml:space="preserve">standards all make direct reference to the safety of electric toys being described in the </w:t>
      </w:r>
      <w:r w:rsidR="00BE7DD3">
        <w:rPr>
          <w:b/>
        </w:rPr>
        <w:t>v</w:t>
      </w:r>
      <w:r w:rsidR="00C9544E">
        <w:rPr>
          <w:b/>
        </w:rPr>
        <w:t>oluntary Australian e</w:t>
      </w:r>
      <w:r w:rsidRPr="000B4419">
        <w:rPr>
          <w:b/>
        </w:rPr>
        <w:t>lectric toy standard</w:t>
      </w:r>
      <w:r>
        <w:t xml:space="preserve"> and </w:t>
      </w:r>
      <w:r w:rsidR="00F0447D">
        <w:t>reference</w:t>
      </w:r>
      <w:r>
        <w:t xml:space="preserve"> this</w:t>
      </w:r>
      <w:r w:rsidR="00C860B1">
        <w:t xml:space="preserve"> standard</w:t>
      </w:r>
      <w:r>
        <w:t xml:space="preserve">. The </w:t>
      </w:r>
      <w:r w:rsidRPr="000B4419">
        <w:rPr>
          <w:b/>
        </w:rPr>
        <w:t xml:space="preserve">US </w:t>
      </w:r>
      <w:r w:rsidR="00DD5A8E">
        <w:rPr>
          <w:b/>
        </w:rPr>
        <w:t xml:space="preserve">toy </w:t>
      </w:r>
      <w:r w:rsidRPr="000B4419">
        <w:rPr>
          <w:b/>
        </w:rPr>
        <w:t>standard</w:t>
      </w:r>
      <w:r>
        <w:t xml:space="preserve"> </w:t>
      </w:r>
      <w:r w:rsidR="00DD5A8E">
        <w:t xml:space="preserve">however </w:t>
      </w:r>
      <w:r w:rsidR="00C43214">
        <w:t>contains its own</w:t>
      </w:r>
      <w:r>
        <w:t xml:space="preserve"> requirements for electric toy safety</w:t>
      </w:r>
      <w:r w:rsidR="00C43214">
        <w:t>.</w:t>
      </w:r>
    </w:p>
    <w:p w14:paraId="7E74435C" w14:textId="5C98A19C" w:rsidR="005862E5" w:rsidRDefault="008A2BDD" w:rsidP="003667C7">
      <w:pPr>
        <w:rPr>
          <w:rFonts w:cs="Arial"/>
        </w:rPr>
      </w:pPr>
      <w:r>
        <w:t xml:space="preserve">The </w:t>
      </w:r>
      <w:r w:rsidR="00BE7DD3">
        <w:rPr>
          <w:b/>
        </w:rPr>
        <w:t>v</w:t>
      </w:r>
      <w:r w:rsidR="00C9544E">
        <w:rPr>
          <w:b/>
        </w:rPr>
        <w:t>oluntary Australian e</w:t>
      </w:r>
      <w:r w:rsidRPr="00C860B1">
        <w:rPr>
          <w:b/>
        </w:rPr>
        <w:t>lectric toy standard</w:t>
      </w:r>
      <w:r w:rsidR="00F27579">
        <w:t xml:space="preserve"> </w:t>
      </w:r>
      <w:r w:rsidR="005862E5">
        <w:t xml:space="preserve">provides requirements </w:t>
      </w:r>
      <w:r w:rsidR="00BE71C4">
        <w:t>for warnings on toys for children under 36 months of age – on the packaging and with the instructions</w:t>
      </w:r>
      <w:r w:rsidR="00873CC3">
        <w:t xml:space="preserve"> </w:t>
      </w:r>
      <w:r w:rsidR="003744E1">
        <w:t xml:space="preserve">– </w:t>
      </w:r>
      <w:r w:rsidR="00BE71C4">
        <w:t>and for the security of the battery compartment.</w:t>
      </w:r>
    </w:p>
    <w:p w14:paraId="59276BA6" w14:textId="6ED6418C" w:rsidR="006864A3" w:rsidRDefault="00BE71C4" w:rsidP="0087492B">
      <w:r>
        <w:t xml:space="preserve">The </w:t>
      </w:r>
      <w:r w:rsidR="008A2BDD" w:rsidRPr="00C860B1">
        <w:rPr>
          <w:b/>
        </w:rPr>
        <w:t xml:space="preserve">US </w:t>
      </w:r>
      <w:r w:rsidR="00DD5A8E">
        <w:rPr>
          <w:b/>
        </w:rPr>
        <w:t xml:space="preserve">toy </w:t>
      </w:r>
      <w:r w:rsidRPr="00C860B1">
        <w:rPr>
          <w:b/>
        </w:rPr>
        <w:t>standard</w:t>
      </w:r>
      <w:r>
        <w:t xml:space="preserve"> </w:t>
      </w:r>
      <w:r w:rsidR="00B80651">
        <w:t>(</w:t>
      </w:r>
      <w:r w:rsidR="00BA03CC">
        <w:t>mandated by</w:t>
      </w:r>
      <w:r w:rsidR="008A2BDD">
        <w:t xml:space="preserve"> US legislation:</w:t>
      </w:r>
      <w:r w:rsidR="00BA03CC">
        <w:t xml:space="preserve"> CFR Part</w:t>
      </w:r>
      <w:r>
        <w:t xml:space="preserve"> 1250) incorporates requirements for the battery compartment of toys for children less than 3 years old and for warnings on packaging and with instructions.</w:t>
      </w:r>
    </w:p>
    <w:p w14:paraId="64E98ACD" w14:textId="14518374" w:rsidR="0072786C" w:rsidRPr="00381464" w:rsidRDefault="0072786C" w:rsidP="0072786C">
      <w:pPr>
        <w:pStyle w:val="Numbered1"/>
        <w:keepNext/>
        <w:numPr>
          <w:ilvl w:val="0"/>
          <w:numId w:val="12"/>
        </w:numPr>
        <w:rPr>
          <w:rFonts w:ascii="Lucida Fax" w:hAnsi="Lucida Fax"/>
          <w:color w:val="51626F"/>
        </w:rPr>
      </w:pPr>
      <w:bookmarkStart w:id="21" w:name="_Toc15468230"/>
      <w:r w:rsidRPr="00381464">
        <w:rPr>
          <w:rFonts w:ascii="Lucida Fax" w:hAnsi="Lucida Fax"/>
          <w:color w:val="51626F"/>
        </w:rPr>
        <w:t>Issues/Discussion</w:t>
      </w:r>
      <w:bookmarkEnd w:id="21"/>
    </w:p>
    <w:p w14:paraId="6E7ED32E" w14:textId="7CC5969C" w:rsidR="0072786C" w:rsidRDefault="004E3EE2" w:rsidP="0072786C">
      <w:r w:rsidRPr="00051E9B">
        <w:t xml:space="preserve">During </w:t>
      </w:r>
      <w:r w:rsidR="0072786C" w:rsidRPr="00051E9B">
        <w:t xml:space="preserve">the previous consultation </w:t>
      </w:r>
      <w:r w:rsidR="00873CC3">
        <w:t xml:space="preserve">in 2017 </w:t>
      </w:r>
      <w:r w:rsidR="0072786C" w:rsidRPr="00051E9B">
        <w:t xml:space="preserve">we </w:t>
      </w:r>
      <w:r w:rsidR="00CA5D77">
        <w:t>noted</w:t>
      </w:r>
      <w:r w:rsidR="00731133" w:rsidRPr="00051E9B">
        <w:t xml:space="preserve"> </w:t>
      </w:r>
      <w:r w:rsidR="00CA5D77">
        <w:t xml:space="preserve">it was likely that </w:t>
      </w:r>
      <w:r w:rsidR="00F342F0">
        <w:t xml:space="preserve">the voluntary Australian and international </w:t>
      </w:r>
      <w:r w:rsidR="00DD5A8E" w:rsidRPr="00DD5A8E">
        <w:t xml:space="preserve">toy </w:t>
      </w:r>
      <w:r w:rsidR="00CA5D77" w:rsidRPr="00DD5A8E">
        <w:t>standard</w:t>
      </w:r>
      <w:r w:rsidR="00F41A46">
        <w:t>s</w:t>
      </w:r>
      <w:r w:rsidR="00CA5D77" w:rsidRPr="00DD5A8E">
        <w:rPr>
          <w:b/>
        </w:rPr>
        <w:t xml:space="preserve"> </w:t>
      </w:r>
      <w:r w:rsidR="00CA5D77">
        <w:t xml:space="preserve">would incorporate warning requirements for button batteries in future </w:t>
      </w:r>
      <w:r w:rsidR="00F342F0">
        <w:t>revisions</w:t>
      </w:r>
      <w:r w:rsidR="00CA5D77">
        <w:t>. This work has been completed and these war</w:t>
      </w:r>
      <w:r w:rsidR="00F41A46">
        <w:t>nings have been incorporated in</w:t>
      </w:r>
      <w:r w:rsidR="00CA5D77">
        <w:t xml:space="preserve"> </w:t>
      </w:r>
      <w:r w:rsidR="00F342F0">
        <w:t xml:space="preserve">international </w:t>
      </w:r>
      <w:r w:rsidR="00DD5A8E">
        <w:t xml:space="preserve">toy </w:t>
      </w:r>
      <w:r w:rsidR="00CA5D77">
        <w:t>standard</w:t>
      </w:r>
      <w:r w:rsidR="00F41A46">
        <w:t>s</w:t>
      </w:r>
      <w:r w:rsidR="00CA5D77">
        <w:t xml:space="preserve"> and mirrored in a</w:t>
      </w:r>
      <w:r w:rsidR="00731133" w:rsidRPr="00051E9B">
        <w:t xml:space="preserve"> </w:t>
      </w:r>
      <w:r w:rsidR="003365A2" w:rsidRPr="00051E9B">
        <w:t>revise</w:t>
      </w:r>
      <w:r w:rsidR="003365A2">
        <w:t>d</w:t>
      </w:r>
      <w:r w:rsidR="003365A2" w:rsidRPr="00051E9B">
        <w:t xml:space="preserve"> </w:t>
      </w:r>
      <w:r w:rsidR="00BE7DD3">
        <w:rPr>
          <w:b/>
        </w:rPr>
        <w:t>v</w:t>
      </w:r>
      <w:r w:rsidR="00C9544E" w:rsidRPr="00C9544E">
        <w:rPr>
          <w:b/>
        </w:rPr>
        <w:t>oluntary Australian</w:t>
      </w:r>
      <w:r w:rsidR="00C9544E">
        <w:t xml:space="preserve"> </w:t>
      </w:r>
      <w:r w:rsidR="00C9544E" w:rsidRPr="00C9544E">
        <w:rPr>
          <w:b/>
        </w:rPr>
        <w:t>e</w:t>
      </w:r>
      <w:r w:rsidR="003365A2" w:rsidRPr="00107638">
        <w:rPr>
          <w:b/>
        </w:rPr>
        <w:t>lectric</w:t>
      </w:r>
      <w:r w:rsidR="008A2BDD" w:rsidRPr="00C860B1">
        <w:rPr>
          <w:b/>
        </w:rPr>
        <w:t xml:space="preserve"> toy standard</w:t>
      </w:r>
      <w:r w:rsidR="00731133" w:rsidRPr="00051E9B">
        <w:t xml:space="preserve"> (now published as AS/NZS 62115:2018 </w:t>
      </w:r>
      <w:r w:rsidR="00051E9B" w:rsidRPr="00051E9B">
        <w:t>(IEC 62115)</w:t>
      </w:r>
      <w:r w:rsidR="00873CC3">
        <w:t>)</w:t>
      </w:r>
      <w:r w:rsidR="00051E9B" w:rsidRPr="00051E9B">
        <w:t xml:space="preserve">. The following is a comparative assessment of this standard and the latest version of the relevant </w:t>
      </w:r>
      <w:r w:rsidR="008A2BDD" w:rsidRPr="00F41A46">
        <w:rPr>
          <w:b/>
        </w:rPr>
        <w:t xml:space="preserve">US </w:t>
      </w:r>
      <w:r w:rsidR="00F41A46">
        <w:rPr>
          <w:b/>
        </w:rPr>
        <w:t xml:space="preserve">toy </w:t>
      </w:r>
      <w:r w:rsidR="00051E9B" w:rsidRPr="00F41A46">
        <w:rPr>
          <w:b/>
        </w:rPr>
        <w:t>standard</w:t>
      </w:r>
      <w:r w:rsidR="00D9005A">
        <w:t xml:space="preserve"> with respect to warnings and battery security</w:t>
      </w:r>
      <w:r w:rsidR="00051E9B" w:rsidRPr="00051E9B">
        <w:t>.</w:t>
      </w:r>
    </w:p>
    <w:p w14:paraId="1DEEEAF2" w14:textId="77777777" w:rsidR="006233E4" w:rsidRDefault="006233E4" w:rsidP="001D085A">
      <w:pPr>
        <w:pStyle w:val="Heading2"/>
        <w:keepNext/>
        <w:tabs>
          <w:tab w:val="left" w:pos="4202"/>
          <w:tab w:val="center" w:pos="4513"/>
        </w:tabs>
        <w:rPr>
          <w:rFonts w:eastAsia="Times New Roman" w:cs="Times New Roman"/>
          <w:color w:val="51626F"/>
        </w:rPr>
      </w:pPr>
    </w:p>
    <w:p w14:paraId="2CA6F52C" w14:textId="1E8636BE" w:rsidR="004E3EE2" w:rsidRPr="00381464" w:rsidRDefault="00462D6C" w:rsidP="001D085A">
      <w:pPr>
        <w:pStyle w:val="Heading2"/>
        <w:keepNext/>
        <w:tabs>
          <w:tab w:val="left" w:pos="4202"/>
          <w:tab w:val="center" w:pos="4513"/>
        </w:tabs>
        <w:rPr>
          <w:rFonts w:eastAsia="Times New Roman" w:cs="Times New Roman"/>
          <w:color w:val="51626F"/>
        </w:rPr>
      </w:pPr>
      <w:r w:rsidRPr="00381464">
        <w:rPr>
          <w:rFonts w:eastAsia="Times New Roman" w:cs="Times New Roman"/>
          <w:color w:val="51626F"/>
        </w:rPr>
        <w:t>Warnings</w:t>
      </w:r>
    </w:p>
    <w:p w14:paraId="3C7C4A5A" w14:textId="088C050C" w:rsidR="00C569D0" w:rsidRPr="00BF63A4" w:rsidRDefault="00C9544E" w:rsidP="00BF63A4">
      <w:pPr>
        <w:pStyle w:val="Heading3"/>
      </w:pPr>
      <w:r>
        <w:t>Voluntary Australian e</w:t>
      </w:r>
      <w:r w:rsidR="00C569D0">
        <w:t>lectric toy standard</w:t>
      </w:r>
    </w:p>
    <w:p w14:paraId="22A61AF7" w14:textId="37F02F9F" w:rsidR="004E3EE2" w:rsidRDefault="001063CD" w:rsidP="004E3EE2">
      <w:r>
        <w:rPr>
          <w:bCs/>
        </w:rPr>
        <w:t>T</w:t>
      </w:r>
      <w:r w:rsidR="007C0E3A">
        <w:rPr>
          <w:bCs/>
        </w:rPr>
        <w:t xml:space="preserve">he </w:t>
      </w:r>
      <w:r w:rsidR="00BE7DD3">
        <w:rPr>
          <w:b/>
          <w:bCs/>
        </w:rPr>
        <w:t>v</w:t>
      </w:r>
      <w:r w:rsidR="00C9544E">
        <w:rPr>
          <w:b/>
          <w:bCs/>
        </w:rPr>
        <w:t>oluntary Australian e</w:t>
      </w:r>
      <w:r w:rsidR="007C0E3A">
        <w:rPr>
          <w:b/>
          <w:bCs/>
        </w:rPr>
        <w:t>lectric toy standard</w:t>
      </w:r>
      <w:r w:rsidR="007C0E3A">
        <w:rPr>
          <w:bCs/>
        </w:rPr>
        <w:t xml:space="preserve"> defines a coin battery as a product with an electrochemical system that contains lithium</w:t>
      </w:r>
      <w:r w:rsidR="00F342F0">
        <w:rPr>
          <w:bCs/>
        </w:rPr>
        <w:t>,</w:t>
      </w:r>
      <w:r w:rsidR="007C0E3A">
        <w:rPr>
          <w:bCs/>
        </w:rPr>
        <w:t xml:space="preserve"> whereas a button battery is one that does not contain lithium. It</w:t>
      </w:r>
      <w:r w:rsidR="00F950DC">
        <w:rPr>
          <w:bCs/>
        </w:rPr>
        <w:t xml:space="preserve"> </w:t>
      </w:r>
      <w:r w:rsidR="007C0E3A">
        <w:rPr>
          <w:bCs/>
        </w:rPr>
        <w:t xml:space="preserve">distinguishes between the hazards arising from these products and includes </w:t>
      </w:r>
      <w:r w:rsidR="00B1593B">
        <w:rPr>
          <w:bCs/>
        </w:rPr>
        <w:t>separate</w:t>
      </w:r>
      <w:r w:rsidR="00F950DC">
        <w:rPr>
          <w:bCs/>
        </w:rPr>
        <w:t xml:space="preserve"> warning requirements for button batteries and coin batteries. </w:t>
      </w:r>
      <w:r w:rsidR="000F6BAB" w:rsidRPr="000F6BAB">
        <w:rPr>
          <w:bCs/>
        </w:rPr>
        <w:t xml:space="preserve">The requirements of </w:t>
      </w:r>
      <w:r w:rsidR="008A2BDD" w:rsidRPr="00A32706">
        <w:rPr>
          <w:bCs/>
        </w:rPr>
        <w:t xml:space="preserve">the </w:t>
      </w:r>
      <w:r w:rsidR="00BE7DD3">
        <w:rPr>
          <w:b/>
          <w:bCs/>
        </w:rPr>
        <w:t>v</w:t>
      </w:r>
      <w:r w:rsidR="00C9544E">
        <w:rPr>
          <w:b/>
          <w:bCs/>
        </w:rPr>
        <w:t>oluntary Australian e</w:t>
      </w:r>
      <w:r w:rsidR="008A2BDD" w:rsidRPr="00F27579">
        <w:rPr>
          <w:b/>
          <w:bCs/>
        </w:rPr>
        <w:t>lectric toy standard</w:t>
      </w:r>
      <w:r w:rsidR="000F6BAB" w:rsidRPr="008A2BDD">
        <w:rPr>
          <w:bCs/>
        </w:rPr>
        <w:t xml:space="preserve"> </w:t>
      </w:r>
      <w:r w:rsidR="000F6BAB" w:rsidRPr="000F6BAB">
        <w:rPr>
          <w:bCs/>
        </w:rPr>
        <w:t>with respect to the provision of safety warning</w:t>
      </w:r>
      <w:r w:rsidR="00F342F0">
        <w:rPr>
          <w:bCs/>
        </w:rPr>
        <w:t>s</w:t>
      </w:r>
      <w:r w:rsidR="000F6BAB" w:rsidRPr="000F6BAB">
        <w:rPr>
          <w:bCs/>
        </w:rPr>
        <w:t xml:space="preserve"> are that toys </w:t>
      </w:r>
      <w:r w:rsidR="000F6BAB" w:rsidRPr="000F6BAB">
        <w:t>s</w:t>
      </w:r>
      <w:r w:rsidR="004E3EE2" w:rsidRPr="000F6BAB">
        <w:t xml:space="preserve">hould </w:t>
      </w:r>
      <w:r w:rsidR="004E3EE2" w:rsidRPr="000F6BAB">
        <w:rPr>
          <w:bCs/>
        </w:rPr>
        <w:t>‘carry the substance’</w:t>
      </w:r>
      <w:r w:rsidR="004E3EE2">
        <w:t xml:space="preserve"> of the</w:t>
      </w:r>
      <w:r w:rsidR="00B1593B">
        <w:t xml:space="preserve"> following</w:t>
      </w:r>
      <w:r w:rsidR="004E3EE2">
        <w:t xml:space="preserve"> </w:t>
      </w:r>
      <w:r w:rsidR="0065601D">
        <w:t>warnings</w:t>
      </w:r>
      <w:r w:rsidR="00462D6C">
        <w:t>:</w:t>
      </w:r>
    </w:p>
    <w:p w14:paraId="6CC220F1" w14:textId="39BC00A2" w:rsidR="00B1593B" w:rsidRPr="00107638" w:rsidRDefault="00B1593B" w:rsidP="00BF63A4">
      <w:pPr>
        <w:pStyle w:val="Heading4"/>
        <w:rPr>
          <w:b w:val="0"/>
          <w:color w:val="auto"/>
        </w:rPr>
      </w:pPr>
      <w:r w:rsidRPr="00107638">
        <w:rPr>
          <w:b w:val="0"/>
          <w:color w:val="auto"/>
        </w:rPr>
        <w:t>Packaging</w:t>
      </w:r>
    </w:p>
    <w:p w14:paraId="06595A67" w14:textId="494D09FA" w:rsidR="00107638" w:rsidRDefault="00B1593B" w:rsidP="004E3EE2">
      <w:r w:rsidRPr="00A930BD">
        <w:t>Packaging labelling applies to coin batteries only and may comprise</w:t>
      </w:r>
      <w:r w:rsidR="00107638">
        <w:t xml:space="preserve"> either of the following requirements.</w:t>
      </w:r>
    </w:p>
    <w:p w14:paraId="1C223B59" w14:textId="43817223" w:rsidR="00107638" w:rsidRDefault="00F15D29" w:rsidP="00B80651">
      <w:pPr>
        <w:pStyle w:val="ListParagraph"/>
        <w:numPr>
          <w:ilvl w:val="0"/>
          <w:numId w:val="32"/>
        </w:numPr>
      </w:pPr>
      <w:r>
        <w:t xml:space="preserve"> </w:t>
      </w:r>
      <w:r w:rsidR="004E3EE2" w:rsidRPr="00A930BD">
        <w:t>WARNING: Contains coin battery. Hazardous if swallowed</w:t>
      </w:r>
      <w:r w:rsidR="00107638">
        <w:t xml:space="preserve"> </w:t>
      </w:r>
      <w:r w:rsidR="004E3EE2" w:rsidRPr="00A930BD">
        <w:t>- see instructions</w:t>
      </w:r>
      <w:r w:rsidR="00107638">
        <w:t>; or</w:t>
      </w:r>
    </w:p>
    <w:p w14:paraId="234A8C97" w14:textId="4BF17B85" w:rsidR="001F6ECB" w:rsidRDefault="00107638" w:rsidP="008E2EAA">
      <w:pPr>
        <w:pStyle w:val="ListParagraph"/>
        <w:numPr>
          <w:ilvl w:val="0"/>
          <w:numId w:val="32"/>
        </w:numPr>
      </w:pPr>
      <w:r>
        <w:t>T</w:t>
      </w:r>
      <w:r w:rsidR="004E3EE2" w:rsidRPr="00A930BD">
        <w:t>he packaging shall be marked with the symbol ISO 7000-0790 (an open book with the instruction ‘read operators manual’) and warning sign ISO 7101 W0001 (triangle with exclamation point</w:t>
      </w:r>
      <w:r w:rsidR="00F15D29">
        <w:t>), see below</w:t>
      </w:r>
      <w:r w:rsidR="00F342F0">
        <w:t>,</w:t>
      </w:r>
      <w:r w:rsidR="004E3EE2" w:rsidRPr="00A930BD">
        <w:t xml:space="preserve"> in conjunction with a supplementary sign containing a coin battery symbol (coin shaped disc with + on it). The meaning of this symbol combination shall be</w:t>
      </w:r>
      <w:r w:rsidR="005603E4">
        <w:t xml:space="preserve"> explained in the instructions.</w:t>
      </w:r>
    </w:p>
    <w:p w14:paraId="24DC11D9" w14:textId="5397FB10" w:rsidR="008E3295" w:rsidRPr="00A930BD" w:rsidRDefault="008E3295" w:rsidP="00D2363B">
      <w:pPr>
        <w:pStyle w:val="ListParagraph"/>
        <w:numPr>
          <w:ilvl w:val="0"/>
          <w:numId w:val="0"/>
        </w:numPr>
        <w:tabs>
          <w:tab w:val="clear" w:pos="340"/>
          <w:tab w:val="left" w:pos="709"/>
        </w:tabs>
        <w:ind w:left="709"/>
      </w:pPr>
      <w:r>
        <w:rPr>
          <w:noProof/>
          <w:lang w:eastAsia="en-AU"/>
        </w:rPr>
        <w:drawing>
          <wp:inline distT="0" distB="0" distL="0" distR="0" wp14:anchorId="1D21493D" wp14:editId="793A97FF">
            <wp:extent cx="531928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6169" cy="1452397"/>
                    </a:xfrm>
                    <a:prstGeom prst="rect">
                      <a:avLst/>
                    </a:prstGeom>
                    <a:noFill/>
                    <a:ln>
                      <a:noFill/>
                    </a:ln>
                  </pic:spPr>
                </pic:pic>
              </a:graphicData>
            </a:graphic>
          </wp:inline>
        </w:drawing>
      </w:r>
    </w:p>
    <w:p w14:paraId="6A26F232" w14:textId="54FC7B07" w:rsidR="00B1593B" w:rsidRPr="00107638" w:rsidRDefault="00B1593B" w:rsidP="00BF63A4">
      <w:pPr>
        <w:pStyle w:val="Heading4"/>
        <w:rPr>
          <w:b w:val="0"/>
          <w:color w:val="auto"/>
        </w:rPr>
      </w:pPr>
      <w:r w:rsidRPr="00107638">
        <w:rPr>
          <w:b w:val="0"/>
          <w:color w:val="auto"/>
        </w:rPr>
        <w:t>Instructions</w:t>
      </w:r>
    </w:p>
    <w:p w14:paraId="7508A6FD" w14:textId="681E39B1" w:rsidR="00C569D0" w:rsidRPr="00C569D0" w:rsidRDefault="00C569D0" w:rsidP="00B1593B">
      <w:r>
        <w:t xml:space="preserve">The requirements for warnings in instructions differentiate between a coin </w:t>
      </w:r>
      <w:r w:rsidR="00107638">
        <w:t xml:space="preserve">battery </w:t>
      </w:r>
      <w:r w:rsidR="00460D4E">
        <w:t>and a button battery.</w:t>
      </w:r>
    </w:p>
    <w:p w14:paraId="7A0E1478" w14:textId="21336E34" w:rsidR="004F2D5F" w:rsidRDefault="00C569D0" w:rsidP="00E10134">
      <w:pPr>
        <w:pStyle w:val="ListParagraph"/>
        <w:numPr>
          <w:ilvl w:val="0"/>
          <w:numId w:val="32"/>
        </w:numPr>
      </w:pPr>
      <w:r>
        <w:t>Coin battery</w:t>
      </w:r>
      <w:r w:rsidR="00341B9E">
        <w:t xml:space="preserve"> (both warnings are required)</w:t>
      </w:r>
      <w:r w:rsidR="004F2D5F">
        <w:t>:</w:t>
      </w:r>
    </w:p>
    <w:p w14:paraId="15224427" w14:textId="7F442772" w:rsidR="004F2D5F" w:rsidRDefault="004F2D5F" w:rsidP="00B80651">
      <w:pPr>
        <w:ind w:left="680"/>
      </w:pPr>
      <w:r>
        <w:t>WARNING: This product contains a coin battery. A coin battery can cause serious internal chemical burns if swallowed</w:t>
      </w:r>
      <w:r w:rsidR="00107638">
        <w:t>.</w:t>
      </w:r>
    </w:p>
    <w:p w14:paraId="37DB822E" w14:textId="1ED47AC1" w:rsidR="00F26B41" w:rsidRDefault="004F2D5F" w:rsidP="00DD5A8E">
      <w:pPr>
        <w:ind w:left="680"/>
      </w:pPr>
      <w:r>
        <w:t>WARNING: Dispose of used batteries immediately. Keep new and used batteries away from children. If you think batteries might have been swallowed or placed inside any part of the body, seek immediate medical attention</w:t>
      </w:r>
      <w:r w:rsidR="00107638">
        <w:t>.</w:t>
      </w:r>
    </w:p>
    <w:p w14:paraId="01A09C9A" w14:textId="6F1088DB" w:rsidR="00987F0B" w:rsidRDefault="005603E4" w:rsidP="00E10134">
      <w:pPr>
        <w:pStyle w:val="ListParagraph"/>
        <w:numPr>
          <w:ilvl w:val="0"/>
          <w:numId w:val="33"/>
        </w:numPr>
      </w:pPr>
      <w:r>
        <w:t>Button battery:</w:t>
      </w:r>
    </w:p>
    <w:p w14:paraId="09A4620B" w14:textId="72F59F64" w:rsidR="00987F0B" w:rsidRDefault="00987F0B" w:rsidP="0016747D">
      <w:pPr>
        <w:spacing w:before="120"/>
        <w:ind w:left="680"/>
      </w:pPr>
      <w:r>
        <w:t>WARNING: Dispose of used batteries immediately. Keep new and used batteries away from children. If you think batteries might have been swallowed or placed inside any part of the body, seek immediate medical attention</w:t>
      </w:r>
      <w:r w:rsidR="00460D4E">
        <w:t>.</w:t>
      </w:r>
    </w:p>
    <w:p w14:paraId="6E97CB3A" w14:textId="2A3EECD0" w:rsidR="00C569D0" w:rsidRDefault="00C569D0" w:rsidP="005603E4">
      <w:pPr>
        <w:pStyle w:val="Heading3"/>
        <w:keepNext/>
      </w:pPr>
      <w:r>
        <w:lastRenderedPageBreak/>
        <w:t xml:space="preserve">US </w:t>
      </w:r>
      <w:r w:rsidR="00DD5A8E">
        <w:t xml:space="preserve">toy </w:t>
      </w:r>
      <w:r>
        <w:t>standard</w:t>
      </w:r>
    </w:p>
    <w:p w14:paraId="15F1917C" w14:textId="5DB41F15" w:rsidR="00052B24" w:rsidRDefault="006D1FA6" w:rsidP="004E3EE2">
      <w:pPr>
        <w:rPr>
          <w:bCs/>
        </w:rPr>
      </w:pPr>
      <w:r>
        <w:rPr>
          <w:bCs/>
        </w:rPr>
        <w:t xml:space="preserve">The </w:t>
      </w:r>
      <w:r w:rsidRPr="00F11A23">
        <w:rPr>
          <w:b/>
          <w:bCs/>
        </w:rPr>
        <w:t xml:space="preserve">US </w:t>
      </w:r>
      <w:r w:rsidR="00DD5A8E">
        <w:rPr>
          <w:b/>
          <w:bCs/>
        </w:rPr>
        <w:t xml:space="preserve">toy </w:t>
      </w:r>
      <w:r w:rsidRPr="00F11A23">
        <w:rPr>
          <w:b/>
          <w:bCs/>
        </w:rPr>
        <w:t>standard</w:t>
      </w:r>
      <w:r>
        <w:rPr>
          <w:bCs/>
        </w:rPr>
        <w:t xml:space="preserve"> also defines button cell (non-lithium) and coin cell (lithium) batteries</w:t>
      </w:r>
      <w:r w:rsidR="003B458B">
        <w:rPr>
          <w:bCs/>
        </w:rPr>
        <w:t xml:space="preserve"> on the basis of whether or not the battery is comprised of an electrochemical system that contains lithium. Although the </w:t>
      </w:r>
      <w:r w:rsidR="003B458B" w:rsidRPr="00BF63A4">
        <w:rPr>
          <w:b/>
          <w:bCs/>
        </w:rPr>
        <w:t xml:space="preserve">US </w:t>
      </w:r>
      <w:r w:rsidR="00DD5A8E">
        <w:rPr>
          <w:b/>
          <w:bCs/>
        </w:rPr>
        <w:t xml:space="preserve">toy </w:t>
      </w:r>
      <w:r w:rsidR="003B458B" w:rsidRPr="00BF63A4">
        <w:rPr>
          <w:b/>
          <w:bCs/>
        </w:rPr>
        <w:t>standard</w:t>
      </w:r>
      <w:r w:rsidR="003B458B">
        <w:rPr>
          <w:bCs/>
        </w:rPr>
        <w:t xml:space="preserve"> distinguishes between these batteries</w:t>
      </w:r>
      <w:r>
        <w:rPr>
          <w:bCs/>
        </w:rPr>
        <w:t xml:space="preserve"> </w:t>
      </w:r>
      <w:r w:rsidR="003B458B">
        <w:rPr>
          <w:bCs/>
        </w:rPr>
        <w:t>it</w:t>
      </w:r>
      <w:r>
        <w:rPr>
          <w:bCs/>
        </w:rPr>
        <w:t xml:space="preserve"> treats the</w:t>
      </w:r>
      <w:r w:rsidR="003B458B">
        <w:rPr>
          <w:bCs/>
        </w:rPr>
        <w:t>m</w:t>
      </w:r>
      <w:r>
        <w:rPr>
          <w:bCs/>
        </w:rPr>
        <w:t xml:space="preserve"> </w:t>
      </w:r>
      <w:r w:rsidR="003B458B">
        <w:rPr>
          <w:bCs/>
        </w:rPr>
        <w:t xml:space="preserve">on </w:t>
      </w:r>
      <w:r>
        <w:rPr>
          <w:bCs/>
        </w:rPr>
        <w:t>the same</w:t>
      </w:r>
      <w:r w:rsidR="003B458B">
        <w:rPr>
          <w:bCs/>
        </w:rPr>
        <w:t xml:space="preserve"> basis</w:t>
      </w:r>
      <w:r w:rsidR="00AD4F08">
        <w:rPr>
          <w:bCs/>
        </w:rPr>
        <w:t xml:space="preserve"> in terms of the warning requirements</w:t>
      </w:r>
      <w:r>
        <w:rPr>
          <w:bCs/>
        </w:rPr>
        <w:t>.</w:t>
      </w:r>
    </w:p>
    <w:p w14:paraId="76FD65D2" w14:textId="0C035A88" w:rsidR="003B458B" w:rsidRPr="00107638" w:rsidRDefault="003B458B" w:rsidP="00BF63A4">
      <w:pPr>
        <w:pStyle w:val="Heading4"/>
        <w:rPr>
          <w:b w:val="0"/>
          <w:color w:val="auto"/>
        </w:rPr>
      </w:pPr>
      <w:r w:rsidRPr="00107638">
        <w:rPr>
          <w:b w:val="0"/>
          <w:color w:val="auto"/>
        </w:rPr>
        <w:t>Packaging</w:t>
      </w:r>
    </w:p>
    <w:p w14:paraId="64395C98" w14:textId="1D51EB18" w:rsidR="00052B24" w:rsidRPr="00A930BD" w:rsidRDefault="00052B24" w:rsidP="001860F4">
      <w:pPr>
        <w:ind w:left="709"/>
      </w:pPr>
      <w:r w:rsidRPr="00A930BD">
        <w:rPr>
          <w:bCs/>
        </w:rPr>
        <w:t xml:space="preserve">In the </w:t>
      </w:r>
      <w:r w:rsidRPr="00A930BD">
        <w:rPr>
          <w:b/>
          <w:bCs/>
        </w:rPr>
        <w:t xml:space="preserve">US </w:t>
      </w:r>
      <w:r w:rsidR="00DD5A8E">
        <w:rPr>
          <w:b/>
          <w:bCs/>
        </w:rPr>
        <w:t xml:space="preserve">toy </w:t>
      </w:r>
      <w:r w:rsidRPr="00A930BD">
        <w:rPr>
          <w:b/>
          <w:bCs/>
        </w:rPr>
        <w:t>standard</w:t>
      </w:r>
      <w:r w:rsidRPr="00A930BD">
        <w:rPr>
          <w:bCs/>
        </w:rPr>
        <w:t xml:space="preserve"> </w:t>
      </w:r>
      <w:r w:rsidR="004E3EE2" w:rsidRPr="00A930BD">
        <w:t xml:space="preserve">toys that operate from such </w:t>
      </w:r>
      <w:r w:rsidR="004E3EE2" w:rsidRPr="00A930BD">
        <w:rPr>
          <w:u w:val="single"/>
        </w:rPr>
        <w:t>button or coin cell</w:t>
      </w:r>
      <w:r w:rsidR="004E3EE2" w:rsidRPr="00A930BD">
        <w:t xml:space="preserve"> batteries shall indicate </w:t>
      </w:r>
      <w:r w:rsidR="001860F4">
        <w:t xml:space="preserve">the following warning </w:t>
      </w:r>
      <w:r w:rsidR="00460D4E">
        <w:t>on the packaging</w:t>
      </w:r>
      <w:r w:rsidR="001860F4">
        <w:t xml:space="preserve">.  </w:t>
      </w:r>
      <w:r w:rsidR="001860F4" w:rsidRPr="00A930BD">
        <w:t xml:space="preserve">Graphical icons conveying the same information </w:t>
      </w:r>
      <w:r w:rsidR="001860F4" w:rsidRPr="00A930BD">
        <w:rPr>
          <w:u w:val="single"/>
        </w:rPr>
        <w:t>can be substituted</w:t>
      </w:r>
      <w:r w:rsidR="001860F4" w:rsidRPr="00A930BD">
        <w:t>.</w:t>
      </w:r>
    </w:p>
    <w:p w14:paraId="1C552761" w14:textId="15B4E998" w:rsidR="004E3EE2" w:rsidRPr="00A930BD" w:rsidRDefault="0056055D" w:rsidP="001860F4">
      <w:pPr>
        <w:ind w:left="709"/>
      </w:pPr>
      <w:r>
        <w:rPr>
          <w:noProof/>
          <w:lang w:eastAsia="en-AU"/>
        </w:rPr>
        <w:drawing>
          <wp:inline distT="0" distB="0" distL="0" distR="0" wp14:anchorId="568303F6" wp14:editId="7B3BCE94">
            <wp:extent cx="342900" cy="291465"/>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32509"/>
                    </a:xfrm>
                    <a:prstGeom prst="rect">
                      <a:avLst/>
                    </a:prstGeom>
                    <a:noFill/>
                  </pic:spPr>
                </pic:pic>
              </a:graphicData>
            </a:graphic>
          </wp:inline>
        </w:drawing>
      </w:r>
      <w:r w:rsidR="00F15D29">
        <w:t xml:space="preserve"> </w:t>
      </w:r>
      <w:r w:rsidR="004E3EE2" w:rsidRPr="00A930BD">
        <w:t>Warning: Contains button or cell battery. Hazardous if swallowed</w:t>
      </w:r>
      <w:r>
        <w:t xml:space="preserve"> </w:t>
      </w:r>
      <w:r w:rsidR="004E3EE2" w:rsidRPr="00A930BD">
        <w:t>- see instructions.</w:t>
      </w:r>
    </w:p>
    <w:p w14:paraId="77FB3B9C" w14:textId="07D9C75B" w:rsidR="003B458B" w:rsidRPr="00107638" w:rsidRDefault="003B458B" w:rsidP="00BF63A4">
      <w:pPr>
        <w:pStyle w:val="Heading4"/>
        <w:rPr>
          <w:b w:val="0"/>
          <w:color w:val="auto"/>
        </w:rPr>
      </w:pPr>
      <w:r w:rsidRPr="00107638">
        <w:rPr>
          <w:b w:val="0"/>
          <w:color w:val="auto"/>
        </w:rPr>
        <w:t>Instructions</w:t>
      </w:r>
    </w:p>
    <w:p w14:paraId="4718B6D1" w14:textId="6020DBB4" w:rsidR="008E3295" w:rsidRDefault="004E3EE2" w:rsidP="004E3EE2">
      <w:r>
        <w:t xml:space="preserve">For </w:t>
      </w:r>
      <w:r w:rsidRPr="0010664F">
        <w:rPr>
          <w:u w:val="single"/>
        </w:rPr>
        <w:t>instructions</w:t>
      </w:r>
      <w:r>
        <w:t xml:space="preserve"> the warning shall consist of the alert symbol (</w:t>
      </w:r>
      <w:r>
        <w:rPr>
          <w:u w:val="single"/>
        </w:rPr>
        <w:t>prescriptive</w:t>
      </w:r>
      <w:r>
        <w:t>) followed by the signal word WARNING (</w:t>
      </w:r>
      <w:r>
        <w:rPr>
          <w:u w:val="single"/>
        </w:rPr>
        <w:t>prescriptive</w:t>
      </w:r>
      <w:r w:rsidR="00052B24">
        <w:t>) </w:t>
      </w:r>
      <w:r>
        <w:t>and contain at a minimum, the following text or equivalent text which clearly conveys the same information (</w:t>
      </w:r>
      <w:r w:rsidR="00151628">
        <w:rPr>
          <w:u w:val="single"/>
        </w:rPr>
        <w:t>non-</w:t>
      </w:r>
      <w:r>
        <w:rPr>
          <w:u w:val="single"/>
        </w:rPr>
        <w:t>prescriptive</w:t>
      </w:r>
      <w:r w:rsidR="00052B24">
        <w:t>):</w:t>
      </w:r>
    </w:p>
    <w:p w14:paraId="5F34AA4B" w14:textId="0F0D88C0" w:rsidR="00F15D29" w:rsidRDefault="0056055D" w:rsidP="00D2363B">
      <w:pPr>
        <w:ind w:left="709"/>
      </w:pPr>
      <w:r>
        <w:rPr>
          <w:noProof/>
          <w:lang w:eastAsia="en-AU"/>
        </w:rPr>
        <w:drawing>
          <wp:inline distT="0" distB="0" distL="0" distR="0" wp14:anchorId="1D6A6706" wp14:editId="15FF0F56">
            <wp:extent cx="342900" cy="291465"/>
            <wp:effectExtent l="0" t="0" r="0" b="0"/>
            <wp:docPr id="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32509"/>
                    </a:xfrm>
                    <a:prstGeom prst="rect">
                      <a:avLst/>
                    </a:prstGeom>
                    <a:noFill/>
                  </pic:spPr>
                </pic:pic>
              </a:graphicData>
            </a:graphic>
          </wp:inline>
        </w:drawing>
      </w:r>
      <w:r w:rsidR="00F15D29">
        <w:t xml:space="preserve"> WARNING</w:t>
      </w:r>
    </w:p>
    <w:p w14:paraId="52C9FF05" w14:textId="5E1C54EC" w:rsidR="004E3EE2" w:rsidRDefault="004E3EE2" w:rsidP="00D2363B">
      <w:pPr>
        <w:ind w:left="709"/>
      </w:pPr>
      <w:r>
        <w:t>This product contains a Button or Coin Cell Battery. A swallowed Button or Coin Cell Battery can cause internal chemical burns in as little as two hours and lead to death. Dispose of used batteries immediately. Keep new and used batteries away from children. If you think batteries might have been swallowed or placed inside any part of the body, seek immediate medical attention.</w:t>
      </w:r>
    </w:p>
    <w:p w14:paraId="2A4956CF" w14:textId="77777777" w:rsidR="004E3EE2" w:rsidRPr="00381464" w:rsidRDefault="004E3EE2" w:rsidP="00E540BA">
      <w:pPr>
        <w:pStyle w:val="Heading2"/>
        <w:keepNext/>
        <w:rPr>
          <w:rFonts w:eastAsia="Times New Roman" w:cs="Times New Roman"/>
          <w:color w:val="51626F"/>
        </w:rPr>
      </w:pPr>
      <w:r w:rsidRPr="00381464">
        <w:rPr>
          <w:rFonts w:eastAsia="Times New Roman" w:cs="Times New Roman"/>
          <w:color w:val="51626F"/>
        </w:rPr>
        <w:t>Comment</w:t>
      </w:r>
    </w:p>
    <w:p w14:paraId="394DB807" w14:textId="0603D244" w:rsidR="003B458B" w:rsidRDefault="00027BE6" w:rsidP="004E3EE2">
      <w:r>
        <w:t>For coin batteries</w:t>
      </w:r>
      <w:r w:rsidR="00D34062" w:rsidRPr="0010664F">
        <w:t>,</w:t>
      </w:r>
      <w:r w:rsidR="00C860B1">
        <w:t xml:space="preserve"> </w:t>
      </w:r>
      <w:r>
        <w:t>in the warning requirements</w:t>
      </w:r>
      <w:r w:rsidR="003B458B">
        <w:t xml:space="preserve"> on a product’s</w:t>
      </w:r>
      <w:r>
        <w:t xml:space="preserve"> packaging and the warning requirements for</w:t>
      </w:r>
      <w:r w:rsidR="003B458B">
        <w:t xml:space="preserve"> instructions</w:t>
      </w:r>
      <w:r w:rsidR="00D34062">
        <w:t>,</w:t>
      </w:r>
      <w:r w:rsidR="003B458B">
        <w:t xml:space="preserve"> </w:t>
      </w:r>
      <w:r w:rsidR="00727183">
        <w:t xml:space="preserve">the </w:t>
      </w:r>
      <w:r w:rsidR="00BE7DD3">
        <w:rPr>
          <w:b/>
        </w:rPr>
        <w:t>v</w:t>
      </w:r>
      <w:r w:rsidR="00C9544E">
        <w:rPr>
          <w:b/>
        </w:rPr>
        <w:t>oluntary Australian e</w:t>
      </w:r>
      <w:r w:rsidR="00727183" w:rsidRPr="00F11A23">
        <w:rPr>
          <w:b/>
        </w:rPr>
        <w:t>lectric toy standard</w:t>
      </w:r>
      <w:r w:rsidR="00727183">
        <w:t xml:space="preserve"> </w:t>
      </w:r>
      <w:r w:rsidR="003B458B">
        <w:t>makes explicit reference to the identified hazard of a lithium battery</w:t>
      </w:r>
      <w:r w:rsidR="008D43F6">
        <w:t xml:space="preserve"> through the statements ‘hazardous if swallowed’ on the packaging and ‘</w:t>
      </w:r>
      <w:r w:rsidR="008D43F6" w:rsidRPr="008D43F6">
        <w:t>A coin battery can cause serious internal chemical burns if swallowed</w:t>
      </w:r>
      <w:r w:rsidR="008D43F6">
        <w:t xml:space="preserve">’ in a product’s instructions. </w:t>
      </w:r>
      <w:r>
        <w:t>For button batteries there are no requirements for warnings on the packaging of a product and the warning in the instructions does no</w:t>
      </w:r>
      <w:r w:rsidR="00A661CA">
        <w:t>t identify a particular hazard.</w:t>
      </w:r>
    </w:p>
    <w:p w14:paraId="46B0D797" w14:textId="245C96B8" w:rsidR="00027BE6" w:rsidRDefault="00027BE6" w:rsidP="004E3EE2">
      <w:r>
        <w:t xml:space="preserve">In other respects the warnings for button and coin batteries are identical as they recommend </w:t>
      </w:r>
      <w:r w:rsidR="0010664F">
        <w:t xml:space="preserve">the </w:t>
      </w:r>
      <w:r>
        <w:t>disposal of used batteries, that batteries are kept from children</w:t>
      </w:r>
      <w:r w:rsidR="0010664F">
        <w:t>,</w:t>
      </w:r>
      <w:r>
        <w:t xml:space="preserve"> and to seek immediate medical attention where a battery has been swa</w:t>
      </w:r>
      <w:r w:rsidR="00A661CA">
        <w:t>llowed or inserted in the body.</w:t>
      </w:r>
    </w:p>
    <w:p w14:paraId="1E5FB7EF" w14:textId="799D00A9" w:rsidR="000D16F0" w:rsidRDefault="00027BE6" w:rsidP="004E3EE2">
      <w:r>
        <w:t>T</w:t>
      </w:r>
      <w:r w:rsidR="00403C0E">
        <w:t xml:space="preserve">he </w:t>
      </w:r>
      <w:r w:rsidR="00403C0E" w:rsidRPr="00295EF7">
        <w:rPr>
          <w:b/>
        </w:rPr>
        <w:t xml:space="preserve">US </w:t>
      </w:r>
      <w:r w:rsidR="00DD5A8E">
        <w:rPr>
          <w:b/>
        </w:rPr>
        <w:t xml:space="preserve">toy </w:t>
      </w:r>
      <w:r w:rsidR="00403C0E" w:rsidRPr="00295EF7">
        <w:rPr>
          <w:b/>
        </w:rPr>
        <w:t>standard</w:t>
      </w:r>
      <w:r w:rsidR="000D16F0">
        <w:t xml:space="preserve"> includes a requirement for the same warning to be included on the packaging of a product for both button and coin batteries. The warning states that the coin or button bat</w:t>
      </w:r>
      <w:r w:rsidR="00A661CA">
        <w:t>tery is hazardous if swallowed.</w:t>
      </w:r>
    </w:p>
    <w:p w14:paraId="4BE900B0" w14:textId="78275103" w:rsidR="00765398" w:rsidRDefault="00765398" w:rsidP="00765398">
      <w:r>
        <w:t xml:space="preserve">The </w:t>
      </w:r>
      <w:r w:rsidRPr="00DD5A8E">
        <w:rPr>
          <w:b/>
        </w:rPr>
        <w:t xml:space="preserve">US </w:t>
      </w:r>
      <w:r w:rsidR="00DD5A8E" w:rsidRPr="00DD5A8E">
        <w:rPr>
          <w:b/>
        </w:rPr>
        <w:t xml:space="preserve">toy </w:t>
      </w:r>
      <w:r w:rsidRPr="00DD5A8E">
        <w:rPr>
          <w:b/>
        </w:rPr>
        <w:t>standard</w:t>
      </w:r>
      <w:r>
        <w:t xml:space="preserve"> requires the same warning in instructions for both button and coin batteries. The warning states that a swallowed batter</w:t>
      </w:r>
      <w:r w:rsidR="0010664F">
        <w:t>y</w:t>
      </w:r>
      <w:r>
        <w:t xml:space="preserve"> can cause serious chemical burns which can lead to death. In other respects the warning is the same as the </w:t>
      </w:r>
      <w:r w:rsidR="00BE7DD3">
        <w:rPr>
          <w:b/>
        </w:rPr>
        <w:t>v</w:t>
      </w:r>
      <w:r w:rsidR="00C9544E">
        <w:rPr>
          <w:b/>
        </w:rPr>
        <w:t>oluntary Australian e</w:t>
      </w:r>
      <w:r>
        <w:rPr>
          <w:b/>
        </w:rPr>
        <w:t>lectric toy standard</w:t>
      </w:r>
      <w:r>
        <w:t xml:space="preserve"> for button and coin batteries as it recommends </w:t>
      </w:r>
      <w:r w:rsidR="0010664F">
        <w:t xml:space="preserve">the </w:t>
      </w:r>
      <w:r>
        <w:t>disposal of used batteries, that batteries are kept from children</w:t>
      </w:r>
      <w:r w:rsidR="0010664F">
        <w:t>,</w:t>
      </w:r>
      <w:r>
        <w:t xml:space="preserve"> and to seek immediate medical attention where a battery has been swa</w:t>
      </w:r>
      <w:r w:rsidR="00A661CA">
        <w:t>llowed or inserted in the body.</w:t>
      </w:r>
    </w:p>
    <w:p w14:paraId="11B8C83C" w14:textId="1FE43616" w:rsidR="00765398" w:rsidRDefault="003365A2" w:rsidP="004E3EE2">
      <w:r>
        <w:lastRenderedPageBreak/>
        <w:t xml:space="preserve">The primary difference between the two standards is that the </w:t>
      </w:r>
      <w:r w:rsidR="00BE7DD3">
        <w:rPr>
          <w:b/>
        </w:rPr>
        <w:t>v</w:t>
      </w:r>
      <w:r w:rsidR="00C9544E">
        <w:rPr>
          <w:b/>
        </w:rPr>
        <w:t>oluntary Australian e</w:t>
      </w:r>
      <w:r>
        <w:rPr>
          <w:b/>
        </w:rPr>
        <w:t>lectric toy standard</w:t>
      </w:r>
      <w:r>
        <w:t xml:space="preserve"> make</w:t>
      </w:r>
      <w:r w:rsidR="00E1768B">
        <w:t xml:space="preserve">s a distinction between the two </w:t>
      </w:r>
      <w:r w:rsidR="00351180">
        <w:t xml:space="preserve">battery </w:t>
      </w:r>
      <w:r w:rsidR="00E1768B">
        <w:t>categories and restricts the hazard warning about chemical burns to</w:t>
      </w:r>
      <w:r w:rsidR="00D32E71">
        <w:t xml:space="preserve"> products that use</w:t>
      </w:r>
      <w:r w:rsidR="00E1768B">
        <w:t xml:space="preserve"> lithium batteries.</w:t>
      </w:r>
      <w:r w:rsidR="005166BA">
        <w:t xml:space="preserve"> The </w:t>
      </w:r>
      <w:r w:rsidR="005166BA">
        <w:rPr>
          <w:b/>
        </w:rPr>
        <w:t xml:space="preserve">US </w:t>
      </w:r>
      <w:r w:rsidR="00DD5A8E">
        <w:rPr>
          <w:b/>
        </w:rPr>
        <w:t xml:space="preserve">toy </w:t>
      </w:r>
      <w:r w:rsidR="005166BA">
        <w:rPr>
          <w:b/>
        </w:rPr>
        <w:t xml:space="preserve">standard </w:t>
      </w:r>
      <w:r w:rsidR="005166BA">
        <w:t>conflates the two types of batteries for the purpose of providing a single warning and therefore this information is provided for both lithium and non-lithium batteries.</w:t>
      </w:r>
      <w:r w:rsidR="00E1768B">
        <w:t xml:space="preserve"> </w:t>
      </w:r>
      <w:r w:rsidR="00D32E71">
        <w:t>Otherwise the two</w:t>
      </w:r>
      <w:r w:rsidR="00E1768B">
        <w:t xml:space="preserve"> warnings in the </w:t>
      </w:r>
      <w:r w:rsidR="00BE7DD3">
        <w:rPr>
          <w:b/>
        </w:rPr>
        <w:t>v</w:t>
      </w:r>
      <w:r w:rsidR="00C9544E">
        <w:rPr>
          <w:b/>
        </w:rPr>
        <w:t>oluntary Australian e</w:t>
      </w:r>
      <w:r w:rsidR="00E1768B">
        <w:rPr>
          <w:b/>
        </w:rPr>
        <w:t xml:space="preserve">lectric toy standard </w:t>
      </w:r>
      <w:r w:rsidR="00E1768B">
        <w:t xml:space="preserve">and the single warning in the </w:t>
      </w:r>
      <w:r w:rsidR="00E1768B">
        <w:rPr>
          <w:b/>
        </w:rPr>
        <w:t xml:space="preserve">US </w:t>
      </w:r>
      <w:r w:rsidR="00DD5A8E">
        <w:rPr>
          <w:b/>
        </w:rPr>
        <w:t xml:space="preserve">toy </w:t>
      </w:r>
      <w:r w:rsidR="00E1768B">
        <w:rPr>
          <w:b/>
        </w:rPr>
        <w:t xml:space="preserve">standard </w:t>
      </w:r>
      <w:r w:rsidR="00A661CA">
        <w:t>are the same.</w:t>
      </w:r>
    </w:p>
    <w:p w14:paraId="0ABF2B56" w14:textId="10A074A7" w:rsidR="00674A83" w:rsidRDefault="00674A83" w:rsidP="004E3EE2">
      <w:r>
        <w:t xml:space="preserve">The options </w:t>
      </w:r>
      <w:r w:rsidR="00CA2D61">
        <w:t xml:space="preserve">to consider </w:t>
      </w:r>
      <w:r>
        <w:t xml:space="preserve">for warning requirements are to </w:t>
      </w:r>
      <w:r w:rsidR="00CA2D61">
        <w:t xml:space="preserve">either </w:t>
      </w:r>
      <w:r>
        <w:t xml:space="preserve">adopt the requirements of the </w:t>
      </w:r>
      <w:r w:rsidR="00BE7DD3">
        <w:rPr>
          <w:b/>
        </w:rPr>
        <w:t>v</w:t>
      </w:r>
      <w:r w:rsidR="00C9544E">
        <w:rPr>
          <w:b/>
        </w:rPr>
        <w:t>oluntary Australian e</w:t>
      </w:r>
      <w:r>
        <w:rPr>
          <w:b/>
        </w:rPr>
        <w:t xml:space="preserve">lectric toy standard </w:t>
      </w:r>
      <w:r>
        <w:t xml:space="preserve">only, to adopt the requirements of the </w:t>
      </w:r>
      <w:r>
        <w:rPr>
          <w:b/>
        </w:rPr>
        <w:t xml:space="preserve">US </w:t>
      </w:r>
      <w:r w:rsidR="00DD5A8E">
        <w:rPr>
          <w:b/>
        </w:rPr>
        <w:t xml:space="preserve">toy </w:t>
      </w:r>
      <w:r>
        <w:rPr>
          <w:b/>
        </w:rPr>
        <w:t xml:space="preserve">standard </w:t>
      </w:r>
      <w:r>
        <w:t>only, or to permit compliance throu</w:t>
      </w:r>
      <w:r w:rsidR="00A661CA">
        <w:t>gh either of the two standards.</w:t>
      </w:r>
    </w:p>
    <w:p w14:paraId="6D3C5E7D" w14:textId="30538A37" w:rsidR="006168AF" w:rsidRDefault="004C53D6" w:rsidP="004E3EE2">
      <w:r>
        <w:t xml:space="preserve">Our assessment is that both standards have been made in a comparable jurisdiction to Australia by a recognised technical association. Both standards provide for an acceptable level of safety on the basis that we are not aware of injuries or deaths that have occurred the cause of which has been attributed to a deficiency in either of the warnings. </w:t>
      </w:r>
      <w:r w:rsidR="0026268F">
        <w:t>Our preliminary view is that both standards are applicable to the Australian context when taken in isolation. It is possible to construct an argument that the differences in the two labelling conventions co</w:t>
      </w:r>
      <w:r w:rsidR="00A661CA">
        <w:t>uld lead to consumer confusion.</w:t>
      </w:r>
    </w:p>
    <w:p w14:paraId="461F01DD" w14:textId="6B440403" w:rsidR="00C860B1" w:rsidRDefault="0026268F" w:rsidP="004E3EE2">
      <w:r>
        <w:t xml:space="preserve">However, all warnings are consistent about the required course of action and state that where a </w:t>
      </w:r>
      <w:r w:rsidR="00335166">
        <w:t>battery is swallowed the parent/</w:t>
      </w:r>
      <w:r>
        <w:t xml:space="preserve">carer is directed to seek immediate medical attention. </w:t>
      </w:r>
      <w:r w:rsidR="00335166">
        <w:t>Following ingestion parents/</w:t>
      </w:r>
      <w:r w:rsidR="00855AC7">
        <w:t>c</w:t>
      </w:r>
      <w:r w:rsidR="009B6AB3">
        <w:t xml:space="preserve">arers </w:t>
      </w:r>
      <w:r w:rsidR="00403C0E">
        <w:t xml:space="preserve">may </w:t>
      </w:r>
      <w:r w:rsidR="009B6AB3">
        <w:t>not be able to readily ascertain the type of battery ingested or inserted</w:t>
      </w:r>
      <w:r w:rsidR="00855AC7">
        <w:t xml:space="preserve"> and are unlikely to resolve the problem without expert intervention</w:t>
      </w:r>
      <w:r w:rsidR="009B6AB3">
        <w:t xml:space="preserve">. Given the time critical nature of any potential reaction we </w:t>
      </w:r>
      <w:r w:rsidR="00855AC7">
        <w:t>assess</w:t>
      </w:r>
      <w:r w:rsidR="009B6AB3">
        <w:t xml:space="preserve"> the</w:t>
      </w:r>
      <w:r w:rsidR="00855AC7">
        <w:t xml:space="preserve"> appropriate requirement to seek</w:t>
      </w:r>
      <w:r w:rsidR="009B6AB3">
        <w:t xml:space="preserve"> immediate medical attention</w:t>
      </w:r>
      <w:r w:rsidR="00855AC7">
        <w:t xml:space="preserve"> is properly characterised in each of the warning options</w:t>
      </w:r>
      <w:r w:rsidR="009B6AB3">
        <w:t>.</w:t>
      </w:r>
    </w:p>
    <w:p w14:paraId="68AE85F4" w14:textId="6CF2295A" w:rsidR="00BA085A" w:rsidRPr="00BA085A" w:rsidRDefault="00BA085A" w:rsidP="004E3EE2">
      <w:r w:rsidRPr="00D01899">
        <w:t xml:space="preserve">Unlike the </w:t>
      </w:r>
      <w:r w:rsidRPr="00D01899">
        <w:rPr>
          <w:b/>
        </w:rPr>
        <w:t xml:space="preserve">US </w:t>
      </w:r>
      <w:r w:rsidR="00DD5A8E" w:rsidRPr="00D01899">
        <w:rPr>
          <w:b/>
        </w:rPr>
        <w:t xml:space="preserve">toy </w:t>
      </w:r>
      <w:r w:rsidRPr="00D01899">
        <w:rPr>
          <w:b/>
        </w:rPr>
        <w:t xml:space="preserve">standard </w:t>
      </w:r>
      <w:r w:rsidRPr="00D01899">
        <w:t xml:space="preserve">the </w:t>
      </w:r>
      <w:r w:rsidR="00BE7DD3">
        <w:rPr>
          <w:b/>
        </w:rPr>
        <w:t>v</w:t>
      </w:r>
      <w:r w:rsidR="00C9544E">
        <w:rPr>
          <w:b/>
        </w:rPr>
        <w:t>oluntary Australian e</w:t>
      </w:r>
      <w:r w:rsidRPr="00D01899">
        <w:rPr>
          <w:b/>
        </w:rPr>
        <w:t xml:space="preserve">lectric toy standard </w:t>
      </w:r>
      <w:r w:rsidRPr="00D01899">
        <w:t>does not include a requirement</w:t>
      </w:r>
      <w:r w:rsidR="001A6A46" w:rsidRPr="00D01899">
        <w:t>,</w:t>
      </w:r>
      <w:r w:rsidRPr="00D01899">
        <w:t xml:space="preserve"> for a </w:t>
      </w:r>
      <w:r w:rsidR="001A6A46" w:rsidRPr="00D01899">
        <w:t xml:space="preserve">toy containing a </w:t>
      </w:r>
      <w:r w:rsidRPr="00D01899">
        <w:rPr>
          <w:u w:val="single"/>
        </w:rPr>
        <w:t>button</w:t>
      </w:r>
      <w:r w:rsidRPr="00D01899">
        <w:t xml:space="preserve"> battery</w:t>
      </w:r>
      <w:r w:rsidR="001A6A46" w:rsidRPr="00D01899">
        <w:t>,</w:t>
      </w:r>
      <w:r w:rsidRPr="00D01899">
        <w:t xml:space="preserve"> </w:t>
      </w:r>
      <w:r w:rsidR="001A6A46" w:rsidRPr="00D01899">
        <w:t>to have a warning on the packaging.</w:t>
      </w:r>
      <w:r>
        <w:t xml:space="preserve"> Both standards require a warning on the packaging to identify the hazard of chemical burns associated with </w:t>
      </w:r>
      <w:r w:rsidRPr="00D01899">
        <w:rPr>
          <w:u w:val="single"/>
        </w:rPr>
        <w:t>coin or lithium</w:t>
      </w:r>
      <w:r>
        <w:t xml:space="preserve"> batteries. As with the warning requirements </w:t>
      </w:r>
      <w:r w:rsidR="00D01899">
        <w:t xml:space="preserve">above </w:t>
      </w:r>
      <w:r>
        <w:t>we are not aware of injuries or deaths that have occurred the cause of which has been attributed to a deficiency in either of the approa</w:t>
      </w:r>
      <w:r w:rsidR="00A661CA">
        <w:t>ches to packaging requirements.</w:t>
      </w:r>
    </w:p>
    <w:p w14:paraId="21DFD56B" w14:textId="0A88DF72" w:rsidR="004E3EE2" w:rsidRPr="00381464" w:rsidRDefault="00E23B23" w:rsidP="00E540BA">
      <w:pPr>
        <w:pStyle w:val="Heading2"/>
        <w:keepNext/>
        <w:rPr>
          <w:rFonts w:eastAsia="Times New Roman" w:cs="Times New Roman"/>
          <w:color w:val="51626F"/>
        </w:rPr>
      </w:pPr>
      <w:r w:rsidRPr="00381464">
        <w:rPr>
          <w:rFonts w:eastAsia="Times New Roman" w:cs="Times New Roman"/>
          <w:color w:val="51626F"/>
        </w:rPr>
        <w:t>Battery</w:t>
      </w:r>
      <w:r w:rsidR="00F11A23" w:rsidRPr="00381464">
        <w:rPr>
          <w:rFonts w:eastAsia="Times New Roman" w:cs="Times New Roman"/>
          <w:color w:val="51626F"/>
        </w:rPr>
        <w:t xml:space="preserve"> compartment</w:t>
      </w:r>
      <w:r w:rsidRPr="00381464">
        <w:rPr>
          <w:rFonts w:eastAsia="Times New Roman" w:cs="Times New Roman"/>
          <w:color w:val="51626F"/>
        </w:rPr>
        <w:t xml:space="preserve"> </w:t>
      </w:r>
      <w:r w:rsidR="004E3EE2" w:rsidRPr="00381464">
        <w:rPr>
          <w:rFonts w:eastAsia="Times New Roman" w:cs="Times New Roman"/>
          <w:color w:val="51626F"/>
        </w:rPr>
        <w:t>security</w:t>
      </w:r>
    </w:p>
    <w:p w14:paraId="72045FDB" w14:textId="3F10E31E" w:rsidR="00F11A23" w:rsidRDefault="00F11A23" w:rsidP="004E3EE2">
      <w:pPr>
        <w:rPr>
          <w:bCs/>
        </w:rPr>
      </w:pPr>
      <w:r>
        <w:rPr>
          <w:bCs/>
        </w:rPr>
        <w:t xml:space="preserve">Requirements for the security of the compartment containing button batteries are already </w:t>
      </w:r>
      <w:r w:rsidR="00A408E2">
        <w:rPr>
          <w:bCs/>
        </w:rPr>
        <w:t>called up</w:t>
      </w:r>
      <w:r>
        <w:rPr>
          <w:bCs/>
        </w:rPr>
        <w:t xml:space="preserve"> in the mandatory standard. </w:t>
      </w:r>
      <w:r w:rsidR="002E59F6">
        <w:rPr>
          <w:bCs/>
        </w:rPr>
        <w:t xml:space="preserve">It includes </w:t>
      </w:r>
      <w:r w:rsidR="001A6A46">
        <w:rPr>
          <w:bCs/>
        </w:rPr>
        <w:t xml:space="preserve">a </w:t>
      </w:r>
      <w:r w:rsidR="002E59F6">
        <w:rPr>
          <w:bCs/>
        </w:rPr>
        <w:t xml:space="preserve">requirement </w:t>
      </w:r>
      <w:r w:rsidR="001A6A46">
        <w:rPr>
          <w:bCs/>
        </w:rPr>
        <w:t xml:space="preserve">that </w:t>
      </w:r>
      <w:r w:rsidR="002E59F6">
        <w:rPr>
          <w:bCs/>
        </w:rPr>
        <w:t>the compartment of a battery operated toy</w:t>
      </w:r>
      <w:r w:rsidR="001A6A46">
        <w:rPr>
          <w:bCs/>
        </w:rPr>
        <w:t>,</w:t>
      </w:r>
      <w:r w:rsidR="002E59F6">
        <w:rPr>
          <w:bCs/>
        </w:rPr>
        <w:t xml:space="preserve"> intended for children </w:t>
      </w:r>
      <w:r w:rsidR="001A6A46">
        <w:rPr>
          <w:bCs/>
        </w:rPr>
        <w:t xml:space="preserve">up to </w:t>
      </w:r>
      <w:r w:rsidR="002E59F6">
        <w:rPr>
          <w:bCs/>
        </w:rPr>
        <w:t>36 months</w:t>
      </w:r>
      <w:r w:rsidR="001A6A46">
        <w:rPr>
          <w:bCs/>
        </w:rPr>
        <w:t>,</w:t>
      </w:r>
      <w:r w:rsidR="002E59F6">
        <w:rPr>
          <w:bCs/>
        </w:rPr>
        <w:t xml:space="preserve"> shall not be accessible without the use of a tool or at least two independent movements applied simultaneou</w:t>
      </w:r>
      <w:r w:rsidR="00A661CA">
        <w:rPr>
          <w:bCs/>
        </w:rPr>
        <w:t>sly to the battery compartment.</w:t>
      </w:r>
      <w:r w:rsidR="001A6A46">
        <w:rPr>
          <w:bCs/>
        </w:rPr>
        <w:t xml:space="preserve"> </w:t>
      </w:r>
      <w:r>
        <w:rPr>
          <w:bCs/>
        </w:rPr>
        <w:t>This paper consider</w:t>
      </w:r>
      <w:r w:rsidR="001A6A46">
        <w:rPr>
          <w:bCs/>
        </w:rPr>
        <w:t>s</w:t>
      </w:r>
      <w:r>
        <w:rPr>
          <w:bCs/>
        </w:rPr>
        <w:t xml:space="preserve"> allowing compliance</w:t>
      </w:r>
      <w:r w:rsidR="002E59F6">
        <w:rPr>
          <w:bCs/>
        </w:rPr>
        <w:t xml:space="preserve"> with the requirements for battery compartments in</w:t>
      </w:r>
      <w:r>
        <w:rPr>
          <w:bCs/>
        </w:rPr>
        <w:t xml:space="preserve"> either the current </w:t>
      </w:r>
      <w:r w:rsidR="00BE7DD3">
        <w:rPr>
          <w:b/>
          <w:bCs/>
        </w:rPr>
        <w:t>v</w:t>
      </w:r>
      <w:r w:rsidR="00C9544E">
        <w:rPr>
          <w:b/>
          <w:bCs/>
        </w:rPr>
        <w:t>oluntary Australian e</w:t>
      </w:r>
      <w:r w:rsidRPr="00DA406F">
        <w:rPr>
          <w:b/>
          <w:bCs/>
        </w:rPr>
        <w:t>lectric toy standard</w:t>
      </w:r>
      <w:r>
        <w:rPr>
          <w:bCs/>
        </w:rPr>
        <w:t xml:space="preserve"> </w:t>
      </w:r>
      <w:r w:rsidR="00403C0E">
        <w:rPr>
          <w:bCs/>
        </w:rPr>
        <w:t xml:space="preserve">or </w:t>
      </w:r>
      <w:r>
        <w:rPr>
          <w:bCs/>
        </w:rPr>
        <w:t xml:space="preserve">the </w:t>
      </w:r>
      <w:r w:rsidRPr="00DA406F">
        <w:rPr>
          <w:b/>
          <w:bCs/>
        </w:rPr>
        <w:t xml:space="preserve">US </w:t>
      </w:r>
      <w:r w:rsidR="00652F04">
        <w:rPr>
          <w:b/>
          <w:bCs/>
        </w:rPr>
        <w:t xml:space="preserve">toy </w:t>
      </w:r>
      <w:r w:rsidRPr="00DA406F">
        <w:rPr>
          <w:b/>
          <w:bCs/>
        </w:rPr>
        <w:t>standard</w:t>
      </w:r>
      <w:r w:rsidR="00A661CA">
        <w:rPr>
          <w:bCs/>
        </w:rPr>
        <w:t>.</w:t>
      </w:r>
    </w:p>
    <w:p w14:paraId="232623D9" w14:textId="627C329B" w:rsidR="00D738A8" w:rsidRDefault="00D7501E" w:rsidP="004E3EE2">
      <w:r>
        <w:t>T</w:t>
      </w:r>
      <w:r w:rsidR="0053643A">
        <w:t xml:space="preserve">he </w:t>
      </w:r>
      <w:r w:rsidR="00BE7DD3">
        <w:rPr>
          <w:b/>
        </w:rPr>
        <w:t>v</w:t>
      </w:r>
      <w:r w:rsidR="00C9544E">
        <w:rPr>
          <w:b/>
        </w:rPr>
        <w:t>oluntary Australian e</w:t>
      </w:r>
      <w:r w:rsidR="0053643A" w:rsidRPr="00DA406F">
        <w:rPr>
          <w:b/>
        </w:rPr>
        <w:t>lectric toy standard</w:t>
      </w:r>
      <w:r>
        <w:rPr>
          <w:b/>
        </w:rPr>
        <w:t xml:space="preserve"> </w:t>
      </w:r>
      <w:r>
        <w:t>includes similar requirements for access</w:t>
      </w:r>
      <w:r w:rsidR="0053643A">
        <w:t xml:space="preserve"> </w:t>
      </w:r>
      <w:r>
        <w:t xml:space="preserve">to a battery </w:t>
      </w:r>
      <w:r w:rsidR="00E23B23">
        <w:t>compartment</w:t>
      </w:r>
      <w:r w:rsidR="00D738A8">
        <w:t xml:space="preserve"> but distinguishes between ‘small’ batteries that fit wholly within the small parts cylinder and ‘other’ batteries. </w:t>
      </w:r>
    </w:p>
    <w:p w14:paraId="7EDA7BEB" w14:textId="25C5347F" w:rsidR="00D738A8" w:rsidRDefault="00D738A8" w:rsidP="004E3EE2">
      <w:r>
        <w:t xml:space="preserve">For ‘small’ batteries (ie button batteries) the </w:t>
      </w:r>
      <w:r w:rsidRPr="00D738A8">
        <w:rPr>
          <w:b/>
        </w:rPr>
        <w:t>voluntary Australian electric toy standard</w:t>
      </w:r>
      <w:r>
        <w:t xml:space="preserve"> requires accessibility only thorough the use of a tool</w:t>
      </w:r>
    </w:p>
    <w:p w14:paraId="65CD43B3" w14:textId="2C67DB92" w:rsidR="004E3EE2" w:rsidRDefault="00D738A8" w:rsidP="00D738A8">
      <w:r>
        <w:t>For ‘other’ batteries a</w:t>
      </w:r>
      <w:r w:rsidR="002E59F6">
        <w:t>ccess to a battery compartment</w:t>
      </w:r>
      <w:r w:rsidR="004E3EE2">
        <w:t xml:space="preserve"> </w:t>
      </w:r>
      <w:r w:rsidR="00D7501E">
        <w:t>shall require the use</w:t>
      </w:r>
      <w:r w:rsidR="004E3EE2">
        <w:t xml:space="preserve"> of a tool unless the security of the battery compartment is</w:t>
      </w:r>
      <w:r>
        <w:t xml:space="preserve"> adequate.</w:t>
      </w:r>
    </w:p>
    <w:p w14:paraId="0AF073EF" w14:textId="2520C6A3" w:rsidR="004E3EE2" w:rsidRPr="00052B24" w:rsidRDefault="00D7501E" w:rsidP="004E3EE2">
      <w:pPr>
        <w:rPr>
          <w:bCs/>
        </w:rPr>
      </w:pPr>
      <w:r>
        <w:rPr>
          <w:bCs/>
        </w:rPr>
        <w:lastRenderedPageBreak/>
        <w:t>T</w:t>
      </w:r>
      <w:r w:rsidR="00052B24" w:rsidRPr="00052B24">
        <w:rPr>
          <w:bCs/>
        </w:rPr>
        <w:t>he</w:t>
      </w:r>
      <w:r w:rsidR="00052B24">
        <w:rPr>
          <w:b/>
          <w:bCs/>
        </w:rPr>
        <w:t xml:space="preserve"> </w:t>
      </w:r>
      <w:r w:rsidR="0053643A" w:rsidRPr="00DA406F">
        <w:rPr>
          <w:b/>
          <w:bCs/>
        </w:rPr>
        <w:t xml:space="preserve">US </w:t>
      </w:r>
      <w:r w:rsidR="00652F04">
        <w:rPr>
          <w:b/>
          <w:bCs/>
        </w:rPr>
        <w:t xml:space="preserve">toy </w:t>
      </w:r>
      <w:r w:rsidR="00052B24" w:rsidRPr="00DA406F">
        <w:rPr>
          <w:b/>
          <w:bCs/>
        </w:rPr>
        <w:t>standard</w:t>
      </w:r>
      <w:r w:rsidR="00052B24" w:rsidRPr="00052B24">
        <w:rPr>
          <w:bCs/>
        </w:rPr>
        <w:t xml:space="preserve"> </w:t>
      </w:r>
      <w:r w:rsidR="00052B24">
        <w:rPr>
          <w:bCs/>
        </w:rPr>
        <w:t xml:space="preserve">requires that </w:t>
      </w:r>
      <w:r w:rsidR="00052B24">
        <w:t>f</w:t>
      </w:r>
      <w:r w:rsidR="004E3EE2">
        <w:t>or toys intended for children less than 3 years old</w:t>
      </w:r>
      <w:r w:rsidR="00E23B23">
        <w:t>,</w:t>
      </w:r>
      <w:r w:rsidR="004E3EE2">
        <w:t xml:space="preserve"> all batteries shall not be accessible before or after test</w:t>
      </w:r>
      <w:r w:rsidR="00066260">
        <w:t>ing</w:t>
      </w:r>
      <w:r w:rsidR="00E23B23">
        <w:t xml:space="preserve"> </w:t>
      </w:r>
      <w:r w:rsidR="004E3EE2">
        <w:t>without the use of a coin, screwdriver, or other common household tool. Testing is performed using the recommended batteries installed.</w:t>
      </w:r>
    </w:p>
    <w:p w14:paraId="459C44B5" w14:textId="77777777" w:rsidR="004E3EE2" w:rsidRPr="00D738A8" w:rsidRDefault="004E3EE2" w:rsidP="001D085A">
      <w:pPr>
        <w:pStyle w:val="Heading2"/>
        <w:keepNext/>
        <w:rPr>
          <w:rFonts w:eastAsia="Times New Roman" w:cs="Times New Roman"/>
          <w:color w:val="51626F"/>
        </w:rPr>
      </w:pPr>
      <w:r w:rsidRPr="00D738A8">
        <w:rPr>
          <w:rFonts w:eastAsia="Times New Roman" w:cs="Times New Roman"/>
          <w:color w:val="51626F"/>
        </w:rPr>
        <w:t>Comment</w:t>
      </w:r>
    </w:p>
    <w:p w14:paraId="4C8731A0" w14:textId="31CD89B2" w:rsidR="00D738A8" w:rsidRPr="00D738A8" w:rsidRDefault="00D738A8" w:rsidP="00D738A8">
      <w:pPr>
        <w:rPr>
          <w:rFonts w:ascii="Calibri" w:hAnsi="Calibri"/>
        </w:rPr>
      </w:pPr>
      <w:r>
        <w:t xml:space="preserve">The </w:t>
      </w:r>
      <w:r w:rsidRPr="00D738A8">
        <w:rPr>
          <w:b/>
        </w:rPr>
        <w:t>US toy standard</w:t>
      </w:r>
      <w:r>
        <w:t xml:space="preserve"> is similar to the </w:t>
      </w:r>
      <w:r w:rsidRPr="00D738A8">
        <w:rPr>
          <w:b/>
        </w:rPr>
        <w:t>voluntary Australian electric toy standard</w:t>
      </w:r>
      <w:r>
        <w:t xml:space="preserve"> as it permits only the use of a tool for assessing battery compartment security for ‘small’ (button) batteries, although the </w:t>
      </w:r>
      <w:r w:rsidRPr="00D738A8">
        <w:rPr>
          <w:b/>
        </w:rPr>
        <w:t>voluntary Australian electric toy standard</w:t>
      </w:r>
      <w:r>
        <w:t xml:space="preserve"> does offer an alternate method of securing the compartment for ‘other’ battery types through requirements for two independent movements to be applied simultaneously. </w:t>
      </w:r>
    </w:p>
    <w:p w14:paraId="65B3F35F" w14:textId="77777777" w:rsidR="00D17A34" w:rsidRDefault="00D738A8" w:rsidP="00D738A8">
      <w:r>
        <w:t xml:space="preserve">The options to consider for button battery compartment security are to either adopt the requirements of the </w:t>
      </w:r>
      <w:r w:rsidRPr="00D738A8">
        <w:rPr>
          <w:b/>
        </w:rPr>
        <w:t>voluntary Australian electric toy standard</w:t>
      </w:r>
      <w:r>
        <w:t xml:space="preserve"> only, to adopt the requirements of the </w:t>
      </w:r>
      <w:r w:rsidRPr="00D738A8">
        <w:rPr>
          <w:b/>
        </w:rPr>
        <w:t>US toy standard</w:t>
      </w:r>
      <w:r>
        <w:t xml:space="preserve"> only, or to permit compliance through either of the two standards. </w:t>
      </w:r>
    </w:p>
    <w:p w14:paraId="0D78E51C" w14:textId="0A0B11BB" w:rsidR="00AE63D9" w:rsidRPr="00D738A8" w:rsidRDefault="00D738A8" w:rsidP="00D738A8">
      <w:pPr>
        <w:rPr>
          <w:rFonts w:cs="Arial"/>
          <w:color w:val="1F497D"/>
        </w:rPr>
      </w:pPr>
      <w:r>
        <w:t xml:space="preserve">The </w:t>
      </w:r>
      <w:r w:rsidRPr="00D17A34">
        <w:rPr>
          <w:b/>
        </w:rPr>
        <w:t>voluntary Australian electric toy standard</w:t>
      </w:r>
      <w:r>
        <w:t xml:space="preserve"> has stricter requirements than the mandatory standard, has been made in a comparable jurisdiction to Australia</w:t>
      </w:r>
      <w:r w:rsidR="00D17A34">
        <w:t xml:space="preserve"> (via ISO)</w:t>
      </w:r>
      <w:r>
        <w:t xml:space="preserve">, does not raise safety concerns and is </w:t>
      </w:r>
      <w:r w:rsidR="00D17A34">
        <w:t xml:space="preserve">now </w:t>
      </w:r>
      <w:r>
        <w:t xml:space="preserve">applicable to the Australian context. On this basis, adoption of the small (button) battery compartment requirements in the </w:t>
      </w:r>
      <w:r w:rsidR="00D17A34" w:rsidRPr="00D17A34">
        <w:rPr>
          <w:b/>
        </w:rPr>
        <w:t>voluntary Australian e</w:t>
      </w:r>
      <w:r w:rsidRPr="00D17A34">
        <w:rPr>
          <w:b/>
        </w:rPr>
        <w:t xml:space="preserve">lectric toy standard </w:t>
      </w:r>
      <w:r>
        <w:t xml:space="preserve">or the </w:t>
      </w:r>
      <w:r w:rsidRPr="00D17A34">
        <w:rPr>
          <w:b/>
        </w:rPr>
        <w:t>US toy standard</w:t>
      </w:r>
      <w:r>
        <w:t xml:space="preserve"> both appear suitable</w:t>
      </w:r>
      <w:r w:rsidR="006328B8">
        <w:t>.</w:t>
      </w:r>
    </w:p>
    <w:p w14:paraId="2974EDA1" w14:textId="54795889" w:rsidR="00FD1BF9" w:rsidRPr="00381464" w:rsidRDefault="00937AFE" w:rsidP="0016747D">
      <w:pPr>
        <w:pStyle w:val="Numbered1"/>
        <w:keepNext/>
        <w:numPr>
          <w:ilvl w:val="0"/>
          <w:numId w:val="12"/>
        </w:numPr>
        <w:ind w:left="357" w:hanging="357"/>
        <w:rPr>
          <w:rFonts w:ascii="Lucida Fax" w:hAnsi="Lucida Fax"/>
          <w:color w:val="51626F"/>
        </w:rPr>
      </w:pPr>
      <w:bookmarkStart w:id="22" w:name="_Toc14788119"/>
      <w:bookmarkStart w:id="23" w:name="_Toc14796252"/>
      <w:bookmarkStart w:id="24" w:name="_Toc14788120"/>
      <w:bookmarkStart w:id="25" w:name="_Toc14796253"/>
      <w:bookmarkStart w:id="26" w:name="_Toc14788121"/>
      <w:bookmarkStart w:id="27" w:name="_Toc14796254"/>
      <w:bookmarkStart w:id="28" w:name="_Toc14788122"/>
      <w:bookmarkStart w:id="29" w:name="_Toc14796255"/>
      <w:bookmarkStart w:id="30" w:name="_Toc15468231"/>
      <w:bookmarkEnd w:id="22"/>
      <w:bookmarkEnd w:id="23"/>
      <w:bookmarkEnd w:id="24"/>
      <w:bookmarkEnd w:id="25"/>
      <w:bookmarkEnd w:id="26"/>
      <w:bookmarkEnd w:id="27"/>
      <w:bookmarkEnd w:id="28"/>
      <w:bookmarkEnd w:id="29"/>
      <w:r w:rsidRPr="00381464">
        <w:rPr>
          <w:rFonts w:ascii="Lucida Fax" w:hAnsi="Lucida Fax"/>
          <w:color w:val="51626F"/>
        </w:rPr>
        <w:t>Preliminary position</w:t>
      </w:r>
      <w:bookmarkEnd w:id="30"/>
    </w:p>
    <w:p w14:paraId="2F423DC1" w14:textId="4AB2F5BA" w:rsidR="00D317EE" w:rsidRDefault="00052B24" w:rsidP="001D085A">
      <w:r>
        <w:t>After consider</w:t>
      </w:r>
      <w:r w:rsidR="004012F1">
        <w:t>ing</w:t>
      </w:r>
      <w:r>
        <w:t xml:space="preserve"> the various </w:t>
      </w:r>
      <w:r w:rsidR="004012F1">
        <w:t>issues</w:t>
      </w:r>
      <w:r>
        <w:t xml:space="preserve"> and following the initial consultation process</w:t>
      </w:r>
      <w:r w:rsidR="00051E9B">
        <w:t>,</w:t>
      </w:r>
      <w:r>
        <w:t xml:space="preserve"> </w:t>
      </w:r>
      <w:r w:rsidR="00D32E71">
        <w:t xml:space="preserve">our preliminary view, subject to </w:t>
      </w:r>
      <w:r w:rsidR="00507E6A">
        <w:t xml:space="preserve">further </w:t>
      </w:r>
      <w:r w:rsidR="00D32E71">
        <w:t>consultation and assessment</w:t>
      </w:r>
      <w:r w:rsidR="00507E6A">
        <w:t>,</w:t>
      </w:r>
      <w:r w:rsidR="00D32E71">
        <w:t xml:space="preserve"> is</w:t>
      </w:r>
      <w:r w:rsidR="00280B43">
        <w:t xml:space="preserve"> </w:t>
      </w:r>
      <w:r w:rsidR="00D32E71">
        <w:t>that</w:t>
      </w:r>
      <w:r w:rsidR="00D85B33">
        <w:t xml:space="preserve"> </w:t>
      </w:r>
      <w:r w:rsidR="00D32E71">
        <w:t xml:space="preserve">a new </w:t>
      </w:r>
      <w:r w:rsidR="00652F04">
        <w:rPr>
          <w:b/>
        </w:rPr>
        <w:t>m</w:t>
      </w:r>
      <w:r w:rsidR="00D32E71">
        <w:rPr>
          <w:b/>
        </w:rPr>
        <w:t>andatory standard</w:t>
      </w:r>
      <w:r w:rsidR="00D32E71">
        <w:t xml:space="preserve"> could permit</w:t>
      </w:r>
      <w:r w:rsidR="00295EF7">
        <w:t xml:space="preserve"> suppliers of toys to</w:t>
      </w:r>
      <w:r w:rsidR="00295EF7" w:rsidRPr="00052B24">
        <w:t xml:space="preserve"> </w:t>
      </w:r>
      <w:r w:rsidR="00D85B33">
        <w:t>compl</w:t>
      </w:r>
      <w:r w:rsidR="00295EF7">
        <w:t>y</w:t>
      </w:r>
      <w:r w:rsidR="00D85B33">
        <w:t xml:space="preserve"> with either the </w:t>
      </w:r>
      <w:r w:rsidR="00BE7DD3">
        <w:rPr>
          <w:b/>
        </w:rPr>
        <w:t>v</w:t>
      </w:r>
      <w:r w:rsidR="00C9544E">
        <w:rPr>
          <w:b/>
        </w:rPr>
        <w:t>oluntary Australian e</w:t>
      </w:r>
      <w:r w:rsidR="0053643A" w:rsidRPr="00DA406F">
        <w:rPr>
          <w:b/>
        </w:rPr>
        <w:t>lectric toy standard</w:t>
      </w:r>
      <w:r w:rsidR="00D85B33">
        <w:t xml:space="preserve"> or </w:t>
      </w:r>
      <w:r w:rsidR="0053643A">
        <w:t xml:space="preserve">the </w:t>
      </w:r>
      <w:r w:rsidR="0053643A" w:rsidRPr="00DA406F">
        <w:rPr>
          <w:b/>
        </w:rPr>
        <w:t>US</w:t>
      </w:r>
      <w:r w:rsidR="00D85B33" w:rsidRPr="00DA406F">
        <w:rPr>
          <w:b/>
        </w:rPr>
        <w:t xml:space="preserve"> </w:t>
      </w:r>
      <w:r w:rsidR="00652F04">
        <w:rPr>
          <w:b/>
        </w:rPr>
        <w:t xml:space="preserve">toy </w:t>
      </w:r>
      <w:r w:rsidR="00D85B33" w:rsidRPr="00DA406F">
        <w:rPr>
          <w:b/>
        </w:rPr>
        <w:t>standard</w:t>
      </w:r>
      <w:r w:rsidR="00D32E71">
        <w:rPr>
          <w:b/>
        </w:rPr>
        <w:t xml:space="preserve"> </w:t>
      </w:r>
      <w:r w:rsidR="00D32E71">
        <w:t xml:space="preserve">for </w:t>
      </w:r>
      <w:r w:rsidR="004012F1">
        <w:t xml:space="preserve">both the </w:t>
      </w:r>
      <w:r w:rsidR="00D32E71">
        <w:t>warning requirements and for battery compartment security</w:t>
      </w:r>
      <w:r w:rsidR="00460D4E">
        <w:t>.</w:t>
      </w:r>
    </w:p>
    <w:p w14:paraId="156E4FC5" w14:textId="5AEF7401" w:rsidR="006F6B2B" w:rsidRPr="00D317EE" w:rsidRDefault="00D85B33" w:rsidP="001D085A">
      <w:pPr>
        <w:rPr>
          <w:u w:val="single"/>
        </w:rPr>
      </w:pPr>
      <w:r>
        <w:t>This would only be</w:t>
      </w:r>
      <w:r w:rsidR="00051E9B">
        <w:t xml:space="preserve"> </w:t>
      </w:r>
      <w:r w:rsidR="00052B24">
        <w:t xml:space="preserve">with respect to button battery safety </w:t>
      </w:r>
      <w:r w:rsidR="00066260" w:rsidRPr="00D317EE">
        <w:rPr>
          <w:u w:val="single"/>
        </w:rPr>
        <w:t>in toys intended for children up to and including 36 months of age</w:t>
      </w:r>
      <w:r w:rsidRPr="00D317EE">
        <w:rPr>
          <w:u w:val="single"/>
        </w:rPr>
        <w:t>.</w:t>
      </w:r>
    </w:p>
    <w:p w14:paraId="0CA2F436" w14:textId="68540345" w:rsidR="006168AF" w:rsidRDefault="005166BA" w:rsidP="001D085A">
      <w:r w:rsidRPr="00BA085A">
        <w:t xml:space="preserve">The basis for this position is that both standards have been made by recognised technical standards making bodies which operate in similar jurisdictions to Australia. </w:t>
      </w:r>
      <w:r w:rsidR="008C5403" w:rsidRPr="00BA085A">
        <w:t>We are also not aware of evidence of injuries or deaths to children which have been attributed to the inadequacy of the r</w:t>
      </w:r>
      <w:r w:rsidR="006328B8">
        <w:t>equirements in either standard.</w:t>
      </w:r>
    </w:p>
    <w:p w14:paraId="12CF10CD" w14:textId="4000E8AE" w:rsidR="00AF1888" w:rsidRDefault="00000424" w:rsidP="001D085A">
      <w:r>
        <w:t xml:space="preserve">In considering this option for warning requirements we are conscious that the regulatory approach in Australia would differ from the </w:t>
      </w:r>
      <w:r w:rsidR="004012F1">
        <w:t>overseas</w:t>
      </w:r>
      <w:r>
        <w:t xml:space="preserve"> jurisdictions in that it would permit comparable but differing approaches to apply whereas the </w:t>
      </w:r>
      <w:r w:rsidR="004012F1">
        <w:t>overseas</w:t>
      </w:r>
      <w:r>
        <w:t xml:space="preserve"> jurisdictions permit one regulatory r</w:t>
      </w:r>
      <w:r w:rsidR="00460D4E">
        <w:t>egime for warning requirements.</w:t>
      </w:r>
    </w:p>
    <w:p w14:paraId="609EB587" w14:textId="2AC0C64D" w:rsidR="005166BA" w:rsidRPr="00BA085A" w:rsidRDefault="00000424" w:rsidP="006F6B2B">
      <w:r>
        <w:t xml:space="preserve">Given the warning requirements in each </w:t>
      </w:r>
      <w:r w:rsidR="004012F1">
        <w:t xml:space="preserve">jurisdiction </w:t>
      </w:r>
      <w:r>
        <w:t xml:space="preserve">direct consumers to the same outcome, namely to seek immediate medical attention, our preliminary view is that this approach is not likely to create consumer confusion </w:t>
      </w:r>
      <w:r w:rsidR="004012F1">
        <w:t>or</w:t>
      </w:r>
      <w:r>
        <w:t xml:space="preserve"> diminish consumer safety. </w:t>
      </w:r>
      <w:r w:rsidR="004012F1">
        <w:t>W</w:t>
      </w:r>
      <w:r>
        <w:t>e are interested to obtain the views of interes</w:t>
      </w:r>
      <w:r w:rsidR="00460D4E">
        <w:t>ted stakeholders on this issue.</w:t>
      </w:r>
    </w:p>
    <w:p w14:paraId="3D0377D8" w14:textId="13587216" w:rsidR="006233E4" w:rsidRDefault="00855CAE" w:rsidP="006F6B2B">
      <w:r>
        <w:t xml:space="preserve">Mandating </w:t>
      </w:r>
      <w:r w:rsidR="00674A83">
        <w:t xml:space="preserve">this option would </w:t>
      </w:r>
      <w:r w:rsidR="00BA03CC">
        <w:t xml:space="preserve">provide suppliers with the </w:t>
      </w:r>
      <w:r>
        <w:t xml:space="preserve">choice </w:t>
      </w:r>
      <w:r w:rsidR="00BA03CC">
        <w:t xml:space="preserve">of meeting the relevant requirements of either </w:t>
      </w:r>
      <w:r w:rsidR="000E49B3">
        <w:t xml:space="preserve">the </w:t>
      </w:r>
      <w:r w:rsidR="00BE7DD3">
        <w:rPr>
          <w:b/>
        </w:rPr>
        <w:t>v</w:t>
      </w:r>
      <w:r w:rsidR="00C9544E">
        <w:rPr>
          <w:b/>
        </w:rPr>
        <w:t>oluntary Australian e</w:t>
      </w:r>
      <w:r w:rsidR="000E49B3" w:rsidRPr="000E49B3">
        <w:rPr>
          <w:b/>
        </w:rPr>
        <w:t>lectric toy standard</w:t>
      </w:r>
      <w:r w:rsidR="000E49B3">
        <w:t xml:space="preserve"> (</w:t>
      </w:r>
      <w:r w:rsidR="00BA03CC" w:rsidRPr="000E49B3">
        <w:t>AS/NZS 62115:2018</w:t>
      </w:r>
      <w:r w:rsidR="004012F1">
        <w:t>)</w:t>
      </w:r>
      <w:r w:rsidR="00BA03CC" w:rsidRPr="00652F04">
        <w:rPr>
          <w:b/>
        </w:rPr>
        <w:t xml:space="preserve"> </w:t>
      </w:r>
      <w:r w:rsidR="00BA03CC" w:rsidRPr="000E49B3">
        <w:t>or</w:t>
      </w:r>
      <w:r w:rsidR="00BA03CC" w:rsidRPr="00652F04">
        <w:rPr>
          <w:b/>
        </w:rPr>
        <w:t xml:space="preserve"> </w:t>
      </w:r>
      <w:r w:rsidR="000E49B3">
        <w:rPr>
          <w:b/>
        </w:rPr>
        <w:t xml:space="preserve">the US toy standard </w:t>
      </w:r>
      <w:r w:rsidR="004012F1">
        <w:rPr>
          <w:b/>
        </w:rPr>
        <w:t>(</w:t>
      </w:r>
      <w:r w:rsidR="00BA03CC" w:rsidRPr="00A661CA">
        <w:t>ASTM F963-17</w:t>
      </w:r>
      <w:r w:rsidR="000E49B3" w:rsidRPr="00A661CA">
        <w:t>)</w:t>
      </w:r>
      <w:r w:rsidR="00BA03CC">
        <w:t xml:space="preserve"> for toys intended </w:t>
      </w:r>
      <w:r w:rsidR="00BA03CC" w:rsidRPr="008F7310">
        <w:rPr>
          <w:u w:val="single"/>
        </w:rPr>
        <w:t xml:space="preserve">for children up to and including 36 months of age </w:t>
      </w:r>
      <w:r w:rsidR="00BA03CC">
        <w:t>with respect to packaging and instruction warnings</w:t>
      </w:r>
      <w:r w:rsidR="0046685D">
        <w:t xml:space="preserve"> </w:t>
      </w:r>
      <w:r w:rsidR="000E49B3">
        <w:t>on</w:t>
      </w:r>
      <w:r w:rsidR="0046685D">
        <w:t xml:space="preserve"> battery safety </w:t>
      </w:r>
      <w:r w:rsidR="00BA03CC">
        <w:t>and battery compartment security.</w:t>
      </w:r>
    </w:p>
    <w:p w14:paraId="0B72A2DC" w14:textId="77777777" w:rsidR="003475BF" w:rsidRPr="0056055D" w:rsidRDefault="00126288" w:rsidP="00D41A0E">
      <w:pPr>
        <w:pStyle w:val="Numbered1"/>
        <w:numPr>
          <w:ilvl w:val="0"/>
          <w:numId w:val="12"/>
        </w:numPr>
        <w:ind w:left="357" w:hanging="357"/>
        <w:rPr>
          <w:rFonts w:ascii="Lucida Fax" w:hAnsi="Lucida Fax"/>
          <w:color w:val="51626F"/>
        </w:rPr>
      </w:pPr>
      <w:bookmarkStart w:id="31" w:name="_Toc15468232"/>
      <w:r w:rsidRPr="0056055D">
        <w:rPr>
          <w:rFonts w:ascii="Lucida Fax" w:hAnsi="Lucida Fax"/>
          <w:color w:val="51626F"/>
        </w:rPr>
        <w:lastRenderedPageBreak/>
        <w:t>Key questions</w:t>
      </w:r>
      <w:bookmarkEnd w:id="31"/>
    </w:p>
    <w:p w14:paraId="13C1C7C0" w14:textId="567F1715" w:rsidR="00291099" w:rsidRDefault="00291099" w:rsidP="00D41A0E">
      <w:pPr>
        <w:spacing w:after="240"/>
      </w:pPr>
      <w:r w:rsidRPr="00291099">
        <w:t>Please consider the following questions in your submission. Submissions do not need to answer all or any of these questions and may include any information that might be relevant for this review.</w:t>
      </w:r>
    </w:p>
    <w:tbl>
      <w:tblPr>
        <w:tblStyle w:val="TableGrid"/>
        <w:tblW w:w="854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45"/>
      </w:tblGrid>
      <w:tr w:rsidR="00291099" w14:paraId="39DC957D" w14:textId="77777777" w:rsidTr="00EC5EFF">
        <w:trPr>
          <w:cnfStyle w:val="100000000000" w:firstRow="1" w:lastRow="0" w:firstColumn="0" w:lastColumn="0" w:oddVBand="0" w:evenVBand="0" w:oddHBand="0"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85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178E73" w14:textId="5182E6E9" w:rsidR="00C738C7" w:rsidRDefault="00EC5EFF" w:rsidP="00E10134">
            <w:pPr>
              <w:pStyle w:val="LegalNumbering"/>
              <w:keepNext/>
              <w:numPr>
                <w:ilvl w:val="0"/>
                <w:numId w:val="28"/>
              </w:numPr>
              <w:tabs>
                <w:tab w:val="clear" w:pos="340"/>
                <w:tab w:val="clear" w:pos="680"/>
                <w:tab w:val="clear" w:pos="1021"/>
                <w:tab w:val="clear" w:pos="1361"/>
                <w:tab w:val="left" w:pos="4299"/>
              </w:tabs>
              <w:ind w:left="465" w:hanging="425"/>
              <w:rPr>
                <w:b w:val="0"/>
                <w:sz w:val="22"/>
              </w:rPr>
            </w:pPr>
            <w:r w:rsidRPr="00462D6C">
              <w:rPr>
                <w:b w:val="0"/>
                <w:sz w:val="22"/>
              </w:rPr>
              <w:t xml:space="preserve">Do you support </w:t>
            </w:r>
            <w:r w:rsidR="00051E9B" w:rsidRPr="00462D6C">
              <w:rPr>
                <w:b w:val="0"/>
                <w:sz w:val="22"/>
              </w:rPr>
              <w:t>the proposed option to allow compliance with either</w:t>
            </w:r>
            <w:r w:rsidR="00BA085A">
              <w:rPr>
                <w:b w:val="0"/>
                <w:sz w:val="22"/>
              </w:rPr>
              <w:t xml:space="preserve"> one of</w:t>
            </w:r>
            <w:r w:rsidR="00051E9B" w:rsidRPr="00462D6C">
              <w:rPr>
                <w:b w:val="0"/>
                <w:sz w:val="22"/>
              </w:rPr>
              <w:t xml:space="preserve"> the </w:t>
            </w:r>
            <w:r w:rsidR="00BE7DD3">
              <w:rPr>
                <w:sz w:val="22"/>
              </w:rPr>
              <w:t>v</w:t>
            </w:r>
            <w:r w:rsidR="00C9544E">
              <w:rPr>
                <w:sz w:val="22"/>
              </w:rPr>
              <w:t>oluntary Australian e</w:t>
            </w:r>
            <w:r w:rsidR="000E49B3" w:rsidRPr="00D317EE">
              <w:rPr>
                <w:sz w:val="22"/>
              </w:rPr>
              <w:t>lectric toy standard</w:t>
            </w:r>
            <w:r w:rsidR="00051E9B" w:rsidRPr="00462D6C">
              <w:rPr>
                <w:b w:val="0"/>
                <w:sz w:val="22"/>
              </w:rPr>
              <w:t xml:space="preserve"> or </w:t>
            </w:r>
            <w:r w:rsidR="000E49B3">
              <w:rPr>
                <w:b w:val="0"/>
                <w:sz w:val="22"/>
              </w:rPr>
              <w:t xml:space="preserve">the </w:t>
            </w:r>
            <w:r w:rsidR="007C0AE9" w:rsidRPr="00D317EE">
              <w:rPr>
                <w:sz w:val="22"/>
              </w:rPr>
              <w:t xml:space="preserve">US </w:t>
            </w:r>
            <w:r w:rsidR="000E49B3" w:rsidRPr="00D317EE">
              <w:rPr>
                <w:sz w:val="22"/>
              </w:rPr>
              <w:t>toy standard</w:t>
            </w:r>
            <w:r w:rsidR="000E49B3">
              <w:rPr>
                <w:b w:val="0"/>
                <w:sz w:val="22"/>
              </w:rPr>
              <w:t>,</w:t>
            </w:r>
            <w:r w:rsidR="00BA085A">
              <w:rPr>
                <w:b w:val="0"/>
                <w:sz w:val="22"/>
              </w:rPr>
              <w:t xml:space="preserve"> or both</w:t>
            </w:r>
            <w:r w:rsidR="000E49B3">
              <w:rPr>
                <w:b w:val="0"/>
                <w:sz w:val="22"/>
              </w:rPr>
              <w:t>,</w:t>
            </w:r>
            <w:r w:rsidR="00964790">
              <w:rPr>
                <w:b w:val="0"/>
                <w:sz w:val="22"/>
              </w:rPr>
              <w:t xml:space="preserve"> for battery compartments</w:t>
            </w:r>
            <w:r w:rsidR="00051E9B" w:rsidRPr="00462D6C">
              <w:rPr>
                <w:b w:val="0"/>
                <w:sz w:val="22"/>
              </w:rPr>
              <w:t>?</w:t>
            </w:r>
            <w:r w:rsidRPr="00462D6C">
              <w:rPr>
                <w:b w:val="0"/>
                <w:sz w:val="22"/>
              </w:rPr>
              <w:t xml:space="preserve"> If </w:t>
            </w:r>
            <w:r w:rsidR="004E3EE2" w:rsidRPr="00462D6C">
              <w:rPr>
                <w:b w:val="0"/>
                <w:sz w:val="22"/>
              </w:rPr>
              <w:t>not,</w:t>
            </w:r>
            <w:r w:rsidRPr="00462D6C">
              <w:rPr>
                <w:b w:val="0"/>
                <w:sz w:val="22"/>
              </w:rPr>
              <w:t xml:space="preserve"> why not?</w:t>
            </w:r>
          </w:p>
          <w:p w14:paraId="23A831E7" w14:textId="51B29087" w:rsidR="00964790" w:rsidRDefault="00964790" w:rsidP="00964790">
            <w:pPr>
              <w:pStyle w:val="LegalNumbering"/>
              <w:keepNext/>
              <w:numPr>
                <w:ilvl w:val="0"/>
                <w:numId w:val="28"/>
              </w:numPr>
              <w:tabs>
                <w:tab w:val="clear" w:pos="340"/>
                <w:tab w:val="clear" w:pos="680"/>
                <w:tab w:val="clear" w:pos="1021"/>
                <w:tab w:val="clear" w:pos="1361"/>
                <w:tab w:val="left" w:pos="4299"/>
              </w:tabs>
              <w:ind w:left="465" w:hanging="425"/>
              <w:rPr>
                <w:b w:val="0"/>
                <w:sz w:val="22"/>
              </w:rPr>
            </w:pPr>
            <w:r w:rsidRPr="00462D6C">
              <w:rPr>
                <w:b w:val="0"/>
                <w:sz w:val="22"/>
              </w:rPr>
              <w:t>Do you support the proposed option to allow compliance with either</w:t>
            </w:r>
            <w:r w:rsidR="00BA085A">
              <w:rPr>
                <w:b w:val="0"/>
                <w:sz w:val="22"/>
              </w:rPr>
              <w:t xml:space="preserve"> one of</w:t>
            </w:r>
            <w:r w:rsidR="000E49B3">
              <w:rPr>
                <w:b w:val="0"/>
                <w:sz w:val="22"/>
              </w:rPr>
              <w:t xml:space="preserve"> the </w:t>
            </w:r>
            <w:r w:rsidR="00BE7DD3">
              <w:rPr>
                <w:sz w:val="22"/>
              </w:rPr>
              <w:t>v</w:t>
            </w:r>
            <w:r w:rsidR="00C9544E">
              <w:rPr>
                <w:sz w:val="22"/>
              </w:rPr>
              <w:t>oluntary Australian e</w:t>
            </w:r>
            <w:r w:rsidR="000E49B3" w:rsidRPr="00D317EE">
              <w:rPr>
                <w:sz w:val="22"/>
              </w:rPr>
              <w:t>lectric toy standard</w:t>
            </w:r>
            <w:r w:rsidRPr="00462D6C">
              <w:rPr>
                <w:b w:val="0"/>
                <w:sz w:val="22"/>
              </w:rPr>
              <w:t xml:space="preserve"> or </w:t>
            </w:r>
            <w:r w:rsidR="000E49B3">
              <w:rPr>
                <w:b w:val="0"/>
                <w:sz w:val="22"/>
              </w:rPr>
              <w:t xml:space="preserve">the </w:t>
            </w:r>
            <w:r w:rsidRPr="00D317EE">
              <w:rPr>
                <w:sz w:val="22"/>
              </w:rPr>
              <w:t xml:space="preserve">US </w:t>
            </w:r>
            <w:r w:rsidR="000E49B3" w:rsidRPr="00D317EE">
              <w:rPr>
                <w:sz w:val="22"/>
              </w:rPr>
              <w:t>toy standard</w:t>
            </w:r>
            <w:r w:rsidR="000E49B3">
              <w:rPr>
                <w:b w:val="0"/>
                <w:sz w:val="22"/>
              </w:rPr>
              <w:t>,</w:t>
            </w:r>
            <w:r w:rsidR="00BA085A">
              <w:rPr>
                <w:b w:val="0"/>
                <w:sz w:val="22"/>
              </w:rPr>
              <w:t xml:space="preserve"> or both</w:t>
            </w:r>
            <w:r w:rsidR="000E49B3">
              <w:rPr>
                <w:b w:val="0"/>
                <w:sz w:val="22"/>
              </w:rPr>
              <w:t>,</w:t>
            </w:r>
            <w:r>
              <w:rPr>
                <w:b w:val="0"/>
                <w:sz w:val="22"/>
              </w:rPr>
              <w:t xml:space="preserve"> for warnings</w:t>
            </w:r>
            <w:r w:rsidRPr="00462D6C">
              <w:rPr>
                <w:b w:val="0"/>
                <w:sz w:val="22"/>
              </w:rPr>
              <w:t>? If not, why not?</w:t>
            </w:r>
          </w:p>
          <w:p w14:paraId="2A66865A" w14:textId="4DFACD0D" w:rsidR="00A642FB" w:rsidRDefault="00A642FB" w:rsidP="00964790">
            <w:pPr>
              <w:pStyle w:val="LegalNumbering"/>
              <w:keepNext/>
              <w:numPr>
                <w:ilvl w:val="0"/>
                <w:numId w:val="28"/>
              </w:numPr>
              <w:tabs>
                <w:tab w:val="clear" w:pos="340"/>
                <w:tab w:val="clear" w:pos="680"/>
                <w:tab w:val="clear" w:pos="1021"/>
                <w:tab w:val="clear" w:pos="1361"/>
                <w:tab w:val="left" w:pos="4299"/>
              </w:tabs>
              <w:ind w:left="465" w:hanging="425"/>
              <w:rPr>
                <w:b w:val="0"/>
                <w:sz w:val="22"/>
              </w:rPr>
            </w:pPr>
            <w:r>
              <w:rPr>
                <w:b w:val="0"/>
                <w:sz w:val="22"/>
              </w:rPr>
              <w:t>Would allowing compliance with the warning re</w:t>
            </w:r>
            <w:r w:rsidR="000E49B3">
              <w:rPr>
                <w:b w:val="0"/>
                <w:sz w:val="22"/>
              </w:rPr>
              <w:t xml:space="preserve">quirements of either the </w:t>
            </w:r>
            <w:r w:rsidR="00BE7DD3">
              <w:rPr>
                <w:sz w:val="22"/>
              </w:rPr>
              <w:t>v</w:t>
            </w:r>
            <w:r w:rsidR="00C9544E">
              <w:rPr>
                <w:sz w:val="22"/>
              </w:rPr>
              <w:t>oluntary Australian e</w:t>
            </w:r>
            <w:r w:rsidR="000E49B3" w:rsidRPr="00D317EE">
              <w:rPr>
                <w:sz w:val="22"/>
              </w:rPr>
              <w:t>lectric toy standard</w:t>
            </w:r>
            <w:r>
              <w:rPr>
                <w:b w:val="0"/>
                <w:sz w:val="22"/>
              </w:rPr>
              <w:t xml:space="preserve"> or </w:t>
            </w:r>
            <w:r w:rsidR="000E49B3">
              <w:rPr>
                <w:b w:val="0"/>
                <w:sz w:val="22"/>
              </w:rPr>
              <w:t xml:space="preserve">the </w:t>
            </w:r>
            <w:r w:rsidRPr="00D317EE">
              <w:rPr>
                <w:sz w:val="22"/>
              </w:rPr>
              <w:t xml:space="preserve">US </w:t>
            </w:r>
            <w:r w:rsidR="000E49B3" w:rsidRPr="00D317EE">
              <w:rPr>
                <w:sz w:val="22"/>
              </w:rPr>
              <w:t xml:space="preserve">toy </w:t>
            </w:r>
            <w:r w:rsidRPr="00D317EE">
              <w:rPr>
                <w:sz w:val="22"/>
              </w:rPr>
              <w:t>standard</w:t>
            </w:r>
            <w:r>
              <w:rPr>
                <w:b w:val="0"/>
                <w:sz w:val="22"/>
              </w:rPr>
              <w:t xml:space="preserve"> lead to consumer confusion about the hazards associated with button batteries and the appropriate action to address this hazard?</w:t>
            </w:r>
          </w:p>
          <w:p w14:paraId="744FF0FA" w14:textId="7881BF52" w:rsidR="00291099" w:rsidRPr="00291099" w:rsidRDefault="00F435E1" w:rsidP="00F435E1">
            <w:pPr>
              <w:pStyle w:val="LegalNumbering"/>
              <w:keepNext/>
              <w:numPr>
                <w:ilvl w:val="0"/>
                <w:numId w:val="28"/>
              </w:numPr>
              <w:tabs>
                <w:tab w:val="clear" w:pos="340"/>
                <w:tab w:val="clear" w:pos="680"/>
                <w:tab w:val="clear" w:pos="1021"/>
                <w:tab w:val="clear" w:pos="1361"/>
                <w:tab w:val="left" w:pos="4299"/>
              </w:tabs>
              <w:ind w:left="465" w:hanging="425"/>
              <w:rPr>
                <w:b w:val="0"/>
                <w:sz w:val="22"/>
              </w:rPr>
            </w:pPr>
            <w:r>
              <w:rPr>
                <w:b w:val="0"/>
                <w:sz w:val="22"/>
              </w:rPr>
              <w:t>Do</w:t>
            </w:r>
            <w:r w:rsidR="00EC5EFF" w:rsidRPr="00462D6C">
              <w:rPr>
                <w:b w:val="0"/>
                <w:sz w:val="22"/>
              </w:rPr>
              <w:t xml:space="preserve"> you </w:t>
            </w:r>
            <w:r w:rsidR="00051E9B" w:rsidRPr="00462D6C">
              <w:rPr>
                <w:b w:val="0"/>
                <w:sz w:val="22"/>
              </w:rPr>
              <w:t xml:space="preserve">support some </w:t>
            </w:r>
            <w:r w:rsidR="00EC5EFF" w:rsidRPr="00462D6C">
              <w:rPr>
                <w:b w:val="0"/>
                <w:sz w:val="22"/>
              </w:rPr>
              <w:t>other option? If so</w:t>
            </w:r>
            <w:r w:rsidR="007C0AE9">
              <w:rPr>
                <w:b w:val="0"/>
                <w:sz w:val="22"/>
              </w:rPr>
              <w:t>,</w:t>
            </w:r>
            <w:r w:rsidR="00EC5EFF" w:rsidRPr="00462D6C">
              <w:rPr>
                <w:b w:val="0"/>
                <w:sz w:val="22"/>
              </w:rPr>
              <w:t xml:space="preserve"> </w:t>
            </w:r>
            <w:r>
              <w:rPr>
                <w:b w:val="0"/>
                <w:sz w:val="22"/>
              </w:rPr>
              <w:t>please provide details</w:t>
            </w:r>
            <w:r w:rsidR="00754610">
              <w:rPr>
                <w:b w:val="0"/>
                <w:sz w:val="22"/>
              </w:rPr>
              <w:t>.</w:t>
            </w:r>
          </w:p>
        </w:tc>
      </w:tr>
    </w:tbl>
    <w:p w14:paraId="2CC30C7B" w14:textId="156832D9" w:rsidR="000F121A" w:rsidRPr="0056055D" w:rsidRDefault="0051448C" w:rsidP="006A363D">
      <w:pPr>
        <w:pStyle w:val="Numbered1"/>
        <w:numPr>
          <w:ilvl w:val="0"/>
          <w:numId w:val="12"/>
        </w:numPr>
        <w:ind w:left="357" w:hanging="357"/>
        <w:rPr>
          <w:rFonts w:ascii="Lucida Fax" w:hAnsi="Lucida Fax"/>
          <w:color w:val="51626F"/>
        </w:rPr>
      </w:pPr>
      <w:bookmarkStart w:id="32" w:name="_Toc15468233"/>
      <w:r w:rsidRPr="0056055D">
        <w:rPr>
          <w:rFonts w:ascii="Lucida Fax" w:hAnsi="Lucida Fax"/>
          <w:color w:val="51626F"/>
        </w:rPr>
        <w:t>Have your say</w:t>
      </w:r>
      <w:bookmarkEnd w:id="32"/>
    </w:p>
    <w:p w14:paraId="164F0CE1" w14:textId="55281DD7" w:rsidR="0051448C" w:rsidRDefault="0051448C" w:rsidP="0051448C">
      <w:pPr>
        <w:keepNext/>
      </w:pPr>
      <w:r>
        <w:t>The ACCC invites</w:t>
      </w:r>
      <w:r w:rsidR="00CF6268">
        <w:t xml:space="preserve"> you to comment on this review.</w:t>
      </w:r>
      <w:r w:rsidR="00E849B7">
        <w:t xml:space="preserve"> </w:t>
      </w:r>
      <w:r>
        <w:t>Th</w:t>
      </w:r>
      <w:r w:rsidR="00EB7B42">
        <w:t xml:space="preserve">is </w:t>
      </w:r>
      <w:r>
        <w:t xml:space="preserve">consultation is open from </w:t>
      </w:r>
      <w:r w:rsidR="00D17A34">
        <w:t>1</w:t>
      </w:r>
      <w:r w:rsidR="00AC407A">
        <w:t>4</w:t>
      </w:r>
      <w:r w:rsidR="00244BDE" w:rsidRPr="00C9544E">
        <w:t xml:space="preserve"> </w:t>
      </w:r>
      <w:r w:rsidR="00C9544E" w:rsidRPr="00C9544E">
        <w:t>November</w:t>
      </w:r>
      <w:r w:rsidR="005603E4" w:rsidRPr="00C9544E">
        <w:t xml:space="preserve"> </w:t>
      </w:r>
      <w:r w:rsidR="0055691F" w:rsidRPr="00C9544E">
        <w:t xml:space="preserve">2019 to </w:t>
      </w:r>
      <w:r w:rsidR="00635047">
        <w:t>13</w:t>
      </w:r>
      <w:r w:rsidR="0008663D">
        <w:t xml:space="preserve"> December</w:t>
      </w:r>
      <w:r w:rsidR="005603E4" w:rsidRPr="00C9544E">
        <w:t xml:space="preserve"> </w:t>
      </w:r>
      <w:r w:rsidR="00AC2497" w:rsidRPr="00C9544E">
        <w:t>2019</w:t>
      </w:r>
      <w:r w:rsidRPr="00C9544E">
        <w:t>.</w:t>
      </w:r>
    </w:p>
    <w:p w14:paraId="71ADD5D3" w14:textId="77777777" w:rsidR="0051448C" w:rsidRDefault="0051448C" w:rsidP="0051448C">
      <w:pPr>
        <w:keepNext/>
      </w:pPr>
      <w:r>
        <w:t xml:space="preserve">The ACCC prefers that you submit your answers and other feedback online on our </w:t>
      </w:r>
      <w:r w:rsidRPr="00D854DB">
        <w:t>consultation hub</w:t>
      </w:r>
      <w:r w:rsidRPr="00D854DB">
        <w:rPr>
          <w:rStyle w:val="Hyperlink"/>
          <w:color w:val="auto"/>
          <w:u w:val="none"/>
        </w:rPr>
        <w:t xml:space="preserve"> at </w:t>
      </w:r>
      <w:hyperlink r:id="rId24" w:history="1">
        <w:r w:rsidRPr="0071058F">
          <w:rPr>
            <w:rStyle w:val="Hyperlink"/>
          </w:rPr>
          <w:t>consultation.accc.gov.au</w:t>
        </w:r>
      </w:hyperlink>
      <w:r>
        <w:t>.</w:t>
      </w:r>
    </w:p>
    <w:p w14:paraId="34F0E16F" w14:textId="77777777" w:rsidR="0051448C" w:rsidRDefault="0051448C" w:rsidP="0051448C">
      <w:r>
        <w:t>Submissions can also be posted to:</w:t>
      </w:r>
    </w:p>
    <w:p w14:paraId="18053AD0" w14:textId="77777777" w:rsidR="0051448C" w:rsidRPr="002747CF" w:rsidRDefault="0051448C" w:rsidP="0051448C">
      <w:pPr>
        <w:ind w:left="340"/>
      </w:pPr>
      <w:r>
        <w:t>Director</w:t>
      </w:r>
      <w:r>
        <w:br/>
      </w:r>
      <w:r w:rsidRPr="00A07FB8">
        <w:t>Standards</w:t>
      </w:r>
      <w:r>
        <w:t xml:space="preserve"> and</w:t>
      </w:r>
      <w:r w:rsidRPr="00A07FB8">
        <w:t xml:space="preserve"> Policy</w:t>
      </w:r>
      <w:r>
        <w:br/>
        <w:t>Consumer Product Safety Branch</w:t>
      </w:r>
      <w:r>
        <w:br/>
      </w:r>
      <w:r w:rsidRPr="002747CF">
        <w:t>Australian Competition and Consumer Commission</w:t>
      </w:r>
      <w:r w:rsidRPr="002747CF">
        <w:br/>
        <w:t>GPO Box 3131</w:t>
      </w:r>
      <w:r w:rsidRPr="002747CF">
        <w:br/>
        <w:t>CANBERRA ACT 2601</w:t>
      </w:r>
    </w:p>
    <w:p w14:paraId="07A456BD" w14:textId="460F11BD" w:rsidR="0051448C" w:rsidRPr="008751E9" w:rsidRDefault="0051448C" w:rsidP="0051448C">
      <w:r w:rsidRPr="00F806A2">
        <w:t>If the information you provide is of a confidential nature, we assure you that we will treat the details you provided confidentially. That is, the ACCC will not disclose the confidential information to third parties, other than advisors or consultants engaged directly by the ACCC, without first providing you with notice of its intention to do so, such as where it is compelled to do so by law. Please note that any information that you believe to be of a confidential nature should be clearly marked or identified as confidential.</w:t>
      </w:r>
      <w:r>
        <w:t xml:space="preserve"> See the </w:t>
      </w:r>
      <w:hyperlink r:id="rId25" w:history="1">
        <w:r>
          <w:rPr>
            <w:rStyle w:val="Hyperlink"/>
          </w:rPr>
          <w:t>ACCC &amp; AER information policy: collection and disclosure of information</w:t>
        </w:r>
      </w:hyperlink>
      <w:r>
        <w:t xml:space="preserve"> publication for more information.</w:t>
      </w:r>
    </w:p>
    <w:sectPr w:rsidR="0051448C" w:rsidRPr="008751E9" w:rsidSect="00CC0BB1">
      <w:headerReference w:type="even" r:id="rId26"/>
      <w:headerReference w:type="default" r:id="rId27"/>
      <w:footerReference w:type="default" r:id="rId28"/>
      <w:headerReference w:type="first" r:id="rId29"/>
      <w:footerReference w:type="first" r:id="rId30"/>
      <w:pgSz w:w="11906" w:h="16838"/>
      <w:pgMar w:top="1276" w:right="1440" w:bottom="1440" w:left="1440" w:header="708" w:footer="708" w:gutter="0"/>
      <w:pgNumType w:start="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9A6722" w16cid:durableId="1F9F9EA6"/>
  <w16cid:commentId w16cid:paraId="5B73491C" w16cid:durableId="1F9F9F95"/>
  <w16cid:commentId w16cid:paraId="70C89521" w16cid:durableId="1F9F9FBC"/>
  <w16cid:commentId w16cid:paraId="5A0E0AA6" w16cid:durableId="1F9FA08E"/>
  <w16cid:commentId w16cid:paraId="67BB5F4A" w16cid:durableId="1F9F9EA7"/>
  <w16cid:commentId w16cid:paraId="75D718D6" w16cid:durableId="1F9FA0CF"/>
  <w16cid:commentId w16cid:paraId="57E0C167" w16cid:durableId="1F9F9EA8"/>
  <w16cid:commentId w16cid:paraId="64686967" w16cid:durableId="1F9FA16A"/>
  <w16cid:commentId w16cid:paraId="4705F368" w16cid:durableId="1F9FA1E6"/>
  <w16cid:commentId w16cid:paraId="4A57AE3A" w16cid:durableId="1F9FA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AD5F2" w14:textId="77777777" w:rsidR="00EF017B" w:rsidRDefault="00EF017B" w:rsidP="004B4412">
      <w:pPr>
        <w:spacing w:before="0"/>
      </w:pPr>
      <w:r>
        <w:separator/>
      </w:r>
    </w:p>
  </w:endnote>
  <w:endnote w:type="continuationSeparator" w:id="0">
    <w:p w14:paraId="42F44D07" w14:textId="77777777" w:rsidR="00EF017B" w:rsidRDefault="00EF017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9A84" w14:textId="77777777" w:rsidR="004012F1" w:rsidRDefault="00401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049720"/>
      <w:docPartObj>
        <w:docPartGallery w:val="Page Numbers (Bottom of Page)"/>
        <w:docPartUnique/>
      </w:docPartObj>
    </w:sdtPr>
    <w:sdtEndPr>
      <w:rPr>
        <w:noProof/>
      </w:rPr>
    </w:sdtEndPr>
    <w:sdtContent>
      <w:p w14:paraId="02535358" w14:textId="227AEB15" w:rsidR="004012F1" w:rsidRDefault="004012F1">
        <w:pPr>
          <w:pStyle w:val="Footer"/>
          <w:jc w:val="right"/>
        </w:pPr>
        <w:r>
          <w:fldChar w:fldCharType="begin"/>
        </w:r>
        <w:r>
          <w:instrText xml:space="preserve"> PAGE   \* MERGEFORMAT </w:instrText>
        </w:r>
        <w:r>
          <w:fldChar w:fldCharType="separate"/>
        </w:r>
        <w:r w:rsidR="008D07A3">
          <w:rPr>
            <w:noProof/>
          </w:rPr>
          <w:t>18</w:t>
        </w:r>
        <w:r>
          <w:rPr>
            <w:noProof/>
          </w:rPr>
          <w:fldChar w:fldCharType="end"/>
        </w:r>
      </w:p>
    </w:sdtContent>
  </w:sdt>
  <w:p w14:paraId="18213534" w14:textId="46EC011C" w:rsidR="004012F1" w:rsidRDefault="004012F1" w:rsidP="008E4741">
    <w:pPr>
      <w:pStyle w:val="Footer"/>
      <w:jc w:val="center"/>
    </w:pPr>
    <w:r>
      <w:t xml:space="preserve">Review of </w:t>
    </w:r>
    <w:r w:rsidRPr="00CC0BB1">
      <w:t>the</w:t>
    </w:r>
    <w:r>
      <w:t xml:space="preserve"> mandatory standard for toys - button batteries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7195"/>
      <w:docPartObj>
        <w:docPartGallery w:val="Page Numbers (Bottom of Page)"/>
        <w:docPartUnique/>
      </w:docPartObj>
    </w:sdtPr>
    <w:sdtEndPr>
      <w:rPr>
        <w:noProof/>
      </w:rPr>
    </w:sdtEndPr>
    <w:sdtContent>
      <w:p w14:paraId="3823A498" w14:textId="4E4C1194" w:rsidR="004012F1" w:rsidRDefault="004012F1">
        <w:pPr>
          <w:pStyle w:val="Footer"/>
          <w:jc w:val="right"/>
        </w:pPr>
        <w:r>
          <w:fldChar w:fldCharType="begin"/>
        </w:r>
        <w:r>
          <w:instrText xml:space="preserve"> PAGE   \* MERGEFORMAT </w:instrText>
        </w:r>
        <w:r>
          <w:fldChar w:fldCharType="separate"/>
        </w:r>
        <w:r w:rsidR="008D07A3">
          <w:rPr>
            <w:noProof/>
          </w:rPr>
          <w:t>4</w:t>
        </w:r>
        <w:r>
          <w:rPr>
            <w:noProof/>
          </w:rPr>
          <w:fldChar w:fldCharType="end"/>
        </w:r>
      </w:p>
    </w:sdtContent>
  </w:sdt>
  <w:p w14:paraId="0CFBD767" w14:textId="7681FAFF" w:rsidR="004012F1" w:rsidRDefault="004012F1" w:rsidP="00CC0BB1">
    <w:pPr>
      <w:pStyle w:val="Footer"/>
      <w:jc w:val="center"/>
    </w:pPr>
    <w:r>
      <w:t>Review of the mandatory standard for toys - button batteries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E391" w14:textId="77777777" w:rsidR="00EF017B" w:rsidRDefault="00EF017B" w:rsidP="004B4412">
      <w:pPr>
        <w:spacing w:before="0"/>
      </w:pPr>
      <w:r>
        <w:separator/>
      </w:r>
    </w:p>
  </w:footnote>
  <w:footnote w:type="continuationSeparator" w:id="0">
    <w:p w14:paraId="71949587" w14:textId="77777777" w:rsidR="00EF017B" w:rsidRDefault="00EF017B" w:rsidP="004B4412">
      <w:pPr>
        <w:spacing w:before="0"/>
      </w:pPr>
      <w:r>
        <w:continuationSeparator/>
      </w:r>
    </w:p>
  </w:footnote>
  <w:footnote w:id="1">
    <w:p w14:paraId="2DE5BC5E" w14:textId="219628EC" w:rsidR="004012F1" w:rsidRDefault="004012F1">
      <w:pPr>
        <w:pStyle w:val="FootnoteText"/>
      </w:pPr>
      <w:r>
        <w:rPr>
          <w:rStyle w:val="FootnoteReference"/>
        </w:rPr>
        <w:footnoteRef/>
      </w:r>
      <w:r>
        <w:t xml:space="preserve"> Cyr, C Preventing choking and suffocation in young children. </w:t>
      </w:r>
      <w:r w:rsidRPr="004052D4">
        <w:t>Paediatrics &amp; Child Health, Volume 17, Issue 2, February 2012,</w:t>
      </w:r>
    </w:p>
  </w:footnote>
  <w:footnote w:id="2">
    <w:p w14:paraId="0F713CDC" w14:textId="3F8FB865" w:rsidR="004012F1" w:rsidRDefault="004012F1" w:rsidP="008C6634">
      <w:pPr>
        <w:pStyle w:val="FootnoteText"/>
      </w:pPr>
      <w:r>
        <w:rPr>
          <w:rStyle w:val="FootnoteReference"/>
        </w:rPr>
        <w:footnoteRef/>
      </w:r>
      <w:r>
        <w:t xml:space="preserve"> Emad M. Abdullat, Hasan A. Ader-Rahman, Rayyan Al Ali and Arwa A. Hudaib Xhoking among Infants and Young Children. Jordan Journal of Biological Sciences, Volume 8, Number 3, September 2015</w:t>
      </w:r>
    </w:p>
  </w:footnote>
  <w:footnote w:id="3">
    <w:p w14:paraId="3E87320B" w14:textId="7C86BB6A" w:rsidR="004012F1" w:rsidRDefault="004012F1">
      <w:pPr>
        <w:pStyle w:val="FootnoteText"/>
      </w:pPr>
      <w:r w:rsidRPr="00FA14E8">
        <w:rPr>
          <w:rStyle w:val="FootnoteReference"/>
        </w:rPr>
        <w:footnoteRef/>
      </w:r>
      <w:r w:rsidRPr="00FA14E8">
        <w:t xml:space="preserve"> Cyr, C op. cit.</w:t>
      </w:r>
    </w:p>
  </w:footnote>
  <w:footnote w:id="4">
    <w:p w14:paraId="6F169B6A" w14:textId="2DC33AFB" w:rsidR="004646D9" w:rsidRDefault="004646D9">
      <w:pPr>
        <w:pStyle w:val="FootnoteText"/>
      </w:pPr>
      <w:r>
        <w:rPr>
          <w:rStyle w:val="FootnoteReference"/>
        </w:rPr>
        <w:footnoteRef/>
      </w:r>
      <w:r>
        <w:t xml:space="preserve"> M Chaplin 2019, London South Bank University, London, </w:t>
      </w:r>
      <w:hyperlink r:id="rId1" w:history="1">
        <w:r w:rsidRPr="00ED4922">
          <w:rPr>
            <w:rStyle w:val="Hyperlink"/>
            <w:sz w:val="16"/>
          </w:rPr>
          <w:t>http://www1.lsbu.ac.uk/water/electrolysis.html</w:t>
        </w:r>
      </w:hyperlink>
      <w:r>
        <w:t>, viewed 1 August 2019</w:t>
      </w:r>
    </w:p>
  </w:footnote>
  <w:footnote w:id="5">
    <w:p w14:paraId="770FB09F" w14:textId="3CE1727F" w:rsidR="004646D9" w:rsidRDefault="004646D9">
      <w:pPr>
        <w:pStyle w:val="FootnoteText"/>
      </w:pPr>
      <w:r>
        <w:rPr>
          <w:rStyle w:val="FootnoteReference"/>
        </w:rPr>
        <w:footnoteRef/>
      </w:r>
      <w:r>
        <w:t xml:space="preserve"> T Litovitz 2019, NCPC, Washington DC, </w:t>
      </w:r>
      <w:hyperlink r:id="rId2" w:history="1">
        <w:r w:rsidRPr="00ED4922">
          <w:rPr>
            <w:rStyle w:val="Hyperlink"/>
            <w:sz w:val="16"/>
          </w:rPr>
          <w:t>https://www.poison.org/battery/mechansim-of-injury</w:t>
        </w:r>
      </w:hyperlink>
      <w:r>
        <w:t>, viewed1 August 2019</w:t>
      </w:r>
    </w:p>
    <w:p w14:paraId="2FF244B6" w14:textId="77777777" w:rsidR="004646D9" w:rsidRDefault="004646D9">
      <w:pPr>
        <w:pStyle w:val="FootnoteText"/>
      </w:pPr>
    </w:p>
  </w:footnote>
  <w:footnote w:id="6">
    <w:p w14:paraId="661B61C6" w14:textId="5F9FF109" w:rsidR="004275B5" w:rsidRDefault="004275B5">
      <w:pPr>
        <w:pStyle w:val="FootnoteText"/>
      </w:pPr>
      <w:r>
        <w:rPr>
          <w:rStyle w:val="FootnoteReference"/>
        </w:rPr>
        <w:footnoteRef/>
      </w:r>
      <w:r>
        <w:t xml:space="preserve"> NCPC 2019, Washington DC, </w:t>
      </w:r>
      <w:hyperlink r:id="rId3" w:history="1">
        <w:r w:rsidRPr="00ED4922">
          <w:rPr>
            <w:rStyle w:val="Hyperlink"/>
            <w:sz w:val="16"/>
          </w:rPr>
          <w:t>https://poison.org/battery/fatalcases</w:t>
        </w:r>
      </w:hyperlink>
      <w:r>
        <w:t>, viewed 1 August 2019</w:t>
      </w:r>
    </w:p>
  </w:footnote>
  <w:footnote w:id="7">
    <w:p w14:paraId="5AC98743" w14:textId="08A4A321" w:rsidR="00F5381A" w:rsidRDefault="00F5381A">
      <w:pPr>
        <w:pStyle w:val="FootnoteText"/>
      </w:pPr>
      <w:r>
        <w:rPr>
          <w:rStyle w:val="FootnoteReference"/>
        </w:rPr>
        <w:footnoteRef/>
      </w:r>
      <w:r>
        <w:t xml:space="preserve"> Data report commissioned by ACCC from QISU, September 2019: Toy and Nursery Product Injuries</w:t>
      </w:r>
    </w:p>
  </w:footnote>
  <w:footnote w:id="8">
    <w:p w14:paraId="2100735F" w14:textId="6E1BFC2D" w:rsidR="004012F1" w:rsidRDefault="004012F1" w:rsidP="00B154B2">
      <w:pPr>
        <w:pStyle w:val="FootnoteText"/>
      </w:pPr>
      <w:r>
        <w:rPr>
          <w:rStyle w:val="FootnoteReference"/>
        </w:rPr>
        <w:footnoteRef/>
      </w:r>
      <w:r>
        <w:t xml:space="preserve"> APSU 2017, Sydney, http://www.apsu.org.au/assets/new-studies/SIRDB-APSU-Protocol-FINAL-V5.1.pdf, viewed</w:t>
      </w:r>
      <w:r w:rsidR="00D92F78">
        <w:t xml:space="preserve"> 1 August 2019</w:t>
      </w:r>
      <w:r>
        <w:t>.</w:t>
      </w:r>
    </w:p>
  </w:footnote>
  <w:footnote w:id="9">
    <w:p w14:paraId="26DF0BAC" w14:textId="77777777" w:rsidR="004012F1" w:rsidRDefault="004012F1" w:rsidP="0075394A">
      <w:pPr>
        <w:pStyle w:val="FootnoteText"/>
      </w:pPr>
      <w:r>
        <w:rPr>
          <w:rStyle w:val="FootnoteReference"/>
        </w:rPr>
        <w:footnoteRef/>
      </w:r>
      <w:r>
        <w:t xml:space="preserve"> ACCC, </w:t>
      </w:r>
      <w:r w:rsidRPr="000268CC">
        <w:rPr>
          <w:szCs w:val="16"/>
        </w:rPr>
        <w:t xml:space="preserve">International standards for the safety of consumer products - criteria for acceptance, ACCC policy principles, 22 July 2015, </w:t>
      </w:r>
      <w:hyperlink r:id="rId4" w:history="1">
        <w:r w:rsidRPr="005422B6">
          <w:rPr>
            <w:rStyle w:val="Hyperlink"/>
            <w:sz w:val="16"/>
            <w:szCs w:val="16"/>
          </w:rPr>
          <w:t>www.productsafety.gov.au/content/index.phtml/itemId/1014180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92C1C" w14:textId="4D461D24" w:rsidR="004012F1" w:rsidRDefault="00401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431C4" w14:textId="15D8C73F" w:rsidR="004012F1" w:rsidRDefault="00401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22DE" w14:textId="59F5FF0B" w:rsidR="004012F1" w:rsidRDefault="004012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57CF" w14:textId="677D4A5E" w:rsidR="004012F1" w:rsidRDefault="00401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E1432" w14:textId="4C9AE95D" w:rsidR="004012F1" w:rsidRPr="00460D4E" w:rsidRDefault="004012F1" w:rsidP="00460D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81049" w14:textId="38607535" w:rsidR="004012F1" w:rsidRDefault="0040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1B23537"/>
    <w:multiLevelType w:val="hybridMultilevel"/>
    <w:tmpl w:val="9C2E3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15:restartNumberingAfterBreak="0">
    <w:nsid w:val="17874519"/>
    <w:multiLevelType w:val="hybridMultilevel"/>
    <w:tmpl w:val="31BC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F8248F"/>
    <w:multiLevelType w:val="hybridMultilevel"/>
    <w:tmpl w:val="5F18A704"/>
    <w:lvl w:ilvl="0" w:tplc="7898D91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F519CE"/>
    <w:multiLevelType w:val="multilevel"/>
    <w:tmpl w:val="65B8C748"/>
    <w:lvl w:ilvl="0">
      <w:start w:val="1"/>
      <w:numFmt w:val="decimal"/>
      <w:lvlText w:val="%1."/>
      <w:lvlJc w:val="left"/>
      <w:pPr>
        <w:ind w:left="360"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15:restartNumberingAfterBreak="0">
    <w:nsid w:val="29F7353F"/>
    <w:multiLevelType w:val="hybridMultilevel"/>
    <w:tmpl w:val="D6F61B1C"/>
    <w:lvl w:ilvl="0" w:tplc="0C090001">
      <w:start w:val="1"/>
      <w:numFmt w:val="bullet"/>
      <w:lvlText w:val=""/>
      <w:lvlJc w:val="left"/>
      <w:pPr>
        <w:ind w:left="360" w:hanging="360"/>
      </w:pPr>
      <w:rPr>
        <w:rFonts w:ascii="Symbol" w:hAnsi="Symbol" w:hint="default"/>
      </w:rPr>
    </w:lvl>
    <w:lvl w:ilvl="1" w:tplc="7898D91A">
      <w:start w:val="1"/>
      <w:numFmt w:val="bullet"/>
      <w:lvlText w:val="-"/>
      <w:lvlJc w:val="left"/>
      <w:pPr>
        <w:ind w:left="1080" w:hanging="360"/>
      </w:pPr>
      <w:rPr>
        <w:rFonts w:ascii="Verdana" w:hAnsi="Verdan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29D79E5"/>
    <w:multiLevelType w:val="hybridMultilevel"/>
    <w:tmpl w:val="1C50B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9" w15:restartNumberingAfterBreak="0">
    <w:nsid w:val="364D7019"/>
    <w:multiLevelType w:val="hybridMultilevel"/>
    <w:tmpl w:val="6F8821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390817D1"/>
    <w:multiLevelType w:val="hybridMultilevel"/>
    <w:tmpl w:val="531A8B90"/>
    <w:lvl w:ilvl="0" w:tplc="85D6D09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71B04"/>
    <w:multiLevelType w:val="hybridMultilevel"/>
    <w:tmpl w:val="1EECB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AC1A4F"/>
    <w:multiLevelType w:val="hybridMultilevel"/>
    <w:tmpl w:val="8418F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6" w15:restartNumberingAfterBreak="0">
    <w:nsid w:val="3DA24252"/>
    <w:multiLevelType w:val="hybridMultilevel"/>
    <w:tmpl w:val="EC52C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2C96A39"/>
    <w:multiLevelType w:val="hybridMultilevel"/>
    <w:tmpl w:val="ACA85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18D208D"/>
    <w:multiLevelType w:val="hybridMultilevel"/>
    <w:tmpl w:val="6A6E8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CB475F"/>
    <w:multiLevelType w:val="hybridMultilevel"/>
    <w:tmpl w:val="7766F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15:restartNumberingAfterBreak="0">
    <w:nsid w:val="6AA50DE1"/>
    <w:multiLevelType w:val="hybridMultilevel"/>
    <w:tmpl w:val="43FA22E8"/>
    <w:lvl w:ilvl="0" w:tplc="7898D91A">
      <w:start w:val="1"/>
      <w:numFmt w:val="bullet"/>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6" w15:restartNumberingAfterBreak="0">
    <w:nsid w:val="732F199B"/>
    <w:multiLevelType w:val="hybridMultilevel"/>
    <w:tmpl w:val="F4228218"/>
    <w:lvl w:ilvl="0" w:tplc="7898D91A">
      <w:start w:val="1"/>
      <w:numFmt w:val="bullet"/>
      <w:lvlText w:val="-"/>
      <w:lvlJc w:val="left"/>
      <w:pPr>
        <w:ind w:left="700" w:hanging="360"/>
      </w:pPr>
      <w:rPr>
        <w:rFonts w:ascii="Verdana" w:hAnsi="Verdana" w:hint="default"/>
      </w:rPr>
    </w:lvl>
    <w:lvl w:ilvl="1" w:tplc="7898D91A">
      <w:start w:val="1"/>
      <w:numFmt w:val="bullet"/>
      <w:lvlText w:val="-"/>
      <w:lvlJc w:val="left"/>
      <w:pPr>
        <w:ind w:left="1420" w:hanging="360"/>
      </w:pPr>
      <w:rPr>
        <w:rFonts w:ascii="Verdana" w:hAnsi="Verdana"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7"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8" w15:restartNumberingAfterBreak="0">
    <w:nsid w:val="7512778C"/>
    <w:multiLevelType w:val="hybridMultilevel"/>
    <w:tmpl w:val="F0F81A6A"/>
    <w:lvl w:ilvl="0" w:tplc="0C090001">
      <w:start w:val="1"/>
      <w:numFmt w:val="bullet"/>
      <w:lvlText w:val=""/>
      <w:lvlJc w:val="left"/>
      <w:pPr>
        <w:ind w:left="360" w:hanging="360"/>
      </w:pPr>
      <w:rPr>
        <w:rFonts w:ascii="Symbol" w:hAnsi="Symbol" w:hint="default"/>
      </w:rPr>
    </w:lvl>
    <w:lvl w:ilvl="1" w:tplc="AF141D70">
      <w:numFmt w:val="bullet"/>
      <w:lvlText w:val="–"/>
      <w:lvlJc w:val="left"/>
      <w:pPr>
        <w:ind w:left="1080" w:hanging="36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5228AA"/>
    <w:multiLevelType w:val="hybridMultilevel"/>
    <w:tmpl w:val="5FEAF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1"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2"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2"/>
  </w:num>
  <w:num w:numId="3">
    <w:abstractNumId w:val="7"/>
  </w:num>
  <w:num w:numId="4">
    <w:abstractNumId w:val="6"/>
  </w:num>
  <w:num w:numId="5">
    <w:abstractNumId w:val="5"/>
  </w:num>
  <w:num w:numId="6">
    <w:abstractNumId w:val="4"/>
  </w:num>
  <w:num w:numId="7">
    <w:abstractNumId w:val="1"/>
  </w:num>
  <w:num w:numId="8">
    <w:abstractNumId w:val="0"/>
  </w:num>
  <w:num w:numId="9">
    <w:abstractNumId w:val="33"/>
  </w:num>
  <w:num w:numId="10">
    <w:abstractNumId w:val="22"/>
  </w:num>
  <w:num w:numId="11">
    <w:abstractNumId w:val="10"/>
  </w:num>
  <w:num w:numId="12">
    <w:abstractNumId w:val="15"/>
  </w:num>
  <w:num w:numId="13">
    <w:abstractNumId w:val="20"/>
  </w:num>
  <w:num w:numId="14">
    <w:abstractNumId w:val="2"/>
  </w:num>
  <w:num w:numId="15">
    <w:abstractNumId w:val="35"/>
  </w:num>
  <w:num w:numId="16">
    <w:abstractNumId w:val="41"/>
  </w:num>
  <w:num w:numId="17">
    <w:abstractNumId w:val="40"/>
  </w:num>
  <w:num w:numId="18">
    <w:abstractNumId w:val="18"/>
  </w:num>
  <w:num w:numId="19">
    <w:abstractNumId w:val="25"/>
  </w:num>
  <w:num w:numId="20">
    <w:abstractNumId w:val="37"/>
  </w:num>
  <w:num w:numId="21">
    <w:abstractNumId w:val="29"/>
  </w:num>
  <w:num w:numId="22">
    <w:abstractNumId w:val="8"/>
  </w:num>
  <w:num w:numId="23">
    <w:abstractNumId w:val="3"/>
  </w:num>
  <w:num w:numId="24">
    <w:abstractNumId w:val="28"/>
  </w:num>
  <w:num w:numId="25">
    <w:abstractNumId w:val="12"/>
  </w:num>
  <w:num w:numId="26">
    <w:abstractNumId w:val="32"/>
  </w:num>
  <w:num w:numId="27">
    <w:abstractNumId w:val="27"/>
  </w:num>
  <w:num w:numId="28">
    <w:abstractNumId w:val="21"/>
  </w:num>
  <w:num w:numId="29">
    <w:abstractNumId w:val="39"/>
  </w:num>
  <w:num w:numId="30">
    <w:abstractNumId w:val="38"/>
  </w:num>
  <w:num w:numId="31">
    <w:abstractNumId w:val="31"/>
  </w:num>
  <w:num w:numId="32">
    <w:abstractNumId w:val="24"/>
  </w:num>
  <w:num w:numId="33">
    <w:abstractNumId w:val="30"/>
  </w:num>
  <w:num w:numId="34">
    <w:abstractNumId w:val="14"/>
  </w:num>
  <w:num w:numId="35">
    <w:abstractNumId w:val="10"/>
  </w:num>
  <w:num w:numId="36">
    <w:abstractNumId w:val="16"/>
  </w:num>
  <w:num w:numId="37">
    <w:abstractNumId w:val="36"/>
  </w:num>
  <w:num w:numId="38">
    <w:abstractNumId w:val="10"/>
  </w:num>
  <w:num w:numId="39">
    <w:abstractNumId w:val="10"/>
  </w:num>
  <w:num w:numId="40">
    <w:abstractNumId w:val="26"/>
  </w:num>
  <w:num w:numId="41">
    <w:abstractNumId w:val="10"/>
  </w:num>
  <w:num w:numId="42">
    <w:abstractNumId w:val="17"/>
  </w:num>
  <w:num w:numId="43">
    <w:abstractNumId w:val="13"/>
  </w:num>
  <w:num w:numId="44">
    <w:abstractNumId w:val="10"/>
  </w:num>
  <w:num w:numId="45">
    <w:abstractNumId w:val="10"/>
  </w:num>
  <w:num w:numId="46">
    <w:abstractNumId w:val="19"/>
  </w:num>
  <w:num w:numId="47">
    <w:abstractNumId w:val="34"/>
  </w:num>
  <w:num w:numId="48">
    <w:abstractNumId w:val="23"/>
  </w:num>
  <w:num w:numId="49">
    <w:abstractNumId w:val="10"/>
  </w:num>
  <w:num w:numId="5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T:\Strat_Comms\Pubs_Design\Templates\ACCC\In Progress\ACCC\ACCC Report Template_04.dotm"/>
  </w:docVars>
  <w:rsids>
    <w:rsidRoot w:val="00126288"/>
    <w:rsid w:val="00000424"/>
    <w:rsid w:val="00001D95"/>
    <w:rsid w:val="00002641"/>
    <w:rsid w:val="00004DE1"/>
    <w:rsid w:val="00005041"/>
    <w:rsid w:val="00005887"/>
    <w:rsid w:val="0000763F"/>
    <w:rsid w:val="000125AD"/>
    <w:rsid w:val="00014FD8"/>
    <w:rsid w:val="00017C0F"/>
    <w:rsid w:val="00020ABC"/>
    <w:rsid w:val="0002115F"/>
    <w:rsid w:val="00021202"/>
    <w:rsid w:val="000214DB"/>
    <w:rsid w:val="000225C4"/>
    <w:rsid w:val="00022A5B"/>
    <w:rsid w:val="000236FA"/>
    <w:rsid w:val="000247B3"/>
    <w:rsid w:val="000252C4"/>
    <w:rsid w:val="00026205"/>
    <w:rsid w:val="00026C37"/>
    <w:rsid w:val="000273AA"/>
    <w:rsid w:val="00027BE6"/>
    <w:rsid w:val="00030AA3"/>
    <w:rsid w:val="00030B8B"/>
    <w:rsid w:val="0003339C"/>
    <w:rsid w:val="00033590"/>
    <w:rsid w:val="000355C9"/>
    <w:rsid w:val="00035767"/>
    <w:rsid w:val="0003578C"/>
    <w:rsid w:val="000375D3"/>
    <w:rsid w:val="00040964"/>
    <w:rsid w:val="00040EA3"/>
    <w:rsid w:val="00042104"/>
    <w:rsid w:val="0004344D"/>
    <w:rsid w:val="00043A28"/>
    <w:rsid w:val="0004459F"/>
    <w:rsid w:val="00050FF0"/>
    <w:rsid w:val="00051E9B"/>
    <w:rsid w:val="00052B24"/>
    <w:rsid w:val="00053828"/>
    <w:rsid w:val="00053DB9"/>
    <w:rsid w:val="00054B11"/>
    <w:rsid w:val="00055767"/>
    <w:rsid w:val="00055B25"/>
    <w:rsid w:val="00057215"/>
    <w:rsid w:val="00060366"/>
    <w:rsid w:val="0006184C"/>
    <w:rsid w:val="000619AF"/>
    <w:rsid w:val="000626EE"/>
    <w:rsid w:val="00062A9B"/>
    <w:rsid w:val="00062C59"/>
    <w:rsid w:val="00063247"/>
    <w:rsid w:val="0006414D"/>
    <w:rsid w:val="00066260"/>
    <w:rsid w:val="000665A1"/>
    <w:rsid w:val="00066910"/>
    <w:rsid w:val="00067A90"/>
    <w:rsid w:val="00067AEE"/>
    <w:rsid w:val="00070295"/>
    <w:rsid w:val="00070F9F"/>
    <w:rsid w:val="0007137B"/>
    <w:rsid w:val="000748D3"/>
    <w:rsid w:val="000753E1"/>
    <w:rsid w:val="000754A7"/>
    <w:rsid w:val="00076B9B"/>
    <w:rsid w:val="00077B2F"/>
    <w:rsid w:val="000818D4"/>
    <w:rsid w:val="000822E0"/>
    <w:rsid w:val="00082C5A"/>
    <w:rsid w:val="00084979"/>
    <w:rsid w:val="00085663"/>
    <w:rsid w:val="00085EBF"/>
    <w:rsid w:val="0008663D"/>
    <w:rsid w:val="00086C66"/>
    <w:rsid w:val="00087730"/>
    <w:rsid w:val="0009675A"/>
    <w:rsid w:val="00096A2F"/>
    <w:rsid w:val="00096FDA"/>
    <w:rsid w:val="00097246"/>
    <w:rsid w:val="00097F84"/>
    <w:rsid w:val="000A0423"/>
    <w:rsid w:val="000A1361"/>
    <w:rsid w:val="000A17C1"/>
    <w:rsid w:val="000A2C42"/>
    <w:rsid w:val="000A4A05"/>
    <w:rsid w:val="000A68D5"/>
    <w:rsid w:val="000A7B98"/>
    <w:rsid w:val="000B061F"/>
    <w:rsid w:val="000B166F"/>
    <w:rsid w:val="000B1C9D"/>
    <w:rsid w:val="000B23A9"/>
    <w:rsid w:val="000B2656"/>
    <w:rsid w:val="000B3BA7"/>
    <w:rsid w:val="000B4419"/>
    <w:rsid w:val="000B4E0B"/>
    <w:rsid w:val="000B6404"/>
    <w:rsid w:val="000C0C76"/>
    <w:rsid w:val="000C335A"/>
    <w:rsid w:val="000C35E6"/>
    <w:rsid w:val="000C4792"/>
    <w:rsid w:val="000C4A8B"/>
    <w:rsid w:val="000C4F12"/>
    <w:rsid w:val="000C5256"/>
    <w:rsid w:val="000C5735"/>
    <w:rsid w:val="000C5938"/>
    <w:rsid w:val="000C5B88"/>
    <w:rsid w:val="000C650B"/>
    <w:rsid w:val="000C6900"/>
    <w:rsid w:val="000C7587"/>
    <w:rsid w:val="000C79ED"/>
    <w:rsid w:val="000D058C"/>
    <w:rsid w:val="000D099C"/>
    <w:rsid w:val="000D0EAC"/>
    <w:rsid w:val="000D122C"/>
    <w:rsid w:val="000D152F"/>
    <w:rsid w:val="000D16F0"/>
    <w:rsid w:val="000D39D7"/>
    <w:rsid w:val="000D3B00"/>
    <w:rsid w:val="000D4B75"/>
    <w:rsid w:val="000D52DF"/>
    <w:rsid w:val="000D612E"/>
    <w:rsid w:val="000D69DC"/>
    <w:rsid w:val="000D6ACD"/>
    <w:rsid w:val="000E054E"/>
    <w:rsid w:val="000E1045"/>
    <w:rsid w:val="000E1819"/>
    <w:rsid w:val="000E20E9"/>
    <w:rsid w:val="000E2CAE"/>
    <w:rsid w:val="000E3A2E"/>
    <w:rsid w:val="000E4291"/>
    <w:rsid w:val="000E49B3"/>
    <w:rsid w:val="000E4EB1"/>
    <w:rsid w:val="000E57D6"/>
    <w:rsid w:val="000E6C72"/>
    <w:rsid w:val="000F0003"/>
    <w:rsid w:val="000F121A"/>
    <w:rsid w:val="000F2013"/>
    <w:rsid w:val="000F2368"/>
    <w:rsid w:val="000F4CA0"/>
    <w:rsid w:val="000F6B0C"/>
    <w:rsid w:val="000F6BAB"/>
    <w:rsid w:val="000F7EC1"/>
    <w:rsid w:val="00100043"/>
    <w:rsid w:val="00102ACF"/>
    <w:rsid w:val="001030B5"/>
    <w:rsid w:val="00103E20"/>
    <w:rsid w:val="0010439E"/>
    <w:rsid w:val="001063CD"/>
    <w:rsid w:val="0010664F"/>
    <w:rsid w:val="00107638"/>
    <w:rsid w:val="0011169D"/>
    <w:rsid w:val="001126CC"/>
    <w:rsid w:val="00114F18"/>
    <w:rsid w:val="00116C49"/>
    <w:rsid w:val="00116EB2"/>
    <w:rsid w:val="00117EBF"/>
    <w:rsid w:val="001231A0"/>
    <w:rsid w:val="00123204"/>
    <w:rsid w:val="0012327D"/>
    <w:rsid w:val="00123B6C"/>
    <w:rsid w:val="00124609"/>
    <w:rsid w:val="0012589E"/>
    <w:rsid w:val="00126288"/>
    <w:rsid w:val="00126CC2"/>
    <w:rsid w:val="00130ADA"/>
    <w:rsid w:val="001310BE"/>
    <w:rsid w:val="001342BA"/>
    <w:rsid w:val="00134459"/>
    <w:rsid w:val="00136A38"/>
    <w:rsid w:val="001411A7"/>
    <w:rsid w:val="00141247"/>
    <w:rsid w:val="00141A8E"/>
    <w:rsid w:val="00143172"/>
    <w:rsid w:val="001435A4"/>
    <w:rsid w:val="001448FE"/>
    <w:rsid w:val="00144F7B"/>
    <w:rsid w:val="00145FFC"/>
    <w:rsid w:val="0014696D"/>
    <w:rsid w:val="0014749F"/>
    <w:rsid w:val="00147D18"/>
    <w:rsid w:val="0015064B"/>
    <w:rsid w:val="00151061"/>
    <w:rsid w:val="00151628"/>
    <w:rsid w:val="00151F7D"/>
    <w:rsid w:val="00154A0D"/>
    <w:rsid w:val="00154AF8"/>
    <w:rsid w:val="001556C3"/>
    <w:rsid w:val="00156C20"/>
    <w:rsid w:val="001573E4"/>
    <w:rsid w:val="00157DE9"/>
    <w:rsid w:val="00160756"/>
    <w:rsid w:val="0016187A"/>
    <w:rsid w:val="00161D86"/>
    <w:rsid w:val="0016275A"/>
    <w:rsid w:val="0016543A"/>
    <w:rsid w:val="001654DB"/>
    <w:rsid w:val="00165876"/>
    <w:rsid w:val="0016747D"/>
    <w:rsid w:val="0017232E"/>
    <w:rsid w:val="00173A14"/>
    <w:rsid w:val="00174102"/>
    <w:rsid w:val="001741E9"/>
    <w:rsid w:val="00175322"/>
    <w:rsid w:val="00176F99"/>
    <w:rsid w:val="00180157"/>
    <w:rsid w:val="00181223"/>
    <w:rsid w:val="00181D93"/>
    <w:rsid w:val="001857A8"/>
    <w:rsid w:val="001860F4"/>
    <w:rsid w:val="00186EE5"/>
    <w:rsid w:val="00186F77"/>
    <w:rsid w:val="00187879"/>
    <w:rsid w:val="001926A4"/>
    <w:rsid w:val="00193734"/>
    <w:rsid w:val="001948CA"/>
    <w:rsid w:val="00194B3B"/>
    <w:rsid w:val="001971C6"/>
    <w:rsid w:val="001A0700"/>
    <w:rsid w:val="001A08D9"/>
    <w:rsid w:val="001A1087"/>
    <w:rsid w:val="001A154A"/>
    <w:rsid w:val="001A1906"/>
    <w:rsid w:val="001A1D21"/>
    <w:rsid w:val="001A4313"/>
    <w:rsid w:val="001A444B"/>
    <w:rsid w:val="001A4BF6"/>
    <w:rsid w:val="001A6A46"/>
    <w:rsid w:val="001A6A64"/>
    <w:rsid w:val="001A6B3B"/>
    <w:rsid w:val="001A7C38"/>
    <w:rsid w:val="001B238E"/>
    <w:rsid w:val="001B309C"/>
    <w:rsid w:val="001B376B"/>
    <w:rsid w:val="001B38FF"/>
    <w:rsid w:val="001B45A0"/>
    <w:rsid w:val="001B6927"/>
    <w:rsid w:val="001B6CF6"/>
    <w:rsid w:val="001B75EA"/>
    <w:rsid w:val="001C0100"/>
    <w:rsid w:val="001C0548"/>
    <w:rsid w:val="001C18EE"/>
    <w:rsid w:val="001C1F8A"/>
    <w:rsid w:val="001C3798"/>
    <w:rsid w:val="001C3EE0"/>
    <w:rsid w:val="001C42EB"/>
    <w:rsid w:val="001C460F"/>
    <w:rsid w:val="001C475E"/>
    <w:rsid w:val="001C4FAF"/>
    <w:rsid w:val="001C5361"/>
    <w:rsid w:val="001C6123"/>
    <w:rsid w:val="001C710F"/>
    <w:rsid w:val="001C7C0D"/>
    <w:rsid w:val="001D0310"/>
    <w:rsid w:val="001D055E"/>
    <w:rsid w:val="001D085A"/>
    <w:rsid w:val="001D161B"/>
    <w:rsid w:val="001D22E1"/>
    <w:rsid w:val="001D34CF"/>
    <w:rsid w:val="001D39F5"/>
    <w:rsid w:val="001D58A8"/>
    <w:rsid w:val="001D657A"/>
    <w:rsid w:val="001D77C6"/>
    <w:rsid w:val="001E0D11"/>
    <w:rsid w:val="001E2A7A"/>
    <w:rsid w:val="001E527F"/>
    <w:rsid w:val="001E6247"/>
    <w:rsid w:val="001F0485"/>
    <w:rsid w:val="001F089E"/>
    <w:rsid w:val="001F1408"/>
    <w:rsid w:val="001F170E"/>
    <w:rsid w:val="001F341F"/>
    <w:rsid w:val="001F37EB"/>
    <w:rsid w:val="001F492E"/>
    <w:rsid w:val="001F6DA3"/>
    <w:rsid w:val="001F6ECB"/>
    <w:rsid w:val="00207926"/>
    <w:rsid w:val="00211816"/>
    <w:rsid w:val="00212737"/>
    <w:rsid w:val="00212DA1"/>
    <w:rsid w:val="00212E98"/>
    <w:rsid w:val="0021350B"/>
    <w:rsid w:val="0021436E"/>
    <w:rsid w:val="0021451A"/>
    <w:rsid w:val="002147B8"/>
    <w:rsid w:val="00215D32"/>
    <w:rsid w:val="00216649"/>
    <w:rsid w:val="00216DF0"/>
    <w:rsid w:val="00217482"/>
    <w:rsid w:val="002236E7"/>
    <w:rsid w:val="00223DC8"/>
    <w:rsid w:val="00224DB9"/>
    <w:rsid w:val="002256F5"/>
    <w:rsid w:val="00230834"/>
    <w:rsid w:val="00232B24"/>
    <w:rsid w:val="00233428"/>
    <w:rsid w:val="00233E85"/>
    <w:rsid w:val="002350EC"/>
    <w:rsid w:val="00237532"/>
    <w:rsid w:val="002403C2"/>
    <w:rsid w:val="00240C79"/>
    <w:rsid w:val="00241EB6"/>
    <w:rsid w:val="00244BDE"/>
    <w:rsid w:val="00245C52"/>
    <w:rsid w:val="0024758B"/>
    <w:rsid w:val="002503F0"/>
    <w:rsid w:val="00250B80"/>
    <w:rsid w:val="00251745"/>
    <w:rsid w:val="00251DD9"/>
    <w:rsid w:val="0025274E"/>
    <w:rsid w:val="002529E3"/>
    <w:rsid w:val="00253370"/>
    <w:rsid w:val="00253988"/>
    <w:rsid w:val="0025498C"/>
    <w:rsid w:val="002564E8"/>
    <w:rsid w:val="002609DC"/>
    <w:rsid w:val="00261657"/>
    <w:rsid w:val="00262147"/>
    <w:rsid w:val="0026268F"/>
    <w:rsid w:val="002628FF"/>
    <w:rsid w:val="00263449"/>
    <w:rsid w:val="00263AC0"/>
    <w:rsid w:val="0026772D"/>
    <w:rsid w:val="00271CBA"/>
    <w:rsid w:val="002754B7"/>
    <w:rsid w:val="002754C8"/>
    <w:rsid w:val="00275E44"/>
    <w:rsid w:val="002760BD"/>
    <w:rsid w:val="002777A1"/>
    <w:rsid w:val="00280A4F"/>
    <w:rsid w:val="00280B43"/>
    <w:rsid w:val="00283514"/>
    <w:rsid w:val="002849BB"/>
    <w:rsid w:val="00285640"/>
    <w:rsid w:val="00285C3F"/>
    <w:rsid w:val="002861D6"/>
    <w:rsid w:val="00286874"/>
    <w:rsid w:val="00287172"/>
    <w:rsid w:val="00291099"/>
    <w:rsid w:val="00291711"/>
    <w:rsid w:val="00293970"/>
    <w:rsid w:val="0029503B"/>
    <w:rsid w:val="00295EF7"/>
    <w:rsid w:val="002962DA"/>
    <w:rsid w:val="00296B65"/>
    <w:rsid w:val="00296CE4"/>
    <w:rsid w:val="002A1805"/>
    <w:rsid w:val="002A252C"/>
    <w:rsid w:val="002A2D55"/>
    <w:rsid w:val="002A2F16"/>
    <w:rsid w:val="002A41D2"/>
    <w:rsid w:val="002A429B"/>
    <w:rsid w:val="002A5C4F"/>
    <w:rsid w:val="002A7DEF"/>
    <w:rsid w:val="002B3566"/>
    <w:rsid w:val="002B3F1C"/>
    <w:rsid w:val="002B592A"/>
    <w:rsid w:val="002B66E2"/>
    <w:rsid w:val="002B7310"/>
    <w:rsid w:val="002B7946"/>
    <w:rsid w:val="002C07A5"/>
    <w:rsid w:val="002C16A0"/>
    <w:rsid w:val="002C16A7"/>
    <w:rsid w:val="002C17EF"/>
    <w:rsid w:val="002C2077"/>
    <w:rsid w:val="002C4251"/>
    <w:rsid w:val="002C46C8"/>
    <w:rsid w:val="002C4AED"/>
    <w:rsid w:val="002C5E61"/>
    <w:rsid w:val="002C650D"/>
    <w:rsid w:val="002C6BC8"/>
    <w:rsid w:val="002D0E8E"/>
    <w:rsid w:val="002D1DCF"/>
    <w:rsid w:val="002D24F6"/>
    <w:rsid w:val="002D2C82"/>
    <w:rsid w:val="002D6E9C"/>
    <w:rsid w:val="002E4521"/>
    <w:rsid w:val="002E59F6"/>
    <w:rsid w:val="002E5A42"/>
    <w:rsid w:val="002E7E97"/>
    <w:rsid w:val="002F0E74"/>
    <w:rsid w:val="002F2163"/>
    <w:rsid w:val="002F68DB"/>
    <w:rsid w:val="002F71D3"/>
    <w:rsid w:val="002F7986"/>
    <w:rsid w:val="00300D05"/>
    <w:rsid w:val="00301286"/>
    <w:rsid w:val="0030289B"/>
    <w:rsid w:val="00303C4A"/>
    <w:rsid w:val="00304715"/>
    <w:rsid w:val="00305A23"/>
    <w:rsid w:val="00306E84"/>
    <w:rsid w:val="00307F6D"/>
    <w:rsid w:val="00310CBE"/>
    <w:rsid w:val="00310D03"/>
    <w:rsid w:val="003112FD"/>
    <w:rsid w:val="00311775"/>
    <w:rsid w:val="00311A14"/>
    <w:rsid w:val="00312275"/>
    <w:rsid w:val="00313E6C"/>
    <w:rsid w:val="00314315"/>
    <w:rsid w:val="00316947"/>
    <w:rsid w:val="00317756"/>
    <w:rsid w:val="003177A2"/>
    <w:rsid w:val="003206F7"/>
    <w:rsid w:val="00320C46"/>
    <w:rsid w:val="0032190D"/>
    <w:rsid w:val="00321912"/>
    <w:rsid w:val="003224B1"/>
    <w:rsid w:val="003249BB"/>
    <w:rsid w:val="003269FF"/>
    <w:rsid w:val="00327064"/>
    <w:rsid w:val="003271B5"/>
    <w:rsid w:val="003273B8"/>
    <w:rsid w:val="0032748D"/>
    <w:rsid w:val="00327CE1"/>
    <w:rsid w:val="00327F4E"/>
    <w:rsid w:val="00327FFC"/>
    <w:rsid w:val="00330C52"/>
    <w:rsid w:val="00330F15"/>
    <w:rsid w:val="00331264"/>
    <w:rsid w:val="00331F62"/>
    <w:rsid w:val="00332357"/>
    <w:rsid w:val="00333A38"/>
    <w:rsid w:val="003341D6"/>
    <w:rsid w:val="00334C8D"/>
    <w:rsid w:val="00335166"/>
    <w:rsid w:val="00335E6F"/>
    <w:rsid w:val="003365A2"/>
    <w:rsid w:val="00340202"/>
    <w:rsid w:val="00340655"/>
    <w:rsid w:val="00341B9E"/>
    <w:rsid w:val="00342517"/>
    <w:rsid w:val="003430FC"/>
    <w:rsid w:val="0034326C"/>
    <w:rsid w:val="0034387F"/>
    <w:rsid w:val="00344DDD"/>
    <w:rsid w:val="003451FA"/>
    <w:rsid w:val="0034544C"/>
    <w:rsid w:val="003459E6"/>
    <w:rsid w:val="00345D2B"/>
    <w:rsid w:val="003475BF"/>
    <w:rsid w:val="0035002B"/>
    <w:rsid w:val="0035047B"/>
    <w:rsid w:val="0035052B"/>
    <w:rsid w:val="00350CC3"/>
    <w:rsid w:val="00350F62"/>
    <w:rsid w:val="00351180"/>
    <w:rsid w:val="003518B3"/>
    <w:rsid w:val="00352B57"/>
    <w:rsid w:val="00353CBD"/>
    <w:rsid w:val="00355A4C"/>
    <w:rsid w:val="003562F0"/>
    <w:rsid w:val="003607F7"/>
    <w:rsid w:val="00360972"/>
    <w:rsid w:val="00360D35"/>
    <w:rsid w:val="00361A40"/>
    <w:rsid w:val="0036209F"/>
    <w:rsid w:val="003667C7"/>
    <w:rsid w:val="00366B79"/>
    <w:rsid w:val="003726AA"/>
    <w:rsid w:val="003742DF"/>
    <w:rsid w:val="003744E1"/>
    <w:rsid w:val="00374A96"/>
    <w:rsid w:val="00375E10"/>
    <w:rsid w:val="00377972"/>
    <w:rsid w:val="00377DBE"/>
    <w:rsid w:val="00377E14"/>
    <w:rsid w:val="003805EF"/>
    <w:rsid w:val="003806A8"/>
    <w:rsid w:val="00381464"/>
    <w:rsid w:val="00381DD5"/>
    <w:rsid w:val="00381ECD"/>
    <w:rsid w:val="00382F9D"/>
    <w:rsid w:val="003831D5"/>
    <w:rsid w:val="00383A46"/>
    <w:rsid w:val="003846F1"/>
    <w:rsid w:val="00384EB3"/>
    <w:rsid w:val="00385481"/>
    <w:rsid w:val="0038592F"/>
    <w:rsid w:val="00385C52"/>
    <w:rsid w:val="0038655C"/>
    <w:rsid w:val="00386D6D"/>
    <w:rsid w:val="00391DFA"/>
    <w:rsid w:val="00392482"/>
    <w:rsid w:val="00392F30"/>
    <w:rsid w:val="003930D7"/>
    <w:rsid w:val="0039322E"/>
    <w:rsid w:val="00393D1E"/>
    <w:rsid w:val="00394215"/>
    <w:rsid w:val="00394256"/>
    <w:rsid w:val="003950D5"/>
    <w:rsid w:val="00395771"/>
    <w:rsid w:val="00397845"/>
    <w:rsid w:val="003A09B3"/>
    <w:rsid w:val="003A1EF5"/>
    <w:rsid w:val="003A21B0"/>
    <w:rsid w:val="003A3C41"/>
    <w:rsid w:val="003A4A49"/>
    <w:rsid w:val="003A4DA6"/>
    <w:rsid w:val="003A506C"/>
    <w:rsid w:val="003A541C"/>
    <w:rsid w:val="003A673F"/>
    <w:rsid w:val="003A7C09"/>
    <w:rsid w:val="003B0E2F"/>
    <w:rsid w:val="003B458B"/>
    <w:rsid w:val="003B4F89"/>
    <w:rsid w:val="003B507C"/>
    <w:rsid w:val="003B5A70"/>
    <w:rsid w:val="003B695A"/>
    <w:rsid w:val="003B69A8"/>
    <w:rsid w:val="003B6B4D"/>
    <w:rsid w:val="003C5C2F"/>
    <w:rsid w:val="003C7F13"/>
    <w:rsid w:val="003D0218"/>
    <w:rsid w:val="003D12BC"/>
    <w:rsid w:val="003D56A4"/>
    <w:rsid w:val="003D7B0D"/>
    <w:rsid w:val="003D7D9D"/>
    <w:rsid w:val="003D7E96"/>
    <w:rsid w:val="003E11CB"/>
    <w:rsid w:val="003E132F"/>
    <w:rsid w:val="003E3B8F"/>
    <w:rsid w:val="003E3BE4"/>
    <w:rsid w:val="003E4B85"/>
    <w:rsid w:val="003E4D99"/>
    <w:rsid w:val="003E5DE5"/>
    <w:rsid w:val="003E640A"/>
    <w:rsid w:val="003F079B"/>
    <w:rsid w:val="003F104F"/>
    <w:rsid w:val="003F23D4"/>
    <w:rsid w:val="003F2B62"/>
    <w:rsid w:val="003F3F86"/>
    <w:rsid w:val="003F5613"/>
    <w:rsid w:val="003F6A1E"/>
    <w:rsid w:val="003F72A1"/>
    <w:rsid w:val="004012F1"/>
    <w:rsid w:val="00401312"/>
    <w:rsid w:val="00403C0E"/>
    <w:rsid w:val="004051B8"/>
    <w:rsid w:val="004052D4"/>
    <w:rsid w:val="00411228"/>
    <w:rsid w:val="0041513B"/>
    <w:rsid w:val="004157CD"/>
    <w:rsid w:val="00416500"/>
    <w:rsid w:val="004202AB"/>
    <w:rsid w:val="00420650"/>
    <w:rsid w:val="004207EC"/>
    <w:rsid w:val="004214B1"/>
    <w:rsid w:val="004217A5"/>
    <w:rsid w:val="00421D7D"/>
    <w:rsid w:val="004232DB"/>
    <w:rsid w:val="004246B6"/>
    <w:rsid w:val="004275B5"/>
    <w:rsid w:val="00427C80"/>
    <w:rsid w:val="00427F18"/>
    <w:rsid w:val="004318D0"/>
    <w:rsid w:val="00432170"/>
    <w:rsid w:val="0043229F"/>
    <w:rsid w:val="00432995"/>
    <w:rsid w:val="00432BA0"/>
    <w:rsid w:val="00432D74"/>
    <w:rsid w:val="0043321C"/>
    <w:rsid w:val="004351B7"/>
    <w:rsid w:val="00435F06"/>
    <w:rsid w:val="00435F07"/>
    <w:rsid w:val="00436DE7"/>
    <w:rsid w:val="00436E77"/>
    <w:rsid w:val="0043796D"/>
    <w:rsid w:val="004403E9"/>
    <w:rsid w:val="00442415"/>
    <w:rsid w:val="004427E8"/>
    <w:rsid w:val="004430B4"/>
    <w:rsid w:val="004431AA"/>
    <w:rsid w:val="00443569"/>
    <w:rsid w:val="00454AAB"/>
    <w:rsid w:val="00455B6E"/>
    <w:rsid w:val="004567DC"/>
    <w:rsid w:val="00457C88"/>
    <w:rsid w:val="00460D4E"/>
    <w:rsid w:val="004620BF"/>
    <w:rsid w:val="00462D6C"/>
    <w:rsid w:val="00463EB0"/>
    <w:rsid w:val="004640E7"/>
    <w:rsid w:val="004646D9"/>
    <w:rsid w:val="0046685D"/>
    <w:rsid w:val="004732AD"/>
    <w:rsid w:val="00473CAF"/>
    <w:rsid w:val="0047433A"/>
    <w:rsid w:val="00475DDE"/>
    <w:rsid w:val="0048031F"/>
    <w:rsid w:val="00480B4B"/>
    <w:rsid w:val="0048182D"/>
    <w:rsid w:val="00481AFF"/>
    <w:rsid w:val="00482743"/>
    <w:rsid w:val="004829E5"/>
    <w:rsid w:val="00482BFB"/>
    <w:rsid w:val="00482E52"/>
    <w:rsid w:val="00484499"/>
    <w:rsid w:val="00484911"/>
    <w:rsid w:val="0048506F"/>
    <w:rsid w:val="00485DC4"/>
    <w:rsid w:val="00485E9A"/>
    <w:rsid w:val="00491AC0"/>
    <w:rsid w:val="00491F63"/>
    <w:rsid w:val="004943ED"/>
    <w:rsid w:val="00494815"/>
    <w:rsid w:val="00494B1D"/>
    <w:rsid w:val="00495199"/>
    <w:rsid w:val="00495777"/>
    <w:rsid w:val="00496C62"/>
    <w:rsid w:val="004973A2"/>
    <w:rsid w:val="004A158E"/>
    <w:rsid w:val="004A2112"/>
    <w:rsid w:val="004A4FC5"/>
    <w:rsid w:val="004A5115"/>
    <w:rsid w:val="004A5657"/>
    <w:rsid w:val="004A5C63"/>
    <w:rsid w:val="004A5F97"/>
    <w:rsid w:val="004A6034"/>
    <w:rsid w:val="004A60BA"/>
    <w:rsid w:val="004A674A"/>
    <w:rsid w:val="004A679B"/>
    <w:rsid w:val="004A6980"/>
    <w:rsid w:val="004B1254"/>
    <w:rsid w:val="004B2373"/>
    <w:rsid w:val="004B28E4"/>
    <w:rsid w:val="004B3EF3"/>
    <w:rsid w:val="004B4388"/>
    <w:rsid w:val="004B4412"/>
    <w:rsid w:val="004B456A"/>
    <w:rsid w:val="004B49E8"/>
    <w:rsid w:val="004B4CE9"/>
    <w:rsid w:val="004B5271"/>
    <w:rsid w:val="004B646C"/>
    <w:rsid w:val="004C0AE9"/>
    <w:rsid w:val="004C0CF7"/>
    <w:rsid w:val="004C10C4"/>
    <w:rsid w:val="004C17A3"/>
    <w:rsid w:val="004C2184"/>
    <w:rsid w:val="004C348C"/>
    <w:rsid w:val="004C4F72"/>
    <w:rsid w:val="004C53D6"/>
    <w:rsid w:val="004C5D9C"/>
    <w:rsid w:val="004C5DD0"/>
    <w:rsid w:val="004C7AF1"/>
    <w:rsid w:val="004D01B4"/>
    <w:rsid w:val="004D061F"/>
    <w:rsid w:val="004D279D"/>
    <w:rsid w:val="004D528B"/>
    <w:rsid w:val="004D55BA"/>
    <w:rsid w:val="004D5E37"/>
    <w:rsid w:val="004D7814"/>
    <w:rsid w:val="004E0C16"/>
    <w:rsid w:val="004E12FF"/>
    <w:rsid w:val="004E25DA"/>
    <w:rsid w:val="004E2D08"/>
    <w:rsid w:val="004E3EE2"/>
    <w:rsid w:val="004E5603"/>
    <w:rsid w:val="004F0208"/>
    <w:rsid w:val="004F024E"/>
    <w:rsid w:val="004F0458"/>
    <w:rsid w:val="004F259A"/>
    <w:rsid w:val="004F2D5F"/>
    <w:rsid w:val="004F5617"/>
    <w:rsid w:val="004F722A"/>
    <w:rsid w:val="00500499"/>
    <w:rsid w:val="0050152E"/>
    <w:rsid w:val="005038DB"/>
    <w:rsid w:val="00505910"/>
    <w:rsid w:val="00505F5C"/>
    <w:rsid w:val="00507B91"/>
    <w:rsid w:val="00507E6A"/>
    <w:rsid w:val="00510533"/>
    <w:rsid w:val="0051122A"/>
    <w:rsid w:val="0051245D"/>
    <w:rsid w:val="00514143"/>
    <w:rsid w:val="0051448C"/>
    <w:rsid w:val="005166BA"/>
    <w:rsid w:val="00516F55"/>
    <w:rsid w:val="00517CC4"/>
    <w:rsid w:val="005243F9"/>
    <w:rsid w:val="00530128"/>
    <w:rsid w:val="005321C0"/>
    <w:rsid w:val="00532467"/>
    <w:rsid w:val="0053321E"/>
    <w:rsid w:val="00533F4D"/>
    <w:rsid w:val="0053470E"/>
    <w:rsid w:val="0053643A"/>
    <w:rsid w:val="005367C2"/>
    <w:rsid w:val="00536D0F"/>
    <w:rsid w:val="00537025"/>
    <w:rsid w:val="00541577"/>
    <w:rsid w:val="0054242D"/>
    <w:rsid w:val="005433C9"/>
    <w:rsid w:val="0054455D"/>
    <w:rsid w:val="005448D2"/>
    <w:rsid w:val="0054608F"/>
    <w:rsid w:val="00546D79"/>
    <w:rsid w:val="00547CCF"/>
    <w:rsid w:val="00550FA1"/>
    <w:rsid w:val="00551D2D"/>
    <w:rsid w:val="0055322E"/>
    <w:rsid w:val="00553566"/>
    <w:rsid w:val="00553D7A"/>
    <w:rsid w:val="00556141"/>
    <w:rsid w:val="0055691F"/>
    <w:rsid w:val="00556AE6"/>
    <w:rsid w:val="00556FF8"/>
    <w:rsid w:val="005603E4"/>
    <w:rsid w:val="0056055D"/>
    <w:rsid w:val="00563279"/>
    <w:rsid w:val="00563F82"/>
    <w:rsid w:val="00564A4D"/>
    <w:rsid w:val="00567077"/>
    <w:rsid w:val="00570CC5"/>
    <w:rsid w:val="00570FF3"/>
    <w:rsid w:val="005714AB"/>
    <w:rsid w:val="005716C3"/>
    <w:rsid w:val="00571B35"/>
    <w:rsid w:val="00571C9F"/>
    <w:rsid w:val="00573210"/>
    <w:rsid w:val="005738C6"/>
    <w:rsid w:val="0057494D"/>
    <w:rsid w:val="005766F3"/>
    <w:rsid w:val="00576F16"/>
    <w:rsid w:val="00577A09"/>
    <w:rsid w:val="00582896"/>
    <w:rsid w:val="005843D7"/>
    <w:rsid w:val="00584D8F"/>
    <w:rsid w:val="005851AE"/>
    <w:rsid w:val="005862E5"/>
    <w:rsid w:val="00587D52"/>
    <w:rsid w:val="005914DC"/>
    <w:rsid w:val="00592797"/>
    <w:rsid w:val="00593DE3"/>
    <w:rsid w:val="00594565"/>
    <w:rsid w:val="005966C7"/>
    <w:rsid w:val="00596D42"/>
    <w:rsid w:val="005A052B"/>
    <w:rsid w:val="005A09D5"/>
    <w:rsid w:val="005A153F"/>
    <w:rsid w:val="005A21FF"/>
    <w:rsid w:val="005A28B9"/>
    <w:rsid w:val="005A38B7"/>
    <w:rsid w:val="005A3EF6"/>
    <w:rsid w:val="005A404D"/>
    <w:rsid w:val="005A4290"/>
    <w:rsid w:val="005A525C"/>
    <w:rsid w:val="005A5899"/>
    <w:rsid w:val="005A79A6"/>
    <w:rsid w:val="005A7BA8"/>
    <w:rsid w:val="005B0065"/>
    <w:rsid w:val="005B03B8"/>
    <w:rsid w:val="005B1BD7"/>
    <w:rsid w:val="005B1E3C"/>
    <w:rsid w:val="005B37FB"/>
    <w:rsid w:val="005B4537"/>
    <w:rsid w:val="005B4A09"/>
    <w:rsid w:val="005B70E5"/>
    <w:rsid w:val="005C0B7E"/>
    <w:rsid w:val="005C1622"/>
    <w:rsid w:val="005C26CC"/>
    <w:rsid w:val="005C2C8F"/>
    <w:rsid w:val="005C4072"/>
    <w:rsid w:val="005C5667"/>
    <w:rsid w:val="005C650D"/>
    <w:rsid w:val="005C6D81"/>
    <w:rsid w:val="005C7388"/>
    <w:rsid w:val="005C75FE"/>
    <w:rsid w:val="005D150D"/>
    <w:rsid w:val="005D1747"/>
    <w:rsid w:val="005D2134"/>
    <w:rsid w:val="005D2619"/>
    <w:rsid w:val="005D6179"/>
    <w:rsid w:val="005E09C2"/>
    <w:rsid w:val="005E4C42"/>
    <w:rsid w:val="005E5C5B"/>
    <w:rsid w:val="005E5D0B"/>
    <w:rsid w:val="005E5F26"/>
    <w:rsid w:val="005E6C0E"/>
    <w:rsid w:val="005E7AF8"/>
    <w:rsid w:val="005F073E"/>
    <w:rsid w:val="005F207B"/>
    <w:rsid w:val="005F20E5"/>
    <w:rsid w:val="005F2192"/>
    <w:rsid w:val="005F369A"/>
    <w:rsid w:val="005F71E2"/>
    <w:rsid w:val="005F7394"/>
    <w:rsid w:val="005F797F"/>
    <w:rsid w:val="006002C0"/>
    <w:rsid w:val="00600425"/>
    <w:rsid w:val="00600944"/>
    <w:rsid w:val="0060284F"/>
    <w:rsid w:val="00603458"/>
    <w:rsid w:val="00603A44"/>
    <w:rsid w:val="00603AF3"/>
    <w:rsid w:val="006048B1"/>
    <w:rsid w:val="00604BC4"/>
    <w:rsid w:val="00606E02"/>
    <w:rsid w:val="00606E38"/>
    <w:rsid w:val="0060776E"/>
    <w:rsid w:val="00610DF2"/>
    <w:rsid w:val="00610EED"/>
    <w:rsid w:val="006110B8"/>
    <w:rsid w:val="006127DE"/>
    <w:rsid w:val="00612AF6"/>
    <w:rsid w:val="006137CB"/>
    <w:rsid w:val="0061490E"/>
    <w:rsid w:val="00614AF4"/>
    <w:rsid w:val="006150D4"/>
    <w:rsid w:val="00615C6B"/>
    <w:rsid w:val="006168AF"/>
    <w:rsid w:val="006178FD"/>
    <w:rsid w:val="00617B53"/>
    <w:rsid w:val="00620E33"/>
    <w:rsid w:val="00620F6D"/>
    <w:rsid w:val="0062274F"/>
    <w:rsid w:val="006233E4"/>
    <w:rsid w:val="006265E7"/>
    <w:rsid w:val="00627598"/>
    <w:rsid w:val="00630437"/>
    <w:rsid w:val="006307F8"/>
    <w:rsid w:val="0063133C"/>
    <w:rsid w:val="006328B8"/>
    <w:rsid w:val="00632D6D"/>
    <w:rsid w:val="0063343F"/>
    <w:rsid w:val="00635047"/>
    <w:rsid w:val="006373D6"/>
    <w:rsid w:val="00641F5A"/>
    <w:rsid w:val="00641F80"/>
    <w:rsid w:val="0064202E"/>
    <w:rsid w:val="00642C3E"/>
    <w:rsid w:val="00642F98"/>
    <w:rsid w:val="00644AE3"/>
    <w:rsid w:val="006468FD"/>
    <w:rsid w:val="00647686"/>
    <w:rsid w:val="0065000D"/>
    <w:rsid w:val="00652F04"/>
    <w:rsid w:val="0065358D"/>
    <w:rsid w:val="00653F9F"/>
    <w:rsid w:val="00654ABF"/>
    <w:rsid w:val="00654D6A"/>
    <w:rsid w:val="0065601D"/>
    <w:rsid w:val="00657DB2"/>
    <w:rsid w:val="00660620"/>
    <w:rsid w:val="00662FD4"/>
    <w:rsid w:val="00663DAD"/>
    <w:rsid w:val="00665429"/>
    <w:rsid w:val="00667978"/>
    <w:rsid w:val="00671AE7"/>
    <w:rsid w:val="006739D5"/>
    <w:rsid w:val="00674220"/>
    <w:rsid w:val="006749B7"/>
    <w:rsid w:val="00674A83"/>
    <w:rsid w:val="00674D2C"/>
    <w:rsid w:val="0067579F"/>
    <w:rsid w:val="00675820"/>
    <w:rsid w:val="00675E0F"/>
    <w:rsid w:val="006764F9"/>
    <w:rsid w:val="00676679"/>
    <w:rsid w:val="0067759F"/>
    <w:rsid w:val="00680A8D"/>
    <w:rsid w:val="006811BC"/>
    <w:rsid w:val="006812ED"/>
    <w:rsid w:val="00682059"/>
    <w:rsid w:val="006841B0"/>
    <w:rsid w:val="0068639A"/>
    <w:rsid w:val="006864A3"/>
    <w:rsid w:val="00687F39"/>
    <w:rsid w:val="00691ABC"/>
    <w:rsid w:val="00693F29"/>
    <w:rsid w:val="00696146"/>
    <w:rsid w:val="006A0F77"/>
    <w:rsid w:val="006A2953"/>
    <w:rsid w:val="006A363D"/>
    <w:rsid w:val="006A5FFA"/>
    <w:rsid w:val="006A6BD0"/>
    <w:rsid w:val="006A7B5F"/>
    <w:rsid w:val="006A7F50"/>
    <w:rsid w:val="006B0E6F"/>
    <w:rsid w:val="006B1CB5"/>
    <w:rsid w:val="006B3994"/>
    <w:rsid w:val="006B3CCD"/>
    <w:rsid w:val="006B4AC7"/>
    <w:rsid w:val="006B4CF9"/>
    <w:rsid w:val="006B4F5E"/>
    <w:rsid w:val="006B5A1B"/>
    <w:rsid w:val="006B63EB"/>
    <w:rsid w:val="006B732F"/>
    <w:rsid w:val="006B7AC8"/>
    <w:rsid w:val="006B7C41"/>
    <w:rsid w:val="006C3366"/>
    <w:rsid w:val="006C472D"/>
    <w:rsid w:val="006C4ED7"/>
    <w:rsid w:val="006C5043"/>
    <w:rsid w:val="006C665F"/>
    <w:rsid w:val="006C6C0B"/>
    <w:rsid w:val="006D0897"/>
    <w:rsid w:val="006D0A51"/>
    <w:rsid w:val="006D0B01"/>
    <w:rsid w:val="006D144F"/>
    <w:rsid w:val="006D1FA6"/>
    <w:rsid w:val="006D21F4"/>
    <w:rsid w:val="006D3BF2"/>
    <w:rsid w:val="006D550F"/>
    <w:rsid w:val="006D66D6"/>
    <w:rsid w:val="006D77F3"/>
    <w:rsid w:val="006D79DA"/>
    <w:rsid w:val="006E0F25"/>
    <w:rsid w:val="006E4C65"/>
    <w:rsid w:val="006E5604"/>
    <w:rsid w:val="006E7299"/>
    <w:rsid w:val="006F0476"/>
    <w:rsid w:val="006F16FF"/>
    <w:rsid w:val="006F23BB"/>
    <w:rsid w:val="006F295B"/>
    <w:rsid w:val="006F5A7E"/>
    <w:rsid w:val="006F6013"/>
    <w:rsid w:val="006F6B2B"/>
    <w:rsid w:val="006F7B99"/>
    <w:rsid w:val="00701CAB"/>
    <w:rsid w:val="00704864"/>
    <w:rsid w:val="00704DE8"/>
    <w:rsid w:val="00705EB6"/>
    <w:rsid w:val="00706924"/>
    <w:rsid w:val="00707563"/>
    <w:rsid w:val="00710801"/>
    <w:rsid w:val="007147BA"/>
    <w:rsid w:val="00714E68"/>
    <w:rsid w:val="00716F0A"/>
    <w:rsid w:val="0071754A"/>
    <w:rsid w:val="007179E6"/>
    <w:rsid w:val="007214F2"/>
    <w:rsid w:val="00721E44"/>
    <w:rsid w:val="00722567"/>
    <w:rsid w:val="0072348C"/>
    <w:rsid w:val="00724A37"/>
    <w:rsid w:val="00726B03"/>
    <w:rsid w:val="00727183"/>
    <w:rsid w:val="0072786C"/>
    <w:rsid w:val="007303C3"/>
    <w:rsid w:val="00731133"/>
    <w:rsid w:val="00732049"/>
    <w:rsid w:val="00733921"/>
    <w:rsid w:val="00734BBB"/>
    <w:rsid w:val="00735B0F"/>
    <w:rsid w:val="007372E3"/>
    <w:rsid w:val="007375B8"/>
    <w:rsid w:val="0074036D"/>
    <w:rsid w:val="00740CC3"/>
    <w:rsid w:val="007411B5"/>
    <w:rsid w:val="0074223A"/>
    <w:rsid w:val="00743223"/>
    <w:rsid w:val="00744777"/>
    <w:rsid w:val="00744AFB"/>
    <w:rsid w:val="00744D01"/>
    <w:rsid w:val="00744EEC"/>
    <w:rsid w:val="00746814"/>
    <w:rsid w:val="00746E01"/>
    <w:rsid w:val="00750460"/>
    <w:rsid w:val="00752E84"/>
    <w:rsid w:val="0075394A"/>
    <w:rsid w:val="00754610"/>
    <w:rsid w:val="007554D4"/>
    <w:rsid w:val="00756ADD"/>
    <w:rsid w:val="007573DC"/>
    <w:rsid w:val="00757E92"/>
    <w:rsid w:val="00761AB3"/>
    <w:rsid w:val="007639C0"/>
    <w:rsid w:val="00763E5D"/>
    <w:rsid w:val="00765398"/>
    <w:rsid w:val="0076610A"/>
    <w:rsid w:val="00766CE7"/>
    <w:rsid w:val="007674CC"/>
    <w:rsid w:val="00767740"/>
    <w:rsid w:val="00767820"/>
    <w:rsid w:val="007716BB"/>
    <w:rsid w:val="007718AD"/>
    <w:rsid w:val="00772DCB"/>
    <w:rsid w:val="00772E7F"/>
    <w:rsid w:val="00777EE6"/>
    <w:rsid w:val="007806AA"/>
    <w:rsid w:val="00782EEA"/>
    <w:rsid w:val="00783934"/>
    <w:rsid w:val="007859AE"/>
    <w:rsid w:val="007860AF"/>
    <w:rsid w:val="00786A3F"/>
    <w:rsid w:val="00790B8D"/>
    <w:rsid w:val="007915AA"/>
    <w:rsid w:val="00791D5B"/>
    <w:rsid w:val="00792215"/>
    <w:rsid w:val="00792A6E"/>
    <w:rsid w:val="00792A8B"/>
    <w:rsid w:val="0079488B"/>
    <w:rsid w:val="00794FB2"/>
    <w:rsid w:val="00795793"/>
    <w:rsid w:val="00796733"/>
    <w:rsid w:val="007974AF"/>
    <w:rsid w:val="00797878"/>
    <w:rsid w:val="007A04A5"/>
    <w:rsid w:val="007A04D3"/>
    <w:rsid w:val="007A2327"/>
    <w:rsid w:val="007A3AF9"/>
    <w:rsid w:val="007A6F5C"/>
    <w:rsid w:val="007A7FF5"/>
    <w:rsid w:val="007B10C6"/>
    <w:rsid w:val="007B1708"/>
    <w:rsid w:val="007B2C72"/>
    <w:rsid w:val="007B3D09"/>
    <w:rsid w:val="007B4546"/>
    <w:rsid w:val="007B6D06"/>
    <w:rsid w:val="007C0003"/>
    <w:rsid w:val="007C0352"/>
    <w:rsid w:val="007C0AE9"/>
    <w:rsid w:val="007C0E3A"/>
    <w:rsid w:val="007C0EF2"/>
    <w:rsid w:val="007C1C53"/>
    <w:rsid w:val="007C4ED6"/>
    <w:rsid w:val="007C6481"/>
    <w:rsid w:val="007D2FE0"/>
    <w:rsid w:val="007D419C"/>
    <w:rsid w:val="007D44EF"/>
    <w:rsid w:val="007D4532"/>
    <w:rsid w:val="007D4931"/>
    <w:rsid w:val="007D797C"/>
    <w:rsid w:val="007D79E8"/>
    <w:rsid w:val="007E03B1"/>
    <w:rsid w:val="007E0E19"/>
    <w:rsid w:val="007E1F1D"/>
    <w:rsid w:val="007E2209"/>
    <w:rsid w:val="007E26A9"/>
    <w:rsid w:val="007E4904"/>
    <w:rsid w:val="007E4B9E"/>
    <w:rsid w:val="007E4CB5"/>
    <w:rsid w:val="007E6029"/>
    <w:rsid w:val="007E6842"/>
    <w:rsid w:val="007E717E"/>
    <w:rsid w:val="007F066B"/>
    <w:rsid w:val="007F120F"/>
    <w:rsid w:val="007F3CB0"/>
    <w:rsid w:val="007F4B9C"/>
    <w:rsid w:val="007F5141"/>
    <w:rsid w:val="007F567A"/>
    <w:rsid w:val="007F6743"/>
    <w:rsid w:val="007F681B"/>
    <w:rsid w:val="0080176C"/>
    <w:rsid w:val="008032EA"/>
    <w:rsid w:val="008033C4"/>
    <w:rsid w:val="0080424A"/>
    <w:rsid w:val="008051E5"/>
    <w:rsid w:val="00806C88"/>
    <w:rsid w:val="00806E71"/>
    <w:rsid w:val="0081034E"/>
    <w:rsid w:val="008103CA"/>
    <w:rsid w:val="00810566"/>
    <w:rsid w:val="008110F0"/>
    <w:rsid w:val="00811983"/>
    <w:rsid w:val="008119CF"/>
    <w:rsid w:val="0081584D"/>
    <w:rsid w:val="00821E43"/>
    <w:rsid w:val="00822526"/>
    <w:rsid w:val="00823C53"/>
    <w:rsid w:val="00824786"/>
    <w:rsid w:val="00824A15"/>
    <w:rsid w:val="008252BA"/>
    <w:rsid w:val="008305C0"/>
    <w:rsid w:val="00832443"/>
    <w:rsid w:val="008335F4"/>
    <w:rsid w:val="008344F6"/>
    <w:rsid w:val="008347DE"/>
    <w:rsid w:val="0083510F"/>
    <w:rsid w:val="0083642D"/>
    <w:rsid w:val="0084136B"/>
    <w:rsid w:val="0084142C"/>
    <w:rsid w:val="008418FE"/>
    <w:rsid w:val="00841A3D"/>
    <w:rsid w:val="00841B1A"/>
    <w:rsid w:val="00841B5F"/>
    <w:rsid w:val="00842542"/>
    <w:rsid w:val="00842A40"/>
    <w:rsid w:val="00845596"/>
    <w:rsid w:val="00847604"/>
    <w:rsid w:val="00847B93"/>
    <w:rsid w:val="00847E9E"/>
    <w:rsid w:val="0085033A"/>
    <w:rsid w:val="008503D1"/>
    <w:rsid w:val="0085103C"/>
    <w:rsid w:val="00851209"/>
    <w:rsid w:val="008514A0"/>
    <w:rsid w:val="00851775"/>
    <w:rsid w:val="008554D6"/>
    <w:rsid w:val="00855AC7"/>
    <w:rsid w:val="00855CAE"/>
    <w:rsid w:val="00855CBC"/>
    <w:rsid w:val="008565EF"/>
    <w:rsid w:val="00856856"/>
    <w:rsid w:val="00857B88"/>
    <w:rsid w:val="00860246"/>
    <w:rsid w:val="0086149C"/>
    <w:rsid w:val="008616D1"/>
    <w:rsid w:val="00862EC3"/>
    <w:rsid w:val="00863B85"/>
    <w:rsid w:val="00863D26"/>
    <w:rsid w:val="008644E1"/>
    <w:rsid w:val="00864A17"/>
    <w:rsid w:val="0086633A"/>
    <w:rsid w:val="00873CC3"/>
    <w:rsid w:val="0087492B"/>
    <w:rsid w:val="008751E9"/>
    <w:rsid w:val="0088007E"/>
    <w:rsid w:val="008828A1"/>
    <w:rsid w:val="00882C6A"/>
    <w:rsid w:val="008837AC"/>
    <w:rsid w:val="008841B0"/>
    <w:rsid w:val="00884948"/>
    <w:rsid w:val="00884E23"/>
    <w:rsid w:val="008851F2"/>
    <w:rsid w:val="008869B5"/>
    <w:rsid w:val="00890452"/>
    <w:rsid w:val="00890746"/>
    <w:rsid w:val="008908F0"/>
    <w:rsid w:val="008913F7"/>
    <w:rsid w:val="008945B4"/>
    <w:rsid w:val="0089506F"/>
    <w:rsid w:val="00895ED0"/>
    <w:rsid w:val="00896487"/>
    <w:rsid w:val="00896B54"/>
    <w:rsid w:val="008A22F8"/>
    <w:rsid w:val="008A2729"/>
    <w:rsid w:val="008A2BDD"/>
    <w:rsid w:val="008A3EEE"/>
    <w:rsid w:val="008A41D4"/>
    <w:rsid w:val="008A4510"/>
    <w:rsid w:val="008A4562"/>
    <w:rsid w:val="008A4819"/>
    <w:rsid w:val="008A4E7A"/>
    <w:rsid w:val="008A587D"/>
    <w:rsid w:val="008A5BEE"/>
    <w:rsid w:val="008A618D"/>
    <w:rsid w:val="008A7892"/>
    <w:rsid w:val="008B027C"/>
    <w:rsid w:val="008B19FB"/>
    <w:rsid w:val="008B1B58"/>
    <w:rsid w:val="008B20E5"/>
    <w:rsid w:val="008B221A"/>
    <w:rsid w:val="008B3B1B"/>
    <w:rsid w:val="008B46C6"/>
    <w:rsid w:val="008B5EE0"/>
    <w:rsid w:val="008C00BF"/>
    <w:rsid w:val="008C07B2"/>
    <w:rsid w:val="008C0C94"/>
    <w:rsid w:val="008C1BCC"/>
    <w:rsid w:val="008C1CC6"/>
    <w:rsid w:val="008C1CD1"/>
    <w:rsid w:val="008C30A0"/>
    <w:rsid w:val="008C5403"/>
    <w:rsid w:val="008C5486"/>
    <w:rsid w:val="008C62C3"/>
    <w:rsid w:val="008C6334"/>
    <w:rsid w:val="008C6634"/>
    <w:rsid w:val="008D00D3"/>
    <w:rsid w:val="008D07A3"/>
    <w:rsid w:val="008D1330"/>
    <w:rsid w:val="008D2359"/>
    <w:rsid w:val="008D2AE5"/>
    <w:rsid w:val="008D322C"/>
    <w:rsid w:val="008D3426"/>
    <w:rsid w:val="008D3A24"/>
    <w:rsid w:val="008D43F6"/>
    <w:rsid w:val="008D7D84"/>
    <w:rsid w:val="008E2EAA"/>
    <w:rsid w:val="008E3295"/>
    <w:rsid w:val="008E4741"/>
    <w:rsid w:val="008E47E6"/>
    <w:rsid w:val="008E54BE"/>
    <w:rsid w:val="008E7031"/>
    <w:rsid w:val="008E7798"/>
    <w:rsid w:val="008E7A3D"/>
    <w:rsid w:val="008E7DD5"/>
    <w:rsid w:val="008F150C"/>
    <w:rsid w:val="008F319D"/>
    <w:rsid w:val="008F3371"/>
    <w:rsid w:val="008F4DEB"/>
    <w:rsid w:val="008F5741"/>
    <w:rsid w:val="008F61C1"/>
    <w:rsid w:val="008F684B"/>
    <w:rsid w:val="008F720B"/>
    <w:rsid w:val="008F7310"/>
    <w:rsid w:val="009009B7"/>
    <w:rsid w:val="00900F1C"/>
    <w:rsid w:val="009011B9"/>
    <w:rsid w:val="009018BA"/>
    <w:rsid w:val="00903AF5"/>
    <w:rsid w:val="0090453F"/>
    <w:rsid w:val="00904A64"/>
    <w:rsid w:val="00906BE2"/>
    <w:rsid w:val="009073B2"/>
    <w:rsid w:val="00910538"/>
    <w:rsid w:val="00912232"/>
    <w:rsid w:val="009123CC"/>
    <w:rsid w:val="009128B1"/>
    <w:rsid w:val="00913BC8"/>
    <w:rsid w:val="00913ED2"/>
    <w:rsid w:val="009159CB"/>
    <w:rsid w:val="009170AF"/>
    <w:rsid w:val="009201EE"/>
    <w:rsid w:val="0092078A"/>
    <w:rsid w:val="00922C95"/>
    <w:rsid w:val="00922F33"/>
    <w:rsid w:val="009233EE"/>
    <w:rsid w:val="00924943"/>
    <w:rsid w:val="009304AB"/>
    <w:rsid w:val="009313AE"/>
    <w:rsid w:val="0093163D"/>
    <w:rsid w:val="00933211"/>
    <w:rsid w:val="00933D63"/>
    <w:rsid w:val="00933DE0"/>
    <w:rsid w:val="00934AEE"/>
    <w:rsid w:val="009367D9"/>
    <w:rsid w:val="00937A78"/>
    <w:rsid w:val="00937AFE"/>
    <w:rsid w:val="00937FC0"/>
    <w:rsid w:val="00941406"/>
    <w:rsid w:val="00942E87"/>
    <w:rsid w:val="00943CAC"/>
    <w:rsid w:val="0094508D"/>
    <w:rsid w:val="00945AA0"/>
    <w:rsid w:val="00951C9F"/>
    <w:rsid w:val="00952314"/>
    <w:rsid w:val="009531E3"/>
    <w:rsid w:val="00953809"/>
    <w:rsid w:val="00954E09"/>
    <w:rsid w:val="0095581A"/>
    <w:rsid w:val="00956D06"/>
    <w:rsid w:val="0096305F"/>
    <w:rsid w:val="009636D7"/>
    <w:rsid w:val="00963C77"/>
    <w:rsid w:val="00964790"/>
    <w:rsid w:val="00965895"/>
    <w:rsid w:val="009661DE"/>
    <w:rsid w:val="00966C1B"/>
    <w:rsid w:val="00966EB4"/>
    <w:rsid w:val="00967439"/>
    <w:rsid w:val="00967E94"/>
    <w:rsid w:val="00970860"/>
    <w:rsid w:val="00972258"/>
    <w:rsid w:val="009750E5"/>
    <w:rsid w:val="009752EB"/>
    <w:rsid w:val="00975B8B"/>
    <w:rsid w:val="009774BF"/>
    <w:rsid w:val="009856B7"/>
    <w:rsid w:val="0098602B"/>
    <w:rsid w:val="00987F0B"/>
    <w:rsid w:val="00991B3B"/>
    <w:rsid w:val="0099596D"/>
    <w:rsid w:val="009962BA"/>
    <w:rsid w:val="00996A30"/>
    <w:rsid w:val="0099732F"/>
    <w:rsid w:val="009A0F21"/>
    <w:rsid w:val="009A3473"/>
    <w:rsid w:val="009A48D4"/>
    <w:rsid w:val="009B070E"/>
    <w:rsid w:val="009B6AB3"/>
    <w:rsid w:val="009B74B0"/>
    <w:rsid w:val="009B764D"/>
    <w:rsid w:val="009C0018"/>
    <w:rsid w:val="009C1746"/>
    <w:rsid w:val="009C1FDC"/>
    <w:rsid w:val="009C21BB"/>
    <w:rsid w:val="009C5651"/>
    <w:rsid w:val="009C695E"/>
    <w:rsid w:val="009C6EC0"/>
    <w:rsid w:val="009C75CB"/>
    <w:rsid w:val="009C7A36"/>
    <w:rsid w:val="009C7E02"/>
    <w:rsid w:val="009D248B"/>
    <w:rsid w:val="009D4414"/>
    <w:rsid w:val="009D4D03"/>
    <w:rsid w:val="009D63CC"/>
    <w:rsid w:val="009D6B46"/>
    <w:rsid w:val="009D7073"/>
    <w:rsid w:val="009D7F8C"/>
    <w:rsid w:val="009E0607"/>
    <w:rsid w:val="009E18C6"/>
    <w:rsid w:val="009E3338"/>
    <w:rsid w:val="009E78A4"/>
    <w:rsid w:val="009F157D"/>
    <w:rsid w:val="009F2BE5"/>
    <w:rsid w:val="009F4940"/>
    <w:rsid w:val="00A065E6"/>
    <w:rsid w:val="00A07E5B"/>
    <w:rsid w:val="00A114F5"/>
    <w:rsid w:val="00A126C0"/>
    <w:rsid w:val="00A1346E"/>
    <w:rsid w:val="00A140ED"/>
    <w:rsid w:val="00A15114"/>
    <w:rsid w:val="00A15CFF"/>
    <w:rsid w:val="00A1665B"/>
    <w:rsid w:val="00A16EAF"/>
    <w:rsid w:val="00A170E0"/>
    <w:rsid w:val="00A20B03"/>
    <w:rsid w:val="00A20EEA"/>
    <w:rsid w:val="00A21E63"/>
    <w:rsid w:val="00A235CE"/>
    <w:rsid w:val="00A24788"/>
    <w:rsid w:val="00A253A9"/>
    <w:rsid w:val="00A3080A"/>
    <w:rsid w:val="00A30EE2"/>
    <w:rsid w:val="00A31114"/>
    <w:rsid w:val="00A32706"/>
    <w:rsid w:val="00A35423"/>
    <w:rsid w:val="00A35AE9"/>
    <w:rsid w:val="00A408E2"/>
    <w:rsid w:val="00A41D69"/>
    <w:rsid w:val="00A435AA"/>
    <w:rsid w:val="00A43E55"/>
    <w:rsid w:val="00A4478A"/>
    <w:rsid w:val="00A44852"/>
    <w:rsid w:val="00A448B2"/>
    <w:rsid w:val="00A46D7A"/>
    <w:rsid w:val="00A47271"/>
    <w:rsid w:val="00A50ABD"/>
    <w:rsid w:val="00A50D89"/>
    <w:rsid w:val="00A5113E"/>
    <w:rsid w:val="00A51E68"/>
    <w:rsid w:val="00A51F0E"/>
    <w:rsid w:val="00A5299F"/>
    <w:rsid w:val="00A53667"/>
    <w:rsid w:val="00A53C29"/>
    <w:rsid w:val="00A53CBB"/>
    <w:rsid w:val="00A53FBC"/>
    <w:rsid w:val="00A57D04"/>
    <w:rsid w:val="00A60A26"/>
    <w:rsid w:val="00A61598"/>
    <w:rsid w:val="00A618E0"/>
    <w:rsid w:val="00A622A5"/>
    <w:rsid w:val="00A642D1"/>
    <w:rsid w:val="00A642FB"/>
    <w:rsid w:val="00A653E8"/>
    <w:rsid w:val="00A661CA"/>
    <w:rsid w:val="00A7080C"/>
    <w:rsid w:val="00A70E0D"/>
    <w:rsid w:val="00A71989"/>
    <w:rsid w:val="00A720D3"/>
    <w:rsid w:val="00A74258"/>
    <w:rsid w:val="00A75E07"/>
    <w:rsid w:val="00A7627E"/>
    <w:rsid w:val="00A763CF"/>
    <w:rsid w:val="00A8183E"/>
    <w:rsid w:val="00A81AEE"/>
    <w:rsid w:val="00A81DE2"/>
    <w:rsid w:val="00A8225E"/>
    <w:rsid w:val="00A82C41"/>
    <w:rsid w:val="00A83287"/>
    <w:rsid w:val="00A833FD"/>
    <w:rsid w:val="00A83FCC"/>
    <w:rsid w:val="00A841F2"/>
    <w:rsid w:val="00A84EF8"/>
    <w:rsid w:val="00A84F46"/>
    <w:rsid w:val="00A85074"/>
    <w:rsid w:val="00A871F4"/>
    <w:rsid w:val="00A8746A"/>
    <w:rsid w:val="00A90230"/>
    <w:rsid w:val="00A90CE5"/>
    <w:rsid w:val="00A91A04"/>
    <w:rsid w:val="00A91AD5"/>
    <w:rsid w:val="00A91D03"/>
    <w:rsid w:val="00A92C77"/>
    <w:rsid w:val="00A930BD"/>
    <w:rsid w:val="00A95824"/>
    <w:rsid w:val="00A9674F"/>
    <w:rsid w:val="00A96CDD"/>
    <w:rsid w:val="00A97916"/>
    <w:rsid w:val="00AA0C80"/>
    <w:rsid w:val="00AA2911"/>
    <w:rsid w:val="00AA2A38"/>
    <w:rsid w:val="00AA4458"/>
    <w:rsid w:val="00AA458D"/>
    <w:rsid w:val="00AA4FF7"/>
    <w:rsid w:val="00AA74AF"/>
    <w:rsid w:val="00AB6CB9"/>
    <w:rsid w:val="00AC116C"/>
    <w:rsid w:val="00AC1B2C"/>
    <w:rsid w:val="00AC2497"/>
    <w:rsid w:val="00AC2826"/>
    <w:rsid w:val="00AC3264"/>
    <w:rsid w:val="00AC407A"/>
    <w:rsid w:val="00AC5A39"/>
    <w:rsid w:val="00AC5BA1"/>
    <w:rsid w:val="00AC6F01"/>
    <w:rsid w:val="00AC71E8"/>
    <w:rsid w:val="00AC7397"/>
    <w:rsid w:val="00AD1CD7"/>
    <w:rsid w:val="00AD3645"/>
    <w:rsid w:val="00AD4F08"/>
    <w:rsid w:val="00AD6EE9"/>
    <w:rsid w:val="00AD7AA4"/>
    <w:rsid w:val="00AE0FE2"/>
    <w:rsid w:val="00AE1743"/>
    <w:rsid w:val="00AE191E"/>
    <w:rsid w:val="00AE1BF1"/>
    <w:rsid w:val="00AE24C7"/>
    <w:rsid w:val="00AE27DF"/>
    <w:rsid w:val="00AE60AA"/>
    <w:rsid w:val="00AE63D9"/>
    <w:rsid w:val="00AE64E3"/>
    <w:rsid w:val="00AE7C20"/>
    <w:rsid w:val="00AF06F3"/>
    <w:rsid w:val="00AF0DD2"/>
    <w:rsid w:val="00AF1888"/>
    <w:rsid w:val="00AF18DE"/>
    <w:rsid w:val="00AF1998"/>
    <w:rsid w:val="00AF53DE"/>
    <w:rsid w:val="00AF5B07"/>
    <w:rsid w:val="00AF5FE0"/>
    <w:rsid w:val="00AF6576"/>
    <w:rsid w:val="00B01022"/>
    <w:rsid w:val="00B01626"/>
    <w:rsid w:val="00B01B18"/>
    <w:rsid w:val="00B0205B"/>
    <w:rsid w:val="00B039C7"/>
    <w:rsid w:val="00B03A87"/>
    <w:rsid w:val="00B04060"/>
    <w:rsid w:val="00B0410D"/>
    <w:rsid w:val="00B06919"/>
    <w:rsid w:val="00B10314"/>
    <w:rsid w:val="00B1081F"/>
    <w:rsid w:val="00B10A24"/>
    <w:rsid w:val="00B125D5"/>
    <w:rsid w:val="00B12E8A"/>
    <w:rsid w:val="00B13048"/>
    <w:rsid w:val="00B14725"/>
    <w:rsid w:val="00B154B2"/>
    <w:rsid w:val="00B1593B"/>
    <w:rsid w:val="00B15998"/>
    <w:rsid w:val="00B15A95"/>
    <w:rsid w:val="00B1716D"/>
    <w:rsid w:val="00B1766E"/>
    <w:rsid w:val="00B17A1D"/>
    <w:rsid w:val="00B17CED"/>
    <w:rsid w:val="00B207A0"/>
    <w:rsid w:val="00B2251E"/>
    <w:rsid w:val="00B26BB2"/>
    <w:rsid w:val="00B310DE"/>
    <w:rsid w:val="00B31BBC"/>
    <w:rsid w:val="00B31DF9"/>
    <w:rsid w:val="00B3217B"/>
    <w:rsid w:val="00B3313D"/>
    <w:rsid w:val="00B33690"/>
    <w:rsid w:val="00B3588E"/>
    <w:rsid w:val="00B35C43"/>
    <w:rsid w:val="00B35CD1"/>
    <w:rsid w:val="00B3784E"/>
    <w:rsid w:val="00B413A2"/>
    <w:rsid w:val="00B42523"/>
    <w:rsid w:val="00B4538D"/>
    <w:rsid w:val="00B4584F"/>
    <w:rsid w:val="00B45E07"/>
    <w:rsid w:val="00B46A03"/>
    <w:rsid w:val="00B502E1"/>
    <w:rsid w:val="00B515EE"/>
    <w:rsid w:val="00B52EDF"/>
    <w:rsid w:val="00B542A6"/>
    <w:rsid w:val="00B54E94"/>
    <w:rsid w:val="00B55200"/>
    <w:rsid w:val="00B559E6"/>
    <w:rsid w:val="00B56E03"/>
    <w:rsid w:val="00B60BC5"/>
    <w:rsid w:val="00B60F5D"/>
    <w:rsid w:val="00B66504"/>
    <w:rsid w:val="00B67E91"/>
    <w:rsid w:val="00B7011B"/>
    <w:rsid w:val="00B70386"/>
    <w:rsid w:val="00B70741"/>
    <w:rsid w:val="00B7165D"/>
    <w:rsid w:val="00B73814"/>
    <w:rsid w:val="00B766B7"/>
    <w:rsid w:val="00B8001C"/>
    <w:rsid w:val="00B80651"/>
    <w:rsid w:val="00B8080B"/>
    <w:rsid w:val="00B80DF6"/>
    <w:rsid w:val="00B81458"/>
    <w:rsid w:val="00B81FB6"/>
    <w:rsid w:val="00B831EE"/>
    <w:rsid w:val="00B84D69"/>
    <w:rsid w:val="00B86533"/>
    <w:rsid w:val="00B87C39"/>
    <w:rsid w:val="00B90252"/>
    <w:rsid w:val="00B912D8"/>
    <w:rsid w:val="00B915EA"/>
    <w:rsid w:val="00B91CEF"/>
    <w:rsid w:val="00B91D0C"/>
    <w:rsid w:val="00B91FD5"/>
    <w:rsid w:val="00B92016"/>
    <w:rsid w:val="00B92798"/>
    <w:rsid w:val="00B92C0F"/>
    <w:rsid w:val="00B93AFE"/>
    <w:rsid w:val="00B95DE2"/>
    <w:rsid w:val="00B968FF"/>
    <w:rsid w:val="00B96DAA"/>
    <w:rsid w:val="00B973DA"/>
    <w:rsid w:val="00B978CA"/>
    <w:rsid w:val="00B97A4E"/>
    <w:rsid w:val="00BA03CC"/>
    <w:rsid w:val="00BA085A"/>
    <w:rsid w:val="00BA3703"/>
    <w:rsid w:val="00BA4665"/>
    <w:rsid w:val="00BA69ED"/>
    <w:rsid w:val="00BB14A4"/>
    <w:rsid w:val="00BB2FB2"/>
    <w:rsid w:val="00BB3304"/>
    <w:rsid w:val="00BC2844"/>
    <w:rsid w:val="00BC2ECE"/>
    <w:rsid w:val="00BC382C"/>
    <w:rsid w:val="00BC529D"/>
    <w:rsid w:val="00BC5F82"/>
    <w:rsid w:val="00BC60A8"/>
    <w:rsid w:val="00BC7167"/>
    <w:rsid w:val="00BC7527"/>
    <w:rsid w:val="00BC7690"/>
    <w:rsid w:val="00BD0770"/>
    <w:rsid w:val="00BD08C6"/>
    <w:rsid w:val="00BD0EFE"/>
    <w:rsid w:val="00BD20D6"/>
    <w:rsid w:val="00BD2346"/>
    <w:rsid w:val="00BD2420"/>
    <w:rsid w:val="00BD25EB"/>
    <w:rsid w:val="00BD25FD"/>
    <w:rsid w:val="00BD3446"/>
    <w:rsid w:val="00BD58BF"/>
    <w:rsid w:val="00BD6885"/>
    <w:rsid w:val="00BD77C4"/>
    <w:rsid w:val="00BE1802"/>
    <w:rsid w:val="00BE1F1B"/>
    <w:rsid w:val="00BE2699"/>
    <w:rsid w:val="00BE462A"/>
    <w:rsid w:val="00BE47B5"/>
    <w:rsid w:val="00BE481E"/>
    <w:rsid w:val="00BE4C99"/>
    <w:rsid w:val="00BE56E4"/>
    <w:rsid w:val="00BE5910"/>
    <w:rsid w:val="00BE674A"/>
    <w:rsid w:val="00BE6C04"/>
    <w:rsid w:val="00BE71C4"/>
    <w:rsid w:val="00BE7DD3"/>
    <w:rsid w:val="00BF06A3"/>
    <w:rsid w:val="00BF5D58"/>
    <w:rsid w:val="00BF63A4"/>
    <w:rsid w:val="00C01E34"/>
    <w:rsid w:val="00C022A5"/>
    <w:rsid w:val="00C024DD"/>
    <w:rsid w:val="00C0566F"/>
    <w:rsid w:val="00C058AB"/>
    <w:rsid w:val="00C06739"/>
    <w:rsid w:val="00C07431"/>
    <w:rsid w:val="00C10B43"/>
    <w:rsid w:val="00C12712"/>
    <w:rsid w:val="00C1316C"/>
    <w:rsid w:val="00C1394C"/>
    <w:rsid w:val="00C13F99"/>
    <w:rsid w:val="00C14134"/>
    <w:rsid w:val="00C20282"/>
    <w:rsid w:val="00C206D8"/>
    <w:rsid w:val="00C21032"/>
    <w:rsid w:val="00C21283"/>
    <w:rsid w:val="00C21807"/>
    <w:rsid w:val="00C2183D"/>
    <w:rsid w:val="00C21BD3"/>
    <w:rsid w:val="00C21C8D"/>
    <w:rsid w:val="00C24B11"/>
    <w:rsid w:val="00C2554A"/>
    <w:rsid w:val="00C25EE8"/>
    <w:rsid w:val="00C261DF"/>
    <w:rsid w:val="00C26C48"/>
    <w:rsid w:val="00C312A0"/>
    <w:rsid w:val="00C31F7B"/>
    <w:rsid w:val="00C3219F"/>
    <w:rsid w:val="00C323C7"/>
    <w:rsid w:val="00C32957"/>
    <w:rsid w:val="00C34A77"/>
    <w:rsid w:val="00C34CBA"/>
    <w:rsid w:val="00C34EC2"/>
    <w:rsid w:val="00C356B4"/>
    <w:rsid w:val="00C36454"/>
    <w:rsid w:val="00C36EF7"/>
    <w:rsid w:val="00C36F32"/>
    <w:rsid w:val="00C371FE"/>
    <w:rsid w:val="00C40B13"/>
    <w:rsid w:val="00C42121"/>
    <w:rsid w:val="00C424A9"/>
    <w:rsid w:val="00C43214"/>
    <w:rsid w:val="00C44283"/>
    <w:rsid w:val="00C44CAC"/>
    <w:rsid w:val="00C506D1"/>
    <w:rsid w:val="00C531EB"/>
    <w:rsid w:val="00C538A9"/>
    <w:rsid w:val="00C53917"/>
    <w:rsid w:val="00C53B5A"/>
    <w:rsid w:val="00C54582"/>
    <w:rsid w:val="00C54F5A"/>
    <w:rsid w:val="00C55386"/>
    <w:rsid w:val="00C55624"/>
    <w:rsid w:val="00C559E4"/>
    <w:rsid w:val="00C55DC4"/>
    <w:rsid w:val="00C569D0"/>
    <w:rsid w:val="00C57DBD"/>
    <w:rsid w:val="00C57DBE"/>
    <w:rsid w:val="00C603A8"/>
    <w:rsid w:val="00C603B5"/>
    <w:rsid w:val="00C63430"/>
    <w:rsid w:val="00C63868"/>
    <w:rsid w:val="00C66BE0"/>
    <w:rsid w:val="00C67086"/>
    <w:rsid w:val="00C67809"/>
    <w:rsid w:val="00C7265D"/>
    <w:rsid w:val="00C738C7"/>
    <w:rsid w:val="00C74247"/>
    <w:rsid w:val="00C755AD"/>
    <w:rsid w:val="00C76AE1"/>
    <w:rsid w:val="00C77276"/>
    <w:rsid w:val="00C80685"/>
    <w:rsid w:val="00C81881"/>
    <w:rsid w:val="00C83327"/>
    <w:rsid w:val="00C860B1"/>
    <w:rsid w:val="00C8662F"/>
    <w:rsid w:val="00C86679"/>
    <w:rsid w:val="00C86D01"/>
    <w:rsid w:val="00C8773F"/>
    <w:rsid w:val="00C91BF5"/>
    <w:rsid w:val="00C91EA9"/>
    <w:rsid w:val="00C9245E"/>
    <w:rsid w:val="00C92BDE"/>
    <w:rsid w:val="00C93AEC"/>
    <w:rsid w:val="00C9544E"/>
    <w:rsid w:val="00C9621D"/>
    <w:rsid w:val="00C977AF"/>
    <w:rsid w:val="00CA06EF"/>
    <w:rsid w:val="00CA1FA8"/>
    <w:rsid w:val="00CA2D61"/>
    <w:rsid w:val="00CA30F2"/>
    <w:rsid w:val="00CA36CB"/>
    <w:rsid w:val="00CA45DC"/>
    <w:rsid w:val="00CA582D"/>
    <w:rsid w:val="00CA5D77"/>
    <w:rsid w:val="00CA5D7D"/>
    <w:rsid w:val="00CA6C5D"/>
    <w:rsid w:val="00CA6C84"/>
    <w:rsid w:val="00CA7046"/>
    <w:rsid w:val="00CA75F9"/>
    <w:rsid w:val="00CB0AE0"/>
    <w:rsid w:val="00CB4E96"/>
    <w:rsid w:val="00CB5CB9"/>
    <w:rsid w:val="00CB666B"/>
    <w:rsid w:val="00CC0BB1"/>
    <w:rsid w:val="00CC2BEC"/>
    <w:rsid w:val="00CC7566"/>
    <w:rsid w:val="00CC7DED"/>
    <w:rsid w:val="00CD0F35"/>
    <w:rsid w:val="00CD3812"/>
    <w:rsid w:val="00CD590B"/>
    <w:rsid w:val="00CD5CB1"/>
    <w:rsid w:val="00CD64F2"/>
    <w:rsid w:val="00CD7151"/>
    <w:rsid w:val="00CE0927"/>
    <w:rsid w:val="00CE0A6E"/>
    <w:rsid w:val="00CE0FAB"/>
    <w:rsid w:val="00CE1BA2"/>
    <w:rsid w:val="00CE1EAD"/>
    <w:rsid w:val="00CE3CE5"/>
    <w:rsid w:val="00CE5D33"/>
    <w:rsid w:val="00CE5F8B"/>
    <w:rsid w:val="00CE6185"/>
    <w:rsid w:val="00CE6293"/>
    <w:rsid w:val="00CF10EE"/>
    <w:rsid w:val="00CF1F29"/>
    <w:rsid w:val="00CF3093"/>
    <w:rsid w:val="00CF3272"/>
    <w:rsid w:val="00CF4ECF"/>
    <w:rsid w:val="00CF58A0"/>
    <w:rsid w:val="00CF603D"/>
    <w:rsid w:val="00CF6268"/>
    <w:rsid w:val="00CF6E24"/>
    <w:rsid w:val="00CF753F"/>
    <w:rsid w:val="00CF799E"/>
    <w:rsid w:val="00D007BA"/>
    <w:rsid w:val="00D01014"/>
    <w:rsid w:val="00D01899"/>
    <w:rsid w:val="00D01CF0"/>
    <w:rsid w:val="00D02703"/>
    <w:rsid w:val="00D030DC"/>
    <w:rsid w:val="00D03DD7"/>
    <w:rsid w:val="00D0442A"/>
    <w:rsid w:val="00D04782"/>
    <w:rsid w:val="00D048E9"/>
    <w:rsid w:val="00D06562"/>
    <w:rsid w:val="00D11AA4"/>
    <w:rsid w:val="00D1232F"/>
    <w:rsid w:val="00D126E3"/>
    <w:rsid w:val="00D1602D"/>
    <w:rsid w:val="00D1656D"/>
    <w:rsid w:val="00D168CE"/>
    <w:rsid w:val="00D16DAE"/>
    <w:rsid w:val="00D17A34"/>
    <w:rsid w:val="00D2029F"/>
    <w:rsid w:val="00D203E1"/>
    <w:rsid w:val="00D20B63"/>
    <w:rsid w:val="00D2228B"/>
    <w:rsid w:val="00D2363B"/>
    <w:rsid w:val="00D23C3A"/>
    <w:rsid w:val="00D2410F"/>
    <w:rsid w:val="00D317EE"/>
    <w:rsid w:val="00D32E71"/>
    <w:rsid w:val="00D33AE6"/>
    <w:rsid w:val="00D34062"/>
    <w:rsid w:val="00D35B5A"/>
    <w:rsid w:val="00D35FAA"/>
    <w:rsid w:val="00D40CFC"/>
    <w:rsid w:val="00D410FC"/>
    <w:rsid w:val="00D41A0E"/>
    <w:rsid w:val="00D41C51"/>
    <w:rsid w:val="00D42232"/>
    <w:rsid w:val="00D43A1E"/>
    <w:rsid w:val="00D44AC1"/>
    <w:rsid w:val="00D450FC"/>
    <w:rsid w:val="00D456DD"/>
    <w:rsid w:val="00D50AF7"/>
    <w:rsid w:val="00D51EF6"/>
    <w:rsid w:val="00D52F50"/>
    <w:rsid w:val="00D53086"/>
    <w:rsid w:val="00D535C0"/>
    <w:rsid w:val="00D53619"/>
    <w:rsid w:val="00D544B8"/>
    <w:rsid w:val="00D5516E"/>
    <w:rsid w:val="00D567F1"/>
    <w:rsid w:val="00D56BFF"/>
    <w:rsid w:val="00D57161"/>
    <w:rsid w:val="00D57F1A"/>
    <w:rsid w:val="00D6022F"/>
    <w:rsid w:val="00D61388"/>
    <w:rsid w:val="00D61A54"/>
    <w:rsid w:val="00D61DF0"/>
    <w:rsid w:val="00D61EF0"/>
    <w:rsid w:val="00D62F94"/>
    <w:rsid w:val="00D638C2"/>
    <w:rsid w:val="00D63DF2"/>
    <w:rsid w:val="00D64A10"/>
    <w:rsid w:val="00D64AF7"/>
    <w:rsid w:val="00D64DEA"/>
    <w:rsid w:val="00D65D34"/>
    <w:rsid w:val="00D66009"/>
    <w:rsid w:val="00D66B97"/>
    <w:rsid w:val="00D67F78"/>
    <w:rsid w:val="00D703BF"/>
    <w:rsid w:val="00D70817"/>
    <w:rsid w:val="00D709EB"/>
    <w:rsid w:val="00D71F74"/>
    <w:rsid w:val="00D73791"/>
    <w:rsid w:val="00D738A8"/>
    <w:rsid w:val="00D7397A"/>
    <w:rsid w:val="00D73D5F"/>
    <w:rsid w:val="00D73F31"/>
    <w:rsid w:val="00D74196"/>
    <w:rsid w:val="00D74F74"/>
    <w:rsid w:val="00D7501E"/>
    <w:rsid w:val="00D75EC6"/>
    <w:rsid w:val="00D80893"/>
    <w:rsid w:val="00D8160A"/>
    <w:rsid w:val="00D81B55"/>
    <w:rsid w:val="00D822CA"/>
    <w:rsid w:val="00D8317A"/>
    <w:rsid w:val="00D8392F"/>
    <w:rsid w:val="00D83B51"/>
    <w:rsid w:val="00D84FDD"/>
    <w:rsid w:val="00D85B33"/>
    <w:rsid w:val="00D8783B"/>
    <w:rsid w:val="00D9005A"/>
    <w:rsid w:val="00D92CF1"/>
    <w:rsid w:val="00D92D38"/>
    <w:rsid w:val="00D92F78"/>
    <w:rsid w:val="00D94F83"/>
    <w:rsid w:val="00D950F5"/>
    <w:rsid w:val="00D95421"/>
    <w:rsid w:val="00D95BED"/>
    <w:rsid w:val="00D976A3"/>
    <w:rsid w:val="00DA0397"/>
    <w:rsid w:val="00DA16C8"/>
    <w:rsid w:val="00DA24CE"/>
    <w:rsid w:val="00DA2C27"/>
    <w:rsid w:val="00DA2FFA"/>
    <w:rsid w:val="00DA3CBA"/>
    <w:rsid w:val="00DA406F"/>
    <w:rsid w:val="00DA4139"/>
    <w:rsid w:val="00DA4250"/>
    <w:rsid w:val="00DA4AAD"/>
    <w:rsid w:val="00DA738E"/>
    <w:rsid w:val="00DA7FF8"/>
    <w:rsid w:val="00DB0567"/>
    <w:rsid w:val="00DB0F93"/>
    <w:rsid w:val="00DB176E"/>
    <w:rsid w:val="00DB1B4B"/>
    <w:rsid w:val="00DB29DE"/>
    <w:rsid w:val="00DB4062"/>
    <w:rsid w:val="00DB4288"/>
    <w:rsid w:val="00DB53F7"/>
    <w:rsid w:val="00DB5F2F"/>
    <w:rsid w:val="00DC0120"/>
    <w:rsid w:val="00DC11F7"/>
    <w:rsid w:val="00DC2BA0"/>
    <w:rsid w:val="00DC4C2C"/>
    <w:rsid w:val="00DC542F"/>
    <w:rsid w:val="00DC7981"/>
    <w:rsid w:val="00DD2246"/>
    <w:rsid w:val="00DD30B9"/>
    <w:rsid w:val="00DD5A8E"/>
    <w:rsid w:val="00DD63EA"/>
    <w:rsid w:val="00DE01E2"/>
    <w:rsid w:val="00DE078B"/>
    <w:rsid w:val="00DE105E"/>
    <w:rsid w:val="00DE27BE"/>
    <w:rsid w:val="00DE4EFA"/>
    <w:rsid w:val="00DE52DA"/>
    <w:rsid w:val="00DE5520"/>
    <w:rsid w:val="00DE5641"/>
    <w:rsid w:val="00DE679A"/>
    <w:rsid w:val="00DF11B7"/>
    <w:rsid w:val="00DF167A"/>
    <w:rsid w:val="00DF3371"/>
    <w:rsid w:val="00DF6775"/>
    <w:rsid w:val="00DF7778"/>
    <w:rsid w:val="00E00031"/>
    <w:rsid w:val="00E0028B"/>
    <w:rsid w:val="00E02261"/>
    <w:rsid w:val="00E030C0"/>
    <w:rsid w:val="00E04818"/>
    <w:rsid w:val="00E055A7"/>
    <w:rsid w:val="00E058DD"/>
    <w:rsid w:val="00E0601E"/>
    <w:rsid w:val="00E06442"/>
    <w:rsid w:val="00E10134"/>
    <w:rsid w:val="00E10D93"/>
    <w:rsid w:val="00E10DC2"/>
    <w:rsid w:val="00E11C82"/>
    <w:rsid w:val="00E13D5C"/>
    <w:rsid w:val="00E15389"/>
    <w:rsid w:val="00E16849"/>
    <w:rsid w:val="00E1768B"/>
    <w:rsid w:val="00E21397"/>
    <w:rsid w:val="00E217F6"/>
    <w:rsid w:val="00E21DF8"/>
    <w:rsid w:val="00E222CB"/>
    <w:rsid w:val="00E235E7"/>
    <w:rsid w:val="00E23989"/>
    <w:rsid w:val="00E23993"/>
    <w:rsid w:val="00E23B23"/>
    <w:rsid w:val="00E2400F"/>
    <w:rsid w:val="00E24990"/>
    <w:rsid w:val="00E25B8C"/>
    <w:rsid w:val="00E26483"/>
    <w:rsid w:val="00E268E2"/>
    <w:rsid w:val="00E27A4A"/>
    <w:rsid w:val="00E3179B"/>
    <w:rsid w:val="00E31B2B"/>
    <w:rsid w:val="00E355BE"/>
    <w:rsid w:val="00E3627C"/>
    <w:rsid w:val="00E365B7"/>
    <w:rsid w:val="00E370FD"/>
    <w:rsid w:val="00E37BE1"/>
    <w:rsid w:val="00E37BFC"/>
    <w:rsid w:val="00E40652"/>
    <w:rsid w:val="00E41505"/>
    <w:rsid w:val="00E43107"/>
    <w:rsid w:val="00E43453"/>
    <w:rsid w:val="00E44D68"/>
    <w:rsid w:val="00E45F1F"/>
    <w:rsid w:val="00E46711"/>
    <w:rsid w:val="00E4674F"/>
    <w:rsid w:val="00E47621"/>
    <w:rsid w:val="00E50E33"/>
    <w:rsid w:val="00E5211B"/>
    <w:rsid w:val="00E52C1F"/>
    <w:rsid w:val="00E535D3"/>
    <w:rsid w:val="00E540BA"/>
    <w:rsid w:val="00E54240"/>
    <w:rsid w:val="00E5519D"/>
    <w:rsid w:val="00E56646"/>
    <w:rsid w:val="00E57D8D"/>
    <w:rsid w:val="00E60350"/>
    <w:rsid w:val="00E60463"/>
    <w:rsid w:val="00E60D6C"/>
    <w:rsid w:val="00E615B1"/>
    <w:rsid w:val="00E61B72"/>
    <w:rsid w:val="00E61CCE"/>
    <w:rsid w:val="00E62511"/>
    <w:rsid w:val="00E62A3D"/>
    <w:rsid w:val="00E63137"/>
    <w:rsid w:val="00E63416"/>
    <w:rsid w:val="00E63639"/>
    <w:rsid w:val="00E65C85"/>
    <w:rsid w:val="00E66199"/>
    <w:rsid w:val="00E66360"/>
    <w:rsid w:val="00E663C0"/>
    <w:rsid w:val="00E6693E"/>
    <w:rsid w:val="00E66FA5"/>
    <w:rsid w:val="00E73395"/>
    <w:rsid w:val="00E755EC"/>
    <w:rsid w:val="00E7624D"/>
    <w:rsid w:val="00E76551"/>
    <w:rsid w:val="00E77068"/>
    <w:rsid w:val="00E77DC0"/>
    <w:rsid w:val="00E80C21"/>
    <w:rsid w:val="00E82758"/>
    <w:rsid w:val="00E841F0"/>
    <w:rsid w:val="00E8420F"/>
    <w:rsid w:val="00E849B7"/>
    <w:rsid w:val="00E85E67"/>
    <w:rsid w:val="00E8626C"/>
    <w:rsid w:val="00E8727D"/>
    <w:rsid w:val="00E874CB"/>
    <w:rsid w:val="00E87A15"/>
    <w:rsid w:val="00E87C2E"/>
    <w:rsid w:val="00E90349"/>
    <w:rsid w:val="00E90DBE"/>
    <w:rsid w:val="00E91037"/>
    <w:rsid w:val="00E91E80"/>
    <w:rsid w:val="00E93ED0"/>
    <w:rsid w:val="00E9504C"/>
    <w:rsid w:val="00E956C0"/>
    <w:rsid w:val="00E959D1"/>
    <w:rsid w:val="00E96424"/>
    <w:rsid w:val="00E96DAB"/>
    <w:rsid w:val="00E9715E"/>
    <w:rsid w:val="00EA18E1"/>
    <w:rsid w:val="00EA20B6"/>
    <w:rsid w:val="00EA3D42"/>
    <w:rsid w:val="00EA4405"/>
    <w:rsid w:val="00EA5C39"/>
    <w:rsid w:val="00EA6B1B"/>
    <w:rsid w:val="00EB073B"/>
    <w:rsid w:val="00EB0FAF"/>
    <w:rsid w:val="00EB38F6"/>
    <w:rsid w:val="00EB3BC0"/>
    <w:rsid w:val="00EB3C69"/>
    <w:rsid w:val="00EB4377"/>
    <w:rsid w:val="00EB5D18"/>
    <w:rsid w:val="00EB766F"/>
    <w:rsid w:val="00EB7B42"/>
    <w:rsid w:val="00EC097E"/>
    <w:rsid w:val="00EC141E"/>
    <w:rsid w:val="00EC157A"/>
    <w:rsid w:val="00EC4570"/>
    <w:rsid w:val="00EC4EAA"/>
    <w:rsid w:val="00EC515B"/>
    <w:rsid w:val="00EC585F"/>
    <w:rsid w:val="00EC5EFF"/>
    <w:rsid w:val="00EC745D"/>
    <w:rsid w:val="00EC7463"/>
    <w:rsid w:val="00EC75CE"/>
    <w:rsid w:val="00EC7651"/>
    <w:rsid w:val="00EC7666"/>
    <w:rsid w:val="00ED0362"/>
    <w:rsid w:val="00ED1D00"/>
    <w:rsid w:val="00ED3490"/>
    <w:rsid w:val="00ED44EF"/>
    <w:rsid w:val="00ED62C5"/>
    <w:rsid w:val="00ED6A7D"/>
    <w:rsid w:val="00ED73E4"/>
    <w:rsid w:val="00EE0A48"/>
    <w:rsid w:val="00EE1428"/>
    <w:rsid w:val="00EE1A59"/>
    <w:rsid w:val="00EE28F3"/>
    <w:rsid w:val="00EE3F1D"/>
    <w:rsid w:val="00EE44A7"/>
    <w:rsid w:val="00EF017B"/>
    <w:rsid w:val="00EF03C1"/>
    <w:rsid w:val="00EF10BB"/>
    <w:rsid w:val="00EF1470"/>
    <w:rsid w:val="00EF2E43"/>
    <w:rsid w:val="00EF3EA9"/>
    <w:rsid w:val="00EF49CF"/>
    <w:rsid w:val="00EF50F8"/>
    <w:rsid w:val="00EF5110"/>
    <w:rsid w:val="00EF5840"/>
    <w:rsid w:val="00EF609C"/>
    <w:rsid w:val="00EF682B"/>
    <w:rsid w:val="00EF6FD1"/>
    <w:rsid w:val="00F019CB"/>
    <w:rsid w:val="00F01E41"/>
    <w:rsid w:val="00F01EDE"/>
    <w:rsid w:val="00F04438"/>
    <w:rsid w:val="00F0447D"/>
    <w:rsid w:val="00F0641B"/>
    <w:rsid w:val="00F1082B"/>
    <w:rsid w:val="00F108E3"/>
    <w:rsid w:val="00F11A23"/>
    <w:rsid w:val="00F134CE"/>
    <w:rsid w:val="00F136F7"/>
    <w:rsid w:val="00F15882"/>
    <w:rsid w:val="00F15D29"/>
    <w:rsid w:val="00F16C81"/>
    <w:rsid w:val="00F20941"/>
    <w:rsid w:val="00F20BD3"/>
    <w:rsid w:val="00F21A2A"/>
    <w:rsid w:val="00F21EC9"/>
    <w:rsid w:val="00F22EB5"/>
    <w:rsid w:val="00F2479E"/>
    <w:rsid w:val="00F25C0C"/>
    <w:rsid w:val="00F261ED"/>
    <w:rsid w:val="00F264D4"/>
    <w:rsid w:val="00F26AF3"/>
    <w:rsid w:val="00F26B41"/>
    <w:rsid w:val="00F27579"/>
    <w:rsid w:val="00F316C8"/>
    <w:rsid w:val="00F32601"/>
    <w:rsid w:val="00F331B2"/>
    <w:rsid w:val="00F3343D"/>
    <w:rsid w:val="00F342F0"/>
    <w:rsid w:val="00F343FD"/>
    <w:rsid w:val="00F361C2"/>
    <w:rsid w:val="00F373A5"/>
    <w:rsid w:val="00F379C9"/>
    <w:rsid w:val="00F41A46"/>
    <w:rsid w:val="00F42312"/>
    <w:rsid w:val="00F435E1"/>
    <w:rsid w:val="00F443DD"/>
    <w:rsid w:val="00F44ED4"/>
    <w:rsid w:val="00F4568E"/>
    <w:rsid w:val="00F46397"/>
    <w:rsid w:val="00F47559"/>
    <w:rsid w:val="00F47DF1"/>
    <w:rsid w:val="00F535CE"/>
    <w:rsid w:val="00F5381A"/>
    <w:rsid w:val="00F553FF"/>
    <w:rsid w:val="00F56DC6"/>
    <w:rsid w:val="00F60078"/>
    <w:rsid w:val="00F60BE4"/>
    <w:rsid w:val="00F613F0"/>
    <w:rsid w:val="00F615FD"/>
    <w:rsid w:val="00F61B84"/>
    <w:rsid w:val="00F6209D"/>
    <w:rsid w:val="00F623F9"/>
    <w:rsid w:val="00F62762"/>
    <w:rsid w:val="00F63148"/>
    <w:rsid w:val="00F63432"/>
    <w:rsid w:val="00F64C7B"/>
    <w:rsid w:val="00F65D88"/>
    <w:rsid w:val="00F66542"/>
    <w:rsid w:val="00F676DD"/>
    <w:rsid w:val="00F67EA6"/>
    <w:rsid w:val="00F707D6"/>
    <w:rsid w:val="00F71E04"/>
    <w:rsid w:val="00F71EF9"/>
    <w:rsid w:val="00F7250D"/>
    <w:rsid w:val="00F72ABD"/>
    <w:rsid w:val="00F736C1"/>
    <w:rsid w:val="00F744E4"/>
    <w:rsid w:val="00F75A26"/>
    <w:rsid w:val="00F77CA6"/>
    <w:rsid w:val="00F804DC"/>
    <w:rsid w:val="00F833E1"/>
    <w:rsid w:val="00F839BE"/>
    <w:rsid w:val="00F83E19"/>
    <w:rsid w:val="00F83FAD"/>
    <w:rsid w:val="00F8483D"/>
    <w:rsid w:val="00F84D6F"/>
    <w:rsid w:val="00F859E1"/>
    <w:rsid w:val="00F86037"/>
    <w:rsid w:val="00F86EB2"/>
    <w:rsid w:val="00F87B4B"/>
    <w:rsid w:val="00F911CC"/>
    <w:rsid w:val="00F9145C"/>
    <w:rsid w:val="00F91DC6"/>
    <w:rsid w:val="00F91E47"/>
    <w:rsid w:val="00F92552"/>
    <w:rsid w:val="00F929CE"/>
    <w:rsid w:val="00F931F2"/>
    <w:rsid w:val="00F937AE"/>
    <w:rsid w:val="00F950DC"/>
    <w:rsid w:val="00F952A0"/>
    <w:rsid w:val="00F9567D"/>
    <w:rsid w:val="00F961FB"/>
    <w:rsid w:val="00F96C44"/>
    <w:rsid w:val="00FA04C0"/>
    <w:rsid w:val="00FA0857"/>
    <w:rsid w:val="00FA0DF9"/>
    <w:rsid w:val="00FA14E8"/>
    <w:rsid w:val="00FA32FC"/>
    <w:rsid w:val="00FA3C7F"/>
    <w:rsid w:val="00FA3C89"/>
    <w:rsid w:val="00FA4450"/>
    <w:rsid w:val="00FA4C7F"/>
    <w:rsid w:val="00FA6715"/>
    <w:rsid w:val="00FA7E76"/>
    <w:rsid w:val="00FB001C"/>
    <w:rsid w:val="00FB0349"/>
    <w:rsid w:val="00FB0BFF"/>
    <w:rsid w:val="00FB14AA"/>
    <w:rsid w:val="00FB2E94"/>
    <w:rsid w:val="00FB44CE"/>
    <w:rsid w:val="00FB4B92"/>
    <w:rsid w:val="00FB52D7"/>
    <w:rsid w:val="00FB5428"/>
    <w:rsid w:val="00FB6BE8"/>
    <w:rsid w:val="00FB74E2"/>
    <w:rsid w:val="00FC1899"/>
    <w:rsid w:val="00FC1B5F"/>
    <w:rsid w:val="00FC326E"/>
    <w:rsid w:val="00FC34C9"/>
    <w:rsid w:val="00FC4482"/>
    <w:rsid w:val="00FC7A9D"/>
    <w:rsid w:val="00FD0A4E"/>
    <w:rsid w:val="00FD1BF9"/>
    <w:rsid w:val="00FD5614"/>
    <w:rsid w:val="00FD6272"/>
    <w:rsid w:val="00FD6631"/>
    <w:rsid w:val="00FD743B"/>
    <w:rsid w:val="00FD7593"/>
    <w:rsid w:val="00FD79E5"/>
    <w:rsid w:val="00FE0BE1"/>
    <w:rsid w:val="00FE0D92"/>
    <w:rsid w:val="00FE118B"/>
    <w:rsid w:val="00FE1DE9"/>
    <w:rsid w:val="00FE2942"/>
    <w:rsid w:val="00FE39C2"/>
    <w:rsid w:val="00FE3A30"/>
    <w:rsid w:val="00FE53B0"/>
    <w:rsid w:val="00FE64AE"/>
    <w:rsid w:val="00FE7558"/>
    <w:rsid w:val="00FE7561"/>
    <w:rsid w:val="00FE7AB7"/>
    <w:rsid w:val="00FF23F4"/>
    <w:rsid w:val="00FF2FD7"/>
    <w:rsid w:val="00FF37A8"/>
    <w:rsid w:val="00FF4D0E"/>
    <w:rsid w:val="00FF5839"/>
    <w:rsid w:val="00FF5FD9"/>
    <w:rsid w:val="00FF6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976A"/>
  <w15:docId w15:val="{97C0B1EA-872B-441B-B5FF-BBB94209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6"/>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uiPriority w:val="99"/>
    <w:qFormat/>
    <w:rsid w:val="00F61B84"/>
    <w:pPr>
      <w:tabs>
        <w:tab w:val="left" w:pos="680"/>
      </w:tabs>
    </w:pPr>
  </w:style>
  <w:style w:type="paragraph" w:customStyle="1" w:styleId="Numbered11">
    <w:name w:val="Numbered 1.1"/>
    <w:basedOn w:val="Heading2"/>
    <w:next w:val="Normal"/>
    <w:qFormat/>
    <w:rsid w:val="000E3A2E"/>
    <w:pPr>
      <w:tabs>
        <w:tab w:val="left" w:pos="1021"/>
      </w:tabs>
    </w:pPr>
    <w:rPr>
      <w:rFonts w:cs="Arial"/>
    </w:rPr>
  </w:style>
  <w:style w:type="paragraph" w:customStyle="1" w:styleId="Numbered111">
    <w:name w:val="Numbered 1.1.1"/>
    <w:basedOn w:val="Heading3"/>
    <w:next w:val="Normal"/>
    <w:qFormat/>
    <w:rsid w:val="009F2BE5"/>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aliases w:val="Bullet Point,L,List Bullet Cab,List Paragraph - bullets,List Paragraph1,List Paragraph11,NFP GP Bulleted List,Recommendation,Use Case List Paragraph,Content descriptions,CV text,F5 List Paragraph,Dot point list,List Paragraph2,FooterText"/>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E370FD"/>
    <w:pPr>
      <w:tabs>
        <w:tab w:val="left" w:pos="680"/>
      </w:tabs>
      <w:spacing w:before="240"/>
      <w:ind w:left="680" w:hanging="680"/>
      <w:jc w:val="right"/>
      <w:outlineLvl w:val="0"/>
    </w:pPr>
    <w:rPr>
      <w:rFonts w:ascii="Palatino Linotype" w:eastAsia="Times New Roman" w:hAnsi="Palatino Linotype" w:cs="Times New Roman"/>
      <w:color w:val="410099" w:themeColor="accent1"/>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E370FD"/>
    <w:rPr>
      <w:rFonts w:ascii="Palatino Linotype" w:eastAsia="Times New Roman" w:hAnsi="Palatino Linotype" w:cs="Times New Roman"/>
      <w:color w:val="410099" w:themeColor="accent1"/>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E370FD"/>
    <w:pPr>
      <w:tabs>
        <w:tab w:val="left" w:pos="680"/>
      </w:tabs>
      <w:spacing w:before="240"/>
      <w:ind w:left="680" w:hanging="680"/>
      <w:jc w:val="center"/>
      <w:outlineLvl w:val="0"/>
    </w:pPr>
    <w:rPr>
      <w:rFonts w:ascii="Palatino Linotype" w:eastAsia="Times New Roman" w:hAnsi="Palatino Linotype" w:cs="Times New Roman"/>
      <w:color w:val="410099" w:themeColor="accent1"/>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ind w:left="680" w:hanging="680"/>
      <w:outlineLvl w:val="9"/>
    </w:pPr>
    <w:rPr>
      <w:bCs w:val="0"/>
      <w:color w:val="auto"/>
      <w:sz w:val="22"/>
    </w:rPr>
  </w:style>
  <w:style w:type="character" w:customStyle="1" w:styleId="Numbered1Char">
    <w:name w:val="Numbered 1 Char"/>
    <w:basedOn w:val="Heading1Char"/>
    <w:link w:val="Numbered1"/>
    <w:uiPriority w:val="99"/>
    <w:rsid w:val="00F61B84"/>
    <w:rPr>
      <w:rFonts w:ascii="Palatino Linotype" w:eastAsiaTheme="majorEastAsia" w:hAnsi="Palatino Linotype" w:cstheme="majorBidi"/>
      <w:bCs/>
      <w:color w:val="410099" w:themeColor="accent1"/>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8"/>
      </w:numPr>
      <w:tabs>
        <w:tab w:val="left" w:pos="1021"/>
      </w:tabs>
      <w:spacing w:before="120"/>
    </w:pPr>
    <w:rPr>
      <w:rFonts w:ascii="Arial" w:hAnsi="Arial"/>
    </w:rPr>
  </w:style>
  <w:style w:type="paragraph" w:customStyle="1" w:styleId="Listalphabet4">
    <w:name w:val="List alphabet 4"/>
    <w:rsid w:val="00CF799E"/>
    <w:pPr>
      <w:numPr>
        <w:numId w:val="19"/>
      </w:numPr>
      <w:tabs>
        <w:tab w:val="left" w:pos="1361"/>
      </w:tabs>
      <w:spacing w:before="120"/>
    </w:pPr>
    <w:rPr>
      <w:rFonts w:ascii="Arial" w:hAnsi="Arial"/>
    </w:rPr>
  </w:style>
  <w:style w:type="paragraph" w:customStyle="1" w:styleId="Listalphabet5">
    <w:name w:val="List alphabet 5"/>
    <w:rsid w:val="00CF799E"/>
    <w:pPr>
      <w:numPr>
        <w:numId w:val="20"/>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PageNumber">
    <w:name w:val="page number"/>
    <w:basedOn w:val="DefaultParagraphFont"/>
    <w:rsid w:val="00097246"/>
  </w:style>
  <w:style w:type="character" w:styleId="CommentReference">
    <w:name w:val="annotation reference"/>
    <w:basedOn w:val="DefaultParagraphFont"/>
    <w:uiPriority w:val="99"/>
    <w:semiHidden/>
    <w:unhideWhenUsed/>
    <w:rsid w:val="00B03A87"/>
    <w:rPr>
      <w:sz w:val="16"/>
      <w:szCs w:val="16"/>
    </w:rPr>
  </w:style>
  <w:style w:type="paragraph" w:styleId="CommentText">
    <w:name w:val="annotation text"/>
    <w:basedOn w:val="Normal"/>
    <w:link w:val="CommentTextChar"/>
    <w:uiPriority w:val="99"/>
    <w:unhideWhenUsed/>
    <w:rsid w:val="00B03A87"/>
    <w:rPr>
      <w:sz w:val="20"/>
      <w:szCs w:val="20"/>
    </w:rPr>
  </w:style>
  <w:style w:type="character" w:customStyle="1" w:styleId="CommentTextChar">
    <w:name w:val="Comment Text Char"/>
    <w:basedOn w:val="DefaultParagraphFont"/>
    <w:link w:val="CommentText"/>
    <w:uiPriority w:val="99"/>
    <w:rsid w:val="00B03A8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03A87"/>
    <w:rPr>
      <w:b/>
      <w:bCs/>
    </w:rPr>
  </w:style>
  <w:style w:type="character" w:customStyle="1" w:styleId="CommentSubjectChar">
    <w:name w:val="Comment Subject Char"/>
    <w:basedOn w:val="CommentTextChar"/>
    <w:link w:val="CommentSubject"/>
    <w:uiPriority w:val="99"/>
    <w:semiHidden/>
    <w:rsid w:val="00B03A87"/>
    <w:rPr>
      <w:rFonts w:ascii="Arial" w:hAnsi="Arial"/>
      <w:b/>
      <w:bCs/>
      <w:sz w:val="20"/>
      <w:szCs w:val="20"/>
    </w:rPr>
  </w:style>
  <w:style w:type="character" w:styleId="FollowedHyperlink">
    <w:name w:val="FollowedHyperlink"/>
    <w:basedOn w:val="DefaultParagraphFont"/>
    <w:uiPriority w:val="99"/>
    <w:semiHidden/>
    <w:unhideWhenUsed/>
    <w:rsid w:val="00366B79"/>
    <w:rPr>
      <w:color w:val="800080" w:themeColor="followedHyperlink"/>
      <w:u w:val="single"/>
    </w:rPr>
  </w:style>
  <w:style w:type="paragraph" w:customStyle="1" w:styleId="emi-text-body">
    <w:name w:val="emi-text-body"/>
    <w:basedOn w:val="Normal"/>
    <w:rsid w:val="000D612E"/>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CharCharCharCharCharCharChar">
    <w:name w:val="Char Char Char Char Char Char Char"/>
    <w:basedOn w:val="Normal"/>
    <w:semiHidden/>
    <w:rsid w:val="00A83FCC"/>
    <w:pPr>
      <w:spacing w:before="0" w:after="160" w:line="240" w:lineRule="exact"/>
    </w:pPr>
    <w:rPr>
      <w:rFonts w:ascii="Tahoma" w:eastAsia="Times New Roman" w:hAnsi="Tahoma" w:cs="Times New Roman"/>
      <w:sz w:val="20"/>
      <w:szCs w:val="20"/>
      <w:lang w:val="en-US"/>
    </w:rPr>
  </w:style>
  <w:style w:type="paragraph" w:customStyle="1" w:styleId="Default">
    <w:name w:val="Default"/>
    <w:rsid w:val="00233E85"/>
    <w:pPr>
      <w:autoSpaceDE w:val="0"/>
      <w:autoSpaceDN w:val="0"/>
      <w:adjustRightInd w:val="0"/>
      <w:spacing w:before="0"/>
    </w:pPr>
    <w:rPr>
      <w:rFonts w:ascii="Times New Roman" w:hAnsi="Times New Roman" w:cs="Times New Roman"/>
      <w:color w:val="000000"/>
      <w:sz w:val="24"/>
      <w:szCs w:val="24"/>
    </w:rPr>
  </w:style>
  <w:style w:type="character" w:customStyle="1" w:styleId="num">
    <w:name w:val="num"/>
    <w:basedOn w:val="DefaultParagraphFont"/>
    <w:rsid w:val="008A618D"/>
  </w:style>
  <w:style w:type="paragraph" w:styleId="NormalWeb">
    <w:name w:val="Normal (Web)"/>
    <w:basedOn w:val="Normal"/>
    <w:uiPriority w:val="99"/>
    <w:unhideWhenUsed/>
    <w:rsid w:val="00C14134"/>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hr">
    <w:name w:val="hr"/>
    <w:basedOn w:val="Normal"/>
    <w:rsid w:val="001A1D2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1A1D21"/>
  </w:style>
  <w:style w:type="paragraph" w:customStyle="1" w:styleId="r1">
    <w:name w:val="r1"/>
    <w:basedOn w:val="Normal"/>
    <w:rsid w:val="001A1D2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p1">
    <w:name w:val="p1"/>
    <w:basedOn w:val="Normal"/>
    <w:rsid w:val="001A1D2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rc">
    <w:name w:val="rc"/>
    <w:basedOn w:val="Normal"/>
    <w:rsid w:val="001A1D21"/>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definition">
    <w:name w:val="definition"/>
    <w:basedOn w:val="Normal"/>
    <w:rsid w:val="00FA04C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Tabletext0">
    <w:name w:val="Tabletext"/>
    <w:aliases w:val="tt"/>
    <w:basedOn w:val="Normal"/>
    <w:rsid w:val="006D21F4"/>
    <w:pPr>
      <w:spacing w:before="60" w:line="240" w:lineRule="atLeast"/>
    </w:pPr>
    <w:rPr>
      <w:rFonts w:ascii="Times New Roman" w:eastAsia="Times New Roman" w:hAnsi="Times New Roman" w:cs="Times New Roman"/>
      <w:sz w:val="20"/>
      <w:szCs w:val="20"/>
      <w:lang w:eastAsia="en-AU"/>
    </w:rPr>
  </w:style>
  <w:style w:type="character" w:customStyle="1" w:styleId="charchapno">
    <w:name w:val="charchapno"/>
    <w:basedOn w:val="DefaultParagraphFont"/>
    <w:rsid w:val="00682059"/>
  </w:style>
  <w:style w:type="character" w:customStyle="1" w:styleId="charchaptext">
    <w:name w:val="charchaptext"/>
    <w:basedOn w:val="DefaultParagraphFont"/>
    <w:rsid w:val="00682059"/>
  </w:style>
  <w:style w:type="paragraph" w:customStyle="1" w:styleId="tabletext1">
    <w:name w:val="tabletext"/>
    <w:basedOn w:val="Normal"/>
    <w:rsid w:val="00682059"/>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904A64"/>
    <w:pPr>
      <w:spacing w:before="0"/>
    </w:pPr>
    <w:rPr>
      <w:rFonts w:ascii="Arial" w:hAnsi="Arial"/>
    </w:rPr>
  </w:style>
  <w:style w:type="character" w:customStyle="1" w:styleId="ListParagraphChar">
    <w:name w:val="List Paragraph Char"/>
    <w:aliases w:val="Bullet Point Char,L Char,List Bullet Cab Char,List Paragraph - bullets Char,List Paragraph1 Char,List Paragraph11 Char,NFP GP Bulleted List Char,Recommendation Char,Use Case List Paragraph Char,Content descriptions Char,CV text Char"/>
    <w:basedOn w:val="DefaultParagraphFont"/>
    <w:link w:val="ListParagraph"/>
    <w:uiPriority w:val="34"/>
    <w:qFormat/>
    <w:locked/>
    <w:rsid w:val="00FC7A9D"/>
    <w:rPr>
      <w:rFonts w:ascii="Arial" w:hAnsi="Arial"/>
    </w:rPr>
  </w:style>
  <w:style w:type="table" w:styleId="GridTable1Light">
    <w:name w:val="Grid Table 1 Light"/>
    <w:basedOn w:val="TableNormal"/>
    <w:uiPriority w:val="46"/>
    <w:rsid w:val="00B154B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Shading12">
    <w:name w:val="Light Shading12"/>
    <w:basedOn w:val="TableNormal"/>
    <w:next w:val="LightShading"/>
    <w:uiPriority w:val="60"/>
    <w:rsid w:val="0054455D"/>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924">
      <w:bodyDiv w:val="1"/>
      <w:marLeft w:val="0"/>
      <w:marRight w:val="0"/>
      <w:marTop w:val="0"/>
      <w:marBottom w:val="0"/>
      <w:divBdr>
        <w:top w:val="none" w:sz="0" w:space="0" w:color="auto"/>
        <w:left w:val="none" w:sz="0" w:space="0" w:color="auto"/>
        <w:bottom w:val="none" w:sz="0" w:space="0" w:color="auto"/>
        <w:right w:val="none" w:sz="0" w:space="0" w:color="auto"/>
      </w:divBdr>
    </w:div>
    <w:div w:id="76487263">
      <w:bodyDiv w:val="1"/>
      <w:marLeft w:val="0"/>
      <w:marRight w:val="0"/>
      <w:marTop w:val="0"/>
      <w:marBottom w:val="0"/>
      <w:divBdr>
        <w:top w:val="none" w:sz="0" w:space="0" w:color="auto"/>
        <w:left w:val="none" w:sz="0" w:space="0" w:color="auto"/>
        <w:bottom w:val="none" w:sz="0" w:space="0" w:color="auto"/>
        <w:right w:val="none" w:sz="0" w:space="0" w:color="auto"/>
      </w:divBdr>
    </w:div>
    <w:div w:id="115684018">
      <w:bodyDiv w:val="1"/>
      <w:marLeft w:val="0"/>
      <w:marRight w:val="0"/>
      <w:marTop w:val="0"/>
      <w:marBottom w:val="0"/>
      <w:divBdr>
        <w:top w:val="none" w:sz="0" w:space="0" w:color="auto"/>
        <w:left w:val="none" w:sz="0" w:space="0" w:color="auto"/>
        <w:bottom w:val="none" w:sz="0" w:space="0" w:color="auto"/>
        <w:right w:val="none" w:sz="0" w:space="0" w:color="auto"/>
      </w:divBdr>
    </w:div>
    <w:div w:id="170342407">
      <w:bodyDiv w:val="1"/>
      <w:marLeft w:val="0"/>
      <w:marRight w:val="0"/>
      <w:marTop w:val="0"/>
      <w:marBottom w:val="0"/>
      <w:divBdr>
        <w:top w:val="none" w:sz="0" w:space="0" w:color="auto"/>
        <w:left w:val="none" w:sz="0" w:space="0" w:color="auto"/>
        <w:bottom w:val="none" w:sz="0" w:space="0" w:color="auto"/>
        <w:right w:val="none" w:sz="0" w:space="0" w:color="auto"/>
      </w:divBdr>
    </w:div>
    <w:div w:id="171922885">
      <w:bodyDiv w:val="1"/>
      <w:marLeft w:val="0"/>
      <w:marRight w:val="0"/>
      <w:marTop w:val="0"/>
      <w:marBottom w:val="0"/>
      <w:divBdr>
        <w:top w:val="none" w:sz="0" w:space="0" w:color="auto"/>
        <w:left w:val="none" w:sz="0" w:space="0" w:color="auto"/>
        <w:bottom w:val="none" w:sz="0" w:space="0" w:color="auto"/>
        <w:right w:val="none" w:sz="0" w:space="0" w:color="auto"/>
      </w:divBdr>
    </w:div>
    <w:div w:id="354696313">
      <w:bodyDiv w:val="1"/>
      <w:marLeft w:val="0"/>
      <w:marRight w:val="0"/>
      <w:marTop w:val="0"/>
      <w:marBottom w:val="0"/>
      <w:divBdr>
        <w:top w:val="none" w:sz="0" w:space="0" w:color="auto"/>
        <w:left w:val="none" w:sz="0" w:space="0" w:color="auto"/>
        <w:bottom w:val="none" w:sz="0" w:space="0" w:color="auto"/>
        <w:right w:val="none" w:sz="0" w:space="0" w:color="auto"/>
      </w:divBdr>
    </w:div>
    <w:div w:id="425149465">
      <w:bodyDiv w:val="1"/>
      <w:marLeft w:val="0"/>
      <w:marRight w:val="0"/>
      <w:marTop w:val="0"/>
      <w:marBottom w:val="0"/>
      <w:divBdr>
        <w:top w:val="none" w:sz="0" w:space="0" w:color="auto"/>
        <w:left w:val="none" w:sz="0" w:space="0" w:color="auto"/>
        <w:bottom w:val="none" w:sz="0" w:space="0" w:color="auto"/>
        <w:right w:val="none" w:sz="0" w:space="0" w:color="auto"/>
      </w:divBdr>
    </w:div>
    <w:div w:id="498153053">
      <w:bodyDiv w:val="1"/>
      <w:marLeft w:val="0"/>
      <w:marRight w:val="0"/>
      <w:marTop w:val="0"/>
      <w:marBottom w:val="0"/>
      <w:divBdr>
        <w:top w:val="none" w:sz="0" w:space="0" w:color="auto"/>
        <w:left w:val="none" w:sz="0" w:space="0" w:color="auto"/>
        <w:bottom w:val="none" w:sz="0" w:space="0" w:color="auto"/>
        <w:right w:val="none" w:sz="0" w:space="0" w:color="auto"/>
      </w:divBdr>
    </w:div>
    <w:div w:id="505679001">
      <w:bodyDiv w:val="1"/>
      <w:marLeft w:val="0"/>
      <w:marRight w:val="0"/>
      <w:marTop w:val="0"/>
      <w:marBottom w:val="0"/>
      <w:divBdr>
        <w:top w:val="none" w:sz="0" w:space="0" w:color="auto"/>
        <w:left w:val="none" w:sz="0" w:space="0" w:color="auto"/>
        <w:bottom w:val="none" w:sz="0" w:space="0" w:color="auto"/>
        <w:right w:val="none" w:sz="0" w:space="0" w:color="auto"/>
      </w:divBdr>
    </w:div>
    <w:div w:id="619992789">
      <w:bodyDiv w:val="1"/>
      <w:marLeft w:val="0"/>
      <w:marRight w:val="0"/>
      <w:marTop w:val="0"/>
      <w:marBottom w:val="0"/>
      <w:divBdr>
        <w:top w:val="none" w:sz="0" w:space="0" w:color="auto"/>
        <w:left w:val="none" w:sz="0" w:space="0" w:color="auto"/>
        <w:bottom w:val="none" w:sz="0" w:space="0" w:color="auto"/>
        <w:right w:val="none" w:sz="0" w:space="0" w:color="auto"/>
      </w:divBdr>
    </w:div>
    <w:div w:id="631911445">
      <w:bodyDiv w:val="1"/>
      <w:marLeft w:val="0"/>
      <w:marRight w:val="0"/>
      <w:marTop w:val="0"/>
      <w:marBottom w:val="0"/>
      <w:divBdr>
        <w:top w:val="none" w:sz="0" w:space="0" w:color="auto"/>
        <w:left w:val="none" w:sz="0" w:space="0" w:color="auto"/>
        <w:bottom w:val="none" w:sz="0" w:space="0" w:color="auto"/>
        <w:right w:val="none" w:sz="0" w:space="0" w:color="auto"/>
      </w:divBdr>
    </w:div>
    <w:div w:id="657538827">
      <w:bodyDiv w:val="1"/>
      <w:marLeft w:val="0"/>
      <w:marRight w:val="0"/>
      <w:marTop w:val="0"/>
      <w:marBottom w:val="0"/>
      <w:divBdr>
        <w:top w:val="none" w:sz="0" w:space="0" w:color="auto"/>
        <w:left w:val="none" w:sz="0" w:space="0" w:color="auto"/>
        <w:bottom w:val="none" w:sz="0" w:space="0" w:color="auto"/>
        <w:right w:val="none" w:sz="0" w:space="0" w:color="auto"/>
      </w:divBdr>
    </w:div>
    <w:div w:id="665475109">
      <w:bodyDiv w:val="1"/>
      <w:marLeft w:val="0"/>
      <w:marRight w:val="0"/>
      <w:marTop w:val="0"/>
      <w:marBottom w:val="0"/>
      <w:divBdr>
        <w:top w:val="none" w:sz="0" w:space="0" w:color="auto"/>
        <w:left w:val="none" w:sz="0" w:space="0" w:color="auto"/>
        <w:bottom w:val="none" w:sz="0" w:space="0" w:color="auto"/>
        <w:right w:val="none" w:sz="0" w:space="0" w:color="auto"/>
      </w:divBdr>
    </w:div>
    <w:div w:id="688678826">
      <w:bodyDiv w:val="1"/>
      <w:marLeft w:val="0"/>
      <w:marRight w:val="0"/>
      <w:marTop w:val="0"/>
      <w:marBottom w:val="0"/>
      <w:divBdr>
        <w:top w:val="none" w:sz="0" w:space="0" w:color="auto"/>
        <w:left w:val="none" w:sz="0" w:space="0" w:color="auto"/>
        <w:bottom w:val="none" w:sz="0" w:space="0" w:color="auto"/>
        <w:right w:val="none" w:sz="0" w:space="0" w:color="auto"/>
      </w:divBdr>
    </w:div>
    <w:div w:id="743917951">
      <w:bodyDiv w:val="1"/>
      <w:marLeft w:val="0"/>
      <w:marRight w:val="0"/>
      <w:marTop w:val="0"/>
      <w:marBottom w:val="0"/>
      <w:divBdr>
        <w:top w:val="none" w:sz="0" w:space="0" w:color="auto"/>
        <w:left w:val="none" w:sz="0" w:space="0" w:color="auto"/>
        <w:bottom w:val="none" w:sz="0" w:space="0" w:color="auto"/>
        <w:right w:val="none" w:sz="0" w:space="0" w:color="auto"/>
      </w:divBdr>
    </w:div>
    <w:div w:id="768739878">
      <w:bodyDiv w:val="1"/>
      <w:marLeft w:val="0"/>
      <w:marRight w:val="0"/>
      <w:marTop w:val="0"/>
      <w:marBottom w:val="0"/>
      <w:divBdr>
        <w:top w:val="none" w:sz="0" w:space="0" w:color="auto"/>
        <w:left w:val="none" w:sz="0" w:space="0" w:color="auto"/>
        <w:bottom w:val="none" w:sz="0" w:space="0" w:color="auto"/>
        <w:right w:val="none" w:sz="0" w:space="0" w:color="auto"/>
      </w:divBdr>
    </w:div>
    <w:div w:id="839076816">
      <w:bodyDiv w:val="1"/>
      <w:marLeft w:val="0"/>
      <w:marRight w:val="0"/>
      <w:marTop w:val="0"/>
      <w:marBottom w:val="0"/>
      <w:divBdr>
        <w:top w:val="none" w:sz="0" w:space="0" w:color="auto"/>
        <w:left w:val="none" w:sz="0" w:space="0" w:color="auto"/>
        <w:bottom w:val="none" w:sz="0" w:space="0" w:color="auto"/>
        <w:right w:val="none" w:sz="0" w:space="0" w:color="auto"/>
      </w:divBdr>
    </w:div>
    <w:div w:id="971985841">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063331228">
      <w:bodyDiv w:val="1"/>
      <w:marLeft w:val="0"/>
      <w:marRight w:val="0"/>
      <w:marTop w:val="0"/>
      <w:marBottom w:val="0"/>
      <w:divBdr>
        <w:top w:val="none" w:sz="0" w:space="0" w:color="auto"/>
        <w:left w:val="none" w:sz="0" w:space="0" w:color="auto"/>
        <w:bottom w:val="none" w:sz="0" w:space="0" w:color="auto"/>
        <w:right w:val="none" w:sz="0" w:space="0" w:color="auto"/>
      </w:divBdr>
    </w:div>
    <w:div w:id="1158569802">
      <w:bodyDiv w:val="1"/>
      <w:marLeft w:val="0"/>
      <w:marRight w:val="0"/>
      <w:marTop w:val="0"/>
      <w:marBottom w:val="0"/>
      <w:divBdr>
        <w:top w:val="none" w:sz="0" w:space="0" w:color="auto"/>
        <w:left w:val="none" w:sz="0" w:space="0" w:color="auto"/>
        <w:bottom w:val="none" w:sz="0" w:space="0" w:color="auto"/>
        <w:right w:val="none" w:sz="0" w:space="0" w:color="auto"/>
      </w:divBdr>
    </w:div>
    <w:div w:id="1345671942">
      <w:bodyDiv w:val="1"/>
      <w:marLeft w:val="0"/>
      <w:marRight w:val="0"/>
      <w:marTop w:val="0"/>
      <w:marBottom w:val="0"/>
      <w:divBdr>
        <w:top w:val="none" w:sz="0" w:space="0" w:color="auto"/>
        <w:left w:val="none" w:sz="0" w:space="0" w:color="auto"/>
        <w:bottom w:val="none" w:sz="0" w:space="0" w:color="auto"/>
        <w:right w:val="none" w:sz="0" w:space="0" w:color="auto"/>
      </w:divBdr>
    </w:div>
    <w:div w:id="1494835479">
      <w:bodyDiv w:val="1"/>
      <w:marLeft w:val="0"/>
      <w:marRight w:val="0"/>
      <w:marTop w:val="0"/>
      <w:marBottom w:val="0"/>
      <w:divBdr>
        <w:top w:val="none" w:sz="0" w:space="0" w:color="auto"/>
        <w:left w:val="none" w:sz="0" w:space="0" w:color="auto"/>
        <w:bottom w:val="none" w:sz="0" w:space="0" w:color="auto"/>
        <w:right w:val="none" w:sz="0" w:space="0" w:color="auto"/>
      </w:divBdr>
    </w:div>
    <w:div w:id="1582988721">
      <w:bodyDiv w:val="1"/>
      <w:marLeft w:val="0"/>
      <w:marRight w:val="0"/>
      <w:marTop w:val="0"/>
      <w:marBottom w:val="0"/>
      <w:divBdr>
        <w:top w:val="none" w:sz="0" w:space="0" w:color="auto"/>
        <w:left w:val="none" w:sz="0" w:space="0" w:color="auto"/>
        <w:bottom w:val="none" w:sz="0" w:space="0" w:color="auto"/>
        <w:right w:val="none" w:sz="0" w:space="0" w:color="auto"/>
      </w:divBdr>
    </w:div>
    <w:div w:id="1595433783">
      <w:bodyDiv w:val="1"/>
      <w:marLeft w:val="0"/>
      <w:marRight w:val="0"/>
      <w:marTop w:val="0"/>
      <w:marBottom w:val="0"/>
      <w:divBdr>
        <w:top w:val="none" w:sz="0" w:space="0" w:color="auto"/>
        <w:left w:val="none" w:sz="0" w:space="0" w:color="auto"/>
        <w:bottom w:val="none" w:sz="0" w:space="0" w:color="auto"/>
        <w:right w:val="none" w:sz="0" w:space="0" w:color="auto"/>
      </w:divBdr>
    </w:div>
    <w:div w:id="1646739692">
      <w:bodyDiv w:val="1"/>
      <w:marLeft w:val="0"/>
      <w:marRight w:val="0"/>
      <w:marTop w:val="0"/>
      <w:marBottom w:val="0"/>
      <w:divBdr>
        <w:top w:val="none" w:sz="0" w:space="0" w:color="auto"/>
        <w:left w:val="none" w:sz="0" w:space="0" w:color="auto"/>
        <w:bottom w:val="none" w:sz="0" w:space="0" w:color="auto"/>
        <w:right w:val="none" w:sz="0" w:space="0" w:color="auto"/>
      </w:divBdr>
    </w:div>
    <w:div w:id="1757820930">
      <w:bodyDiv w:val="1"/>
      <w:marLeft w:val="0"/>
      <w:marRight w:val="0"/>
      <w:marTop w:val="0"/>
      <w:marBottom w:val="0"/>
      <w:divBdr>
        <w:top w:val="none" w:sz="0" w:space="0" w:color="auto"/>
        <w:left w:val="none" w:sz="0" w:space="0" w:color="auto"/>
        <w:bottom w:val="none" w:sz="0" w:space="0" w:color="auto"/>
        <w:right w:val="none" w:sz="0" w:space="0" w:color="auto"/>
      </w:divBdr>
    </w:div>
    <w:div w:id="1825317886">
      <w:bodyDiv w:val="1"/>
      <w:marLeft w:val="0"/>
      <w:marRight w:val="0"/>
      <w:marTop w:val="0"/>
      <w:marBottom w:val="0"/>
      <w:divBdr>
        <w:top w:val="none" w:sz="0" w:space="0" w:color="auto"/>
        <w:left w:val="none" w:sz="0" w:space="0" w:color="auto"/>
        <w:bottom w:val="none" w:sz="0" w:space="0" w:color="auto"/>
        <w:right w:val="none" w:sz="0" w:space="0" w:color="auto"/>
      </w:divBdr>
    </w:div>
    <w:div w:id="1925456640">
      <w:bodyDiv w:val="1"/>
      <w:marLeft w:val="0"/>
      <w:marRight w:val="0"/>
      <w:marTop w:val="0"/>
      <w:marBottom w:val="0"/>
      <w:divBdr>
        <w:top w:val="none" w:sz="0" w:space="0" w:color="auto"/>
        <w:left w:val="none" w:sz="0" w:space="0" w:color="auto"/>
        <w:bottom w:val="none" w:sz="0" w:space="0" w:color="auto"/>
        <w:right w:val="none" w:sz="0" w:space="0" w:color="auto"/>
      </w:divBdr>
      <w:divsChild>
        <w:div w:id="391464417">
          <w:marLeft w:val="0"/>
          <w:marRight w:val="0"/>
          <w:marTop w:val="0"/>
          <w:marBottom w:val="0"/>
          <w:divBdr>
            <w:top w:val="none" w:sz="0" w:space="0" w:color="auto"/>
            <w:left w:val="none" w:sz="0" w:space="0" w:color="auto"/>
            <w:bottom w:val="none" w:sz="0" w:space="0" w:color="auto"/>
            <w:right w:val="none" w:sz="0" w:space="0" w:color="auto"/>
          </w:divBdr>
        </w:div>
      </w:divsChild>
    </w:div>
    <w:div w:id="1953367108">
      <w:bodyDiv w:val="1"/>
      <w:marLeft w:val="0"/>
      <w:marRight w:val="0"/>
      <w:marTop w:val="0"/>
      <w:marBottom w:val="0"/>
      <w:divBdr>
        <w:top w:val="none" w:sz="0" w:space="0" w:color="auto"/>
        <w:left w:val="none" w:sz="0" w:space="0" w:color="auto"/>
        <w:bottom w:val="none" w:sz="0" w:space="0" w:color="auto"/>
        <w:right w:val="none" w:sz="0" w:space="0" w:color="auto"/>
      </w:divBdr>
    </w:div>
    <w:div w:id="1958828084">
      <w:bodyDiv w:val="1"/>
      <w:marLeft w:val="0"/>
      <w:marRight w:val="0"/>
      <w:marTop w:val="0"/>
      <w:marBottom w:val="0"/>
      <w:divBdr>
        <w:top w:val="none" w:sz="0" w:space="0" w:color="auto"/>
        <w:left w:val="none" w:sz="0" w:space="0" w:color="auto"/>
        <w:bottom w:val="none" w:sz="0" w:space="0" w:color="auto"/>
        <w:right w:val="none" w:sz="0" w:space="0" w:color="auto"/>
      </w:divBdr>
    </w:div>
    <w:div w:id="2088965005">
      <w:bodyDiv w:val="1"/>
      <w:marLeft w:val="0"/>
      <w:marRight w:val="0"/>
      <w:marTop w:val="0"/>
      <w:marBottom w:val="0"/>
      <w:divBdr>
        <w:top w:val="none" w:sz="0" w:space="0" w:color="auto"/>
        <w:left w:val="none" w:sz="0" w:space="0" w:color="auto"/>
        <w:bottom w:val="none" w:sz="0" w:space="0" w:color="auto"/>
        <w:right w:val="none" w:sz="0" w:space="0" w:color="auto"/>
      </w:divBdr>
    </w:div>
    <w:div w:id="2096128464">
      <w:bodyDiv w:val="1"/>
      <w:marLeft w:val="0"/>
      <w:marRight w:val="0"/>
      <w:marTop w:val="0"/>
      <w:marBottom w:val="0"/>
      <w:divBdr>
        <w:top w:val="none" w:sz="0" w:space="0" w:color="auto"/>
        <w:left w:val="none" w:sz="0" w:space="0" w:color="auto"/>
        <w:bottom w:val="none" w:sz="0" w:space="0" w:color="auto"/>
        <w:right w:val="none" w:sz="0" w:space="0" w:color="auto"/>
      </w:divBdr>
    </w:div>
    <w:div w:id="21246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26" Type="http://schemas.openxmlformats.org/officeDocument/2006/relationships/header" Target="header4.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productsafety.gov.au/system/files/INDUSTRY%20CODE%20on%20Consumer%20Goods%20that%20contain%20BUTTON%20BATTERIES%20VERSION%201%20....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hyperlink" Target="http://www.accc.gov.au/system/files/ACCC-AER%20Information%20Policy.pdf" TargetMode="External"/><Relationship Id="rId2" Type="http://schemas.openxmlformats.org/officeDocument/2006/relationships/customXml" Target="../customXml/item2.xml"/><Relationship Id="rId16" Type="http://schemas.openxmlformats.org/officeDocument/2006/relationships/hyperlink" Target="https://www.legislation.gov.au/Details/F2008C00607" TargetMode="External"/><Relationship Id="rId20" Type="http://schemas.openxmlformats.org/officeDocument/2006/relationships/hyperlink" Target="https://www.legislation.gov.au/Details/F2008C00607"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au/" TargetMode="External"/><Relationship Id="rId24" Type="http://schemas.openxmlformats.org/officeDocument/2006/relationships/hyperlink" Target="https://consultation.accc.gov.a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8D043D10"/><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eader" Target="header5.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poison.org/battery/fatalcases" TargetMode="External"/><Relationship Id="rId2" Type="http://schemas.openxmlformats.org/officeDocument/2006/relationships/hyperlink" Target="https://www.poison.org/battery/mechansim-of-injury" TargetMode="External"/><Relationship Id="rId1" Type="http://schemas.openxmlformats.org/officeDocument/2006/relationships/hyperlink" Target="http://www1.lsbu.ac.uk/water/electrolysis.html" TargetMode="External"/><Relationship Id="rId4" Type="http://schemas.openxmlformats.org/officeDocument/2006/relationships/hyperlink" Target="http://www.productsafety.gov.au/content/index.phtml/itemId/10141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ACCC\Workgroup\ACCC%20Report%20Template.dotm"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1BF75C-E167-44BF-9428-1337502D5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ACCC Report Template</Template>
  <TotalTime>0</TotalTime>
  <Pages>18</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Morrison, Sarah</dc:creator>
  <cp:lastModifiedBy>Morrison, Sarah</cp:lastModifiedBy>
  <cp:revision>2</cp:revision>
  <cp:lastPrinted>2019-09-11T05:32:00Z</cp:lastPrinted>
  <dcterms:created xsi:type="dcterms:W3CDTF">2019-11-13T05:04:00Z</dcterms:created>
  <dcterms:modified xsi:type="dcterms:W3CDTF">2019-11-13T05:04:00Z</dcterms:modified>
</cp:coreProperties>
</file>