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51" w:rsidRPr="008B0918" w:rsidRDefault="000B1851" w:rsidP="000B1851">
      <w:pPr>
        <w:jc w:val="center"/>
        <w:rPr>
          <w:rFonts w:ascii="Arial" w:hAnsi="Arial" w:cs="Arial"/>
          <w:sz w:val="36"/>
        </w:rPr>
      </w:pPr>
    </w:p>
    <w:p w:rsidR="000B1851" w:rsidRPr="008B0918" w:rsidRDefault="000B1851" w:rsidP="000B1851">
      <w:pPr>
        <w:jc w:val="center"/>
        <w:rPr>
          <w:rFonts w:ascii="Arial" w:hAnsi="Arial" w:cs="Arial"/>
          <w:sz w:val="36"/>
        </w:rPr>
      </w:pPr>
    </w:p>
    <w:p w:rsidR="000B1851" w:rsidRPr="008B0918" w:rsidRDefault="000B1851" w:rsidP="000B1851">
      <w:pPr>
        <w:jc w:val="center"/>
        <w:rPr>
          <w:rFonts w:ascii="Arial" w:hAnsi="Arial" w:cs="Arial"/>
          <w:b/>
          <w:sz w:val="36"/>
        </w:rPr>
      </w:pPr>
      <w:r w:rsidRPr="008B0918">
        <w:rPr>
          <w:rFonts w:ascii="Arial" w:hAnsi="Arial" w:cs="Arial"/>
          <w:snapToGrid w:val="0"/>
          <w:lang w:eastAsia="en-US"/>
        </w:rPr>
        <w:object w:dxaOrig="1381"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50.6pt" o:ole="" fillcolor="window">
            <v:imagedata r:id="rId9" o:title=""/>
          </v:shape>
          <o:OLEObject Type="Embed" ProgID="Word.Document.8" ShapeID="_x0000_i1025" DrawAspect="Content" ObjectID="_1448367282" r:id="rId10"/>
        </w:object>
      </w:r>
    </w:p>
    <w:p w:rsidR="000B1851" w:rsidRDefault="000B1851" w:rsidP="000B1851">
      <w:pPr>
        <w:jc w:val="center"/>
        <w:rPr>
          <w:rFonts w:ascii="Arial" w:hAnsi="Arial" w:cs="Arial"/>
          <w:sz w:val="36"/>
        </w:rPr>
      </w:pPr>
    </w:p>
    <w:p w:rsidR="000B1851" w:rsidRPr="008B0918" w:rsidRDefault="000B1851" w:rsidP="000B1851">
      <w:pPr>
        <w:jc w:val="center"/>
        <w:rPr>
          <w:rFonts w:ascii="Arial" w:hAnsi="Arial" w:cs="Arial"/>
          <w:b/>
          <w:sz w:val="28"/>
          <w:szCs w:val="28"/>
        </w:rPr>
      </w:pPr>
      <w:r w:rsidRPr="008B0918">
        <w:rPr>
          <w:rFonts w:ascii="Arial" w:hAnsi="Arial" w:cs="Arial"/>
          <w:b/>
          <w:sz w:val="28"/>
          <w:szCs w:val="28"/>
        </w:rPr>
        <w:t>Australian Competition &amp; Consumer Commission</w:t>
      </w:r>
    </w:p>
    <w:p w:rsidR="000B1851" w:rsidRPr="008B0918" w:rsidRDefault="000B1851" w:rsidP="000B1851">
      <w:pPr>
        <w:jc w:val="center"/>
        <w:rPr>
          <w:rFonts w:ascii="Arial" w:hAnsi="Arial" w:cs="Arial"/>
          <w:sz w:val="36"/>
        </w:rPr>
      </w:pPr>
    </w:p>
    <w:p w:rsidR="000B1851" w:rsidRDefault="000B1851" w:rsidP="000B1851">
      <w:pPr>
        <w:jc w:val="center"/>
        <w:rPr>
          <w:rFonts w:ascii="Arial" w:hAnsi="Arial" w:cs="Arial"/>
          <w:b/>
          <w:caps/>
          <w:sz w:val="36"/>
          <w:szCs w:val="36"/>
        </w:rPr>
      </w:pPr>
    </w:p>
    <w:p w:rsidR="000B1851" w:rsidRPr="008B0918" w:rsidRDefault="000B1851" w:rsidP="000B1851">
      <w:pPr>
        <w:jc w:val="center"/>
        <w:rPr>
          <w:rFonts w:ascii="Arial" w:hAnsi="Arial" w:cs="Arial"/>
          <w:b/>
          <w:sz w:val="36"/>
          <w:szCs w:val="36"/>
        </w:rPr>
      </w:pPr>
      <w:r w:rsidRPr="008B0918">
        <w:rPr>
          <w:rFonts w:ascii="Arial" w:hAnsi="Arial" w:cs="Arial"/>
          <w:b/>
          <w:caps/>
          <w:sz w:val="36"/>
          <w:szCs w:val="36"/>
        </w:rPr>
        <w:t>DISCUSSION PAPER</w:t>
      </w:r>
    </w:p>
    <w:p w:rsidR="000B1851" w:rsidRPr="008B0918" w:rsidRDefault="000B1851" w:rsidP="000B1851">
      <w:pPr>
        <w:jc w:val="center"/>
        <w:rPr>
          <w:rFonts w:ascii="Arial" w:hAnsi="Arial" w:cs="Arial"/>
          <w:sz w:val="36"/>
        </w:rPr>
      </w:pPr>
    </w:p>
    <w:p w:rsidR="000B1851" w:rsidRPr="008B0918" w:rsidRDefault="000B1851" w:rsidP="000B1851">
      <w:pPr>
        <w:jc w:val="center"/>
        <w:rPr>
          <w:rFonts w:ascii="Arial" w:hAnsi="Arial" w:cs="Arial"/>
          <w:sz w:val="36"/>
        </w:rPr>
      </w:pPr>
    </w:p>
    <w:p w:rsidR="000B1851" w:rsidRPr="008138D7" w:rsidRDefault="000B1851" w:rsidP="000B1851">
      <w:pPr>
        <w:spacing w:after="60"/>
        <w:jc w:val="center"/>
        <w:rPr>
          <w:rFonts w:ascii="Arial" w:hAnsi="Arial" w:cs="Arial"/>
          <w:b/>
          <w:i/>
          <w:sz w:val="32"/>
          <w:szCs w:val="32"/>
        </w:rPr>
      </w:pPr>
      <w:r>
        <w:rPr>
          <w:rFonts w:ascii="Arial" w:hAnsi="Arial" w:cs="Arial"/>
          <w:b/>
          <w:sz w:val="32"/>
          <w:szCs w:val="32"/>
        </w:rPr>
        <w:t>R</w:t>
      </w:r>
      <w:r w:rsidRPr="008138D7">
        <w:rPr>
          <w:rFonts w:ascii="Arial" w:hAnsi="Arial" w:cs="Arial"/>
          <w:b/>
          <w:sz w:val="32"/>
          <w:szCs w:val="32"/>
        </w:rPr>
        <w:t xml:space="preserve">eview </w:t>
      </w:r>
      <w:r>
        <w:rPr>
          <w:rFonts w:ascii="Arial" w:hAnsi="Arial" w:cs="Arial"/>
          <w:b/>
          <w:sz w:val="32"/>
          <w:szCs w:val="32"/>
        </w:rPr>
        <w:t xml:space="preserve">of </w:t>
      </w:r>
      <w:r w:rsidRPr="008138D7">
        <w:rPr>
          <w:rFonts w:ascii="Arial" w:hAnsi="Arial" w:cs="Arial"/>
          <w:b/>
          <w:sz w:val="32"/>
          <w:szCs w:val="32"/>
        </w:rPr>
        <w:t xml:space="preserve">the </w:t>
      </w:r>
      <w:r>
        <w:rPr>
          <w:rFonts w:ascii="Arial" w:hAnsi="Arial" w:cs="Arial"/>
          <w:b/>
          <w:sz w:val="32"/>
          <w:szCs w:val="32"/>
        </w:rPr>
        <w:t xml:space="preserve">Australian mandatory standard </w:t>
      </w:r>
      <w:r>
        <w:rPr>
          <w:rFonts w:ascii="Arial" w:hAnsi="Arial" w:cs="Arial"/>
          <w:b/>
          <w:sz w:val="32"/>
          <w:szCs w:val="32"/>
        </w:rPr>
        <w:br/>
      </w:r>
      <w:r w:rsidRPr="008138D7">
        <w:rPr>
          <w:rFonts w:ascii="Arial" w:hAnsi="Arial" w:cs="Arial"/>
          <w:b/>
          <w:sz w:val="32"/>
          <w:szCs w:val="32"/>
        </w:rPr>
        <w:t xml:space="preserve">for </w:t>
      </w:r>
      <w:r w:rsidR="00276CC1">
        <w:rPr>
          <w:rFonts w:ascii="Arial" w:hAnsi="Arial" w:cs="Arial"/>
          <w:b/>
          <w:sz w:val="32"/>
          <w:szCs w:val="32"/>
        </w:rPr>
        <w:t xml:space="preserve">hot water bottles </w:t>
      </w:r>
      <w:r w:rsidRPr="008138D7">
        <w:rPr>
          <w:rFonts w:ascii="Arial" w:hAnsi="Arial" w:cs="Arial"/>
          <w:b/>
          <w:sz w:val="32"/>
          <w:szCs w:val="32"/>
        </w:rPr>
        <w:t>under the</w:t>
      </w:r>
      <w:r>
        <w:rPr>
          <w:rFonts w:ascii="Arial" w:hAnsi="Arial" w:cs="Arial"/>
          <w:b/>
          <w:sz w:val="32"/>
          <w:szCs w:val="32"/>
        </w:rPr>
        <w:br/>
      </w:r>
      <w:r w:rsidRPr="008138D7">
        <w:rPr>
          <w:rFonts w:ascii="Arial" w:hAnsi="Arial" w:cs="Arial"/>
          <w:b/>
          <w:i/>
          <w:sz w:val="32"/>
          <w:szCs w:val="32"/>
        </w:rPr>
        <w:t>COMPETITION AND CONSUMER ACT 2010</w:t>
      </w:r>
    </w:p>
    <w:p w:rsidR="000B1851" w:rsidRDefault="000B1851" w:rsidP="000B1851">
      <w:pPr>
        <w:jc w:val="center"/>
        <w:rPr>
          <w:rFonts w:ascii="Arial" w:hAnsi="Arial" w:cs="Arial"/>
          <w:sz w:val="36"/>
          <w:szCs w:val="36"/>
        </w:rPr>
      </w:pPr>
    </w:p>
    <w:p w:rsidR="000B1851" w:rsidRPr="008138D7" w:rsidRDefault="000B1851" w:rsidP="000B1851">
      <w:pPr>
        <w:jc w:val="center"/>
        <w:rPr>
          <w:rFonts w:ascii="Arial" w:hAnsi="Arial" w:cs="Arial"/>
          <w:sz w:val="28"/>
          <w:szCs w:val="28"/>
        </w:rPr>
      </w:pPr>
      <w:r>
        <w:rPr>
          <w:rFonts w:ascii="Arial" w:hAnsi="Arial" w:cs="Arial"/>
          <w:sz w:val="28"/>
          <w:szCs w:val="28"/>
        </w:rPr>
        <w:t xml:space="preserve">This </w:t>
      </w:r>
      <w:r w:rsidRPr="008138D7">
        <w:rPr>
          <w:rFonts w:ascii="Arial" w:hAnsi="Arial" w:cs="Arial"/>
          <w:sz w:val="28"/>
          <w:szCs w:val="28"/>
        </w:rPr>
        <w:t xml:space="preserve">discussion paper </w:t>
      </w:r>
      <w:r>
        <w:rPr>
          <w:rFonts w:ascii="Arial" w:hAnsi="Arial" w:cs="Arial"/>
          <w:sz w:val="28"/>
          <w:szCs w:val="28"/>
        </w:rPr>
        <w:t xml:space="preserve">details the </w:t>
      </w:r>
      <w:r w:rsidRPr="008138D7">
        <w:rPr>
          <w:rFonts w:ascii="Arial" w:hAnsi="Arial" w:cs="Arial"/>
          <w:sz w:val="28"/>
          <w:szCs w:val="28"/>
        </w:rPr>
        <w:t xml:space="preserve">proposed </w:t>
      </w:r>
      <w:r>
        <w:rPr>
          <w:rFonts w:ascii="Arial" w:hAnsi="Arial" w:cs="Arial"/>
          <w:sz w:val="28"/>
          <w:szCs w:val="28"/>
        </w:rPr>
        <w:t xml:space="preserve">changes </w:t>
      </w:r>
      <w:r w:rsidRPr="008138D7">
        <w:rPr>
          <w:rFonts w:ascii="Arial" w:hAnsi="Arial" w:cs="Arial"/>
          <w:sz w:val="28"/>
          <w:szCs w:val="28"/>
        </w:rPr>
        <w:t xml:space="preserve">for </w:t>
      </w:r>
      <w:r>
        <w:rPr>
          <w:rFonts w:ascii="Arial" w:hAnsi="Arial" w:cs="Arial"/>
          <w:sz w:val="28"/>
          <w:szCs w:val="28"/>
        </w:rPr>
        <w:t>updating the</w:t>
      </w:r>
      <w:r w:rsidRPr="008138D7">
        <w:rPr>
          <w:rFonts w:ascii="Arial" w:hAnsi="Arial" w:cs="Arial"/>
          <w:sz w:val="28"/>
          <w:szCs w:val="28"/>
        </w:rPr>
        <w:t xml:space="preserve"> mandatory </w:t>
      </w:r>
      <w:r>
        <w:rPr>
          <w:rFonts w:ascii="Arial" w:hAnsi="Arial" w:cs="Arial"/>
          <w:sz w:val="28"/>
          <w:szCs w:val="28"/>
        </w:rPr>
        <w:t>requirements</w:t>
      </w:r>
      <w:r w:rsidRPr="008138D7">
        <w:rPr>
          <w:rFonts w:ascii="Arial" w:hAnsi="Arial" w:cs="Arial"/>
          <w:sz w:val="28"/>
          <w:szCs w:val="28"/>
        </w:rPr>
        <w:t xml:space="preserve"> for </w:t>
      </w:r>
      <w:r w:rsidR="00276CC1">
        <w:rPr>
          <w:rFonts w:ascii="Arial" w:hAnsi="Arial" w:cs="Arial"/>
          <w:sz w:val="28"/>
          <w:szCs w:val="28"/>
        </w:rPr>
        <w:t>hot water bottles</w:t>
      </w:r>
    </w:p>
    <w:p w:rsidR="000B1851" w:rsidRPr="008138D7" w:rsidRDefault="000B1851" w:rsidP="000B1851">
      <w:pPr>
        <w:jc w:val="center"/>
        <w:rPr>
          <w:rFonts w:ascii="Arial" w:hAnsi="Arial" w:cs="Arial"/>
          <w:sz w:val="28"/>
          <w:szCs w:val="28"/>
        </w:rPr>
      </w:pPr>
    </w:p>
    <w:p w:rsidR="000B1851" w:rsidRPr="00D86F8E" w:rsidRDefault="00B95AFF" w:rsidP="000B1851">
      <w:pPr>
        <w:jc w:val="center"/>
        <w:rPr>
          <w:rFonts w:ascii="Arial" w:hAnsi="Arial" w:cs="Arial"/>
          <w:b/>
          <w:sz w:val="28"/>
          <w:szCs w:val="28"/>
        </w:rPr>
      </w:pPr>
      <w:r>
        <w:rPr>
          <w:rFonts w:ascii="Arial" w:hAnsi="Arial" w:cs="Arial"/>
          <w:b/>
          <w:sz w:val="28"/>
          <w:szCs w:val="28"/>
        </w:rPr>
        <w:t>December</w:t>
      </w:r>
      <w:r w:rsidRPr="00D86F8E">
        <w:rPr>
          <w:rFonts w:ascii="Arial" w:hAnsi="Arial" w:cs="Arial"/>
          <w:b/>
          <w:sz w:val="28"/>
          <w:szCs w:val="28"/>
        </w:rPr>
        <w:t xml:space="preserve"> </w:t>
      </w:r>
      <w:r w:rsidR="000B1851" w:rsidRPr="00D86F8E">
        <w:rPr>
          <w:rFonts w:ascii="Arial" w:hAnsi="Arial" w:cs="Arial"/>
          <w:b/>
          <w:sz w:val="28"/>
          <w:szCs w:val="28"/>
        </w:rPr>
        <w:t>2013</w:t>
      </w:r>
    </w:p>
    <w:p w:rsidR="000B1851" w:rsidRPr="008B0918" w:rsidRDefault="000B1851" w:rsidP="000B1851">
      <w:pPr>
        <w:jc w:val="center"/>
        <w:rPr>
          <w:rFonts w:ascii="Arial" w:hAnsi="Arial" w:cs="Arial"/>
          <w:sz w:val="36"/>
          <w:szCs w:val="36"/>
        </w:rPr>
      </w:pPr>
    </w:p>
    <w:p w:rsidR="000B1851" w:rsidRDefault="000B1851" w:rsidP="000B1851">
      <w:pPr>
        <w:jc w:val="center"/>
        <w:rPr>
          <w:rFonts w:ascii="Arial" w:hAnsi="Arial" w:cs="Arial"/>
          <w:sz w:val="36"/>
        </w:rPr>
      </w:pPr>
      <w:r>
        <w:rPr>
          <w:rFonts w:ascii="Arial" w:hAnsi="Arial" w:cs="Arial"/>
          <w:sz w:val="36"/>
        </w:rPr>
        <w:t xml:space="preserve">Closing date for submissions </w:t>
      </w:r>
      <w:r w:rsidR="00B95AFF">
        <w:rPr>
          <w:rFonts w:ascii="Arial" w:hAnsi="Arial" w:cs="Arial"/>
          <w:sz w:val="36"/>
        </w:rPr>
        <w:t>3</w:t>
      </w:r>
      <w:r w:rsidRPr="00E45D94">
        <w:rPr>
          <w:rFonts w:ascii="Arial" w:hAnsi="Arial" w:cs="Arial"/>
          <w:sz w:val="36"/>
        </w:rPr>
        <w:t xml:space="preserve"> </w:t>
      </w:r>
      <w:r w:rsidR="00B95AFF">
        <w:rPr>
          <w:rFonts w:ascii="Arial" w:hAnsi="Arial" w:cs="Arial"/>
          <w:sz w:val="36"/>
        </w:rPr>
        <w:t>February</w:t>
      </w:r>
      <w:r>
        <w:rPr>
          <w:rFonts w:ascii="Arial" w:hAnsi="Arial" w:cs="Arial"/>
          <w:sz w:val="36"/>
        </w:rPr>
        <w:t xml:space="preserve"> 201</w:t>
      </w:r>
      <w:r w:rsidR="00B95AFF">
        <w:rPr>
          <w:rFonts w:ascii="Arial" w:hAnsi="Arial" w:cs="Arial"/>
          <w:sz w:val="36"/>
        </w:rPr>
        <w:t>4</w:t>
      </w:r>
    </w:p>
    <w:p w:rsidR="000B1851" w:rsidRDefault="000B1851" w:rsidP="000B1851">
      <w:pPr>
        <w:jc w:val="center"/>
        <w:rPr>
          <w:rFonts w:ascii="Arial" w:hAnsi="Arial" w:cs="Arial"/>
          <w:sz w:val="36"/>
        </w:rPr>
      </w:pPr>
    </w:p>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2953F0"/>
    <w:p w:rsidR="009C164B" w:rsidRDefault="009C164B" w:rsidP="009C164B">
      <w:pPr>
        <w:rPr>
          <w:rFonts w:ascii="Arial" w:hAnsi="Arial" w:cs="Arial"/>
          <w:b/>
          <w:sz w:val="36"/>
        </w:rPr>
      </w:pPr>
    </w:p>
    <w:p w:rsidR="009C164B" w:rsidRPr="00334CAE" w:rsidRDefault="009C164B" w:rsidP="009C164B">
      <w:pPr>
        <w:rPr>
          <w:sz w:val="16"/>
          <w:szCs w:val="16"/>
        </w:rPr>
      </w:pPr>
      <w:r w:rsidRPr="00334CAE">
        <w:rPr>
          <w:sz w:val="16"/>
          <w:szCs w:val="16"/>
        </w:rPr>
        <w:t>Australian Competition and Consumer Commission</w:t>
      </w:r>
    </w:p>
    <w:p w:rsidR="009C164B" w:rsidRPr="00334CAE" w:rsidRDefault="009C164B" w:rsidP="009C164B">
      <w:pPr>
        <w:rPr>
          <w:sz w:val="16"/>
          <w:szCs w:val="16"/>
        </w:rPr>
      </w:pPr>
      <w:r w:rsidRPr="00334CAE">
        <w:rPr>
          <w:sz w:val="16"/>
          <w:szCs w:val="16"/>
        </w:rPr>
        <w:t>23 Marcus Clarke Street, Canberra, Australian Capital Territory, 2601</w:t>
      </w:r>
    </w:p>
    <w:p w:rsidR="009C164B" w:rsidRPr="00334CAE" w:rsidRDefault="009C164B" w:rsidP="009C164B">
      <w:pPr>
        <w:rPr>
          <w:sz w:val="16"/>
          <w:szCs w:val="16"/>
        </w:rPr>
      </w:pPr>
    </w:p>
    <w:p w:rsidR="009C164B" w:rsidRPr="00334CAE" w:rsidRDefault="009C164B" w:rsidP="009C164B">
      <w:pPr>
        <w:rPr>
          <w:sz w:val="16"/>
          <w:szCs w:val="16"/>
        </w:rPr>
      </w:pPr>
      <w:r w:rsidRPr="00334CAE">
        <w:rPr>
          <w:sz w:val="16"/>
          <w:szCs w:val="16"/>
        </w:rPr>
        <w:t>© Commonwealth of Australia 2013</w:t>
      </w:r>
    </w:p>
    <w:p w:rsidR="009C164B" w:rsidRPr="00334CAE" w:rsidRDefault="009C164B" w:rsidP="009C164B">
      <w:pPr>
        <w:rPr>
          <w:sz w:val="16"/>
          <w:szCs w:val="16"/>
        </w:rPr>
      </w:pPr>
    </w:p>
    <w:p w:rsidR="009C164B" w:rsidRPr="00334CAE" w:rsidRDefault="009C164B" w:rsidP="009C164B">
      <w:pPr>
        <w:rPr>
          <w:sz w:val="16"/>
          <w:szCs w:val="16"/>
        </w:rPr>
      </w:pPr>
      <w:r w:rsidRPr="00334CAE">
        <w:rPr>
          <w:sz w:val="16"/>
          <w:szCs w:val="16"/>
        </w:rPr>
        <w:t xml:space="preserve">This work is copyright. In addition to any use permitted under the </w:t>
      </w:r>
      <w:r w:rsidRPr="00334CAE">
        <w:rPr>
          <w:i/>
          <w:iCs/>
          <w:sz w:val="16"/>
          <w:szCs w:val="16"/>
        </w:rPr>
        <w:t>Copyright Act 1968</w:t>
      </w:r>
      <w:r w:rsidRPr="00334CAE">
        <w:rPr>
          <w:sz w:val="16"/>
          <w:szCs w:val="16"/>
        </w:rPr>
        <w:t>, all material contained within this work is provided under a Creative Commons Attribution 3.0 Australia licence, with the exception of:</w:t>
      </w:r>
    </w:p>
    <w:p w:rsidR="009C164B" w:rsidRPr="00334CAE" w:rsidRDefault="009C164B" w:rsidP="009C164B">
      <w:pPr>
        <w:rPr>
          <w:sz w:val="16"/>
          <w:szCs w:val="16"/>
        </w:rPr>
      </w:pPr>
    </w:p>
    <w:p w:rsidR="009C164B" w:rsidRPr="00334CAE" w:rsidRDefault="009C164B" w:rsidP="009C164B">
      <w:pPr>
        <w:pStyle w:val="ListParagraph"/>
        <w:numPr>
          <w:ilvl w:val="0"/>
          <w:numId w:val="45"/>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the Commonwealth Coat of Arms</w:t>
      </w:r>
    </w:p>
    <w:p w:rsidR="009C164B" w:rsidRPr="00334CAE" w:rsidRDefault="009C164B" w:rsidP="009C164B">
      <w:pPr>
        <w:pStyle w:val="ListParagraph"/>
        <w:numPr>
          <w:ilvl w:val="0"/>
          <w:numId w:val="45"/>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the ACCC logo</w:t>
      </w:r>
    </w:p>
    <w:p w:rsidR="009C164B" w:rsidRPr="00334CAE" w:rsidRDefault="009C164B" w:rsidP="009C164B">
      <w:pPr>
        <w:pStyle w:val="ListParagraph"/>
        <w:numPr>
          <w:ilvl w:val="0"/>
          <w:numId w:val="45"/>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any illustration, diagram, photograph or graphic over which the Australian Competition and Consumer Commission does not hold copyright, but which may be part of or contained within this publication.</w:t>
      </w:r>
    </w:p>
    <w:p w:rsidR="009C164B" w:rsidRDefault="009C164B" w:rsidP="009C164B">
      <w:pPr>
        <w:rPr>
          <w:sz w:val="16"/>
          <w:szCs w:val="16"/>
        </w:rPr>
      </w:pPr>
    </w:p>
    <w:p w:rsidR="009C164B" w:rsidRPr="00334CAE" w:rsidRDefault="009C164B" w:rsidP="009C164B">
      <w:pPr>
        <w:rPr>
          <w:sz w:val="16"/>
          <w:szCs w:val="16"/>
        </w:rPr>
      </w:pPr>
      <w:r w:rsidRPr="00334CAE">
        <w:rPr>
          <w:sz w:val="16"/>
          <w:szCs w:val="16"/>
        </w:rPr>
        <w:t>The details of the relevant licence conditions are available on the Creative Commons website, as is the full legal code for the CC BY 3.0 AU licence.</w:t>
      </w:r>
    </w:p>
    <w:p w:rsidR="009C164B" w:rsidRPr="00334CAE" w:rsidRDefault="009C164B" w:rsidP="009C164B">
      <w:pPr>
        <w:rPr>
          <w:sz w:val="16"/>
          <w:szCs w:val="16"/>
        </w:rPr>
      </w:pPr>
    </w:p>
    <w:p w:rsidR="009C164B" w:rsidRPr="00334CAE" w:rsidRDefault="009C164B" w:rsidP="009C164B">
      <w:pPr>
        <w:rPr>
          <w:sz w:val="16"/>
          <w:szCs w:val="16"/>
        </w:rPr>
      </w:pPr>
      <w:r w:rsidRPr="00334CAE">
        <w:rPr>
          <w:sz w:val="16"/>
          <w:szCs w:val="16"/>
        </w:rPr>
        <w:t xml:space="preserve">Requests and inquiries concerning reproduction and rights should be addressed to the Director, Corporate Communications, ACCC, GPO Box 3131, Canberra ACT 2601, or </w:t>
      </w:r>
      <w:hyperlink r:id="rId11" w:history="1">
        <w:r w:rsidRPr="00334CAE">
          <w:rPr>
            <w:rStyle w:val="Hyperlink"/>
            <w:sz w:val="16"/>
            <w:szCs w:val="16"/>
          </w:rPr>
          <w:t>publishing.unit@accc.gov.au</w:t>
        </w:r>
      </w:hyperlink>
      <w:r w:rsidRPr="00334CAE">
        <w:rPr>
          <w:sz w:val="16"/>
          <w:szCs w:val="16"/>
        </w:rPr>
        <w:t>.</w:t>
      </w:r>
    </w:p>
    <w:p w:rsidR="009C164B" w:rsidRPr="00334CAE" w:rsidRDefault="009C164B" w:rsidP="009C164B">
      <w:pPr>
        <w:pStyle w:val="Heading4"/>
        <w:rPr>
          <w:sz w:val="16"/>
          <w:szCs w:val="16"/>
        </w:rPr>
      </w:pPr>
      <w:r w:rsidRPr="00334CAE">
        <w:rPr>
          <w:sz w:val="16"/>
          <w:szCs w:val="16"/>
        </w:rPr>
        <w:t>Important Notice</w:t>
      </w:r>
    </w:p>
    <w:p w:rsidR="009C164B" w:rsidRPr="00334CAE" w:rsidRDefault="009C164B" w:rsidP="009C164B">
      <w:pPr>
        <w:rPr>
          <w:sz w:val="16"/>
          <w:szCs w:val="16"/>
        </w:rPr>
      </w:pPr>
    </w:p>
    <w:p w:rsidR="009C164B" w:rsidRPr="00334CAE" w:rsidRDefault="009C164B" w:rsidP="009C164B">
      <w:pPr>
        <w:rPr>
          <w:sz w:val="16"/>
          <w:szCs w:val="16"/>
        </w:rPr>
      </w:pPr>
      <w:r w:rsidRPr="00334CAE">
        <w:rPr>
          <w:sz w:val="16"/>
          <w:szCs w:val="16"/>
        </w:rPr>
        <w:t>The information in this publication is for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rsidR="009C164B" w:rsidRPr="00334CAE" w:rsidRDefault="009C164B" w:rsidP="009C164B">
      <w:pPr>
        <w:rPr>
          <w:sz w:val="16"/>
          <w:szCs w:val="16"/>
        </w:rPr>
      </w:pPr>
    </w:p>
    <w:p w:rsidR="009C164B" w:rsidRPr="00334CAE" w:rsidRDefault="009C164B" w:rsidP="009C164B">
      <w:pPr>
        <w:rPr>
          <w:sz w:val="16"/>
          <w:szCs w:val="16"/>
        </w:rPr>
      </w:pPr>
      <w:r w:rsidRPr="00334CAE">
        <w:rPr>
          <w:sz w:val="16"/>
          <w:szCs w:val="16"/>
        </w:rPr>
        <w:t>The ACCC has made every reasonable effort to provide current and accurate information, but it does not make any guarantees regarding the accuracy, currency or completeness of that information.</w:t>
      </w:r>
    </w:p>
    <w:p w:rsidR="009C164B" w:rsidRPr="00334CAE" w:rsidRDefault="009C164B" w:rsidP="009C164B">
      <w:pPr>
        <w:rPr>
          <w:sz w:val="16"/>
          <w:szCs w:val="16"/>
        </w:rPr>
      </w:pPr>
    </w:p>
    <w:p w:rsidR="009C164B" w:rsidRDefault="009C164B" w:rsidP="009C164B">
      <w:pPr>
        <w:rPr>
          <w:sz w:val="16"/>
          <w:szCs w:val="16"/>
        </w:rPr>
      </w:pPr>
      <w:r w:rsidRPr="00334CAE">
        <w:rPr>
          <w:sz w:val="16"/>
          <w:szCs w:val="16"/>
        </w:rPr>
        <w:t xml:space="preserve">Parties who wish to re-publish or otherwise use the information in this publication must check this information for currency and accuracy prior to publication. This should be done prior to each publication edition, as ACCC guidance and relevant transitional legislation frequently change. Any queries parties have should be addressed to the Director, Corporate Communications, ACCC, GPO Box 3131, Canberra ACT 2601, or </w:t>
      </w:r>
      <w:hyperlink r:id="rId12" w:history="1">
        <w:r w:rsidRPr="00B51A97">
          <w:rPr>
            <w:rStyle w:val="Hyperlink"/>
            <w:sz w:val="16"/>
            <w:szCs w:val="16"/>
          </w:rPr>
          <w:t>publishing.unit@accc.gov.au</w:t>
        </w:r>
      </w:hyperlink>
      <w:r w:rsidRPr="00334CAE">
        <w:rPr>
          <w:sz w:val="16"/>
          <w:szCs w:val="16"/>
        </w:rPr>
        <w:t>.</w:t>
      </w:r>
    </w:p>
    <w:p w:rsidR="009C164B" w:rsidRDefault="009C164B" w:rsidP="009C164B">
      <w:pPr>
        <w:pStyle w:val="Heading1"/>
      </w:pPr>
      <w:r>
        <w:br w:type="page"/>
      </w:r>
      <w:bookmarkStart w:id="0" w:name="_Toc361837019"/>
      <w:r>
        <w:lastRenderedPageBreak/>
        <w:t>Contents</w:t>
      </w:r>
      <w:bookmarkEnd w:id="0"/>
    </w:p>
    <w:p w:rsidR="002A37C7" w:rsidRDefault="009C164B">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61837019" w:history="1">
        <w:r w:rsidR="002A37C7" w:rsidRPr="00790760">
          <w:rPr>
            <w:rStyle w:val="Hyperlink"/>
            <w:noProof/>
          </w:rPr>
          <w:t>Contents</w:t>
        </w:r>
        <w:r w:rsidR="002A37C7">
          <w:rPr>
            <w:noProof/>
            <w:webHidden/>
          </w:rPr>
          <w:tab/>
        </w:r>
        <w:r w:rsidR="002A37C7">
          <w:rPr>
            <w:noProof/>
            <w:webHidden/>
          </w:rPr>
          <w:fldChar w:fldCharType="begin"/>
        </w:r>
        <w:r w:rsidR="002A37C7">
          <w:rPr>
            <w:noProof/>
            <w:webHidden/>
          </w:rPr>
          <w:instrText xml:space="preserve"> PAGEREF _Toc361837019 \h </w:instrText>
        </w:r>
        <w:r w:rsidR="002A37C7">
          <w:rPr>
            <w:noProof/>
            <w:webHidden/>
          </w:rPr>
        </w:r>
        <w:r w:rsidR="002A37C7">
          <w:rPr>
            <w:noProof/>
            <w:webHidden/>
          </w:rPr>
          <w:fldChar w:fldCharType="separate"/>
        </w:r>
        <w:r w:rsidR="0049310D">
          <w:rPr>
            <w:noProof/>
            <w:webHidden/>
          </w:rPr>
          <w:t>3</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0" w:history="1">
        <w:r w:rsidR="002A37C7" w:rsidRPr="00790760">
          <w:rPr>
            <w:rStyle w:val="Hyperlink"/>
            <w:noProof/>
          </w:rPr>
          <w:t>Purpose</w:t>
        </w:r>
        <w:r w:rsidR="002A37C7">
          <w:rPr>
            <w:noProof/>
            <w:webHidden/>
          </w:rPr>
          <w:tab/>
        </w:r>
        <w:r w:rsidR="002A37C7">
          <w:rPr>
            <w:noProof/>
            <w:webHidden/>
          </w:rPr>
          <w:fldChar w:fldCharType="begin"/>
        </w:r>
        <w:r w:rsidR="002A37C7">
          <w:rPr>
            <w:noProof/>
            <w:webHidden/>
          </w:rPr>
          <w:instrText xml:space="preserve"> PAGEREF _Toc361837020 \h </w:instrText>
        </w:r>
        <w:r w:rsidR="002A37C7">
          <w:rPr>
            <w:noProof/>
            <w:webHidden/>
          </w:rPr>
        </w:r>
        <w:r w:rsidR="002A37C7">
          <w:rPr>
            <w:noProof/>
            <w:webHidden/>
          </w:rPr>
          <w:fldChar w:fldCharType="separate"/>
        </w:r>
        <w:r w:rsidR="0049310D">
          <w:rPr>
            <w:noProof/>
            <w:webHidden/>
          </w:rPr>
          <w:t>4</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1" w:history="1">
        <w:r w:rsidR="002A37C7" w:rsidRPr="00790760">
          <w:rPr>
            <w:rStyle w:val="Hyperlink"/>
            <w:noProof/>
          </w:rPr>
          <w:t>Summary</w:t>
        </w:r>
        <w:r w:rsidR="002A37C7">
          <w:rPr>
            <w:noProof/>
            <w:webHidden/>
          </w:rPr>
          <w:tab/>
        </w:r>
        <w:r w:rsidR="002A37C7">
          <w:rPr>
            <w:noProof/>
            <w:webHidden/>
          </w:rPr>
          <w:fldChar w:fldCharType="begin"/>
        </w:r>
        <w:r w:rsidR="002A37C7">
          <w:rPr>
            <w:noProof/>
            <w:webHidden/>
          </w:rPr>
          <w:instrText xml:space="preserve"> PAGEREF _Toc361837021 \h </w:instrText>
        </w:r>
        <w:r w:rsidR="002A37C7">
          <w:rPr>
            <w:noProof/>
            <w:webHidden/>
          </w:rPr>
        </w:r>
        <w:r w:rsidR="002A37C7">
          <w:rPr>
            <w:noProof/>
            <w:webHidden/>
          </w:rPr>
          <w:fldChar w:fldCharType="separate"/>
        </w:r>
        <w:r w:rsidR="0049310D">
          <w:rPr>
            <w:noProof/>
            <w:webHidden/>
          </w:rPr>
          <w:t>4</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2" w:history="1">
        <w:r w:rsidR="002A37C7" w:rsidRPr="00790760">
          <w:rPr>
            <w:rStyle w:val="Hyperlink"/>
            <w:noProof/>
          </w:rPr>
          <w:t>Consultation</w:t>
        </w:r>
        <w:r w:rsidR="002A37C7">
          <w:rPr>
            <w:noProof/>
            <w:webHidden/>
          </w:rPr>
          <w:tab/>
        </w:r>
        <w:r w:rsidR="002A37C7">
          <w:rPr>
            <w:noProof/>
            <w:webHidden/>
          </w:rPr>
          <w:fldChar w:fldCharType="begin"/>
        </w:r>
        <w:r w:rsidR="002A37C7">
          <w:rPr>
            <w:noProof/>
            <w:webHidden/>
          </w:rPr>
          <w:instrText xml:space="preserve"> PAGEREF _Toc361837022 \h </w:instrText>
        </w:r>
        <w:r w:rsidR="002A37C7">
          <w:rPr>
            <w:noProof/>
            <w:webHidden/>
          </w:rPr>
        </w:r>
        <w:r w:rsidR="002A37C7">
          <w:rPr>
            <w:noProof/>
            <w:webHidden/>
          </w:rPr>
          <w:fldChar w:fldCharType="separate"/>
        </w:r>
        <w:r w:rsidR="0049310D">
          <w:rPr>
            <w:noProof/>
            <w:webHidden/>
          </w:rPr>
          <w:t>4</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3" w:history="1">
        <w:r w:rsidR="002A37C7" w:rsidRPr="00790760">
          <w:rPr>
            <w:rStyle w:val="Hyperlink"/>
            <w:noProof/>
          </w:rPr>
          <w:t>Background: The Australian product safety system</w:t>
        </w:r>
        <w:r w:rsidR="002A37C7">
          <w:rPr>
            <w:noProof/>
            <w:webHidden/>
          </w:rPr>
          <w:tab/>
        </w:r>
        <w:r w:rsidR="002A37C7">
          <w:rPr>
            <w:noProof/>
            <w:webHidden/>
          </w:rPr>
          <w:fldChar w:fldCharType="begin"/>
        </w:r>
        <w:r w:rsidR="002A37C7">
          <w:rPr>
            <w:noProof/>
            <w:webHidden/>
          </w:rPr>
          <w:instrText xml:space="preserve"> PAGEREF _Toc361837023 \h </w:instrText>
        </w:r>
        <w:r w:rsidR="002A37C7">
          <w:rPr>
            <w:noProof/>
            <w:webHidden/>
          </w:rPr>
        </w:r>
        <w:r w:rsidR="002A37C7">
          <w:rPr>
            <w:noProof/>
            <w:webHidden/>
          </w:rPr>
          <w:fldChar w:fldCharType="separate"/>
        </w:r>
        <w:r w:rsidR="0049310D">
          <w:rPr>
            <w:noProof/>
            <w:webHidden/>
          </w:rPr>
          <w:t>5</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4" w:history="1">
        <w:r w:rsidR="002A37C7" w:rsidRPr="00790760">
          <w:rPr>
            <w:rStyle w:val="Hyperlink"/>
            <w:noProof/>
          </w:rPr>
          <w:t>Background: Regulation of hot water bottles</w:t>
        </w:r>
        <w:r w:rsidR="002A37C7">
          <w:rPr>
            <w:noProof/>
            <w:webHidden/>
          </w:rPr>
          <w:tab/>
        </w:r>
        <w:r w:rsidR="002A37C7">
          <w:rPr>
            <w:noProof/>
            <w:webHidden/>
          </w:rPr>
          <w:fldChar w:fldCharType="begin"/>
        </w:r>
        <w:r w:rsidR="002A37C7">
          <w:rPr>
            <w:noProof/>
            <w:webHidden/>
          </w:rPr>
          <w:instrText xml:space="preserve"> PAGEREF _Toc361837024 \h </w:instrText>
        </w:r>
        <w:r w:rsidR="002A37C7">
          <w:rPr>
            <w:noProof/>
            <w:webHidden/>
          </w:rPr>
        </w:r>
        <w:r w:rsidR="002A37C7">
          <w:rPr>
            <w:noProof/>
            <w:webHidden/>
          </w:rPr>
          <w:fldChar w:fldCharType="separate"/>
        </w:r>
        <w:r w:rsidR="0049310D">
          <w:rPr>
            <w:noProof/>
            <w:webHidden/>
          </w:rPr>
          <w:t>5</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5" w:history="1">
        <w:r w:rsidR="002A37C7" w:rsidRPr="00790760">
          <w:rPr>
            <w:rStyle w:val="Hyperlink"/>
            <w:noProof/>
          </w:rPr>
          <w:t>The current regulation</w:t>
        </w:r>
        <w:r w:rsidR="002A37C7">
          <w:rPr>
            <w:noProof/>
            <w:webHidden/>
          </w:rPr>
          <w:tab/>
        </w:r>
        <w:r w:rsidR="002A37C7">
          <w:rPr>
            <w:noProof/>
            <w:webHidden/>
          </w:rPr>
          <w:fldChar w:fldCharType="begin"/>
        </w:r>
        <w:r w:rsidR="002A37C7">
          <w:rPr>
            <w:noProof/>
            <w:webHidden/>
          </w:rPr>
          <w:instrText xml:space="preserve"> PAGEREF _Toc361837025 \h </w:instrText>
        </w:r>
        <w:r w:rsidR="002A37C7">
          <w:rPr>
            <w:noProof/>
            <w:webHidden/>
          </w:rPr>
        </w:r>
        <w:r w:rsidR="002A37C7">
          <w:rPr>
            <w:noProof/>
            <w:webHidden/>
          </w:rPr>
          <w:fldChar w:fldCharType="separate"/>
        </w:r>
        <w:r w:rsidR="0049310D">
          <w:rPr>
            <w:noProof/>
            <w:webHidden/>
          </w:rPr>
          <w:t>6</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6" w:history="1">
        <w:r w:rsidR="002A37C7" w:rsidRPr="00790760">
          <w:rPr>
            <w:rStyle w:val="Hyperlink"/>
            <w:noProof/>
          </w:rPr>
          <w:t>Hot water bottle products</w:t>
        </w:r>
        <w:r w:rsidR="002A37C7">
          <w:rPr>
            <w:noProof/>
            <w:webHidden/>
          </w:rPr>
          <w:tab/>
        </w:r>
        <w:r w:rsidR="002A37C7">
          <w:rPr>
            <w:noProof/>
            <w:webHidden/>
          </w:rPr>
          <w:fldChar w:fldCharType="begin"/>
        </w:r>
        <w:r w:rsidR="002A37C7">
          <w:rPr>
            <w:noProof/>
            <w:webHidden/>
          </w:rPr>
          <w:instrText xml:space="preserve"> PAGEREF _Toc361837026 \h </w:instrText>
        </w:r>
        <w:r w:rsidR="002A37C7">
          <w:rPr>
            <w:noProof/>
            <w:webHidden/>
          </w:rPr>
        </w:r>
        <w:r w:rsidR="002A37C7">
          <w:rPr>
            <w:noProof/>
            <w:webHidden/>
          </w:rPr>
          <w:fldChar w:fldCharType="separate"/>
        </w:r>
        <w:r w:rsidR="0049310D">
          <w:rPr>
            <w:noProof/>
            <w:webHidden/>
          </w:rPr>
          <w:t>6</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7" w:history="1">
        <w:r w:rsidR="002A37C7" w:rsidRPr="00790760">
          <w:rPr>
            <w:rStyle w:val="Hyperlink"/>
            <w:noProof/>
          </w:rPr>
          <w:t>Market</w:t>
        </w:r>
        <w:r w:rsidR="002A37C7">
          <w:rPr>
            <w:noProof/>
            <w:webHidden/>
          </w:rPr>
          <w:tab/>
        </w:r>
        <w:r w:rsidR="002A37C7">
          <w:rPr>
            <w:noProof/>
            <w:webHidden/>
          </w:rPr>
          <w:fldChar w:fldCharType="begin"/>
        </w:r>
        <w:r w:rsidR="002A37C7">
          <w:rPr>
            <w:noProof/>
            <w:webHidden/>
          </w:rPr>
          <w:instrText xml:space="preserve"> PAGEREF _Toc361837027 \h </w:instrText>
        </w:r>
        <w:r w:rsidR="002A37C7">
          <w:rPr>
            <w:noProof/>
            <w:webHidden/>
          </w:rPr>
        </w:r>
        <w:r w:rsidR="002A37C7">
          <w:rPr>
            <w:noProof/>
            <w:webHidden/>
          </w:rPr>
          <w:fldChar w:fldCharType="separate"/>
        </w:r>
        <w:r w:rsidR="0049310D">
          <w:rPr>
            <w:noProof/>
            <w:webHidden/>
          </w:rPr>
          <w:t>6</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28" w:history="1">
        <w:r w:rsidR="002A37C7" w:rsidRPr="00790760">
          <w:rPr>
            <w:rStyle w:val="Hyperlink"/>
            <w:noProof/>
          </w:rPr>
          <w:t>Compliance</w:t>
        </w:r>
        <w:r w:rsidR="002A37C7">
          <w:rPr>
            <w:noProof/>
            <w:webHidden/>
          </w:rPr>
          <w:tab/>
        </w:r>
        <w:r w:rsidR="00222188">
          <w:rPr>
            <w:noProof/>
            <w:webHidden/>
          </w:rPr>
          <w:t>6</w:t>
        </w:r>
      </w:hyperlink>
    </w:p>
    <w:p w:rsidR="002A37C7" w:rsidRDefault="00CF356D">
      <w:pPr>
        <w:pStyle w:val="TOC1"/>
        <w:tabs>
          <w:tab w:val="right" w:leader="dot" w:pos="9016"/>
        </w:tabs>
        <w:rPr>
          <w:rFonts w:asciiTheme="minorHAnsi" w:eastAsiaTheme="minorEastAsia" w:hAnsiTheme="minorHAnsi" w:cstheme="minorBidi"/>
          <w:noProof/>
        </w:rPr>
      </w:pPr>
      <w:hyperlink w:anchor="_Toc361837029" w:history="1">
        <w:r w:rsidR="002A37C7" w:rsidRPr="00790760">
          <w:rPr>
            <w:rStyle w:val="Hyperlink"/>
            <w:noProof/>
          </w:rPr>
          <w:t>Hot water bottle hazards and injuries</w:t>
        </w:r>
        <w:r w:rsidR="002A37C7">
          <w:rPr>
            <w:noProof/>
            <w:webHidden/>
          </w:rPr>
          <w:tab/>
        </w:r>
        <w:r w:rsidR="002A37C7">
          <w:rPr>
            <w:noProof/>
            <w:webHidden/>
          </w:rPr>
          <w:fldChar w:fldCharType="begin"/>
        </w:r>
        <w:r w:rsidR="002A37C7">
          <w:rPr>
            <w:noProof/>
            <w:webHidden/>
          </w:rPr>
          <w:instrText xml:space="preserve"> PAGEREF _Toc361837029 \h </w:instrText>
        </w:r>
        <w:r w:rsidR="002A37C7">
          <w:rPr>
            <w:noProof/>
            <w:webHidden/>
          </w:rPr>
        </w:r>
        <w:r w:rsidR="002A37C7">
          <w:rPr>
            <w:noProof/>
            <w:webHidden/>
          </w:rPr>
          <w:fldChar w:fldCharType="separate"/>
        </w:r>
        <w:r w:rsidR="0049310D">
          <w:rPr>
            <w:noProof/>
            <w:webHidden/>
          </w:rPr>
          <w:t>7</w:t>
        </w:r>
        <w:r w:rsidR="002A37C7">
          <w:rPr>
            <w:noProof/>
            <w:webHidden/>
          </w:rPr>
          <w:fldChar w:fldCharType="end"/>
        </w:r>
      </w:hyperlink>
    </w:p>
    <w:p w:rsidR="002A37C7" w:rsidRDefault="00CF356D">
      <w:pPr>
        <w:pStyle w:val="TOC3"/>
        <w:tabs>
          <w:tab w:val="right" w:leader="dot" w:pos="9016"/>
        </w:tabs>
        <w:rPr>
          <w:rFonts w:asciiTheme="minorHAnsi" w:eastAsiaTheme="minorEastAsia" w:hAnsiTheme="minorHAnsi" w:cstheme="minorBidi"/>
          <w:noProof/>
        </w:rPr>
      </w:pPr>
      <w:hyperlink w:anchor="_Toc361837030" w:history="1">
        <w:r w:rsidR="002A37C7" w:rsidRPr="00790760">
          <w:rPr>
            <w:rStyle w:val="Hyperlink"/>
            <w:noProof/>
          </w:rPr>
          <w:t>Hazards</w:t>
        </w:r>
        <w:r w:rsidR="002A37C7">
          <w:rPr>
            <w:noProof/>
            <w:webHidden/>
          </w:rPr>
          <w:tab/>
        </w:r>
        <w:r w:rsidR="002A37C7">
          <w:rPr>
            <w:noProof/>
            <w:webHidden/>
          </w:rPr>
          <w:fldChar w:fldCharType="begin"/>
        </w:r>
        <w:r w:rsidR="002A37C7">
          <w:rPr>
            <w:noProof/>
            <w:webHidden/>
          </w:rPr>
          <w:instrText xml:space="preserve"> PAGEREF _Toc361837030 \h </w:instrText>
        </w:r>
        <w:r w:rsidR="002A37C7">
          <w:rPr>
            <w:noProof/>
            <w:webHidden/>
          </w:rPr>
        </w:r>
        <w:r w:rsidR="002A37C7">
          <w:rPr>
            <w:noProof/>
            <w:webHidden/>
          </w:rPr>
          <w:fldChar w:fldCharType="separate"/>
        </w:r>
        <w:r w:rsidR="0049310D">
          <w:rPr>
            <w:noProof/>
            <w:webHidden/>
          </w:rPr>
          <w:t>7</w:t>
        </w:r>
        <w:r w:rsidR="002A37C7">
          <w:rPr>
            <w:noProof/>
            <w:webHidden/>
          </w:rPr>
          <w:fldChar w:fldCharType="end"/>
        </w:r>
      </w:hyperlink>
    </w:p>
    <w:p w:rsidR="002A37C7" w:rsidRDefault="00CF356D">
      <w:pPr>
        <w:pStyle w:val="TOC3"/>
        <w:tabs>
          <w:tab w:val="right" w:leader="dot" w:pos="9016"/>
        </w:tabs>
        <w:rPr>
          <w:rFonts w:asciiTheme="minorHAnsi" w:eastAsiaTheme="minorEastAsia" w:hAnsiTheme="minorHAnsi" w:cstheme="minorBidi"/>
          <w:noProof/>
        </w:rPr>
      </w:pPr>
      <w:hyperlink w:anchor="_Toc361837031" w:history="1">
        <w:r w:rsidR="002A37C7" w:rsidRPr="00790760">
          <w:rPr>
            <w:rStyle w:val="Hyperlink"/>
            <w:noProof/>
          </w:rPr>
          <w:t>Injury data</w:t>
        </w:r>
        <w:r w:rsidR="002A37C7">
          <w:rPr>
            <w:noProof/>
            <w:webHidden/>
          </w:rPr>
          <w:tab/>
        </w:r>
        <w:r w:rsidR="002A37C7">
          <w:rPr>
            <w:noProof/>
            <w:webHidden/>
          </w:rPr>
          <w:fldChar w:fldCharType="begin"/>
        </w:r>
        <w:r w:rsidR="002A37C7">
          <w:rPr>
            <w:noProof/>
            <w:webHidden/>
          </w:rPr>
          <w:instrText xml:space="preserve"> PAGEREF _Toc361837031 \h </w:instrText>
        </w:r>
        <w:r w:rsidR="002A37C7">
          <w:rPr>
            <w:noProof/>
            <w:webHidden/>
          </w:rPr>
        </w:r>
        <w:r w:rsidR="002A37C7">
          <w:rPr>
            <w:noProof/>
            <w:webHidden/>
          </w:rPr>
          <w:fldChar w:fldCharType="separate"/>
        </w:r>
        <w:r w:rsidR="0049310D">
          <w:rPr>
            <w:noProof/>
            <w:webHidden/>
          </w:rPr>
          <w:t>8</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32" w:history="1">
        <w:r w:rsidR="002A37C7" w:rsidRPr="00790760">
          <w:rPr>
            <w:rStyle w:val="Hyperlink"/>
            <w:noProof/>
          </w:rPr>
          <w:t>Is continued regulatory intervention justified?</w:t>
        </w:r>
        <w:r w:rsidR="002A37C7">
          <w:rPr>
            <w:noProof/>
            <w:webHidden/>
          </w:rPr>
          <w:tab/>
        </w:r>
        <w:r w:rsidR="00222188">
          <w:rPr>
            <w:noProof/>
            <w:webHidden/>
          </w:rPr>
          <w:t>9</w:t>
        </w:r>
      </w:hyperlink>
    </w:p>
    <w:p w:rsidR="002A37C7" w:rsidRDefault="00CF356D">
      <w:pPr>
        <w:pStyle w:val="TOC1"/>
        <w:tabs>
          <w:tab w:val="right" w:leader="dot" w:pos="9016"/>
        </w:tabs>
        <w:rPr>
          <w:rFonts w:asciiTheme="minorHAnsi" w:eastAsiaTheme="minorEastAsia" w:hAnsiTheme="minorHAnsi" w:cstheme="minorBidi"/>
          <w:noProof/>
        </w:rPr>
      </w:pPr>
      <w:hyperlink w:anchor="_Toc361837033" w:history="1">
        <w:r w:rsidR="002A37C7" w:rsidRPr="00790760">
          <w:rPr>
            <w:rStyle w:val="Hyperlink"/>
            <w:noProof/>
          </w:rPr>
          <w:t>Proposed changes</w:t>
        </w:r>
        <w:r w:rsidR="002A37C7">
          <w:rPr>
            <w:noProof/>
            <w:webHidden/>
          </w:rPr>
          <w:tab/>
        </w:r>
        <w:r w:rsidR="002A37C7">
          <w:rPr>
            <w:noProof/>
            <w:webHidden/>
          </w:rPr>
          <w:fldChar w:fldCharType="begin"/>
        </w:r>
        <w:r w:rsidR="002A37C7">
          <w:rPr>
            <w:noProof/>
            <w:webHidden/>
          </w:rPr>
          <w:instrText xml:space="preserve"> PAGEREF _Toc361837033 \h </w:instrText>
        </w:r>
        <w:r w:rsidR="002A37C7">
          <w:rPr>
            <w:noProof/>
            <w:webHidden/>
          </w:rPr>
        </w:r>
        <w:r w:rsidR="002A37C7">
          <w:rPr>
            <w:noProof/>
            <w:webHidden/>
          </w:rPr>
          <w:fldChar w:fldCharType="separate"/>
        </w:r>
        <w:r w:rsidR="0049310D">
          <w:rPr>
            <w:noProof/>
            <w:webHidden/>
          </w:rPr>
          <w:t>10</w:t>
        </w:r>
        <w:r w:rsidR="002A37C7">
          <w:rPr>
            <w:noProof/>
            <w:webHidden/>
          </w:rPr>
          <w:fldChar w:fldCharType="end"/>
        </w:r>
      </w:hyperlink>
    </w:p>
    <w:p w:rsidR="002A37C7" w:rsidRDefault="00CF356D">
      <w:pPr>
        <w:pStyle w:val="TOC3"/>
        <w:tabs>
          <w:tab w:val="right" w:leader="dot" w:pos="9016"/>
        </w:tabs>
        <w:rPr>
          <w:rFonts w:asciiTheme="minorHAnsi" w:eastAsiaTheme="minorEastAsia" w:hAnsiTheme="minorHAnsi" w:cstheme="minorBidi"/>
          <w:noProof/>
        </w:rPr>
      </w:pPr>
      <w:hyperlink w:anchor="_Toc361837034" w:history="1">
        <w:r w:rsidR="002A37C7" w:rsidRPr="00790760">
          <w:rPr>
            <w:rStyle w:val="Hyperlink"/>
            <w:noProof/>
          </w:rPr>
          <w:t>Adopt all performance requirements of BS1970:2012</w:t>
        </w:r>
        <w:r w:rsidR="002A37C7">
          <w:rPr>
            <w:noProof/>
            <w:webHidden/>
          </w:rPr>
          <w:tab/>
        </w:r>
        <w:r w:rsidR="002A37C7">
          <w:rPr>
            <w:noProof/>
            <w:webHidden/>
          </w:rPr>
          <w:fldChar w:fldCharType="begin"/>
        </w:r>
        <w:r w:rsidR="002A37C7">
          <w:rPr>
            <w:noProof/>
            <w:webHidden/>
          </w:rPr>
          <w:instrText xml:space="preserve"> PAGEREF _Toc361837034 \h </w:instrText>
        </w:r>
        <w:r w:rsidR="002A37C7">
          <w:rPr>
            <w:noProof/>
            <w:webHidden/>
          </w:rPr>
        </w:r>
        <w:r w:rsidR="002A37C7">
          <w:rPr>
            <w:noProof/>
            <w:webHidden/>
          </w:rPr>
          <w:fldChar w:fldCharType="separate"/>
        </w:r>
        <w:r w:rsidR="0049310D">
          <w:rPr>
            <w:noProof/>
            <w:webHidden/>
          </w:rPr>
          <w:t>10</w:t>
        </w:r>
        <w:r w:rsidR="002A37C7">
          <w:rPr>
            <w:noProof/>
            <w:webHidden/>
          </w:rPr>
          <w:fldChar w:fldCharType="end"/>
        </w:r>
      </w:hyperlink>
    </w:p>
    <w:p w:rsidR="002A37C7" w:rsidRDefault="00CF356D">
      <w:pPr>
        <w:pStyle w:val="TOC3"/>
        <w:tabs>
          <w:tab w:val="right" w:leader="dot" w:pos="9016"/>
        </w:tabs>
        <w:rPr>
          <w:rFonts w:asciiTheme="minorHAnsi" w:eastAsiaTheme="minorEastAsia" w:hAnsiTheme="minorHAnsi" w:cstheme="minorBidi"/>
          <w:noProof/>
        </w:rPr>
      </w:pPr>
      <w:hyperlink w:anchor="_Toc361837035" w:history="1">
        <w:r w:rsidR="002A37C7" w:rsidRPr="00790760">
          <w:rPr>
            <w:rStyle w:val="Hyperlink"/>
            <w:noProof/>
          </w:rPr>
          <w:t>Enhance warnings and instructions</w:t>
        </w:r>
        <w:r w:rsidR="002A37C7">
          <w:rPr>
            <w:noProof/>
            <w:webHidden/>
          </w:rPr>
          <w:tab/>
        </w:r>
        <w:r w:rsidR="002A37C7">
          <w:rPr>
            <w:noProof/>
            <w:webHidden/>
          </w:rPr>
          <w:fldChar w:fldCharType="begin"/>
        </w:r>
        <w:r w:rsidR="002A37C7">
          <w:rPr>
            <w:noProof/>
            <w:webHidden/>
          </w:rPr>
          <w:instrText xml:space="preserve"> PAGEREF _Toc361837035 \h </w:instrText>
        </w:r>
        <w:r w:rsidR="002A37C7">
          <w:rPr>
            <w:noProof/>
            <w:webHidden/>
          </w:rPr>
        </w:r>
        <w:r w:rsidR="002A37C7">
          <w:rPr>
            <w:noProof/>
            <w:webHidden/>
          </w:rPr>
          <w:fldChar w:fldCharType="separate"/>
        </w:r>
        <w:r w:rsidR="0049310D">
          <w:rPr>
            <w:noProof/>
            <w:webHidden/>
          </w:rPr>
          <w:t>11</w:t>
        </w:r>
        <w:r w:rsidR="002A37C7">
          <w:rPr>
            <w:noProof/>
            <w:webHidden/>
          </w:rPr>
          <w:fldChar w:fldCharType="end"/>
        </w:r>
      </w:hyperlink>
    </w:p>
    <w:p w:rsidR="002A37C7" w:rsidRDefault="00CF356D">
      <w:pPr>
        <w:pStyle w:val="TOC1"/>
        <w:tabs>
          <w:tab w:val="right" w:leader="dot" w:pos="9016"/>
        </w:tabs>
        <w:rPr>
          <w:rFonts w:asciiTheme="minorHAnsi" w:eastAsiaTheme="minorEastAsia" w:hAnsiTheme="minorHAnsi" w:cstheme="minorBidi"/>
          <w:noProof/>
        </w:rPr>
      </w:pPr>
      <w:hyperlink w:anchor="_Toc361837036" w:history="1">
        <w:r w:rsidR="002A37C7" w:rsidRPr="00790760">
          <w:rPr>
            <w:rStyle w:val="Hyperlink"/>
            <w:noProof/>
          </w:rPr>
          <w:t>Conclusion</w:t>
        </w:r>
        <w:r w:rsidR="002A37C7">
          <w:rPr>
            <w:noProof/>
            <w:webHidden/>
          </w:rPr>
          <w:tab/>
        </w:r>
        <w:r w:rsidR="00222188">
          <w:rPr>
            <w:noProof/>
            <w:webHidden/>
          </w:rPr>
          <w:t>12</w:t>
        </w:r>
      </w:hyperlink>
    </w:p>
    <w:p w:rsidR="002A37C7" w:rsidRDefault="00CF356D">
      <w:pPr>
        <w:pStyle w:val="TOC2"/>
        <w:tabs>
          <w:tab w:val="left" w:pos="1540"/>
          <w:tab w:val="right" w:leader="dot" w:pos="9016"/>
        </w:tabs>
        <w:rPr>
          <w:rFonts w:asciiTheme="minorHAnsi" w:eastAsiaTheme="minorEastAsia" w:hAnsiTheme="minorHAnsi" w:cstheme="minorBidi"/>
          <w:noProof/>
        </w:rPr>
      </w:pPr>
      <w:hyperlink w:anchor="_Toc361837037" w:history="1">
        <w:r w:rsidR="002A37C7" w:rsidRPr="00790760">
          <w:rPr>
            <w:rStyle w:val="Hyperlink"/>
            <w:noProof/>
          </w:rPr>
          <w:t>Appendix A</w:t>
        </w:r>
        <w:r w:rsidR="002A37C7">
          <w:rPr>
            <w:rFonts w:asciiTheme="minorHAnsi" w:eastAsiaTheme="minorEastAsia" w:hAnsiTheme="minorHAnsi" w:cstheme="minorBidi"/>
            <w:noProof/>
          </w:rPr>
          <w:tab/>
        </w:r>
        <w:r w:rsidR="002A37C7" w:rsidRPr="00790760">
          <w:rPr>
            <w:rStyle w:val="Hyperlink"/>
            <w:noProof/>
          </w:rPr>
          <w:t>Table of proposed changes to the Standard</w:t>
        </w:r>
        <w:r w:rsidR="002A37C7">
          <w:rPr>
            <w:noProof/>
            <w:webHidden/>
          </w:rPr>
          <w:tab/>
        </w:r>
        <w:r w:rsidR="002A37C7">
          <w:rPr>
            <w:noProof/>
            <w:webHidden/>
          </w:rPr>
          <w:fldChar w:fldCharType="begin"/>
        </w:r>
        <w:r w:rsidR="002A37C7">
          <w:rPr>
            <w:noProof/>
            <w:webHidden/>
          </w:rPr>
          <w:instrText xml:space="preserve"> PAGEREF _Toc361837037 \h </w:instrText>
        </w:r>
        <w:r w:rsidR="002A37C7">
          <w:rPr>
            <w:noProof/>
            <w:webHidden/>
          </w:rPr>
        </w:r>
        <w:r w:rsidR="002A37C7">
          <w:rPr>
            <w:noProof/>
            <w:webHidden/>
          </w:rPr>
          <w:fldChar w:fldCharType="separate"/>
        </w:r>
        <w:r w:rsidR="0049310D">
          <w:rPr>
            <w:noProof/>
            <w:webHidden/>
          </w:rPr>
          <w:t>13</w:t>
        </w:r>
        <w:r w:rsidR="002A37C7">
          <w:rPr>
            <w:noProof/>
            <w:webHidden/>
          </w:rPr>
          <w:fldChar w:fldCharType="end"/>
        </w:r>
      </w:hyperlink>
    </w:p>
    <w:p w:rsidR="002A37C7" w:rsidRDefault="00CF356D">
      <w:pPr>
        <w:pStyle w:val="TOC2"/>
        <w:tabs>
          <w:tab w:val="left" w:pos="1540"/>
          <w:tab w:val="right" w:leader="dot" w:pos="9016"/>
        </w:tabs>
        <w:rPr>
          <w:rFonts w:asciiTheme="minorHAnsi" w:eastAsiaTheme="minorEastAsia" w:hAnsiTheme="minorHAnsi" w:cstheme="minorBidi"/>
          <w:noProof/>
        </w:rPr>
      </w:pPr>
      <w:hyperlink w:anchor="_Toc361837038" w:history="1">
        <w:r w:rsidR="002A37C7" w:rsidRPr="00790760">
          <w:rPr>
            <w:rStyle w:val="Hyperlink"/>
            <w:noProof/>
          </w:rPr>
          <w:t>Appendix B</w:t>
        </w:r>
        <w:r w:rsidR="002A37C7">
          <w:rPr>
            <w:rFonts w:asciiTheme="minorHAnsi" w:eastAsiaTheme="minorEastAsia" w:hAnsiTheme="minorHAnsi" w:cstheme="minorBidi"/>
            <w:noProof/>
          </w:rPr>
          <w:tab/>
        </w:r>
        <w:r w:rsidR="002A37C7" w:rsidRPr="00790760">
          <w:rPr>
            <w:rStyle w:val="Hyperlink"/>
            <w:noProof/>
          </w:rPr>
          <w:t>Proposed warnings and instructions</w:t>
        </w:r>
        <w:r w:rsidR="002A37C7">
          <w:rPr>
            <w:noProof/>
            <w:webHidden/>
          </w:rPr>
          <w:tab/>
        </w:r>
        <w:r w:rsidR="002A37C7">
          <w:rPr>
            <w:noProof/>
            <w:webHidden/>
          </w:rPr>
          <w:fldChar w:fldCharType="begin"/>
        </w:r>
        <w:r w:rsidR="002A37C7">
          <w:rPr>
            <w:noProof/>
            <w:webHidden/>
          </w:rPr>
          <w:instrText xml:space="preserve"> PAGEREF _Toc361837038 \h </w:instrText>
        </w:r>
        <w:r w:rsidR="002A37C7">
          <w:rPr>
            <w:noProof/>
            <w:webHidden/>
          </w:rPr>
        </w:r>
        <w:r w:rsidR="002A37C7">
          <w:rPr>
            <w:noProof/>
            <w:webHidden/>
          </w:rPr>
          <w:fldChar w:fldCharType="separate"/>
        </w:r>
        <w:r w:rsidR="0049310D">
          <w:rPr>
            <w:noProof/>
            <w:webHidden/>
          </w:rPr>
          <w:t>17</w:t>
        </w:r>
        <w:r w:rsidR="002A37C7">
          <w:rPr>
            <w:noProof/>
            <w:webHidden/>
          </w:rPr>
          <w:fldChar w:fldCharType="end"/>
        </w:r>
      </w:hyperlink>
    </w:p>
    <w:p w:rsidR="009C164B" w:rsidRDefault="009C164B">
      <w:r>
        <w:rPr>
          <w:b/>
          <w:bCs/>
          <w:noProof/>
        </w:rPr>
        <w:fldChar w:fldCharType="end"/>
      </w:r>
    </w:p>
    <w:p w:rsidR="000B1851" w:rsidRPr="00E93A59" w:rsidRDefault="009C164B" w:rsidP="000D61BD">
      <w:pPr>
        <w:pStyle w:val="Heading1"/>
      </w:pPr>
      <w:r>
        <w:br w:type="page"/>
      </w:r>
      <w:bookmarkStart w:id="1" w:name="_Toc361837020"/>
      <w:r w:rsidR="001D39DD">
        <w:lastRenderedPageBreak/>
        <w:t>Purpose</w:t>
      </w:r>
      <w:bookmarkEnd w:id="1"/>
    </w:p>
    <w:p w:rsidR="000B1851" w:rsidRDefault="000B1851" w:rsidP="000B1851">
      <w:r>
        <w:t>The purpose of this discussion paper is to:</w:t>
      </w:r>
    </w:p>
    <w:p w:rsidR="008D13B1" w:rsidRDefault="008D13B1" w:rsidP="000B1851"/>
    <w:p w:rsidR="004235EF" w:rsidRDefault="004235EF" w:rsidP="004235EF">
      <w:pPr>
        <w:numPr>
          <w:ilvl w:val="0"/>
          <w:numId w:val="10"/>
        </w:numPr>
      </w:pPr>
      <w:r>
        <w:t>inform key stakeholders of the proposed changes to the mandatory standard for hot water bottles (</w:t>
      </w:r>
      <w:r w:rsidRPr="004235EF">
        <w:rPr>
          <w:b/>
        </w:rPr>
        <w:t>the Standard</w:t>
      </w:r>
      <w:r w:rsidR="00EF792F">
        <w:rPr>
          <w:rStyle w:val="FootnoteReference"/>
          <w:b/>
        </w:rPr>
        <w:footnoteReference w:id="1"/>
      </w:r>
      <w:r>
        <w:t xml:space="preserve">) and their rationale based on </w:t>
      </w:r>
      <w:r w:rsidRPr="00B17BF6">
        <w:t>research findings</w:t>
      </w:r>
      <w:r>
        <w:t>,</w:t>
      </w:r>
    </w:p>
    <w:p w:rsidR="004235EF" w:rsidRDefault="004235EF" w:rsidP="004235EF">
      <w:pPr>
        <w:numPr>
          <w:ilvl w:val="0"/>
          <w:numId w:val="10"/>
        </w:numPr>
      </w:pPr>
      <w:r>
        <w:t>consult with key stakeholders on these changes; and</w:t>
      </w:r>
    </w:p>
    <w:p w:rsidR="000B1851" w:rsidRPr="00DE1E24" w:rsidRDefault="004235EF" w:rsidP="00C947FD">
      <w:pPr>
        <w:numPr>
          <w:ilvl w:val="0"/>
          <w:numId w:val="10"/>
        </w:numPr>
        <w:spacing w:after="240"/>
        <w:ind w:left="714" w:hanging="357"/>
      </w:pPr>
      <w:r>
        <w:t>obtain information from stakeholders to help inform the revis</w:t>
      </w:r>
      <w:r w:rsidR="001D39DD">
        <w:t xml:space="preserve">ion of the </w:t>
      </w:r>
      <w:r>
        <w:t>Standard.</w:t>
      </w:r>
    </w:p>
    <w:p w:rsidR="00D56871" w:rsidRDefault="007575CF" w:rsidP="00C947FD">
      <w:pPr>
        <w:autoSpaceDE w:val="0"/>
        <w:autoSpaceDN w:val="0"/>
        <w:adjustRightInd w:val="0"/>
        <w:spacing w:after="240"/>
      </w:pPr>
      <w:r>
        <w:t>This paper forms the basis of stakeholder consultation on proposed changes to the hot water bottle mandatory standard. The ACCC will consider feedback received via this consultation process before forming its recommendation to the Minister. If the comments received result in substantial changes to the options outlined in this paper, a second round consultation may be required.</w:t>
      </w:r>
    </w:p>
    <w:p w:rsidR="007575CF" w:rsidRPr="000D61BD" w:rsidRDefault="007575CF" w:rsidP="000D61BD">
      <w:pPr>
        <w:pStyle w:val="Heading1"/>
      </w:pPr>
      <w:bookmarkStart w:id="2" w:name="_Toc361837021"/>
      <w:r w:rsidRPr="000D61BD">
        <w:t>Summary</w:t>
      </w:r>
      <w:bookmarkEnd w:id="2"/>
    </w:p>
    <w:p w:rsidR="007575CF" w:rsidRDefault="007575CF" w:rsidP="007575CF">
      <w:pPr>
        <w:autoSpaceDE w:val="0"/>
        <w:autoSpaceDN w:val="0"/>
        <w:adjustRightInd w:val="0"/>
      </w:pPr>
      <w:r>
        <w:t>This paper proposes that the Standard should be updated by</w:t>
      </w:r>
      <w:r w:rsidRPr="00324BF3">
        <w:t xml:space="preserve"> </w:t>
      </w:r>
      <w:r>
        <w:t>adopting changes as follows:</w:t>
      </w:r>
    </w:p>
    <w:p w:rsidR="007575CF" w:rsidRDefault="007575CF" w:rsidP="007575CF">
      <w:pPr>
        <w:autoSpaceDE w:val="0"/>
        <w:autoSpaceDN w:val="0"/>
        <w:adjustRightInd w:val="0"/>
      </w:pPr>
    </w:p>
    <w:p w:rsidR="007575CF" w:rsidRDefault="007575CF" w:rsidP="007575CF">
      <w:pPr>
        <w:numPr>
          <w:ilvl w:val="0"/>
          <w:numId w:val="27"/>
        </w:numPr>
        <w:autoSpaceDE w:val="0"/>
        <w:autoSpaceDN w:val="0"/>
        <w:adjustRightInd w:val="0"/>
      </w:pPr>
      <w:r>
        <w:t xml:space="preserve">all performance requirements of the latest voluntary standard for hot water bottles, the British Standard BS1970:2012 </w:t>
      </w:r>
      <w:r w:rsidRPr="00324BF3">
        <w:rPr>
          <w:i/>
        </w:rPr>
        <w:t>Hot water bottles manufactured from rubber and PVC</w:t>
      </w:r>
      <w:r w:rsidRPr="00324BF3">
        <w:t xml:space="preserve"> </w:t>
      </w:r>
      <w:r w:rsidR="00464488">
        <w:t xml:space="preserve">– </w:t>
      </w:r>
      <w:r w:rsidR="00464488" w:rsidRPr="00A76D23">
        <w:rPr>
          <w:i/>
        </w:rPr>
        <w:t>Specification</w:t>
      </w:r>
      <w:r w:rsidR="00464488">
        <w:t xml:space="preserve"> </w:t>
      </w:r>
      <w:r w:rsidRPr="00324BF3">
        <w:t>(</w:t>
      </w:r>
      <w:r w:rsidRPr="00324BF3">
        <w:rPr>
          <w:b/>
        </w:rPr>
        <w:t>BS1970:2012</w:t>
      </w:r>
      <w:r>
        <w:t>)</w:t>
      </w:r>
      <w:r>
        <w:rPr>
          <w:rStyle w:val="FootnoteReference"/>
        </w:rPr>
        <w:footnoteReference w:id="2"/>
      </w:r>
      <w:r>
        <w:t xml:space="preserve">, and </w:t>
      </w:r>
    </w:p>
    <w:p w:rsidR="007575CF" w:rsidRDefault="007575CF" w:rsidP="00252831">
      <w:pPr>
        <w:numPr>
          <w:ilvl w:val="0"/>
          <w:numId w:val="27"/>
        </w:numPr>
        <w:autoSpaceDE w:val="0"/>
        <w:autoSpaceDN w:val="0"/>
        <w:adjustRightInd w:val="0"/>
        <w:spacing w:after="240"/>
        <w:ind w:left="714" w:hanging="357"/>
      </w:pPr>
      <w:r>
        <w:t>new labelling and usage instructions</w:t>
      </w:r>
      <w:r w:rsidR="00252831">
        <w:t xml:space="preserve"> to reduce the number of injuries caused by consumer misuse of hot water bottles, such as filling with boiling water</w:t>
      </w:r>
    </w:p>
    <w:p w:rsidR="007575CF" w:rsidRDefault="007575CF" w:rsidP="007575CF">
      <w:pPr>
        <w:autoSpaceDE w:val="0"/>
        <w:autoSpaceDN w:val="0"/>
        <w:adjustRightInd w:val="0"/>
        <w:spacing w:after="240"/>
      </w:pPr>
      <w:r>
        <w:t>The possibility of removing all regulation of hot water bottles was considered but is not recommended as the Standard provides minimum specifications primarily intend</w:t>
      </w:r>
      <w:r w:rsidR="006A29C0">
        <w:t>ed</w:t>
      </w:r>
      <w:r>
        <w:t xml:space="preserve"> to address bottle failure by bursting or leaking, which may result in serious burns.</w:t>
      </w:r>
    </w:p>
    <w:p w:rsidR="00410A52" w:rsidRDefault="00410A52" w:rsidP="007575CF">
      <w:pPr>
        <w:autoSpaceDE w:val="0"/>
        <w:autoSpaceDN w:val="0"/>
        <w:adjustRightInd w:val="0"/>
        <w:spacing w:after="240"/>
      </w:pPr>
      <w:r w:rsidRPr="00117C90">
        <w:t>This paper seeks response</w:t>
      </w:r>
      <w:r>
        <w:t>s including</w:t>
      </w:r>
      <w:r w:rsidRPr="00117C90">
        <w:t xml:space="preserve"> feedback </w:t>
      </w:r>
      <w:r>
        <w:t xml:space="preserve">on any </w:t>
      </w:r>
      <w:r w:rsidRPr="00117C90">
        <w:t>potential</w:t>
      </w:r>
      <w:r>
        <w:t xml:space="preserve"> i</w:t>
      </w:r>
      <w:r w:rsidRPr="00117C90">
        <w:t xml:space="preserve">mpacts that </w:t>
      </w:r>
      <w:r>
        <w:t>any of the changes</w:t>
      </w:r>
      <w:r w:rsidRPr="00117C90">
        <w:t xml:space="preserve"> </w:t>
      </w:r>
      <w:r>
        <w:t>might</w:t>
      </w:r>
      <w:r w:rsidRPr="00117C90">
        <w:t xml:space="preserve"> have</w:t>
      </w:r>
      <w:r>
        <w:t xml:space="preserve"> and, where possible, agreement </w:t>
      </w:r>
      <w:r w:rsidRPr="00117C90">
        <w:t xml:space="preserve">on the </w:t>
      </w:r>
      <w:r>
        <w:t>changes</w:t>
      </w:r>
      <w:r w:rsidRPr="00117C90">
        <w:t xml:space="preserve"> </w:t>
      </w:r>
      <w:r>
        <w:t>proposed.</w:t>
      </w:r>
    </w:p>
    <w:p w:rsidR="007575CF" w:rsidRDefault="007575CF" w:rsidP="007575CF">
      <w:pPr>
        <w:autoSpaceDE w:val="0"/>
        <w:autoSpaceDN w:val="0"/>
        <w:adjustRightInd w:val="0"/>
        <w:spacing w:after="240"/>
      </w:pPr>
      <w:r>
        <w:t>If the Minister agrees to amend the Standard, a lead time of at least 12 months to enable suppliers to make any necessary changes would be considered appropriate.</w:t>
      </w:r>
      <w:r w:rsidR="00252831">
        <w:t xml:space="preserve"> Given that a significant proportion of hot water bottle injuries appear to be caused by consumer misuse, the amended Standard will continue to be supplemented with a robust consumer education campaign.</w:t>
      </w:r>
    </w:p>
    <w:p w:rsidR="001D39DD" w:rsidRPr="000D61BD" w:rsidRDefault="00410A52" w:rsidP="000D61BD">
      <w:pPr>
        <w:pStyle w:val="Heading1"/>
      </w:pPr>
      <w:bookmarkStart w:id="3" w:name="_Toc361837022"/>
      <w:r w:rsidRPr="000D61BD">
        <w:t>Consultation</w:t>
      </w:r>
      <w:bookmarkEnd w:id="3"/>
    </w:p>
    <w:p w:rsidR="004235EF" w:rsidRDefault="004235EF" w:rsidP="00C947FD">
      <w:pPr>
        <w:autoSpaceDE w:val="0"/>
        <w:autoSpaceDN w:val="0"/>
        <w:adjustRightInd w:val="0"/>
        <w:spacing w:after="240"/>
      </w:pPr>
      <w:r>
        <w:t xml:space="preserve">Submissions are invited from stakeholders including suppliers of hot water bottles, and </w:t>
      </w:r>
      <w:r w:rsidR="001D39DD">
        <w:t>interested parties</w:t>
      </w:r>
      <w:r>
        <w:t xml:space="preserve">. The closing date to provide your feedback </w:t>
      </w:r>
      <w:r w:rsidR="00A5641D">
        <w:rPr>
          <w:b/>
          <w:u w:val="single"/>
        </w:rPr>
        <w:t xml:space="preserve">is </w:t>
      </w:r>
      <w:r w:rsidR="00B95AFF">
        <w:rPr>
          <w:b/>
          <w:u w:val="single"/>
        </w:rPr>
        <w:t>3</w:t>
      </w:r>
      <w:r w:rsidR="00A5641D">
        <w:rPr>
          <w:b/>
          <w:u w:val="single"/>
        </w:rPr>
        <w:t xml:space="preserve"> </w:t>
      </w:r>
      <w:r w:rsidR="00B95AFF">
        <w:rPr>
          <w:b/>
          <w:u w:val="single"/>
        </w:rPr>
        <w:t xml:space="preserve">February </w:t>
      </w:r>
      <w:r w:rsidRPr="00E45D94">
        <w:rPr>
          <w:b/>
          <w:u w:val="single"/>
        </w:rPr>
        <w:t>201</w:t>
      </w:r>
      <w:r w:rsidR="00B95AFF">
        <w:rPr>
          <w:b/>
          <w:u w:val="single"/>
        </w:rPr>
        <w:t>4</w:t>
      </w:r>
      <w:r w:rsidRPr="00E45D94">
        <w:t>.</w:t>
      </w:r>
    </w:p>
    <w:p w:rsidR="004235EF" w:rsidRDefault="004235EF" w:rsidP="00C947FD">
      <w:pPr>
        <w:autoSpaceDE w:val="0"/>
        <w:autoSpaceDN w:val="0"/>
        <w:adjustRightInd w:val="0"/>
        <w:spacing w:after="240"/>
      </w:pPr>
      <w:r>
        <w:t xml:space="preserve">You are encouraged to provide feedback by completing the </w:t>
      </w:r>
      <w:r w:rsidR="00B95AFF">
        <w:t xml:space="preserve">online </w:t>
      </w:r>
      <w:r>
        <w:t>questionnaire at</w:t>
      </w:r>
      <w:r w:rsidR="00B95AFF">
        <w:t xml:space="preserve"> the ACCC Consultation Hub. Completing the online questionnaire is the preferred way to provide feedback, though we </w:t>
      </w:r>
      <w:r w:rsidR="002E30E3">
        <w:t xml:space="preserve">also </w:t>
      </w:r>
      <w:r w:rsidR="00B95AFF">
        <w:t xml:space="preserve">welcome </w:t>
      </w:r>
      <w:r w:rsidR="002E30E3">
        <w:t>written submissions</w:t>
      </w:r>
      <w:r w:rsidR="00B95AFF">
        <w:t>.</w:t>
      </w:r>
      <w:r>
        <w:t xml:space="preserve"> </w:t>
      </w:r>
      <w:r w:rsidRPr="001D39DD">
        <w:rPr>
          <w:b/>
        </w:rPr>
        <w:t>Appendix A</w:t>
      </w:r>
      <w:r>
        <w:t xml:space="preserve"> at </w:t>
      </w:r>
      <w:r w:rsidRPr="00B17BF6">
        <w:t xml:space="preserve">page </w:t>
      </w:r>
      <w:r w:rsidR="00B17BF6">
        <w:t xml:space="preserve">10 </w:t>
      </w:r>
      <w:r w:rsidR="00B95AFF">
        <w:t>provides a summary of the proposed change to this regulation</w:t>
      </w:r>
      <w:r w:rsidR="0070228C">
        <w:t xml:space="preserve">. </w:t>
      </w:r>
      <w:r w:rsidR="00DF2DE5" w:rsidRPr="009628F4">
        <w:rPr>
          <w:b/>
        </w:rPr>
        <w:t>Appendix B</w:t>
      </w:r>
      <w:r w:rsidR="00DF2DE5">
        <w:t xml:space="preserve"> </w:t>
      </w:r>
      <w:r w:rsidR="007E04C4">
        <w:t>provide</w:t>
      </w:r>
      <w:r w:rsidR="0070228C">
        <w:t>s</w:t>
      </w:r>
      <w:r w:rsidR="007E04C4">
        <w:t xml:space="preserve"> </w:t>
      </w:r>
      <w:r w:rsidR="00B95AFF">
        <w:t xml:space="preserve">further </w:t>
      </w:r>
      <w:r w:rsidR="007E04C4">
        <w:t xml:space="preserve">details </w:t>
      </w:r>
      <w:r w:rsidR="00D53A53">
        <w:t xml:space="preserve">of </w:t>
      </w:r>
      <w:r w:rsidR="007E04C4">
        <w:t xml:space="preserve">the </w:t>
      </w:r>
      <w:r>
        <w:t>proposed changes</w:t>
      </w:r>
      <w:r w:rsidR="00DF2DE5">
        <w:t xml:space="preserve"> to the required warnings and instructions</w:t>
      </w:r>
      <w:r>
        <w:t xml:space="preserve">. </w:t>
      </w:r>
    </w:p>
    <w:p w:rsidR="007A02AD" w:rsidRDefault="00B95AFF" w:rsidP="005327EB">
      <w:pPr>
        <w:spacing w:after="240"/>
      </w:pPr>
      <w:r>
        <w:t>You</w:t>
      </w:r>
      <w:r w:rsidR="007A02AD">
        <w:t xml:space="preserve"> </w:t>
      </w:r>
      <w:r>
        <w:t xml:space="preserve">may also </w:t>
      </w:r>
      <w:r w:rsidR="007A02AD">
        <w:t>you to respond by email to:</w:t>
      </w:r>
    </w:p>
    <w:p w:rsidR="007A02AD" w:rsidRDefault="007A02AD" w:rsidP="005327EB">
      <w:r>
        <w:lastRenderedPageBreak/>
        <w:tab/>
      </w:r>
      <w:r w:rsidRPr="00324BF3">
        <w:rPr>
          <w:b/>
        </w:rPr>
        <w:t>Email</w:t>
      </w:r>
      <w:r>
        <w:t xml:space="preserve">: </w:t>
      </w:r>
      <w:hyperlink r:id="rId13" w:history="1">
        <w:r w:rsidR="00324BF3" w:rsidRPr="004944D6">
          <w:rPr>
            <w:rStyle w:val="Hyperlink"/>
          </w:rPr>
          <w:t>productsafety.regulation@accc.gov.au</w:t>
        </w:r>
      </w:hyperlink>
      <w:r w:rsidR="00324BF3">
        <w:t xml:space="preserve"> </w:t>
      </w:r>
    </w:p>
    <w:p w:rsidR="007A02AD" w:rsidRDefault="007A02AD" w:rsidP="005327EB">
      <w:pPr>
        <w:spacing w:after="240"/>
      </w:pPr>
      <w:r>
        <w:tab/>
      </w:r>
      <w:r w:rsidRPr="00324BF3">
        <w:rPr>
          <w:b/>
        </w:rPr>
        <w:t>Subject</w:t>
      </w:r>
      <w:r>
        <w:t>: Hot water bottle standard review</w:t>
      </w:r>
    </w:p>
    <w:p w:rsidR="007A02AD" w:rsidRDefault="007A02AD" w:rsidP="00C947FD">
      <w:pPr>
        <w:spacing w:after="240"/>
      </w:pPr>
      <w:r>
        <w:t>Alternatively you may mail your response to:</w:t>
      </w:r>
    </w:p>
    <w:p w:rsidR="00464488" w:rsidRDefault="00464488" w:rsidP="00A76D23">
      <w:pPr>
        <w:ind w:firstLine="720"/>
      </w:pPr>
      <w:r>
        <w:t>Director Regulated Products and Compliance</w:t>
      </w:r>
      <w:r w:rsidR="007A02AD">
        <w:tab/>
      </w:r>
    </w:p>
    <w:p w:rsidR="007A02AD" w:rsidRDefault="00464488" w:rsidP="00A76D23">
      <w:pPr>
        <w:ind w:firstLine="720"/>
      </w:pPr>
      <w:r>
        <w:t>Product Safety Branch</w:t>
      </w:r>
    </w:p>
    <w:p w:rsidR="00464488" w:rsidRDefault="00464488" w:rsidP="005327EB">
      <w:r>
        <w:tab/>
        <w:t>ACCC</w:t>
      </w:r>
    </w:p>
    <w:p w:rsidR="007A02AD" w:rsidRDefault="007A02AD" w:rsidP="005327EB">
      <w:r>
        <w:tab/>
        <w:t>GPO Box 3131</w:t>
      </w:r>
    </w:p>
    <w:p w:rsidR="007A02AD" w:rsidRDefault="007A02AD" w:rsidP="005327EB">
      <w:pPr>
        <w:spacing w:after="240"/>
      </w:pPr>
      <w:r>
        <w:tab/>
        <w:t>Canberra ACT 2601</w:t>
      </w:r>
    </w:p>
    <w:p w:rsidR="002953F0" w:rsidRPr="00410A52" w:rsidRDefault="002953F0" w:rsidP="00410A52">
      <w:pPr>
        <w:autoSpaceDE w:val="0"/>
        <w:autoSpaceDN w:val="0"/>
        <w:adjustRightInd w:val="0"/>
        <w:spacing w:after="240"/>
      </w:pPr>
      <w:r w:rsidRPr="00410A52">
        <w:t>If the information provided is of a confidential nature, you can be assured that the details provided by you will be treated confidentially. That is, the ACCC will not disclose the confidential information to third parties, other than advisors or consultants engaged directly by the ACCC, without first providing you with notice of its intention to do so, such as where it is compelled to do so by law. Please note that any information which you believe to be of a confidential nature should be clearly marked or identified as confidential.</w:t>
      </w:r>
    </w:p>
    <w:p w:rsidR="002953F0" w:rsidRPr="00F83E63" w:rsidRDefault="002953F0" w:rsidP="002953F0">
      <w:pPr>
        <w:spacing w:after="240"/>
      </w:pPr>
      <w:r w:rsidRPr="00F83E63">
        <w:t xml:space="preserve">The ACCC may be compelled by law to disclose submissions (for example under subpoena or following a request under the </w:t>
      </w:r>
      <w:r w:rsidRPr="00F83E63">
        <w:rPr>
          <w:i/>
        </w:rPr>
        <w:t>Freedom of Information Act 1982</w:t>
      </w:r>
      <w:r w:rsidRPr="00F83E63">
        <w:t xml:space="preserve">). For more information see the ACCC-AER Information Policy available via </w:t>
      </w:r>
      <w:hyperlink r:id="rId14" w:history="1">
        <w:r w:rsidRPr="00F83E63">
          <w:rPr>
            <w:rStyle w:val="Hyperlink"/>
          </w:rPr>
          <w:t>www.accc.gov.au</w:t>
        </w:r>
      </w:hyperlink>
      <w:r w:rsidR="00E5682F">
        <w:t>.</w:t>
      </w:r>
      <w:r w:rsidRPr="00F83E63">
        <w:t xml:space="preserve"> </w:t>
      </w:r>
    </w:p>
    <w:p w:rsidR="000B1851" w:rsidRPr="000D61BD" w:rsidRDefault="000B1851" w:rsidP="000D61BD">
      <w:pPr>
        <w:pStyle w:val="Heading1"/>
      </w:pPr>
      <w:bookmarkStart w:id="4" w:name="_Toc361837023"/>
      <w:r w:rsidRPr="000D61BD">
        <w:t>Background</w:t>
      </w:r>
      <w:r w:rsidR="00410A52" w:rsidRPr="000D61BD">
        <w:t>: The Australian product safety system</w:t>
      </w:r>
      <w:bookmarkEnd w:id="4"/>
    </w:p>
    <w:p w:rsidR="002953F0" w:rsidRDefault="002953F0" w:rsidP="002953F0">
      <w:pPr>
        <w:spacing w:after="240"/>
      </w:pPr>
      <w:r>
        <w:t xml:space="preserve">Section 104 of the </w:t>
      </w:r>
      <w:r w:rsidR="00D80804">
        <w:t xml:space="preserve">Australian Consumer Law (ACL) </w:t>
      </w:r>
      <w:r>
        <w:t xml:space="preserve">allows the Commonwealth Minister to make a safety standard for consumer goods which may consist of such requirements as are ‘reasonably necessary to prevent or reduce the risk of injury to any person’. </w:t>
      </w:r>
      <w:r w:rsidR="00D80804">
        <w:t xml:space="preserve">The ACL </w:t>
      </w:r>
      <w:r w:rsidR="000543A9">
        <w:t xml:space="preserve">is Schedule 2 of the </w:t>
      </w:r>
      <w:r w:rsidR="000543A9" w:rsidRPr="00C37722">
        <w:rPr>
          <w:i/>
        </w:rPr>
        <w:t>Competition and Consumer Act 2010</w:t>
      </w:r>
      <w:r w:rsidR="000543A9">
        <w:t xml:space="preserve">. </w:t>
      </w:r>
      <w:r>
        <w:t>Safety standards made under the ACL are co-operatively enforced by the ACCC and state and territory fair trading agencies.</w:t>
      </w:r>
    </w:p>
    <w:p w:rsidR="002953F0" w:rsidRDefault="002953F0" w:rsidP="002953F0">
      <w:pPr>
        <w:jc w:val="both"/>
      </w:pPr>
      <w:r>
        <w:t>Section 106 of the ACL provides that a person must not in trade or commerce, supply, offer for supply or manufacture for supply, consumer goods of a particular kind if those goods do not comply with a safety standard currently in force for those goods.</w:t>
      </w:r>
    </w:p>
    <w:p w:rsidR="002953F0" w:rsidRDefault="002953F0" w:rsidP="002953F0">
      <w:pPr>
        <w:jc w:val="both"/>
      </w:pPr>
    </w:p>
    <w:p w:rsidR="002953F0" w:rsidRDefault="002953F0" w:rsidP="002953F0">
      <w:pPr>
        <w:jc w:val="both"/>
      </w:pPr>
      <w:r>
        <w:t xml:space="preserve">The mandatory safety standard for </w:t>
      </w:r>
      <w:r w:rsidR="00774F56">
        <w:t>hot water bottles</w:t>
      </w:r>
      <w:r>
        <w:t xml:space="preserve"> regulates the </w:t>
      </w:r>
      <w:r w:rsidRPr="00FE19ED">
        <w:t xml:space="preserve">supply </w:t>
      </w:r>
      <w:r>
        <w:t>of hot water bottles.</w:t>
      </w:r>
    </w:p>
    <w:p w:rsidR="002953F0" w:rsidRDefault="002953F0" w:rsidP="002953F0">
      <w:pPr>
        <w:jc w:val="both"/>
      </w:pPr>
    </w:p>
    <w:p w:rsidR="002953F0" w:rsidRDefault="002953F0" w:rsidP="002953F0">
      <w:pPr>
        <w:jc w:val="both"/>
      </w:pPr>
      <w:r>
        <w:t>The term ‘supply’ in relation to consumer goods (like hot water bottles) means supply by way of sale, offer for sale, exchange, lease, hire or hire-purchase. For hot water bottles, hire or hire-purchase are unlikely to be relevant.</w:t>
      </w:r>
    </w:p>
    <w:p w:rsidR="002953F0" w:rsidRDefault="002953F0" w:rsidP="005327EB">
      <w:pPr>
        <w:autoSpaceDE w:val="0"/>
        <w:autoSpaceDN w:val="0"/>
        <w:adjustRightInd w:val="0"/>
        <w:spacing w:after="240"/>
      </w:pPr>
    </w:p>
    <w:p w:rsidR="00A710CC" w:rsidRPr="000D61BD" w:rsidRDefault="002953F0" w:rsidP="000D61BD">
      <w:pPr>
        <w:pStyle w:val="Heading1"/>
      </w:pPr>
      <w:bookmarkStart w:id="5" w:name="_Toc361837024"/>
      <w:r w:rsidRPr="000D61BD">
        <w:t>Background: Regulation of hot water bottles</w:t>
      </w:r>
      <w:bookmarkEnd w:id="5"/>
    </w:p>
    <w:p w:rsidR="002953F0" w:rsidRDefault="002953F0" w:rsidP="002953F0">
      <w:pPr>
        <w:autoSpaceDE w:val="0"/>
        <w:autoSpaceDN w:val="0"/>
        <w:adjustRightInd w:val="0"/>
        <w:spacing w:after="240"/>
      </w:pPr>
      <w:r>
        <w:t>The mandatory standard for hot water bottles was introduced in Australia in 2008. It followed a Coroner’s report in 2007 o</w:t>
      </w:r>
      <w:r w:rsidR="008A420A">
        <w:t>n</w:t>
      </w:r>
      <w:r>
        <w:t xml:space="preserve"> the death of a nursing home resident after a hot water bottle she was using burst. Th</w:t>
      </w:r>
      <w:r w:rsidR="008A420A">
        <w:t>e hot water bottle was filled with boiling water and when it burst it caused</w:t>
      </w:r>
      <w:r>
        <w:t xml:space="preserve"> serious burns and complications leading to death. The Coroner had determined the death was ‘clearly preventable.’</w:t>
      </w:r>
      <w:r w:rsidR="008B75A9">
        <w:t xml:space="preserve"> The ACCC has since identified one m</w:t>
      </w:r>
      <w:r w:rsidR="00774F56">
        <w:t xml:space="preserve">ore death which has occurred </w:t>
      </w:r>
      <w:r w:rsidR="008B75A9">
        <w:t>due</w:t>
      </w:r>
      <w:r w:rsidR="00774F56">
        <w:t xml:space="preserve"> to</w:t>
      </w:r>
      <w:r w:rsidR="008B75A9">
        <w:t xml:space="preserve"> complications from scalding burns caused by a leaking hot water bottle. The second incident occurred before the commencement of the mandatory standard.</w:t>
      </w:r>
    </w:p>
    <w:p w:rsidR="002953F0" w:rsidRPr="009420FA" w:rsidRDefault="002953F0" w:rsidP="002953F0">
      <w:pPr>
        <w:autoSpaceDE w:val="0"/>
        <w:autoSpaceDN w:val="0"/>
        <w:adjustRightInd w:val="0"/>
        <w:spacing w:after="240"/>
      </w:pPr>
      <w:r>
        <w:t xml:space="preserve">The legislative </w:t>
      </w:r>
      <w:r w:rsidRPr="009420FA">
        <w:t xml:space="preserve">instrument </w:t>
      </w:r>
      <w:r>
        <w:t>enabling</w:t>
      </w:r>
      <w:r w:rsidRPr="009420FA">
        <w:t xml:space="preserve"> the </w:t>
      </w:r>
      <w:r>
        <w:t>S</w:t>
      </w:r>
      <w:r w:rsidRPr="009420FA">
        <w:t>tandard is</w:t>
      </w:r>
      <w:r w:rsidR="00FF74E8">
        <w:t xml:space="preserve"> the </w:t>
      </w:r>
      <w:r w:rsidRPr="009420FA">
        <w:rPr>
          <w:i/>
        </w:rPr>
        <w:t xml:space="preserve">Trade Practices (Consumer </w:t>
      </w:r>
      <w:r>
        <w:rPr>
          <w:i/>
        </w:rPr>
        <w:t>Product Sa</w:t>
      </w:r>
      <w:r w:rsidRPr="009420FA">
        <w:rPr>
          <w:i/>
        </w:rPr>
        <w:t>fety</w:t>
      </w:r>
      <w:r>
        <w:rPr>
          <w:i/>
        </w:rPr>
        <w:t xml:space="preserve"> S</w:t>
      </w:r>
      <w:r w:rsidRPr="009420FA">
        <w:rPr>
          <w:i/>
        </w:rPr>
        <w:t>tandard)</w:t>
      </w:r>
      <w:r>
        <w:rPr>
          <w:i/>
        </w:rPr>
        <w:t xml:space="preserve"> (Hot Water Bottles)</w:t>
      </w:r>
      <w:r w:rsidRPr="009420FA">
        <w:rPr>
          <w:i/>
        </w:rPr>
        <w:t xml:space="preserve"> Regulations </w:t>
      </w:r>
      <w:r>
        <w:rPr>
          <w:i/>
        </w:rPr>
        <w:t>2008</w:t>
      </w:r>
      <w:r w:rsidRPr="009420FA">
        <w:t xml:space="preserve">. </w:t>
      </w:r>
    </w:p>
    <w:p w:rsidR="005327EB" w:rsidRDefault="00851F99" w:rsidP="005327EB">
      <w:pPr>
        <w:autoSpaceDE w:val="0"/>
        <w:autoSpaceDN w:val="0"/>
        <w:adjustRightInd w:val="0"/>
        <w:spacing w:after="240"/>
      </w:pPr>
      <w:r w:rsidRPr="00851F99">
        <w:lastRenderedPageBreak/>
        <w:t xml:space="preserve">The Standard is partially based on the 2006 version of the British voluntary standard </w:t>
      </w:r>
      <w:r>
        <w:t>- BS 1970</w:t>
      </w:r>
      <w:r w:rsidR="00464488">
        <w:t>:</w:t>
      </w:r>
      <w:r>
        <w:t xml:space="preserve">2006, now superseded </w:t>
      </w:r>
      <w:r w:rsidRPr="00851F99">
        <w:t>by BS1970:2012.</w:t>
      </w:r>
    </w:p>
    <w:p w:rsidR="007A4E76" w:rsidRDefault="007A4E76" w:rsidP="005327EB">
      <w:pPr>
        <w:autoSpaceDE w:val="0"/>
        <w:autoSpaceDN w:val="0"/>
        <w:adjustRightInd w:val="0"/>
        <w:spacing w:after="240"/>
      </w:pPr>
      <w:r w:rsidRPr="007A4E76">
        <w:t xml:space="preserve">In 2010, the ACCC commenced a review of this mandatory standard. This review included surveying stakeholders about hot water bottle safety and possible changes to the Standard. When the ACCC learned that the British Standards Institution had commenced a review of BS1970:2006, this review was </w:t>
      </w:r>
      <w:r w:rsidR="00D163CF">
        <w:t>rescheduled</w:t>
      </w:r>
      <w:r w:rsidRPr="007A4E76">
        <w:t xml:space="preserve"> to ensure that the mandatory standard would be </w:t>
      </w:r>
      <w:r w:rsidR="00E84218">
        <w:t xml:space="preserve">in </w:t>
      </w:r>
      <w:r w:rsidRPr="007A4E76">
        <w:t>alignment with the revised British Standard.</w:t>
      </w:r>
    </w:p>
    <w:p w:rsidR="00410A52" w:rsidRPr="000D61BD" w:rsidRDefault="00410A52" w:rsidP="000D61BD">
      <w:pPr>
        <w:pStyle w:val="Heading1"/>
      </w:pPr>
      <w:bookmarkStart w:id="6" w:name="_Toc361837025"/>
      <w:r w:rsidRPr="000D61BD">
        <w:t>The current regulation</w:t>
      </w:r>
      <w:bookmarkEnd w:id="6"/>
    </w:p>
    <w:p w:rsidR="00ED0AD9" w:rsidRDefault="00410A52" w:rsidP="00ED0AD9">
      <w:pPr>
        <w:autoSpaceDE w:val="0"/>
        <w:autoSpaceDN w:val="0"/>
        <w:adjustRightInd w:val="0"/>
        <w:spacing w:after="120"/>
      </w:pPr>
      <w:r w:rsidRPr="00410A52">
        <w:t>The</w:t>
      </w:r>
      <w:r>
        <w:t xml:space="preserve"> </w:t>
      </w:r>
      <w:r w:rsidR="00ED0AD9">
        <w:t xml:space="preserve">current </w:t>
      </w:r>
      <w:r>
        <w:t>hot water bottle mandatory standard contains a number of technical and labelling requirements.</w:t>
      </w:r>
      <w:r w:rsidR="00ED0AD9">
        <w:t xml:space="preserve"> The technical specifications, which were drawn from the BS1970</w:t>
      </w:r>
      <w:r w:rsidR="00464488">
        <w:t>:</w:t>
      </w:r>
      <w:r w:rsidR="00ED0AD9">
        <w:t xml:space="preserve">2006, include requirements related to: </w:t>
      </w:r>
    </w:p>
    <w:p w:rsidR="00ED0AD9" w:rsidRDefault="00ED0AD9" w:rsidP="00ED0AD9">
      <w:pPr>
        <w:numPr>
          <w:ilvl w:val="0"/>
          <w:numId w:val="37"/>
        </w:numPr>
        <w:autoSpaceDE w:val="0"/>
        <w:autoSpaceDN w:val="0"/>
        <w:adjustRightInd w:val="0"/>
      </w:pPr>
      <w:r>
        <w:t>wall thickness</w:t>
      </w:r>
    </w:p>
    <w:p w:rsidR="00ED0AD9" w:rsidRDefault="00ED0AD9" w:rsidP="00ED0AD9">
      <w:pPr>
        <w:numPr>
          <w:ilvl w:val="0"/>
          <w:numId w:val="37"/>
        </w:numPr>
        <w:autoSpaceDE w:val="0"/>
        <w:autoSpaceDN w:val="0"/>
        <w:adjustRightInd w:val="0"/>
      </w:pPr>
      <w:r>
        <w:t>seam strength</w:t>
      </w:r>
    </w:p>
    <w:p w:rsidR="00ED0AD9" w:rsidRDefault="00ED0AD9" w:rsidP="00ED0AD9">
      <w:pPr>
        <w:numPr>
          <w:ilvl w:val="0"/>
          <w:numId w:val="37"/>
        </w:numPr>
        <w:autoSpaceDE w:val="0"/>
        <w:autoSpaceDN w:val="0"/>
        <w:adjustRightInd w:val="0"/>
      </w:pPr>
      <w:r>
        <w:t>pressure resistance</w:t>
      </w:r>
    </w:p>
    <w:p w:rsidR="00ED0AD9" w:rsidRDefault="00ED0AD9" w:rsidP="00ED0AD9">
      <w:pPr>
        <w:numPr>
          <w:ilvl w:val="0"/>
          <w:numId w:val="37"/>
        </w:numPr>
        <w:autoSpaceDE w:val="0"/>
        <w:autoSpaceDN w:val="0"/>
        <w:adjustRightInd w:val="0"/>
      </w:pPr>
      <w:r>
        <w:t>seal integrity and leakage</w:t>
      </w:r>
    </w:p>
    <w:p w:rsidR="00ED0AD9" w:rsidRDefault="00ED0AD9" w:rsidP="00ED0AD9">
      <w:pPr>
        <w:autoSpaceDE w:val="0"/>
        <w:autoSpaceDN w:val="0"/>
        <w:adjustRightInd w:val="0"/>
        <w:spacing w:before="240" w:after="120"/>
      </w:pPr>
      <w:r>
        <w:t>In addition, the current standard includes the requirement to permanently mark and prominently display a warning on the bottle: “Do not use boiling water”.</w:t>
      </w:r>
    </w:p>
    <w:p w:rsidR="00410A52" w:rsidRPr="000D61BD" w:rsidRDefault="00410A52" w:rsidP="000D61BD">
      <w:pPr>
        <w:pStyle w:val="Heading1"/>
      </w:pPr>
      <w:bookmarkStart w:id="7" w:name="_Toc361837026"/>
      <w:r w:rsidRPr="000D61BD">
        <w:t>Hot water bottle products</w:t>
      </w:r>
      <w:bookmarkEnd w:id="7"/>
    </w:p>
    <w:p w:rsidR="00137CFF" w:rsidRDefault="00137CFF" w:rsidP="009C164B">
      <w:r w:rsidRPr="00137CFF">
        <w:t>A hot water bottle is a sealed container usually made of rubber or sometimes polyvinyl chloride (PVC) that is filled with hot water and used for easing pain, or for warming a bed or parts of the body. Hot water bottles are available in adult or child sizes.</w:t>
      </w:r>
    </w:p>
    <w:p w:rsidR="009628F4" w:rsidRDefault="009628F4" w:rsidP="009C164B"/>
    <w:p w:rsidR="009628F4" w:rsidRDefault="00F25BFB" w:rsidP="009C164B">
      <w:r>
        <w:t xml:space="preserve">The ACCC has observed </w:t>
      </w:r>
      <w:r w:rsidR="005164BF">
        <w:t>the recent introduction of</w:t>
      </w:r>
      <w:r>
        <w:t xml:space="preserve"> e</w:t>
      </w:r>
      <w:r w:rsidR="009628F4" w:rsidRPr="009628F4">
        <w:t xml:space="preserve">lectric hot water bottles into the Australian market. Sometimes referred to electric heat pads, these products can be similar to hot water bottles with an internal heating element. </w:t>
      </w:r>
      <w:r w:rsidR="005604D3">
        <w:t>The ACCC’s preliminary view is that the hazards posed by these products may be better addressed by electrical safety regulation.</w:t>
      </w:r>
      <w:r w:rsidR="00C82C2C">
        <w:t xml:space="preserve"> This paper does not propose extend</w:t>
      </w:r>
      <w:r w:rsidR="003927A3">
        <w:t>ing</w:t>
      </w:r>
      <w:r w:rsidR="00C82C2C">
        <w:t xml:space="preserve"> the mandatory standard to capture these products.</w:t>
      </w:r>
      <w:r w:rsidR="005604D3">
        <w:t xml:space="preserve"> </w:t>
      </w:r>
    </w:p>
    <w:p w:rsidR="00410A52" w:rsidRPr="000D61BD" w:rsidRDefault="00410A52" w:rsidP="000D61BD">
      <w:pPr>
        <w:pStyle w:val="Heading1"/>
      </w:pPr>
      <w:bookmarkStart w:id="8" w:name="_Toc361837027"/>
      <w:r w:rsidRPr="000D61BD">
        <w:t>Market</w:t>
      </w:r>
      <w:bookmarkEnd w:id="8"/>
    </w:p>
    <w:p w:rsidR="009628F4" w:rsidRDefault="008E12E0" w:rsidP="009400BF">
      <w:pPr>
        <w:autoSpaceDE w:val="0"/>
        <w:autoSpaceDN w:val="0"/>
        <w:adjustRightInd w:val="0"/>
        <w:spacing w:after="240"/>
      </w:pPr>
      <w:r>
        <w:t>Hot water bottles are sold in a variety of market sectors, including the pharmacy, supermarket, discount variety chains</w:t>
      </w:r>
      <w:r w:rsidR="005164BF">
        <w:t>,</w:t>
      </w:r>
      <w:r>
        <w:t xml:space="preserve"> bedding</w:t>
      </w:r>
      <w:r w:rsidR="005164BF">
        <w:t xml:space="preserve"> and </w:t>
      </w:r>
      <w:r>
        <w:t>homewares and clothing sectors, and small discount variety stores (known as ‘$2.00 shops’).  Department stores and online retailers supply hot water bott</w:t>
      </w:r>
      <w:r w:rsidR="00443E65">
        <w:t>les in much smaller quantities.</w:t>
      </w:r>
    </w:p>
    <w:p w:rsidR="00970E38" w:rsidRDefault="008E12E0" w:rsidP="009C164B">
      <w:r>
        <w:t>The Australian market for hot water bottles is based on imported product as there no Australian manufacturers of this product. The products are largely manufactured in China and some importers obtain sup</w:t>
      </w:r>
      <w:r w:rsidR="00443E65">
        <w:t>ply from the same manufacturer.</w:t>
      </w:r>
    </w:p>
    <w:p w:rsidR="00410A52" w:rsidRPr="000D61BD" w:rsidRDefault="00410A52" w:rsidP="000D61BD">
      <w:pPr>
        <w:pStyle w:val="Heading1"/>
      </w:pPr>
      <w:bookmarkStart w:id="9" w:name="_Toc361837028"/>
      <w:r w:rsidRPr="000D61BD">
        <w:t>Compliance</w:t>
      </w:r>
      <w:bookmarkEnd w:id="9"/>
    </w:p>
    <w:p w:rsidR="00410A52" w:rsidRDefault="00410A52" w:rsidP="00410A52">
      <w:pPr>
        <w:autoSpaceDE w:val="0"/>
        <w:autoSpaceDN w:val="0"/>
        <w:adjustRightInd w:val="0"/>
        <w:spacing w:after="240"/>
      </w:pPr>
      <w:r>
        <w:t xml:space="preserve">Various supplier education and guidance activities have been undertaken since the Standard was introduced in 2008. </w:t>
      </w:r>
    </w:p>
    <w:p w:rsidR="00073183" w:rsidRDefault="00410A52" w:rsidP="00410A52">
      <w:pPr>
        <w:autoSpaceDE w:val="0"/>
        <w:autoSpaceDN w:val="0"/>
        <w:adjustRightInd w:val="0"/>
        <w:spacing w:after="240"/>
      </w:pPr>
      <w:r>
        <w:t>In 2009, following the Standard’s first 12 months of operation, a national survey of hot water bottles was conducted</w:t>
      </w:r>
      <w:r w:rsidR="008B6F0D">
        <w:t xml:space="preserve"> by the ACCC</w:t>
      </w:r>
      <w:r>
        <w:t xml:space="preserve">. It resulted in a highly publicised recall of over 250,000 non-compliant bottles nationally. </w:t>
      </w:r>
    </w:p>
    <w:p w:rsidR="00A03096" w:rsidRDefault="00A03096" w:rsidP="00A03096">
      <w:pPr>
        <w:autoSpaceDE w:val="0"/>
        <w:autoSpaceDN w:val="0"/>
        <w:adjustRightInd w:val="0"/>
        <w:spacing w:after="240"/>
      </w:pPr>
      <w:r>
        <w:lastRenderedPageBreak/>
        <w:t>Twenty four models of hot water bottles have been recalled since the introduction of the mandatory standard. Noting that a single model may have multiple defects, the most common defects identified in recalled products related to one or more physical properties of the product. This included insufficient wall thickness (18 instances) and filling characteristics (specifically aperture size defects; 10 instances).</w:t>
      </w:r>
    </w:p>
    <w:p w:rsidR="00DE10A3" w:rsidRDefault="00DE10A3" w:rsidP="00410A52">
      <w:pPr>
        <w:autoSpaceDE w:val="0"/>
        <w:autoSpaceDN w:val="0"/>
        <w:adjustRightInd w:val="0"/>
        <w:spacing w:after="240"/>
      </w:pPr>
      <w:r>
        <w:t xml:space="preserve">Ongoing annual surveys </w:t>
      </w:r>
      <w:r w:rsidR="005164BF">
        <w:t xml:space="preserve">by </w:t>
      </w:r>
      <w:r w:rsidR="008B6F0D">
        <w:t>the ACCC</w:t>
      </w:r>
      <w:r w:rsidR="005164BF">
        <w:t xml:space="preserve"> </w:t>
      </w:r>
      <w:r>
        <w:t>continue to detect non-compliant bottles in the market, though not to the levels and volumes seen in 2009 – which suggests that educative activities supporting the standard have had some effect.</w:t>
      </w:r>
    </w:p>
    <w:p w:rsidR="00410A52" w:rsidRDefault="00073183" w:rsidP="00410A52">
      <w:pPr>
        <w:autoSpaceDE w:val="0"/>
        <w:autoSpaceDN w:val="0"/>
        <w:adjustRightInd w:val="0"/>
        <w:spacing w:after="240"/>
      </w:pPr>
      <w:r>
        <w:t>Nevertheless, s</w:t>
      </w:r>
      <w:r w:rsidR="00410A52">
        <w:t xml:space="preserve">urveys and tests </w:t>
      </w:r>
      <w:r w:rsidR="00B43967">
        <w:t>conducted</w:t>
      </w:r>
      <w:r w:rsidR="008B6F0D">
        <w:t xml:space="preserve"> or commissioned</w:t>
      </w:r>
      <w:r w:rsidR="00B43967">
        <w:t xml:space="preserve"> by the ACCC </w:t>
      </w:r>
      <w:r w:rsidR="008A420A">
        <w:t xml:space="preserve">continue to </w:t>
      </w:r>
      <w:r w:rsidR="00410A52">
        <w:t xml:space="preserve">reveal non-compliance </w:t>
      </w:r>
      <w:r w:rsidR="008A420A">
        <w:t>with</w:t>
      </w:r>
      <w:r w:rsidR="00410A52">
        <w:t xml:space="preserve"> labelling and the minimum thickness requirements. Other </w:t>
      </w:r>
      <w:r w:rsidR="00B43967">
        <w:t>deficiencies detected</w:t>
      </w:r>
      <w:r w:rsidR="00410A52">
        <w:t xml:space="preserve"> include bottle openings and funnels being too small and inadequate strength of seams</w:t>
      </w:r>
      <w:r w:rsidR="008B6F0D">
        <w:t>.</w:t>
      </w:r>
    </w:p>
    <w:p w:rsidR="00410A52" w:rsidRDefault="008A420A" w:rsidP="00410A52">
      <w:pPr>
        <w:autoSpaceDE w:val="0"/>
        <w:autoSpaceDN w:val="0"/>
        <w:adjustRightInd w:val="0"/>
        <w:spacing w:after="240"/>
      </w:pPr>
      <w:r>
        <w:t>Whilst</w:t>
      </w:r>
      <w:r w:rsidR="00A03096">
        <w:t xml:space="preserve"> </w:t>
      </w:r>
      <w:r>
        <w:t>the ACCC has</w:t>
      </w:r>
      <w:r w:rsidR="00C3356E">
        <w:t xml:space="preserve"> i</w:t>
      </w:r>
      <w:r>
        <w:t xml:space="preserve">dentified </w:t>
      </w:r>
      <w:r w:rsidR="00A03096">
        <w:t>n</w:t>
      </w:r>
      <w:r w:rsidR="00410A52">
        <w:t>on-compliance across the supply chain, including in major retailers and pharmacy chains</w:t>
      </w:r>
      <w:r w:rsidR="00A03096">
        <w:t xml:space="preserve">, </w:t>
      </w:r>
      <w:r w:rsidR="00410A52">
        <w:t>the majority of non-compliance is generally found in:</w:t>
      </w:r>
    </w:p>
    <w:p w:rsidR="00410A52" w:rsidRDefault="00410A52" w:rsidP="00410A52">
      <w:pPr>
        <w:numPr>
          <w:ilvl w:val="0"/>
          <w:numId w:val="41"/>
        </w:numPr>
      </w:pPr>
      <w:r>
        <w:t xml:space="preserve">the discount variety sector (which tends to trade in low volumes); and </w:t>
      </w:r>
    </w:p>
    <w:p w:rsidR="00410A52" w:rsidRDefault="00410A52" w:rsidP="00410A52">
      <w:pPr>
        <w:numPr>
          <w:ilvl w:val="0"/>
          <w:numId w:val="41"/>
        </w:numPr>
        <w:spacing w:after="240"/>
        <w:ind w:left="714" w:hanging="357"/>
      </w:pPr>
      <w:r>
        <w:t>new entrants and retailers selling hot water bottles on a seasonal or irregular basis in low volumes, for example specialist nightwear retailers, independent supermarkets, home ware and gift stores sourcing product directly from overseas</w:t>
      </w:r>
      <w:r w:rsidR="0049310D">
        <w:t>.</w:t>
      </w:r>
    </w:p>
    <w:p w:rsidR="00A710CC" w:rsidRPr="000D61BD" w:rsidRDefault="00410A52" w:rsidP="000D61BD">
      <w:pPr>
        <w:pStyle w:val="Heading1"/>
      </w:pPr>
      <w:bookmarkStart w:id="10" w:name="_Toc361837029"/>
      <w:r w:rsidRPr="000D61BD">
        <w:t>Hot water bottle h</w:t>
      </w:r>
      <w:r w:rsidR="00A710CC" w:rsidRPr="000D61BD">
        <w:t>azard</w:t>
      </w:r>
      <w:r w:rsidR="00426046" w:rsidRPr="000D61BD">
        <w:t>s</w:t>
      </w:r>
      <w:r w:rsidR="00A710CC" w:rsidRPr="000D61BD">
        <w:t xml:space="preserve"> </w:t>
      </w:r>
      <w:r w:rsidRPr="000D61BD">
        <w:t>and injuries</w:t>
      </w:r>
      <w:bookmarkEnd w:id="10"/>
    </w:p>
    <w:p w:rsidR="000D61BD" w:rsidRDefault="000D61BD" w:rsidP="000D61BD">
      <w:pPr>
        <w:pStyle w:val="Heading3"/>
      </w:pPr>
      <w:bookmarkStart w:id="11" w:name="_Toc361837030"/>
      <w:r>
        <w:t>Hazards</w:t>
      </w:r>
      <w:bookmarkEnd w:id="11"/>
    </w:p>
    <w:p w:rsidR="000D61BD" w:rsidRDefault="00A710CC" w:rsidP="005327EB">
      <w:pPr>
        <w:autoSpaceDE w:val="0"/>
        <w:autoSpaceDN w:val="0"/>
        <w:adjustRightInd w:val="0"/>
        <w:spacing w:after="240"/>
      </w:pPr>
      <w:r w:rsidRPr="00341AE8">
        <w:t xml:space="preserve">The </w:t>
      </w:r>
      <w:r w:rsidR="000D61BD">
        <w:t xml:space="preserve">primary hazard addressed by the </w:t>
      </w:r>
      <w:r w:rsidR="00635400">
        <w:t>Standard</w:t>
      </w:r>
      <w:r w:rsidR="00635400" w:rsidRPr="00341AE8">
        <w:t xml:space="preserve"> </w:t>
      </w:r>
      <w:r w:rsidRPr="00341AE8">
        <w:t xml:space="preserve">is the risk of </w:t>
      </w:r>
      <w:r w:rsidR="00C67B86">
        <w:t>scalds and contact burns</w:t>
      </w:r>
      <w:r w:rsidRPr="00341AE8">
        <w:t>.</w:t>
      </w:r>
      <w:r w:rsidR="00880B17">
        <w:t xml:space="preserve"> </w:t>
      </w:r>
      <w:r w:rsidR="00C67B86" w:rsidRPr="00C67B86">
        <w:t>Infants and the elderly are particularly vulnerable to burns from hot water bottles because they may not be able to react quickly enough if a hot water bottle bursts or leaks, or sense if a hot water bottle is too hot against the</w:t>
      </w:r>
      <w:r w:rsidR="00D53A53">
        <w:t>ir</w:t>
      </w:r>
      <w:r w:rsidR="00C67B86" w:rsidRPr="00C67B86">
        <w:t xml:space="preserve"> skin. Diabetics with reduced sensation are also particularly at risk. Further, the skin of infants, children and the aged is more delicate and </w:t>
      </w:r>
      <w:r w:rsidR="008A420A">
        <w:t>vulnerable</w:t>
      </w:r>
      <w:r w:rsidR="00C67B86" w:rsidRPr="00C67B86">
        <w:t xml:space="preserve"> to burning than </w:t>
      </w:r>
      <w:r w:rsidR="00D53A53">
        <w:t>that of</w:t>
      </w:r>
      <w:r w:rsidR="00C67B86" w:rsidRPr="00C67B86">
        <w:t xml:space="preserve"> the general population</w:t>
      </w:r>
      <w:r w:rsidR="00276CC1">
        <w:t>.</w:t>
      </w:r>
      <w:r w:rsidR="00C67B86" w:rsidRPr="00C67B86">
        <w:t xml:space="preserve"> </w:t>
      </w:r>
      <w:r w:rsidR="00276CC1">
        <w:t>I</w:t>
      </w:r>
      <w:r w:rsidR="00C67B86" w:rsidRPr="00C67B86">
        <w:t xml:space="preserve">njuries </w:t>
      </w:r>
      <w:r w:rsidR="00276CC1">
        <w:t xml:space="preserve">to these groups </w:t>
      </w:r>
      <w:r w:rsidR="00C67B86" w:rsidRPr="00C67B86">
        <w:t>may be more severe than for the general population.</w:t>
      </w:r>
      <w:r w:rsidR="00D03DFC" w:rsidRPr="00D03DFC">
        <w:t xml:space="preserve"> </w:t>
      </w:r>
    </w:p>
    <w:p w:rsidR="008465C5" w:rsidRPr="00C67B86" w:rsidRDefault="00D03DFC" w:rsidP="005327EB">
      <w:pPr>
        <w:autoSpaceDE w:val="0"/>
        <w:autoSpaceDN w:val="0"/>
        <w:adjustRightInd w:val="0"/>
        <w:spacing w:after="240"/>
      </w:pPr>
      <w:r w:rsidRPr="00D03DFC">
        <w:t xml:space="preserve">Serious </w:t>
      </w:r>
      <w:r w:rsidR="00C37722">
        <w:t xml:space="preserve">burns </w:t>
      </w:r>
      <w:r w:rsidR="00F31D41">
        <w:t>(</w:t>
      </w:r>
      <w:r w:rsidR="00C37722">
        <w:t>also known as</w:t>
      </w:r>
      <w:r w:rsidR="00F31D41">
        <w:t xml:space="preserve"> </w:t>
      </w:r>
      <w:r w:rsidRPr="00D03DFC">
        <w:t>‘full thickness’</w:t>
      </w:r>
      <w:r w:rsidR="00C37722">
        <w:t xml:space="preserve"> or ‘third-degree burns’</w:t>
      </w:r>
      <w:r w:rsidR="00F31D41">
        <w:t>)</w:t>
      </w:r>
      <w:r w:rsidRPr="00D03DFC">
        <w:t xml:space="preserve"> </w:t>
      </w:r>
      <w:r w:rsidR="00276CC1">
        <w:t xml:space="preserve">can </w:t>
      </w:r>
      <w:r w:rsidRPr="00D03DFC">
        <w:t>require hospitalisation, skin grafts, cosmetic surgery and long periods of recovery</w:t>
      </w:r>
      <w:r>
        <w:t>.</w:t>
      </w:r>
      <w:r w:rsidR="00DC3C40">
        <w:t xml:space="preserve"> </w:t>
      </w:r>
      <w:r w:rsidR="00C37722">
        <w:t>Full thickness</w:t>
      </w:r>
      <w:r w:rsidR="00DC3C40">
        <w:t xml:space="preserve"> burns can result in permanent and disfiguring scars which may limit mobility when located near joints</w:t>
      </w:r>
      <w:r w:rsidR="00DF79FD">
        <w:t>, particularly</w:t>
      </w:r>
      <w:r w:rsidR="00DC3C40">
        <w:t xml:space="preserve"> fingers</w:t>
      </w:r>
      <w:r w:rsidR="00DF79FD">
        <w:t>.</w:t>
      </w:r>
    </w:p>
    <w:p w:rsidR="00C67B86" w:rsidRPr="00C67B86" w:rsidRDefault="00C67B86" w:rsidP="00C67B86">
      <w:pPr>
        <w:spacing w:before="120" w:after="240" w:line="220" w:lineRule="atLeast"/>
        <w:jc w:val="both"/>
        <w:rPr>
          <w:rFonts w:ascii="Arial" w:hAnsi="Arial" w:cs="Arial"/>
          <w:vertAlign w:val="superscript"/>
        </w:rPr>
      </w:pPr>
      <w:r w:rsidRPr="00411797">
        <w:rPr>
          <w:b/>
        </w:rPr>
        <w:t>Table 1</w:t>
      </w:r>
      <w:r w:rsidRPr="00C67B86">
        <w:t xml:space="preserve"> - This table illustrates how long it takes to </w:t>
      </w:r>
      <w:r>
        <w:t>sustain</w:t>
      </w:r>
      <w:r w:rsidRPr="00C67B86">
        <w:t xml:space="preserve"> a full thickness burn</w:t>
      </w:r>
      <w:r>
        <w:rPr>
          <w:rStyle w:val="FootnoteReference"/>
        </w:rPr>
        <w:footnoteReference w:id="3"/>
      </w:r>
      <w:r w:rsidRPr="00C67B86">
        <w:t xml:space="preserve"> from water at a range of different temperatures</w:t>
      </w:r>
      <w:r>
        <w:t>.</w:t>
      </w:r>
      <w:r w:rsidRPr="00C67B86">
        <w:rPr>
          <w:vertAlign w:val="superscript"/>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tblGrid>
      <w:tr w:rsidR="00C67B86" w:rsidRPr="00ED5127" w:rsidTr="00C67B86">
        <w:tc>
          <w:tcPr>
            <w:tcW w:w="2410" w:type="dxa"/>
            <w:tcBorders>
              <w:top w:val="single" w:sz="4" w:space="0" w:color="auto"/>
              <w:left w:val="single" w:sz="4" w:space="0" w:color="auto"/>
              <w:bottom w:val="single" w:sz="4" w:space="0" w:color="auto"/>
              <w:right w:val="single" w:sz="4" w:space="0" w:color="auto"/>
            </w:tcBorders>
            <w:shd w:val="clear" w:color="auto" w:fill="E0E0E0"/>
            <w:hideMark/>
          </w:tcPr>
          <w:p w:rsidR="00C67B86" w:rsidRPr="00ED5127" w:rsidRDefault="00C67B86" w:rsidP="00C67B86">
            <w:pPr>
              <w:spacing w:before="40" w:after="40"/>
              <w:jc w:val="center"/>
              <w:rPr>
                <w:rFonts w:ascii="Arial" w:hAnsi="Arial" w:cs="Arial"/>
                <w:b/>
                <w:sz w:val="20"/>
                <w:szCs w:val="20"/>
              </w:rPr>
            </w:pPr>
            <w:r w:rsidRPr="00ED5127">
              <w:rPr>
                <w:rFonts w:ascii="Arial" w:hAnsi="Arial" w:cs="Arial"/>
                <w:b/>
                <w:sz w:val="20"/>
                <w:szCs w:val="20"/>
              </w:rPr>
              <w:t>Water Temperature</w:t>
            </w:r>
          </w:p>
        </w:tc>
        <w:tc>
          <w:tcPr>
            <w:tcW w:w="2835" w:type="dxa"/>
            <w:tcBorders>
              <w:top w:val="single" w:sz="4" w:space="0" w:color="auto"/>
              <w:left w:val="single" w:sz="4" w:space="0" w:color="auto"/>
              <w:bottom w:val="single" w:sz="4" w:space="0" w:color="auto"/>
              <w:right w:val="single" w:sz="4" w:space="0" w:color="auto"/>
            </w:tcBorders>
            <w:shd w:val="clear" w:color="auto" w:fill="E0E0E0"/>
            <w:hideMark/>
          </w:tcPr>
          <w:p w:rsidR="00C67B86" w:rsidRPr="00ED5127" w:rsidRDefault="00C67B86" w:rsidP="00C67B86">
            <w:pPr>
              <w:spacing w:before="40" w:after="40"/>
              <w:jc w:val="center"/>
              <w:rPr>
                <w:rFonts w:ascii="Arial" w:hAnsi="Arial" w:cs="Arial"/>
                <w:b/>
                <w:sz w:val="20"/>
                <w:szCs w:val="20"/>
              </w:rPr>
            </w:pPr>
            <w:r w:rsidRPr="00ED5127">
              <w:rPr>
                <w:rFonts w:ascii="Arial" w:hAnsi="Arial" w:cs="Arial"/>
                <w:b/>
                <w:sz w:val="20"/>
                <w:szCs w:val="20"/>
              </w:rPr>
              <w:t>Exposure Period</w:t>
            </w:r>
          </w:p>
        </w:tc>
      </w:tr>
      <w:tr w:rsidR="00C67B86" w:rsidRPr="00ED5127" w:rsidTr="00C67B86">
        <w:tc>
          <w:tcPr>
            <w:tcW w:w="2410"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65 C</w:t>
            </w:r>
          </w:p>
        </w:tc>
        <w:tc>
          <w:tcPr>
            <w:tcW w:w="2835"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less than 1 second</w:t>
            </w:r>
          </w:p>
        </w:tc>
      </w:tr>
      <w:tr w:rsidR="00C67B86" w:rsidRPr="00ED5127" w:rsidTr="00C67B86">
        <w:tc>
          <w:tcPr>
            <w:tcW w:w="2410"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60 C</w:t>
            </w:r>
          </w:p>
        </w:tc>
        <w:tc>
          <w:tcPr>
            <w:tcW w:w="2835"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5 seconds</w:t>
            </w:r>
          </w:p>
        </w:tc>
      </w:tr>
      <w:tr w:rsidR="00C67B86" w:rsidRPr="00ED5127" w:rsidTr="00C67B86">
        <w:tc>
          <w:tcPr>
            <w:tcW w:w="2410"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55 C</w:t>
            </w:r>
          </w:p>
        </w:tc>
        <w:tc>
          <w:tcPr>
            <w:tcW w:w="2835"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30 seconds</w:t>
            </w:r>
          </w:p>
        </w:tc>
      </w:tr>
      <w:tr w:rsidR="00C67B86" w:rsidRPr="00ED5127" w:rsidTr="00C67B86">
        <w:tc>
          <w:tcPr>
            <w:tcW w:w="2410"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50 C</w:t>
            </w:r>
          </w:p>
        </w:tc>
        <w:tc>
          <w:tcPr>
            <w:tcW w:w="2835" w:type="dxa"/>
            <w:tcBorders>
              <w:top w:val="single" w:sz="4" w:space="0" w:color="auto"/>
              <w:left w:val="single" w:sz="4" w:space="0" w:color="auto"/>
              <w:bottom w:val="single" w:sz="4" w:space="0" w:color="auto"/>
              <w:right w:val="single" w:sz="4" w:space="0" w:color="auto"/>
            </w:tcBorders>
            <w:hideMark/>
          </w:tcPr>
          <w:p w:rsidR="00C67B86" w:rsidRPr="00ED5127" w:rsidRDefault="00C67B86" w:rsidP="00C67B86">
            <w:pPr>
              <w:spacing w:before="40" w:after="40"/>
              <w:jc w:val="center"/>
              <w:rPr>
                <w:rFonts w:ascii="Arial" w:hAnsi="Arial" w:cs="Arial"/>
                <w:sz w:val="20"/>
                <w:szCs w:val="20"/>
              </w:rPr>
            </w:pPr>
            <w:r w:rsidRPr="00ED5127">
              <w:rPr>
                <w:rFonts w:ascii="Arial" w:hAnsi="Arial" w:cs="Arial"/>
                <w:sz w:val="20"/>
                <w:szCs w:val="20"/>
              </w:rPr>
              <w:t>5 minutes</w:t>
            </w:r>
          </w:p>
        </w:tc>
      </w:tr>
    </w:tbl>
    <w:p w:rsidR="00276CC1" w:rsidRPr="005C1860" w:rsidRDefault="00276CC1" w:rsidP="000E6294">
      <w:pPr>
        <w:rPr>
          <w:sz w:val="24"/>
          <w:szCs w:val="24"/>
        </w:rPr>
      </w:pPr>
    </w:p>
    <w:p w:rsidR="002801FF" w:rsidRPr="00E93A59" w:rsidRDefault="002801FF" w:rsidP="000D61BD">
      <w:pPr>
        <w:pStyle w:val="Heading3"/>
      </w:pPr>
      <w:bookmarkStart w:id="12" w:name="_Toc361837031"/>
      <w:r w:rsidRPr="00E93A59">
        <w:lastRenderedPageBreak/>
        <w:t xml:space="preserve">Injury </w:t>
      </w:r>
      <w:r w:rsidR="00880B17">
        <w:t>d</w:t>
      </w:r>
      <w:r w:rsidRPr="00E93A59">
        <w:t>ata</w:t>
      </w:r>
      <w:bookmarkEnd w:id="12"/>
    </w:p>
    <w:p w:rsidR="00B62A0C" w:rsidRDefault="002801FF" w:rsidP="00411797">
      <w:pPr>
        <w:autoSpaceDE w:val="0"/>
        <w:autoSpaceDN w:val="0"/>
        <w:adjustRightInd w:val="0"/>
        <w:spacing w:after="240"/>
      </w:pPr>
      <w:r>
        <w:t xml:space="preserve">In the </w:t>
      </w:r>
      <w:r w:rsidR="002953F0">
        <w:t>five</w:t>
      </w:r>
      <w:r>
        <w:t xml:space="preserve"> years </w:t>
      </w:r>
      <w:r w:rsidRPr="00341AE8">
        <w:t xml:space="preserve">since </w:t>
      </w:r>
      <w:r w:rsidR="00880B17">
        <w:t xml:space="preserve">the Standard </w:t>
      </w:r>
      <w:r>
        <w:t>was implemented</w:t>
      </w:r>
      <w:r w:rsidR="00D53A53">
        <w:t xml:space="preserve">, </w:t>
      </w:r>
      <w:r w:rsidR="00F83577">
        <w:t xml:space="preserve">there have been no </w:t>
      </w:r>
      <w:r w:rsidR="004C6552">
        <w:t xml:space="preserve">known </w:t>
      </w:r>
      <w:r w:rsidR="00F83577">
        <w:t>deaths caused by hot water bottles in Australia</w:t>
      </w:r>
      <w:r w:rsidR="00D53A53">
        <w:t xml:space="preserve">, </w:t>
      </w:r>
      <w:r w:rsidR="00880B17">
        <w:t xml:space="preserve">though serious </w:t>
      </w:r>
      <w:r w:rsidR="0036736B">
        <w:t xml:space="preserve">burn </w:t>
      </w:r>
      <w:r w:rsidR="00880B17">
        <w:t>injuries continue to occur</w:t>
      </w:r>
      <w:r w:rsidR="006367B1" w:rsidRPr="00C74EC6">
        <w:t>.</w:t>
      </w:r>
      <w:r w:rsidR="00C74EC6" w:rsidRPr="00C74EC6">
        <w:t xml:space="preserve"> </w:t>
      </w:r>
    </w:p>
    <w:p w:rsidR="008237B5" w:rsidRDefault="00B62A0C" w:rsidP="00B62A0C">
      <w:pPr>
        <w:autoSpaceDE w:val="0"/>
        <w:autoSpaceDN w:val="0"/>
        <w:adjustRightInd w:val="0"/>
        <w:spacing w:after="240"/>
      </w:pPr>
      <w:r w:rsidRPr="006367B1">
        <w:t>While there is currently no nationally coordinated collection of injury data that would allow a direct measure of total injuries in Australia associated with hot water bottles, data available to organisations such as</w:t>
      </w:r>
      <w:r w:rsidR="008237B5">
        <w:t xml:space="preserve"> the</w:t>
      </w:r>
      <w:r w:rsidRPr="006367B1">
        <w:t xml:space="preserve"> Monash University Accident Research Centre (MUARC) </w:t>
      </w:r>
      <w:r>
        <w:t xml:space="preserve">and the NSW Statewide Burns Injury Service (NSW SBIS) </w:t>
      </w:r>
      <w:r w:rsidRPr="006367B1">
        <w:t xml:space="preserve">give an indication of the </w:t>
      </w:r>
      <w:r w:rsidR="008237B5">
        <w:t xml:space="preserve">level and type </w:t>
      </w:r>
      <w:r w:rsidRPr="006367B1">
        <w:t xml:space="preserve">injuries being sustained. </w:t>
      </w:r>
    </w:p>
    <w:p w:rsidR="00B62A0C" w:rsidRDefault="00B62A0C" w:rsidP="00B62A0C">
      <w:pPr>
        <w:autoSpaceDE w:val="0"/>
        <w:autoSpaceDN w:val="0"/>
        <w:adjustRightInd w:val="0"/>
        <w:spacing w:after="240"/>
      </w:pPr>
      <w:r w:rsidRPr="006367B1">
        <w:t>MUARC analyses data collected by the Victorian Injury Surveillance Unit (VISU), from select major Victorian hospital emergency departments and provides a significant data sample.</w:t>
      </w:r>
      <w:r>
        <w:t xml:space="preserve"> Data provided by NSW SBIS is consistent with the Victorian data and also provides an indicative data sample.</w:t>
      </w:r>
    </w:p>
    <w:p w:rsidR="00C74EC6" w:rsidRDefault="00C74EC6" w:rsidP="00411797">
      <w:pPr>
        <w:autoSpaceDE w:val="0"/>
        <w:autoSpaceDN w:val="0"/>
        <w:adjustRightInd w:val="0"/>
        <w:spacing w:after="240"/>
      </w:pPr>
      <w:r w:rsidRPr="00C74EC6">
        <w:t xml:space="preserve">Data from </w:t>
      </w:r>
      <w:r w:rsidR="00B62A0C">
        <w:t xml:space="preserve">these datasets </w:t>
      </w:r>
      <w:r w:rsidRPr="00C74EC6">
        <w:t xml:space="preserve">suggests that hot water bottle burns account for </w:t>
      </w:r>
      <w:r w:rsidR="000D069D">
        <w:t>approximately</w:t>
      </w:r>
      <w:r w:rsidRPr="00C74EC6">
        <w:t xml:space="preserve"> 3</w:t>
      </w:r>
      <w:r w:rsidR="00411797">
        <w:t>6</w:t>
      </w:r>
      <w:r w:rsidRPr="00C74EC6">
        <w:t xml:space="preserve"> admissions </w:t>
      </w:r>
      <w:r w:rsidR="00411797">
        <w:t>annually in Victoria and a similar number in NSW.</w:t>
      </w:r>
      <w:r w:rsidRPr="00C74EC6">
        <w:t xml:space="preserve"> </w:t>
      </w:r>
    </w:p>
    <w:p w:rsidR="008237B5" w:rsidRDefault="008A420A" w:rsidP="00506573">
      <w:pPr>
        <w:spacing w:before="120" w:after="240" w:line="220" w:lineRule="atLeast"/>
        <w:jc w:val="both"/>
      </w:pPr>
      <w:r>
        <w:t>F</w:t>
      </w:r>
      <w:r w:rsidR="008237B5">
        <w:t xml:space="preserve">rom 2004 to 2012, hospital presentations </w:t>
      </w:r>
      <w:r>
        <w:t xml:space="preserve">in Victoria </w:t>
      </w:r>
      <w:r w:rsidR="008237B5">
        <w:t xml:space="preserve">peaked at 45 in 2005 and dipped to 28 </w:t>
      </w:r>
      <w:r w:rsidR="008237B5" w:rsidRPr="00FD7D37">
        <w:t xml:space="preserve">presentations </w:t>
      </w:r>
      <w:r w:rsidR="008237B5">
        <w:t>during 2010</w:t>
      </w:r>
      <w:r w:rsidR="008237B5" w:rsidRPr="00FD7D37">
        <w:t>.</w:t>
      </w:r>
      <w:r w:rsidR="008237B5">
        <w:t xml:space="preserve"> A spike in presentations in the years following the introduction of the standard </w:t>
      </w:r>
      <w:r>
        <w:t>(</w:t>
      </w:r>
      <w:r w:rsidR="008237B5">
        <w:t>2008 and 2009</w:t>
      </w:r>
      <w:r>
        <w:t>)</w:t>
      </w:r>
      <w:r w:rsidR="008237B5">
        <w:t xml:space="preserve"> coincides with poor levels of compliance found in the market at that time</w:t>
      </w:r>
      <w:r w:rsidR="006A29C0">
        <w:t>,</w:t>
      </w:r>
      <w:r w:rsidR="008237B5">
        <w:t xml:space="preserve"> which lead to the recall of 250,000 bottles</w:t>
      </w:r>
      <w:r w:rsidR="004C6552">
        <w:t xml:space="preserve"> in 2009</w:t>
      </w:r>
      <w:r w:rsidR="008237B5">
        <w:t>. A modest drop in presentations from 2010 onwards coincides with the ACCC’s “Hidden Dangers” hot water bottle safety campaign, which had a combined estimated audience in print, television, radio and online of 500,000.</w:t>
      </w:r>
    </w:p>
    <w:p w:rsidR="00154DEB" w:rsidRDefault="00506573" w:rsidP="00506573">
      <w:pPr>
        <w:spacing w:after="240"/>
      </w:pPr>
      <w:r w:rsidRPr="00506573">
        <w:rPr>
          <w:b/>
        </w:rPr>
        <w:t>Graph 1:</w:t>
      </w:r>
      <w:r w:rsidRPr="008237B5">
        <w:rPr>
          <w:i/>
        </w:rPr>
        <w:t xml:space="preserve"> </w:t>
      </w:r>
      <w:r w:rsidRPr="00506573">
        <w:t>Total yearly presentations 2004 to 2012 – VIC</w:t>
      </w:r>
    </w:p>
    <w:p w:rsidR="00154DEB" w:rsidRDefault="00CF356D" w:rsidP="008237B5">
      <w:pPr>
        <w:spacing w:line="220" w:lineRule="atLeast"/>
        <w:jc w:val="both"/>
        <w:rPr>
          <w:noProof/>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98.65pt;margin-top:234.1pt;width:107.05pt;height:31.1pt;flip:x y;z-index:251658240" o:connectortype="straight">
            <v:stroke endarrow="block"/>
          </v:shape>
        </w:pict>
      </w:r>
      <w:r>
        <w:rPr>
          <w:noProof/>
        </w:rPr>
        <w:pict>
          <v:shape id="_x0000_i1026" type="#_x0000_t75" style="width:360.95pt;height:244.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4pY02wAAAAUBAAAPAAAAZHJzL2Rvd25y&#10;ZXYueG1sTI/BTsMwEETvSPyDtUjcqEMKtIQ4FSD4AAotHDfxNokar0PstoGv78IFLiONZjXzNl+M&#10;rlN7GkLr2cDlJAFFXHnbcm3g7fX5Yg4qRGSLnWcy8EUBFsXpSY6Z9Qd+of0y1kpKOGRooImxz7QO&#10;VUMOw8T3xJJt/OAwih1qbQc8SLnrdJokN9phy7LQYE+PDVXb5c4ZWD2kWM6/1xv/Wab1x/t0O9Lq&#10;yZjzs/H+DlSkMf4dww++oEMhTKXfsQ2qMyCPxF+VbJZOxZYGrm6Ta9BFrv/TF0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">
            <v:imagedata r:id="rId15" o:title="" cropbottom="-54f"/>
            <o:lock v:ext="edit" aspectratio="f"/>
          </v:shape>
        </w:pict>
      </w:r>
    </w:p>
    <w:p w:rsidR="009A70FF" w:rsidRDefault="009A70FF" w:rsidP="009A70FF">
      <w:pPr>
        <w:spacing w:line="220" w:lineRule="atLeast"/>
        <w:jc w:val="right"/>
        <w:rPr>
          <w:b/>
          <w:noProof/>
        </w:rPr>
      </w:pPr>
    </w:p>
    <w:p w:rsidR="009A70FF" w:rsidRPr="009A70FF" w:rsidRDefault="009A70FF" w:rsidP="009A70FF">
      <w:pPr>
        <w:spacing w:after="240" w:line="220" w:lineRule="atLeast"/>
        <w:jc w:val="right"/>
        <w:rPr>
          <w:b/>
        </w:rPr>
      </w:pPr>
      <w:r w:rsidRPr="009A70FF">
        <w:rPr>
          <w:b/>
          <w:noProof/>
        </w:rPr>
        <w:t>Standard introduced</w:t>
      </w:r>
      <w:r>
        <w:rPr>
          <w:b/>
          <w:noProof/>
        </w:rPr>
        <w:t xml:space="preserve"> June 2008</w:t>
      </w:r>
    </w:p>
    <w:p w:rsidR="008237B5" w:rsidRDefault="008237B5" w:rsidP="008237B5">
      <w:pPr>
        <w:spacing w:after="240"/>
      </w:pPr>
      <w:r>
        <w:t xml:space="preserve">A significant proportion of burn injury descriptions cite incidents which </w:t>
      </w:r>
      <w:r w:rsidR="008D6C3F">
        <w:t>allude to possible hot water bottle</w:t>
      </w:r>
      <w:r>
        <w:t xml:space="preserve"> misuse </w:t>
      </w:r>
      <w:r w:rsidR="008D6C3F">
        <w:t>from</w:t>
      </w:r>
      <w:r>
        <w:t xml:space="preserve"> lack of awareness of correct usage, a user sitting on, jumping on or dropping a hot water bottle. The frequency of scald injuries involving a user filling a hot water bottle suggests that some consumers may be holding bottles incorrectly while filling, filling bottles too quickly, or expelling the air (and water) by placing bottles against their bodies, instead of on a flat surface such </w:t>
      </w:r>
      <w:r>
        <w:lastRenderedPageBreak/>
        <w:t>as a sink or counter.</w:t>
      </w:r>
      <w:r w:rsidR="00F31D41">
        <w:t xml:space="preserve"> </w:t>
      </w:r>
      <w:r w:rsidR="008D6C3F">
        <w:t xml:space="preserve">The persistence of these </w:t>
      </w:r>
      <w:r w:rsidR="008C178A">
        <w:t>presentations reinforces</w:t>
      </w:r>
      <w:r w:rsidR="00F31D41">
        <w:t xml:space="preserve"> the need for ongoing consumer education.</w:t>
      </w:r>
    </w:p>
    <w:p w:rsidR="008D13B1" w:rsidRDefault="00B62A0C" w:rsidP="008C178A">
      <w:pPr>
        <w:spacing w:after="240"/>
      </w:pPr>
      <w:r w:rsidRPr="00AA1A29">
        <w:t xml:space="preserve">The NSW </w:t>
      </w:r>
      <w:r>
        <w:t>SBIS</w:t>
      </w:r>
      <w:r w:rsidRPr="00AA1A29">
        <w:t xml:space="preserve"> database was queried for the period 01/01/2006 to 30/06/2010</w:t>
      </w:r>
      <w:r>
        <w:t xml:space="preserve"> (4.5 years) to identify </w:t>
      </w:r>
      <w:r w:rsidRPr="00AA1A29">
        <w:t>patients treated in a NSW Burn Unit following injury from hot water bottle</w:t>
      </w:r>
      <w:r>
        <w:t>s</w:t>
      </w:r>
      <w:r w:rsidRPr="00B329C3">
        <w:t xml:space="preserve">. </w:t>
      </w:r>
      <w:r>
        <w:t xml:space="preserve">Of the 126 presentations recorded </w:t>
      </w:r>
      <w:r w:rsidR="00D73E30">
        <w:t xml:space="preserve">by participating </w:t>
      </w:r>
      <w:r w:rsidR="008237B5">
        <w:t xml:space="preserve">NSW </w:t>
      </w:r>
      <w:r w:rsidR="00D73E30">
        <w:t xml:space="preserve">hospitals </w:t>
      </w:r>
      <w:r>
        <w:t>for the period</w:t>
      </w:r>
      <w:r w:rsidR="00D73E30">
        <w:t>,</w:t>
      </w:r>
      <w:r>
        <w:t xml:space="preserve"> 44 patients were admitted to hospital with an average length of stay of </w:t>
      </w:r>
      <w:r w:rsidR="00D73E30">
        <w:t>nine</w:t>
      </w:r>
      <w:r>
        <w:t xml:space="preserve"> days and 28 patients required surgery. </w:t>
      </w:r>
      <w:r w:rsidR="00F31D41">
        <w:t>Other information includes:</w:t>
      </w:r>
    </w:p>
    <w:p w:rsidR="009D63A4" w:rsidRDefault="008D13B1">
      <w:pPr>
        <w:numPr>
          <w:ilvl w:val="0"/>
          <w:numId w:val="41"/>
        </w:numPr>
      </w:pPr>
      <w:r>
        <w:t>approximately</w:t>
      </w:r>
      <w:r w:rsidR="00D73E30" w:rsidRPr="00B329C3">
        <w:t xml:space="preserve"> 70 per</w:t>
      </w:r>
      <w:r w:rsidR="00D163CF">
        <w:t xml:space="preserve"> </w:t>
      </w:r>
      <w:r w:rsidR="00D73E30" w:rsidRPr="00B329C3">
        <w:t xml:space="preserve">cent of </w:t>
      </w:r>
      <w:r w:rsidR="00D73E30">
        <w:t xml:space="preserve">patients were female. This </w:t>
      </w:r>
      <w:r w:rsidR="00D73E30" w:rsidRPr="00B329C3">
        <w:t>is consistent</w:t>
      </w:r>
      <w:r w:rsidR="00D73E30">
        <w:t xml:space="preserve"> with the rate for Victorian and other Australian hospitals</w:t>
      </w:r>
    </w:p>
    <w:p w:rsidR="009D63A4" w:rsidRDefault="00694EEA">
      <w:pPr>
        <w:numPr>
          <w:ilvl w:val="0"/>
          <w:numId w:val="41"/>
        </w:numPr>
      </w:pPr>
      <w:r>
        <w:t xml:space="preserve">burns ranged in size </w:t>
      </w:r>
      <w:r w:rsidR="00D73E30">
        <w:t>u</w:t>
      </w:r>
      <w:r w:rsidR="00B62A0C">
        <w:t xml:space="preserve">p to 14% of the total body surface area </w:t>
      </w:r>
    </w:p>
    <w:p w:rsidR="009D63A4" w:rsidRDefault="008D13B1">
      <w:pPr>
        <w:numPr>
          <w:ilvl w:val="0"/>
          <w:numId w:val="41"/>
        </w:numPr>
      </w:pPr>
      <w:r>
        <w:t>the single largest group of</w:t>
      </w:r>
      <w:r w:rsidR="00B62A0C">
        <w:t xml:space="preserve"> patients (21%) were in the 40 to 49 year</w:t>
      </w:r>
      <w:r>
        <w:t>s</w:t>
      </w:r>
      <w:r w:rsidR="00B62A0C">
        <w:t xml:space="preserve"> </w:t>
      </w:r>
      <w:r>
        <w:t xml:space="preserve">bracket </w:t>
      </w:r>
      <w:r w:rsidR="008237B5">
        <w:t>(</w:t>
      </w:r>
      <w:r>
        <w:t>see T</w:t>
      </w:r>
      <w:r w:rsidR="00B62A0C">
        <w:t>able 2 for the number of injuries by age range</w:t>
      </w:r>
      <w:r w:rsidR="008237B5">
        <w:t>)</w:t>
      </w:r>
      <w:r w:rsidR="00B62A0C">
        <w:t xml:space="preserve"> </w:t>
      </w:r>
    </w:p>
    <w:p w:rsidR="009D63A4" w:rsidRDefault="00B62A0C">
      <w:pPr>
        <w:numPr>
          <w:ilvl w:val="0"/>
          <w:numId w:val="41"/>
        </w:numPr>
      </w:pPr>
      <w:r>
        <w:t xml:space="preserve">90 </w:t>
      </w:r>
      <w:r w:rsidR="008237B5">
        <w:t xml:space="preserve">of the 126 presentations </w:t>
      </w:r>
      <w:r>
        <w:t>occurred in the months from May to August</w:t>
      </w:r>
    </w:p>
    <w:p w:rsidR="009D63A4" w:rsidRDefault="00B62A0C">
      <w:pPr>
        <w:numPr>
          <w:ilvl w:val="0"/>
          <w:numId w:val="41"/>
        </w:numPr>
      </w:pPr>
      <w:r>
        <w:t>31 were specified as occurring in the bedroom</w:t>
      </w:r>
    </w:p>
    <w:p w:rsidR="009D63A4" w:rsidRDefault="008237B5" w:rsidP="00506573">
      <w:pPr>
        <w:numPr>
          <w:ilvl w:val="0"/>
          <w:numId w:val="41"/>
        </w:numPr>
        <w:spacing w:after="240"/>
      </w:pPr>
      <w:r>
        <w:t>m</w:t>
      </w:r>
      <w:r w:rsidR="00B62A0C">
        <w:t xml:space="preserve">ost injuries </w:t>
      </w:r>
      <w:r>
        <w:t xml:space="preserve">appeared to </w:t>
      </w:r>
      <w:r w:rsidR="00B62A0C">
        <w:t>occur because the hot water bottles failed in some way</w:t>
      </w:r>
      <w:r w:rsidR="008D13B1">
        <w:t xml:space="preserve"> </w:t>
      </w:r>
      <w:r>
        <w:t>(</w:t>
      </w:r>
      <w:r w:rsidR="008D13B1">
        <w:t>see T</w:t>
      </w:r>
      <w:r w:rsidR="00B62A0C">
        <w:t>able 3</w:t>
      </w:r>
      <w:r>
        <w:t>)</w:t>
      </w:r>
    </w:p>
    <w:p w:rsidR="00D53A53" w:rsidRDefault="0036736B" w:rsidP="00D53A53">
      <w:pPr>
        <w:autoSpaceDE w:val="0"/>
        <w:autoSpaceDN w:val="0"/>
        <w:adjustRightInd w:val="0"/>
        <w:spacing w:after="240"/>
      </w:pPr>
      <w:r>
        <w:t xml:space="preserve">The number of injuries associated with hot water bottles reported show small to moderate fluctuations from year to year. </w:t>
      </w:r>
      <w:r w:rsidR="004D006F">
        <w:t>Although the ACCC has not analysed th</w:t>
      </w:r>
      <w:r w:rsidR="008D6C3F">
        <w:t>e</w:t>
      </w:r>
      <w:r w:rsidR="004D006F">
        <w:t>s</w:t>
      </w:r>
      <w:r w:rsidR="008D6C3F">
        <w:t>e fluctuations</w:t>
      </w:r>
      <w:r w:rsidR="004D006F">
        <w:t xml:space="preserve"> in detail, it would be reasonable to expect a correlation between </w:t>
      </w:r>
      <w:r w:rsidR="00D53A53">
        <w:t xml:space="preserve">number of injuries </w:t>
      </w:r>
      <w:r w:rsidR="004D006F">
        <w:t xml:space="preserve">and the </w:t>
      </w:r>
      <w:r w:rsidR="00D53A53">
        <w:t xml:space="preserve">weather, with hot water bottle use (and therefore injuries) likely to be higher in colder winters than in milder years. </w:t>
      </w:r>
    </w:p>
    <w:p w:rsidR="0036736B" w:rsidRDefault="00D163CF" w:rsidP="00C74EC6">
      <w:pPr>
        <w:autoSpaceDE w:val="0"/>
        <w:autoSpaceDN w:val="0"/>
        <w:adjustRightInd w:val="0"/>
      </w:pPr>
      <w:r>
        <w:t>It is difficult to draw general conclusions from an analysis of a</w:t>
      </w:r>
      <w:r w:rsidR="0036736B">
        <w:t xml:space="preserve">vailable injury data due to </w:t>
      </w:r>
      <w:r w:rsidR="00741D28">
        <w:t>a number o</w:t>
      </w:r>
      <w:r w:rsidR="00D25FE8">
        <w:t>f factors</w:t>
      </w:r>
      <w:r w:rsidR="0036736B">
        <w:t>, including:</w:t>
      </w:r>
      <w:r w:rsidR="00D25FE8">
        <w:t xml:space="preserve"> </w:t>
      </w:r>
    </w:p>
    <w:p w:rsidR="0036736B" w:rsidRDefault="00C74EC6" w:rsidP="0036736B">
      <w:pPr>
        <w:numPr>
          <w:ilvl w:val="0"/>
          <w:numId w:val="37"/>
        </w:numPr>
        <w:autoSpaceDE w:val="0"/>
        <w:autoSpaceDN w:val="0"/>
        <w:adjustRightInd w:val="0"/>
      </w:pPr>
      <w:r>
        <w:t xml:space="preserve">changes to </w:t>
      </w:r>
      <w:r w:rsidR="00D25FE8">
        <w:t xml:space="preserve">the </w:t>
      </w:r>
      <w:r w:rsidR="00EB1F2F">
        <w:t>practices for collecting and recording</w:t>
      </w:r>
      <w:r w:rsidR="00D25FE8">
        <w:t xml:space="preserve"> data </w:t>
      </w:r>
      <w:r w:rsidR="00EB1F2F">
        <w:t>during a reporting period</w:t>
      </w:r>
    </w:p>
    <w:p w:rsidR="0036736B" w:rsidRDefault="004567CE" w:rsidP="0036736B">
      <w:pPr>
        <w:numPr>
          <w:ilvl w:val="0"/>
          <w:numId w:val="37"/>
        </w:numPr>
        <w:autoSpaceDE w:val="0"/>
        <w:autoSpaceDN w:val="0"/>
        <w:adjustRightInd w:val="0"/>
      </w:pPr>
      <w:r>
        <w:t>inconsistency in the</w:t>
      </w:r>
      <w:r w:rsidR="00D25FE8">
        <w:t xml:space="preserve"> cod</w:t>
      </w:r>
      <w:r>
        <w:t>ing of the data</w:t>
      </w:r>
      <w:r w:rsidR="00EB1F2F">
        <w:t xml:space="preserve"> by individuals</w:t>
      </w:r>
      <w:r w:rsidR="00D25FE8">
        <w:t xml:space="preserve"> </w:t>
      </w:r>
    </w:p>
    <w:p w:rsidR="0036736B" w:rsidRDefault="00D25FE8" w:rsidP="0036736B">
      <w:pPr>
        <w:numPr>
          <w:ilvl w:val="0"/>
          <w:numId w:val="37"/>
        </w:numPr>
        <w:autoSpaceDE w:val="0"/>
        <w:autoSpaceDN w:val="0"/>
        <w:adjustRightInd w:val="0"/>
      </w:pPr>
      <w:r>
        <w:t>whether hot water bottles are mentioned in the narratives</w:t>
      </w:r>
      <w:r w:rsidR="00FD7D37">
        <w:t>, e.g. ‘scalded by hot water’</w:t>
      </w:r>
      <w:r>
        <w:t xml:space="preserve"> </w:t>
      </w:r>
    </w:p>
    <w:p w:rsidR="0036736B" w:rsidRDefault="00D25FE8" w:rsidP="00411797">
      <w:pPr>
        <w:numPr>
          <w:ilvl w:val="0"/>
          <w:numId w:val="37"/>
        </w:numPr>
        <w:autoSpaceDE w:val="0"/>
        <w:autoSpaceDN w:val="0"/>
        <w:adjustRightInd w:val="0"/>
        <w:spacing w:after="240"/>
        <w:ind w:left="714" w:hanging="357"/>
      </w:pPr>
      <w:r>
        <w:t>changes to the level</w:t>
      </w:r>
      <w:r w:rsidR="00745966">
        <w:t>, accuracy</w:t>
      </w:r>
      <w:r>
        <w:t xml:space="preserve"> and type of data collected through hospitals over time</w:t>
      </w:r>
      <w:r w:rsidR="0036736B">
        <w:t>.</w:t>
      </w:r>
    </w:p>
    <w:p w:rsidR="008237B5" w:rsidRDefault="008237B5" w:rsidP="005C1860">
      <w:pPr>
        <w:rPr>
          <w:rFonts w:ascii="Arial" w:hAnsi="Arial" w:cs="Arial"/>
        </w:rPr>
        <w:sectPr w:rsidR="008237B5" w:rsidSect="00EB16F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rsidR="00AA1A29" w:rsidRDefault="00AA1A29" w:rsidP="00AA1A29">
      <w:pPr>
        <w:rPr>
          <w:rFonts w:ascii="Arial" w:hAnsi="Arial" w:cs="Arial"/>
        </w:rPr>
      </w:pPr>
    </w:p>
    <w:p w:rsidR="00AA1A29" w:rsidRPr="00411797" w:rsidRDefault="00AA1A29" w:rsidP="00ED220B">
      <w:pPr>
        <w:spacing w:after="240"/>
      </w:pPr>
      <w:r w:rsidRPr="00411797">
        <w:rPr>
          <w:b/>
        </w:rPr>
        <w:t xml:space="preserve">Table </w:t>
      </w:r>
      <w:r w:rsidR="00ED220B">
        <w:rPr>
          <w:b/>
        </w:rPr>
        <w:t>2</w:t>
      </w:r>
      <w:r w:rsidRPr="00F61D21">
        <w:rPr>
          <w:rFonts w:ascii="Arial" w:hAnsi="Arial" w:cs="Arial"/>
          <w:b/>
          <w:bCs/>
        </w:rPr>
        <w:t xml:space="preserve"> </w:t>
      </w:r>
      <w:r w:rsidR="00BF58C6">
        <w:rPr>
          <w:rFonts w:ascii="Arial" w:hAnsi="Arial" w:cs="Arial"/>
          <w:b/>
          <w:bCs/>
        </w:rPr>
        <w:t>–</w:t>
      </w:r>
      <w:r w:rsidRPr="00F61D21">
        <w:rPr>
          <w:rFonts w:ascii="Arial" w:hAnsi="Arial" w:cs="Arial"/>
          <w:b/>
          <w:bCs/>
        </w:rPr>
        <w:t xml:space="preserve"> </w:t>
      </w:r>
      <w:r w:rsidRPr="00411797">
        <w:t>N</w:t>
      </w:r>
      <w:r w:rsidR="00BF58C6" w:rsidRPr="00411797">
        <w:t>o.</w:t>
      </w:r>
      <w:r w:rsidRPr="00411797">
        <w:t xml:space="preserve"> of injuries by age range</w:t>
      </w:r>
    </w:p>
    <w:tbl>
      <w:tblPr>
        <w:tblW w:w="0" w:type="auto"/>
        <w:tblCellMar>
          <w:left w:w="0" w:type="dxa"/>
          <w:right w:w="0" w:type="dxa"/>
        </w:tblCellMar>
        <w:tblLook w:val="0000" w:firstRow="0" w:lastRow="0" w:firstColumn="0" w:lastColumn="0" w:noHBand="0" w:noVBand="0"/>
      </w:tblPr>
      <w:tblGrid>
        <w:gridCol w:w="2069"/>
        <w:gridCol w:w="2306"/>
      </w:tblGrid>
      <w:tr w:rsidR="00AA1A29" w:rsidRPr="00F61D21" w:rsidTr="00BF58C6">
        <w:tc>
          <w:tcPr>
            <w:tcW w:w="206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A1A29" w:rsidRPr="00F61D21" w:rsidRDefault="00AA1A29" w:rsidP="00AA1A29">
            <w:pPr>
              <w:jc w:val="center"/>
              <w:rPr>
                <w:rFonts w:ascii="Arial" w:hAnsi="Arial" w:cs="Arial"/>
                <w:b/>
                <w:bCs/>
              </w:rPr>
            </w:pPr>
            <w:r w:rsidRPr="00F61D21">
              <w:rPr>
                <w:rFonts w:ascii="Arial" w:hAnsi="Arial" w:cs="Arial"/>
                <w:b/>
                <w:bCs/>
              </w:rPr>
              <w:t>Age range</w:t>
            </w:r>
          </w:p>
        </w:tc>
        <w:tc>
          <w:tcPr>
            <w:tcW w:w="230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rsidR="00AA1A29" w:rsidRPr="00F61D21" w:rsidRDefault="00AA1A29" w:rsidP="00AA1A29">
            <w:pPr>
              <w:jc w:val="center"/>
              <w:rPr>
                <w:rFonts w:ascii="Arial" w:hAnsi="Arial" w:cs="Arial"/>
                <w:b/>
                <w:bCs/>
              </w:rPr>
            </w:pPr>
            <w:r w:rsidRPr="00F61D21">
              <w:rPr>
                <w:rFonts w:ascii="Arial" w:hAnsi="Arial" w:cs="Arial"/>
                <w:b/>
                <w:bCs/>
              </w:rPr>
              <w:t>Total</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0 - 9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17 (14%)</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10 - 19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16 (13%)</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20 - 29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24 (19%)</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30 - 39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19 (15%)</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40 - 49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26 (21%)</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50 - 59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8 (6%)</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60 - 69</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7 (5%)</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Over 70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9 (7%)</w:t>
            </w:r>
          </w:p>
        </w:tc>
      </w:tr>
      <w:tr w:rsidR="00AA1A29" w:rsidRPr="00F61D21" w:rsidTr="00BF58C6">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BF58C6" w:rsidP="00AA1A29">
            <w:pPr>
              <w:jc w:val="center"/>
              <w:rPr>
                <w:rFonts w:ascii="Arial" w:hAnsi="Arial" w:cs="Arial"/>
                <w:b/>
                <w:sz w:val="20"/>
                <w:szCs w:val="20"/>
              </w:rPr>
            </w:pPr>
            <w:r w:rsidRPr="00BF58C6">
              <w:rPr>
                <w:rFonts w:ascii="Arial" w:hAnsi="Arial" w:cs="Arial"/>
                <w:b/>
                <w:sz w:val="20"/>
                <w:szCs w:val="20"/>
              </w:rPr>
              <w:t>Total</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b/>
                <w:sz w:val="20"/>
                <w:szCs w:val="20"/>
              </w:rPr>
            </w:pPr>
            <w:r w:rsidRPr="00BF58C6">
              <w:rPr>
                <w:rFonts w:ascii="Arial" w:hAnsi="Arial" w:cs="Arial"/>
                <w:b/>
                <w:sz w:val="20"/>
                <w:szCs w:val="20"/>
              </w:rPr>
              <w:t>126</w:t>
            </w:r>
          </w:p>
        </w:tc>
      </w:tr>
    </w:tbl>
    <w:p w:rsidR="00BF58C6" w:rsidRPr="00BF58C6" w:rsidRDefault="00BF58C6" w:rsidP="00BF58C6">
      <w:pPr>
        <w:rPr>
          <w:rFonts w:ascii="Arial" w:hAnsi="Arial" w:cs="Arial"/>
          <w:bCs/>
        </w:rPr>
      </w:pPr>
    </w:p>
    <w:p w:rsidR="00BF58C6" w:rsidRPr="00411797" w:rsidRDefault="00BF58C6" w:rsidP="00ED220B">
      <w:pPr>
        <w:spacing w:after="240"/>
      </w:pPr>
      <w:r w:rsidRPr="00411797">
        <w:rPr>
          <w:b/>
        </w:rPr>
        <w:t xml:space="preserve">Table </w:t>
      </w:r>
      <w:r w:rsidR="00ED220B">
        <w:rPr>
          <w:b/>
        </w:rPr>
        <w:t>3</w:t>
      </w:r>
      <w:r w:rsidRPr="00411797">
        <w:rPr>
          <w:b/>
        </w:rPr>
        <w:t xml:space="preserve"> –</w:t>
      </w:r>
      <w:r w:rsidRPr="00F61D21">
        <w:rPr>
          <w:rFonts w:ascii="Arial" w:hAnsi="Arial" w:cs="Arial"/>
          <w:b/>
          <w:bCs/>
        </w:rPr>
        <w:t xml:space="preserve"> </w:t>
      </w:r>
      <w:r w:rsidRPr="00411797">
        <w:t>No. of injuries by cause</w:t>
      </w:r>
    </w:p>
    <w:tbl>
      <w:tblPr>
        <w:tblW w:w="0" w:type="auto"/>
        <w:tblCellMar>
          <w:left w:w="0" w:type="dxa"/>
          <w:right w:w="0" w:type="dxa"/>
        </w:tblCellMar>
        <w:tblLook w:val="0000" w:firstRow="0" w:lastRow="0" w:firstColumn="0" w:lastColumn="0" w:noHBand="0" w:noVBand="0"/>
      </w:tblPr>
      <w:tblGrid>
        <w:gridCol w:w="2116"/>
        <w:gridCol w:w="1539"/>
      </w:tblGrid>
      <w:tr w:rsidR="00BF58C6" w:rsidRPr="00F61D21" w:rsidTr="00BF58C6">
        <w:tc>
          <w:tcPr>
            <w:tcW w:w="2116"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F58C6" w:rsidRPr="00F61D21" w:rsidRDefault="00BF58C6" w:rsidP="00BF58C6">
            <w:pPr>
              <w:jc w:val="center"/>
              <w:rPr>
                <w:rFonts w:ascii="Arial" w:hAnsi="Arial" w:cs="Arial"/>
                <w:b/>
                <w:bCs/>
              </w:rPr>
            </w:pPr>
            <w:r w:rsidRPr="00F61D21">
              <w:rPr>
                <w:rFonts w:ascii="Arial" w:hAnsi="Arial" w:cs="Arial"/>
                <w:b/>
                <w:bCs/>
              </w:rPr>
              <w:t>Cause</w:t>
            </w:r>
          </w:p>
        </w:tc>
        <w:tc>
          <w:tcPr>
            <w:tcW w:w="153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rsidR="00BF58C6" w:rsidRPr="00F61D21" w:rsidRDefault="00BF58C6" w:rsidP="00BF58C6">
            <w:pPr>
              <w:jc w:val="center"/>
              <w:rPr>
                <w:rFonts w:ascii="Arial" w:hAnsi="Arial" w:cs="Arial"/>
                <w:b/>
                <w:bCs/>
              </w:rPr>
            </w:pPr>
            <w:r w:rsidRPr="00F61D21">
              <w:rPr>
                <w:rFonts w:ascii="Arial" w:hAnsi="Arial" w:cs="Arial"/>
                <w:b/>
                <w:bCs/>
              </w:rPr>
              <w:t>Total</w:t>
            </w:r>
          </w:p>
        </w:tc>
      </w:tr>
      <w:tr w:rsidR="00BF58C6" w:rsidRPr="00BF58C6" w:rsidTr="00BF58C6">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Burst</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87 (69%)</w:t>
            </w:r>
          </w:p>
        </w:tc>
      </w:tr>
      <w:tr w:rsidR="00BF58C6" w:rsidRPr="00BF58C6" w:rsidTr="00BF58C6">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Spill</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12 (10%)</w:t>
            </w:r>
          </w:p>
        </w:tc>
      </w:tr>
      <w:tr w:rsidR="00BF58C6" w:rsidRPr="00BF58C6" w:rsidTr="00BF58C6">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Split</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10 (8%)</w:t>
            </w:r>
          </w:p>
        </w:tc>
      </w:tr>
      <w:tr w:rsidR="00BF58C6" w:rsidRPr="00BF58C6" w:rsidTr="00BF58C6">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Contact</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8 (6%)</w:t>
            </w:r>
          </w:p>
        </w:tc>
      </w:tr>
      <w:tr w:rsidR="00BF58C6" w:rsidRPr="00BF58C6" w:rsidTr="00BF58C6">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Leak</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BF58C6" w:rsidRPr="00BF58C6" w:rsidRDefault="00BF58C6" w:rsidP="00BF58C6">
            <w:pPr>
              <w:jc w:val="center"/>
              <w:rPr>
                <w:rFonts w:ascii="Arial" w:hAnsi="Arial" w:cs="Arial"/>
                <w:sz w:val="20"/>
                <w:szCs w:val="20"/>
              </w:rPr>
            </w:pPr>
            <w:r w:rsidRPr="00BF58C6">
              <w:rPr>
                <w:rFonts w:ascii="Arial" w:hAnsi="Arial" w:cs="Arial"/>
                <w:sz w:val="20"/>
                <w:szCs w:val="20"/>
              </w:rPr>
              <w:t>5 (4%)</w:t>
            </w:r>
          </w:p>
        </w:tc>
      </w:tr>
      <w:tr w:rsidR="00AA1A29" w:rsidRPr="00BF58C6" w:rsidTr="00401043">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Unknown</w:t>
            </w:r>
          </w:p>
        </w:tc>
        <w:tc>
          <w:tcPr>
            <w:tcW w:w="1539" w:type="dxa"/>
            <w:tcBorders>
              <w:top w:val="nil"/>
              <w:left w:val="nil"/>
              <w:bottom w:val="single" w:sz="8" w:space="0" w:color="auto"/>
              <w:right w:val="single" w:sz="8" w:space="0" w:color="auto"/>
            </w:tcBorders>
            <w:tcMar>
              <w:top w:w="0" w:type="dxa"/>
              <w:left w:w="108" w:type="dxa"/>
              <w:bottom w:w="0" w:type="dxa"/>
              <w:right w:w="108" w:type="dxa"/>
            </w:tcMar>
          </w:tcPr>
          <w:p w:rsidR="00AA1A29" w:rsidRPr="00BF58C6" w:rsidRDefault="00AA1A29" w:rsidP="00AA1A29">
            <w:pPr>
              <w:jc w:val="center"/>
              <w:rPr>
                <w:rFonts w:ascii="Arial" w:hAnsi="Arial" w:cs="Arial"/>
                <w:sz w:val="20"/>
                <w:szCs w:val="20"/>
              </w:rPr>
            </w:pPr>
            <w:r w:rsidRPr="00BF58C6">
              <w:rPr>
                <w:rFonts w:ascii="Arial" w:hAnsi="Arial" w:cs="Arial"/>
                <w:sz w:val="20"/>
                <w:szCs w:val="20"/>
              </w:rPr>
              <w:t>4 (3%)</w:t>
            </w:r>
          </w:p>
        </w:tc>
      </w:tr>
    </w:tbl>
    <w:p w:rsidR="00AA1A29" w:rsidRPr="00F61D21" w:rsidRDefault="00AA1A29" w:rsidP="00AA1A29">
      <w:pPr>
        <w:ind w:left="720"/>
        <w:rPr>
          <w:rFonts w:ascii="Arial" w:hAnsi="Arial" w:cs="Arial"/>
          <w:b/>
          <w:bCs/>
        </w:rPr>
      </w:pPr>
    </w:p>
    <w:p w:rsidR="00EB1F2F" w:rsidRDefault="00EB1F2F" w:rsidP="00BF58C6">
      <w:pPr>
        <w:autoSpaceDE w:val="0"/>
        <w:autoSpaceDN w:val="0"/>
        <w:adjustRightInd w:val="0"/>
      </w:pPr>
    </w:p>
    <w:p w:rsidR="00401043" w:rsidRDefault="00401043" w:rsidP="00BF58C6">
      <w:pPr>
        <w:autoSpaceDE w:val="0"/>
        <w:autoSpaceDN w:val="0"/>
        <w:adjustRightInd w:val="0"/>
        <w:sectPr w:rsidR="00401043" w:rsidSect="00401043">
          <w:type w:val="continuous"/>
          <w:pgSz w:w="11906" w:h="16838"/>
          <w:pgMar w:top="1440" w:right="1440" w:bottom="1440" w:left="1440" w:header="708" w:footer="708" w:gutter="0"/>
          <w:cols w:num="2" w:space="708"/>
          <w:docGrid w:linePitch="360"/>
        </w:sectPr>
      </w:pPr>
    </w:p>
    <w:p w:rsidR="00ED220B" w:rsidRPr="005C1860" w:rsidRDefault="00ED220B" w:rsidP="005C1860">
      <w:pPr>
        <w:rPr>
          <w:sz w:val="24"/>
          <w:szCs w:val="24"/>
        </w:rPr>
      </w:pPr>
    </w:p>
    <w:p w:rsidR="00211081" w:rsidRPr="00E93A59" w:rsidRDefault="0091131E" w:rsidP="00736BE3">
      <w:pPr>
        <w:pStyle w:val="Heading1"/>
      </w:pPr>
      <w:bookmarkStart w:id="13" w:name="_Toc361837032"/>
      <w:r>
        <w:t>Is continued regulatory intervention justified?</w:t>
      </w:r>
      <w:bookmarkEnd w:id="13"/>
    </w:p>
    <w:p w:rsidR="00211081" w:rsidRDefault="00410F25" w:rsidP="00677B3C">
      <w:pPr>
        <w:pStyle w:val="HTMLPreformatted"/>
        <w:spacing w:after="240"/>
        <w:rPr>
          <w:rFonts w:ascii="Calibri" w:eastAsia="Calibri" w:hAnsi="Calibri" w:cs="Times New Roman"/>
          <w:sz w:val="22"/>
          <w:szCs w:val="22"/>
        </w:rPr>
      </w:pPr>
      <w:r>
        <w:rPr>
          <w:rFonts w:ascii="Calibri" w:eastAsia="Calibri" w:hAnsi="Calibri" w:cs="Times New Roman"/>
          <w:sz w:val="22"/>
          <w:szCs w:val="22"/>
        </w:rPr>
        <w:t>I</w:t>
      </w:r>
      <w:r w:rsidR="00211081" w:rsidRPr="00347277">
        <w:rPr>
          <w:rFonts w:ascii="Calibri" w:eastAsia="Calibri" w:hAnsi="Calibri" w:cs="Times New Roman"/>
          <w:sz w:val="22"/>
          <w:szCs w:val="22"/>
        </w:rPr>
        <w:t xml:space="preserve">njury </w:t>
      </w:r>
      <w:r w:rsidR="00211081">
        <w:rPr>
          <w:rFonts w:ascii="Calibri" w:eastAsia="Calibri" w:hAnsi="Calibri" w:cs="Times New Roman"/>
          <w:sz w:val="22"/>
          <w:szCs w:val="22"/>
        </w:rPr>
        <w:t xml:space="preserve">data </w:t>
      </w:r>
      <w:r w:rsidR="008D6C3F">
        <w:rPr>
          <w:rFonts w:ascii="Calibri" w:eastAsia="Calibri" w:hAnsi="Calibri" w:cs="Times New Roman"/>
          <w:sz w:val="22"/>
          <w:szCs w:val="22"/>
        </w:rPr>
        <w:t xml:space="preserve">supports the conclusion that </w:t>
      </w:r>
      <w:r w:rsidR="007F62CA">
        <w:rPr>
          <w:rFonts w:ascii="Calibri" w:eastAsia="Calibri" w:hAnsi="Calibri" w:cs="Times New Roman"/>
          <w:sz w:val="22"/>
          <w:szCs w:val="22"/>
        </w:rPr>
        <w:t xml:space="preserve">continued </w:t>
      </w:r>
      <w:r w:rsidR="00211081" w:rsidRPr="00347277">
        <w:rPr>
          <w:rFonts w:ascii="Calibri" w:eastAsia="Calibri" w:hAnsi="Calibri" w:cs="Times New Roman"/>
          <w:sz w:val="22"/>
          <w:szCs w:val="22"/>
        </w:rPr>
        <w:t xml:space="preserve">regulatory intervention </w:t>
      </w:r>
      <w:r w:rsidR="008D6C3F">
        <w:rPr>
          <w:rFonts w:ascii="Calibri" w:eastAsia="Calibri" w:hAnsi="Calibri" w:cs="Times New Roman"/>
          <w:sz w:val="22"/>
          <w:szCs w:val="22"/>
        </w:rPr>
        <w:t xml:space="preserve">is justified and is reasonably necessary to prevent or reduce the risk of injury </w:t>
      </w:r>
      <w:r w:rsidR="00755D34">
        <w:rPr>
          <w:rFonts w:ascii="Calibri" w:eastAsia="Calibri" w:hAnsi="Calibri" w:cs="Times New Roman"/>
          <w:sz w:val="22"/>
          <w:szCs w:val="22"/>
        </w:rPr>
        <w:t>given</w:t>
      </w:r>
      <w:r w:rsidR="00211081" w:rsidRPr="00347277">
        <w:rPr>
          <w:rFonts w:ascii="Calibri" w:eastAsia="Calibri" w:hAnsi="Calibri" w:cs="Times New Roman"/>
          <w:sz w:val="22"/>
          <w:szCs w:val="22"/>
        </w:rPr>
        <w:t>:</w:t>
      </w:r>
    </w:p>
    <w:p w:rsidR="00211081" w:rsidRDefault="00021D38" w:rsidP="00ED220B">
      <w:pPr>
        <w:numPr>
          <w:ilvl w:val="0"/>
          <w:numId w:val="5"/>
        </w:numPr>
        <w:spacing w:line="276" w:lineRule="auto"/>
      </w:pPr>
      <w:r>
        <w:t>past non-</w:t>
      </w:r>
      <w:r w:rsidR="00755D34">
        <w:t xml:space="preserve">compliance with </w:t>
      </w:r>
      <w:r w:rsidR="007251F1">
        <w:t>performance requirements</w:t>
      </w:r>
      <w:r>
        <w:t xml:space="preserve"> which are required by both BS1970 and the mandatory standard</w:t>
      </w:r>
      <w:r w:rsidR="004150D4">
        <w:t xml:space="preserve">, </w:t>
      </w:r>
    </w:p>
    <w:p w:rsidR="007251F1" w:rsidRDefault="00755D34" w:rsidP="00ED220B">
      <w:pPr>
        <w:numPr>
          <w:ilvl w:val="0"/>
          <w:numId w:val="5"/>
        </w:numPr>
        <w:spacing w:after="240" w:line="276" w:lineRule="auto"/>
      </w:pPr>
      <w:r>
        <w:lastRenderedPageBreak/>
        <w:t xml:space="preserve">ongoing hazards created by </w:t>
      </w:r>
      <w:r w:rsidR="00F2501A">
        <w:t xml:space="preserve">consumers </w:t>
      </w:r>
      <w:r w:rsidR="007251F1">
        <w:t xml:space="preserve">not being </w:t>
      </w:r>
      <w:r w:rsidR="0036736B">
        <w:t xml:space="preserve">aware of </w:t>
      </w:r>
      <w:r w:rsidR="007251F1">
        <w:t>the dangers of fil</w:t>
      </w:r>
      <w:r w:rsidR="004150D4">
        <w:t>ling bottles with boiling water</w:t>
      </w:r>
      <w:r w:rsidR="00F2501A">
        <w:t xml:space="preserve"> as well as other misuse</w:t>
      </w:r>
    </w:p>
    <w:p w:rsidR="00F2501A" w:rsidRPr="0088280B" w:rsidRDefault="00F2501A" w:rsidP="00291887">
      <w:pPr>
        <w:spacing w:after="240" w:line="276" w:lineRule="auto"/>
      </w:pPr>
      <w:r w:rsidRPr="00F2501A">
        <w:t xml:space="preserve">During the previous consultation in 2010, respondents were unanimously in favour of revising the Standard to make it consistent with the requirements of </w:t>
      </w:r>
      <w:r w:rsidR="00B85EEF">
        <w:t>BS1970:2012</w:t>
      </w:r>
      <w:r w:rsidRPr="00F2501A">
        <w:t>. Respondents also agreed in principle to the provision of meaningful warnings and instructions to reduce the incidence of misuse.</w:t>
      </w:r>
    </w:p>
    <w:p w:rsidR="00E93A59" w:rsidRPr="00B8397C" w:rsidRDefault="00B8397C" w:rsidP="00736BE3">
      <w:pPr>
        <w:pStyle w:val="Heading1"/>
      </w:pPr>
      <w:bookmarkStart w:id="14" w:name="_Toc361837033"/>
      <w:r>
        <w:t>Proposed changes</w:t>
      </w:r>
      <w:bookmarkEnd w:id="14"/>
    </w:p>
    <w:p w:rsidR="00FF0356" w:rsidRDefault="00FF0356" w:rsidP="00882866">
      <w:pPr>
        <w:spacing w:after="240"/>
      </w:pPr>
      <w:r>
        <w:t xml:space="preserve">Proposed changes to the </w:t>
      </w:r>
      <w:r w:rsidR="00B159D2">
        <w:t>S</w:t>
      </w:r>
      <w:r>
        <w:t>tandard are to:</w:t>
      </w:r>
    </w:p>
    <w:p w:rsidR="00FF0356" w:rsidRDefault="00FF0356" w:rsidP="00212E81">
      <w:pPr>
        <w:numPr>
          <w:ilvl w:val="0"/>
          <w:numId w:val="39"/>
        </w:numPr>
      </w:pPr>
      <w:r>
        <w:t>adopt all performance requirements of BS1970:2012; and</w:t>
      </w:r>
    </w:p>
    <w:p w:rsidR="00212E81" w:rsidRDefault="00212E81" w:rsidP="00212E81">
      <w:pPr>
        <w:numPr>
          <w:ilvl w:val="0"/>
          <w:numId w:val="39"/>
        </w:numPr>
        <w:spacing w:after="100" w:afterAutospacing="1"/>
      </w:pPr>
      <w:r>
        <w:t>require enhanced warnings and instructions.</w:t>
      </w:r>
    </w:p>
    <w:p w:rsidR="00D618D8" w:rsidRPr="00DC3BCF" w:rsidRDefault="00890D57" w:rsidP="00736BE3">
      <w:pPr>
        <w:pStyle w:val="Heading3"/>
      </w:pPr>
      <w:bookmarkStart w:id="15" w:name="_Toc361837034"/>
      <w:r w:rsidRPr="00DC3BCF">
        <w:t xml:space="preserve">Adopt </w:t>
      </w:r>
      <w:r w:rsidR="00882866">
        <w:t xml:space="preserve">all performance </w:t>
      </w:r>
      <w:r w:rsidRPr="00DC3BCF">
        <w:t>requirements of BS1970:2012</w:t>
      </w:r>
      <w:bookmarkEnd w:id="15"/>
    </w:p>
    <w:p w:rsidR="00212E81" w:rsidRDefault="00B85EEF" w:rsidP="00212E81">
      <w:pPr>
        <w:spacing w:after="240"/>
      </w:pPr>
      <w:r>
        <w:t>BS1970:2012</w:t>
      </w:r>
      <w:r w:rsidR="00212E81">
        <w:t xml:space="preserve"> includes key safety requirements that are widely accepted by suppliers and are used internationally. </w:t>
      </w:r>
    </w:p>
    <w:p w:rsidR="00212E81" w:rsidRDefault="00212E81" w:rsidP="00212E81">
      <w:pPr>
        <w:spacing w:after="240"/>
      </w:pPr>
      <w:r>
        <w:t xml:space="preserve">As the majority of hot water bottles current available in Australia already claim conformance with this voluntary standard, adopting all or most of requirements as mandatory is likely to place only a minimal additional compliance burden on suppliers in the initial stages while transitioning from the 2006 version (on which the current Standard is based) to the 2012 version. </w:t>
      </w:r>
    </w:p>
    <w:p w:rsidR="00212E81" w:rsidRDefault="00212E81" w:rsidP="00212E81">
      <w:pPr>
        <w:spacing w:after="240"/>
      </w:pPr>
      <w:r w:rsidRPr="00D618D8">
        <w:t xml:space="preserve">It is proposed that the Standard </w:t>
      </w:r>
      <w:r>
        <w:t>be</w:t>
      </w:r>
      <w:r w:rsidRPr="00D618D8">
        <w:t xml:space="preserve"> amended to</w:t>
      </w:r>
      <w:r>
        <w:t xml:space="preserve"> adopt </w:t>
      </w:r>
      <w:r w:rsidRPr="00771494">
        <w:t>all</w:t>
      </w:r>
      <w:r>
        <w:t xml:space="preserve"> performance requirements contained in the 2012 version of the </w:t>
      </w:r>
      <w:r w:rsidRPr="00D618D8">
        <w:t>BS1970</w:t>
      </w:r>
      <w:r>
        <w:t xml:space="preserve"> – including performance </w:t>
      </w:r>
      <w:r w:rsidRPr="00882866">
        <w:t xml:space="preserve">requirements related to visual </w:t>
      </w:r>
      <w:r w:rsidR="00464488">
        <w:t>examination</w:t>
      </w:r>
      <w:r w:rsidRPr="00882866">
        <w:t>, the ‘tear test’ and tension set measurements not contained in the current version</w:t>
      </w:r>
      <w:r>
        <w:t xml:space="preserve"> of the </w:t>
      </w:r>
      <w:r w:rsidRPr="00D618D8">
        <w:t>Standard</w:t>
      </w:r>
      <w:r>
        <w:t>.</w:t>
      </w:r>
      <w:r w:rsidRPr="00882866">
        <w:t xml:space="preserve"> </w:t>
      </w:r>
    </w:p>
    <w:p w:rsidR="00212E81" w:rsidRDefault="00212E81" w:rsidP="00212E81">
      <w:pPr>
        <w:spacing w:after="240"/>
      </w:pPr>
      <w:r>
        <w:t>The latest version BS1970:2012 also includes some minor changes from the 2006 version. It also rectifies a</w:t>
      </w:r>
      <w:r w:rsidR="00B159D2">
        <w:t>n</w:t>
      </w:r>
      <w:r>
        <w:t xml:space="preserve"> anomaly </w:t>
      </w:r>
      <w:r w:rsidR="00B159D2">
        <w:t>in respect of seam strength measurement requirements in</w:t>
      </w:r>
      <w:r>
        <w:t xml:space="preserve"> the 2006 version, which was carried over into the existing Standard, which inadvertently compromised the overall strength of seams.</w:t>
      </w:r>
    </w:p>
    <w:p w:rsidR="00212E81" w:rsidRDefault="0058391E" w:rsidP="00212E81">
      <w:r>
        <w:t xml:space="preserve">The </w:t>
      </w:r>
      <w:r w:rsidR="00212E81">
        <w:t>ACCC commissioned</w:t>
      </w:r>
      <w:r w:rsidR="00212E81" w:rsidRPr="00D618D8">
        <w:t xml:space="preserve"> research</w:t>
      </w:r>
      <w:r w:rsidR="00212E81">
        <w:t xml:space="preserve"> carried out in 2010 by rubber industry experts locally and in the United Kingdom</w:t>
      </w:r>
      <w:r w:rsidR="00212E81" w:rsidRPr="00D618D8">
        <w:t xml:space="preserve"> </w:t>
      </w:r>
      <w:r>
        <w:t xml:space="preserve">which </w:t>
      </w:r>
      <w:r w:rsidR="00212E81" w:rsidRPr="00D618D8">
        <w:t>affirms that bottles made to the specifications of the BS1970 should be safe when not subject to misuse.</w:t>
      </w:r>
    </w:p>
    <w:p w:rsidR="00212E81" w:rsidRDefault="00212E81" w:rsidP="00212E81"/>
    <w:p w:rsidR="00890D57" w:rsidRDefault="00882866" w:rsidP="00212E81">
      <w:r>
        <w:t>A</w:t>
      </w:r>
      <w:r w:rsidR="00890D57">
        <w:t xml:space="preserve"> </w:t>
      </w:r>
      <w:r>
        <w:t xml:space="preserve">revised </w:t>
      </w:r>
      <w:r w:rsidR="00890D57">
        <w:t xml:space="preserve">mandatory safety standard based on the key design and performance requirements of BS 1970:2012 </w:t>
      </w:r>
      <w:r w:rsidR="00890D57" w:rsidRPr="00890D57">
        <w:rPr>
          <w:i/>
        </w:rPr>
        <w:t>Hot water bottles manufactured from rubber and PVC</w:t>
      </w:r>
      <w:r w:rsidR="00890D57">
        <w:t xml:space="preserve"> </w:t>
      </w:r>
      <w:r w:rsidR="00890D57" w:rsidRPr="00890D57">
        <w:rPr>
          <w:i/>
        </w:rPr>
        <w:t>– Specification</w:t>
      </w:r>
      <w:r w:rsidR="00890D57">
        <w:t xml:space="preserve"> would address safety hazards and reduce consumer injuries by </w:t>
      </w:r>
      <w:r w:rsidR="00890D57" w:rsidRPr="008D13B1">
        <w:rPr>
          <w:b/>
          <w:u w:val="single"/>
        </w:rPr>
        <w:t>continuing</w:t>
      </w:r>
      <w:r w:rsidR="00890D57">
        <w:t xml:space="preserve"> to require hot water bottles to have: </w:t>
      </w:r>
    </w:p>
    <w:p w:rsidR="008D13B1" w:rsidRDefault="008D13B1" w:rsidP="00622789"/>
    <w:p w:rsidR="00890D57" w:rsidRDefault="00CE756D" w:rsidP="00622789">
      <w:pPr>
        <w:numPr>
          <w:ilvl w:val="0"/>
          <w:numId w:val="39"/>
        </w:numPr>
      </w:pPr>
      <w:r>
        <w:t>t</w:t>
      </w:r>
      <w:r w:rsidR="00890D57">
        <w:t>he minimum wall thickness necessary to provide adequate performance</w:t>
      </w:r>
    </w:p>
    <w:p w:rsidR="00890D57" w:rsidRDefault="00CE756D" w:rsidP="00622789">
      <w:pPr>
        <w:numPr>
          <w:ilvl w:val="0"/>
          <w:numId w:val="39"/>
        </w:numPr>
      </w:pPr>
      <w:r>
        <w:t xml:space="preserve">adequately </w:t>
      </w:r>
      <w:r w:rsidR="00890D57">
        <w:t>sized filling apertures to help prevent spillage and splashback</w:t>
      </w:r>
    </w:p>
    <w:p w:rsidR="00890D57" w:rsidRDefault="00CE756D" w:rsidP="00622789">
      <w:pPr>
        <w:numPr>
          <w:ilvl w:val="0"/>
          <w:numId w:val="39"/>
        </w:numPr>
      </w:pPr>
      <w:r>
        <w:t xml:space="preserve">secure </w:t>
      </w:r>
      <w:r w:rsidR="00890D57">
        <w:t>closures which do not separate and allow escape of hot water</w:t>
      </w:r>
    </w:p>
    <w:p w:rsidR="00890D57" w:rsidRDefault="00CE756D" w:rsidP="00622789">
      <w:pPr>
        <w:numPr>
          <w:ilvl w:val="0"/>
          <w:numId w:val="39"/>
        </w:numPr>
      </w:pPr>
      <w:r>
        <w:t xml:space="preserve">a </w:t>
      </w:r>
      <w:r w:rsidR="00890D57">
        <w:t>force test (as revised in BS 1970:2012) to ensure that the strength of the seams on the bottle is sufficient to prevent failure and escape of hot water content</w:t>
      </w:r>
    </w:p>
    <w:p w:rsidR="00890D57" w:rsidRDefault="00CE756D" w:rsidP="00622789">
      <w:pPr>
        <w:numPr>
          <w:ilvl w:val="0"/>
          <w:numId w:val="39"/>
        </w:numPr>
      </w:pPr>
      <w:r>
        <w:t xml:space="preserve">appropriate </w:t>
      </w:r>
      <w:r w:rsidR="00890D57">
        <w:t>use instructions provided with the hot water bottle</w:t>
      </w:r>
    </w:p>
    <w:p w:rsidR="00890D57" w:rsidRDefault="00CE756D" w:rsidP="00622789">
      <w:pPr>
        <w:numPr>
          <w:ilvl w:val="0"/>
          <w:numId w:val="39"/>
        </w:numPr>
        <w:spacing w:after="240"/>
      </w:pPr>
      <w:r>
        <w:t xml:space="preserve">the </w:t>
      </w:r>
      <w:r w:rsidR="00890D57">
        <w:t>conspicuously marked warning “Do not use boiling water”</w:t>
      </w:r>
    </w:p>
    <w:p w:rsidR="00882866" w:rsidRDefault="0058391E" w:rsidP="00622789">
      <w:r>
        <w:t xml:space="preserve">The ACCC’s 2010 research </w:t>
      </w:r>
      <w:r w:rsidR="00425F59">
        <w:t>s</w:t>
      </w:r>
      <w:r>
        <w:t>upports the inclusion of a</w:t>
      </w:r>
      <w:r w:rsidR="00B21523">
        <w:t>dditional requirements from the BS1970</w:t>
      </w:r>
      <w:r w:rsidR="00EF3C43">
        <w:t>,</w:t>
      </w:r>
      <w:r w:rsidR="00B21523">
        <w:t xml:space="preserve"> which are not currently prescribed</w:t>
      </w:r>
      <w:r w:rsidR="00936C94">
        <w:t xml:space="preserve">. </w:t>
      </w:r>
    </w:p>
    <w:p w:rsidR="00882866" w:rsidRDefault="00882866" w:rsidP="00622789"/>
    <w:p w:rsidR="00890D57" w:rsidRDefault="00EF3C43" w:rsidP="00622789">
      <w:r>
        <w:lastRenderedPageBreak/>
        <w:t>A revised Standard would include</w:t>
      </w:r>
      <w:r w:rsidR="00B21523">
        <w:t xml:space="preserve"> </w:t>
      </w:r>
      <w:r w:rsidR="00882866">
        <w:rPr>
          <w:b/>
          <w:u w:val="single"/>
        </w:rPr>
        <w:t xml:space="preserve">new </w:t>
      </w:r>
      <w:r w:rsidR="00882866" w:rsidRPr="00882866">
        <w:rPr>
          <w:b/>
          <w:u w:val="single"/>
        </w:rPr>
        <w:t>mandatory</w:t>
      </w:r>
      <w:r w:rsidR="00882866">
        <w:t xml:space="preserve"> </w:t>
      </w:r>
      <w:r w:rsidR="00B21523" w:rsidRPr="00882866">
        <w:t>specifications</w:t>
      </w:r>
      <w:r w:rsidR="00B21523">
        <w:t xml:space="preserve"> for</w:t>
      </w:r>
      <w:r w:rsidR="00890D57" w:rsidRPr="0083646C">
        <w:t>:</w:t>
      </w:r>
    </w:p>
    <w:p w:rsidR="008D13B1" w:rsidRDefault="008D13B1" w:rsidP="00622789"/>
    <w:p w:rsidR="0083646C" w:rsidRPr="0083646C" w:rsidRDefault="0083646C" w:rsidP="00622789">
      <w:pPr>
        <w:numPr>
          <w:ilvl w:val="0"/>
          <w:numId w:val="32"/>
        </w:numPr>
        <w:ind w:left="714" w:hanging="357"/>
      </w:pPr>
      <w:r>
        <w:t xml:space="preserve">a visual </w:t>
      </w:r>
      <w:r w:rsidR="00464488">
        <w:t xml:space="preserve">examination </w:t>
      </w:r>
      <w:r>
        <w:t>test</w:t>
      </w:r>
      <w:r w:rsidR="00EF3C43">
        <w:t xml:space="preserve">, </w:t>
      </w:r>
      <w:r w:rsidR="00B85EEF">
        <w:t>as required by the BS1970:2012</w:t>
      </w:r>
      <w:r w:rsidR="0049310D">
        <w:t xml:space="preserve">, </w:t>
      </w:r>
      <w:r w:rsidR="00B85EEF">
        <w:t>to</w:t>
      </w:r>
      <w:r>
        <w:t xml:space="preserve"> detect</w:t>
      </w:r>
      <w:r w:rsidR="00A70E26">
        <w:t>s</w:t>
      </w:r>
      <w:r>
        <w:t xml:space="preserve"> defects </w:t>
      </w:r>
      <w:r w:rsidR="00464488">
        <w:t>that could adversely affect the safe performance of the hot water bottle, such as where trimming of the neck-body intersection results in a nick which acts as a stress raiser that weakens the product</w:t>
      </w:r>
      <w:r w:rsidR="0049310D">
        <w:t xml:space="preserve"> in this area</w:t>
      </w:r>
    </w:p>
    <w:p w:rsidR="00890D57" w:rsidRDefault="00890D57" w:rsidP="00622789">
      <w:pPr>
        <w:numPr>
          <w:ilvl w:val="0"/>
          <w:numId w:val="32"/>
        </w:numPr>
        <w:ind w:left="714" w:hanging="357"/>
      </w:pPr>
      <w:r>
        <w:t>tear resistance</w:t>
      </w:r>
    </w:p>
    <w:p w:rsidR="00890D57" w:rsidRDefault="00890D57" w:rsidP="00622789">
      <w:pPr>
        <w:numPr>
          <w:ilvl w:val="0"/>
          <w:numId w:val="32"/>
        </w:numPr>
        <w:ind w:left="714" w:hanging="357"/>
      </w:pPr>
      <w:r>
        <w:t>tensile stress-strain</w:t>
      </w:r>
    </w:p>
    <w:p w:rsidR="00890D57" w:rsidRDefault="00890D57" w:rsidP="00622789">
      <w:pPr>
        <w:numPr>
          <w:ilvl w:val="0"/>
          <w:numId w:val="32"/>
        </w:numPr>
        <w:ind w:left="714" w:hanging="357"/>
      </w:pPr>
      <w:r>
        <w:t xml:space="preserve">tension set </w:t>
      </w:r>
    </w:p>
    <w:p w:rsidR="004B18CA" w:rsidRDefault="00890D57" w:rsidP="008F463A">
      <w:pPr>
        <w:numPr>
          <w:ilvl w:val="0"/>
          <w:numId w:val="32"/>
        </w:numPr>
        <w:spacing w:after="240"/>
        <w:ind w:left="714" w:hanging="357"/>
      </w:pPr>
      <w:r>
        <w:t>a prescribed methodology for measuring thickness is desirable to provide certainty for suppliers, consistency and validity in results obtained from test laboratories and for the equitable enforcement of the regulations</w:t>
      </w:r>
    </w:p>
    <w:p w:rsidR="00D97AF3" w:rsidRDefault="00D97AF3" w:rsidP="00D708AA">
      <w:r>
        <w:t xml:space="preserve">This proposal is supported by research findings that the strength and integrity of hot water bottles depends on all technical elements of the BS1970 being satisfied. </w:t>
      </w:r>
    </w:p>
    <w:p w:rsidR="00B8397C" w:rsidRPr="00D1596A" w:rsidRDefault="00B8397C" w:rsidP="00736BE3">
      <w:pPr>
        <w:pStyle w:val="Heading3"/>
      </w:pPr>
      <w:bookmarkStart w:id="16" w:name="_Toc361837035"/>
      <w:r w:rsidRPr="00D1596A">
        <w:t>Enhance warnings and instructions</w:t>
      </w:r>
      <w:bookmarkEnd w:id="16"/>
    </w:p>
    <w:p w:rsidR="00D171B7" w:rsidRDefault="0070228C" w:rsidP="009C164B">
      <w:r w:rsidRPr="0070228C">
        <w:t xml:space="preserve">The ACCC </w:t>
      </w:r>
      <w:r w:rsidR="0058391E">
        <w:t xml:space="preserve">would like views on whether </w:t>
      </w:r>
      <w:r w:rsidRPr="0070228C">
        <w:t xml:space="preserve">BS1970 </w:t>
      </w:r>
      <w:r w:rsidR="0058391E">
        <w:t xml:space="preserve">should </w:t>
      </w:r>
      <w:r w:rsidRPr="0070228C">
        <w:t xml:space="preserve">be varied to enhance the required warnings and instructions. </w:t>
      </w:r>
      <w:r w:rsidR="0058391E">
        <w:t xml:space="preserve">Evidence suggests that </w:t>
      </w:r>
      <w:r w:rsidRPr="0070228C">
        <w:t xml:space="preserve">a significant portion of injuries </w:t>
      </w:r>
      <w:r w:rsidR="0058391E">
        <w:t>are</w:t>
      </w:r>
      <w:r w:rsidRPr="0070228C">
        <w:t xml:space="preserve"> associated with </w:t>
      </w:r>
      <w:r w:rsidR="0058391E">
        <w:t>possible hot water bottle</w:t>
      </w:r>
      <w:r w:rsidRPr="0070228C">
        <w:t xml:space="preserve"> misuse. A revision of the instructions in plain English </w:t>
      </w:r>
      <w:r w:rsidR="0058391E">
        <w:t>c</w:t>
      </w:r>
      <w:r w:rsidRPr="0070228C">
        <w:t>ould serve to alert consumers more effectively and provide more meaningful guid</w:t>
      </w:r>
      <w:r w:rsidR="00D171B7">
        <w:t>ance than current requirements.</w:t>
      </w:r>
    </w:p>
    <w:p w:rsidR="009C164B" w:rsidRDefault="009C164B" w:rsidP="009C164B">
      <w:pPr>
        <w:rPr>
          <w:b/>
          <w:bCs/>
        </w:rPr>
      </w:pPr>
    </w:p>
    <w:p w:rsidR="0070228C" w:rsidRPr="0070228C" w:rsidRDefault="0058391E" w:rsidP="009C164B">
      <w:pPr>
        <w:rPr>
          <w:b/>
          <w:bCs/>
        </w:rPr>
      </w:pPr>
      <w:r>
        <w:rPr>
          <w:bCs/>
        </w:rPr>
        <w:t xml:space="preserve">The ACCC has developed </w:t>
      </w:r>
      <w:r w:rsidR="00D171B7">
        <w:t xml:space="preserve">new warnings </w:t>
      </w:r>
      <w:r>
        <w:t xml:space="preserve">which </w:t>
      </w:r>
      <w:r w:rsidR="00D171B7">
        <w:t xml:space="preserve">provide more detailed general warning information, as well as expanded filling instructions, usage instructions and storage instructions. These revisions </w:t>
      </w:r>
      <w:r w:rsidR="0070228C" w:rsidRPr="0070228C">
        <w:t xml:space="preserve">represent an opportunity to prevent more injuries, and reduce the severity of any injuries which occur. </w:t>
      </w:r>
    </w:p>
    <w:p w:rsidR="009C164B" w:rsidRDefault="009C164B" w:rsidP="009C164B">
      <w:pPr>
        <w:rPr>
          <w:bCs/>
        </w:rPr>
      </w:pPr>
    </w:p>
    <w:p w:rsidR="0070228C" w:rsidRPr="00FE6C75" w:rsidRDefault="0070228C" w:rsidP="009C164B">
      <w:pPr>
        <w:rPr>
          <w:b/>
          <w:bCs/>
        </w:rPr>
      </w:pPr>
      <w:r w:rsidRPr="00FE6C75">
        <w:rPr>
          <w:b/>
          <w:bCs/>
        </w:rPr>
        <w:t>The ACCC is seeking your views about each of these new warnings</w:t>
      </w:r>
      <w:r w:rsidR="0058391E" w:rsidRPr="00FE6C75">
        <w:rPr>
          <w:b/>
          <w:bCs/>
        </w:rPr>
        <w:t xml:space="preserve">, which are </w:t>
      </w:r>
      <w:r w:rsidR="00A72D77" w:rsidRPr="00FE6C75">
        <w:rPr>
          <w:b/>
        </w:rPr>
        <w:t xml:space="preserve">provided in </w:t>
      </w:r>
      <w:r w:rsidR="00B95AFF">
        <w:rPr>
          <w:b/>
        </w:rPr>
        <w:t xml:space="preserve">the online questionnaire as well </w:t>
      </w:r>
      <w:r w:rsidR="00A72D77" w:rsidRPr="00FE6C75">
        <w:rPr>
          <w:b/>
        </w:rPr>
        <w:t xml:space="preserve">Appendix B. </w:t>
      </w:r>
      <w:r w:rsidRPr="00FE6C75">
        <w:rPr>
          <w:b/>
          <w:bCs/>
        </w:rPr>
        <w:t xml:space="preserve">Please provide your input by completing the </w:t>
      </w:r>
      <w:r w:rsidR="00B95AFF">
        <w:rPr>
          <w:b/>
          <w:bCs/>
        </w:rPr>
        <w:t xml:space="preserve">online </w:t>
      </w:r>
      <w:r w:rsidRPr="00FE6C75">
        <w:rPr>
          <w:b/>
          <w:bCs/>
        </w:rPr>
        <w:t>questionnaire</w:t>
      </w:r>
      <w:r w:rsidR="002E30E3">
        <w:rPr>
          <w:b/>
          <w:bCs/>
        </w:rPr>
        <w:t xml:space="preserve"> or by written submission</w:t>
      </w:r>
      <w:r w:rsidRPr="00FE6C75">
        <w:rPr>
          <w:b/>
          <w:bCs/>
        </w:rPr>
        <w:t>.</w:t>
      </w:r>
    </w:p>
    <w:p w:rsidR="00AD4E54" w:rsidRPr="00D708AA" w:rsidRDefault="003A064E" w:rsidP="00FE6C75">
      <w:pPr>
        <w:pStyle w:val="Heading3"/>
        <w:rPr>
          <w:rStyle w:val="Strong"/>
          <w:b/>
          <w:sz w:val="22"/>
          <w:szCs w:val="22"/>
        </w:rPr>
      </w:pPr>
      <w:r w:rsidRPr="00D708AA">
        <w:rPr>
          <w:rStyle w:val="Strong"/>
          <w:b/>
          <w:sz w:val="22"/>
          <w:szCs w:val="22"/>
        </w:rPr>
        <w:t>Improved</w:t>
      </w:r>
      <w:r w:rsidR="00AD4E54" w:rsidRPr="00D708AA">
        <w:rPr>
          <w:rStyle w:val="Strong"/>
          <w:b/>
          <w:sz w:val="22"/>
          <w:szCs w:val="22"/>
        </w:rPr>
        <w:t xml:space="preserve"> warnings against filling with boiling water</w:t>
      </w:r>
    </w:p>
    <w:p w:rsidR="0070228C" w:rsidRDefault="0070228C" w:rsidP="009C164B">
      <w:pPr>
        <w:rPr>
          <w:b/>
          <w:bCs/>
        </w:rPr>
      </w:pPr>
      <w:r w:rsidRPr="0070228C">
        <w:t xml:space="preserve">Market research </w:t>
      </w:r>
      <w:r w:rsidR="00BF6977">
        <w:t xml:space="preserve">commissioned by the ACCC </w:t>
      </w:r>
      <w:r w:rsidRPr="0070228C">
        <w:t xml:space="preserve">into user behaviour indicates that misuse by filling hot water bottles with boiling water from the kettle is common practice. </w:t>
      </w:r>
      <w:r w:rsidR="00B159D2">
        <w:t xml:space="preserve">There is scope to improve warnings to </w:t>
      </w:r>
      <w:r w:rsidRPr="0070228C">
        <w:t>address th</w:t>
      </w:r>
      <w:r w:rsidR="00B159D2">
        <w:t>e potential for filling misuse and related hazards</w:t>
      </w:r>
      <w:r w:rsidRPr="0070228C">
        <w:t xml:space="preserve">. </w:t>
      </w:r>
    </w:p>
    <w:p w:rsidR="009C497F" w:rsidRDefault="009C497F" w:rsidP="00BF6977"/>
    <w:p w:rsidR="009C497F" w:rsidRDefault="009C497F" w:rsidP="00BF6977">
      <w:r w:rsidRPr="0070228C">
        <w:t xml:space="preserve">ACCC surveillance of hot water bottles indicates that where hot water bottles are supplied in packaging, suppliers do typically provide instructions for care, use and storage on the packaging </w:t>
      </w:r>
      <w:r w:rsidR="00100985">
        <w:t xml:space="preserve">which </w:t>
      </w:r>
      <w:r w:rsidRPr="0070228C">
        <w:t>mostly accord</w:t>
      </w:r>
      <w:r w:rsidR="00100985">
        <w:t>s with</w:t>
      </w:r>
      <w:r w:rsidRPr="0070228C">
        <w:t xml:space="preserve"> the BS1970. The problem is that even if these warnings are read (and understood) at the time of purchase or at the first use, the instructions are likely to be discarded and may not be remembered for the next time the bottle is used. Packaging is not typically designed to be retained for later reference.</w:t>
      </w:r>
    </w:p>
    <w:p w:rsidR="009C497F" w:rsidRDefault="009C497F" w:rsidP="00BF6977"/>
    <w:p w:rsidR="0007228B" w:rsidRDefault="009C497F" w:rsidP="00BF6977">
      <w:r w:rsidRPr="009C164B">
        <w:t xml:space="preserve">For this reason, the ACCC </w:t>
      </w:r>
      <w:r w:rsidR="0058391E">
        <w:t xml:space="preserve">would like to </w:t>
      </w:r>
      <w:r w:rsidRPr="009C164B">
        <w:t xml:space="preserve">consider ways of including a more visible warning that is either on the hot water bottle, or attached to the hot water bottle. In previous consultation with suppliers, the ACCC </w:t>
      </w:r>
      <w:r w:rsidR="0058391E">
        <w:t>w</w:t>
      </w:r>
      <w:r w:rsidRPr="009C164B">
        <w:t xml:space="preserve">as advised that the characteristics of rubber may make it unviable to produce hot water bottles with a highly contrasting, visible and permanent warning. Suppliers have also advised that this could affect the integrity of bottles in other ways, though these were not defined. </w:t>
      </w:r>
      <w:r w:rsidR="0058391E">
        <w:t>The ACCC would like to consider whether such a change would unnecessarily</w:t>
      </w:r>
      <w:r w:rsidRPr="009C164B">
        <w:t xml:space="preserve"> limit the ability of suppliers to supply into the Australian market. </w:t>
      </w:r>
    </w:p>
    <w:p w:rsidR="0007228B" w:rsidRDefault="0007228B" w:rsidP="00BF6977"/>
    <w:p w:rsidR="0070228C" w:rsidRDefault="0070228C" w:rsidP="00BF6977">
      <w:r w:rsidRPr="009C164B">
        <w:lastRenderedPageBreak/>
        <w:t>However, that is not to say that such warnings will not be considered in addition to those accompanying bottles. For example, as an alternative to the warning as currently provided i.e. embossed or relief moulding on the bottle without contrast, a permanent warning might be provided attached to the bottle by means of a disc, or tag, such that it would be prominent and legible and will be evident on each use of the bottle.</w:t>
      </w:r>
    </w:p>
    <w:p w:rsidR="00505D7B" w:rsidRDefault="00505D7B" w:rsidP="00505D7B">
      <w:pPr>
        <w:rPr>
          <w:b/>
        </w:rPr>
      </w:pPr>
    </w:p>
    <w:p w:rsidR="00505D7B" w:rsidRPr="00BF6977" w:rsidRDefault="00505D7B" w:rsidP="00505D7B">
      <w:pPr>
        <w:rPr>
          <w:b/>
        </w:rPr>
      </w:pPr>
      <w:r w:rsidRPr="00BF6977">
        <w:rPr>
          <w:b/>
        </w:rPr>
        <w:t>If you have a view on whether a safety warning could or should be permanently on hot water bottles, please include it in your response to the ACCC on this consultation paper.</w:t>
      </w:r>
    </w:p>
    <w:p w:rsidR="00A055A9" w:rsidRPr="00D708AA" w:rsidRDefault="00A055A9" w:rsidP="00A055A9">
      <w:pPr>
        <w:pStyle w:val="Heading3"/>
        <w:rPr>
          <w:rStyle w:val="Strong"/>
          <w:b/>
          <w:sz w:val="22"/>
          <w:szCs w:val="22"/>
        </w:rPr>
      </w:pPr>
      <w:r w:rsidRPr="00D708AA">
        <w:rPr>
          <w:rStyle w:val="Strong"/>
          <w:b/>
          <w:sz w:val="22"/>
          <w:szCs w:val="22"/>
        </w:rPr>
        <w:t>Filling hot water bottles with hot water from the tap</w:t>
      </w:r>
    </w:p>
    <w:p w:rsidR="00A055A9" w:rsidRDefault="00FE6C75" w:rsidP="00A055A9">
      <w:pPr>
        <w:spacing w:after="240"/>
      </w:pPr>
      <w:r>
        <w:t xml:space="preserve">Consumer education provided </w:t>
      </w:r>
      <w:r w:rsidR="00A055A9">
        <w:t>by the ACCC recommends users do not fill hot water bottles with hot water from a tap.</w:t>
      </w:r>
      <w:r w:rsidR="00505D7B">
        <w:t xml:space="preserve"> This is because rubber is vulnerable to compromise from the use of hot tap water which contains traces of copper from hot water systems. </w:t>
      </w:r>
      <w:r w:rsidR="00345DA6">
        <w:t xml:space="preserve">The </w:t>
      </w:r>
      <w:r w:rsidR="00A055A9">
        <w:t>ACCC advice is for consumers to use heated (but not boiling) water from the cold tap, or to partially fill the bottle with cold tap water before adding some boiling water. This can be confusing for consumers—so the ACCC also plans to review its consumer education material once the mandatory standard has been revised.</w:t>
      </w:r>
    </w:p>
    <w:p w:rsidR="00A055A9" w:rsidRDefault="0049310D" w:rsidP="00BF6977">
      <w:r>
        <w:t xml:space="preserve">The ACCC is aware of the potential for anti-copper additives to increase the tensile strength of a hot water bottle. The ACCC considers that </w:t>
      </w:r>
      <w:r w:rsidR="003F7DEA">
        <w:t xml:space="preserve">the </w:t>
      </w:r>
      <w:r>
        <w:t xml:space="preserve">BS1970:2012 </w:t>
      </w:r>
      <w:r w:rsidR="003F7DEA">
        <w:t xml:space="preserve">tensile strength test adequately addresses the potentially vulnerability of hot water bottles from copper traces in water and does not propose a specific </w:t>
      </w:r>
      <w:r>
        <w:t xml:space="preserve">additional </w:t>
      </w:r>
      <w:r w:rsidR="003F7DEA">
        <w:t xml:space="preserve">requirement </w:t>
      </w:r>
      <w:r>
        <w:t>for</w:t>
      </w:r>
      <w:r w:rsidR="003F7DEA">
        <w:t xml:space="preserve"> anti-copper additives at this time.</w:t>
      </w:r>
    </w:p>
    <w:p w:rsidR="002A37C7" w:rsidRDefault="002A37C7" w:rsidP="002A37C7">
      <w:pPr>
        <w:rPr>
          <w:b/>
        </w:rPr>
      </w:pPr>
    </w:p>
    <w:p w:rsidR="009D6EA1" w:rsidRPr="00064EFA" w:rsidRDefault="009D6EA1" w:rsidP="00736BE3">
      <w:pPr>
        <w:pStyle w:val="Heading1"/>
      </w:pPr>
      <w:bookmarkStart w:id="17" w:name="_Toc361837036"/>
      <w:r w:rsidRPr="00064EFA">
        <w:t>Conclusion</w:t>
      </w:r>
      <w:bookmarkEnd w:id="17"/>
    </w:p>
    <w:p w:rsidR="006572D2" w:rsidRPr="00064EFA" w:rsidRDefault="006572D2" w:rsidP="008F463A">
      <w:pPr>
        <w:spacing w:after="240"/>
      </w:pPr>
      <w:r w:rsidRPr="00064EFA">
        <w:t xml:space="preserve">This discussion paper </w:t>
      </w:r>
      <w:r w:rsidR="003272AF" w:rsidRPr="00064EFA">
        <w:t>proposes</w:t>
      </w:r>
      <w:r w:rsidRPr="00064EFA">
        <w:t xml:space="preserve"> amendments</w:t>
      </w:r>
      <w:r w:rsidR="003272AF" w:rsidRPr="00064EFA">
        <w:t xml:space="preserve"> </w:t>
      </w:r>
      <w:r w:rsidR="000E3785" w:rsidRPr="00064EFA">
        <w:t xml:space="preserve">to the </w:t>
      </w:r>
      <w:r w:rsidR="00534F2A" w:rsidRPr="00064EFA">
        <w:t>hot water bottle</w:t>
      </w:r>
      <w:r w:rsidR="000E3785" w:rsidRPr="00064EFA">
        <w:t xml:space="preserve"> standard </w:t>
      </w:r>
      <w:r w:rsidR="005769F7" w:rsidRPr="00064EFA">
        <w:t>based on the most recent and detailed injury in</w:t>
      </w:r>
      <w:r w:rsidR="00941D78" w:rsidRPr="00064EFA">
        <w:t>formation available to the ACCC</w:t>
      </w:r>
      <w:r w:rsidR="005769F7" w:rsidRPr="00064EFA">
        <w:t xml:space="preserve"> and on </w:t>
      </w:r>
      <w:r w:rsidR="00534F2A" w:rsidRPr="00064EFA">
        <w:t>research conducted into the use of hot water bottles in the community</w:t>
      </w:r>
      <w:r w:rsidR="005769F7" w:rsidRPr="00064EFA">
        <w:t xml:space="preserve">. </w:t>
      </w:r>
    </w:p>
    <w:p w:rsidR="00534F2A" w:rsidRDefault="00941D78" w:rsidP="008F463A">
      <w:pPr>
        <w:spacing w:after="240"/>
      </w:pPr>
      <w:r w:rsidRPr="00064EFA">
        <w:t xml:space="preserve">The primary </w:t>
      </w:r>
      <w:r w:rsidR="00534F2A" w:rsidRPr="00064EFA">
        <w:t>purposes of the proposed changes are to bring the Standard into line with the most up to date and relevant industry standard for hot water bottles and to provide simpler and more meaningful labelling for users</w:t>
      </w:r>
      <w:r w:rsidR="008042AC" w:rsidRPr="00064EFA">
        <w:t xml:space="preserve"> of these products</w:t>
      </w:r>
      <w:r w:rsidR="00534F2A" w:rsidRPr="00064EFA">
        <w:t>.</w:t>
      </w:r>
    </w:p>
    <w:p w:rsidR="003272AF" w:rsidRDefault="003272AF" w:rsidP="0065239D"/>
    <w:p w:rsidR="00666A28" w:rsidRDefault="00666A28" w:rsidP="00FC7149">
      <w:pPr>
        <w:rPr>
          <w:rFonts w:ascii="Arial" w:hAnsi="Arial" w:cs="Arial"/>
          <w:b/>
          <w:i/>
          <w:sz w:val="28"/>
          <w:szCs w:val="28"/>
        </w:rPr>
        <w:sectPr w:rsidR="00666A28" w:rsidSect="00401043">
          <w:type w:val="continuous"/>
          <w:pgSz w:w="11906" w:h="16838"/>
          <w:pgMar w:top="1440" w:right="1440" w:bottom="1440" w:left="1440" w:header="708" w:footer="708" w:gutter="0"/>
          <w:cols w:space="708"/>
          <w:docGrid w:linePitch="360"/>
        </w:sectPr>
      </w:pPr>
    </w:p>
    <w:p w:rsidR="007F6349" w:rsidRDefault="007F6349" w:rsidP="007F6349">
      <w:pPr>
        <w:pStyle w:val="Heading2"/>
      </w:pPr>
      <w:bookmarkStart w:id="18" w:name="_Toc351719059"/>
      <w:bookmarkStart w:id="19" w:name="_Toc361837037"/>
      <w:r w:rsidRPr="008B0918">
        <w:lastRenderedPageBreak/>
        <w:t xml:space="preserve">Appendix </w:t>
      </w:r>
      <w:r>
        <w:t>A</w:t>
      </w:r>
      <w:r>
        <w:tab/>
        <w:t>Table of proposed changes to the Standard</w:t>
      </w:r>
      <w:bookmarkEnd w:id="18"/>
      <w:bookmarkEnd w:id="19"/>
    </w:p>
    <w:p w:rsidR="007F6349" w:rsidRDefault="00870A84" w:rsidP="00870A84">
      <w:pPr>
        <w:spacing w:before="120" w:after="240"/>
        <w:rPr>
          <w:rFonts w:ascii="Arial" w:hAnsi="Arial" w:cs="Arial"/>
        </w:rPr>
      </w:pPr>
      <w:r>
        <w:rPr>
          <w:rFonts w:ascii="Arial" w:hAnsi="Arial" w:cs="Arial"/>
        </w:rPr>
        <w:t>This</w:t>
      </w:r>
      <w:r w:rsidR="007F6349">
        <w:rPr>
          <w:rFonts w:ascii="Arial" w:hAnsi="Arial" w:cs="Arial"/>
        </w:rPr>
        <w:t xml:space="preserve"> </w:t>
      </w:r>
      <w:bookmarkStart w:id="20" w:name="_GoBack"/>
      <w:bookmarkEnd w:id="20"/>
      <w:r w:rsidR="007F6349">
        <w:rPr>
          <w:rFonts w:ascii="Arial" w:hAnsi="Arial" w:cs="Arial"/>
        </w:rPr>
        <w:t xml:space="preserve">table lists the clauses </w:t>
      </w:r>
      <w:r>
        <w:rPr>
          <w:rFonts w:ascii="Arial" w:hAnsi="Arial" w:cs="Arial"/>
        </w:rPr>
        <w:t>of</w:t>
      </w:r>
      <w:r w:rsidR="007F6349">
        <w:rPr>
          <w:rFonts w:ascii="Arial" w:hAnsi="Arial" w:cs="Arial"/>
        </w:rPr>
        <w:t xml:space="preserve"> the BS1970:2012 </w:t>
      </w:r>
      <w:r>
        <w:rPr>
          <w:rFonts w:ascii="Arial" w:hAnsi="Arial" w:cs="Arial"/>
        </w:rPr>
        <w:t xml:space="preserve">proposed to be adopted </w:t>
      </w:r>
      <w:r w:rsidR="007F6349">
        <w:rPr>
          <w:rFonts w:ascii="Arial" w:hAnsi="Arial" w:cs="Arial"/>
        </w:rPr>
        <w:t xml:space="preserve">and the current and new specifications of the reviewed Standard. </w:t>
      </w:r>
      <w:r w:rsidR="008042AC">
        <w:rPr>
          <w:rFonts w:ascii="Arial" w:hAnsi="Arial" w:cs="Arial"/>
        </w:rPr>
        <w:t>Details of proposed labelling requirements to be provided with hot water bottles are</w:t>
      </w:r>
      <w:r>
        <w:rPr>
          <w:rFonts w:ascii="Arial" w:hAnsi="Arial" w:cs="Arial"/>
        </w:rPr>
        <w:t xml:space="preserve"> at</w:t>
      </w:r>
      <w:r w:rsidRPr="00870A84">
        <w:rPr>
          <w:rFonts w:ascii="Arial" w:hAnsi="Arial" w:cs="Arial"/>
        </w:rPr>
        <w:t xml:space="preserve"> </w:t>
      </w:r>
      <w:r w:rsidRPr="008042AC">
        <w:rPr>
          <w:rFonts w:ascii="Arial" w:hAnsi="Arial" w:cs="Arial"/>
          <w:b/>
        </w:rPr>
        <w:t>Appendix B</w:t>
      </w:r>
      <w:r>
        <w:rPr>
          <w:rFonts w:ascii="Arial" w:hAnsi="Arial" w:cs="Arial"/>
        </w:rPr>
        <w:t xml:space="preserve"> on page </w:t>
      </w:r>
      <w:r w:rsidR="00694EEA">
        <w:rPr>
          <w:rFonts w:ascii="Arial" w:hAnsi="Arial" w:cs="Arial"/>
        </w:rPr>
        <w:t>1</w:t>
      </w:r>
      <w:r w:rsidR="008D13B1">
        <w:rPr>
          <w:rFonts w:ascii="Arial" w:hAnsi="Arial" w:cs="Arial"/>
        </w:rPr>
        <w:t>5</w:t>
      </w:r>
      <w:r>
        <w:rPr>
          <w:rFonts w:ascii="Arial" w:hAnsi="Arial" w:cs="Arial"/>
        </w:rPr>
        <w:t>.</w:t>
      </w:r>
      <w:r w:rsidR="007F6349">
        <w:rPr>
          <w:rFonts w:ascii="Arial" w:hAnsi="Arial" w:cs="Arial"/>
        </w:rPr>
        <w:t xml:space="preserve"> </w:t>
      </w:r>
    </w:p>
    <w:tbl>
      <w:tblPr>
        <w:tblW w:w="3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7125"/>
        <w:gridCol w:w="1278"/>
        <w:gridCol w:w="1556"/>
      </w:tblGrid>
      <w:tr w:rsidR="00FA76D8" w:rsidRPr="004A1C8A" w:rsidTr="00BF6D0E">
        <w:trPr>
          <w:trHeight w:val="195"/>
          <w:tblHeader/>
        </w:trPr>
        <w:tc>
          <w:tcPr>
            <w:tcW w:w="3645" w:type="pct"/>
            <w:gridSpan w:val="2"/>
            <w:shd w:val="clear" w:color="auto" w:fill="D9D9D9"/>
            <w:vAlign w:val="center"/>
          </w:tcPr>
          <w:p w:rsidR="00FA76D8" w:rsidRPr="004A1C8A" w:rsidRDefault="00FA76D8" w:rsidP="002953F0">
            <w:pPr>
              <w:spacing w:beforeLines="40" w:before="96" w:afterLines="40" w:after="96"/>
              <w:rPr>
                <w:rFonts w:ascii="Arial" w:hAnsi="Arial" w:cs="Arial"/>
                <w:b/>
              </w:rPr>
            </w:pPr>
            <w:r w:rsidRPr="004A1C8A">
              <w:rPr>
                <w:rFonts w:ascii="Arial" w:hAnsi="Arial" w:cs="Arial"/>
                <w:b/>
              </w:rPr>
              <w:t>Proposed change</w:t>
            </w:r>
          </w:p>
        </w:tc>
        <w:tc>
          <w:tcPr>
            <w:tcW w:w="611" w:type="pct"/>
            <w:shd w:val="clear" w:color="auto" w:fill="D9D9D9"/>
            <w:vAlign w:val="center"/>
          </w:tcPr>
          <w:p w:rsidR="00FA76D8" w:rsidRDefault="00FA76D8" w:rsidP="002953F0">
            <w:pPr>
              <w:spacing w:beforeLines="40" w:before="96" w:afterLines="40" w:after="96"/>
              <w:rPr>
                <w:rFonts w:ascii="Arial" w:hAnsi="Arial" w:cs="Arial"/>
                <w:b/>
              </w:rPr>
            </w:pPr>
            <w:r w:rsidRPr="004A1C8A">
              <w:rPr>
                <w:rFonts w:ascii="Arial" w:hAnsi="Arial" w:cs="Arial"/>
                <w:b/>
              </w:rPr>
              <w:t>Current</w:t>
            </w:r>
          </w:p>
        </w:tc>
        <w:tc>
          <w:tcPr>
            <w:tcW w:w="744" w:type="pct"/>
            <w:shd w:val="clear" w:color="auto" w:fill="D9D9D9"/>
            <w:vAlign w:val="center"/>
          </w:tcPr>
          <w:p w:rsidR="00FA76D8" w:rsidRDefault="00FA76D8" w:rsidP="002953F0">
            <w:pPr>
              <w:spacing w:beforeLines="40" w:before="96" w:afterLines="40" w:after="96"/>
              <w:jc w:val="center"/>
              <w:rPr>
                <w:rFonts w:ascii="Arial" w:hAnsi="Arial" w:cs="Arial"/>
                <w:b/>
              </w:rPr>
            </w:pPr>
            <w:r w:rsidRPr="004A1C8A">
              <w:rPr>
                <w:rFonts w:ascii="Arial" w:hAnsi="Arial" w:cs="Arial"/>
                <w:b/>
              </w:rPr>
              <w:t>New</w:t>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w:t>
            </w:r>
          </w:p>
        </w:tc>
        <w:tc>
          <w:tcPr>
            <w:tcW w:w="3407" w:type="pct"/>
            <w:tcBorders>
              <w:left w:val="nil"/>
            </w:tcBorders>
            <w:vAlign w:val="center"/>
          </w:tcPr>
          <w:p w:rsidR="00FA76D8" w:rsidRDefault="000F4DEB" w:rsidP="000F4DEB">
            <w:pPr>
              <w:spacing w:beforeLines="40" w:before="96" w:afterLines="40" w:after="96"/>
              <w:rPr>
                <w:rFonts w:ascii="Arial" w:hAnsi="Arial" w:cs="Arial"/>
                <w:sz w:val="20"/>
                <w:szCs w:val="20"/>
              </w:rPr>
            </w:pPr>
            <w:r>
              <w:rPr>
                <w:rFonts w:ascii="Arial" w:hAnsi="Arial" w:cs="Arial"/>
                <w:sz w:val="20"/>
                <w:szCs w:val="20"/>
              </w:rPr>
              <w:t>When the new standard has been made, allow a lead-in period of 12 months before the new requirements commence</w:t>
            </w:r>
          </w:p>
        </w:tc>
        <w:tc>
          <w:tcPr>
            <w:tcW w:w="611" w:type="pct"/>
            <w:vAlign w:val="center"/>
          </w:tcPr>
          <w:p w:rsidR="00FA76D8" w:rsidRDefault="00FA76D8" w:rsidP="002953F0">
            <w:pPr>
              <w:spacing w:beforeLines="40" w:before="96" w:afterLines="40" w:after="96"/>
              <w:jc w:val="center"/>
              <w:rPr>
                <w:rFonts w:ascii="Arial" w:hAnsi="Arial" w:cs="Arial"/>
                <w:sz w:val="20"/>
                <w:szCs w:val="20"/>
              </w:rPr>
            </w:pPr>
            <w:r w:rsidRPr="00870A84">
              <w:rPr>
                <w:rFonts w:ascii="Arial" w:hAnsi="Arial" w:cs="Arial"/>
                <w:sz w:val="20"/>
                <w:szCs w:val="20"/>
              </w:rPr>
              <w:t>N/A</w:t>
            </w:r>
          </w:p>
        </w:tc>
        <w:tc>
          <w:tcPr>
            <w:tcW w:w="744" w:type="pct"/>
            <w:vAlign w:val="center"/>
          </w:tcPr>
          <w:p w:rsidR="00FA76D8" w:rsidRDefault="00FA76D8" w:rsidP="002953F0">
            <w:pPr>
              <w:spacing w:beforeLines="40" w:before="96" w:afterLines="40" w:after="96"/>
              <w:jc w:val="center"/>
              <w:rPr>
                <w:rFonts w:ascii="Arial" w:hAnsi="Arial" w:cs="Arial"/>
                <w:sz w:val="20"/>
                <w:szCs w:val="20"/>
              </w:rPr>
            </w:pPr>
            <w:r w:rsidRPr="00870A84">
              <w:rPr>
                <w:rFonts w:ascii="Arial" w:hAnsi="Arial" w:cs="Arial"/>
                <w:sz w:val="20"/>
                <w:szCs w:val="20"/>
              </w:rPr>
              <w:t>N/A</w:t>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BS1970:2012</w:t>
            </w:r>
            <w:r w:rsidRPr="004A1C8A">
              <w:rPr>
                <w:rFonts w:ascii="Arial" w:hAnsi="Arial" w:cs="Arial"/>
                <w:sz w:val="20"/>
                <w:szCs w:val="20"/>
              </w:rPr>
              <w:br/>
              <w:t>Visual Examination</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3</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4.2 BS1970:2012 </w:t>
            </w:r>
            <w:r w:rsidRPr="004A1C8A">
              <w:rPr>
                <w:rFonts w:ascii="Arial" w:hAnsi="Arial" w:cs="Arial"/>
                <w:sz w:val="20"/>
                <w:szCs w:val="20"/>
              </w:rPr>
              <w:br/>
              <w:t>Thickness (mm)</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4</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Clause 4.3 BS1970:2012 Filling characteristics (mm)</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5</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5.1 BS1970:2012 </w:t>
            </w:r>
            <w:r w:rsidRPr="004A1C8A">
              <w:rPr>
                <w:rFonts w:ascii="Arial" w:hAnsi="Arial" w:cs="Arial"/>
                <w:sz w:val="20"/>
                <w:szCs w:val="20"/>
              </w:rPr>
              <w:br/>
              <w:t>Closures, General</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6</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5.2 BS1970:2012 </w:t>
            </w:r>
            <w:r w:rsidRPr="004A1C8A">
              <w:rPr>
                <w:rFonts w:ascii="Arial" w:hAnsi="Arial" w:cs="Arial"/>
                <w:sz w:val="20"/>
                <w:szCs w:val="20"/>
              </w:rPr>
              <w:br/>
              <w:t>Test for separation of screwed closures</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7</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Clause 5.3 BS1970:2012 Rubber components (IRHD)</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8</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Clause 6.1 BS1970:2012 Leakage</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9</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6.2 BS1970:2012 </w:t>
            </w:r>
            <w:r w:rsidRPr="004A1C8A">
              <w:rPr>
                <w:rFonts w:ascii="Arial" w:hAnsi="Arial" w:cs="Arial"/>
                <w:sz w:val="20"/>
                <w:szCs w:val="20"/>
              </w:rPr>
              <w:br/>
              <w:t>Strength of seam</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10</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6.3 BS1970:2012 </w:t>
            </w:r>
            <w:r w:rsidRPr="004A1C8A">
              <w:rPr>
                <w:rFonts w:ascii="Arial" w:hAnsi="Arial" w:cs="Arial"/>
                <w:sz w:val="20"/>
                <w:szCs w:val="20"/>
              </w:rPr>
              <w:br/>
              <w:t>Pressure resistance</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11</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6.4.2.2 </w:t>
            </w:r>
            <w:r w:rsidRPr="004A1C8A">
              <w:rPr>
                <w:rFonts w:ascii="Arial" w:hAnsi="Arial" w:cs="Arial"/>
                <w:sz w:val="20"/>
                <w:szCs w:val="20"/>
              </w:rPr>
              <w:br/>
              <w:t xml:space="preserve">Tensile stress- strain </w:t>
            </w:r>
            <w:r w:rsidRPr="004A1C8A">
              <w:rPr>
                <w:rFonts w:ascii="Arial" w:hAnsi="Arial" w:cs="Arial"/>
                <w:sz w:val="20"/>
                <w:szCs w:val="20"/>
              </w:rPr>
              <w:br/>
              <w:t>(before aging)</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lastRenderedPageBreak/>
              <w:t>12</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6.4.2.3 </w:t>
            </w:r>
            <w:r w:rsidRPr="004A1C8A">
              <w:rPr>
                <w:rFonts w:ascii="Arial" w:hAnsi="Arial" w:cs="Arial"/>
                <w:sz w:val="20"/>
                <w:szCs w:val="20"/>
              </w:rPr>
              <w:br/>
              <w:t xml:space="preserve">Tensile stress- strain </w:t>
            </w:r>
            <w:r w:rsidRPr="004A1C8A">
              <w:rPr>
                <w:rFonts w:ascii="Arial" w:hAnsi="Arial" w:cs="Arial"/>
                <w:sz w:val="20"/>
                <w:szCs w:val="20"/>
              </w:rPr>
              <w:br/>
              <w:t>(after aging)</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13</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Clause 6.5.1 </w:t>
            </w:r>
            <w:r w:rsidRPr="004A1C8A">
              <w:rPr>
                <w:rFonts w:ascii="Arial" w:hAnsi="Arial" w:cs="Arial"/>
                <w:sz w:val="20"/>
                <w:szCs w:val="20"/>
              </w:rPr>
              <w:br/>
              <w:t>Tension set for HWB (%)</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14</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Clause 6.6</w:t>
            </w:r>
            <w:r w:rsidRPr="004A1C8A">
              <w:rPr>
                <w:rFonts w:ascii="Arial" w:hAnsi="Arial" w:cs="Arial"/>
                <w:sz w:val="20"/>
                <w:szCs w:val="20"/>
              </w:rPr>
              <w:br/>
              <w:t xml:space="preserve">Tear strength </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15</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General warnings according to Appendix B</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16</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Adopt Filling instructions according to Appendix B</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17</w:t>
            </w:r>
          </w:p>
        </w:tc>
        <w:tc>
          <w:tcPr>
            <w:tcW w:w="3407" w:type="pct"/>
            <w:tcBorders>
              <w:left w:val="nil"/>
            </w:tcBorders>
            <w:vAlign w:val="center"/>
          </w:tcPr>
          <w:p w:rsidR="00FA76D8" w:rsidRDefault="00FA76D8" w:rsidP="00BF6D0E">
            <w:pPr>
              <w:spacing w:beforeLines="40" w:before="96" w:afterLines="40" w:after="96"/>
              <w:rPr>
                <w:rFonts w:ascii="Arial" w:hAnsi="Arial" w:cs="Arial"/>
                <w:sz w:val="20"/>
                <w:szCs w:val="20"/>
              </w:rPr>
            </w:pPr>
            <w:r w:rsidRPr="004A1C8A">
              <w:rPr>
                <w:rFonts w:ascii="Arial" w:hAnsi="Arial" w:cs="Arial"/>
                <w:sz w:val="20"/>
                <w:szCs w:val="20"/>
              </w:rPr>
              <w:t xml:space="preserve">Adopt </w:t>
            </w:r>
            <w:r w:rsidRPr="004A1C8A">
              <w:rPr>
                <w:rFonts w:ascii="Arial" w:hAnsi="Arial" w:cs="Arial"/>
                <w:sz w:val="20"/>
                <w:szCs w:val="20"/>
              </w:rPr>
              <w:br/>
              <w:t>Usage instructions according to Appendix B</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18</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Adopt </w:t>
            </w:r>
            <w:r w:rsidRPr="004A1C8A">
              <w:rPr>
                <w:rFonts w:ascii="Arial" w:hAnsi="Arial" w:cs="Arial"/>
                <w:sz w:val="20"/>
                <w:szCs w:val="20"/>
              </w:rPr>
              <w:br/>
              <w:t>Storage instructions according to Appendix B</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19</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Provide warnings and instructions on the packaging </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20</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Provide warnings and instructions as a separate insert or pamphlet accompanying the bottle</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21</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Provide a permanent warning “DO NOT USE BOILING WATER” on a specified location on bottle, in a specified font size, in a contrasting colour to the bottle</w:t>
            </w:r>
          </w:p>
        </w:tc>
        <w:tc>
          <w:tcPr>
            <w:tcW w:w="611"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c>
          <w:tcPr>
            <w:tcW w:w="744" w:type="pct"/>
            <w:vAlign w:val="center"/>
          </w:tcPr>
          <w:p w:rsidR="00FA76D8" w:rsidRDefault="00FA76D8" w:rsidP="002953F0">
            <w:pPr>
              <w:spacing w:beforeLines="40" w:before="96" w:afterLines="40" w:after="96"/>
              <w:jc w:val="center"/>
              <w:rPr>
                <w:rFonts w:ascii="Arial" w:hAnsi="Arial" w:cs="Arial"/>
              </w:rPr>
            </w:pPr>
          </w:p>
        </w:tc>
      </w:tr>
      <w:tr w:rsidR="00FA76D8" w:rsidRPr="004A1C8A" w:rsidTr="00BF6D0E">
        <w:tc>
          <w:tcPr>
            <w:tcW w:w="238" w:type="pct"/>
            <w:tcBorders>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22</w:t>
            </w:r>
          </w:p>
        </w:tc>
        <w:tc>
          <w:tcPr>
            <w:tcW w:w="3407" w:type="pct"/>
            <w:tcBorders>
              <w:left w:val="nil"/>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Provide a permanently attached and permanent warning “DO NOT USE BOILING WATER” in a specified font size attached by means of a disc, tag or similar.</w:t>
            </w:r>
          </w:p>
        </w:tc>
        <w:tc>
          <w:tcPr>
            <w:tcW w:w="611" w:type="pct"/>
            <w:vAlign w:val="center"/>
          </w:tcPr>
          <w:p w:rsidR="00FA76D8" w:rsidRDefault="00FA76D8" w:rsidP="002953F0">
            <w:pPr>
              <w:spacing w:beforeLines="40" w:before="96" w:afterLines="40" w:after="96"/>
              <w:jc w:val="center"/>
              <w:rPr>
                <w:rFonts w:ascii="Arial" w:hAnsi="Arial" w:cs="Arial"/>
              </w:rPr>
            </w:pPr>
          </w:p>
        </w:tc>
        <w:tc>
          <w:tcPr>
            <w:tcW w:w="744" w:type="pct"/>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23</w:t>
            </w:r>
          </w:p>
        </w:tc>
        <w:tc>
          <w:tcPr>
            <w:tcW w:w="3407" w:type="pct"/>
            <w:tcBorders>
              <w:top w:val="single" w:sz="4" w:space="0" w:color="auto"/>
              <w:left w:val="nil"/>
              <w:bottom w:val="single" w:sz="4" w:space="0" w:color="auto"/>
              <w:right w:val="single" w:sz="4" w:space="0" w:color="auto"/>
            </w:tcBorders>
            <w:vAlign w:val="center"/>
          </w:tcPr>
          <w:p w:rsidR="00FA76D8" w:rsidRDefault="00FA76D8" w:rsidP="002953F0">
            <w:pPr>
              <w:spacing w:beforeLines="40" w:before="96" w:afterLines="40" w:after="96"/>
              <w:rPr>
                <w:rFonts w:ascii="Arial" w:hAnsi="Arial" w:cs="Arial"/>
                <w:sz w:val="20"/>
                <w:szCs w:val="20"/>
              </w:rPr>
            </w:pPr>
            <w:r w:rsidRPr="004A1C8A">
              <w:rPr>
                <w:rFonts w:ascii="Arial" w:hAnsi="Arial" w:cs="Arial"/>
                <w:sz w:val="20"/>
                <w:szCs w:val="20"/>
              </w:rPr>
              <w:t xml:space="preserve">Provide illustrations for using, filling and storing </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Pr="00870A84" w:rsidRDefault="00FA76D8" w:rsidP="002953F0">
            <w:pPr>
              <w:spacing w:beforeLines="40" w:before="96" w:afterLines="40" w:after="96"/>
              <w:rPr>
                <w:rFonts w:ascii="Arial" w:hAnsi="Arial" w:cs="Arial"/>
                <w:sz w:val="20"/>
                <w:szCs w:val="20"/>
              </w:rPr>
            </w:pPr>
            <w:r w:rsidRPr="00870A84">
              <w:rPr>
                <w:rFonts w:ascii="Arial" w:hAnsi="Arial" w:cs="Arial"/>
                <w:sz w:val="20"/>
                <w:szCs w:val="20"/>
              </w:rPr>
              <w:t>24</w:t>
            </w:r>
          </w:p>
        </w:tc>
        <w:tc>
          <w:tcPr>
            <w:tcW w:w="3407" w:type="pct"/>
            <w:tcBorders>
              <w:top w:val="single" w:sz="4" w:space="0" w:color="auto"/>
              <w:left w:val="nil"/>
              <w:bottom w:val="single" w:sz="4" w:space="0" w:color="auto"/>
              <w:right w:val="single" w:sz="4" w:space="0" w:color="auto"/>
            </w:tcBorders>
            <w:vAlign w:val="center"/>
          </w:tcPr>
          <w:p w:rsidR="00FA76D8" w:rsidRDefault="00FA76D8" w:rsidP="002953F0">
            <w:pPr>
              <w:spacing w:beforeLines="40" w:before="96" w:afterLines="40" w:after="96"/>
              <w:rPr>
                <w:rFonts w:ascii="Arial" w:hAnsi="Arial" w:cs="Arial"/>
                <w:sz w:val="20"/>
                <w:szCs w:val="20"/>
              </w:rPr>
            </w:pPr>
            <w:r>
              <w:rPr>
                <w:rFonts w:ascii="Arial" w:hAnsi="Arial" w:cs="Arial"/>
                <w:sz w:val="20"/>
                <w:szCs w:val="20"/>
              </w:rPr>
              <w:t xml:space="preserve">Extra labelling must be according to Clauses 8 &amp; 9 of </w:t>
            </w:r>
            <w:r w:rsidRPr="00883070">
              <w:rPr>
                <w:rFonts w:ascii="Arial" w:hAnsi="Arial" w:cs="Arial"/>
                <w:sz w:val="20"/>
                <w:szCs w:val="20"/>
              </w:rPr>
              <w:t>BS1970</w:t>
            </w:r>
            <w:r>
              <w:rPr>
                <w:rFonts w:ascii="Arial" w:hAnsi="Arial" w:cs="Arial"/>
                <w:sz w:val="20"/>
                <w:szCs w:val="20"/>
              </w:rPr>
              <w:t>:2012</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Default="00FA76D8" w:rsidP="002953F0">
            <w:pPr>
              <w:spacing w:beforeLines="40" w:before="96" w:afterLines="40" w:after="96"/>
              <w:rPr>
                <w:rFonts w:ascii="Arial" w:hAnsi="Arial" w:cs="Arial"/>
                <w:sz w:val="20"/>
                <w:szCs w:val="20"/>
              </w:rPr>
            </w:pPr>
            <w:r>
              <w:rPr>
                <w:rFonts w:ascii="Arial" w:hAnsi="Arial" w:cs="Arial"/>
                <w:sz w:val="20"/>
                <w:szCs w:val="20"/>
              </w:rPr>
              <w:lastRenderedPageBreak/>
              <w:t>25</w:t>
            </w:r>
          </w:p>
        </w:tc>
        <w:tc>
          <w:tcPr>
            <w:tcW w:w="3407" w:type="pct"/>
            <w:tcBorders>
              <w:top w:val="single" w:sz="4" w:space="0" w:color="auto"/>
              <w:left w:val="nil"/>
              <w:bottom w:val="single" w:sz="4" w:space="0" w:color="auto"/>
              <w:right w:val="single" w:sz="4" w:space="0" w:color="auto"/>
            </w:tcBorders>
            <w:vAlign w:val="center"/>
          </w:tcPr>
          <w:p w:rsidR="00FA76D8" w:rsidRPr="008D13B1" w:rsidRDefault="00FA76D8" w:rsidP="004757B1">
            <w:pPr>
              <w:spacing w:beforeLines="40" w:before="96" w:afterLines="40" w:after="96"/>
              <w:rPr>
                <w:rFonts w:ascii="Arial" w:hAnsi="Arial" w:cs="Arial"/>
                <w:sz w:val="20"/>
                <w:szCs w:val="20"/>
              </w:rPr>
            </w:pPr>
            <w:r w:rsidRPr="008D13B1">
              <w:rPr>
                <w:rFonts w:ascii="Arial" w:hAnsi="Arial" w:cs="Arial"/>
                <w:sz w:val="20"/>
                <w:szCs w:val="20"/>
              </w:rPr>
              <w:t>Adopt Usage instructions which do not prohibit the use of hot tap water</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Default="00FA76D8" w:rsidP="003F7DEA">
            <w:pPr>
              <w:spacing w:beforeLines="40" w:before="96" w:afterLines="40" w:after="96"/>
              <w:rPr>
                <w:rFonts w:ascii="Arial" w:hAnsi="Arial" w:cs="Arial"/>
                <w:sz w:val="20"/>
                <w:szCs w:val="20"/>
              </w:rPr>
            </w:pPr>
            <w:r>
              <w:rPr>
                <w:rFonts w:ascii="Arial" w:hAnsi="Arial" w:cs="Arial"/>
                <w:sz w:val="20"/>
                <w:szCs w:val="20"/>
              </w:rPr>
              <w:t>26</w:t>
            </w:r>
          </w:p>
        </w:tc>
        <w:tc>
          <w:tcPr>
            <w:tcW w:w="3407" w:type="pct"/>
            <w:tcBorders>
              <w:top w:val="single" w:sz="4" w:space="0" w:color="auto"/>
              <w:left w:val="nil"/>
              <w:bottom w:val="single" w:sz="4" w:space="0" w:color="auto"/>
              <w:right w:val="single" w:sz="4" w:space="0" w:color="auto"/>
            </w:tcBorders>
            <w:vAlign w:val="center"/>
          </w:tcPr>
          <w:p w:rsidR="00FA76D8" w:rsidRPr="008D13B1" w:rsidRDefault="00FA76D8" w:rsidP="002953F0">
            <w:pPr>
              <w:spacing w:beforeLines="40" w:before="96" w:afterLines="40" w:after="96"/>
              <w:rPr>
                <w:rFonts w:ascii="Arial" w:hAnsi="Arial" w:cs="Arial"/>
                <w:sz w:val="20"/>
                <w:szCs w:val="20"/>
              </w:rPr>
            </w:pPr>
            <w:r w:rsidRPr="008D13B1">
              <w:rPr>
                <w:rFonts w:ascii="Arial" w:hAnsi="Arial" w:cs="Arial"/>
                <w:sz w:val="20"/>
                <w:szCs w:val="20"/>
              </w:rPr>
              <w:t xml:space="preserve">Adopt </w:t>
            </w:r>
            <w:r w:rsidRPr="008D13B1">
              <w:rPr>
                <w:rFonts w:ascii="Arial" w:hAnsi="Arial" w:cs="Arial"/>
                <w:sz w:val="20"/>
                <w:szCs w:val="20"/>
              </w:rPr>
              <w:br/>
              <w:t>Usage instructions which recommend the use of hot tap water (in preference to boiling water)</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Default="00FA76D8" w:rsidP="003F7DEA">
            <w:pPr>
              <w:spacing w:beforeLines="40" w:before="96" w:afterLines="40" w:after="96"/>
              <w:rPr>
                <w:rFonts w:ascii="Arial" w:hAnsi="Arial" w:cs="Arial"/>
                <w:sz w:val="20"/>
                <w:szCs w:val="20"/>
              </w:rPr>
            </w:pPr>
            <w:r>
              <w:rPr>
                <w:rFonts w:ascii="Arial" w:hAnsi="Arial" w:cs="Arial"/>
                <w:sz w:val="20"/>
                <w:szCs w:val="20"/>
              </w:rPr>
              <w:t>27</w:t>
            </w:r>
          </w:p>
        </w:tc>
        <w:tc>
          <w:tcPr>
            <w:tcW w:w="3407" w:type="pct"/>
            <w:tcBorders>
              <w:top w:val="single" w:sz="4" w:space="0" w:color="auto"/>
              <w:left w:val="nil"/>
              <w:bottom w:val="single" w:sz="4" w:space="0" w:color="auto"/>
              <w:right w:val="single" w:sz="4" w:space="0" w:color="auto"/>
            </w:tcBorders>
            <w:vAlign w:val="center"/>
          </w:tcPr>
          <w:p w:rsidR="00FA76D8" w:rsidRPr="008D13B1" w:rsidRDefault="00FA76D8" w:rsidP="002953F0">
            <w:pPr>
              <w:spacing w:beforeLines="40" w:before="96" w:afterLines="40" w:after="96"/>
              <w:rPr>
                <w:rFonts w:ascii="Arial" w:hAnsi="Arial" w:cs="Arial"/>
                <w:sz w:val="20"/>
                <w:szCs w:val="20"/>
              </w:rPr>
            </w:pPr>
            <w:r>
              <w:rPr>
                <w:rFonts w:ascii="Arial" w:hAnsi="Arial" w:cs="Arial"/>
                <w:sz w:val="20"/>
                <w:szCs w:val="20"/>
              </w:rPr>
              <w:t>Adopt</w:t>
            </w:r>
            <w:r>
              <w:rPr>
                <w:rFonts w:ascii="Arial" w:hAnsi="Arial" w:cs="Arial"/>
                <w:sz w:val="20"/>
                <w:szCs w:val="20"/>
              </w:rPr>
              <w:br/>
              <w:t>Provide the week, month and year of manufacture on the front of the packaging</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r w:rsidRPr="004A1C8A">
              <w:rPr>
                <w:rFonts w:ascii="Arial" w:hAnsi="Arial" w:cs="Arial"/>
              </w:rPr>
              <w:sym w:font="Wingdings 2" w:char="F050"/>
            </w:r>
          </w:p>
        </w:tc>
      </w:tr>
      <w:tr w:rsidR="00FA76D8" w:rsidRPr="004A1C8A" w:rsidTr="00BF6D0E">
        <w:tc>
          <w:tcPr>
            <w:tcW w:w="238" w:type="pct"/>
            <w:tcBorders>
              <w:top w:val="single" w:sz="4" w:space="0" w:color="auto"/>
              <w:left w:val="single" w:sz="4" w:space="0" w:color="auto"/>
              <w:bottom w:val="single" w:sz="4" w:space="0" w:color="auto"/>
              <w:right w:val="nil"/>
            </w:tcBorders>
            <w:vAlign w:val="center"/>
          </w:tcPr>
          <w:p w:rsidR="00FA76D8" w:rsidRDefault="00FA76D8" w:rsidP="003F7DEA">
            <w:pPr>
              <w:spacing w:beforeLines="40" w:before="96" w:afterLines="40" w:after="96"/>
              <w:rPr>
                <w:rFonts w:ascii="Arial" w:hAnsi="Arial" w:cs="Arial"/>
                <w:sz w:val="20"/>
                <w:szCs w:val="20"/>
              </w:rPr>
            </w:pPr>
            <w:r>
              <w:rPr>
                <w:rFonts w:ascii="Arial" w:hAnsi="Arial" w:cs="Arial"/>
                <w:sz w:val="20"/>
                <w:szCs w:val="20"/>
              </w:rPr>
              <w:t>28</w:t>
            </w:r>
          </w:p>
        </w:tc>
        <w:tc>
          <w:tcPr>
            <w:tcW w:w="3407" w:type="pct"/>
            <w:tcBorders>
              <w:top w:val="single" w:sz="4" w:space="0" w:color="auto"/>
              <w:left w:val="nil"/>
              <w:bottom w:val="single" w:sz="4" w:space="0" w:color="auto"/>
              <w:right w:val="single" w:sz="4" w:space="0" w:color="auto"/>
            </w:tcBorders>
            <w:vAlign w:val="center"/>
          </w:tcPr>
          <w:p w:rsidR="00FA76D8" w:rsidRPr="008D13B1" w:rsidRDefault="00FA76D8" w:rsidP="002953F0">
            <w:pPr>
              <w:spacing w:beforeLines="40" w:before="96" w:afterLines="40" w:after="96"/>
              <w:rPr>
                <w:rFonts w:ascii="Arial" w:hAnsi="Arial" w:cs="Arial"/>
                <w:sz w:val="20"/>
                <w:szCs w:val="20"/>
              </w:rPr>
            </w:pPr>
            <w:r>
              <w:rPr>
                <w:rFonts w:ascii="Arial" w:hAnsi="Arial" w:cs="Arial"/>
                <w:sz w:val="20"/>
                <w:szCs w:val="20"/>
              </w:rPr>
              <w:t>Adopt</w:t>
            </w:r>
            <w:r>
              <w:rPr>
                <w:rFonts w:ascii="Arial" w:hAnsi="Arial" w:cs="Arial"/>
                <w:sz w:val="20"/>
                <w:szCs w:val="20"/>
              </w:rPr>
              <w:br/>
              <w:t>Provide a Use By Date on the front of the packaging</w:t>
            </w:r>
          </w:p>
        </w:tc>
        <w:tc>
          <w:tcPr>
            <w:tcW w:w="611"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c>
          <w:tcPr>
            <w:tcW w:w="744" w:type="pct"/>
            <w:tcBorders>
              <w:top w:val="single" w:sz="4" w:space="0" w:color="auto"/>
              <w:left w:val="single" w:sz="4" w:space="0" w:color="auto"/>
              <w:bottom w:val="single" w:sz="4" w:space="0" w:color="auto"/>
              <w:right w:val="single" w:sz="4" w:space="0" w:color="auto"/>
            </w:tcBorders>
            <w:vAlign w:val="center"/>
          </w:tcPr>
          <w:p w:rsidR="00FA76D8" w:rsidRDefault="00FA76D8" w:rsidP="002953F0">
            <w:pPr>
              <w:spacing w:beforeLines="40" w:before="96" w:afterLines="40" w:after="96"/>
              <w:jc w:val="center"/>
              <w:rPr>
                <w:rFonts w:ascii="Arial" w:hAnsi="Arial" w:cs="Arial"/>
              </w:rPr>
            </w:pPr>
          </w:p>
        </w:tc>
      </w:tr>
    </w:tbl>
    <w:p w:rsidR="007F6349" w:rsidRDefault="007F6349" w:rsidP="007F6349">
      <w:pPr>
        <w:spacing w:line="360" w:lineRule="auto"/>
        <w:rPr>
          <w:rFonts w:ascii="Arial" w:hAnsi="Arial" w:cs="Arial"/>
        </w:rPr>
        <w:sectPr w:rsidR="007F6349" w:rsidSect="00870A84">
          <w:headerReference w:type="default" r:id="rId22"/>
          <w:pgSz w:w="16838" w:h="11906" w:orient="landscape"/>
          <w:pgMar w:top="1418" w:right="1440" w:bottom="1469" w:left="1259" w:header="709" w:footer="709" w:gutter="0"/>
          <w:cols w:space="708"/>
          <w:docGrid w:linePitch="360"/>
        </w:sectPr>
      </w:pPr>
    </w:p>
    <w:p w:rsidR="007F6349" w:rsidRPr="001C0864" w:rsidRDefault="0065239D" w:rsidP="007F6349">
      <w:pPr>
        <w:pStyle w:val="Heading2"/>
      </w:pPr>
      <w:bookmarkStart w:id="21" w:name="_Toc361837038"/>
      <w:r w:rsidRPr="009C4D38">
        <w:lastRenderedPageBreak/>
        <w:t xml:space="preserve">Appendix </w:t>
      </w:r>
      <w:r w:rsidR="00A27C0A">
        <w:t>B</w:t>
      </w:r>
      <w:bookmarkStart w:id="22" w:name="_Toc351719061"/>
      <w:r w:rsidR="007F6349">
        <w:tab/>
      </w:r>
      <w:r w:rsidR="007F6349" w:rsidRPr="001C0864">
        <w:t>Proposed warnings and instructions</w:t>
      </w:r>
      <w:bookmarkEnd w:id="22"/>
      <w:bookmarkEnd w:id="21"/>
    </w:p>
    <w:p w:rsidR="007F6349" w:rsidRPr="008B0918" w:rsidRDefault="007F6349" w:rsidP="007F6349">
      <w:pPr>
        <w:spacing w:before="240" w:after="240"/>
        <w:rPr>
          <w:rFonts w:ascii="Arial" w:hAnsi="Arial" w:cs="Arial"/>
        </w:rPr>
      </w:pPr>
      <w:r w:rsidRPr="001132E1">
        <w:rPr>
          <w:rFonts w:ascii="Arial" w:hAnsi="Arial" w:cs="Arial"/>
        </w:rPr>
        <w:t>Made from Natural Rubber</w:t>
      </w:r>
      <w:r>
        <w:rPr>
          <w:rFonts w:ascii="Arial" w:hAnsi="Arial" w:cs="Arial"/>
        </w:rPr>
        <w:t xml:space="preserve"> </w:t>
      </w:r>
      <w:r>
        <w:rPr>
          <w:rFonts w:ascii="Arial" w:hAnsi="Arial" w:cs="Arial"/>
        </w:rPr>
        <w:tab/>
        <w:t>(if applicable</w:t>
      </w:r>
      <w:r w:rsidRPr="001132E1">
        <w:rPr>
          <w:rFonts w:ascii="Arial" w:hAnsi="Arial" w:cs="Arial"/>
        </w:rPr>
        <w:t>)</w:t>
      </w:r>
    </w:p>
    <w:p w:rsidR="007F6349" w:rsidRPr="008B0918" w:rsidRDefault="007F6349" w:rsidP="007F6349">
      <w:pPr>
        <w:spacing w:before="240" w:after="240"/>
        <w:rPr>
          <w:rFonts w:ascii="Arial" w:hAnsi="Arial" w:cs="Arial"/>
        </w:rPr>
      </w:pPr>
      <w:r w:rsidRPr="008B0918">
        <w:rPr>
          <w:rFonts w:ascii="Arial" w:hAnsi="Arial" w:cs="Arial"/>
          <w:b/>
        </w:rPr>
        <w:t xml:space="preserve">GENERAL </w:t>
      </w:r>
      <w:r>
        <w:rPr>
          <w:rFonts w:ascii="Arial" w:hAnsi="Arial" w:cs="Arial"/>
          <w:b/>
        </w:rPr>
        <w:t>Warnings</w:t>
      </w:r>
    </w:p>
    <w:p w:rsidR="007F6349" w:rsidRPr="008B0918" w:rsidRDefault="007F6349" w:rsidP="007F6349">
      <w:pPr>
        <w:numPr>
          <w:ilvl w:val="0"/>
          <w:numId w:val="33"/>
        </w:numPr>
        <w:spacing w:line="360" w:lineRule="auto"/>
        <w:rPr>
          <w:rFonts w:ascii="Arial" w:hAnsi="Arial" w:cs="Arial"/>
        </w:rPr>
      </w:pPr>
      <w:r>
        <w:rPr>
          <w:rFonts w:ascii="Arial" w:hAnsi="Arial" w:cs="Arial"/>
        </w:rPr>
        <w:t>NEVER fill with boiling water, it can cause damage and bottles may burst</w:t>
      </w:r>
    </w:p>
    <w:p w:rsidR="007F6349" w:rsidRPr="008B0918" w:rsidRDefault="007F6349" w:rsidP="007F6349">
      <w:pPr>
        <w:numPr>
          <w:ilvl w:val="0"/>
          <w:numId w:val="33"/>
        </w:numPr>
        <w:spacing w:line="360" w:lineRule="auto"/>
        <w:rPr>
          <w:rFonts w:ascii="Arial" w:hAnsi="Arial" w:cs="Arial"/>
        </w:rPr>
      </w:pPr>
      <w:r>
        <w:rPr>
          <w:rFonts w:ascii="Arial" w:hAnsi="Arial" w:cs="Arial"/>
        </w:rPr>
        <w:t>NOT recommended for</w:t>
      </w:r>
      <w:r w:rsidRPr="008B0918">
        <w:rPr>
          <w:rFonts w:ascii="Arial" w:hAnsi="Arial" w:cs="Arial"/>
        </w:rPr>
        <w:t xml:space="preserve"> children</w:t>
      </w:r>
      <w:r>
        <w:rPr>
          <w:rFonts w:ascii="Arial" w:hAnsi="Arial" w:cs="Arial"/>
        </w:rPr>
        <w:t xml:space="preserve"> or anyone with reduced feeling or delicate skin</w:t>
      </w:r>
    </w:p>
    <w:p w:rsidR="007F6349" w:rsidRPr="001132E1" w:rsidRDefault="007F6349" w:rsidP="007F6349">
      <w:pPr>
        <w:numPr>
          <w:ilvl w:val="0"/>
          <w:numId w:val="33"/>
        </w:numPr>
        <w:spacing w:line="360" w:lineRule="auto"/>
        <w:rPr>
          <w:rFonts w:ascii="Arial" w:hAnsi="Arial" w:cs="Arial"/>
        </w:rPr>
      </w:pPr>
      <w:r w:rsidRPr="001132E1">
        <w:rPr>
          <w:rFonts w:ascii="Arial" w:hAnsi="Arial" w:cs="Arial"/>
        </w:rPr>
        <w:t>REPLACE at least every 3 years</w:t>
      </w:r>
    </w:p>
    <w:p w:rsidR="007F6349" w:rsidRDefault="007F6349" w:rsidP="007F6349">
      <w:pPr>
        <w:numPr>
          <w:ilvl w:val="0"/>
          <w:numId w:val="33"/>
        </w:numPr>
        <w:spacing w:line="360" w:lineRule="auto"/>
        <w:rPr>
          <w:rFonts w:ascii="Arial" w:hAnsi="Arial" w:cs="Arial"/>
        </w:rPr>
      </w:pPr>
      <w:r>
        <w:rPr>
          <w:rFonts w:ascii="Arial" w:hAnsi="Arial" w:cs="Arial"/>
        </w:rPr>
        <w:t xml:space="preserve">REPLACE earlier if damaged or worn, e.g. </w:t>
      </w:r>
      <w:r w:rsidRPr="00543CE4">
        <w:rPr>
          <w:rFonts w:ascii="Arial" w:hAnsi="Arial" w:cs="Arial"/>
        </w:rPr>
        <w:t>crack</w:t>
      </w:r>
      <w:r>
        <w:rPr>
          <w:rFonts w:ascii="Arial" w:hAnsi="Arial" w:cs="Arial"/>
        </w:rPr>
        <w:t>ed</w:t>
      </w:r>
      <w:r w:rsidRPr="00543CE4">
        <w:rPr>
          <w:rFonts w:ascii="Arial" w:hAnsi="Arial" w:cs="Arial"/>
        </w:rPr>
        <w:t>, splitting, colour</w:t>
      </w:r>
      <w:r>
        <w:rPr>
          <w:rFonts w:ascii="Arial" w:hAnsi="Arial" w:cs="Arial"/>
        </w:rPr>
        <w:t xml:space="preserve"> has</w:t>
      </w:r>
      <w:r w:rsidRPr="00543CE4">
        <w:rPr>
          <w:rFonts w:ascii="Arial" w:hAnsi="Arial" w:cs="Arial"/>
        </w:rPr>
        <w:t xml:space="preserve"> change</w:t>
      </w:r>
      <w:r>
        <w:rPr>
          <w:rFonts w:ascii="Arial" w:hAnsi="Arial" w:cs="Arial"/>
        </w:rPr>
        <w:t>d</w:t>
      </w:r>
      <w:r w:rsidRPr="00543CE4">
        <w:rPr>
          <w:rFonts w:ascii="Arial" w:hAnsi="Arial" w:cs="Arial"/>
        </w:rPr>
        <w:t xml:space="preserve">, </w:t>
      </w:r>
      <w:r>
        <w:rPr>
          <w:rFonts w:ascii="Arial" w:hAnsi="Arial" w:cs="Arial"/>
        </w:rPr>
        <w:t xml:space="preserve">feels </w:t>
      </w:r>
      <w:r w:rsidRPr="00543CE4">
        <w:rPr>
          <w:rFonts w:ascii="Arial" w:hAnsi="Arial" w:cs="Arial"/>
        </w:rPr>
        <w:t>brittle</w:t>
      </w:r>
      <w:r>
        <w:rPr>
          <w:rFonts w:ascii="Arial" w:hAnsi="Arial" w:cs="Arial"/>
        </w:rPr>
        <w:t>, stopper leaks</w:t>
      </w:r>
    </w:p>
    <w:p w:rsidR="007F6349" w:rsidRPr="008B0918" w:rsidRDefault="007F6349" w:rsidP="007F6349">
      <w:pPr>
        <w:spacing w:before="240" w:after="240"/>
        <w:rPr>
          <w:rFonts w:ascii="Arial" w:hAnsi="Arial" w:cs="Arial"/>
          <w:b/>
        </w:rPr>
      </w:pPr>
      <w:r w:rsidRPr="008B0918">
        <w:rPr>
          <w:rFonts w:ascii="Arial" w:hAnsi="Arial" w:cs="Arial"/>
          <w:b/>
        </w:rPr>
        <w:t>IMPORTANT Filling instructions</w:t>
      </w:r>
    </w:p>
    <w:p w:rsidR="007F6349" w:rsidRPr="00BD4CE3" w:rsidRDefault="007F6349" w:rsidP="007F6349">
      <w:pPr>
        <w:numPr>
          <w:ilvl w:val="0"/>
          <w:numId w:val="34"/>
        </w:numPr>
        <w:spacing w:line="360" w:lineRule="auto"/>
        <w:ind w:left="714" w:hanging="357"/>
        <w:rPr>
          <w:rFonts w:ascii="Arial" w:hAnsi="Arial" w:cs="Arial"/>
        </w:rPr>
      </w:pPr>
      <w:r w:rsidRPr="00BD4CE3">
        <w:rPr>
          <w:rFonts w:ascii="Arial" w:hAnsi="Arial" w:cs="Arial"/>
        </w:rPr>
        <w:t>POUR cold water into an equal volume of boiled water in a kettle or jug</w:t>
      </w:r>
    </w:p>
    <w:p w:rsidR="007F6349" w:rsidRPr="008B0918" w:rsidRDefault="007F6349" w:rsidP="007F6349">
      <w:pPr>
        <w:numPr>
          <w:ilvl w:val="0"/>
          <w:numId w:val="34"/>
        </w:numPr>
        <w:spacing w:line="360" w:lineRule="auto"/>
        <w:rPr>
          <w:rFonts w:ascii="Arial" w:hAnsi="Arial" w:cs="Arial"/>
        </w:rPr>
      </w:pPr>
      <w:r>
        <w:rPr>
          <w:rFonts w:ascii="Arial" w:hAnsi="Arial" w:cs="Arial"/>
        </w:rPr>
        <w:t>HOLD</w:t>
      </w:r>
      <w:r w:rsidRPr="008B0918">
        <w:rPr>
          <w:rFonts w:ascii="Arial" w:hAnsi="Arial" w:cs="Arial"/>
        </w:rPr>
        <w:t xml:space="preserve"> </w:t>
      </w:r>
      <w:r>
        <w:rPr>
          <w:rFonts w:ascii="Arial" w:hAnsi="Arial" w:cs="Arial"/>
        </w:rPr>
        <w:t xml:space="preserve">bottle </w:t>
      </w:r>
      <w:r w:rsidRPr="008B0918">
        <w:rPr>
          <w:rFonts w:ascii="Arial" w:hAnsi="Arial" w:cs="Arial"/>
        </w:rPr>
        <w:t>over sink and away from your body,</w:t>
      </w:r>
      <w:r>
        <w:rPr>
          <w:rFonts w:ascii="Arial" w:hAnsi="Arial" w:cs="Arial"/>
        </w:rPr>
        <w:t xml:space="preserve"> POUR water into funnel, </w:t>
      </w:r>
      <w:r w:rsidRPr="008B0918">
        <w:rPr>
          <w:rFonts w:ascii="Arial" w:hAnsi="Arial" w:cs="Arial"/>
        </w:rPr>
        <w:t>taking care not to splash water onto hands or body</w:t>
      </w:r>
    </w:p>
    <w:p w:rsidR="007F6349" w:rsidRPr="008B0918" w:rsidRDefault="007F6349" w:rsidP="007F6349">
      <w:pPr>
        <w:numPr>
          <w:ilvl w:val="0"/>
          <w:numId w:val="34"/>
        </w:numPr>
        <w:spacing w:line="360" w:lineRule="auto"/>
        <w:rPr>
          <w:rFonts w:ascii="Arial" w:hAnsi="Arial" w:cs="Arial"/>
        </w:rPr>
      </w:pPr>
      <w:r>
        <w:rPr>
          <w:rFonts w:ascii="Arial" w:hAnsi="Arial" w:cs="Arial"/>
        </w:rPr>
        <w:t>FILL</w:t>
      </w:r>
      <w:r w:rsidRPr="008B0918">
        <w:rPr>
          <w:rFonts w:ascii="Arial" w:hAnsi="Arial" w:cs="Arial"/>
        </w:rPr>
        <w:t xml:space="preserve"> slowly to two thirds full</w:t>
      </w:r>
      <w:r>
        <w:rPr>
          <w:rFonts w:ascii="Arial" w:hAnsi="Arial" w:cs="Arial"/>
        </w:rPr>
        <w:t>, DO NOT overfill.</w:t>
      </w:r>
    </w:p>
    <w:p w:rsidR="007F6349" w:rsidRPr="008B0918" w:rsidRDefault="007F6349" w:rsidP="007F6349">
      <w:pPr>
        <w:numPr>
          <w:ilvl w:val="0"/>
          <w:numId w:val="34"/>
        </w:numPr>
        <w:spacing w:line="360" w:lineRule="auto"/>
        <w:rPr>
          <w:rFonts w:ascii="Arial" w:hAnsi="Arial" w:cs="Arial"/>
        </w:rPr>
      </w:pPr>
      <w:r>
        <w:rPr>
          <w:rFonts w:ascii="Arial" w:hAnsi="Arial" w:cs="Arial"/>
        </w:rPr>
        <w:t xml:space="preserve">REMOVE air in bottle by </w:t>
      </w:r>
      <w:r w:rsidRPr="008B0918">
        <w:rPr>
          <w:rFonts w:ascii="Arial" w:hAnsi="Arial" w:cs="Arial"/>
        </w:rPr>
        <w:t xml:space="preserve">gently </w:t>
      </w:r>
      <w:r>
        <w:rPr>
          <w:rFonts w:ascii="Arial" w:hAnsi="Arial" w:cs="Arial"/>
        </w:rPr>
        <w:t xml:space="preserve">LOWERING </w:t>
      </w:r>
      <w:r w:rsidRPr="008B0918">
        <w:rPr>
          <w:rFonts w:ascii="Arial" w:hAnsi="Arial" w:cs="Arial"/>
        </w:rPr>
        <w:t>onto flat surface until water can be seen at opening</w:t>
      </w:r>
      <w:r>
        <w:rPr>
          <w:rFonts w:ascii="Arial" w:hAnsi="Arial" w:cs="Arial"/>
        </w:rPr>
        <w:t xml:space="preserve"> </w:t>
      </w:r>
    </w:p>
    <w:p w:rsidR="007F6349" w:rsidRPr="008B0918" w:rsidRDefault="007F6349" w:rsidP="007F6349">
      <w:pPr>
        <w:numPr>
          <w:ilvl w:val="0"/>
          <w:numId w:val="34"/>
        </w:numPr>
        <w:spacing w:line="360" w:lineRule="auto"/>
        <w:rPr>
          <w:rFonts w:ascii="Arial" w:hAnsi="Arial" w:cs="Arial"/>
        </w:rPr>
      </w:pPr>
      <w:r>
        <w:rPr>
          <w:rFonts w:ascii="Arial" w:hAnsi="Arial" w:cs="Arial"/>
        </w:rPr>
        <w:t>SCREW</w:t>
      </w:r>
      <w:r w:rsidRPr="008B0918">
        <w:rPr>
          <w:rFonts w:ascii="Arial" w:hAnsi="Arial" w:cs="Arial"/>
        </w:rPr>
        <w:t xml:space="preserve"> in stopper until </w:t>
      </w:r>
      <w:r>
        <w:rPr>
          <w:rFonts w:ascii="Arial" w:hAnsi="Arial" w:cs="Arial"/>
        </w:rPr>
        <w:t>JUST TIGHT</w:t>
      </w:r>
    </w:p>
    <w:p w:rsidR="007F6349" w:rsidRPr="008B0918" w:rsidRDefault="007F6349" w:rsidP="007F6349">
      <w:pPr>
        <w:numPr>
          <w:ilvl w:val="0"/>
          <w:numId w:val="34"/>
        </w:numPr>
        <w:spacing w:line="360" w:lineRule="auto"/>
        <w:rPr>
          <w:rFonts w:ascii="Arial" w:hAnsi="Arial" w:cs="Arial"/>
        </w:rPr>
      </w:pPr>
      <w:r>
        <w:rPr>
          <w:rFonts w:ascii="Arial" w:hAnsi="Arial" w:cs="Arial"/>
        </w:rPr>
        <w:t>HOLD</w:t>
      </w:r>
      <w:r w:rsidRPr="008B0918">
        <w:rPr>
          <w:rFonts w:ascii="Arial" w:hAnsi="Arial" w:cs="Arial"/>
        </w:rPr>
        <w:t xml:space="preserve"> </w:t>
      </w:r>
      <w:r>
        <w:rPr>
          <w:rFonts w:ascii="Arial" w:hAnsi="Arial" w:cs="Arial"/>
        </w:rPr>
        <w:t xml:space="preserve">bottle </w:t>
      </w:r>
      <w:r w:rsidRPr="008B0918">
        <w:rPr>
          <w:rFonts w:ascii="Arial" w:hAnsi="Arial" w:cs="Arial"/>
        </w:rPr>
        <w:t xml:space="preserve">upside down over sink, away from body, </w:t>
      </w:r>
      <w:r>
        <w:rPr>
          <w:rFonts w:ascii="Arial" w:hAnsi="Arial" w:cs="Arial"/>
        </w:rPr>
        <w:t>SQUEEZE</w:t>
      </w:r>
      <w:r w:rsidRPr="008B0918">
        <w:rPr>
          <w:rFonts w:ascii="Arial" w:hAnsi="Arial" w:cs="Arial"/>
        </w:rPr>
        <w:t xml:space="preserve"> </w:t>
      </w:r>
      <w:r>
        <w:rPr>
          <w:rFonts w:ascii="Arial" w:hAnsi="Arial" w:cs="Arial"/>
        </w:rPr>
        <w:t>LIGHTLY</w:t>
      </w:r>
      <w:r w:rsidRPr="008B0918">
        <w:rPr>
          <w:rFonts w:ascii="Arial" w:hAnsi="Arial" w:cs="Arial"/>
        </w:rPr>
        <w:t xml:space="preserve"> to check for leaks</w:t>
      </w:r>
    </w:p>
    <w:p w:rsidR="007F6349" w:rsidRPr="008B0918" w:rsidRDefault="007F6349" w:rsidP="007F6349">
      <w:pPr>
        <w:spacing w:before="240" w:after="240"/>
        <w:rPr>
          <w:rFonts w:ascii="Arial" w:hAnsi="Arial" w:cs="Arial"/>
          <w:b/>
        </w:rPr>
      </w:pPr>
      <w:r w:rsidRPr="008B0918">
        <w:rPr>
          <w:rFonts w:ascii="Arial" w:hAnsi="Arial" w:cs="Arial"/>
          <w:b/>
        </w:rPr>
        <w:t>IMPORTANT Usage instructions</w:t>
      </w:r>
    </w:p>
    <w:p w:rsidR="007F6349" w:rsidRPr="008B0918" w:rsidRDefault="007F6349" w:rsidP="007F6349">
      <w:pPr>
        <w:numPr>
          <w:ilvl w:val="0"/>
          <w:numId w:val="35"/>
        </w:numPr>
        <w:spacing w:line="360" w:lineRule="auto"/>
        <w:rPr>
          <w:rFonts w:ascii="Arial" w:hAnsi="Arial" w:cs="Arial"/>
        </w:rPr>
      </w:pPr>
      <w:r>
        <w:rPr>
          <w:rFonts w:ascii="Arial" w:hAnsi="Arial" w:cs="Arial"/>
        </w:rPr>
        <w:t>WRAP</w:t>
      </w:r>
      <w:r w:rsidRPr="008B0918">
        <w:rPr>
          <w:rFonts w:ascii="Arial" w:hAnsi="Arial" w:cs="Arial"/>
        </w:rPr>
        <w:t xml:space="preserve"> in a towel or covering - do not place bottle in direct contact with skin</w:t>
      </w:r>
    </w:p>
    <w:p w:rsidR="007F6349" w:rsidRPr="008B0918" w:rsidRDefault="007F6349" w:rsidP="007F6349">
      <w:pPr>
        <w:numPr>
          <w:ilvl w:val="0"/>
          <w:numId w:val="35"/>
        </w:numPr>
        <w:spacing w:line="360" w:lineRule="auto"/>
        <w:rPr>
          <w:rFonts w:ascii="Arial" w:hAnsi="Arial" w:cs="Arial"/>
        </w:rPr>
      </w:pPr>
      <w:r>
        <w:rPr>
          <w:rFonts w:ascii="Arial" w:hAnsi="Arial" w:cs="Arial"/>
        </w:rPr>
        <w:t>DO NOT</w:t>
      </w:r>
      <w:r w:rsidRPr="008B0918">
        <w:rPr>
          <w:rFonts w:ascii="Arial" w:hAnsi="Arial" w:cs="Arial"/>
        </w:rPr>
        <w:t xml:space="preserve"> lean on, sit on, rest your legs on or put pressure or weight on bottle</w:t>
      </w:r>
    </w:p>
    <w:p w:rsidR="007F6349" w:rsidRDefault="007F6349" w:rsidP="007F6349">
      <w:pPr>
        <w:numPr>
          <w:ilvl w:val="0"/>
          <w:numId w:val="35"/>
        </w:numPr>
        <w:spacing w:line="360" w:lineRule="auto"/>
        <w:rPr>
          <w:rFonts w:ascii="Arial" w:hAnsi="Arial" w:cs="Arial"/>
        </w:rPr>
      </w:pPr>
      <w:r>
        <w:rPr>
          <w:rFonts w:ascii="Arial" w:hAnsi="Arial" w:cs="Arial"/>
        </w:rPr>
        <w:t>DO NOT sleep with bottle overnight, r</w:t>
      </w:r>
      <w:r w:rsidRPr="008A1461">
        <w:rPr>
          <w:rFonts w:ascii="Arial" w:hAnsi="Arial" w:cs="Arial"/>
        </w:rPr>
        <w:t>emove before getting into bed</w:t>
      </w:r>
    </w:p>
    <w:p w:rsidR="007F6349" w:rsidRPr="008A1461" w:rsidRDefault="007F6349" w:rsidP="007F6349">
      <w:pPr>
        <w:numPr>
          <w:ilvl w:val="0"/>
          <w:numId w:val="35"/>
        </w:numPr>
        <w:spacing w:line="360" w:lineRule="auto"/>
        <w:rPr>
          <w:rFonts w:ascii="Arial" w:hAnsi="Arial" w:cs="Arial"/>
        </w:rPr>
      </w:pPr>
      <w:r w:rsidRPr="008A1461">
        <w:rPr>
          <w:rFonts w:ascii="Arial" w:hAnsi="Arial" w:cs="Arial"/>
        </w:rPr>
        <w:t>NEVER heat bottle in oven or microwave oven</w:t>
      </w:r>
    </w:p>
    <w:p w:rsidR="007F6349" w:rsidRPr="008B0918" w:rsidRDefault="007F6349" w:rsidP="007F6349">
      <w:pPr>
        <w:spacing w:before="240" w:after="240"/>
        <w:rPr>
          <w:rFonts w:ascii="Arial" w:hAnsi="Arial" w:cs="Arial"/>
          <w:b/>
        </w:rPr>
      </w:pPr>
      <w:r w:rsidRPr="008B0918">
        <w:rPr>
          <w:rFonts w:ascii="Arial" w:hAnsi="Arial" w:cs="Arial"/>
          <w:b/>
        </w:rPr>
        <w:t>IMPORTANT Storage instructions</w:t>
      </w:r>
    </w:p>
    <w:p w:rsidR="007F6349" w:rsidRPr="008B0918" w:rsidRDefault="007F6349" w:rsidP="007F6349">
      <w:pPr>
        <w:numPr>
          <w:ilvl w:val="0"/>
          <w:numId w:val="36"/>
        </w:numPr>
        <w:spacing w:line="360" w:lineRule="auto"/>
        <w:rPr>
          <w:rFonts w:ascii="Arial" w:hAnsi="Arial" w:cs="Arial"/>
        </w:rPr>
      </w:pPr>
      <w:r>
        <w:rPr>
          <w:rFonts w:ascii="Arial" w:hAnsi="Arial" w:cs="Arial"/>
        </w:rPr>
        <w:t>EMPTY bottle and HANG</w:t>
      </w:r>
      <w:r w:rsidRPr="008B0918">
        <w:rPr>
          <w:rFonts w:ascii="Arial" w:hAnsi="Arial" w:cs="Arial"/>
        </w:rPr>
        <w:t xml:space="preserve"> upside down to </w:t>
      </w:r>
      <w:r>
        <w:rPr>
          <w:rFonts w:ascii="Arial" w:hAnsi="Arial" w:cs="Arial"/>
        </w:rPr>
        <w:t>dry. A</w:t>
      </w:r>
      <w:r w:rsidRPr="008B0918">
        <w:rPr>
          <w:rFonts w:ascii="Arial" w:hAnsi="Arial" w:cs="Arial"/>
        </w:rPr>
        <w:t>llow to</w:t>
      </w:r>
      <w:r>
        <w:rPr>
          <w:rFonts w:ascii="Arial" w:hAnsi="Arial" w:cs="Arial"/>
        </w:rPr>
        <w:t xml:space="preserve"> fully</w:t>
      </w:r>
      <w:r w:rsidRPr="008B0918">
        <w:rPr>
          <w:rFonts w:ascii="Arial" w:hAnsi="Arial" w:cs="Arial"/>
        </w:rPr>
        <w:t xml:space="preserve"> dry </w:t>
      </w:r>
      <w:r>
        <w:rPr>
          <w:rFonts w:ascii="Arial" w:hAnsi="Arial" w:cs="Arial"/>
        </w:rPr>
        <w:t>BEFORE</w:t>
      </w:r>
      <w:r w:rsidRPr="008B0918">
        <w:rPr>
          <w:rFonts w:ascii="Arial" w:hAnsi="Arial" w:cs="Arial"/>
        </w:rPr>
        <w:t xml:space="preserve"> </w:t>
      </w:r>
      <w:r>
        <w:rPr>
          <w:rFonts w:ascii="Arial" w:hAnsi="Arial" w:cs="Arial"/>
        </w:rPr>
        <w:t>storing</w:t>
      </w:r>
    </w:p>
    <w:p w:rsidR="007F6349" w:rsidRDefault="007F6349" w:rsidP="007F6349">
      <w:pPr>
        <w:numPr>
          <w:ilvl w:val="0"/>
          <w:numId w:val="36"/>
        </w:numPr>
        <w:spacing w:line="360" w:lineRule="auto"/>
        <w:rPr>
          <w:rFonts w:ascii="Arial" w:hAnsi="Arial" w:cs="Arial"/>
        </w:rPr>
      </w:pPr>
      <w:r>
        <w:rPr>
          <w:rFonts w:ascii="Arial" w:hAnsi="Arial" w:cs="Arial"/>
        </w:rPr>
        <w:t>STORE</w:t>
      </w:r>
      <w:r w:rsidRPr="008B0918">
        <w:rPr>
          <w:rFonts w:ascii="Arial" w:hAnsi="Arial" w:cs="Arial"/>
        </w:rPr>
        <w:t xml:space="preserve"> with stopper </w:t>
      </w:r>
      <w:r>
        <w:rPr>
          <w:rFonts w:ascii="Arial" w:hAnsi="Arial" w:cs="Arial"/>
        </w:rPr>
        <w:t>REMOVED</w:t>
      </w:r>
    </w:p>
    <w:p w:rsidR="007F6349" w:rsidRPr="008B0918" w:rsidRDefault="007F6349" w:rsidP="007F6349">
      <w:pPr>
        <w:numPr>
          <w:ilvl w:val="0"/>
          <w:numId w:val="36"/>
        </w:numPr>
        <w:spacing w:line="360" w:lineRule="auto"/>
        <w:rPr>
          <w:rFonts w:ascii="Arial" w:hAnsi="Arial" w:cs="Arial"/>
        </w:rPr>
      </w:pPr>
      <w:r>
        <w:rPr>
          <w:rFonts w:ascii="Arial" w:hAnsi="Arial" w:cs="Arial"/>
        </w:rPr>
        <w:t xml:space="preserve">STORE in cool, dark, </w:t>
      </w:r>
      <w:r w:rsidRPr="008B0918">
        <w:rPr>
          <w:rFonts w:ascii="Arial" w:hAnsi="Arial" w:cs="Arial"/>
        </w:rPr>
        <w:t xml:space="preserve">dry place, </w:t>
      </w:r>
      <w:r>
        <w:rPr>
          <w:rFonts w:ascii="Arial" w:hAnsi="Arial" w:cs="Arial"/>
        </w:rPr>
        <w:t>HANG</w:t>
      </w:r>
      <w:r w:rsidRPr="008B0918">
        <w:rPr>
          <w:rFonts w:ascii="Arial" w:hAnsi="Arial" w:cs="Arial"/>
        </w:rPr>
        <w:t xml:space="preserve"> upside down, or lie flat</w:t>
      </w:r>
    </w:p>
    <w:p w:rsidR="007F6349" w:rsidRPr="008B0918" w:rsidRDefault="007F6349" w:rsidP="007F6349">
      <w:pPr>
        <w:numPr>
          <w:ilvl w:val="0"/>
          <w:numId w:val="36"/>
        </w:numPr>
        <w:spacing w:line="360" w:lineRule="auto"/>
        <w:rPr>
          <w:rFonts w:ascii="Arial" w:hAnsi="Arial" w:cs="Arial"/>
        </w:rPr>
      </w:pPr>
      <w:r>
        <w:rPr>
          <w:rFonts w:ascii="Arial" w:hAnsi="Arial" w:cs="Arial"/>
        </w:rPr>
        <w:t>DO NOT</w:t>
      </w:r>
      <w:r w:rsidRPr="008B0918">
        <w:rPr>
          <w:rFonts w:ascii="Arial" w:hAnsi="Arial" w:cs="Arial"/>
        </w:rPr>
        <w:t xml:space="preserve"> place any items on top of bottle</w:t>
      </w:r>
    </w:p>
    <w:p w:rsidR="007F6349" w:rsidRPr="006C09EF" w:rsidRDefault="007F6349" w:rsidP="007F6349">
      <w:pPr>
        <w:numPr>
          <w:ilvl w:val="0"/>
          <w:numId w:val="36"/>
        </w:numPr>
        <w:spacing w:line="360" w:lineRule="auto"/>
        <w:rPr>
          <w:rFonts w:ascii="Arial" w:hAnsi="Arial" w:cs="Arial"/>
        </w:rPr>
      </w:pPr>
      <w:r>
        <w:rPr>
          <w:rFonts w:ascii="Arial" w:hAnsi="Arial" w:cs="Arial"/>
        </w:rPr>
        <w:t>KEEP AWAY</w:t>
      </w:r>
      <w:r w:rsidRPr="008B0918">
        <w:rPr>
          <w:rFonts w:ascii="Arial" w:hAnsi="Arial" w:cs="Arial"/>
        </w:rPr>
        <w:t xml:space="preserve"> from moisture, sunlight, oil, grease and heat</w:t>
      </w:r>
    </w:p>
    <w:p w:rsidR="0070228C" w:rsidRPr="0070228C" w:rsidRDefault="007F6349" w:rsidP="00BF6977">
      <w:pPr>
        <w:jc w:val="center"/>
      </w:pPr>
      <w:r w:rsidRPr="007F6349">
        <w:rPr>
          <w:rFonts w:ascii="Arial" w:hAnsi="Arial" w:cs="Arial"/>
          <w:b/>
          <w:sz w:val="56"/>
          <w:szCs w:val="56"/>
        </w:rPr>
        <w:sym w:font="Wingdings" w:char="F0FE"/>
      </w:r>
      <w:r>
        <w:rPr>
          <w:rFonts w:ascii="Arial" w:hAnsi="Arial" w:cs="Arial"/>
          <w:b/>
          <w:sz w:val="28"/>
          <w:szCs w:val="28"/>
        </w:rPr>
        <w:tab/>
      </w:r>
      <w:r w:rsidRPr="00BD4CE3">
        <w:rPr>
          <w:rFonts w:ascii="Arial" w:hAnsi="Arial" w:cs="Arial"/>
          <w:b/>
          <w:sz w:val="28"/>
          <w:szCs w:val="28"/>
        </w:rPr>
        <w:t>KEEP THESE I</w:t>
      </w:r>
      <w:r w:rsidR="009C164B">
        <w:rPr>
          <w:rFonts w:ascii="Arial" w:hAnsi="Arial" w:cs="Arial"/>
          <w:b/>
          <w:sz w:val="28"/>
          <w:szCs w:val="28"/>
        </w:rPr>
        <w:t>NSTRUCTIONS FOR FUTURE REFERENCE</w:t>
      </w:r>
    </w:p>
    <w:sectPr w:rsidR="0070228C" w:rsidRPr="0070228C" w:rsidSect="00EB1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6D" w:rsidRDefault="00CF356D" w:rsidP="00A710CC">
      <w:r>
        <w:separator/>
      </w:r>
    </w:p>
  </w:endnote>
  <w:endnote w:type="continuationSeparator" w:id="0">
    <w:p w:rsidR="00CF356D" w:rsidRDefault="00CF356D" w:rsidP="00A7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Default="00CF3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Pr="00666A28" w:rsidRDefault="00CF356D">
    <w:pPr>
      <w:pStyle w:val="Footer"/>
      <w:rPr>
        <w:sz w:val="16"/>
        <w:szCs w:val="16"/>
      </w:rPr>
    </w:pPr>
    <w:r w:rsidRPr="00666A28">
      <w:rPr>
        <w:sz w:val="16"/>
        <w:szCs w:val="16"/>
      </w:rPr>
      <w:t xml:space="preserve">Page | </w:t>
    </w:r>
    <w:r w:rsidRPr="00666A28">
      <w:rPr>
        <w:sz w:val="16"/>
        <w:szCs w:val="16"/>
      </w:rPr>
      <w:fldChar w:fldCharType="begin"/>
    </w:r>
    <w:r w:rsidRPr="00666A28">
      <w:rPr>
        <w:sz w:val="16"/>
        <w:szCs w:val="16"/>
      </w:rPr>
      <w:instrText xml:space="preserve"> PAGE   \* MERGEFORMAT </w:instrText>
    </w:r>
    <w:r w:rsidRPr="00666A28">
      <w:rPr>
        <w:sz w:val="16"/>
        <w:szCs w:val="16"/>
      </w:rPr>
      <w:fldChar w:fldCharType="separate"/>
    </w:r>
    <w:r w:rsidR="003F1771">
      <w:rPr>
        <w:noProof/>
        <w:sz w:val="16"/>
        <w:szCs w:val="16"/>
      </w:rPr>
      <w:t>13</w:t>
    </w:r>
    <w:r w:rsidRPr="00666A28">
      <w:rPr>
        <w:sz w:val="16"/>
        <w:szCs w:val="16"/>
      </w:rPr>
      <w:fldChar w:fldCharType="end"/>
    </w:r>
  </w:p>
  <w:p w:rsidR="00CF356D" w:rsidRDefault="00CF3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Default="00CF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6D" w:rsidRDefault="00CF356D" w:rsidP="00A710CC">
      <w:r>
        <w:separator/>
      </w:r>
    </w:p>
  </w:footnote>
  <w:footnote w:type="continuationSeparator" w:id="0">
    <w:p w:rsidR="00CF356D" w:rsidRDefault="00CF356D" w:rsidP="00A710CC">
      <w:r>
        <w:continuationSeparator/>
      </w:r>
    </w:p>
  </w:footnote>
  <w:footnote w:id="1">
    <w:p w:rsidR="00CF356D" w:rsidRPr="00EF792F" w:rsidRDefault="00CF356D">
      <w:pPr>
        <w:pStyle w:val="FootnoteText"/>
      </w:pPr>
      <w:r>
        <w:rPr>
          <w:rStyle w:val="FootnoteReference"/>
        </w:rPr>
        <w:footnoteRef/>
      </w:r>
      <w:r>
        <w:t xml:space="preserve"> Note that hereafter all references to the ‘</w:t>
      </w:r>
      <w:r w:rsidRPr="006F23B5">
        <w:rPr>
          <w:b/>
        </w:rPr>
        <w:t>Standard’</w:t>
      </w:r>
      <w:r>
        <w:t xml:space="preserve"> commencing with an upper case ‘S’, will mean the </w:t>
      </w:r>
      <w:r>
        <w:rPr>
          <w:b/>
        </w:rPr>
        <w:t>mandatory standard</w:t>
      </w:r>
      <w:r>
        <w:t>. References to the ‘</w:t>
      </w:r>
      <w:r w:rsidRPr="006F23B5">
        <w:rPr>
          <w:b/>
        </w:rPr>
        <w:t>standard’</w:t>
      </w:r>
      <w:r>
        <w:t xml:space="preserve"> commencing with a lower case ‘s’, will mean the </w:t>
      </w:r>
      <w:r w:rsidRPr="006F23B5">
        <w:rPr>
          <w:b/>
        </w:rPr>
        <w:t>voluntary standard</w:t>
      </w:r>
      <w:r>
        <w:t>.</w:t>
      </w:r>
    </w:p>
  </w:footnote>
  <w:footnote w:id="2">
    <w:p w:rsidR="00CF356D" w:rsidRDefault="00CF356D" w:rsidP="007575CF">
      <w:pPr>
        <w:pStyle w:val="FootnoteText"/>
      </w:pPr>
      <w:r>
        <w:rPr>
          <w:rStyle w:val="FootnoteReference"/>
        </w:rPr>
        <w:footnoteRef/>
      </w:r>
      <w:r>
        <w:t xml:space="preserve"> </w:t>
      </w:r>
      <w:r w:rsidRPr="00E511FE">
        <w:t>Note: The detailed technical specifications proposed for the revised Standard have not been reproduced in this paper. For details of the technical specifications, this paper should be read in conjunction with the BS1970:2012. Copies of the BS1970:2012 are available for purchase from the SAI Global website at www.saiglobal.com.</w:t>
      </w:r>
    </w:p>
  </w:footnote>
  <w:footnote w:id="3">
    <w:p w:rsidR="00CF356D" w:rsidRDefault="00CF356D">
      <w:pPr>
        <w:pStyle w:val="FootnoteText"/>
      </w:pPr>
      <w:r>
        <w:rPr>
          <w:rStyle w:val="FootnoteReference"/>
        </w:rPr>
        <w:footnoteRef/>
      </w:r>
      <w:r>
        <w:t xml:space="preserve"> ‘Full thickness burns involve all the layers of the </w:t>
      </w:r>
      <w:r w:rsidRPr="00C67B86">
        <w:t>skin</w:t>
      </w:r>
      <w:r>
        <w:t xml:space="preserve">, including the nerves that supply the skin.’ </w:t>
      </w:r>
      <w:r w:rsidRPr="00D708AA">
        <w:t xml:space="preserve">Torpy JM, Lynm C, Glass RM. Burn Injuries. </w:t>
      </w:r>
      <w:r w:rsidRPr="00D708AA">
        <w:rPr>
          <w:i/>
        </w:rPr>
        <w:t>JAMA</w:t>
      </w:r>
      <w:r w:rsidRPr="00D708AA">
        <w:t>. 2009; 302(16): 1828</w:t>
      </w:r>
      <w:r>
        <w:t>.</w:t>
      </w:r>
    </w:p>
  </w:footnote>
  <w:footnote w:id="4">
    <w:p w:rsidR="00CF356D" w:rsidRDefault="00CF356D" w:rsidP="00C67B86">
      <w:pPr>
        <w:pStyle w:val="FootnoteText"/>
      </w:pPr>
      <w:r>
        <w:rPr>
          <w:rStyle w:val="FootnoteReference"/>
        </w:rPr>
        <w:footnoteRef/>
      </w:r>
      <w:r>
        <w:t xml:space="preserve"> </w:t>
      </w:r>
      <w:r w:rsidRPr="001A1156">
        <w:t xml:space="preserve">Public Health Association Australia, </w:t>
      </w:r>
      <w:r w:rsidRPr="001A1156">
        <w:rPr>
          <w:i/>
        </w:rPr>
        <w:t>Hot Water Temperature and Scald Burns Policy</w:t>
      </w:r>
      <w:r w:rsidRPr="001A1156">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Default="00CF3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Default="00CF3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Default="00CF35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6D" w:rsidRPr="001132E1" w:rsidRDefault="00CF356D" w:rsidP="007F6349">
    <w:pPr>
      <w:pStyle w:val="Header"/>
      <w:rPr>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A0"/>
    <w:multiLevelType w:val="hybridMultilevel"/>
    <w:tmpl w:val="B25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3673B"/>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07A84"/>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0462E0"/>
    <w:multiLevelType w:val="hybridMultilevel"/>
    <w:tmpl w:val="F6888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E15F28"/>
    <w:multiLevelType w:val="hybridMultilevel"/>
    <w:tmpl w:val="97B69B74"/>
    <w:lvl w:ilvl="0" w:tplc="3A483A66">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F11E23"/>
    <w:multiLevelType w:val="hybridMultilevel"/>
    <w:tmpl w:val="A6D6F650"/>
    <w:lvl w:ilvl="0" w:tplc="FE326AE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22206E"/>
    <w:multiLevelType w:val="hybridMultilevel"/>
    <w:tmpl w:val="79F88012"/>
    <w:lvl w:ilvl="0" w:tplc="D452C3C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7B5447"/>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444D42"/>
    <w:multiLevelType w:val="hybridMultilevel"/>
    <w:tmpl w:val="DF0A1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AE05E3"/>
    <w:multiLevelType w:val="hybridMultilevel"/>
    <w:tmpl w:val="218AE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3369E8"/>
    <w:multiLevelType w:val="hybridMultilevel"/>
    <w:tmpl w:val="C0D40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420A0E"/>
    <w:multiLevelType w:val="hybridMultilevel"/>
    <w:tmpl w:val="DF00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D30074"/>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754C9F"/>
    <w:multiLevelType w:val="hybridMultilevel"/>
    <w:tmpl w:val="80084810"/>
    <w:lvl w:ilvl="0" w:tplc="3A483A66">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89E0240"/>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E8039E"/>
    <w:multiLevelType w:val="hybridMultilevel"/>
    <w:tmpl w:val="EA9E53F0"/>
    <w:lvl w:ilvl="0" w:tplc="3A483A66">
      <w:start w:val="1"/>
      <w:numFmt w:val="bullet"/>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CED4989"/>
    <w:multiLevelType w:val="hybridMultilevel"/>
    <w:tmpl w:val="B806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017FFD"/>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7C482E"/>
    <w:multiLevelType w:val="hybridMultilevel"/>
    <w:tmpl w:val="8CA65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355FBB"/>
    <w:multiLevelType w:val="hybridMultilevel"/>
    <w:tmpl w:val="B53A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AC4020"/>
    <w:multiLevelType w:val="hybridMultilevel"/>
    <w:tmpl w:val="9B0A56A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1">
    <w:nsid w:val="3A0B78DE"/>
    <w:multiLevelType w:val="hybridMultilevel"/>
    <w:tmpl w:val="637A9ED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nsid w:val="3D4F50FB"/>
    <w:multiLevelType w:val="hybridMultilevel"/>
    <w:tmpl w:val="32565D38"/>
    <w:lvl w:ilvl="0" w:tplc="4FBC4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D581972"/>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EE5B7C"/>
    <w:multiLevelType w:val="hybridMultilevel"/>
    <w:tmpl w:val="1416F406"/>
    <w:lvl w:ilvl="0" w:tplc="555075FE">
      <w:start w:val="44"/>
      <w:numFmt w:val="bullet"/>
      <w:lvlText w:val="-"/>
      <w:lvlJc w:val="left"/>
      <w:pPr>
        <w:tabs>
          <w:tab w:val="num" w:pos="1080"/>
        </w:tabs>
        <w:ind w:left="1080" w:hanging="360"/>
      </w:pPr>
      <w:rPr>
        <w:rFonts w:ascii="Arial" w:eastAsia="Times New Roman"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nsid w:val="433D404D"/>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B7616B"/>
    <w:multiLevelType w:val="hybridMultilevel"/>
    <w:tmpl w:val="024E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E62720"/>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006125"/>
    <w:multiLevelType w:val="hybridMultilevel"/>
    <w:tmpl w:val="08E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290F91"/>
    <w:multiLevelType w:val="hybridMultilevel"/>
    <w:tmpl w:val="0316DA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EC2B5C"/>
    <w:multiLevelType w:val="hybridMultilevel"/>
    <w:tmpl w:val="0316D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FE29A3"/>
    <w:multiLevelType w:val="hybridMultilevel"/>
    <w:tmpl w:val="E646944A"/>
    <w:lvl w:ilvl="0" w:tplc="C66A79E6">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2">
    <w:nsid w:val="565E2765"/>
    <w:multiLevelType w:val="hybridMultilevel"/>
    <w:tmpl w:val="EE88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2D64E4"/>
    <w:multiLevelType w:val="hybridMultilevel"/>
    <w:tmpl w:val="954C250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C707594"/>
    <w:multiLevelType w:val="hybridMultilevel"/>
    <w:tmpl w:val="04243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2421B9"/>
    <w:multiLevelType w:val="hybridMultilevel"/>
    <w:tmpl w:val="D45456A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nsid w:val="60945A56"/>
    <w:multiLevelType w:val="hybridMultilevel"/>
    <w:tmpl w:val="B408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A67763"/>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3487E29"/>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6B32A09"/>
    <w:multiLevelType w:val="hybridMultilevel"/>
    <w:tmpl w:val="ACEA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562D55"/>
    <w:multiLevelType w:val="hybridMultilevel"/>
    <w:tmpl w:val="32565D38"/>
    <w:lvl w:ilvl="0" w:tplc="4FBC4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6CB278D"/>
    <w:multiLevelType w:val="hybridMultilevel"/>
    <w:tmpl w:val="1D383B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A7A65D6"/>
    <w:multiLevelType w:val="hybridMultilevel"/>
    <w:tmpl w:val="419C5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A65542"/>
    <w:multiLevelType w:val="hybridMultilevel"/>
    <w:tmpl w:val="37623C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236FBB"/>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0"/>
  </w:num>
  <w:num w:numId="3">
    <w:abstractNumId w:val="35"/>
  </w:num>
  <w:num w:numId="4">
    <w:abstractNumId w:val="33"/>
  </w:num>
  <w:num w:numId="5">
    <w:abstractNumId w:val="39"/>
  </w:num>
  <w:num w:numId="6">
    <w:abstractNumId w:val="26"/>
  </w:num>
  <w:num w:numId="7">
    <w:abstractNumId w:val="22"/>
  </w:num>
  <w:num w:numId="8">
    <w:abstractNumId w:val="40"/>
  </w:num>
  <w:num w:numId="9">
    <w:abstractNumId w:val="31"/>
  </w:num>
  <w:num w:numId="10">
    <w:abstractNumId w:val="0"/>
  </w:num>
  <w:num w:numId="11">
    <w:abstractNumId w:val="14"/>
  </w:num>
  <w:num w:numId="12">
    <w:abstractNumId w:val="37"/>
  </w:num>
  <w:num w:numId="13">
    <w:abstractNumId w:val="42"/>
  </w:num>
  <w:num w:numId="14">
    <w:abstractNumId w:val="44"/>
  </w:num>
  <w:num w:numId="15">
    <w:abstractNumId w:val="12"/>
  </w:num>
  <w:num w:numId="16">
    <w:abstractNumId w:val="2"/>
  </w:num>
  <w:num w:numId="17">
    <w:abstractNumId w:val="6"/>
  </w:num>
  <w:num w:numId="18">
    <w:abstractNumId w:val="29"/>
  </w:num>
  <w:num w:numId="19">
    <w:abstractNumId w:val="17"/>
  </w:num>
  <w:num w:numId="20">
    <w:abstractNumId w:val="27"/>
  </w:num>
  <w:num w:numId="21">
    <w:abstractNumId w:val="23"/>
  </w:num>
  <w:num w:numId="22">
    <w:abstractNumId w:val="38"/>
  </w:num>
  <w:num w:numId="23">
    <w:abstractNumId w:val="25"/>
  </w:num>
  <w:num w:numId="24">
    <w:abstractNumId w:val="7"/>
  </w:num>
  <w:num w:numId="25">
    <w:abstractNumId w:val="1"/>
  </w:num>
  <w:num w:numId="26">
    <w:abstractNumId w:val="18"/>
  </w:num>
  <w:num w:numId="27">
    <w:abstractNumId w:val="8"/>
  </w:num>
  <w:num w:numId="28">
    <w:abstractNumId w:val="9"/>
  </w:num>
  <w:num w:numId="29">
    <w:abstractNumId w:val="10"/>
  </w:num>
  <w:num w:numId="30">
    <w:abstractNumId w:val="24"/>
  </w:num>
  <w:num w:numId="31">
    <w:abstractNumId w:val="3"/>
  </w:num>
  <w:num w:numId="32">
    <w:abstractNumId w:val="32"/>
  </w:num>
  <w:num w:numId="33">
    <w:abstractNumId w:val="13"/>
  </w:num>
  <w:num w:numId="34">
    <w:abstractNumId w:val="41"/>
  </w:num>
  <w:num w:numId="35">
    <w:abstractNumId w:val="15"/>
  </w:num>
  <w:num w:numId="36">
    <w:abstractNumId w:val="4"/>
  </w:num>
  <w:num w:numId="37">
    <w:abstractNumId w:val="36"/>
  </w:num>
  <w:num w:numId="38">
    <w:abstractNumId w:val="21"/>
  </w:num>
  <w:num w:numId="39">
    <w:abstractNumId w:val="43"/>
  </w:num>
  <w:num w:numId="40">
    <w:abstractNumId w:val="28"/>
  </w:num>
  <w:num w:numId="41">
    <w:abstractNumId w:val="34"/>
  </w:num>
  <w:num w:numId="42">
    <w:abstractNumId w:val="20"/>
  </w:num>
  <w:num w:numId="43">
    <w:abstractNumId w:val="11"/>
  </w:num>
  <w:num w:numId="44">
    <w:abstractNumId w:val="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mwilso\ps - erp - discussion paper - (D2013-00050583).docx"/>
  </w:docVars>
  <w:rsids>
    <w:rsidRoot w:val="00A710CC"/>
    <w:rsid w:val="00002D13"/>
    <w:rsid w:val="000035E7"/>
    <w:rsid w:val="00003D51"/>
    <w:rsid w:val="00020012"/>
    <w:rsid w:val="00021CB2"/>
    <w:rsid w:val="00021D38"/>
    <w:rsid w:val="00022052"/>
    <w:rsid w:val="0002383E"/>
    <w:rsid w:val="00026488"/>
    <w:rsid w:val="000372B6"/>
    <w:rsid w:val="00041F0A"/>
    <w:rsid w:val="00050CBD"/>
    <w:rsid w:val="000543A9"/>
    <w:rsid w:val="000602DB"/>
    <w:rsid w:val="00064EFA"/>
    <w:rsid w:val="000678A4"/>
    <w:rsid w:val="00070673"/>
    <w:rsid w:val="000720F3"/>
    <w:rsid w:val="0007228B"/>
    <w:rsid w:val="00073183"/>
    <w:rsid w:val="0009041F"/>
    <w:rsid w:val="00094368"/>
    <w:rsid w:val="00094735"/>
    <w:rsid w:val="00095FF2"/>
    <w:rsid w:val="000A18BB"/>
    <w:rsid w:val="000A3532"/>
    <w:rsid w:val="000A7F8D"/>
    <w:rsid w:val="000B01A2"/>
    <w:rsid w:val="000B1851"/>
    <w:rsid w:val="000B4D75"/>
    <w:rsid w:val="000C136D"/>
    <w:rsid w:val="000C45FD"/>
    <w:rsid w:val="000D069D"/>
    <w:rsid w:val="000D51C4"/>
    <w:rsid w:val="000D61BD"/>
    <w:rsid w:val="000E225E"/>
    <w:rsid w:val="000E3785"/>
    <w:rsid w:val="000E6294"/>
    <w:rsid w:val="000F4DEB"/>
    <w:rsid w:val="00100985"/>
    <w:rsid w:val="00102DCA"/>
    <w:rsid w:val="00104C53"/>
    <w:rsid w:val="001141D7"/>
    <w:rsid w:val="0011633F"/>
    <w:rsid w:val="00122E0F"/>
    <w:rsid w:val="00127702"/>
    <w:rsid w:val="001337E5"/>
    <w:rsid w:val="00137CFF"/>
    <w:rsid w:val="00141D14"/>
    <w:rsid w:val="001435A2"/>
    <w:rsid w:val="00154DEB"/>
    <w:rsid w:val="00155C0B"/>
    <w:rsid w:val="00157938"/>
    <w:rsid w:val="001655A3"/>
    <w:rsid w:val="00174F0C"/>
    <w:rsid w:val="00175323"/>
    <w:rsid w:val="001927CF"/>
    <w:rsid w:val="0019624B"/>
    <w:rsid w:val="001A0B15"/>
    <w:rsid w:val="001A45F0"/>
    <w:rsid w:val="001A5C23"/>
    <w:rsid w:val="001B4E06"/>
    <w:rsid w:val="001B57BB"/>
    <w:rsid w:val="001B6420"/>
    <w:rsid w:val="001C384D"/>
    <w:rsid w:val="001C4C43"/>
    <w:rsid w:val="001D39DD"/>
    <w:rsid w:val="001D3E09"/>
    <w:rsid w:val="001E4D11"/>
    <w:rsid w:val="001E63CB"/>
    <w:rsid w:val="001F6EFB"/>
    <w:rsid w:val="002017AE"/>
    <w:rsid w:val="0020636F"/>
    <w:rsid w:val="00211081"/>
    <w:rsid w:val="00212E81"/>
    <w:rsid w:val="00221E2D"/>
    <w:rsid w:val="00222188"/>
    <w:rsid w:val="0024268C"/>
    <w:rsid w:val="00242B8F"/>
    <w:rsid w:val="00252831"/>
    <w:rsid w:val="0026211D"/>
    <w:rsid w:val="002658F3"/>
    <w:rsid w:val="00276CC1"/>
    <w:rsid w:val="002801FF"/>
    <w:rsid w:val="00291887"/>
    <w:rsid w:val="002953F0"/>
    <w:rsid w:val="002A2878"/>
    <w:rsid w:val="002A37C7"/>
    <w:rsid w:val="002B67C4"/>
    <w:rsid w:val="002B79B4"/>
    <w:rsid w:val="002C1E72"/>
    <w:rsid w:val="002C3395"/>
    <w:rsid w:val="002D0C0B"/>
    <w:rsid w:val="002E0567"/>
    <w:rsid w:val="002E30E3"/>
    <w:rsid w:val="002E734B"/>
    <w:rsid w:val="00310E46"/>
    <w:rsid w:val="00314DC1"/>
    <w:rsid w:val="00315C88"/>
    <w:rsid w:val="0032218B"/>
    <w:rsid w:val="00324BF3"/>
    <w:rsid w:val="00325A95"/>
    <w:rsid w:val="003272AF"/>
    <w:rsid w:val="00333D2F"/>
    <w:rsid w:val="00341E0B"/>
    <w:rsid w:val="00345DA6"/>
    <w:rsid w:val="00346FE7"/>
    <w:rsid w:val="00350964"/>
    <w:rsid w:val="00360B2A"/>
    <w:rsid w:val="0036736B"/>
    <w:rsid w:val="00371C03"/>
    <w:rsid w:val="00372401"/>
    <w:rsid w:val="0038220F"/>
    <w:rsid w:val="003927A3"/>
    <w:rsid w:val="003A064E"/>
    <w:rsid w:val="003A2525"/>
    <w:rsid w:val="003A74E3"/>
    <w:rsid w:val="003B3940"/>
    <w:rsid w:val="003C225A"/>
    <w:rsid w:val="003C6964"/>
    <w:rsid w:val="003D3B63"/>
    <w:rsid w:val="003D5059"/>
    <w:rsid w:val="003E50F7"/>
    <w:rsid w:val="003E78A0"/>
    <w:rsid w:val="003F1771"/>
    <w:rsid w:val="003F6EF3"/>
    <w:rsid w:val="003F7DEA"/>
    <w:rsid w:val="00401043"/>
    <w:rsid w:val="00402A3C"/>
    <w:rsid w:val="004039E1"/>
    <w:rsid w:val="00410A52"/>
    <w:rsid w:val="00410F25"/>
    <w:rsid w:val="00411797"/>
    <w:rsid w:val="004150D4"/>
    <w:rsid w:val="004158FE"/>
    <w:rsid w:val="004168BD"/>
    <w:rsid w:val="00421797"/>
    <w:rsid w:val="00421D3B"/>
    <w:rsid w:val="004235EF"/>
    <w:rsid w:val="00425F59"/>
    <w:rsid w:val="00426046"/>
    <w:rsid w:val="00430083"/>
    <w:rsid w:val="00437AF5"/>
    <w:rsid w:val="00443248"/>
    <w:rsid w:val="00443E65"/>
    <w:rsid w:val="00446D86"/>
    <w:rsid w:val="00450A92"/>
    <w:rsid w:val="00451195"/>
    <w:rsid w:val="00456415"/>
    <w:rsid w:val="004567CE"/>
    <w:rsid w:val="00464488"/>
    <w:rsid w:val="004757B1"/>
    <w:rsid w:val="00481E31"/>
    <w:rsid w:val="0049310D"/>
    <w:rsid w:val="00494E81"/>
    <w:rsid w:val="004A0212"/>
    <w:rsid w:val="004A2D7E"/>
    <w:rsid w:val="004A4F46"/>
    <w:rsid w:val="004B18CA"/>
    <w:rsid w:val="004B40FE"/>
    <w:rsid w:val="004B69DF"/>
    <w:rsid w:val="004B738F"/>
    <w:rsid w:val="004C37CE"/>
    <w:rsid w:val="004C6552"/>
    <w:rsid w:val="004D006F"/>
    <w:rsid w:val="004D28F4"/>
    <w:rsid w:val="004E1DFD"/>
    <w:rsid w:val="004E2864"/>
    <w:rsid w:val="004E7C09"/>
    <w:rsid w:val="004F17E5"/>
    <w:rsid w:val="004F203A"/>
    <w:rsid w:val="004F4549"/>
    <w:rsid w:val="005024D1"/>
    <w:rsid w:val="00505D7B"/>
    <w:rsid w:val="00506573"/>
    <w:rsid w:val="0051383B"/>
    <w:rsid w:val="005164BF"/>
    <w:rsid w:val="00516E4E"/>
    <w:rsid w:val="005327EB"/>
    <w:rsid w:val="00534F2A"/>
    <w:rsid w:val="00537B96"/>
    <w:rsid w:val="0054570A"/>
    <w:rsid w:val="00545987"/>
    <w:rsid w:val="00550914"/>
    <w:rsid w:val="00554A4C"/>
    <w:rsid w:val="00554E81"/>
    <w:rsid w:val="005604D3"/>
    <w:rsid w:val="00561318"/>
    <w:rsid w:val="005614DE"/>
    <w:rsid w:val="005619E4"/>
    <w:rsid w:val="00561AD4"/>
    <w:rsid w:val="005624BD"/>
    <w:rsid w:val="0057019F"/>
    <w:rsid w:val="005769F7"/>
    <w:rsid w:val="0058391E"/>
    <w:rsid w:val="00586E2E"/>
    <w:rsid w:val="00590062"/>
    <w:rsid w:val="005A11E3"/>
    <w:rsid w:val="005A2120"/>
    <w:rsid w:val="005A289C"/>
    <w:rsid w:val="005A47E7"/>
    <w:rsid w:val="005B6BDB"/>
    <w:rsid w:val="005B71D4"/>
    <w:rsid w:val="005C1860"/>
    <w:rsid w:val="005C3809"/>
    <w:rsid w:val="005D0317"/>
    <w:rsid w:val="005D0DB7"/>
    <w:rsid w:val="005E75C0"/>
    <w:rsid w:val="006066AA"/>
    <w:rsid w:val="00612524"/>
    <w:rsid w:val="006148F7"/>
    <w:rsid w:val="00622789"/>
    <w:rsid w:val="00623B4E"/>
    <w:rsid w:val="006250F5"/>
    <w:rsid w:val="00625163"/>
    <w:rsid w:val="0062686F"/>
    <w:rsid w:val="0062735D"/>
    <w:rsid w:val="00630CE8"/>
    <w:rsid w:val="00631ADA"/>
    <w:rsid w:val="00635400"/>
    <w:rsid w:val="006367B1"/>
    <w:rsid w:val="00643DAF"/>
    <w:rsid w:val="0064531D"/>
    <w:rsid w:val="0065239D"/>
    <w:rsid w:val="00653D67"/>
    <w:rsid w:val="006572D2"/>
    <w:rsid w:val="006639F8"/>
    <w:rsid w:val="00666A28"/>
    <w:rsid w:val="00667CD3"/>
    <w:rsid w:val="00677B3C"/>
    <w:rsid w:val="00677CD3"/>
    <w:rsid w:val="00686521"/>
    <w:rsid w:val="00690BE0"/>
    <w:rsid w:val="00694EEA"/>
    <w:rsid w:val="006A001C"/>
    <w:rsid w:val="006A29C0"/>
    <w:rsid w:val="006A3B13"/>
    <w:rsid w:val="006A40CE"/>
    <w:rsid w:val="006B0735"/>
    <w:rsid w:val="006B213E"/>
    <w:rsid w:val="006B5013"/>
    <w:rsid w:val="006B6F14"/>
    <w:rsid w:val="006B7872"/>
    <w:rsid w:val="006C50B1"/>
    <w:rsid w:val="006E30A1"/>
    <w:rsid w:val="006F23B5"/>
    <w:rsid w:val="0070228C"/>
    <w:rsid w:val="007032CA"/>
    <w:rsid w:val="00713134"/>
    <w:rsid w:val="00713BF9"/>
    <w:rsid w:val="0071447C"/>
    <w:rsid w:val="007149F0"/>
    <w:rsid w:val="007251F1"/>
    <w:rsid w:val="00736BE3"/>
    <w:rsid w:val="00741D28"/>
    <w:rsid w:val="00745966"/>
    <w:rsid w:val="00755D34"/>
    <w:rsid w:val="007575CF"/>
    <w:rsid w:val="00765D7C"/>
    <w:rsid w:val="00771494"/>
    <w:rsid w:val="00774F56"/>
    <w:rsid w:val="00783EE8"/>
    <w:rsid w:val="00790242"/>
    <w:rsid w:val="007926D1"/>
    <w:rsid w:val="0079538F"/>
    <w:rsid w:val="007A02AD"/>
    <w:rsid w:val="007A3BF1"/>
    <w:rsid w:val="007A4E76"/>
    <w:rsid w:val="007B4DD1"/>
    <w:rsid w:val="007C1B22"/>
    <w:rsid w:val="007C2EC6"/>
    <w:rsid w:val="007C4E7B"/>
    <w:rsid w:val="007D520B"/>
    <w:rsid w:val="007D5EFB"/>
    <w:rsid w:val="007E04C4"/>
    <w:rsid w:val="007E66B8"/>
    <w:rsid w:val="007F0D4A"/>
    <w:rsid w:val="007F62CA"/>
    <w:rsid w:val="007F6349"/>
    <w:rsid w:val="00800BE4"/>
    <w:rsid w:val="00802141"/>
    <w:rsid w:val="008042AC"/>
    <w:rsid w:val="00813632"/>
    <w:rsid w:val="00814E27"/>
    <w:rsid w:val="008168E0"/>
    <w:rsid w:val="00817388"/>
    <w:rsid w:val="00817985"/>
    <w:rsid w:val="008236C7"/>
    <w:rsid w:val="008237B5"/>
    <w:rsid w:val="008240C3"/>
    <w:rsid w:val="00831C36"/>
    <w:rsid w:val="00833715"/>
    <w:rsid w:val="0083396E"/>
    <w:rsid w:val="008354D4"/>
    <w:rsid w:val="0083646C"/>
    <w:rsid w:val="008370D7"/>
    <w:rsid w:val="00840DCF"/>
    <w:rsid w:val="00841C74"/>
    <w:rsid w:val="00844260"/>
    <w:rsid w:val="008465C5"/>
    <w:rsid w:val="00851F99"/>
    <w:rsid w:val="00860E9F"/>
    <w:rsid w:val="00870A84"/>
    <w:rsid w:val="00872D80"/>
    <w:rsid w:val="00874EA4"/>
    <w:rsid w:val="00880B17"/>
    <w:rsid w:val="0088200B"/>
    <w:rsid w:val="00882866"/>
    <w:rsid w:val="00890D57"/>
    <w:rsid w:val="00896ECF"/>
    <w:rsid w:val="008A420A"/>
    <w:rsid w:val="008B6F0D"/>
    <w:rsid w:val="008B75A9"/>
    <w:rsid w:val="008B7AEB"/>
    <w:rsid w:val="008C178A"/>
    <w:rsid w:val="008D13B1"/>
    <w:rsid w:val="008D1CFF"/>
    <w:rsid w:val="008D6C3F"/>
    <w:rsid w:val="008E12E0"/>
    <w:rsid w:val="008E2B47"/>
    <w:rsid w:val="008E6B31"/>
    <w:rsid w:val="008F2A66"/>
    <w:rsid w:val="008F428D"/>
    <w:rsid w:val="008F463A"/>
    <w:rsid w:val="008F6ADF"/>
    <w:rsid w:val="009035D7"/>
    <w:rsid w:val="00907B33"/>
    <w:rsid w:val="00910FC5"/>
    <w:rsid w:val="0091131E"/>
    <w:rsid w:val="0091786E"/>
    <w:rsid w:val="009234CE"/>
    <w:rsid w:val="009265A3"/>
    <w:rsid w:val="00933A15"/>
    <w:rsid w:val="00936C94"/>
    <w:rsid w:val="009400BF"/>
    <w:rsid w:val="00941A00"/>
    <w:rsid w:val="00941D78"/>
    <w:rsid w:val="009420FA"/>
    <w:rsid w:val="0094455A"/>
    <w:rsid w:val="00955DDB"/>
    <w:rsid w:val="00961711"/>
    <w:rsid w:val="00961B7F"/>
    <w:rsid w:val="009628F4"/>
    <w:rsid w:val="00970E38"/>
    <w:rsid w:val="00971FCF"/>
    <w:rsid w:val="00993B1B"/>
    <w:rsid w:val="0099437A"/>
    <w:rsid w:val="00995281"/>
    <w:rsid w:val="009A0AE2"/>
    <w:rsid w:val="009A5231"/>
    <w:rsid w:val="009A70FF"/>
    <w:rsid w:val="009B3EED"/>
    <w:rsid w:val="009C1247"/>
    <w:rsid w:val="009C164B"/>
    <w:rsid w:val="009C3B34"/>
    <w:rsid w:val="009C497F"/>
    <w:rsid w:val="009D0171"/>
    <w:rsid w:val="009D5898"/>
    <w:rsid w:val="009D61DF"/>
    <w:rsid w:val="009D63A4"/>
    <w:rsid w:val="009D6EA1"/>
    <w:rsid w:val="009D70CC"/>
    <w:rsid w:val="009E2B69"/>
    <w:rsid w:val="009E7485"/>
    <w:rsid w:val="009F11F5"/>
    <w:rsid w:val="009F408F"/>
    <w:rsid w:val="00A00C09"/>
    <w:rsid w:val="00A03096"/>
    <w:rsid w:val="00A055A9"/>
    <w:rsid w:val="00A07A1E"/>
    <w:rsid w:val="00A1327A"/>
    <w:rsid w:val="00A16EAC"/>
    <w:rsid w:val="00A17881"/>
    <w:rsid w:val="00A26E5F"/>
    <w:rsid w:val="00A27C0A"/>
    <w:rsid w:val="00A329CA"/>
    <w:rsid w:val="00A36583"/>
    <w:rsid w:val="00A473E0"/>
    <w:rsid w:val="00A5641D"/>
    <w:rsid w:val="00A67418"/>
    <w:rsid w:val="00A70E26"/>
    <w:rsid w:val="00A710CC"/>
    <w:rsid w:val="00A72D77"/>
    <w:rsid w:val="00A76347"/>
    <w:rsid w:val="00A76D23"/>
    <w:rsid w:val="00A77573"/>
    <w:rsid w:val="00A91EEB"/>
    <w:rsid w:val="00AA0CB0"/>
    <w:rsid w:val="00AA1A29"/>
    <w:rsid w:val="00AB4620"/>
    <w:rsid w:val="00AC023D"/>
    <w:rsid w:val="00AC4738"/>
    <w:rsid w:val="00AC6369"/>
    <w:rsid w:val="00AD1FC9"/>
    <w:rsid w:val="00AD4E54"/>
    <w:rsid w:val="00B03592"/>
    <w:rsid w:val="00B159D2"/>
    <w:rsid w:val="00B17BF6"/>
    <w:rsid w:val="00B21523"/>
    <w:rsid w:val="00B26F5E"/>
    <w:rsid w:val="00B329C3"/>
    <w:rsid w:val="00B3349F"/>
    <w:rsid w:val="00B40449"/>
    <w:rsid w:val="00B40836"/>
    <w:rsid w:val="00B4194E"/>
    <w:rsid w:val="00B43967"/>
    <w:rsid w:val="00B46623"/>
    <w:rsid w:val="00B5466F"/>
    <w:rsid w:val="00B6189E"/>
    <w:rsid w:val="00B62A0C"/>
    <w:rsid w:val="00B715D6"/>
    <w:rsid w:val="00B8397C"/>
    <w:rsid w:val="00B85EEF"/>
    <w:rsid w:val="00B87145"/>
    <w:rsid w:val="00B94552"/>
    <w:rsid w:val="00B95AFF"/>
    <w:rsid w:val="00B96EF6"/>
    <w:rsid w:val="00BA0BB9"/>
    <w:rsid w:val="00BA154E"/>
    <w:rsid w:val="00BA158B"/>
    <w:rsid w:val="00BA1F75"/>
    <w:rsid w:val="00BA6C6B"/>
    <w:rsid w:val="00BB2AB6"/>
    <w:rsid w:val="00BD2DC8"/>
    <w:rsid w:val="00BD33E3"/>
    <w:rsid w:val="00BD6157"/>
    <w:rsid w:val="00BF58C6"/>
    <w:rsid w:val="00BF6977"/>
    <w:rsid w:val="00BF6D0E"/>
    <w:rsid w:val="00C149CB"/>
    <w:rsid w:val="00C24CE1"/>
    <w:rsid w:val="00C2559C"/>
    <w:rsid w:val="00C3356E"/>
    <w:rsid w:val="00C37722"/>
    <w:rsid w:val="00C37A73"/>
    <w:rsid w:val="00C401B9"/>
    <w:rsid w:val="00C67B86"/>
    <w:rsid w:val="00C74EC6"/>
    <w:rsid w:val="00C771AF"/>
    <w:rsid w:val="00C82C2C"/>
    <w:rsid w:val="00C85249"/>
    <w:rsid w:val="00C875D1"/>
    <w:rsid w:val="00C924F4"/>
    <w:rsid w:val="00C947FD"/>
    <w:rsid w:val="00C95C16"/>
    <w:rsid w:val="00CA7DD6"/>
    <w:rsid w:val="00CB3D49"/>
    <w:rsid w:val="00CC32C9"/>
    <w:rsid w:val="00CD417A"/>
    <w:rsid w:val="00CE3799"/>
    <w:rsid w:val="00CE3E8C"/>
    <w:rsid w:val="00CE756D"/>
    <w:rsid w:val="00CF356D"/>
    <w:rsid w:val="00D03DFC"/>
    <w:rsid w:val="00D05C1F"/>
    <w:rsid w:val="00D06CEF"/>
    <w:rsid w:val="00D13DC0"/>
    <w:rsid w:val="00D148F4"/>
    <w:rsid w:val="00D1596A"/>
    <w:rsid w:val="00D163CF"/>
    <w:rsid w:val="00D171B7"/>
    <w:rsid w:val="00D21BCB"/>
    <w:rsid w:val="00D247B2"/>
    <w:rsid w:val="00D257D7"/>
    <w:rsid w:val="00D25FE8"/>
    <w:rsid w:val="00D266BB"/>
    <w:rsid w:val="00D41693"/>
    <w:rsid w:val="00D53A53"/>
    <w:rsid w:val="00D553A4"/>
    <w:rsid w:val="00D56871"/>
    <w:rsid w:val="00D618D8"/>
    <w:rsid w:val="00D6618A"/>
    <w:rsid w:val="00D708AA"/>
    <w:rsid w:val="00D73E30"/>
    <w:rsid w:val="00D80804"/>
    <w:rsid w:val="00D80D6A"/>
    <w:rsid w:val="00D81125"/>
    <w:rsid w:val="00D93C77"/>
    <w:rsid w:val="00D97AF3"/>
    <w:rsid w:val="00DA0E6C"/>
    <w:rsid w:val="00DA1D98"/>
    <w:rsid w:val="00DA3E2C"/>
    <w:rsid w:val="00DC3BCF"/>
    <w:rsid w:val="00DC3C40"/>
    <w:rsid w:val="00DC6129"/>
    <w:rsid w:val="00DE10A3"/>
    <w:rsid w:val="00DE13CF"/>
    <w:rsid w:val="00DE1E24"/>
    <w:rsid w:val="00DE6E4B"/>
    <w:rsid w:val="00DE6E7B"/>
    <w:rsid w:val="00DE72EF"/>
    <w:rsid w:val="00DF0BDC"/>
    <w:rsid w:val="00DF2DE5"/>
    <w:rsid w:val="00DF4F44"/>
    <w:rsid w:val="00DF58FA"/>
    <w:rsid w:val="00DF764F"/>
    <w:rsid w:val="00DF79FD"/>
    <w:rsid w:val="00E009FA"/>
    <w:rsid w:val="00E02A1F"/>
    <w:rsid w:val="00E04252"/>
    <w:rsid w:val="00E20578"/>
    <w:rsid w:val="00E27715"/>
    <w:rsid w:val="00E304D1"/>
    <w:rsid w:val="00E333CA"/>
    <w:rsid w:val="00E45A32"/>
    <w:rsid w:val="00E45D94"/>
    <w:rsid w:val="00E511FE"/>
    <w:rsid w:val="00E5682F"/>
    <w:rsid w:val="00E6089C"/>
    <w:rsid w:val="00E64B70"/>
    <w:rsid w:val="00E65057"/>
    <w:rsid w:val="00E667B3"/>
    <w:rsid w:val="00E716BC"/>
    <w:rsid w:val="00E72AE9"/>
    <w:rsid w:val="00E757AC"/>
    <w:rsid w:val="00E76DB3"/>
    <w:rsid w:val="00E8021C"/>
    <w:rsid w:val="00E84218"/>
    <w:rsid w:val="00E86308"/>
    <w:rsid w:val="00E9366D"/>
    <w:rsid w:val="00E93A59"/>
    <w:rsid w:val="00EA495F"/>
    <w:rsid w:val="00EA4ED3"/>
    <w:rsid w:val="00EA70D8"/>
    <w:rsid w:val="00EB16FD"/>
    <w:rsid w:val="00EB1857"/>
    <w:rsid w:val="00EB1F2F"/>
    <w:rsid w:val="00EB5959"/>
    <w:rsid w:val="00EC1507"/>
    <w:rsid w:val="00ED0AD9"/>
    <w:rsid w:val="00ED0DC5"/>
    <w:rsid w:val="00ED220B"/>
    <w:rsid w:val="00ED70E6"/>
    <w:rsid w:val="00EE5781"/>
    <w:rsid w:val="00EF3C43"/>
    <w:rsid w:val="00EF792F"/>
    <w:rsid w:val="00F00BDD"/>
    <w:rsid w:val="00F1318C"/>
    <w:rsid w:val="00F13B8E"/>
    <w:rsid w:val="00F20B6B"/>
    <w:rsid w:val="00F225ED"/>
    <w:rsid w:val="00F2501A"/>
    <w:rsid w:val="00F2545C"/>
    <w:rsid w:val="00F25BFB"/>
    <w:rsid w:val="00F26A1F"/>
    <w:rsid w:val="00F31D41"/>
    <w:rsid w:val="00F42BDC"/>
    <w:rsid w:val="00F442B8"/>
    <w:rsid w:val="00F53A66"/>
    <w:rsid w:val="00F55C0A"/>
    <w:rsid w:val="00F630E9"/>
    <w:rsid w:val="00F83577"/>
    <w:rsid w:val="00F853E4"/>
    <w:rsid w:val="00F860D5"/>
    <w:rsid w:val="00F936DE"/>
    <w:rsid w:val="00F944C9"/>
    <w:rsid w:val="00FA4B3F"/>
    <w:rsid w:val="00FA5477"/>
    <w:rsid w:val="00FA76D8"/>
    <w:rsid w:val="00FC419A"/>
    <w:rsid w:val="00FC5284"/>
    <w:rsid w:val="00FC7149"/>
    <w:rsid w:val="00FC7F3F"/>
    <w:rsid w:val="00FD7D37"/>
    <w:rsid w:val="00FE6C75"/>
    <w:rsid w:val="00FE7E74"/>
    <w:rsid w:val="00FF0356"/>
    <w:rsid w:val="00FF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52"/>
    <w:rPr>
      <w:sz w:val="22"/>
      <w:szCs w:val="22"/>
    </w:rPr>
  </w:style>
  <w:style w:type="paragraph" w:styleId="Heading1">
    <w:name w:val="heading 1"/>
    <w:basedOn w:val="Normal"/>
    <w:next w:val="Normal"/>
    <w:link w:val="Heading1Char"/>
    <w:uiPriority w:val="9"/>
    <w:qFormat/>
    <w:rsid w:val="0057019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F6349"/>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5239D"/>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9C164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0CC"/>
    <w:rPr>
      <w:color w:val="0000FF"/>
      <w:u w:val="single"/>
    </w:rPr>
  </w:style>
  <w:style w:type="paragraph" w:styleId="FootnoteText">
    <w:name w:val="footnote text"/>
    <w:basedOn w:val="Normal"/>
    <w:link w:val="FootnoteTextChar"/>
    <w:uiPriority w:val="99"/>
    <w:unhideWhenUsed/>
    <w:rsid w:val="008F6ADF"/>
    <w:rPr>
      <w:sz w:val="16"/>
      <w:szCs w:val="20"/>
    </w:rPr>
  </w:style>
  <w:style w:type="character" w:customStyle="1" w:styleId="FootnoteTextChar">
    <w:name w:val="Footnote Text Char"/>
    <w:link w:val="FootnoteText"/>
    <w:uiPriority w:val="99"/>
    <w:rsid w:val="008F6ADF"/>
    <w:rPr>
      <w:sz w:val="16"/>
    </w:rPr>
  </w:style>
  <w:style w:type="character" w:styleId="FootnoteReference">
    <w:name w:val="footnote reference"/>
    <w:uiPriority w:val="99"/>
    <w:semiHidden/>
    <w:unhideWhenUsed/>
    <w:rsid w:val="00A710CC"/>
    <w:rPr>
      <w:vertAlign w:val="superscript"/>
    </w:rPr>
  </w:style>
  <w:style w:type="paragraph" w:styleId="HTMLPreformatted">
    <w:name w:val="HTML Preformatted"/>
    <w:basedOn w:val="Normal"/>
    <w:link w:val="HTMLPreformattedChar"/>
    <w:uiPriority w:val="99"/>
    <w:unhideWhenUsed/>
    <w:rsid w:val="00A7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710CC"/>
    <w:rPr>
      <w:rFonts w:ascii="Courier New" w:eastAsia="Times New Roman" w:hAnsi="Courier New" w:cs="Courier New"/>
      <w:sz w:val="20"/>
      <w:szCs w:val="20"/>
      <w:lang w:eastAsia="en-AU"/>
    </w:rPr>
  </w:style>
  <w:style w:type="paragraph" w:styleId="NormalWeb">
    <w:name w:val="Normal (Web)"/>
    <w:basedOn w:val="Normal"/>
    <w:uiPriority w:val="99"/>
    <w:rsid w:val="00A710CC"/>
    <w:pPr>
      <w:spacing w:before="100" w:beforeAutospacing="1" w:after="100" w:afterAutospacing="1"/>
    </w:pPr>
    <w:rPr>
      <w:rFonts w:ascii="Times New Roman" w:eastAsia="Times New Roman" w:hAnsi="Times New Roman"/>
      <w:sz w:val="24"/>
      <w:szCs w:val="24"/>
    </w:rPr>
  </w:style>
  <w:style w:type="character" w:customStyle="1" w:styleId="contentossregulation">
    <w:name w:val="contentossregulation"/>
    <w:basedOn w:val="DefaultParagraphFont"/>
    <w:rsid w:val="00A710CC"/>
  </w:style>
  <w:style w:type="paragraph" w:styleId="ListParagraph">
    <w:name w:val="List Paragraph"/>
    <w:basedOn w:val="Normal"/>
    <w:uiPriority w:val="34"/>
    <w:qFormat/>
    <w:rsid w:val="00A710CC"/>
    <w:pPr>
      <w:spacing w:after="200" w:line="276" w:lineRule="auto"/>
      <w:ind w:left="720"/>
      <w:contextualSpacing/>
    </w:pPr>
    <w:rPr>
      <w:lang w:eastAsia="en-US"/>
    </w:rPr>
  </w:style>
  <w:style w:type="character" w:customStyle="1" w:styleId="Heading3Char">
    <w:name w:val="Heading 3 Char"/>
    <w:link w:val="Heading3"/>
    <w:rsid w:val="0065239D"/>
    <w:rPr>
      <w:rFonts w:ascii="Arial" w:eastAsia="Times New Roman" w:hAnsi="Arial" w:cs="Arial"/>
      <w:b/>
      <w:bCs/>
      <w:sz w:val="26"/>
      <w:szCs w:val="26"/>
    </w:rPr>
  </w:style>
  <w:style w:type="character" w:styleId="CommentReference">
    <w:name w:val="annotation reference"/>
    <w:semiHidden/>
    <w:unhideWhenUsed/>
    <w:rsid w:val="00481E31"/>
    <w:rPr>
      <w:sz w:val="16"/>
      <w:szCs w:val="16"/>
    </w:rPr>
  </w:style>
  <w:style w:type="paragraph" w:styleId="CommentText">
    <w:name w:val="annotation text"/>
    <w:basedOn w:val="Normal"/>
    <w:link w:val="CommentTextChar"/>
    <w:semiHidden/>
    <w:unhideWhenUsed/>
    <w:rsid w:val="00481E31"/>
    <w:rPr>
      <w:sz w:val="20"/>
      <w:szCs w:val="20"/>
    </w:rPr>
  </w:style>
  <w:style w:type="character" w:customStyle="1" w:styleId="CommentTextChar">
    <w:name w:val="Comment Text Char"/>
    <w:basedOn w:val="DefaultParagraphFont"/>
    <w:link w:val="CommentText"/>
    <w:uiPriority w:val="99"/>
    <w:semiHidden/>
    <w:rsid w:val="00481E31"/>
  </w:style>
  <w:style w:type="paragraph" w:styleId="CommentSubject">
    <w:name w:val="annotation subject"/>
    <w:basedOn w:val="CommentText"/>
    <w:next w:val="CommentText"/>
    <w:link w:val="CommentSubjectChar"/>
    <w:uiPriority w:val="99"/>
    <w:semiHidden/>
    <w:unhideWhenUsed/>
    <w:rsid w:val="00481E31"/>
    <w:rPr>
      <w:b/>
      <w:bCs/>
    </w:rPr>
  </w:style>
  <w:style w:type="character" w:customStyle="1" w:styleId="CommentSubjectChar">
    <w:name w:val="Comment Subject Char"/>
    <w:link w:val="CommentSubject"/>
    <w:uiPriority w:val="99"/>
    <w:semiHidden/>
    <w:rsid w:val="00481E31"/>
    <w:rPr>
      <w:b/>
      <w:bCs/>
    </w:rPr>
  </w:style>
  <w:style w:type="paragraph" w:styleId="BalloonText">
    <w:name w:val="Balloon Text"/>
    <w:basedOn w:val="Normal"/>
    <w:link w:val="BalloonTextChar"/>
    <w:uiPriority w:val="99"/>
    <w:semiHidden/>
    <w:unhideWhenUsed/>
    <w:rsid w:val="00481E31"/>
    <w:rPr>
      <w:rFonts w:ascii="Tahoma" w:hAnsi="Tahoma" w:cs="Tahoma"/>
      <w:sz w:val="16"/>
      <w:szCs w:val="16"/>
    </w:rPr>
  </w:style>
  <w:style w:type="character" w:customStyle="1" w:styleId="BalloonTextChar">
    <w:name w:val="Balloon Text Char"/>
    <w:link w:val="BalloonText"/>
    <w:uiPriority w:val="99"/>
    <w:semiHidden/>
    <w:rsid w:val="00481E31"/>
    <w:rPr>
      <w:rFonts w:ascii="Tahoma" w:hAnsi="Tahoma" w:cs="Tahoma"/>
      <w:sz w:val="16"/>
      <w:szCs w:val="16"/>
    </w:rPr>
  </w:style>
  <w:style w:type="character" w:customStyle="1" w:styleId="Heading1Char">
    <w:name w:val="Heading 1 Char"/>
    <w:link w:val="Heading1"/>
    <w:uiPriority w:val="9"/>
    <w:rsid w:val="0057019F"/>
    <w:rPr>
      <w:rFonts w:ascii="Cambria" w:eastAsia="Times New Roman" w:hAnsi="Cambria" w:cs="Times New Roman"/>
      <w:b/>
      <w:bCs/>
      <w:kern w:val="32"/>
      <w:sz w:val="32"/>
      <w:szCs w:val="32"/>
    </w:rPr>
  </w:style>
  <w:style w:type="paragraph" w:customStyle="1" w:styleId="Default">
    <w:name w:val="Default"/>
    <w:rsid w:val="00D06CEF"/>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59"/>
    <w:rsid w:val="009D6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vrrreviewtext">
    <w:name w:val="bvrrreviewtext"/>
    <w:basedOn w:val="DefaultParagraphFont"/>
    <w:rsid w:val="00D80D6A"/>
  </w:style>
  <w:style w:type="paragraph" w:styleId="Header">
    <w:name w:val="header"/>
    <w:basedOn w:val="Normal"/>
    <w:link w:val="HeaderChar"/>
    <w:unhideWhenUsed/>
    <w:rsid w:val="00666A28"/>
    <w:pPr>
      <w:tabs>
        <w:tab w:val="center" w:pos="4513"/>
        <w:tab w:val="right" w:pos="9026"/>
      </w:tabs>
    </w:pPr>
  </w:style>
  <w:style w:type="character" w:customStyle="1" w:styleId="HeaderChar">
    <w:name w:val="Header Char"/>
    <w:link w:val="Header"/>
    <w:rsid w:val="00666A28"/>
    <w:rPr>
      <w:sz w:val="22"/>
      <w:szCs w:val="22"/>
    </w:rPr>
  </w:style>
  <w:style w:type="paragraph" w:styleId="Footer">
    <w:name w:val="footer"/>
    <w:basedOn w:val="Normal"/>
    <w:link w:val="FooterChar"/>
    <w:uiPriority w:val="99"/>
    <w:unhideWhenUsed/>
    <w:rsid w:val="00666A28"/>
    <w:pPr>
      <w:tabs>
        <w:tab w:val="center" w:pos="4513"/>
        <w:tab w:val="right" w:pos="9026"/>
      </w:tabs>
    </w:pPr>
  </w:style>
  <w:style w:type="character" w:customStyle="1" w:styleId="FooterChar">
    <w:name w:val="Footer Char"/>
    <w:link w:val="Footer"/>
    <w:uiPriority w:val="99"/>
    <w:rsid w:val="00666A28"/>
    <w:rPr>
      <w:sz w:val="22"/>
      <w:szCs w:val="22"/>
    </w:rPr>
  </w:style>
  <w:style w:type="paragraph" w:styleId="EndnoteText">
    <w:name w:val="endnote text"/>
    <w:basedOn w:val="Normal"/>
    <w:link w:val="EndnoteTextChar"/>
    <w:uiPriority w:val="99"/>
    <w:semiHidden/>
    <w:unhideWhenUsed/>
    <w:rsid w:val="00C67B86"/>
    <w:rPr>
      <w:sz w:val="20"/>
      <w:szCs w:val="20"/>
    </w:rPr>
  </w:style>
  <w:style w:type="character" w:customStyle="1" w:styleId="EndnoteTextChar">
    <w:name w:val="Endnote Text Char"/>
    <w:basedOn w:val="DefaultParagraphFont"/>
    <w:link w:val="EndnoteText"/>
    <w:uiPriority w:val="99"/>
    <w:semiHidden/>
    <w:rsid w:val="00C67B86"/>
  </w:style>
  <w:style w:type="character" w:styleId="EndnoteReference">
    <w:name w:val="endnote reference"/>
    <w:uiPriority w:val="99"/>
    <w:semiHidden/>
    <w:unhideWhenUsed/>
    <w:rsid w:val="00C67B86"/>
    <w:rPr>
      <w:vertAlign w:val="superscript"/>
    </w:rPr>
  </w:style>
  <w:style w:type="character" w:customStyle="1" w:styleId="Heading2Char">
    <w:name w:val="Heading 2 Char"/>
    <w:link w:val="Heading2"/>
    <w:rsid w:val="007F6349"/>
    <w:rPr>
      <w:rFonts w:ascii="Arial" w:eastAsia="Times New Roman" w:hAnsi="Arial" w:cs="Arial"/>
      <w:b/>
      <w:bCs/>
      <w:i/>
      <w:iCs/>
      <w:sz w:val="28"/>
      <w:szCs w:val="28"/>
    </w:rPr>
  </w:style>
  <w:style w:type="paragraph" w:styleId="Revision">
    <w:name w:val="Revision"/>
    <w:hidden/>
    <w:uiPriority w:val="99"/>
    <w:semiHidden/>
    <w:rsid w:val="00137CFF"/>
    <w:rPr>
      <w:sz w:val="22"/>
      <w:szCs w:val="22"/>
    </w:rPr>
  </w:style>
  <w:style w:type="character" w:customStyle="1" w:styleId="Heading4Char">
    <w:name w:val="Heading 4 Char"/>
    <w:link w:val="Heading4"/>
    <w:uiPriority w:val="9"/>
    <w:rsid w:val="009C164B"/>
    <w:rPr>
      <w:rFonts w:ascii="Calibri" w:eastAsia="Times New Roman" w:hAnsi="Calibri" w:cs="Times New Roman"/>
      <w:b/>
      <w:bCs/>
      <w:sz w:val="28"/>
      <w:szCs w:val="28"/>
    </w:rPr>
  </w:style>
  <w:style w:type="paragraph" w:styleId="TOCHeading">
    <w:name w:val="TOC Heading"/>
    <w:basedOn w:val="Heading1"/>
    <w:next w:val="Normal"/>
    <w:uiPriority w:val="39"/>
    <w:semiHidden/>
    <w:unhideWhenUsed/>
    <w:qFormat/>
    <w:rsid w:val="009C164B"/>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9C164B"/>
  </w:style>
  <w:style w:type="paragraph" w:styleId="TOC3">
    <w:name w:val="toc 3"/>
    <w:basedOn w:val="Normal"/>
    <w:next w:val="Normal"/>
    <w:autoRedefine/>
    <w:uiPriority w:val="39"/>
    <w:unhideWhenUsed/>
    <w:rsid w:val="009C164B"/>
    <w:pPr>
      <w:ind w:left="440"/>
    </w:pPr>
  </w:style>
  <w:style w:type="paragraph" w:styleId="TOC2">
    <w:name w:val="toc 2"/>
    <w:basedOn w:val="Normal"/>
    <w:next w:val="Normal"/>
    <w:autoRedefine/>
    <w:uiPriority w:val="39"/>
    <w:unhideWhenUsed/>
    <w:rsid w:val="009C164B"/>
    <w:pPr>
      <w:ind w:left="220"/>
    </w:pPr>
  </w:style>
  <w:style w:type="character" w:styleId="Strong">
    <w:name w:val="Strong"/>
    <w:basedOn w:val="DefaultParagraphFont"/>
    <w:uiPriority w:val="22"/>
    <w:qFormat/>
    <w:rsid w:val="00AD4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4197">
      <w:bodyDiv w:val="1"/>
      <w:marLeft w:val="0"/>
      <w:marRight w:val="0"/>
      <w:marTop w:val="0"/>
      <w:marBottom w:val="0"/>
      <w:divBdr>
        <w:top w:val="none" w:sz="0" w:space="0" w:color="auto"/>
        <w:left w:val="none" w:sz="0" w:space="0" w:color="auto"/>
        <w:bottom w:val="none" w:sz="0" w:space="0" w:color="auto"/>
        <w:right w:val="none" w:sz="0" w:space="0" w:color="auto"/>
      </w:divBdr>
    </w:div>
    <w:div w:id="351499178">
      <w:bodyDiv w:val="1"/>
      <w:marLeft w:val="0"/>
      <w:marRight w:val="0"/>
      <w:marTop w:val="0"/>
      <w:marBottom w:val="0"/>
      <w:divBdr>
        <w:top w:val="none" w:sz="0" w:space="0" w:color="auto"/>
        <w:left w:val="none" w:sz="0" w:space="0" w:color="auto"/>
        <w:bottom w:val="none" w:sz="0" w:space="0" w:color="auto"/>
        <w:right w:val="none" w:sz="0" w:space="0" w:color="auto"/>
      </w:divBdr>
      <w:divsChild>
        <w:div w:id="908423330">
          <w:marLeft w:val="0"/>
          <w:marRight w:val="0"/>
          <w:marTop w:val="0"/>
          <w:marBottom w:val="0"/>
          <w:divBdr>
            <w:top w:val="none" w:sz="0" w:space="0" w:color="auto"/>
            <w:left w:val="none" w:sz="0" w:space="0" w:color="auto"/>
            <w:bottom w:val="none" w:sz="0" w:space="0" w:color="auto"/>
            <w:right w:val="none" w:sz="0" w:space="0" w:color="auto"/>
          </w:divBdr>
          <w:divsChild>
            <w:div w:id="1508325608">
              <w:marLeft w:val="0"/>
              <w:marRight w:val="0"/>
              <w:marTop w:val="0"/>
              <w:marBottom w:val="0"/>
              <w:divBdr>
                <w:top w:val="none" w:sz="0" w:space="0" w:color="auto"/>
                <w:left w:val="none" w:sz="0" w:space="0" w:color="auto"/>
                <w:bottom w:val="none" w:sz="0" w:space="0" w:color="auto"/>
                <w:right w:val="none" w:sz="0" w:space="0" w:color="auto"/>
              </w:divBdr>
              <w:divsChild>
                <w:div w:id="1365132448">
                  <w:marLeft w:val="0"/>
                  <w:marRight w:val="0"/>
                  <w:marTop w:val="0"/>
                  <w:marBottom w:val="0"/>
                  <w:divBdr>
                    <w:top w:val="none" w:sz="0" w:space="0" w:color="auto"/>
                    <w:left w:val="none" w:sz="0" w:space="0" w:color="auto"/>
                    <w:bottom w:val="none" w:sz="0" w:space="0" w:color="auto"/>
                    <w:right w:val="none" w:sz="0" w:space="0" w:color="auto"/>
                  </w:divBdr>
                  <w:divsChild>
                    <w:div w:id="1205019656">
                      <w:marLeft w:val="0"/>
                      <w:marRight w:val="0"/>
                      <w:marTop w:val="0"/>
                      <w:marBottom w:val="0"/>
                      <w:divBdr>
                        <w:top w:val="none" w:sz="0" w:space="0" w:color="auto"/>
                        <w:left w:val="none" w:sz="0" w:space="0" w:color="auto"/>
                        <w:bottom w:val="none" w:sz="0" w:space="0" w:color="auto"/>
                        <w:right w:val="none" w:sz="0" w:space="0" w:color="auto"/>
                      </w:divBdr>
                      <w:divsChild>
                        <w:div w:id="931470380">
                          <w:marLeft w:val="0"/>
                          <w:marRight w:val="0"/>
                          <w:marTop w:val="0"/>
                          <w:marBottom w:val="0"/>
                          <w:divBdr>
                            <w:top w:val="single" w:sz="2" w:space="0" w:color="828282"/>
                            <w:left w:val="single" w:sz="2" w:space="0" w:color="828282"/>
                            <w:bottom w:val="single" w:sz="2" w:space="0" w:color="828282"/>
                            <w:right w:val="single" w:sz="2" w:space="0" w:color="828282"/>
                          </w:divBdr>
                          <w:divsChild>
                            <w:div w:id="1960256866">
                              <w:marLeft w:val="0"/>
                              <w:marRight w:val="0"/>
                              <w:marTop w:val="0"/>
                              <w:marBottom w:val="0"/>
                              <w:divBdr>
                                <w:top w:val="none" w:sz="0" w:space="0" w:color="auto"/>
                                <w:left w:val="none" w:sz="0" w:space="0" w:color="auto"/>
                                <w:bottom w:val="none" w:sz="0" w:space="0" w:color="auto"/>
                                <w:right w:val="none" w:sz="0" w:space="0" w:color="auto"/>
                              </w:divBdr>
                              <w:divsChild>
                                <w:div w:id="673654850">
                                  <w:marLeft w:val="0"/>
                                  <w:marRight w:val="0"/>
                                  <w:marTop w:val="0"/>
                                  <w:marBottom w:val="0"/>
                                  <w:divBdr>
                                    <w:top w:val="none" w:sz="0" w:space="0" w:color="auto"/>
                                    <w:left w:val="none" w:sz="0" w:space="0" w:color="auto"/>
                                    <w:bottom w:val="none" w:sz="0" w:space="0" w:color="auto"/>
                                    <w:right w:val="none" w:sz="0" w:space="0" w:color="auto"/>
                                  </w:divBdr>
                                  <w:divsChild>
                                    <w:div w:id="1601797707">
                                      <w:marLeft w:val="0"/>
                                      <w:marRight w:val="0"/>
                                      <w:marTop w:val="0"/>
                                      <w:marBottom w:val="0"/>
                                      <w:divBdr>
                                        <w:top w:val="none" w:sz="0" w:space="0" w:color="auto"/>
                                        <w:left w:val="none" w:sz="0" w:space="0" w:color="auto"/>
                                        <w:bottom w:val="none" w:sz="0" w:space="0" w:color="auto"/>
                                        <w:right w:val="none" w:sz="0" w:space="0" w:color="auto"/>
                                      </w:divBdr>
                                      <w:divsChild>
                                        <w:div w:id="1261529051">
                                          <w:marLeft w:val="0"/>
                                          <w:marRight w:val="0"/>
                                          <w:marTop w:val="0"/>
                                          <w:marBottom w:val="0"/>
                                          <w:divBdr>
                                            <w:top w:val="none" w:sz="0" w:space="0" w:color="auto"/>
                                            <w:left w:val="none" w:sz="0" w:space="0" w:color="auto"/>
                                            <w:bottom w:val="none" w:sz="0" w:space="0" w:color="auto"/>
                                            <w:right w:val="none" w:sz="0" w:space="0" w:color="auto"/>
                                          </w:divBdr>
                                          <w:divsChild>
                                            <w:div w:id="1461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490070">
      <w:bodyDiv w:val="1"/>
      <w:marLeft w:val="0"/>
      <w:marRight w:val="0"/>
      <w:marTop w:val="0"/>
      <w:marBottom w:val="0"/>
      <w:divBdr>
        <w:top w:val="none" w:sz="0" w:space="0" w:color="auto"/>
        <w:left w:val="none" w:sz="0" w:space="0" w:color="auto"/>
        <w:bottom w:val="none" w:sz="0" w:space="0" w:color="auto"/>
        <w:right w:val="none" w:sz="0" w:space="0" w:color="auto"/>
      </w:divBdr>
      <w:divsChild>
        <w:div w:id="1982073778">
          <w:marLeft w:val="0"/>
          <w:marRight w:val="0"/>
          <w:marTop w:val="0"/>
          <w:marBottom w:val="0"/>
          <w:divBdr>
            <w:top w:val="none" w:sz="0" w:space="0" w:color="auto"/>
            <w:left w:val="none" w:sz="0" w:space="0" w:color="auto"/>
            <w:bottom w:val="none" w:sz="0" w:space="0" w:color="auto"/>
            <w:right w:val="none" w:sz="0" w:space="0" w:color="auto"/>
          </w:divBdr>
          <w:divsChild>
            <w:div w:id="998575762">
              <w:marLeft w:val="0"/>
              <w:marRight w:val="0"/>
              <w:marTop w:val="0"/>
              <w:marBottom w:val="0"/>
              <w:divBdr>
                <w:top w:val="none" w:sz="0" w:space="0" w:color="auto"/>
                <w:left w:val="none" w:sz="0" w:space="0" w:color="auto"/>
                <w:bottom w:val="none" w:sz="0" w:space="0" w:color="auto"/>
                <w:right w:val="none" w:sz="0" w:space="0" w:color="auto"/>
              </w:divBdr>
              <w:divsChild>
                <w:div w:id="1380128397">
                  <w:marLeft w:val="0"/>
                  <w:marRight w:val="0"/>
                  <w:marTop w:val="0"/>
                  <w:marBottom w:val="0"/>
                  <w:divBdr>
                    <w:top w:val="none" w:sz="0" w:space="0" w:color="auto"/>
                    <w:left w:val="none" w:sz="0" w:space="0" w:color="auto"/>
                    <w:bottom w:val="none" w:sz="0" w:space="0" w:color="auto"/>
                    <w:right w:val="none" w:sz="0" w:space="0" w:color="auto"/>
                  </w:divBdr>
                  <w:divsChild>
                    <w:div w:id="2038770019">
                      <w:marLeft w:val="0"/>
                      <w:marRight w:val="0"/>
                      <w:marTop w:val="0"/>
                      <w:marBottom w:val="0"/>
                      <w:divBdr>
                        <w:top w:val="none" w:sz="0" w:space="0" w:color="auto"/>
                        <w:left w:val="none" w:sz="0" w:space="0" w:color="auto"/>
                        <w:bottom w:val="none" w:sz="0" w:space="0" w:color="auto"/>
                        <w:right w:val="none" w:sz="0" w:space="0" w:color="auto"/>
                      </w:divBdr>
                      <w:divsChild>
                        <w:div w:id="260919845">
                          <w:marLeft w:val="0"/>
                          <w:marRight w:val="0"/>
                          <w:marTop w:val="0"/>
                          <w:marBottom w:val="0"/>
                          <w:divBdr>
                            <w:top w:val="single" w:sz="2" w:space="0" w:color="828282"/>
                            <w:left w:val="single" w:sz="2" w:space="0" w:color="828282"/>
                            <w:bottom w:val="single" w:sz="2" w:space="0" w:color="828282"/>
                            <w:right w:val="single" w:sz="2" w:space="0" w:color="828282"/>
                          </w:divBdr>
                          <w:divsChild>
                            <w:div w:id="277949617">
                              <w:marLeft w:val="0"/>
                              <w:marRight w:val="0"/>
                              <w:marTop w:val="0"/>
                              <w:marBottom w:val="0"/>
                              <w:divBdr>
                                <w:top w:val="none" w:sz="0" w:space="0" w:color="auto"/>
                                <w:left w:val="none" w:sz="0" w:space="0" w:color="auto"/>
                                <w:bottom w:val="none" w:sz="0" w:space="0" w:color="auto"/>
                                <w:right w:val="none" w:sz="0" w:space="0" w:color="auto"/>
                              </w:divBdr>
                              <w:divsChild>
                                <w:div w:id="620768419">
                                  <w:marLeft w:val="0"/>
                                  <w:marRight w:val="0"/>
                                  <w:marTop w:val="0"/>
                                  <w:marBottom w:val="0"/>
                                  <w:divBdr>
                                    <w:top w:val="none" w:sz="0" w:space="0" w:color="auto"/>
                                    <w:left w:val="none" w:sz="0" w:space="0" w:color="auto"/>
                                    <w:bottom w:val="none" w:sz="0" w:space="0" w:color="auto"/>
                                    <w:right w:val="none" w:sz="0" w:space="0" w:color="auto"/>
                                  </w:divBdr>
                                  <w:divsChild>
                                    <w:div w:id="600182886">
                                      <w:marLeft w:val="0"/>
                                      <w:marRight w:val="0"/>
                                      <w:marTop w:val="0"/>
                                      <w:marBottom w:val="0"/>
                                      <w:divBdr>
                                        <w:top w:val="none" w:sz="0" w:space="0" w:color="auto"/>
                                        <w:left w:val="none" w:sz="0" w:space="0" w:color="auto"/>
                                        <w:bottom w:val="none" w:sz="0" w:space="0" w:color="auto"/>
                                        <w:right w:val="none" w:sz="0" w:space="0" w:color="auto"/>
                                      </w:divBdr>
                                      <w:divsChild>
                                        <w:div w:id="390464737">
                                          <w:marLeft w:val="0"/>
                                          <w:marRight w:val="0"/>
                                          <w:marTop w:val="0"/>
                                          <w:marBottom w:val="0"/>
                                          <w:divBdr>
                                            <w:top w:val="none" w:sz="0" w:space="0" w:color="auto"/>
                                            <w:left w:val="none" w:sz="0" w:space="0" w:color="auto"/>
                                            <w:bottom w:val="none" w:sz="0" w:space="0" w:color="auto"/>
                                            <w:right w:val="none" w:sz="0" w:space="0" w:color="auto"/>
                                          </w:divBdr>
                                          <w:divsChild>
                                            <w:div w:id="915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ductsafety.regulation@acc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ublishing.unit@acc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oleObject" Target="embeddings/Microsoft_Word_97_-_2003_Document1.doc"/><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ccc.gov.au"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37B59-B538-4C03-9252-FE9618FF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4467</Words>
  <Characters>27428</Characters>
  <Application>Microsoft Office Word</Application>
  <DocSecurity>0</DocSecurity>
  <Lines>979</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Links>
    <vt:vector size="12" baseType="variant">
      <vt:variant>
        <vt:i4>7471200</vt:i4>
      </vt:variant>
      <vt:variant>
        <vt:i4>6</vt:i4>
      </vt:variant>
      <vt:variant>
        <vt:i4>0</vt:i4>
      </vt:variant>
      <vt:variant>
        <vt:i4>5</vt:i4>
      </vt:variant>
      <vt:variant>
        <vt:lpwstr>http://www.productsafety.gov.au/content/index.phtml/itemId/972987/fromItemId/973894</vt:lpwstr>
      </vt:variant>
      <vt:variant>
        <vt:lpwstr/>
      </vt:variant>
      <vt:variant>
        <vt:i4>5439595</vt:i4>
      </vt:variant>
      <vt:variant>
        <vt:i4>3</vt:i4>
      </vt:variant>
      <vt:variant>
        <vt:i4>0</vt:i4>
      </vt:variant>
      <vt:variant>
        <vt:i4>5</vt:i4>
      </vt:variant>
      <vt:variant>
        <vt:lpwstr>mailto:productsafety.regulation@accc.gov.au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2013-12-12T04:28:00Z</dcterms:created>
  <dcterms:modified xsi:type="dcterms:W3CDTF">2013-12-12T04:28:00Z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\\cbrvpwxfs01\home$\mwilso\ps - erp - discussion paper - (D2013-00050583).docx</vt:lpwstr>
  </property>
</Properties>
</file>