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D49" w:rsidRDefault="0043663D" w:rsidP="00935D49">
      <w:bookmarkStart w:id="0" w:name="_GoBack"/>
      <w:bookmarkEnd w:id="0"/>
      <w:r>
        <w:rPr>
          <w:noProof/>
        </w:rPr>
        <w:pict>
          <v:rect id="Rectangle 7" o:spid="_x0000_s1026" style="position:absolute;margin-left:-51pt;margin-top:-50.5pt;width:555.75pt;height:800.25pt;z-index:-251658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" fillcolor="#d5d6d2" stroked="f" strokeweight="2pt"/>
        </w:pict>
      </w:r>
      <w:r w:rsidR="00935D49">
        <w:t xml:space="preserve"> </w:t>
      </w: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alt="Title: ACCC Logo" style="width:214.4pt;height:47.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">
            <v:imagedata r:id="rId10" o:title=""/>
          </v:shape>
        </w:pict>
      </w:r>
    </w:p>
    <w:p w:rsidR="00935D49" w:rsidRPr="005E6C0E" w:rsidRDefault="00935D49" w:rsidP="00935D49"/>
    <w:tbl>
      <w:tblPr>
        <w:tblW w:w="0" w:type="auto"/>
        <w:tblLook w:val="0400" w:firstRow="0" w:lastRow="0" w:firstColumn="0" w:lastColumn="0" w:noHBand="0" w:noVBand="1"/>
      </w:tblPr>
      <w:tblGrid>
        <w:gridCol w:w="9242"/>
      </w:tblGrid>
      <w:tr w:rsidR="00935D49" w:rsidRPr="00DD7648" w:rsidTr="009274B2">
        <w:tc>
          <w:tcPr>
            <w:tcW w:w="9242" w:type="dxa"/>
            <w:shd w:val="clear" w:color="auto" w:fill="auto"/>
          </w:tcPr>
          <w:p w:rsidR="00935D49" w:rsidRPr="00DD7648" w:rsidRDefault="00935D49" w:rsidP="00242590">
            <w:pPr>
              <w:pStyle w:val="NoSpacing"/>
              <w:spacing w:before="60" w:after="60"/>
              <w:rPr>
                <w:rFonts w:ascii="Lucida Fax" w:hAnsi="Lucida Fax"/>
                <w:color w:val="4F2D7D"/>
                <w:sz w:val="72"/>
                <w:szCs w:val="72"/>
              </w:rPr>
            </w:pPr>
            <w:r w:rsidRPr="00DD7648">
              <w:rPr>
                <w:rFonts w:ascii="Lucida Fax" w:hAnsi="Lucida Fax"/>
                <w:color w:val="4F2D7D"/>
                <w:sz w:val="72"/>
                <w:szCs w:val="72"/>
              </w:rPr>
              <w:t xml:space="preserve">Review of </w:t>
            </w:r>
            <w:r w:rsidR="003A4CB3" w:rsidRPr="007909FB">
              <w:rPr>
                <w:rFonts w:ascii="Lucida Fax" w:hAnsi="Lucida Fax"/>
                <w:color w:val="4F2D7D"/>
                <w:sz w:val="72"/>
                <w:szCs w:val="72"/>
              </w:rPr>
              <w:t xml:space="preserve">safety </w:t>
            </w:r>
            <w:r w:rsidR="00242590" w:rsidRPr="007909FB">
              <w:rPr>
                <w:rFonts w:ascii="Lucida Fax" w:hAnsi="Lucida Fax"/>
                <w:color w:val="4F2D7D"/>
                <w:sz w:val="72"/>
                <w:szCs w:val="72"/>
              </w:rPr>
              <w:t>standard</w:t>
            </w:r>
            <w:r w:rsidR="003A4CB3" w:rsidRPr="007909FB">
              <w:rPr>
                <w:rFonts w:ascii="Lucida Fax" w:hAnsi="Lucida Fax"/>
                <w:color w:val="4F2D7D"/>
                <w:sz w:val="72"/>
                <w:szCs w:val="72"/>
              </w:rPr>
              <w:t xml:space="preserve"> for</w:t>
            </w:r>
            <w:r w:rsidR="003A4CB3">
              <w:rPr>
                <w:rFonts w:ascii="Lucida Fax" w:hAnsi="Lucida Fax"/>
                <w:color w:val="4F2D7D"/>
                <w:sz w:val="72"/>
                <w:szCs w:val="72"/>
              </w:rPr>
              <w:t xml:space="preserve"> </w:t>
            </w:r>
            <w:r w:rsidR="001456E7" w:rsidRPr="006B369D">
              <w:rPr>
                <w:rFonts w:ascii="Lucida Fax" w:hAnsi="Lucida Fax"/>
                <w:color w:val="4F2D7D"/>
                <w:sz w:val="72"/>
                <w:szCs w:val="72"/>
              </w:rPr>
              <w:t xml:space="preserve">children’s </w:t>
            </w:r>
            <w:r w:rsidR="000B4A84" w:rsidRPr="006B369D">
              <w:rPr>
                <w:rFonts w:ascii="Lucida Fax" w:hAnsi="Lucida Fax"/>
                <w:color w:val="4F2D7D"/>
                <w:sz w:val="72"/>
                <w:szCs w:val="72"/>
              </w:rPr>
              <w:t>nightwear</w:t>
            </w:r>
            <w:r w:rsidR="00F64332">
              <w:rPr>
                <w:rFonts w:ascii="Lucida Fax" w:hAnsi="Lucida Fax"/>
                <w:color w:val="4F2D7D"/>
                <w:sz w:val="72"/>
                <w:szCs w:val="72"/>
              </w:rPr>
              <w:t xml:space="preserve"> and limited daywear.</w:t>
            </w:r>
          </w:p>
          <w:p w:rsidR="001456E7" w:rsidRPr="00DD7648" w:rsidRDefault="001456E7" w:rsidP="00DD7648">
            <w:pPr>
              <w:pStyle w:val="NoSpacing"/>
              <w:spacing w:before="60" w:after="60"/>
              <w:rPr>
                <w:rFonts w:ascii="Lucida Fax" w:hAnsi="Lucida Fax"/>
                <w:color w:val="4F2D7D"/>
                <w:sz w:val="52"/>
                <w:szCs w:val="52"/>
              </w:rPr>
            </w:pPr>
          </w:p>
          <w:p w:rsidR="00935D49" w:rsidRPr="0003237E" w:rsidRDefault="00935D49" w:rsidP="00DD7648">
            <w:pPr>
              <w:pStyle w:val="NoSpacing"/>
              <w:spacing w:before="60" w:after="60"/>
              <w:rPr>
                <w:rFonts w:ascii="Lucida Fax" w:hAnsi="Lucida Fax"/>
                <w:color w:val="4F2D7D"/>
                <w:sz w:val="32"/>
                <w:szCs w:val="32"/>
              </w:rPr>
            </w:pPr>
            <w:r w:rsidRPr="0003237E">
              <w:rPr>
                <w:rFonts w:ascii="Lucida Fax" w:hAnsi="Lucida Fax"/>
                <w:color w:val="4F2D7D"/>
                <w:sz w:val="32"/>
                <w:szCs w:val="32"/>
              </w:rPr>
              <w:t xml:space="preserve">Consultation </w:t>
            </w:r>
            <w:r w:rsidR="00063F9F" w:rsidRPr="0003237E">
              <w:rPr>
                <w:rFonts w:ascii="Lucida Fax" w:hAnsi="Lucida Fax"/>
                <w:color w:val="4F2D7D"/>
                <w:sz w:val="32"/>
                <w:szCs w:val="32"/>
              </w:rPr>
              <w:t>paper</w:t>
            </w:r>
          </w:p>
          <w:p w:rsidR="00D44E1E" w:rsidRPr="0003237E" w:rsidRDefault="00D44E1E" w:rsidP="00DD7648">
            <w:pPr>
              <w:pStyle w:val="NoSpacing"/>
              <w:spacing w:before="60" w:after="60"/>
              <w:rPr>
                <w:sz w:val="32"/>
                <w:szCs w:val="32"/>
              </w:rPr>
            </w:pPr>
          </w:p>
          <w:p w:rsidR="00935D49" w:rsidRDefault="006B369D" w:rsidP="00DD7648">
            <w:pPr>
              <w:pStyle w:val="NoSpacing"/>
              <w:spacing w:before="60" w:after="60"/>
              <w:rPr>
                <w:rFonts w:ascii="Lucida Fax" w:hAnsi="Lucida Fax"/>
                <w:color w:val="FF0000"/>
                <w:sz w:val="32"/>
                <w:szCs w:val="32"/>
              </w:rPr>
            </w:pPr>
            <w:r>
              <w:rPr>
                <w:rFonts w:ascii="Lucida Fax" w:hAnsi="Lucida Fax"/>
                <w:color w:val="FF0000"/>
                <w:sz w:val="32"/>
                <w:szCs w:val="32"/>
              </w:rPr>
              <w:t>September</w:t>
            </w:r>
            <w:r w:rsidR="00D44E1E" w:rsidRPr="0003237E">
              <w:rPr>
                <w:rFonts w:ascii="Lucida Fax" w:hAnsi="Lucida Fax"/>
                <w:color w:val="FF0000"/>
                <w:sz w:val="32"/>
                <w:szCs w:val="32"/>
              </w:rPr>
              <w:t xml:space="preserve"> 2016</w:t>
            </w:r>
          </w:p>
          <w:p w:rsidR="001456E7" w:rsidRDefault="001456E7" w:rsidP="00DD7648">
            <w:pPr>
              <w:pStyle w:val="NoSpacing"/>
              <w:spacing w:before="60" w:after="60"/>
              <w:rPr>
                <w:rFonts w:ascii="Lucida Fax" w:hAnsi="Lucida Fax"/>
                <w:color w:val="FF0000"/>
                <w:sz w:val="32"/>
                <w:szCs w:val="32"/>
              </w:rPr>
            </w:pPr>
          </w:p>
          <w:p w:rsidR="001456E7" w:rsidRPr="0003237E" w:rsidRDefault="001456E7" w:rsidP="00DD7648">
            <w:pPr>
              <w:pStyle w:val="NoSpacing"/>
              <w:spacing w:before="60" w:after="60"/>
              <w:rPr>
                <w:rFonts w:ascii="Lucida Fax" w:hAnsi="Lucida Fax"/>
                <w:color w:val="FF0000"/>
                <w:sz w:val="32"/>
                <w:szCs w:val="32"/>
              </w:rPr>
            </w:pPr>
          </w:p>
          <w:p w:rsidR="00D44E1E" w:rsidRPr="00DD7648" w:rsidRDefault="0043663D" w:rsidP="00D44E1E">
            <w:pPr>
              <w:pStyle w:val="NoSpacing"/>
              <w:spacing w:before="60" w:after="60"/>
              <w:jc w:val="center"/>
              <w:rPr>
                <w:rFonts w:ascii="Lucida Fax" w:hAnsi="Lucida Fax"/>
                <w:sz w:val="52"/>
                <w:szCs w:val="52"/>
              </w:rPr>
            </w:pPr>
            <w:r>
              <w:pict>
                <v:shape id="_x0000_i1026" type="#_x0000_t75" style="width:329.25pt;height:267.8pt">
                  <v:imagedata r:id="rId11" o:title="shutterstock_4108633" croptop="5899f" cropleft="9108f" cropright="7351f"/>
                </v:shape>
              </w:pict>
            </w:r>
          </w:p>
        </w:tc>
      </w:tr>
    </w:tbl>
    <w:p w:rsidR="000B4A84" w:rsidRDefault="000B4A84" w:rsidP="000B4A84">
      <w:pPr>
        <w:rPr>
          <w:rFonts w:eastAsia="Calibri" w:cs="Arial"/>
          <w:u w:val="single"/>
          <w:lang w:val="en-GB"/>
        </w:rPr>
      </w:pPr>
    </w:p>
    <w:p w:rsidR="000B4A84" w:rsidRDefault="000B4A84" w:rsidP="000B4A84">
      <w:pPr>
        <w:rPr>
          <w:rFonts w:eastAsia="Calibri" w:cs="Arial"/>
          <w:u w:val="single"/>
          <w:lang w:val="en-GB"/>
        </w:rPr>
      </w:pPr>
    </w:p>
    <w:p w:rsidR="000B4A84" w:rsidRDefault="000B4A84" w:rsidP="000B4A84">
      <w:pPr>
        <w:rPr>
          <w:rFonts w:eastAsia="Calibri" w:cs="Arial"/>
          <w:u w:val="single"/>
          <w:lang w:val="en-GB"/>
        </w:rPr>
      </w:pPr>
    </w:p>
    <w:p w:rsidR="000B4A84" w:rsidRDefault="000B4A84" w:rsidP="000B4A84">
      <w:pPr>
        <w:rPr>
          <w:rFonts w:eastAsia="Calibri" w:cs="Arial"/>
          <w:u w:val="single"/>
          <w:lang w:val="en-GB"/>
        </w:rPr>
      </w:pPr>
    </w:p>
    <w:p w:rsidR="000B4A84" w:rsidRDefault="000B4A84" w:rsidP="000B4A84">
      <w:pPr>
        <w:rPr>
          <w:rFonts w:eastAsia="Calibri" w:cs="Arial"/>
          <w:u w:val="single"/>
          <w:lang w:val="en-GB"/>
        </w:rPr>
      </w:pPr>
    </w:p>
    <w:p w:rsidR="000B4A84" w:rsidRDefault="000B4A84" w:rsidP="000B4A84">
      <w:pPr>
        <w:rPr>
          <w:rFonts w:eastAsia="Calibri" w:cs="Arial"/>
          <w:u w:val="single"/>
          <w:lang w:val="en-GB"/>
        </w:rPr>
      </w:pPr>
    </w:p>
    <w:p w:rsidR="000B4A84" w:rsidRDefault="000B4A84" w:rsidP="000B4A84">
      <w:pPr>
        <w:rPr>
          <w:rFonts w:eastAsia="Calibri" w:cs="Arial"/>
          <w:u w:val="single"/>
          <w:lang w:val="en-GB"/>
        </w:rPr>
      </w:pPr>
    </w:p>
    <w:p w:rsidR="000B4A84" w:rsidRDefault="000B4A84" w:rsidP="000B4A84">
      <w:pPr>
        <w:rPr>
          <w:rFonts w:eastAsia="Calibri" w:cs="Arial"/>
          <w:u w:val="single"/>
          <w:lang w:val="en-GB"/>
        </w:rPr>
      </w:pPr>
    </w:p>
    <w:p w:rsidR="000B4A84" w:rsidRDefault="000B4A84" w:rsidP="000B4A84">
      <w:pPr>
        <w:rPr>
          <w:rFonts w:eastAsia="Calibri" w:cs="Arial"/>
          <w:u w:val="single"/>
          <w:lang w:val="en-GB"/>
        </w:rPr>
      </w:pPr>
    </w:p>
    <w:p w:rsidR="000B4A84" w:rsidRDefault="000B4A84" w:rsidP="000B4A84">
      <w:pPr>
        <w:rPr>
          <w:rFonts w:eastAsia="Calibri" w:cs="Arial"/>
          <w:u w:val="single"/>
          <w:lang w:val="en-GB"/>
        </w:rPr>
      </w:pPr>
    </w:p>
    <w:p w:rsidR="000B4A84" w:rsidRDefault="000B4A84" w:rsidP="000B4A84">
      <w:pPr>
        <w:rPr>
          <w:rFonts w:eastAsia="Calibri" w:cs="Arial"/>
          <w:u w:val="single"/>
          <w:lang w:val="en-GB"/>
        </w:rPr>
      </w:pPr>
    </w:p>
    <w:p w:rsidR="000B4A84" w:rsidRDefault="000B4A84" w:rsidP="000B4A84">
      <w:pPr>
        <w:rPr>
          <w:rFonts w:eastAsia="Calibri" w:cs="Arial"/>
          <w:u w:val="single"/>
          <w:lang w:val="en-GB"/>
        </w:rPr>
      </w:pPr>
    </w:p>
    <w:p w:rsidR="000B4A84" w:rsidRDefault="000B4A84" w:rsidP="000B4A84">
      <w:pPr>
        <w:rPr>
          <w:rFonts w:eastAsia="Calibri" w:cs="Arial"/>
          <w:u w:val="single"/>
          <w:lang w:val="en-GB"/>
        </w:rPr>
      </w:pPr>
    </w:p>
    <w:p w:rsidR="000B4A84" w:rsidRDefault="000B4A84" w:rsidP="000B4A84">
      <w:pPr>
        <w:rPr>
          <w:rFonts w:eastAsia="Calibri" w:cs="Arial"/>
          <w:u w:val="single"/>
          <w:lang w:val="en-GB"/>
        </w:rPr>
      </w:pPr>
    </w:p>
    <w:p w:rsidR="000B4A84" w:rsidRDefault="000B4A84" w:rsidP="000B4A84">
      <w:pPr>
        <w:rPr>
          <w:rFonts w:eastAsia="Calibri" w:cs="Arial"/>
          <w:u w:val="single"/>
          <w:lang w:val="en-GB"/>
        </w:rPr>
      </w:pPr>
    </w:p>
    <w:p w:rsidR="001456E7" w:rsidRDefault="001456E7" w:rsidP="000B4A84">
      <w:pPr>
        <w:rPr>
          <w:rFonts w:eastAsia="Calibri" w:cs="Arial"/>
          <w:u w:val="single"/>
          <w:lang w:val="en-GB"/>
        </w:rPr>
      </w:pPr>
    </w:p>
    <w:p w:rsidR="001456E7" w:rsidRDefault="001456E7" w:rsidP="000B4A84">
      <w:pPr>
        <w:rPr>
          <w:rFonts w:eastAsia="Calibri" w:cs="Arial"/>
          <w:u w:val="single"/>
          <w:lang w:val="en-GB"/>
        </w:rPr>
      </w:pPr>
    </w:p>
    <w:p w:rsidR="001456E7" w:rsidRDefault="001456E7" w:rsidP="000B4A84">
      <w:pPr>
        <w:rPr>
          <w:rFonts w:eastAsia="Calibri" w:cs="Arial"/>
          <w:u w:val="single"/>
          <w:lang w:val="en-GB"/>
        </w:rPr>
      </w:pPr>
    </w:p>
    <w:p w:rsidR="001456E7" w:rsidRDefault="001456E7" w:rsidP="000B4A84">
      <w:pPr>
        <w:rPr>
          <w:rFonts w:eastAsia="Calibri" w:cs="Arial"/>
          <w:u w:val="single"/>
          <w:lang w:val="en-GB"/>
        </w:rPr>
      </w:pPr>
    </w:p>
    <w:p w:rsidR="001456E7" w:rsidRDefault="001456E7" w:rsidP="000B4A84">
      <w:pPr>
        <w:rPr>
          <w:rFonts w:eastAsia="Calibri" w:cs="Arial"/>
          <w:u w:val="single"/>
          <w:lang w:val="en-GB"/>
        </w:rPr>
      </w:pPr>
    </w:p>
    <w:p w:rsidR="000B4A84" w:rsidRDefault="000B4A84" w:rsidP="000B4A84">
      <w:pPr>
        <w:rPr>
          <w:rFonts w:eastAsia="Calibri" w:cs="Arial"/>
          <w:u w:val="single"/>
          <w:lang w:val="en-GB"/>
        </w:rPr>
      </w:pPr>
    </w:p>
    <w:p w:rsidR="0022438B" w:rsidRPr="0022438B" w:rsidRDefault="0022438B" w:rsidP="00F64332">
      <w:pPr>
        <w:ind w:left="3060" w:firstLine="340"/>
        <w:rPr>
          <w:rFonts w:eastAsia="Calibri" w:cs="Arial"/>
          <w:u w:val="single"/>
          <w:lang w:val="en-GB"/>
        </w:rPr>
      </w:pPr>
      <w:r w:rsidRPr="0022438B">
        <w:rPr>
          <w:rFonts w:eastAsia="Calibri" w:cs="Arial"/>
          <w:u w:val="single"/>
          <w:lang w:val="en-GB"/>
        </w:rPr>
        <w:t>Disclaimer</w:t>
      </w:r>
    </w:p>
    <w:p w:rsidR="0022438B" w:rsidRDefault="0022438B">
      <w:pPr>
        <w:pStyle w:val="TOC1"/>
        <w:rPr>
          <w:b/>
        </w:rPr>
      </w:pPr>
    </w:p>
    <w:p w:rsidR="0022438B" w:rsidRDefault="0043663D">
      <w:pPr>
        <w:pStyle w:val="TOC1"/>
        <w:rPr>
          <w:b/>
        </w:rPr>
      </w:pPr>
      <w:r>
        <w:pict>
          <v:shapetype id="_x0000_t202" coordsize="21600,21600" o:spt="202" path="m,l,21600r21600,l21600,xe">
            <v:stroke joinstyle="miter"/>
            <v:path gradientshapeok="t" o:connecttype="rect"/>
          </v:shapetype>
          <v:shape id="_x0000_s1034" type="#_x0000_t202" style="position:absolute;margin-left:0;margin-top:0;width:2in;height:2in;z-index:251661824;mso-wrap-style:none;mso-position-horizontal-relative:text;mso-position-vertical-relative:text">
            <v:textbox style="mso-next-textbox:#_x0000_s1034;mso-fit-shape-to-text:t">
              <w:txbxContent>
                <w:p w:rsidR="00D520A4" w:rsidRPr="004F2078" w:rsidRDefault="00D520A4" w:rsidP="0022438B">
                  <w:pPr>
                    <w:spacing w:before="120" w:after="120"/>
                    <w:rPr>
                      <w:rFonts w:eastAsia="Calibri" w:cs="Arial"/>
                      <w:sz w:val="20"/>
                      <w:szCs w:val="20"/>
                      <w:lang w:val="en-GB"/>
                    </w:rPr>
                  </w:pPr>
                  <w:r w:rsidRPr="004F2078">
                    <w:rPr>
                      <w:rFonts w:eastAsia="Calibri" w:cs="Arial"/>
                      <w:sz w:val="20"/>
                      <w:szCs w:val="20"/>
                      <w:lang w:val="en-GB"/>
                    </w:rPr>
                    <w:t>The Australian Competition &amp; Consumer Commission (ACCC) has developed this consultation paper to seek the views of stakeholders about the mandatory safety standard for</w:t>
                  </w:r>
                  <w:r>
                    <w:rPr>
                      <w:rFonts w:eastAsia="Calibri" w:cs="Arial"/>
                      <w:sz w:val="20"/>
                      <w:szCs w:val="20"/>
                      <w:lang w:val="en-GB"/>
                    </w:rPr>
                    <w:t xml:space="preserve"> </w:t>
                  </w:r>
                  <w:r w:rsidRPr="00ED7559">
                    <w:rPr>
                      <w:rFonts w:eastAsia="Calibri" w:cs="Arial"/>
                      <w:sz w:val="20"/>
                      <w:szCs w:val="20"/>
                      <w:lang w:val="en-GB"/>
                    </w:rPr>
                    <w:t>Children’s nightwear and limited daywear</w:t>
                  </w:r>
                  <w:r w:rsidRPr="004F2078">
                    <w:rPr>
                      <w:rFonts w:eastAsia="Calibri" w:cs="Arial"/>
                      <w:sz w:val="20"/>
                      <w:szCs w:val="20"/>
                      <w:lang w:val="en-GB"/>
                    </w:rPr>
                    <w:t>.</w:t>
                  </w:r>
                </w:p>
                <w:p w:rsidR="00D520A4" w:rsidRPr="004F2078" w:rsidRDefault="00D520A4" w:rsidP="00263D91">
                  <w:pPr>
                    <w:spacing w:before="120" w:after="120"/>
                    <w:rPr>
                      <w:rFonts w:eastAsia="Calibri" w:cs="Arial"/>
                      <w:sz w:val="20"/>
                      <w:szCs w:val="20"/>
                    </w:rPr>
                  </w:pPr>
                  <w:proofErr w:type="gramStart"/>
                  <w:r w:rsidRPr="004F2078">
                    <w:rPr>
                      <w:rFonts w:eastAsia="Calibri" w:cs="Arial"/>
                      <w:sz w:val="20"/>
                      <w:szCs w:val="20"/>
                    </w:rPr>
                    <w:t>© Commonwealth of Australia 2016.</w:t>
                  </w:r>
                  <w:proofErr w:type="gramEnd"/>
                  <w:r w:rsidRPr="004F2078">
                    <w:rPr>
                      <w:rFonts w:eastAsia="Calibri" w:cs="Arial"/>
                      <w:sz w:val="20"/>
                      <w:szCs w:val="20"/>
                    </w:rPr>
                    <w:t xml:space="preserve"> </w:t>
                  </w:r>
                  <w:r w:rsidRPr="004F2078">
                    <w:rPr>
                      <w:rFonts w:eastAsia="Calibri" w:cs="Arial"/>
                      <w:sz w:val="20"/>
                      <w:szCs w:val="20"/>
                      <w:lang w:val="en-GB"/>
                    </w:rPr>
                    <w:t>All material contained within this work is provided under a Creative Commons Attribution 3.0 Australia licence (</w:t>
                  </w:r>
                  <w:hyperlink r:id="rId12" w:history="1">
                    <w:r w:rsidRPr="004F2078">
                      <w:rPr>
                        <w:rFonts w:eastAsia="Calibri" w:cs="Arial"/>
                        <w:color w:val="0000FF"/>
                        <w:sz w:val="20"/>
                        <w:szCs w:val="20"/>
                        <w:u w:val="single"/>
                        <w:lang w:val="en-GB"/>
                      </w:rPr>
                      <w:t>creativecommons.org.au/</w:t>
                    </w:r>
                  </w:hyperlink>
                  <w:r w:rsidRPr="004F2078">
                    <w:rPr>
                      <w:rFonts w:eastAsia="Calibri" w:cs="Arial"/>
                      <w:sz w:val="20"/>
                      <w:szCs w:val="20"/>
                      <w:lang w:val="en-GB"/>
                    </w:rPr>
                    <w:t>), with the exception of any logos, illustrations or images. You may forward or otherwise distribute the paper. You may re-use the text in other formats, provided the ACCC is acknowledged as the source of the material and directions to access the full document are provided. You may not copy or reproduce any logos, illustrations or images. For more information, contact the Director Corporate Communications, ACCC, GPO Box 3131, Canberra ACT 2601</w:t>
                  </w:r>
                </w:p>
              </w:txbxContent>
            </v:textbox>
            <w10:wrap type="square"/>
          </v:shape>
        </w:pict>
      </w:r>
    </w:p>
    <w:p w:rsidR="00D449EF" w:rsidRDefault="000B4A84" w:rsidP="00D449EF">
      <w:pPr>
        <w:pStyle w:val="TOC1"/>
        <w:rPr>
          <w:rFonts w:eastAsia="Calibri"/>
        </w:rPr>
      </w:pPr>
      <w:r>
        <w:rPr>
          <w:b/>
        </w:rPr>
        <w:br w:type="page"/>
      </w:r>
      <w:r w:rsidR="00D449EF" w:rsidRPr="00DB6C88">
        <w:rPr>
          <w:b/>
        </w:rPr>
        <w:lastRenderedPageBreak/>
        <w:t>Table of contents</w:t>
      </w:r>
    </w:p>
    <w:p w:rsidR="00473EF8" w:rsidRDefault="00C44A77">
      <w:pPr>
        <w:pStyle w:val="TOC1"/>
        <w:rPr>
          <w:rFonts w:asciiTheme="minorHAnsi" w:eastAsiaTheme="minorEastAsia" w:hAnsiTheme="minorHAnsi" w:cstheme="minorBidi"/>
          <w:lang w:val="en-AU" w:eastAsia="en-AU"/>
        </w:rPr>
      </w:pPr>
      <w:r>
        <w:rPr>
          <w:rFonts w:eastAsia="Calibri" w:cs="Arial"/>
          <w:sz w:val="20"/>
          <w:szCs w:val="20"/>
        </w:rPr>
        <w:fldChar w:fldCharType="begin"/>
      </w:r>
      <w:r>
        <w:rPr>
          <w:rFonts w:eastAsia="Calibri" w:cs="Arial"/>
          <w:sz w:val="20"/>
          <w:szCs w:val="20"/>
        </w:rPr>
        <w:instrText xml:space="preserve"> TOC \o "1-1" \h \z \u </w:instrText>
      </w:r>
      <w:r>
        <w:rPr>
          <w:rFonts w:eastAsia="Calibri" w:cs="Arial"/>
          <w:sz w:val="20"/>
          <w:szCs w:val="20"/>
        </w:rPr>
        <w:fldChar w:fldCharType="separate"/>
      </w:r>
      <w:hyperlink w:anchor="_Toc460928453" w:history="1">
        <w:r w:rsidR="00473EF8" w:rsidRPr="00437ECF">
          <w:rPr>
            <w:rStyle w:val="Hyperlink"/>
          </w:rPr>
          <w:t>1.</w:t>
        </w:r>
        <w:r w:rsidR="00473EF8">
          <w:rPr>
            <w:rFonts w:asciiTheme="minorHAnsi" w:eastAsiaTheme="minorEastAsia" w:hAnsiTheme="minorHAnsi" w:cstheme="minorBidi"/>
            <w:lang w:val="en-AU" w:eastAsia="en-AU"/>
          </w:rPr>
          <w:tab/>
        </w:r>
        <w:r w:rsidR="00473EF8" w:rsidRPr="00437ECF">
          <w:rPr>
            <w:rStyle w:val="Hyperlink"/>
          </w:rPr>
          <w:t>Introduction</w:t>
        </w:r>
        <w:r w:rsidR="00473EF8">
          <w:rPr>
            <w:webHidden/>
          </w:rPr>
          <w:tab/>
        </w:r>
        <w:r w:rsidR="00473EF8">
          <w:rPr>
            <w:webHidden/>
          </w:rPr>
          <w:fldChar w:fldCharType="begin"/>
        </w:r>
        <w:r w:rsidR="00473EF8">
          <w:rPr>
            <w:webHidden/>
          </w:rPr>
          <w:instrText xml:space="preserve"> PAGEREF _Toc460928453 \h </w:instrText>
        </w:r>
        <w:r w:rsidR="00473EF8">
          <w:rPr>
            <w:webHidden/>
          </w:rPr>
        </w:r>
        <w:r w:rsidR="00473EF8">
          <w:rPr>
            <w:webHidden/>
          </w:rPr>
          <w:fldChar w:fldCharType="separate"/>
        </w:r>
        <w:r w:rsidR="001E737E">
          <w:rPr>
            <w:webHidden/>
          </w:rPr>
          <w:t>3</w:t>
        </w:r>
        <w:r w:rsidR="00473EF8">
          <w:rPr>
            <w:webHidden/>
          </w:rPr>
          <w:fldChar w:fldCharType="end"/>
        </w:r>
      </w:hyperlink>
    </w:p>
    <w:p w:rsidR="00473EF8" w:rsidRDefault="0043663D">
      <w:pPr>
        <w:pStyle w:val="TOC1"/>
        <w:rPr>
          <w:rFonts w:asciiTheme="minorHAnsi" w:eastAsiaTheme="minorEastAsia" w:hAnsiTheme="minorHAnsi" w:cstheme="minorBidi"/>
          <w:lang w:val="en-AU" w:eastAsia="en-AU"/>
        </w:rPr>
      </w:pPr>
      <w:hyperlink w:anchor="_Toc460928454" w:history="1">
        <w:r w:rsidR="00473EF8" w:rsidRPr="00437ECF">
          <w:rPr>
            <w:rStyle w:val="Hyperlink"/>
          </w:rPr>
          <w:t>2.</w:t>
        </w:r>
        <w:r w:rsidR="00473EF8">
          <w:rPr>
            <w:rFonts w:asciiTheme="minorHAnsi" w:eastAsiaTheme="minorEastAsia" w:hAnsiTheme="minorHAnsi" w:cstheme="minorBidi"/>
            <w:lang w:val="en-AU" w:eastAsia="en-AU"/>
          </w:rPr>
          <w:tab/>
        </w:r>
        <w:r w:rsidR="00473EF8" w:rsidRPr="00437ECF">
          <w:rPr>
            <w:rStyle w:val="Hyperlink"/>
          </w:rPr>
          <w:t>Policy options</w:t>
        </w:r>
        <w:r w:rsidR="00473EF8">
          <w:rPr>
            <w:webHidden/>
          </w:rPr>
          <w:tab/>
        </w:r>
        <w:r w:rsidR="00473EF8">
          <w:rPr>
            <w:webHidden/>
          </w:rPr>
          <w:fldChar w:fldCharType="begin"/>
        </w:r>
        <w:r w:rsidR="00473EF8">
          <w:rPr>
            <w:webHidden/>
          </w:rPr>
          <w:instrText xml:space="preserve"> PAGEREF _Toc460928454 \h </w:instrText>
        </w:r>
        <w:r w:rsidR="00473EF8">
          <w:rPr>
            <w:webHidden/>
          </w:rPr>
        </w:r>
        <w:r w:rsidR="00473EF8">
          <w:rPr>
            <w:webHidden/>
          </w:rPr>
          <w:fldChar w:fldCharType="separate"/>
        </w:r>
        <w:r w:rsidR="001E737E">
          <w:rPr>
            <w:webHidden/>
          </w:rPr>
          <w:t>3</w:t>
        </w:r>
        <w:r w:rsidR="00473EF8">
          <w:rPr>
            <w:webHidden/>
          </w:rPr>
          <w:fldChar w:fldCharType="end"/>
        </w:r>
      </w:hyperlink>
    </w:p>
    <w:p w:rsidR="00473EF8" w:rsidRDefault="0043663D">
      <w:pPr>
        <w:pStyle w:val="TOC1"/>
        <w:rPr>
          <w:rFonts w:asciiTheme="minorHAnsi" w:eastAsiaTheme="minorEastAsia" w:hAnsiTheme="minorHAnsi" w:cstheme="minorBidi"/>
          <w:lang w:val="en-AU" w:eastAsia="en-AU"/>
        </w:rPr>
      </w:pPr>
      <w:hyperlink w:anchor="_Toc460928455" w:history="1">
        <w:r w:rsidR="00473EF8" w:rsidRPr="00437ECF">
          <w:rPr>
            <w:rStyle w:val="Hyperlink"/>
          </w:rPr>
          <w:t>3.</w:t>
        </w:r>
        <w:r w:rsidR="00473EF8">
          <w:rPr>
            <w:rFonts w:asciiTheme="minorHAnsi" w:eastAsiaTheme="minorEastAsia" w:hAnsiTheme="minorHAnsi" w:cstheme="minorBidi"/>
            <w:lang w:val="en-AU" w:eastAsia="en-AU"/>
          </w:rPr>
          <w:tab/>
        </w:r>
        <w:r w:rsidR="00473EF8" w:rsidRPr="00437ECF">
          <w:rPr>
            <w:rStyle w:val="Hyperlink"/>
          </w:rPr>
          <w:t>Background</w:t>
        </w:r>
        <w:r w:rsidR="00473EF8">
          <w:rPr>
            <w:webHidden/>
          </w:rPr>
          <w:tab/>
        </w:r>
        <w:r w:rsidR="00473EF8">
          <w:rPr>
            <w:webHidden/>
          </w:rPr>
          <w:fldChar w:fldCharType="begin"/>
        </w:r>
        <w:r w:rsidR="00473EF8">
          <w:rPr>
            <w:webHidden/>
          </w:rPr>
          <w:instrText xml:space="preserve"> PAGEREF _Toc460928455 \h </w:instrText>
        </w:r>
        <w:r w:rsidR="00473EF8">
          <w:rPr>
            <w:webHidden/>
          </w:rPr>
        </w:r>
        <w:r w:rsidR="00473EF8">
          <w:rPr>
            <w:webHidden/>
          </w:rPr>
          <w:fldChar w:fldCharType="separate"/>
        </w:r>
        <w:r w:rsidR="001E737E">
          <w:rPr>
            <w:webHidden/>
          </w:rPr>
          <w:t>3</w:t>
        </w:r>
        <w:r w:rsidR="00473EF8">
          <w:rPr>
            <w:webHidden/>
          </w:rPr>
          <w:fldChar w:fldCharType="end"/>
        </w:r>
      </w:hyperlink>
    </w:p>
    <w:p w:rsidR="00473EF8" w:rsidRDefault="0043663D">
      <w:pPr>
        <w:pStyle w:val="TOC1"/>
        <w:rPr>
          <w:rFonts w:asciiTheme="minorHAnsi" w:eastAsiaTheme="minorEastAsia" w:hAnsiTheme="minorHAnsi" w:cstheme="minorBidi"/>
          <w:lang w:val="en-AU" w:eastAsia="en-AU"/>
        </w:rPr>
      </w:pPr>
      <w:hyperlink w:anchor="_Toc460928456" w:history="1">
        <w:r w:rsidR="00473EF8" w:rsidRPr="00437ECF">
          <w:rPr>
            <w:rStyle w:val="Hyperlink"/>
          </w:rPr>
          <w:t>4</w:t>
        </w:r>
        <w:r w:rsidR="00473EF8">
          <w:rPr>
            <w:rFonts w:asciiTheme="minorHAnsi" w:eastAsiaTheme="minorEastAsia" w:hAnsiTheme="minorHAnsi" w:cstheme="minorBidi"/>
            <w:lang w:val="en-AU" w:eastAsia="en-AU"/>
          </w:rPr>
          <w:tab/>
        </w:r>
        <w:r w:rsidR="00473EF8" w:rsidRPr="00437ECF">
          <w:rPr>
            <w:rStyle w:val="Hyperlink"/>
          </w:rPr>
          <w:t>International  standards</w:t>
        </w:r>
        <w:r w:rsidR="00473EF8">
          <w:rPr>
            <w:webHidden/>
          </w:rPr>
          <w:tab/>
        </w:r>
        <w:r w:rsidR="00473EF8">
          <w:rPr>
            <w:webHidden/>
          </w:rPr>
          <w:fldChar w:fldCharType="begin"/>
        </w:r>
        <w:r w:rsidR="00473EF8">
          <w:rPr>
            <w:webHidden/>
          </w:rPr>
          <w:instrText xml:space="preserve"> PAGEREF _Toc460928456 \h </w:instrText>
        </w:r>
        <w:r w:rsidR="00473EF8">
          <w:rPr>
            <w:webHidden/>
          </w:rPr>
        </w:r>
        <w:r w:rsidR="00473EF8">
          <w:rPr>
            <w:webHidden/>
          </w:rPr>
          <w:fldChar w:fldCharType="separate"/>
        </w:r>
        <w:r w:rsidR="001E737E">
          <w:rPr>
            <w:webHidden/>
          </w:rPr>
          <w:t>6</w:t>
        </w:r>
        <w:r w:rsidR="00473EF8">
          <w:rPr>
            <w:webHidden/>
          </w:rPr>
          <w:fldChar w:fldCharType="end"/>
        </w:r>
      </w:hyperlink>
    </w:p>
    <w:p w:rsidR="00473EF8" w:rsidRDefault="0043663D">
      <w:pPr>
        <w:pStyle w:val="TOC1"/>
        <w:rPr>
          <w:rFonts w:asciiTheme="minorHAnsi" w:eastAsiaTheme="minorEastAsia" w:hAnsiTheme="minorHAnsi" w:cstheme="minorBidi"/>
          <w:lang w:val="en-AU" w:eastAsia="en-AU"/>
        </w:rPr>
      </w:pPr>
      <w:hyperlink w:anchor="_Toc460928457" w:history="1">
        <w:r w:rsidR="00473EF8" w:rsidRPr="00437ECF">
          <w:rPr>
            <w:rStyle w:val="Hyperlink"/>
          </w:rPr>
          <w:t>5.</w:t>
        </w:r>
        <w:r w:rsidR="00473EF8">
          <w:rPr>
            <w:rFonts w:asciiTheme="minorHAnsi" w:eastAsiaTheme="minorEastAsia" w:hAnsiTheme="minorHAnsi" w:cstheme="minorBidi"/>
            <w:lang w:val="en-AU" w:eastAsia="en-AU"/>
          </w:rPr>
          <w:tab/>
        </w:r>
        <w:r w:rsidR="00473EF8" w:rsidRPr="00437ECF">
          <w:rPr>
            <w:rStyle w:val="Hyperlink"/>
          </w:rPr>
          <w:t>Detailed description of policy options</w:t>
        </w:r>
        <w:r w:rsidR="00473EF8">
          <w:rPr>
            <w:webHidden/>
          </w:rPr>
          <w:tab/>
        </w:r>
        <w:r w:rsidR="00473EF8">
          <w:rPr>
            <w:webHidden/>
          </w:rPr>
          <w:fldChar w:fldCharType="begin"/>
        </w:r>
        <w:r w:rsidR="00473EF8">
          <w:rPr>
            <w:webHidden/>
          </w:rPr>
          <w:instrText xml:space="preserve"> PAGEREF _Toc460928457 \h </w:instrText>
        </w:r>
        <w:r w:rsidR="00473EF8">
          <w:rPr>
            <w:webHidden/>
          </w:rPr>
        </w:r>
        <w:r w:rsidR="00473EF8">
          <w:rPr>
            <w:webHidden/>
          </w:rPr>
          <w:fldChar w:fldCharType="separate"/>
        </w:r>
        <w:r w:rsidR="001E737E">
          <w:rPr>
            <w:webHidden/>
          </w:rPr>
          <w:t>8</w:t>
        </w:r>
        <w:r w:rsidR="00473EF8">
          <w:rPr>
            <w:webHidden/>
          </w:rPr>
          <w:fldChar w:fldCharType="end"/>
        </w:r>
      </w:hyperlink>
    </w:p>
    <w:p w:rsidR="00473EF8" w:rsidRDefault="0043663D">
      <w:pPr>
        <w:pStyle w:val="TOC1"/>
        <w:rPr>
          <w:rFonts w:asciiTheme="minorHAnsi" w:eastAsiaTheme="minorEastAsia" w:hAnsiTheme="minorHAnsi" w:cstheme="minorBidi"/>
          <w:lang w:val="en-AU" w:eastAsia="en-AU"/>
        </w:rPr>
      </w:pPr>
      <w:hyperlink w:anchor="_Toc460928458" w:history="1">
        <w:r w:rsidR="00473EF8" w:rsidRPr="00437ECF">
          <w:rPr>
            <w:rStyle w:val="Hyperlink"/>
          </w:rPr>
          <w:t>6.</w:t>
        </w:r>
        <w:r w:rsidR="00473EF8">
          <w:rPr>
            <w:rFonts w:asciiTheme="minorHAnsi" w:eastAsiaTheme="minorEastAsia" w:hAnsiTheme="minorHAnsi" w:cstheme="minorBidi"/>
            <w:lang w:val="en-AU" w:eastAsia="en-AU"/>
          </w:rPr>
          <w:tab/>
        </w:r>
        <w:r w:rsidR="00473EF8" w:rsidRPr="00437ECF">
          <w:rPr>
            <w:rStyle w:val="Hyperlink"/>
          </w:rPr>
          <w:t>Preliminary position</w:t>
        </w:r>
        <w:r w:rsidR="00473EF8">
          <w:rPr>
            <w:webHidden/>
          </w:rPr>
          <w:tab/>
        </w:r>
        <w:r w:rsidR="00473EF8">
          <w:rPr>
            <w:webHidden/>
          </w:rPr>
          <w:fldChar w:fldCharType="begin"/>
        </w:r>
        <w:r w:rsidR="00473EF8">
          <w:rPr>
            <w:webHidden/>
          </w:rPr>
          <w:instrText xml:space="preserve"> PAGEREF _Toc460928458 \h </w:instrText>
        </w:r>
        <w:r w:rsidR="00473EF8">
          <w:rPr>
            <w:webHidden/>
          </w:rPr>
        </w:r>
        <w:r w:rsidR="00473EF8">
          <w:rPr>
            <w:webHidden/>
          </w:rPr>
          <w:fldChar w:fldCharType="separate"/>
        </w:r>
        <w:r w:rsidR="001E737E">
          <w:rPr>
            <w:webHidden/>
          </w:rPr>
          <w:t>10</w:t>
        </w:r>
        <w:r w:rsidR="00473EF8">
          <w:rPr>
            <w:webHidden/>
          </w:rPr>
          <w:fldChar w:fldCharType="end"/>
        </w:r>
      </w:hyperlink>
    </w:p>
    <w:p w:rsidR="00473EF8" w:rsidRDefault="0043663D">
      <w:pPr>
        <w:pStyle w:val="TOC1"/>
        <w:rPr>
          <w:rFonts w:asciiTheme="minorHAnsi" w:eastAsiaTheme="minorEastAsia" w:hAnsiTheme="minorHAnsi" w:cstheme="minorBidi"/>
          <w:lang w:val="en-AU" w:eastAsia="en-AU"/>
        </w:rPr>
      </w:pPr>
      <w:hyperlink w:anchor="_Toc460928459" w:history="1">
        <w:r w:rsidR="00473EF8" w:rsidRPr="00437ECF">
          <w:rPr>
            <w:rStyle w:val="Hyperlink"/>
          </w:rPr>
          <w:t>7.</w:t>
        </w:r>
        <w:r w:rsidR="00473EF8">
          <w:rPr>
            <w:rFonts w:asciiTheme="minorHAnsi" w:eastAsiaTheme="minorEastAsia" w:hAnsiTheme="minorHAnsi" w:cstheme="minorBidi"/>
            <w:lang w:val="en-AU" w:eastAsia="en-AU"/>
          </w:rPr>
          <w:tab/>
        </w:r>
        <w:r w:rsidR="00473EF8" w:rsidRPr="00437ECF">
          <w:rPr>
            <w:rStyle w:val="Hyperlink"/>
          </w:rPr>
          <w:t>Consultation questions</w:t>
        </w:r>
        <w:r w:rsidR="00473EF8">
          <w:rPr>
            <w:webHidden/>
          </w:rPr>
          <w:tab/>
        </w:r>
        <w:r w:rsidR="00473EF8">
          <w:rPr>
            <w:webHidden/>
          </w:rPr>
          <w:fldChar w:fldCharType="begin"/>
        </w:r>
        <w:r w:rsidR="00473EF8">
          <w:rPr>
            <w:webHidden/>
          </w:rPr>
          <w:instrText xml:space="preserve"> PAGEREF _Toc460928459 \h </w:instrText>
        </w:r>
        <w:r w:rsidR="00473EF8">
          <w:rPr>
            <w:webHidden/>
          </w:rPr>
        </w:r>
        <w:r w:rsidR="00473EF8">
          <w:rPr>
            <w:webHidden/>
          </w:rPr>
          <w:fldChar w:fldCharType="separate"/>
        </w:r>
        <w:r w:rsidR="001E737E">
          <w:rPr>
            <w:webHidden/>
          </w:rPr>
          <w:t>11</w:t>
        </w:r>
        <w:r w:rsidR="00473EF8">
          <w:rPr>
            <w:webHidden/>
          </w:rPr>
          <w:fldChar w:fldCharType="end"/>
        </w:r>
      </w:hyperlink>
    </w:p>
    <w:p w:rsidR="00473EF8" w:rsidRDefault="0043663D">
      <w:pPr>
        <w:pStyle w:val="TOC1"/>
        <w:rPr>
          <w:rFonts w:asciiTheme="minorHAnsi" w:eastAsiaTheme="minorEastAsia" w:hAnsiTheme="minorHAnsi" w:cstheme="minorBidi"/>
          <w:lang w:val="en-AU" w:eastAsia="en-AU"/>
        </w:rPr>
      </w:pPr>
      <w:hyperlink w:anchor="_Toc460928460" w:history="1">
        <w:r w:rsidR="00473EF8" w:rsidRPr="00437ECF">
          <w:rPr>
            <w:rStyle w:val="Hyperlink"/>
          </w:rPr>
          <w:t>8.</w:t>
        </w:r>
        <w:r w:rsidR="00473EF8">
          <w:rPr>
            <w:rFonts w:asciiTheme="minorHAnsi" w:eastAsiaTheme="minorEastAsia" w:hAnsiTheme="minorHAnsi" w:cstheme="minorBidi"/>
            <w:lang w:val="en-AU" w:eastAsia="en-AU"/>
          </w:rPr>
          <w:tab/>
        </w:r>
        <w:r w:rsidR="00473EF8" w:rsidRPr="00437ECF">
          <w:rPr>
            <w:rStyle w:val="Hyperlink"/>
          </w:rPr>
          <w:t>Have your say</w:t>
        </w:r>
        <w:r w:rsidR="00473EF8">
          <w:rPr>
            <w:webHidden/>
          </w:rPr>
          <w:tab/>
        </w:r>
        <w:r w:rsidR="00473EF8">
          <w:rPr>
            <w:webHidden/>
          </w:rPr>
          <w:fldChar w:fldCharType="begin"/>
        </w:r>
        <w:r w:rsidR="00473EF8">
          <w:rPr>
            <w:webHidden/>
          </w:rPr>
          <w:instrText xml:space="preserve"> PAGEREF _Toc460928460 \h </w:instrText>
        </w:r>
        <w:r w:rsidR="00473EF8">
          <w:rPr>
            <w:webHidden/>
          </w:rPr>
        </w:r>
        <w:r w:rsidR="00473EF8">
          <w:rPr>
            <w:webHidden/>
          </w:rPr>
          <w:fldChar w:fldCharType="separate"/>
        </w:r>
        <w:r w:rsidR="001E737E">
          <w:rPr>
            <w:webHidden/>
          </w:rPr>
          <w:t>11</w:t>
        </w:r>
        <w:r w:rsidR="00473EF8">
          <w:rPr>
            <w:webHidden/>
          </w:rPr>
          <w:fldChar w:fldCharType="end"/>
        </w:r>
      </w:hyperlink>
    </w:p>
    <w:p w:rsidR="00D449EF" w:rsidRDefault="00C44A77" w:rsidP="00D449EF">
      <w:pPr>
        <w:rPr>
          <w:rFonts w:ascii="Lucida Fax" w:eastAsia="Times New Roman" w:hAnsi="Lucida Fax"/>
          <w:bCs/>
          <w:color w:val="51626F"/>
          <w:sz w:val="32"/>
          <w:szCs w:val="28"/>
        </w:rPr>
      </w:pPr>
      <w:r>
        <w:rPr>
          <w:rFonts w:eastAsia="Calibri" w:cs="Arial"/>
          <w:noProof/>
          <w:sz w:val="20"/>
          <w:szCs w:val="20"/>
          <w:lang w:val="en-US" w:eastAsia="ja-JP"/>
        </w:rPr>
        <w:fldChar w:fldCharType="end"/>
      </w:r>
    </w:p>
    <w:p w:rsidR="00D449EF" w:rsidRDefault="00D449EF" w:rsidP="00D449EF">
      <w:pPr>
        <w:pStyle w:val="Numbered1"/>
        <w:numPr>
          <w:ilvl w:val="0"/>
          <w:numId w:val="27"/>
        </w:numPr>
        <w:ind w:left="680" w:hanging="680"/>
      </w:pPr>
      <w:r>
        <w:br w:type="page"/>
      </w:r>
      <w:r w:rsidRPr="00382011">
        <w:lastRenderedPageBreak/>
        <w:t xml:space="preserve"> </w:t>
      </w:r>
      <w:bookmarkStart w:id="1" w:name="_Toc460928453"/>
      <w:r w:rsidRPr="00382011">
        <w:t>Introduction</w:t>
      </w:r>
      <w:bookmarkEnd w:id="1"/>
    </w:p>
    <w:p w:rsidR="00D449EF" w:rsidRPr="00C13EDD" w:rsidRDefault="00D449EF" w:rsidP="00D449EF">
      <w:pPr>
        <w:rPr>
          <w:rFonts w:cs="Arial"/>
        </w:rPr>
      </w:pPr>
      <w:r w:rsidRPr="00E61E7B">
        <w:rPr>
          <w:rFonts w:cs="Arial"/>
        </w:rPr>
        <w:t xml:space="preserve">The ACCC is reviewing the </w:t>
      </w:r>
      <w:r w:rsidR="00F175B7">
        <w:rPr>
          <w:rFonts w:cs="Arial"/>
        </w:rPr>
        <w:t xml:space="preserve">safety </w:t>
      </w:r>
      <w:r w:rsidRPr="00E61E7B">
        <w:rPr>
          <w:rFonts w:cs="Arial"/>
        </w:rPr>
        <w:t>standard for children’s nightwear and seek</w:t>
      </w:r>
      <w:r w:rsidR="00F175B7">
        <w:rPr>
          <w:rFonts w:cs="Arial"/>
        </w:rPr>
        <w:t>s</w:t>
      </w:r>
      <w:r w:rsidRPr="00E61E7B">
        <w:rPr>
          <w:rFonts w:cs="Arial"/>
        </w:rPr>
        <w:t xml:space="preserve"> comment from stakeholders and interested parties on </w:t>
      </w:r>
      <w:r w:rsidR="00F175B7">
        <w:rPr>
          <w:rFonts w:cs="Arial"/>
        </w:rPr>
        <w:t>possible</w:t>
      </w:r>
      <w:r w:rsidR="00F175B7" w:rsidRPr="00E61E7B">
        <w:rPr>
          <w:rFonts w:cs="Arial"/>
        </w:rPr>
        <w:t xml:space="preserve"> </w:t>
      </w:r>
      <w:r w:rsidRPr="00E61E7B">
        <w:rPr>
          <w:rFonts w:cs="Arial"/>
        </w:rPr>
        <w:t>change</w:t>
      </w:r>
      <w:r w:rsidR="00F175B7">
        <w:rPr>
          <w:rFonts w:cs="Arial"/>
        </w:rPr>
        <w:t>s</w:t>
      </w:r>
      <w:r w:rsidRPr="00E61E7B">
        <w:rPr>
          <w:rFonts w:cs="Arial"/>
        </w:rPr>
        <w:t xml:space="preserve"> and on how </w:t>
      </w:r>
      <w:r w:rsidR="001456E7">
        <w:rPr>
          <w:rFonts w:cs="Arial"/>
        </w:rPr>
        <w:t xml:space="preserve">we </w:t>
      </w:r>
      <w:r w:rsidRPr="00E61E7B">
        <w:rPr>
          <w:rFonts w:cs="Arial"/>
        </w:rPr>
        <w:t>should implement</w:t>
      </w:r>
      <w:r w:rsidR="001456E7" w:rsidRPr="001456E7">
        <w:rPr>
          <w:rFonts w:cs="Arial"/>
        </w:rPr>
        <w:t xml:space="preserve"> </w:t>
      </w:r>
      <w:r w:rsidR="001456E7" w:rsidRPr="00E61E7B">
        <w:rPr>
          <w:rFonts w:cs="Arial"/>
        </w:rPr>
        <w:t>any changes</w:t>
      </w:r>
      <w:r w:rsidRPr="00E61E7B">
        <w:rPr>
          <w:rFonts w:cs="Arial"/>
        </w:rPr>
        <w:t>.</w:t>
      </w:r>
    </w:p>
    <w:p w:rsidR="00D449EF" w:rsidRDefault="0043663D" w:rsidP="00D449EF">
      <w:pPr>
        <w:pStyle w:val="ListParagraph"/>
        <w:numPr>
          <w:ilvl w:val="0"/>
          <w:numId w:val="0"/>
        </w:numPr>
        <w:ind w:left="340" w:hanging="340"/>
      </w:pPr>
      <w:r>
        <w:rPr>
          <w:noProof/>
        </w:rPr>
        <w:pict>
          <v:shape id="Text Box 2" o:spid="_x0000_s1041" type="#_x0000_t202" style="position:absolute;left:0;text-align:left;margin-left:-1.6pt;margin-top:9.25pt;width:447.75pt;height:69.75pt;z-index:251665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">
            <v:textbox style="mso-next-textbox:#Text Box 2">
              <w:txbxContent>
                <w:p w:rsidR="00D520A4" w:rsidRDefault="00D520A4" w:rsidP="00D449EF">
                  <w:pPr>
                    <w:jc w:val="both"/>
                    <w:rPr>
                      <w:b/>
                    </w:rPr>
                  </w:pPr>
                  <w:r w:rsidRPr="00396799">
                    <w:rPr>
                      <w:b/>
                    </w:rPr>
                    <w:t xml:space="preserve">The consultation process outlined in this paper may be the only opportunity for </w:t>
                  </w:r>
                  <w:r>
                    <w:rPr>
                      <w:b/>
                    </w:rPr>
                    <w:t>you</w:t>
                  </w:r>
                  <w:r w:rsidRPr="00396799">
                    <w:rPr>
                      <w:b/>
                    </w:rPr>
                    <w:t xml:space="preserve"> to provide </w:t>
                  </w:r>
                  <w:r>
                    <w:rPr>
                      <w:b/>
                    </w:rPr>
                    <w:t>input into this review.</w:t>
                  </w:r>
                </w:p>
                <w:p w:rsidR="00D520A4" w:rsidRDefault="00D520A4" w:rsidP="00D449EF">
                  <w:pPr>
                    <w:jc w:val="both"/>
                    <w:rPr>
                      <w:b/>
                    </w:rPr>
                  </w:pPr>
                  <w:r>
                    <w:rPr>
                      <w:b/>
                    </w:rPr>
                    <w:t>We encourage you to make a submission.</w:t>
                  </w:r>
                </w:p>
                <w:p w:rsidR="00D520A4" w:rsidRDefault="00D520A4" w:rsidP="00D449EF">
                  <w:pPr>
                    <w:jc w:val="both"/>
                  </w:pPr>
                </w:p>
              </w:txbxContent>
            </v:textbox>
          </v:shape>
        </w:pict>
      </w:r>
    </w:p>
    <w:p w:rsidR="00D449EF" w:rsidRDefault="00D449EF" w:rsidP="00D449EF">
      <w:pPr>
        <w:pStyle w:val="ListParagraph"/>
        <w:numPr>
          <w:ilvl w:val="0"/>
          <w:numId w:val="0"/>
        </w:numPr>
        <w:ind w:left="340" w:hanging="340"/>
      </w:pPr>
    </w:p>
    <w:p w:rsidR="00D449EF" w:rsidRDefault="00D449EF" w:rsidP="00D449EF">
      <w:pPr>
        <w:pStyle w:val="ListParagraph"/>
        <w:numPr>
          <w:ilvl w:val="0"/>
          <w:numId w:val="0"/>
        </w:numPr>
        <w:ind w:left="340" w:hanging="340"/>
      </w:pPr>
    </w:p>
    <w:p w:rsidR="00D449EF" w:rsidRDefault="00D449EF" w:rsidP="00D449EF">
      <w:pPr>
        <w:pStyle w:val="ListParagraph"/>
        <w:numPr>
          <w:ilvl w:val="0"/>
          <w:numId w:val="0"/>
        </w:numPr>
        <w:ind w:left="340" w:hanging="340"/>
      </w:pPr>
    </w:p>
    <w:p w:rsidR="00D449EF" w:rsidRPr="00F47A7B" w:rsidRDefault="00D449EF" w:rsidP="00D449EF">
      <w:pPr>
        <w:pStyle w:val="Numbered1"/>
        <w:numPr>
          <w:ilvl w:val="0"/>
          <w:numId w:val="27"/>
        </w:numPr>
        <w:ind w:left="680" w:hanging="680"/>
      </w:pPr>
      <w:bookmarkStart w:id="2" w:name="_Toc460928454"/>
      <w:r w:rsidRPr="00F47A7B">
        <w:t xml:space="preserve">Policy </w:t>
      </w:r>
      <w:r w:rsidRPr="00382011">
        <w:t>options</w:t>
      </w:r>
      <w:bookmarkEnd w:id="2"/>
    </w:p>
    <w:p w:rsidR="00A428BD" w:rsidRPr="00F47A7B" w:rsidRDefault="00A428BD" w:rsidP="00826B72">
      <w:r>
        <w:t>This consultation paper</w:t>
      </w:r>
      <w:r w:rsidRPr="00F47A7B">
        <w:t xml:space="preserve"> discuss</w:t>
      </w:r>
      <w:r>
        <w:t>es</w:t>
      </w:r>
      <w:r w:rsidRPr="00F47A7B">
        <w:t xml:space="preserve"> </w:t>
      </w:r>
      <w:r w:rsidR="00C434D0">
        <w:t>four</w:t>
      </w:r>
      <w:r>
        <w:t xml:space="preserve"> </w:t>
      </w:r>
      <w:r w:rsidRPr="00F47A7B">
        <w:t>policy options:</w:t>
      </w:r>
    </w:p>
    <w:tbl>
      <w:tblPr>
        <w:tblW w:w="0" w:type="auto"/>
        <w:shd w:val="clear" w:color="auto" w:fill="FFFFFF"/>
        <w:tblLook w:val="04A0" w:firstRow="1" w:lastRow="0" w:firstColumn="1" w:lastColumn="0" w:noHBand="0" w:noVBand="1"/>
      </w:tblPr>
      <w:tblGrid>
        <w:gridCol w:w="1399"/>
        <w:gridCol w:w="7737"/>
      </w:tblGrid>
      <w:tr w:rsidR="00A428BD" w:rsidRPr="00F175B7" w:rsidTr="00A428BD">
        <w:trPr>
          <w:trHeight w:val="493"/>
        </w:trPr>
        <w:tc>
          <w:tcPr>
            <w:tcW w:w="1399" w:type="dxa"/>
            <w:shd w:val="clear" w:color="auto" w:fill="FFFFFF"/>
          </w:tcPr>
          <w:p w:rsidR="00A428BD" w:rsidRPr="00F175B7" w:rsidRDefault="00A428BD" w:rsidP="00263D91">
            <w:pPr>
              <w:rPr>
                <w:b/>
              </w:rPr>
            </w:pPr>
            <w:r w:rsidRPr="00F175B7">
              <w:t>Option 1</w:t>
            </w:r>
          </w:p>
        </w:tc>
        <w:tc>
          <w:tcPr>
            <w:tcW w:w="7737" w:type="dxa"/>
            <w:shd w:val="clear" w:color="auto" w:fill="FFFFFF"/>
          </w:tcPr>
          <w:p w:rsidR="00A428BD" w:rsidRPr="00F175B7" w:rsidRDefault="00A428BD" w:rsidP="00263D91">
            <w:r>
              <w:t>Retain</w:t>
            </w:r>
            <w:r w:rsidR="00AD5C7C">
              <w:t xml:space="preserve"> the current </w:t>
            </w:r>
            <w:r w:rsidRPr="00F175B7">
              <w:t>safety standard (status quo)</w:t>
            </w:r>
          </w:p>
        </w:tc>
      </w:tr>
      <w:tr w:rsidR="00A428BD" w:rsidRPr="00F175B7" w:rsidTr="00A428BD">
        <w:trPr>
          <w:trHeight w:val="493"/>
        </w:trPr>
        <w:tc>
          <w:tcPr>
            <w:tcW w:w="1399" w:type="dxa"/>
            <w:shd w:val="clear" w:color="auto" w:fill="FFFFFF"/>
          </w:tcPr>
          <w:p w:rsidR="00A428BD" w:rsidRPr="00F175B7" w:rsidRDefault="00A428BD" w:rsidP="00263D91">
            <w:pPr>
              <w:rPr>
                <w:b/>
              </w:rPr>
            </w:pPr>
            <w:r w:rsidRPr="00F175B7">
              <w:t>Option 2</w:t>
            </w:r>
          </w:p>
        </w:tc>
        <w:tc>
          <w:tcPr>
            <w:tcW w:w="7737" w:type="dxa"/>
            <w:shd w:val="clear" w:color="auto" w:fill="FFFFFF"/>
          </w:tcPr>
          <w:p w:rsidR="00A428BD" w:rsidRPr="00F175B7" w:rsidRDefault="00B50DA5" w:rsidP="00263D91">
            <w:r>
              <w:t>Adopt</w:t>
            </w:r>
            <w:r w:rsidR="00A428BD" w:rsidRPr="00F175B7">
              <w:t xml:space="preserve"> the </w:t>
            </w:r>
            <w:r w:rsidR="00A428BD">
              <w:t>updated</w:t>
            </w:r>
            <w:r w:rsidR="00B12958">
              <w:t xml:space="preserve"> voluntary</w:t>
            </w:r>
            <w:r w:rsidR="00A428BD">
              <w:t xml:space="preserve"> </w:t>
            </w:r>
            <w:r>
              <w:t xml:space="preserve">Australian </w:t>
            </w:r>
            <w:r w:rsidR="00A428BD" w:rsidRPr="00F175B7">
              <w:t xml:space="preserve">standard </w:t>
            </w:r>
          </w:p>
        </w:tc>
      </w:tr>
      <w:tr w:rsidR="00A428BD" w:rsidRPr="005A60B4" w:rsidTr="00A428BD">
        <w:trPr>
          <w:trHeight w:val="634"/>
        </w:trPr>
        <w:tc>
          <w:tcPr>
            <w:tcW w:w="1399" w:type="dxa"/>
            <w:shd w:val="clear" w:color="auto" w:fill="FFFFFF"/>
          </w:tcPr>
          <w:p w:rsidR="00A428BD" w:rsidRDefault="00A428BD" w:rsidP="00263D91">
            <w:r w:rsidRPr="00F175B7">
              <w:t>Option 3</w:t>
            </w:r>
          </w:p>
          <w:p w:rsidR="00A428BD" w:rsidRPr="00F175B7" w:rsidRDefault="00A428BD" w:rsidP="00263D91">
            <w:pPr>
              <w:rPr>
                <w:b/>
              </w:rPr>
            </w:pPr>
            <w:r>
              <w:t>Option 4</w:t>
            </w:r>
          </w:p>
        </w:tc>
        <w:tc>
          <w:tcPr>
            <w:tcW w:w="7737" w:type="dxa"/>
            <w:shd w:val="clear" w:color="auto" w:fill="FFFFFF"/>
          </w:tcPr>
          <w:p w:rsidR="00A428BD" w:rsidRDefault="00A428BD" w:rsidP="00263D91">
            <w:r w:rsidRPr="00F175B7">
              <w:t>Adopt international standards</w:t>
            </w:r>
          </w:p>
          <w:p w:rsidR="00A428BD" w:rsidRPr="00FA039C" w:rsidRDefault="00A428BD" w:rsidP="00263D91">
            <w:r>
              <w:t xml:space="preserve">Revoke the </w:t>
            </w:r>
            <w:r w:rsidR="00AD5C7C">
              <w:t>safety</w:t>
            </w:r>
            <w:r>
              <w:t xml:space="preserve"> standard</w:t>
            </w:r>
            <w:r w:rsidR="00686C00">
              <w:t>.</w:t>
            </w:r>
          </w:p>
        </w:tc>
      </w:tr>
    </w:tbl>
    <w:p w:rsidR="00A428BD" w:rsidRPr="006B369D" w:rsidRDefault="00A428BD" w:rsidP="001C450A">
      <w:r>
        <w:t>W</w:t>
      </w:r>
      <w:r w:rsidRPr="00704CFA">
        <w:t xml:space="preserve">e </w:t>
      </w:r>
      <w:r w:rsidR="00B50DA5">
        <w:t>currently</w:t>
      </w:r>
      <w:r w:rsidR="00B50DA5" w:rsidRPr="00704CFA">
        <w:t xml:space="preserve"> </w:t>
      </w:r>
      <w:r w:rsidRPr="00704CFA">
        <w:t>believe</w:t>
      </w:r>
      <w:r w:rsidRPr="00E61E7B">
        <w:t xml:space="preserve"> the most effective o</w:t>
      </w:r>
      <w:r w:rsidR="00AD5C7C">
        <w:t>ption is to update the</w:t>
      </w:r>
      <w:r w:rsidRPr="00E61E7B">
        <w:t xml:space="preserve"> </w:t>
      </w:r>
      <w:r>
        <w:t xml:space="preserve">safety </w:t>
      </w:r>
      <w:r w:rsidRPr="00E61E7B">
        <w:t xml:space="preserve">standard to </w:t>
      </w:r>
      <w:r>
        <w:t>adopt</w:t>
      </w:r>
      <w:r w:rsidRPr="00E61E7B">
        <w:t xml:space="preserve"> improvements in the </w:t>
      </w:r>
      <w:r>
        <w:t>2014 version of the</w:t>
      </w:r>
      <w:r w:rsidRPr="00E61E7B">
        <w:t xml:space="preserve"> voluntary </w:t>
      </w:r>
      <w:r w:rsidR="00B50DA5">
        <w:t xml:space="preserve">Australian </w:t>
      </w:r>
      <w:r w:rsidRPr="00E61E7B">
        <w:t xml:space="preserve">standard (Option </w:t>
      </w:r>
      <w:r>
        <w:t>2</w:t>
      </w:r>
      <w:r w:rsidRPr="00E61E7B">
        <w:t xml:space="preserve">). </w:t>
      </w:r>
      <w:r w:rsidRPr="006B369D">
        <w:t xml:space="preserve">This would improve safety, simplify the requirements and reduce costs for suppliers. </w:t>
      </w:r>
    </w:p>
    <w:p w:rsidR="00A428BD" w:rsidRPr="00E61E7B" w:rsidRDefault="00A428BD" w:rsidP="001C450A">
      <w:r w:rsidRPr="00E61E7B">
        <w:t xml:space="preserve">We </w:t>
      </w:r>
      <w:r>
        <w:t xml:space="preserve">do not recommend </w:t>
      </w:r>
      <w:r w:rsidR="00D6702B">
        <w:t xml:space="preserve">revoking (Option 4) or </w:t>
      </w:r>
      <w:r>
        <w:t>maintaining the regulation in its current form (</w:t>
      </w:r>
      <w:r w:rsidRPr="00E61E7B">
        <w:t xml:space="preserve">Option </w:t>
      </w:r>
      <w:r>
        <w:t>1)</w:t>
      </w:r>
      <w:r w:rsidRPr="00E61E7B">
        <w:t xml:space="preserve">. </w:t>
      </w:r>
      <w:r>
        <w:t>We have</w:t>
      </w:r>
      <w:r w:rsidRPr="00E61E7B">
        <w:t xml:space="preserve"> </w:t>
      </w:r>
      <w:r>
        <w:t xml:space="preserve">also </w:t>
      </w:r>
      <w:r w:rsidRPr="00E61E7B">
        <w:t>examin</w:t>
      </w:r>
      <w:r>
        <w:t>ed the</w:t>
      </w:r>
      <w:r w:rsidRPr="00E61E7B">
        <w:t xml:space="preserve"> </w:t>
      </w:r>
      <w:r>
        <w:t>relevant</w:t>
      </w:r>
      <w:r w:rsidRPr="00E61E7B">
        <w:t xml:space="preserve"> international standards</w:t>
      </w:r>
      <w:r>
        <w:t xml:space="preserve"> for children’s nightwear and conclude </w:t>
      </w:r>
      <w:r w:rsidRPr="00E61E7B">
        <w:t xml:space="preserve">that </w:t>
      </w:r>
      <w:r>
        <w:t>available international</w:t>
      </w:r>
      <w:r w:rsidRPr="00E61E7B">
        <w:t xml:space="preserve"> standards </w:t>
      </w:r>
      <w:r>
        <w:t xml:space="preserve">(Option 3) </w:t>
      </w:r>
      <w:r w:rsidRPr="00E61E7B">
        <w:t xml:space="preserve">are </w:t>
      </w:r>
      <w:r w:rsidRPr="006B369D">
        <w:t>not</w:t>
      </w:r>
      <w:r w:rsidRPr="00E61E7B">
        <w:t xml:space="preserve"> suitable for Australia. </w:t>
      </w:r>
    </w:p>
    <w:p w:rsidR="00A428BD" w:rsidRPr="00E61E7B" w:rsidRDefault="00A428BD" w:rsidP="00A428BD">
      <w:pPr>
        <w:rPr>
          <w:rFonts w:eastAsia="Times New Roman" w:cs="Arial"/>
          <w:szCs w:val="26"/>
        </w:rPr>
      </w:pPr>
      <w:r>
        <w:rPr>
          <w:rFonts w:eastAsia="Times New Roman" w:cs="Arial"/>
          <w:szCs w:val="26"/>
        </w:rPr>
        <w:t>We</w:t>
      </w:r>
      <w:r w:rsidRPr="00E61E7B">
        <w:rPr>
          <w:rFonts w:eastAsia="Times New Roman" w:cs="Arial"/>
          <w:szCs w:val="26"/>
        </w:rPr>
        <w:t xml:space="preserve"> seek comment </w:t>
      </w:r>
      <w:r w:rsidR="00517CE4">
        <w:rPr>
          <w:rFonts w:eastAsia="Times New Roman" w:cs="Arial"/>
          <w:szCs w:val="26"/>
        </w:rPr>
        <w:t>from stakeholders on the proposal, particularly</w:t>
      </w:r>
      <w:r w:rsidR="000848A5">
        <w:rPr>
          <w:rFonts w:eastAsia="Times New Roman" w:cs="Arial"/>
          <w:szCs w:val="26"/>
        </w:rPr>
        <w:t xml:space="preserve"> about</w:t>
      </w:r>
      <w:r w:rsidRPr="00E61E7B">
        <w:rPr>
          <w:rFonts w:eastAsia="Times New Roman" w:cs="Arial"/>
          <w:szCs w:val="26"/>
        </w:rPr>
        <w:t>:</w:t>
      </w:r>
    </w:p>
    <w:p w:rsidR="00A428BD" w:rsidRPr="00C8779D" w:rsidRDefault="00A428BD" w:rsidP="00A428BD">
      <w:pPr>
        <w:pStyle w:val="ListParagraph"/>
        <w:numPr>
          <w:ilvl w:val="0"/>
          <w:numId w:val="33"/>
        </w:numPr>
        <w:tabs>
          <w:tab w:val="clear" w:pos="340"/>
          <w:tab w:val="left" w:pos="284"/>
        </w:tabs>
        <w:ind w:left="284" w:hanging="284"/>
        <w:rPr>
          <w:rFonts w:cs="Arial"/>
        </w:rPr>
      </w:pPr>
      <w:r>
        <w:rPr>
          <w:rFonts w:cs="Arial"/>
        </w:rPr>
        <w:t>u</w:t>
      </w:r>
      <w:r w:rsidRPr="00C8779D">
        <w:rPr>
          <w:rFonts w:cs="Arial"/>
        </w:rPr>
        <w:t xml:space="preserve">pdating the </w:t>
      </w:r>
      <w:r w:rsidR="00AD5C7C">
        <w:rPr>
          <w:rFonts w:cs="Arial"/>
        </w:rPr>
        <w:t>safety</w:t>
      </w:r>
      <w:r w:rsidRPr="00C8779D">
        <w:rPr>
          <w:rFonts w:cs="Arial"/>
        </w:rPr>
        <w:t xml:space="preserve"> standard to follow changes in </w:t>
      </w:r>
      <w:r w:rsidR="00D91744">
        <w:t>the</w:t>
      </w:r>
      <w:r w:rsidR="00D91744" w:rsidRPr="00E61E7B">
        <w:t xml:space="preserve"> </w:t>
      </w:r>
      <w:r w:rsidR="00D91744">
        <w:t xml:space="preserve">2014 </w:t>
      </w:r>
      <w:r w:rsidR="00D91744" w:rsidRPr="00E61E7B">
        <w:t xml:space="preserve">voluntary </w:t>
      </w:r>
      <w:r w:rsidR="00D91744">
        <w:t xml:space="preserve">Australian </w:t>
      </w:r>
      <w:r w:rsidR="00D91744" w:rsidRPr="00E61E7B">
        <w:t>standard</w:t>
      </w:r>
    </w:p>
    <w:p w:rsidR="00A428BD" w:rsidRPr="00C8779D" w:rsidRDefault="00A428BD" w:rsidP="00701A93">
      <w:pPr>
        <w:pStyle w:val="ListParagraph"/>
        <w:numPr>
          <w:ilvl w:val="0"/>
          <w:numId w:val="33"/>
        </w:numPr>
        <w:tabs>
          <w:tab w:val="clear" w:pos="340"/>
          <w:tab w:val="left" w:pos="284"/>
        </w:tabs>
        <w:ind w:left="284" w:hanging="284"/>
        <w:rPr>
          <w:rFonts w:cs="Arial"/>
        </w:rPr>
      </w:pPr>
      <w:r w:rsidRPr="00701A93">
        <w:rPr>
          <w:rFonts w:cs="Arial"/>
        </w:rPr>
        <w:t>the impact of</w:t>
      </w:r>
      <w:r w:rsidR="0024779D" w:rsidRPr="00701A93">
        <w:rPr>
          <w:rFonts w:cs="Arial"/>
        </w:rPr>
        <w:t xml:space="preserve"> introducing </w:t>
      </w:r>
      <w:r w:rsidRPr="00701A93">
        <w:rPr>
          <w:rFonts w:cs="Arial"/>
        </w:rPr>
        <w:t xml:space="preserve"> the “molten fabric” test</w:t>
      </w:r>
    </w:p>
    <w:p w:rsidR="00A428BD" w:rsidRPr="00701A93" w:rsidRDefault="00A428BD" w:rsidP="00701A93">
      <w:pPr>
        <w:pStyle w:val="ListParagraph"/>
        <w:numPr>
          <w:ilvl w:val="0"/>
          <w:numId w:val="33"/>
        </w:numPr>
        <w:tabs>
          <w:tab w:val="clear" w:pos="340"/>
          <w:tab w:val="left" w:pos="284"/>
        </w:tabs>
        <w:ind w:left="284" w:hanging="284"/>
        <w:rPr>
          <w:rFonts w:cs="Arial"/>
        </w:rPr>
      </w:pPr>
      <w:proofErr w:type="gramStart"/>
      <w:r w:rsidRPr="00701A93">
        <w:rPr>
          <w:rFonts w:cs="Arial"/>
        </w:rPr>
        <w:t>transition</w:t>
      </w:r>
      <w:proofErr w:type="gramEnd"/>
      <w:r w:rsidRPr="00701A93">
        <w:rPr>
          <w:rFonts w:cs="Arial"/>
        </w:rPr>
        <w:t xml:space="preserve"> arrangements.</w:t>
      </w:r>
    </w:p>
    <w:p w:rsidR="00D449EF" w:rsidRPr="00AC1FB8" w:rsidRDefault="00D449EF" w:rsidP="00D449EF">
      <w:pPr>
        <w:pStyle w:val="Numbered1"/>
        <w:numPr>
          <w:ilvl w:val="0"/>
          <w:numId w:val="27"/>
        </w:numPr>
        <w:ind w:left="680" w:hanging="680"/>
      </w:pPr>
      <w:bookmarkStart w:id="3" w:name="_Toc460928455"/>
      <w:r w:rsidRPr="00382011">
        <w:t>Background</w:t>
      </w:r>
      <w:bookmarkEnd w:id="3"/>
    </w:p>
    <w:p w:rsidR="00D449EF" w:rsidRDefault="00D449EF" w:rsidP="00473EF8">
      <w:pPr>
        <w:pStyle w:val="Numbered11"/>
        <w:numPr>
          <w:ilvl w:val="1"/>
          <w:numId w:val="50"/>
        </w:numPr>
      </w:pPr>
      <w:r>
        <w:t>Children’s nightwear and limited daywear</w:t>
      </w:r>
      <w:r w:rsidRPr="00382011">
        <w:t xml:space="preserve"> in Australia</w:t>
      </w:r>
    </w:p>
    <w:p w:rsidR="00D449EF" w:rsidRPr="00977CA2" w:rsidRDefault="00D449EF" w:rsidP="00D449EF">
      <w:pPr>
        <w:tabs>
          <w:tab w:val="left" w:pos="709"/>
        </w:tabs>
        <w:rPr>
          <w:rFonts w:eastAsia="Times New Roman" w:cs="Arial"/>
        </w:rPr>
      </w:pPr>
      <w:r w:rsidRPr="001503A4">
        <w:rPr>
          <w:rFonts w:eastAsia="Times New Roman" w:cs="Arial"/>
        </w:rPr>
        <w:t>The supply of children’s nightwear has been regulated since 1977</w:t>
      </w:r>
      <w:r>
        <w:rPr>
          <w:rFonts w:eastAsia="Times New Roman" w:cs="Arial"/>
        </w:rPr>
        <w:t xml:space="preserve"> </w:t>
      </w:r>
      <w:r w:rsidR="00C307F6">
        <w:t xml:space="preserve">to address uncommon but severe </w:t>
      </w:r>
      <w:r w:rsidR="006C4B3B">
        <w:t xml:space="preserve">childhood </w:t>
      </w:r>
      <w:r w:rsidR="00C307F6">
        <w:t>burns</w:t>
      </w:r>
      <w:r w:rsidR="00C307F6">
        <w:rPr>
          <w:rFonts w:eastAsia="Times New Roman" w:cs="Arial"/>
        </w:rPr>
        <w:t xml:space="preserve"> by removing </w:t>
      </w:r>
      <w:r>
        <w:rPr>
          <w:rFonts w:eastAsia="Times New Roman" w:cs="Arial"/>
        </w:rPr>
        <w:t xml:space="preserve">dangerously flammable products from the market and to provide safety related </w:t>
      </w:r>
      <w:r w:rsidR="002953F7">
        <w:rPr>
          <w:rFonts w:eastAsia="Times New Roman" w:cs="Arial"/>
        </w:rPr>
        <w:t xml:space="preserve">warnings </w:t>
      </w:r>
      <w:r>
        <w:rPr>
          <w:rFonts w:eastAsia="Times New Roman" w:cs="Arial"/>
        </w:rPr>
        <w:t>to consumers at the point of sale. T</w:t>
      </w:r>
      <w:r w:rsidRPr="001503A4">
        <w:rPr>
          <w:rFonts w:eastAsia="Times New Roman" w:cs="Arial"/>
        </w:rPr>
        <w:t xml:space="preserve">he </w:t>
      </w:r>
      <w:r w:rsidR="006C4B3B">
        <w:rPr>
          <w:rFonts w:eastAsia="Times New Roman" w:cs="Arial"/>
        </w:rPr>
        <w:t>safety</w:t>
      </w:r>
      <w:r w:rsidR="006C4B3B" w:rsidRPr="00977CA2">
        <w:rPr>
          <w:rFonts w:eastAsia="Times New Roman" w:cs="Arial"/>
        </w:rPr>
        <w:t xml:space="preserve"> standard </w:t>
      </w:r>
      <w:r w:rsidR="002953F7">
        <w:rPr>
          <w:rFonts w:eastAsia="Times New Roman" w:cs="Arial"/>
        </w:rPr>
        <w:t>was last updated on</w:t>
      </w:r>
      <w:r w:rsidRPr="00977CA2">
        <w:rPr>
          <w:rFonts w:eastAsia="Times New Roman" w:cs="Arial"/>
        </w:rPr>
        <w:t xml:space="preserve"> 1 March 2008</w:t>
      </w:r>
      <w:r w:rsidR="006C4B3B">
        <w:rPr>
          <w:rFonts w:eastAsia="Times New Roman" w:cs="Arial"/>
        </w:rPr>
        <w:t xml:space="preserve"> and</w:t>
      </w:r>
      <w:r w:rsidRPr="00977CA2">
        <w:rPr>
          <w:rFonts w:eastAsia="Times New Roman" w:cs="Arial"/>
        </w:rPr>
        <w:t xml:space="preserve"> is based on the voluntary standard </w:t>
      </w:r>
      <w:r w:rsidRPr="00977CA2">
        <w:rPr>
          <w:rFonts w:eastAsia="Times New Roman" w:cs="Arial"/>
          <w:i/>
        </w:rPr>
        <w:t>AS/NZS 1249:2003 Children’s nightwear and limited daywear having reduced fire hazard</w:t>
      </w:r>
      <w:r w:rsidR="006C4B3B">
        <w:rPr>
          <w:rFonts w:eastAsia="Times New Roman" w:cs="Arial"/>
        </w:rPr>
        <w:t>.</w:t>
      </w:r>
      <w:r>
        <w:rPr>
          <w:rFonts w:eastAsia="Times New Roman" w:cs="Arial"/>
        </w:rPr>
        <w:t xml:space="preserve"> </w:t>
      </w:r>
      <w:r w:rsidR="006C4B3B">
        <w:rPr>
          <w:rFonts w:eastAsia="Times New Roman" w:cs="Arial"/>
        </w:rPr>
        <w:t>The</w:t>
      </w:r>
      <w:r w:rsidRPr="00977CA2">
        <w:rPr>
          <w:rFonts w:eastAsia="Times New Roman" w:cs="Arial"/>
        </w:rPr>
        <w:t xml:space="preserve"> voluntary standard was updated in 2014</w:t>
      </w:r>
      <w:r w:rsidR="006C4B3B">
        <w:rPr>
          <w:rFonts w:eastAsia="Times New Roman" w:cs="Arial"/>
        </w:rPr>
        <w:t xml:space="preserve"> but the changes did not update the safety standard</w:t>
      </w:r>
      <w:r w:rsidRPr="00977CA2">
        <w:rPr>
          <w:rFonts w:eastAsia="Times New Roman" w:cs="Arial"/>
        </w:rPr>
        <w:t>.</w:t>
      </w:r>
    </w:p>
    <w:p w:rsidR="00D449EF" w:rsidRDefault="00D449EF" w:rsidP="00D449EF">
      <w:pPr>
        <w:rPr>
          <w:rFonts w:eastAsia="Times New Roman" w:cs="Arial"/>
        </w:rPr>
      </w:pPr>
      <w:r w:rsidRPr="00977CA2">
        <w:rPr>
          <w:rFonts w:eastAsia="Times New Roman" w:cs="Arial"/>
        </w:rPr>
        <w:t xml:space="preserve">The existing </w:t>
      </w:r>
      <w:r w:rsidR="00AD5C7C">
        <w:rPr>
          <w:rFonts w:eastAsia="Times New Roman" w:cs="Arial"/>
        </w:rPr>
        <w:t>safety</w:t>
      </w:r>
      <w:r w:rsidRPr="00977CA2">
        <w:rPr>
          <w:rFonts w:eastAsia="Times New Roman" w:cs="Arial"/>
        </w:rPr>
        <w:t xml:space="preserve"> standard classifies</w:t>
      </w:r>
      <w:r w:rsidRPr="001503A4">
        <w:rPr>
          <w:rFonts w:eastAsia="Times New Roman" w:cs="Arial"/>
        </w:rPr>
        <w:t xml:space="preserve"> nightwear for children (and some daywear) into categories according to garment or fabric type. According to </w:t>
      </w:r>
      <w:r w:rsidR="00D6702B" w:rsidRPr="001503A4">
        <w:rPr>
          <w:rFonts w:eastAsia="Times New Roman" w:cs="Arial"/>
        </w:rPr>
        <w:t>category,</w:t>
      </w:r>
      <w:r w:rsidRPr="001503A4">
        <w:rPr>
          <w:rFonts w:eastAsia="Times New Roman" w:cs="Arial"/>
        </w:rPr>
        <w:t xml:space="preserve"> they can carry a white label reading “LOW FIRE DANGER” or a red label with a fire warning symbol and the text: </w:t>
      </w:r>
      <w:r w:rsidRPr="001503A4">
        <w:rPr>
          <w:rFonts w:eastAsia="Times New Roman" w:cs="Arial"/>
        </w:rPr>
        <w:lastRenderedPageBreak/>
        <w:t>“</w:t>
      </w:r>
      <w:r w:rsidRPr="001503A4">
        <w:rPr>
          <w:rFonts w:eastAsia="Times New Roman" w:cs="Arial"/>
          <w:b/>
        </w:rPr>
        <w:t xml:space="preserve">WARNING </w:t>
      </w:r>
      <w:r w:rsidRPr="001503A4">
        <w:rPr>
          <w:rFonts w:eastAsia="Times New Roman" w:cs="Arial"/>
        </w:rPr>
        <w:t>HIGH FIRE DANGER KEEP AWAY FROM FIRE”. Some garments are so flammable they cannot meet any of the four categories and must not be sold.</w:t>
      </w:r>
    </w:p>
    <w:p w:rsidR="00D449EF" w:rsidRDefault="00D449EF" w:rsidP="00473EF8">
      <w:pPr>
        <w:pStyle w:val="Numbered11"/>
        <w:numPr>
          <w:ilvl w:val="1"/>
          <w:numId w:val="50"/>
        </w:numPr>
      </w:pPr>
      <w:r>
        <w:t>Injuries and deaths involving children’s nightwear</w:t>
      </w:r>
      <w:r w:rsidRPr="00473EF8">
        <w:t xml:space="preserve"> </w:t>
      </w:r>
      <w:r>
        <w:t xml:space="preserve"> </w:t>
      </w:r>
    </w:p>
    <w:p w:rsidR="00D449EF" w:rsidRDefault="00D449EF" w:rsidP="000848A5">
      <w:r w:rsidRPr="001503A4">
        <w:t>NSW burns injury data from July 2009 to July 2013 show 62 children sustaining burns involving clothing but only four involved nightwear.</w:t>
      </w:r>
      <w:r>
        <w:t xml:space="preserve"> </w:t>
      </w:r>
      <w:r w:rsidRPr="001503A4">
        <w:t>Although they can be severe, burns associated with children’s nightwear are uncommon</w:t>
      </w:r>
      <w:r w:rsidR="00AB6032">
        <w:t>.</w:t>
      </w:r>
      <w:r w:rsidR="00216C21">
        <w:t xml:space="preserve"> </w:t>
      </w:r>
      <w:r w:rsidR="00AB6032">
        <w:t>I</w:t>
      </w:r>
      <w:r w:rsidRPr="001503A4">
        <w:t>njury concerns did not drive the review of the voluntary standard.</w:t>
      </w:r>
      <w:r w:rsidR="00216C21">
        <w:t xml:space="preserve"> </w:t>
      </w:r>
    </w:p>
    <w:p w:rsidR="00216C21" w:rsidRDefault="00C307F6" w:rsidP="00D449EF">
      <w:r>
        <w:rPr>
          <w:rFonts w:cs="Arial"/>
        </w:rPr>
        <w:t>B</w:t>
      </w:r>
      <w:r w:rsidR="00BD262F">
        <w:rPr>
          <w:rFonts w:cs="Arial"/>
        </w:rPr>
        <w:t>urn</w:t>
      </w:r>
      <w:r>
        <w:rPr>
          <w:rFonts w:cs="Arial"/>
        </w:rPr>
        <w:t>s</w:t>
      </w:r>
      <w:r w:rsidR="00BD262F">
        <w:rPr>
          <w:rFonts w:cs="Arial"/>
        </w:rPr>
        <w:t xml:space="preserve"> injury data does not consistently </w:t>
      </w:r>
      <w:r>
        <w:rPr>
          <w:rFonts w:cs="Arial"/>
        </w:rPr>
        <w:t>record</w:t>
      </w:r>
      <w:r w:rsidR="00BD262F">
        <w:rPr>
          <w:rFonts w:cs="Arial"/>
        </w:rPr>
        <w:t xml:space="preserve"> the type of clothing involved</w:t>
      </w:r>
      <w:r>
        <w:rPr>
          <w:rFonts w:cs="Arial"/>
        </w:rPr>
        <w:t xml:space="preserve">, so it is difficult to correlate </w:t>
      </w:r>
      <w:r w:rsidR="00AB6032">
        <w:rPr>
          <w:rFonts w:cs="Arial"/>
        </w:rPr>
        <w:t>types of burns with particular</w:t>
      </w:r>
      <w:r>
        <w:rPr>
          <w:rFonts w:cs="Arial"/>
        </w:rPr>
        <w:t xml:space="preserve"> </w:t>
      </w:r>
      <w:r w:rsidR="00AB6032">
        <w:rPr>
          <w:rFonts w:cs="Arial"/>
        </w:rPr>
        <w:t>types of clothing over time</w:t>
      </w:r>
      <w:r w:rsidR="00546F76">
        <w:rPr>
          <w:rFonts w:cs="Arial"/>
        </w:rPr>
        <w:t xml:space="preserve">. </w:t>
      </w:r>
      <w:r w:rsidR="00AB6032">
        <w:rPr>
          <w:rFonts w:cs="Arial"/>
        </w:rPr>
        <w:t>However, a</w:t>
      </w:r>
      <w:r w:rsidR="00546F76">
        <w:rPr>
          <w:rFonts w:cs="Arial"/>
        </w:rPr>
        <w:t xml:space="preserve"> recent study of historical </w:t>
      </w:r>
      <w:r w:rsidR="00AB6032">
        <w:rPr>
          <w:rFonts w:cs="Arial"/>
        </w:rPr>
        <w:t xml:space="preserve">Australian </w:t>
      </w:r>
      <w:r w:rsidR="00546F76">
        <w:rPr>
          <w:rFonts w:cs="Arial"/>
        </w:rPr>
        <w:t>burns data indicate</w:t>
      </w:r>
      <w:r w:rsidR="00AB6032">
        <w:rPr>
          <w:rFonts w:cs="Arial"/>
        </w:rPr>
        <w:t xml:space="preserve">d a substantial </w:t>
      </w:r>
      <w:r w:rsidR="00546F76">
        <w:rPr>
          <w:rFonts w:cs="Arial"/>
        </w:rPr>
        <w:t xml:space="preserve">reduction in child nightwear burn injuries </w:t>
      </w:r>
      <w:r w:rsidR="00AB6032">
        <w:rPr>
          <w:rFonts w:cs="Arial"/>
        </w:rPr>
        <w:t xml:space="preserve">over time </w:t>
      </w:r>
      <w:r w:rsidR="00546F76">
        <w:rPr>
          <w:rFonts w:cs="Arial"/>
        </w:rPr>
        <w:t xml:space="preserve">that </w:t>
      </w:r>
      <w:r w:rsidR="00AB6032">
        <w:rPr>
          <w:rFonts w:cs="Arial"/>
        </w:rPr>
        <w:t>wa</w:t>
      </w:r>
      <w:r w:rsidR="00546F76">
        <w:rPr>
          <w:rFonts w:cs="Arial"/>
        </w:rPr>
        <w:t xml:space="preserve">s almost three times </w:t>
      </w:r>
      <w:r w:rsidR="00AB6032">
        <w:rPr>
          <w:rFonts w:cs="Arial"/>
        </w:rPr>
        <w:t>bigger than the fall in burns related to</w:t>
      </w:r>
      <w:r w:rsidR="00546F76">
        <w:rPr>
          <w:rFonts w:cs="Arial"/>
        </w:rPr>
        <w:t xml:space="preserve"> other child</w:t>
      </w:r>
      <w:r w:rsidR="00AB6032">
        <w:rPr>
          <w:rFonts w:cs="Arial"/>
        </w:rPr>
        <w:t>ren’s</w:t>
      </w:r>
      <w:r w:rsidR="00546F76">
        <w:rPr>
          <w:rFonts w:cs="Arial"/>
        </w:rPr>
        <w:t xml:space="preserve"> clothing</w:t>
      </w:r>
      <w:r w:rsidR="00546F76">
        <w:rPr>
          <w:rStyle w:val="FootnoteReference"/>
          <w:rFonts w:cs="Arial"/>
        </w:rPr>
        <w:footnoteReference w:id="1"/>
      </w:r>
      <w:r w:rsidR="00546F76">
        <w:rPr>
          <w:rFonts w:cs="Arial"/>
        </w:rPr>
        <w:t>.</w:t>
      </w:r>
      <w:r w:rsidR="00CD384C">
        <w:rPr>
          <w:rFonts w:cs="Arial"/>
        </w:rPr>
        <w:t xml:space="preserve"> Earlier research indicates a similar experience in NZ</w:t>
      </w:r>
      <w:r w:rsidR="00CD384C">
        <w:rPr>
          <w:rStyle w:val="FootnoteReference"/>
          <w:rFonts w:cs="Arial"/>
        </w:rPr>
        <w:footnoteReference w:id="2"/>
      </w:r>
      <w:r w:rsidR="00CD384C">
        <w:rPr>
          <w:rFonts w:cs="Arial"/>
        </w:rPr>
        <w:t>.</w:t>
      </w:r>
      <w:r w:rsidR="006C4B3B">
        <w:rPr>
          <w:rFonts w:cs="Arial"/>
        </w:rPr>
        <w:t xml:space="preserve"> The safety standard </w:t>
      </w:r>
      <w:r w:rsidR="00686484">
        <w:rPr>
          <w:rFonts w:cs="Arial"/>
        </w:rPr>
        <w:t xml:space="preserve">is likely to have </w:t>
      </w:r>
      <w:r w:rsidR="006C4B3B">
        <w:rPr>
          <w:rFonts w:cs="Arial"/>
        </w:rPr>
        <w:t>contributed to th</w:t>
      </w:r>
      <w:r w:rsidR="00686484">
        <w:rPr>
          <w:rFonts w:cs="Arial"/>
        </w:rPr>
        <w:t>is</w:t>
      </w:r>
      <w:r w:rsidR="006C4B3B">
        <w:rPr>
          <w:rFonts w:cs="Arial"/>
        </w:rPr>
        <w:t xml:space="preserve"> reduction in child nightwear burns.  </w:t>
      </w:r>
    </w:p>
    <w:p w:rsidR="00D449EF" w:rsidRDefault="00D449EF" w:rsidP="00D449EF">
      <w:r w:rsidRPr="001503A4">
        <w:t>Open fires and kerosene heaters are less popular now than in the past</w:t>
      </w:r>
      <w:r w:rsidR="002953F7">
        <w:t xml:space="preserve"> and r</w:t>
      </w:r>
      <w:r w:rsidRPr="001503A4">
        <w:t xml:space="preserve">educed exposure to naked flames has probably contributed to lower injury rates. The increased popularity of ethanol burners and decorative/scented candles may increase exposure to the risk of naked flames but there is no clear data on this.  </w:t>
      </w:r>
    </w:p>
    <w:p w:rsidR="00D449EF" w:rsidRDefault="00AD5C7C" w:rsidP="00D449EF">
      <w:pPr>
        <w:pStyle w:val="Numbered11"/>
        <w:numPr>
          <w:ilvl w:val="1"/>
          <w:numId w:val="36"/>
        </w:numPr>
        <w:ind w:hanging="294"/>
      </w:pPr>
      <w:r>
        <w:t>Why the safety standard is being reviewed</w:t>
      </w:r>
    </w:p>
    <w:p w:rsidR="00D449EF" w:rsidRDefault="00D449EF" w:rsidP="00D449EF">
      <w:r>
        <w:t xml:space="preserve">We periodically review </w:t>
      </w:r>
      <w:r w:rsidR="00AD5C7C">
        <w:t>safety</w:t>
      </w:r>
      <w:r>
        <w:t xml:space="preserve"> standards to verify they are up to date, relevant</w:t>
      </w:r>
      <w:r w:rsidR="006C4729">
        <w:t>,</w:t>
      </w:r>
      <w:r>
        <w:t xml:space="preserve"> and the most effective way to manage safety.</w:t>
      </w:r>
    </w:p>
    <w:p w:rsidR="00D449EF" w:rsidRPr="001503A4" w:rsidRDefault="00D449EF" w:rsidP="00D449EF">
      <w:r w:rsidRPr="001503A4">
        <w:t xml:space="preserve">In the past five years, the ACCC has been significantly involved in research, stakeholder discussion and enforcement action </w:t>
      </w:r>
      <w:r>
        <w:t>associated with children’s nightwear</w:t>
      </w:r>
      <w:r w:rsidRPr="001503A4">
        <w:t>. This includes:</w:t>
      </w:r>
    </w:p>
    <w:p w:rsidR="00D449EF" w:rsidRPr="001503A4" w:rsidRDefault="00AD3D72" w:rsidP="00D449EF">
      <w:pPr>
        <w:pStyle w:val="ListParagraph"/>
        <w:numPr>
          <w:ilvl w:val="0"/>
          <w:numId w:val="33"/>
        </w:numPr>
        <w:tabs>
          <w:tab w:val="clear" w:pos="340"/>
          <w:tab w:val="left" w:pos="284"/>
        </w:tabs>
        <w:ind w:left="284" w:hanging="284"/>
      </w:pPr>
      <w:r>
        <w:t xml:space="preserve">hosting </w:t>
      </w:r>
      <w:r w:rsidR="00D449EF" w:rsidRPr="001503A4">
        <w:t>an industry consultation workshop in 2010 to resolve uncertainty in interpretation and compliance</w:t>
      </w:r>
    </w:p>
    <w:p w:rsidR="00D449EF" w:rsidRPr="001503A4" w:rsidRDefault="00AD3D72" w:rsidP="00D449EF">
      <w:pPr>
        <w:pStyle w:val="ListParagraph"/>
        <w:numPr>
          <w:ilvl w:val="0"/>
          <w:numId w:val="33"/>
        </w:numPr>
        <w:tabs>
          <w:tab w:val="clear" w:pos="340"/>
          <w:tab w:val="left" w:pos="284"/>
        </w:tabs>
        <w:ind w:left="284" w:hanging="284"/>
      </w:pPr>
      <w:r>
        <w:t xml:space="preserve">compliance </w:t>
      </w:r>
      <w:r w:rsidR="00D449EF">
        <w:t>action i</w:t>
      </w:r>
      <w:r w:rsidR="00D449EF" w:rsidRPr="001503A4">
        <w:t>n 2010</w:t>
      </w:r>
      <w:r w:rsidR="00D449EF">
        <w:t xml:space="preserve"> that resulted in </w:t>
      </w:r>
      <w:r w:rsidR="00D449EF" w:rsidRPr="001503A4">
        <w:t xml:space="preserve">Woolworths </w:t>
      </w:r>
      <w:r w:rsidR="00D449EF">
        <w:t>contributing</w:t>
      </w:r>
      <w:r w:rsidR="00D449EF" w:rsidRPr="001503A4">
        <w:t xml:space="preserve"> $200 000 for research to support </w:t>
      </w:r>
      <w:r w:rsidR="00D449EF">
        <w:t>a</w:t>
      </w:r>
      <w:r w:rsidR="00D449EF" w:rsidRPr="001503A4">
        <w:t xml:space="preserve"> review of the Australian Standard as part of a</w:t>
      </w:r>
      <w:r w:rsidR="00A92B2D">
        <w:t>n</w:t>
      </w:r>
      <w:r w:rsidR="00D449EF" w:rsidRPr="001503A4">
        <w:t xml:space="preserve"> enforceable undertaking </w:t>
      </w:r>
    </w:p>
    <w:p w:rsidR="00D449EF" w:rsidRPr="001503A4" w:rsidRDefault="00AD3D72" w:rsidP="00D449EF">
      <w:pPr>
        <w:pStyle w:val="ListParagraph"/>
        <w:numPr>
          <w:ilvl w:val="0"/>
          <w:numId w:val="33"/>
        </w:numPr>
        <w:tabs>
          <w:tab w:val="clear" w:pos="340"/>
          <w:tab w:val="left" w:pos="284"/>
        </w:tabs>
        <w:ind w:left="284" w:hanging="284"/>
      </w:pPr>
      <w:r>
        <w:t>s</w:t>
      </w:r>
      <w:r w:rsidRPr="001503A4">
        <w:t xml:space="preserve">ubstantial </w:t>
      </w:r>
      <w:r w:rsidR="00D449EF" w:rsidRPr="001503A4">
        <w:t xml:space="preserve">research </w:t>
      </w:r>
      <w:r w:rsidR="00D449EF">
        <w:t>on</w:t>
      </w:r>
      <w:r w:rsidR="00D449EF" w:rsidRPr="001503A4">
        <w:t xml:space="preserve"> </w:t>
      </w:r>
      <w:r w:rsidR="00E641AE">
        <w:t xml:space="preserve">the </w:t>
      </w:r>
      <w:r w:rsidR="00D449EF" w:rsidRPr="001503A4">
        <w:t xml:space="preserve">technical aspects of flammability and on consumer understanding of </w:t>
      </w:r>
      <w:r w:rsidR="00D449EF">
        <w:t>warning labels in general and on those for children’s nightwear specifically</w:t>
      </w:r>
    </w:p>
    <w:p w:rsidR="00D449EF" w:rsidRPr="001503A4" w:rsidRDefault="00AD3D72" w:rsidP="00D449EF">
      <w:pPr>
        <w:pStyle w:val="ListParagraph"/>
        <w:numPr>
          <w:ilvl w:val="0"/>
          <w:numId w:val="33"/>
        </w:numPr>
        <w:tabs>
          <w:tab w:val="clear" w:pos="340"/>
          <w:tab w:val="left" w:pos="284"/>
        </w:tabs>
        <w:ind w:left="284" w:hanging="284"/>
      </w:pPr>
      <w:proofErr w:type="gramStart"/>
      <w:r>
        <w:t>a</w:t>
      </w:r>
      <w:proofErr w:type="gramEnd"/>
      <w:r>
        <w:t xml:space="preserve"> </w:t>
      </w:r>
      <w:r w:rsidR="00D449EF">
        <w:t xml:space="preserve">request to </w:t>
      </w:r>
      <w:r w:rsidR="00D449EF" w:rsidRPr="001503A4">
        <w:t>Standards Australia to review the voluntary standard</w:t>
      </w:r>
      <w:r w:rsidR="00D449EF">
        <w:t xml:space="preserve"> in the light of the consultation with stakeholders</w:t>
      </w:r>
      <w:r w:rsidR="00E641AE">
        <w:t>, which</w:t>
      </w:r>
      <w:r w:rsidR="0092720F">
        <w:t xml:space="preserve"> ran from 2011-2014.</w:t>
      </w:r>
    </w:p>
    <w:p w:rsidR="00D449EF" w:rsidRDefault="00D449EF" w:rsidP="00D449EF">
      <w:r>
        <w:t>The current review of the safety standard for children’s nightwear is occurring because:</w:t>
      </w:r>
    </w:p>
    <w:p w:rsidR="00AD3D72" w:rsidRDefault="00EA66E2" w:rsidP="00FA3011">
      <w:pPr>
        <w:pStyle w:val="ListBullet"/>
        <w:numPr>
          <w:ilvl w:val="0"/>
          <w:numId w:val="29"/>
        </w:numPr>
        <w:tabs>
          <w:tab w:val="clear" w:pos="340"/>
          <w:tab w:val="left" w:pos="426"/>
        </w:tabs>
        <w:ind w:left="426"/>
      </w:pPr>
      <w:r>
        <w:t xml:space="preserve">the </w:t>
      </w:r>
      <w:r w:rsidR="00D449EF">
        <w:t xml:space="preserve">voluntary standard </w:t>
      </w:r>
      <w:r w:rsidR="00517CE4">
        <w:t xml:space="preserve">AS/NZS 1249 </w:t>
      </w:r>
      <w:r w:rsidR="00AD3D72">
        <w:t xml:space="preserve">that </w:t>
      </w:r>
      <w:r w:rsidR="00D449EF">
        <w:t xml:space="preserve">informs the </w:t>
      </w:r>
      <w:r w:rsidR="00AD5C7C">
        <w:t>safety</w:t>
      </w:r>
      <w:r w:rsidR="00D449EF">
        <w:t xml:space="preserve"> standard has been substantially </w:t>
      </w:r>
      <w:r w:rsidR="000848A5">
        <w:t>simplified using extensive research and consultation</w:t>
      </w:r>
    </w:p>
    <w:p w:rsidR="00D449EF" w:rsidRDefault="00EA66E2" w:rsidP="00D449EF">
      <w:pPr>
        <w:pStyle w:val="ListBullet"/>
        <w:numPr>
          <w:ilvl w:val="0"/>
          <w:numId w:val="29"/>
        </w:numPr>
        <w:tabs>
          <w:tab w:val="clear" w:pos="340"/>
          <w:tab w:val="left" w:pos="426"/>
        </w:tabs>
        <w:ind w:left="426"/>
      </w:pPr>
      <w:r>
        <w:t>suppliers have expressed concern about problems with</w:t>
      </w:r>
      <w:r w:rsidR="00D449EF">
        <w:t xml:space="preserve"> interpretation, compliance and the application of </w:t>
      </w:r>
      <w:r>
        <w:t xml:space="preserve">the </w:t>
      </w:r>
      <w:r w:rsidR="00D449EF">
        <w:t>standard</w:t>
      </w:r>
    </w:p>
    <w:p w:rsidR="00D449EF" w:rsidRDefault="00D449EF" w:rsidP="00D449EF">
      <w:pPr>
        <w:pStyle w:val="ListBullet"/>
        <w:numPr>
          <w:ilvl w:val="0"/>
          <w:numId w:val="29"/>
        </w:numPr>
        <w:tabs>
          <w:tab w:val="clear" w:pos="340"/>
          <w:tab w:val="left" w:pos="426"/>
        </w:tabs>
        <w:ind w:left="426"/>
      </w:pPr>
      <w:r>
        <w:t>the market has changed since the previous review and products continue to change</w:t>
      </w:r>
    </w:p>
    <w:p w:rsidR="00D449EF" w:rsidRDefault="00D449EF" w:rsidP="00D449EF">
      <w:pPr>
        <w:pStyle w:val="ListParagraph"/>
        <w:numPr>
          <w:ilvl w:val="0"/>
          <w:numId w:val="29"/>
        </w:numPr>
        <w:tabs>
          <w:tab w:val="clear" w:pos="340"/>
          <w:tab w:val="left" w:pos="426"/>
        </w:tabs>
        <w:ind w:left="426"/>
      </w:pPr>
      <w:proofErr w:type="gramStart"/>
      <w:r>
        <w:t>we</w:t>
      </w:r>
      <w:proofErr w:type="gramEnd"/>
      <w:r>
        <w:t xml:space="preserve"> need to consider </w:t>
      </w:r>
      <w:r w:rsidRPr="00534972">
        <w:t>acceptable</w:t>
      </w:r>
      <w:r>
        <w:t xml:space="preserve"> alternative ways to maintain safety, including standards used in other jurisdictions</w:t>
      </w:r>
      <w:r w:rsidR="00EA66E2">
        <w:t>.</w:t>
      </w:r>
      <w:r>
        <w:t xml:space="preserve"> </w:t>
      </w:r>
    </w:p>
    <w:p w:rsidR="00D449EF" w:rsidRDefault="00D449EF" w:rsidP="00D449EF">
      <w:pPr>
        <w:pStyle w:val="Numbered11"/>
        <w:numPr>
          <w:ilvl w:val="1"/>
          <w:numId w:val="36"/>
        </w:numPr>
        <w:ind w:left="993"/>
      </w:pPr>
      <w:r>
        <w:lastRenderedPageBreak/>
        <w:t xml:space="preserve">Update to the </w:t>
      </w:r>
      <w:r w:rsidRPr="00382011">
        <w:t>voluntary Australian standard</w:t>
      </w:r>
    </w:p>
    <w:p w:rsidR="00D449EF" w:rsidRPr="00D94057" w:rsidRDefault="00D449EF" w:rsidP="00D449EF">
      <w:r>
        <w:t>Stakeholder</w:t>
      </w:r>
      <w:r w:rsidR="00E57756">
        <w:t>s</w:t>
      </w:r>
      <w:r>
        <w:t xml:space="preserve"> indicate that the</w:t>
      </w:r>
      <w:r w:rsidR="002D51EA">
        <w:t>y</w:t>
      </w:r>
      <w:r>
        <w:t xml:space="preserve"> </w:t>
      </w:r>
      <w:r w:rsidR="002D51EA" w:rsidRPr="00D94057">
        <w:t>generally accept</w:t>
      </w:r>
      <w:r w:rsidR="002D51EA">
        <w:t xml:space="preserve"> the</w:t>
      </w:r>
      <w:r w:rsidR="002D51EA" w:rsidRPr="00D94057">
        <w:t xml:space="preserve"> </w:t>
      </w:r>
      <w:r w:rsidRPr="00D94057">
        <w:t xml:space="preserve">updated AS/NZS 1249:2014 as a major improvement. The ACCC encouraged Standards Australia to consult more widely than normal and industry response </w:t>
      </w:r>
      <w:r w:rsidR="002953F7">
        <w:t>was extensive and</w:t>
      </w:r>
      <w:r w:rsidRPr="00D94057">
        <w:t xml:space="preserve"> positive.</w:t>
      </w:r>
    </w:p>
    <w:p w:rsidR="00D449EF" w:rsidRPr="00D94057" w:rsidRDefault="00D449EF" w:rsidP="00D449EF">
      <w:r w:rsidRPr="00D94057">
        <w:t>Key changes</w:t>
      </w:r>
      <w:r>
        <w:t xml:space="preserve"> in AS/NZS 1249:</w:t>
      </w:r>
      <w:r w:rsidR="00E57756">
        <w:t xml:space="preserve">2014 </w:t>
      </w:r>
      <w:r>
        <w:t>include</w:t>
      </w:r>
      <w:r w:rsidRPr="00D94057">
        <w:t xml:space="preserve">: </w:t>
      </w:r>
    </w:p>
    <w:p w:rsidR="00D449EF" w:rsidRDefault="00FA3011" w:rsidP="00D449EF">
      <w:pPr>
        <w:pStyle w:val="ListParagraph"/>
        <w:numPr>
          <w:ilvl w:val="0"/>
          <w:numId w:val="33"/>
        </w:numPr>
        <w:tabs>
          <w:tab w:val="clear" w:pos="340"/>
          <w:tab w:val="left" w:pos="284"/>
        </w:tabs>
        <w:ind w:left="284" w:hanging="284"/>
      </w:pPr>
      <w:r>
        <w:t>e</w:t>
      </w:r>
      <w:r w:rsidRPr="00D94057">
        <w:t xml:space="preserve">xtensive </w:t>
      </w:r>
      <w:r w:rsidR="00D449EF" w:rsidRPr="00D94057">
        <w:t xml:space="preserve">editing </w:t>
      </w:r>
      <w:r w:rsidR="00E61E7B">
        <w:t>to make</w:t>
      </w:r>
      <w:r w:rsidR="00D449EF" w:rsidRPr="00D94057">
        <w:t xml:space="preserve"> it easier to read and </w:t>
      </w:r>
      <w:r w:rsidR="00D449EF">
        <w:t>understand</w:t>
      </w:r>
    </w:p>
    <w:p w:rsidR="00D449EF" w:rsidRPr="00D94057" w:rsidRDefault="00FA3011" w:rsidP="00D449EF">
      <w:pPr>
        <w:pStyle w:val="ListParagraph"/>
        <w:numPr>
          <w:ilvl w:val="0"/>
          <w:numId w:val="33"/>
        </w:numPr>
        <w:tabs>
          <w:tab w:val="clear" w:pos="340"/>
          <w:tab w:val="left" w:pos="284"/>
        </w:tabs>
        <w:ind w:left="284" w:hanging="284"/>
      </w:pPr>
      <w:r>
        <w:t>t</w:t>
      </w:r>
      <w:r w:rsidRPr="00D94057">
        <w:t xml:space="preserve">esters </w:t>
      </w:r>
      <w:r w:rsidR="00D449EF" w:rsidRPr="00D94057">
        <w:t xml:space="preserve">and suppliers </w:t>
      </w:r>
      <w:r w:rsidR="00D449EF">
        <w:t xml:space="preserve">report that it </w:t>
      </w:r>
      <w:r w:rsidR="00D91744">
        <w:t xml:space="preserve">is </w:t>
      </w:r>
      <w:r w:rsidR="00D449EF" w:rsidRPr="00D94057">
        <w:t>one-third less complex than the old standard</w:t>
      </w:r>
    </w:p>
    <w:p w:rsidR="00D449EF" w:rsidRPr="00D94057" w:rsidRDefault="00FA3011" w:rsidP="00D449EF">
      <w:pPr>
        <w:pStyle w:val="ListParagraph"/>
        <w:numPr>
          <w:ilvl w:val="0"/>
          <w:numId w:val="33"/>
        </w:numPr>
        <w:tabs>
          <w:tab w:val="clear" w:pos="340"/>
          <w:tab w:val="left" w:pos="284"/>
        </w:tabs>
        <w:ind w:left="284" w:hanging="284"/>
      </w:pPr>
      <w:r>
        <w:t>c</w:t>
      </w:r>
      <w:r w:rsidRPr="00D94057">
        <w:t>learer</w:t>
      </w:r>
      <w:r w:rsidR="00D449EF" w:rsidRPr="00D94057">
        <w:t>, more comprehensive list</w:t>
      </w:r>
      <w:r w:rsidR="00AD3D72">
        <w:t>s</w:t>
      </w:r>
      <w:r w:rsidR="00D449EF" w:rsidRPr="00D94057">
        <w:t xml:space="preserve"> of exclusions</w:t>
      </w:r>
      <w:r w:rsidR="00AD3D72">
        <w:t xml:space="preserve"> and </w:t>
      </w:r>
      <w:r w:rsidR="00D449EF" w:rsidRPr="00D94057">
        <w:t>inclusions</w:t>
      </w:r>
      <w:r w:rsidR="00D91744">
        <w:t>,</w:t>
      </w:r>
      <w:r w:rsidR="00D449EF" w:rsidRPr="00D94057">
        <w:t xml:space="preserve"> address</w:t>
      </w:r>
      <w:r w:rsidR="00D91744">
        <w:t>ing</w:t>
      </w:r>
      <w:r w:rsidR="00D449EF" w:rsidRPr="00D94057">
        <w:t xml:space="preserve"> a major </w:t>
      </w:r>
      <w:r w:rsidR="00D91744" w:rsidRPr="00D94057">
        <w:t xml:space="preserve">industry </w:t>
      </w:r>
      <w:r w:rsidR="00D449EF" w:rsidRPr="00D94057">
        <w:t xml:space="preserve">concern identified in the </w:t>
      </w:r>
      <w:r w:rsidR="00D91744">
        <w:t xml:space="preserve">2010 </w:t>
      </w:r>
      <w:r w:rsidR="00D449EF" w:rsidRPr="00D94057">
        <w:t>ACCC workshop</w:t>
      </w:r>
    </w:p>
    <w:p w:rsidR="00D449EF" w:rsidRPr="00D94057" w:rsidRDefault="00D449EF" w:rsidP="00D449EF">
      <w:pPr>
        <w:pStyle w:val="ListParagraph"/>
        <w:numPr>
          <w:ilvl w:val="0"/>
          <w:numId w:val="33"/>
        </w:numPr>
        <w:tabs>
          <w:tab w:val="clear" w:pos="340"/>
          <w:tab w:val="left" w:pos="284"/>
        </w:tabs>
        <w:ind w:left="284" w:hanging="284"/>
      </w:pPr>
      <w:r w:rsidRPr="00D94057">
        <w:t xml:space="preserve">predominately knitted all-in-one garments with no nap or pile </w:t>
      </w:r>
      <w:r w:rsidR="00D91744">
        <w:t xml:space="preserve">are excluded </w:t>
      </w:r>
      <w:r w:rsidRPr="00D94057">
        <w:t>on the basis of the research</w:t>
      </w:r>
    </w:p>
    <w:p w:rsidR="00D449EF" w:rsidRPr="00D94057" w:rsidRDefault="00FA3011" w:rsidP="00D449EF">
      <w:pPr>
        <w:pStyle w:val="ListParagraph"/>
        <w:numPr>
          <w:ilvl w:val="0"/>
          <w:numId w:val="33"/>
        </w:numPr>
        <w:tabs>
          <w:tab w:val="clear" w:pos="340"/>
          <w:tab w:val="left" w:pos="284"/>
        </w:tabs>
        <w:ind w:left="284" w:hanging="284"/>
      </w:pPr>
      <w:r>
        <w:t>s</w:t>
      </w:r>
      <w:r w:rsidRPr="00D94057">
        <w:t>ubstantial</w:t>
      </w:r>
      <w:r w:rsidR="00D91744">
        <w:t>ly</w:t>
      </w:r>
      <w:r w:rsidRPr="00D94057">
        <w:t xml:space="preserve"> </w:t>
      </w:r>
      <w:r w:rsidR="00D91744">
        <w:t xml:space="preserve">fewer </w:t>
      </w:r>
      <w:r w:rsidR="00D449EF" w:rsidRPr="00D94057">
        <w:t xml:space="preserve">requirements for trims on </w:t>
      </w:r>
      <w:r w:rsidR="00D91744">
        <w:t xml:space="preserve">the </w:t>
      </w:r>
      <w:r w:rsidR="00D449EF" w:rsidRPr="00D94057">
        <w:t>basis of flammability tests</w:t>
      </w:r>
    </w:p>
    <w:p w:rsidR="00D449EF" w:rsidRPr="00D94057" w:rsidRDefault="00FA3011" w:rsidP="00D449EF">
      <w:pPr>
        <w:pStyle w:val="ListParagraph"/>
        <w:numPr>
          <w:ilvl w:val="0"/>
          <w:numId w:val="33"/>
        </w:numPr>
        <w:tabs>
          <w:tab w:val="clear" w:pos="340"/>
          <w:tab w:val="left" w:pos="284"/>
        </w:tabs>
        <w:ind w:left="284" w:hanging="284"/>
      </w:pPr>
      <w:r>
        <w:t>s</w:t>
      </w:r>
      <w:r w:rsidRPr="00D94057">
        <w:t>impl</w:t>
      </w:r>
      <w:r w:rsidR="00D91744">
        <w:t xml:space="preserve">er </w:t>
      </w:r>
      <w:r w:rsidR="00D449EF" w:rsidRPr="00D94057">
        <w:t>test requirements for quilted, acetate and acrylic fabrics</w:t>
      </w:r>
    </w:p>
    <w:p w:rsidR="00D449EF" w:rsidRPr="00D94057" w:rsidRDefault="00944F92" w:rsidP="00D449EF">
      <w:pPr>
        <w:pStyle w:val="ListParagraph"/>
        <w:numPr>
          <w:ilvl w:val="0"/>
          <w:numId w:val="33"/>
        </w:numPr>
        <w:tabs>
          <w:tab w:val="clear" w:pos="340"/>
          <w:tab w:val="left" w:pos="284"/>
        </w:tabs>
        <w:ind w:left="284" w:hanging="284"/>
      </w:pPr>
      <w:r>
        <w:t>s</w:t>
      </w:r>
      <w:r w:rsidR="00D449EF" w:rsidRPr="00D94057">
        <w:t>implified flame spread tests</w:t>
      </w:r>
    </w:p>
    <w:p w:rsidR="00144003" w:rsidRPr="00D94057" w:rsidRDefault="00144003" w:rsidP="00144003">
      <w:pPr>
        <w:pStyle w:val="ListParagraph"/>
        <w:numPr>
          <w:ilvl w:val="0"/>
          <w:numId w:val="33"/>
        </w:numPr>
        <w:tabs>
          <w:tab w:val="clear" w:pos="340"/>
          <w:tab w:val="left" w:pos="284"/>
        </w:tabs>
        <w:ind w:left="284" w:hanging="284"/>
      </w:pPr>
      <w:r>
        <w:t xml:space="preserve">paper patterns are excluded and no longer require a warning message on the outer envelope under the heading “Fire Warning” </w:t>
      </w:r>
    </w:p>
    <w:p w:rsidR="00D449EF" w:rsidRDefault="00D91744" w:rsidP="00D449EF">
      <w:pPr>
        <w:pStyle w:val="ListParagraph"/>
        <w:numPr>
          <w:ilvl w:val="0"/>
          <w:numId w:val="33"/>
        </w:numPr>
        <w:tabs>
          <w:tab w:val="clear" w:pos="340"/>
          <w:tab w:val="left" w:pos="284"/>
        </w:tabs>
        <w:ind w:left="284" w:hanging="284"/>
      </w:pPr>
      <w:proofErr w:type="gramStart"/>
      <w:r>
        <w:t>a</w:t>
      </w:r>
      <w:proofErr w:type="gramEnd"/>
      <w:r w:rsidR="00D449EF" w:rsidRPr="00D94057">
        <w:t xml:space="preserve"> </w:t>
      </w:r>
      <w:r w:rsidR="00517CE4">
        <w:t xml:space="preserve">new </w:t>
      </w:r>
      <w:r w:rsidR="00D449EF" w:rsidRPr="00D94057">
        <w:t xml:space="preserve">white ‘low fire danger’ label carries the fire symbol and different text. </w:t>
      </w:r>
      <w:r w:rsidR="00A054D1">
        <w:t>R</w:t>
      </w:r>
      <w:r w:rsidR="00A054D1" w:rsidRPr="00D94057">
        <w:t xml:space="preserve">esearch </w:t>
      </w:r>
      <w:r w:rsidR="00A054D1">
        <w:t xml:space="preserve">showed that many consumers did not understand the old label </w:t>
      </w:r>
      <w:r w:rsidR="00A054D1" w:rsidRPr="00D94057">
        <w:t xml:space="preserve">and consumer comprehension tests </w:t>
      </w:r>
      <w:r w:rsidR="00A054D1">
        <w:t>support</w:t>
      </w:r>
      <w:r w:rsidR="00A054D1" w:rsidRPr="00D94057">
        <w:t xml:space="preserve"> </w:t>
      </w:r>
      <w:r w:rsidR="00A054D1">
        <w:t>t</w:t>
      </w:r>
      <w:r w:rsidR="00A054D1" w:rsidRPr="00D94057">
        <w:t>he</w:t>
      </w:r>
      <w:r w:rsidR="00A054D1">
        <w:t xml:space="preserve"> new</w:t>
      </w:r>
      <w:r w:rsidR="00A054D1" w:rsidRPr="00D94057">
        <w:t xml:space="preserve"> </w:t>
      </w:r>
      <w:r w:rsidR="00517CE4">
        <w:t>label</w:t>
      </w:r>
      <w:r w:rsidR="002E26D9">
        <w:t xml:space="preserve"> - </w:t>
      </w:r>
      <w:r w:rsidR="00A054D1">
        <w:t xml:space="preserve">the </w:t>
      </w:r>
      <w:r w:rsidR="002E26D9">
        <w:t xml:space="preserve">text of the </w:t>
      </w:r>
      <w:r w:rsidR="00A054D1">
        <w:t xml:space="preserve">red ‘high fire danger’ label </w:t>
      </w:r>
      <w:r w:rsidR="002E26D9">
        <w:t>has  been amended for consistency</w:t>
      </w:r>
      <w:r w:rsidR="00DF64E0">
        <w:rPr>
          <w:rStyle w:val="FootnoteReference"/>
        </w:rPr>
        <w:footnoteReference w:id="3"/>
      </w:r>
    </w:p>
    <w:p w:rsidR="00546F76" w:rsidRPr="00D94057" w:rsidRDefault="0043663D" w:rsidP="001E3378">
      <w:pPr>
        <w:pStyle w:val="ListParagraph"/>
        <w:numPr>
          <w:ilvl w:val="0"/>
          <w:numId w:val="0"/>
        </w:numPr>
        <w:tabs>
          <w:tab w:val="clear" w:pos="340"/>
          <w:tab w:val="left" w:pos="284"/>
        </w:tabs>
        <w:ind w:left="284"/>
        <w:jc w:val="center"/>
      </w:pPr>
      <w:r>
        <w:rPr>
          <w:noProof/>
          <w:lang w:eastAsia="en-AU"/>
        </w:rPr>
        <w:pict>
          <v:shape id="Picture 1" o:spid="_x0000_i1027" type="#_x0000_t75" style="width:97.1pt;height:186.9pt;visibility:visible;mso-wrap-style:square">
            <v:imagedata r:id="rId13" o:title=""/>
          </v:shape>
        </w:pict>
      </w:r>
      <w:r w:rsidR="00546F76">
        <w:rPr>
          <w:color w:val="1F497D"/>
          <w:lang w:eastAsia="en-AU"/>
        </w:rPr>
        <w:t xml:space="preserve">      </w:t>
      </w:r>
      <w:r>
        <w:rPr>
          <w:rFonts w:eastAsia="Times New Roman" w:cs="Calibri"/>
          <w:noProof/>
          <w:color w:val="333333"/>
          <w:lang w:eastAsia="en-AU"/>
        </w:rPr>
        <w:pict>
          <v:shape id="Picture 2" o:spid="_x0000_i1028" type="#_x0000_t75" style="width:104.35pt;height:190.1pt;visibility:visible;mso-wrap-style:square">
            <v:imagedata r:id="rId14" o:title=""/>
          </v:shape>
        </w:pict>
      </w:r>
    </w:p>
    <w:p w:rsidR="00D32C30" w:rsidRDefault="00A054D1" w:rsidP="00D35742">
      <w:pPr>
        <w:pStyle w:val="ListParagraph"/>
        <w:numPr>
          <w:ilvl w:val="0"/>
          <w:numId w:val="0"/>
        </w:numPr>
        <w:tabs>
          <w:tab w:val="clear" w:pos="340"/>
          <w:tab w:val="left" w:pos="284"/>
        </w:tabs>
        <w:ind w:left="284"/>
      </w:pPr>
      <w:proofErr w:type="gramStart"/>
      <w:r>
        <w:t>a</w:t>
      </w:r>
      <w:proofErr w:type="gramEnd"/>
      <w:r>
        <w:t xml:space="preserve"> </w:t>
      </w:r>
      <w:r w:rsidRPr="00D94057">
        <w:t xml:space="preserve">new test </w:t>
      </w:r>
      <w:r w:rsidR="00D449EF">
        <w:t xml:space="preserve">identifies </w:t>
      </w:r>
      <w:r>
        <w:t xml:space="preserve">‘high fire danger’ </w:t>
      </w:r>
      <w:r w:rsidR="00D449EF">
        <w:t xml:space="preserve">garments that burn slowly but </w:t>
      </w:r>
      <w:r>
        <w:t xml:space="preserve">that </w:t>
      </w:r>
      <w:r w:rsidR="00D449EF">
        <w:t xml:space="preserve">drip molten or flaming fabric. </w:t>
      </w:r>
      <w:r>
        <w:t>Some products currently classified ‘low fire danger’ would become ‘high fire danger’ under the new standard</w:t>
      </w:r>
      <w:r w:rsidR="00B22588">
        <w:t xml:space="preserve">. </w:t>
      </w:r>
    </w:p>
    <w:p w:rsidR="00D449EF" w:rsidRDefault="00D449EF" w:rsidP="00EE3295">
      <w:pPr>
        <w:pStyle w:val="Numbered11"/>
        <w:numPr>
          <w:ilvl w:val="1"/>
          <w:numId w:val="36"/>
        </w:numPr>
        <w:ind w:left="993" w:hanging="709"/>
      </w:pPr>
      <w:r>
        <w:t>New Zealand requirements</w:t>
      </w:r>
    </w:p>
    <w:p w:rsidR="00D449EF" w:rsidRPr="00D94057" w:rsidRDefault="00D449EF" w:rsidP="00D449EF">
      <w:r w:rsidRPr="00D94057">
        <w:t xml:space="preserve">New Zealand (NZ) introduced a </w:t>
      </w:r>
      <w:r w:rsidR="00AD5C7C">
        <w:t>safety</w:t>
      </w:r>
      <w:r w:rsidRPr="00D94057">
        <w:t xml:space="preserve"> standard in 2003 based on the voluntary standard</w:t>
      </w:r>
      <w:r>
        <w:t xml:space="preserve"> AS/NZS 1249:2003</w:t>
      </w:r>
      <w:r w:rsidRPr="00D94057">
        <w:t xml:space="preserve">. In 2008, reacting to a fatality and several serious injuries, it included a </w:t>
      </w:r>
      <w:r w:rsidRPr="00D94057">
        <w:lastRenderedPageBreak/>
        <w:t xml:space="preserve">third type of warning label </w:t>
      </w:r>
      <w:r>
        <w:t xml:space="preserve">because of indications that </w:t>
      </w:r>
      <w:r w:rsidRPr="00D94057">
        <w:t>consumers were confused about the meaning of the “</w:t>
      </w:r>
      <w:r w:rsidR="001E3378">
        <w:t>l</w:t>
      </w:r>
      <w:r w:rsidR="001E3378" w:rsidRPr="00D94057">
        <w:t xml:space="preserve">ow </w:t>
      </w:r>
      <w:r w:rsidR="001E3378">
        <w:t>f</w:t>
      </w:r>
      <w:r w:rsidR="001E3378" w:rsidRPr="00D94057">
        <w:t xml:space="preserve">ire </w:t>
      </w:r>
      <w:r w:rsidR="001E3378">
        <w:t>d</w:t>
      </w:r>
      <w:r w:rsidR="001E3378" w:rsidRPr="00D94057">
        <w:t>anger</w:t>
      </w:r>
      <w:r w:rsidRPr="00D94057">
        <w:t>” label.</w:t>
      </w:r>
    </w:p>
    <w:p w:rsidR="00D449EF" w:rsidRPr="00D94057" w:rsidRDefault="00D449EF" w:rsidP="00D449EF">
      <w:r w:rsidRPr="00D94057">
        <w:t xml:space="preserve">Following the publication of the revised AS/NZS 1249:2014, NZ </w:t>
      </w:r>
      <w:r w:rsidR="00310C0F">
        <w:t>mandated</w:t>
      </w:r>
      <w:r w:rsidR="00310C0F" w:rsidRPr="00D94057">
        <w:t xml:space="preserve"> </w:t>
      </w:r>
      <w:r w:rsidRPr="00D94057">
        <w:t xml:space="preserve">that standard, including the system of two warning labels. NZ is in a period of transition between the superseded and the current </w:t>
      </w:r>
      <w:r w:rsidR="00AD5C7C">
        <w:t>safety</w:t>
      </w:r>
      <w:r w:rsidRPr="00D94057">
        <w:t xml:space="preserve"> standards. From April 2017</w:t>
      </w:r>
      <w:r w:rsidR="00310C0F">
        <w:t>,</w:t>
      </w:r>
      <w:r w:rsidRPr="00D94057">
        <w:t xml:space="preserve"> all nightwear sold in NZ will need to meet the requirements of the 2014 standard. </w:t>
      </w:r>
    </w:p>
    <w:p w:rsidR="00D449EF" w:rsidRDefault="00D449EF" w:rsidP="00D449EF">
      <w:r w:rsidRPr="00D94057">
        <w:t>Under the Trans-Tasman Mutual Recognition Arrangement (TTMRA), products that are legal to sell in NZ can be supplied in</w:t>
      </w:r>
      <w:r w:rsidR="0024779D">
        <w:t>to</w:t>
      </w:r>
      <w:r w:rsidRPr="00D94057">
        <w:t xml:space="preserve"> Australia</w:t>
      </w:r>
      <w:r w:rsidR="0024779D">
        <w:t xml:space="preserve"> after being imported to NZ</w:t>
      </w:r>
      <w:r w:rsidRPr="00D94057">
        <w:t xml:space="preserve">. The difference between the existing </w:t>
      </w:r>
      <w:r w:rsidR="00AD5C7C">
        <w:t>safety</w:t>
      </w:r>
      <w:r w:rsidRPr="00D94057">
        <w:t xml:space="preserve"> standard and the revised regulation in NZ is modest in safety terms but (because of the different labels) </w:t>
      </w:r>
      <w:r w:rsidR="00310C0F">
        <w:t>creates</w:t>
      </w:r>
      <w:r w:rsidRPr="00D94057">
        <w:t xml:space="preserve"> compliance</w:t>
      </w:r>
      <w:r w:rsidR="00310C0F">
        <w:t xml:space="preserve"> problems for suppliers</w:t>
      </w:r>
      <w:r w:rsidRPr="00D94057">
        <w:t>.</w:t>
      </w:r>
    </w:p>
    <w:p w:rsidR="00097EF6" w:rsidRPr="00D94057" w:rsidRDefault="00097EF6" w:rsidP="00D449EF">
      <w:r>
        <w:t xml:space="preserve">If Australia adopts the updated voluntary standard, </w:t>
      </w:r>
      <w:r w:rsidRPr="00D94057">
        <w:t>AS/NZS 1249:2014</w:t>
      </w:r>
      <w:r>
        <w:t>, the regulati</w:t>
      </w:r>
      <w:r w:rsidR="00517CE4">
        <w:t xml:space="preserve">ons in the two countries would </w:t>
      </w:r>
      <w:r>
        <w:t>align.</w:t>
      </w:r>
    </w:p>
    <w:p w:rsidR="00D449EF" w:rsidRPr="00382011" w:rsidRDefault="00D449EF" w:rsidP="00D449EF">
      <w:pPr>
        <w:pStyle w:val="Numbered11"/>
        <w:numPr>
          <w:ilvl w:val="1"/>
          <w:numId w:val="36"/>
        </w:numPr>
        <w:ind w:left="993"/>
      </w:pPr>
      <w:r w:rsidRPr="00382011">
        <w:t>Compliance with the safety standard</w:t>
      </w:r>
    </w:p>
    <w:p w:rsidR="00D449EF" w:rsidRDefault="00D449EF" w:rsidP="00D449EF">
      <w:r>
        <w:t>In the eight years to June 2016 there have been 45</w:t>
      </w:r>
      <w:r w:rsidRPr="001503A4">
        <w:t xml:space="preserve"> </w:t>
      </w:r>
      <w:r>
        <w:t xml:space="preserve">children’s nightwear </w:t>
      </w:r>
      <w:r w:rsidRPr="001503A4">
        <w:t>product recalls</w:t>
      </w:r>
      <w:r>
        <w:t>.</w:t>
      </w:r>
    </w:p>
    <w:p w:rsidR="00D449EF" w:rsidRDefault="00D449EF" w:rsidP="00D449EF">
      <w:r>
        <w:t xml:space="preserve">Between June 2014 and June </w:t>
      </w:r>
      <w:r w:rsidR="00E51B6C">
        <w:t>2016,</w:t>
      </w:r>
      <w:r>
        <w:t xml:space="preserve"> the ACCC received 110 </w:t>
      </w:r>
      <w:r w:rsidR="00994AC2">
        <w:t xml:space="preserve">reports </w:t>
      </w:r>
      <w:r>
        <w:t xml:space="preserve">or enquiries about the application of the </w:t>
      </w:r>
      <w:r w:rsidR="00AD5C7C">
        <w:t>safety</w:t>
      </w:r>
      <w:r>
        <w:t xml:space="preserve"> standard and </w:t>
      </w:r>
      <w:r w:rsidR="00994AC2">
        <w:t xml:space="preserve">about particular </w:t>
      </w:r>
      <w:r>
        <w:t>products.</w:t>
      </w:r>
    </w:p>
    <w:p w:rsidR="003211CC" w:rsidRPr="00994AC2" w:rsidRDefault="003211CC" w:rsidP="00994AC2">
      <w:pPr>
        <w:pStyle w:val="ListBullet"/>
        <w:numPr>
          <w:ilvl w:val="0"/>
          <w:numId w:val="0"/>
        </w:numPr>
        <w:tabs>
          <w:tab w:val="clear" w:pos="340"/>
          <w:tab w:val="left" w:pos="426"/>
        </w:tabs>
      </w:pPr>
      <w:r>
        <w:t>T</w:t>
      </w:r>
      <w:r w:rsidRPr="00994AC2">
        <w:t>he 2010 consultation workshop</w:t>
      </w:r>
      <w:r>
        <w:t xml:space="preserve">, </w:t>
      </w:r>
      <w:r w:rsidRPr="00994AC2">
        <w:t xml:space="preserve">discussions with suppliers </w:t>
      </w:r>
      <w:r>
        <w:t xml:space="preserve">and the review of AS/NZS 1249 </w:t>
      </w:r>
      <w:r w:rsidRPr="00994AC2">
        <w:t xml:space="preserve">identified </w:t>
      </w:r>
      <w:r w:rsidR="00994AC2">
        <w:t>that</w:t>
      </w:r>
      <w:r>
        <w:t xml:space="preserve"> stakeholders </w:t>
      </w:r>
      <w:r w:rsidR="00994AC2">
        <w:t xml:space="preserve">experienced problems with the safety standard. The problems included difficulties interpreting the scope and </w:t>
      </w:r>
      <w:r w:rsidRPr="00994AC2">
        <w:t>definitions</w:t>
      </w:r>
      <w:r w:rsidR="00994AC2">
        <w:t xml:space="preserve"> in the standard</w:t>
      </w:r>
      <w:r w:rsidRPr="00994AC2">
        <w:t xml:space="preserve">, particularly </w:t>
      </w:r>
      <w:r w:rsidR="00994AC2">
        <w:t>for</w:t>
      </w:r>
      <w:r w:rsidRPr="00994AC2">
        <w:t xml:space="preserve"> new products</w:t>
      </w:r>
      <w:r w:rsidR="00994AC2">
        <w:t>.</w:t>
      </w:r>
      <w:r w:rsidRPr="00994AC2">
        <w:t xml:space="preserve"> </w:t>
      </w:r>
      <w:r w:rsidR="00994AC2">
        <w:t>They also found it hard to apply</w:t>
      </w:r>
      <w:r w:rsidRPr="00994AC2">
        <w:t xml:space="preserve"> </w:t>
      </w:r>
      <w:r>
        <w:t xml:space="preserve">the </w:t>
      </w:r>
      <w:r w:rsidRPr="00994AC2">
        <w:t xml:space="preserve">standard to trims, overlay and applique. </w:t>
      </w:r>
    </w:p>
    <w:p w:rsidR="00DA2049" w:rsidRPr="00846048" w:rsidRDefault="001E3378" w:rsidP="00D449EF">
      <w:r>
        <w:t>S</w:t>
      </w:r>
      <w:r w:rsidR="00E51B6C">
        <w:t xml:space="preserve">uppliers </w:t>
      </w:r>
      <w:r>
        <w:t>report that they</w:t>
      </w:r>
      <w:r w:rsidR="00E51B6C">
        <w:t xml:space="preserve"> sometimes f</w:t>
      </w:r>
      <w:r w:rsidR="003211CC">
        <w:t>ind</w:t>
      </w:r>
      <w:r w:rsidR="00E51B6C">
        <w:t xml:space="preserve"> it difficult to understand how to comply with</w:t>
      </w:r>
      <w:r w:rsidR="00DA2049">
        <w:t xml:space="preserve"> the</w:t>
      </w:r>
      <w:r w:rsidR="00E51B6C">
        <w:t xml:space="preserve"> safety standard</w:t>
      </w:r>
      <w:r>
        <w:t>.</w:t>
      </w:r>
      <w:r w:rsidR="00E51B6C">
        <w:t xml:space="preserve"> </w:t>
      </w:r>
      <w:r>
        <w:t xml:space="preserve">It appears </w:t>
      </w:r>
      <w:r w:rsidR="00E51B6C">
        <w:t xml:space="preserve">that </w:t>
      </w:r>
      <w:r>
        <w:t>a safety standard with simpler</w:t>
      </w:r>
      <w:r w:rsidR="003211CC">
        <w:t xml:space="preserve"> requirements </w:t>
      </w:r>
      <w:r w:rsidR="003733E7">
        <w:t xml:space="preserve">would </w:t>
      </w:r>
      <w:r>
        <w:t>make</w:t>
      </w:r>
      <w:r w:rsidR="003733E7">
        <w:t xml:space="preserve"> compliance</w:t>
      </w:r>
      <w:r>
        <w:t xml:space="preserve"> easier</w:t>
      </w:r>
      <w:r w:rsidR="00DA2049">
        <w:t>.</w:t>
      </w:r>
    </w:p>
    <w:p w:rsidR="00D449EF" w:rsidRDefault="001F084E" w:rsidP="00D449EF">
      <w:pPr>
        <w:pStyle w:val="Numbered1"/>
        <w:numPr>
          <w:ilvl w:val="0"/>
          <w:numId w:val="36"/>
        </w:numPr>
        <w:ind w:left="680" w:hanging="680"/>
      </w:pPr>
      <w:bookmarkStart w:id="4" w:name="_Toc460928456"/>
      <w:r>
        <w:t>International</w:t>
      </w:r>
      <w:r w:rsidR="00DB4B82">
        <w:t xml:space="preserve"> </w:t>
      </w:r>
      <w:r w:rsidR="00D449EF" w:rsidRPr="00844B87">
        <w:t xml:space="preserve"> standards</w:t>
      </w:r>
      <w:bookmarkEnd w:id="4"/>
    </w:p>
    <w:p w:rsidR="00391939" w:rsidRDefault="00AD5C7C" w:rsidP="00D449EF">
      <w:r w:rsidRPr="00AD5C7C">
        <w:t xml:space="preserve">The </w:t>
      </w:r>
      <w:r w:rsidR="001F084E">
        <w:t>international</w:t>
      </w:r>
      <w:r>
        <w:t xml:space="preserve"> </w:t>
      </w:r>
      <w:r w:rsidRPr="00AD5C7C">
        <w:t xml:space="preserve">standards considered </w:t>
      </w:r>
      <w:r w:rsidR="00960E60">
        <w:t>in this paper are</w:t>
      </w:r>
      <w:r w:rsidR="00391939">
        <w:t>:</w:t>
      </w:r>
    </w:p>
    <w:p w:rsidR="00391939" w:rsidRPr="001209B8" w:rsidRDefault="00AD5C7C" w:rsidP="001209B8">
      <w:pPr>
        <w:pStyle w:val="Heading4"/>
        <w:numPr>
          <w:ilvl w:val="0"/>
          <w:numId w:val="48"/>
        </w:numPr>
        <w:spacing w:before="120"/>
        <w:rPr>
          <w:b w:val="0"/>
          <w:i w:val="0"/>
          <w:color w:val="auto"/>
          <w:sz w:val="22"/>
          <w:lang w:val="en"/>
        </w:rPr>
      </w:pPr>
      <w:r w:rsidRPr="001209B8">
        <w:rPr>
          <w:b w:val="0"/>
          <w:i w:val="0"/>
          <w:color w:val="auto"/>
          <w:sz w:val="22"/>
          <w:lang w:val="en"/>
        </w:rPr>
        <w:t>European standard</w:t>
      </w:r>
      <w:r w:rsidR="00391939" w:rsidRPr="001209B8">
        <w:rPr>
          <w:b w:val="0"/>
          <w:i w:val="0"/>
          <w:color w:val="auto"/>
          <w:sz w:val="22"/>
          <w:lang w:val="en"/>
        </w:rPr>
        <w:t>:</w:t>
      </w:r>
      <w:r w:rsidRPr="001209B8">
        <w:rPr>
          <w:b w:val="0"/>
          <w:i w:val="0"/>
          <w:color w:val="auto"/>
          <w:sz w:val="22"/>
          <w:lang w:val="en"/>
        </w:rPr>
        <w:t xml:space="preserve"> EN 14878</w:t>
      </w:r>
    </w:p>
    <w:p w:rsidR="00391939" w:rsidRPr="001209B8" w:rsidRDefault="00AD5C7C" w:rsidP="001209B8">
      <w:pPr>
        <w:pStyle w:val="Heading4"/>
        <w:numPr>
          <w:ilvl w:val="0"/>
          <w:numId w:val="48"/>
        </w:numPr>
        <w:spacing w:before="120"/>
        <w:rPr>
          <w:b w:val="0"/>
          <w:i w:val="0"/>
          <w:color w:val="auto"/>
          <w:sz w:val="22"/>
          <w:lang w:val="en"/>
        </w:rPr>
      </w:pPr>
      <w:r w:rsidRPr="001209B8">
        <w:rPr>
          <w:b w:val="0"/>
          <w:i w:val="0"/>
          <w:color w:val="auto"/>
          <w:sz w:val="22"/>
          <w:lang w:val="en"/>
        </w:rPr>
        <w:t xml:space="preserve">British </w:t>
      </w:r>
      <w:r w:rsidR="00391939" w:rsidRPr="001209B8">
        <w:rPr>
          <w:b w:val="0"/>
          <w:i w:val="0"/>
          <w:color w:val="auto"/>
          <w:sz w:val="22"/>
          <w:lang w:val="en"/>
        </w:rPr>
        <w:t>s</w:t>
      </w:r>
      <w:r w:rsidRPr="001209B8">
        <w:rPr>
          <w:b w:val="0"/>
          <w:i w:val="0"/>
          <w:color w:val="auto"/>
          <w:sz w:val="22"/>
          <w:lang w:val="en"/>
        </w:rPr>
        <w:t>tandard</w:t>
      </w:r>
      <w:r w:rsidR="00391939" w:rsidRPr="001209B8">
        <w:rPr>
          <w:b w:val="0"/>
          <w:i w:val="0"/>
          <w:color w:val="auto"/>
          <w:sz w:val="22"/>
          <w:lang w:val="en"/>
        </w:rPr>
        <w:t>:</w:t>
      </w:r>
      <w:r w:rsidRPr="001209B8">
        <w:rPr>
          <w:b w:val="0"/>
          <w:i w:val="0"/>
          <w:color w:val="auto"/>
          <w:sz w:val="22"/>
          <w:lang w:val="en"/>
        </w:rPr>
        <w:t xml:space="preserve"> BS</w:t>
      </w:r>
      <w:r w:rsidR="001F084E" w:rsidRPr="001209B8">
        <w:rPr>
          <w:b w:val="0"/>
          <w:i w:val="0"/>
          <w:color w:val="auto"/>
          <w:sz w:val="22"/>
          <w:lang w:val="en"/>
        </w:rPr>
        <w:t xml:space="preserve"> </w:t>
      </w:r>
      <w:r w:rsidRPr="001209B8">
        <w:rPr>
          <w:b w:val="0"/>
          <w:i w:val="0"/>
          <w:color w:val="auto"/>
          <w:sz w:val="22"/>
          <w:lang w:val="en"/>
        </w:rPr>
        <w:t>5722</w:t>
      </w:r>
    </w:p>
    <w:p w:rsidR="00391939" w:rsidRPr="001209B8" w:rsidRDefault="00AD5C7C" w:rsidP="001209B8">
      <w:pPr>
        <w:pStyle w:val="Heading4"/>
        <w:numPr>
          <w:ilvl w:val="0"/>
          <w:numId w:val="48"/>
        </w:numPr>
        <w:spacing w:before="120"/>
        <w:rPr>
          <w:b w:val="0"/>
          <w:i w:val="0"/>
          <w:color w:val="auto"/>
          <w:sz w:val="22"/>
          <w:lang w:val="en"/>
        </w:rPr>
      </w:pPr>
      <w:r w:rsidRPr="001209B8">
        <w:rPr>
          <w:b w:val="0"/>
          <w:i w:val="0"/>
          <w:color w:val="auto"/>
          <w:sz w:val="22"/>
          <w:lang w:val="en"/>
        </w:rPr>
        <w:t xml:space="preserve">US standards 16 CFR 1615 (0-6) and 1616 (7-14). </w:t>
      </w:r>
    </w:p>
    <w:p w:rsidR="00AD5C7C" w:rsidRDefault="00AD5C7C" w:rsidP="00D449EF">
      <w:r w:rsidRPr="00AD5C7C">
        <w:t>There is no current I</w:t>
      </w:r>
      <w:r w:rsidR="00DF64E0">
        <w:t xml:space="preserve">nternational </w:t>
      </w:r>
      <w:r w:rsidRPr="00AD5C7C">
        <w:t>S</w:t>
      </w:r>
      <w:r w:rsidR="00DF64E0">
        <w:t xml:space="preserve">tandards </w:t>
      </w:r>
      <w:r w:rsidRPr="00AD5C7C">
        <w:t>O</w:t>
      </w:r>
      <w:r w:rsidR="00DF64E0">
        <w:t>rganisation (ISO)</w:t>
      </w:r>
      <w:r w:rsidRPr="00AD5C7C">
        <w:t xml:space="preserve"> standard for clothing flammability</w:t>
      </w:r>
      <w:r w:rsidR="00DF64E0">
        <w:t xml:space="preserve"> however AS/NZS 1249 references standards for surface burn (ISO 10047) and flame spread (ISO 6941).</w:t>
      </w:r>
    </w:p>
    <w:p w:rsidR="00D449EF" w:rsidRPr="00DB6C88" w:rsidRDefault="00CB08E7" w:rsidP="00D449EF">
      <w:r>
        <w:t>The ACCC</w:t>
      </w:r>
      <w:r w:rsidRPr="00DB6C88">
        <w:t xml:space="preserve"> use</w:t>
      </w:r>
      <w:r>
        <w:t>s</w:t>
      </w:r>
      <w:r w:rsidRPr="00DB6C88">
        <w:t xml:space="preserve"> </w:t>
      </w:r>
      <w:r>
        <w:t>the following</w:t>
      </w:r>
      <w:r w:rsidRPr="00DB6C88">
        <w:t xml:space="preserve"> criteria when assessing international standards</w:t>
      </w:r>
      <w:r w:rsidR="00D449EF" w:rsidRPr="00DB6C88">
        <w:t>:</w:t>
      </w:r>
      <w:r w:rsidR="00D449EF" w:rsidRPr="00DB6C88">
        <w:rPr>
          <w:vertAlign w:val="superscript"/>
        </w:rPr>
        <w:footnoteReference w:id="4"/>
      </w:r>
      <w:r w:rsidR="00D449EF" w:rsidRPr="00DB6C88">
        <w:t xml:space="preserve"> </w:t>
      </w:r>
    </w:p>
    <w:p w:rsidR="00D449EF" w:rsidRPr="00DB6C88" w:rsidRDefault="00D449EF" w:rsidP="00F64332">
      <w:pPr>
        <w:pStyle w:val="ListParagraph"/>
        <w:numPr>
          <w:ilvl w:val="0"/>
          <w:numId w:val="52"/>
        </w:numPr>
        <w:tabs>
          <w:tab w:val="clear" w:pos="340"/>
          <w:tab w:val="left" w:pos="284"/>
        </w:tabs>
      </w:pPr>
      <w:r w:rsidRPr="00DB6C88">
        <w:t>Addressing safety concerns: Is there evidence that the international standard provides an acceptable level of consumer safety?</w:t>
      </w:r>
    </w:p>
    <w:p w:rsidR="00D449EF" w:rsidRDefault="00D449EF" w:rsidP="00F64332">
      <w:pPr>
        <w:pStyle w:val="ListParagraph"/>
        <w:numPr>
          <w:ilvl w:val="0"/>
          <w:numId w:val="52"/>
        </w:numPr>
        <w:tabs>
          <w:tab w:val="clear" w:pos="340"/>
          <w:tab w:val="left" w:pos="284"/>
        </w:tabs>
      </w:pPr>
      <w:r w:rsidRPr="00EE5651">
        <w:t xml:space="preserve">Comparable jurisdiction to Australia: </w:t>
      </w:r>
      <w:r w:rsidRPr="00DB6C88">
        <w:t>Is the international standard published or developed by a legitimate standards body or government agency from an economy or nation with comparable economic and regulatory processes to Australia?</w:t>
      </w:r>
    </w:p>
    <w:p w:rsidR="00D449EF" w:rsidRDefault="00D449EF" w:rsidP="00F64332">
      <w:pPr>
        <w:pStyle w:val="ListParagraph"/>
        <w:numPr>
          <w:ilvl w:val="0"/>
          <w:numId w:val="52"/>
        </w:numPr>
        <w:tabs>
          <w:tab w:val="clear" w:pos="340"/>
          <w:tab w:val="left" w:pos="284"/>
        </w:tabs>
      </w:pPr>
      <w:r w:rsidRPr="00EE5651">
        <w:t>Applicability to the Australian context:</w:t>
      </w:r>
      <w:r w:rsidRPr="00A75B13">
        <w:t xml:space="preserve"> </w:t>
      </w:r>
      <w:r w:rsidRPr="00DB6C88">
        <w:t>Is the international standard applicable and sufficient in the Australian context?</w:t>
      </w:r>
    </w:p>
    <w:p w:rsidR="00D449EF" w:rsidRPr="001936BA" w:rsidRDefault="00D449EF" w:rsidP="00BD3C15">
      <w:pPr>
        <w:pStyle w:val="Heading3"/>
      </w:pPr>
      <w:r w:rsidRPr="001936BA">
        <w:lastRenderedPageBreak/>
        <w:t xml:space="preserve">The </w:t>
      </w:r>
      <w:r>
        <w:t>European</w:t>
      </w:r>
      <w:r w:rsidRPr="001936BA">
        <w:t xml:space="preserve"> standard</w:t>
      </w:r>
    </w:p>
    <w:p w:rsidR="00960E60" w:rsidRPr="00EE3295" w:rsidRDefault="00960E60" w:rsidP="00D449EF">
      <w:pPr>
        <w:pStyle w:val="Heading4"/>
        <w:spacing w:before="120"/>
        <w:rPr>
          <w:rFonts w:eastAsia="Arial"/>
          <w:b w:val="0"/>
          <w:bCs w:val="0"/>
          <w:i w:val="0"/>
          <w:iCs w:val="0"/>
          <w:color w:val="auto"/>
          <w:sz w:val="22"/>
        </w:rPr>
      </w:pPr>
      <w:r w:rsidRPr="00EE3295">
        <w:rPr>
          <w:rFonts w:eastAsia="Arial"/>
          <w:b w:val="0"/>
          <w:bCs w:val="0"/>
          <w:i w:val="0"/>
          <w:iCs w:val="0"/>
          <w:color w:val="auto"/>
          <w:sz w:val="22"/>
        </w:rPr>
        <w:t xml:space="preserve">The European Committee for Standardisation (CEN) developed the European standard. CEN </w:t>
      </w:r>
      <w:r w:rsidR="00CE71B1" w:rsidRPr="00162BAD">
        <w:rPr>
          <w:rFonts w:eastAsia="Arial"/>
          <w:b w:val="0"/>
          <w:bCs w:val="0"/>
          <w:i w:val="0"/>
          <w:iCs w:val="0"/>
          <w:color w:val="auto"/>
          <w:sz w:val="22"/>
        </w:rPr>
        <w:t xml:space="preserve">is reputable </w:t>
      </w:r>
      <w:r w:rsidR="00CE71B1">
        <w:rPr>
          <w:rFonts w:eastAsia="Arial"/>
          <w:b w:val="0"/>
          <w:bCs w:val="0"/>
          <w:i w:val="0"/>
          <w:iCs w:val="0"/>
          <w:color w:val="auto"/>
          <w:sz w:val="22"/>
        </w:rPr>
        <w:t xml:space="preserve">and </w:t>
      </w:r>
      <w:r w:rsidRPr="00EE3295">
        <w:rPr>
          <w:rFonts w:eastAsia="Arial"/>
          <w:b w:val="0"/>
          <w:bCs w:val="0"/>
          <w:i w:val="0"/>
          <w:iCs w:val="0"/>
          <w:color w:val="auto"/>
          <w:sz w:val="22"/>
        </w:rPr>
        <w:t xml:space="preserve">develops standards for use in Europe. </w:t>
      </w:r>
      <w:r w:rsidR="00440FEF" w:rsidRPr="00EE3295">
        <w:rPr>
          <w:rFonts w:eastAsia="Arial"/>
          <w:b w:val="0"/>
          <w:bCs w:val="0"/>
          <w:i w:val="0"/>
          <w:iCs w:val="0"/>
          <w:color w:val="auto"/>
          <w:sz w:val="22"/>
        </w:rPr>
        <w:t xml:space="preserve">CEN </w:t>
      </w:r>
      <w:r w:rsidRPr="00EE3295">
        <w:rPr>
          <w:rFonts w:eastAsia="Arial"/>
          <w:b w:val="0"/>
          <w:bCs w:val="0"/>
          <w:i w:val="0"/>
          <w:iCs w:val="0"/>
          <w:color w:val="auto"/>
          <w:sz w:val="22"/>
        </w:rPr>
        <w:t>covers a jurisdiction with economic and regulatory processes that are comparable to Australia</w:t>
      </w:r>
      <w:r w:rsidR="00421269">
        <w:rPr>
          <w:rFonts w:eastAsia="Arial"/>
          <w:b w:val="0"/>
          <w:bCs w:val="0"/>
          <w:i w:val="0"/>
          <w:iCs w:val="0"/>
          <w:color w:val="auto"/>
          <w:sz w:val="22"/>
        </w:rPr>
        <w:t>.</w:t>
      </w:r>
    </w:p>
    <w:p w:rsidR="00D449EF" w:rsidRDefault="00D449EF" w:rsidP="00D449EF">
      <w:pPr>
        <w:spacing w:before="120"/>
      </w:pPr>
      <w:r w:rsidRPr="007D6B14">
        <w:t>EN</w:t>
      </w:r>
      <w:r>
        <w:t xml:space="preserve"> 1487</w:t>
      </w:r>
      <w:r w:rsidR="00421269">
        <w:t>8</w:t>
      </w:r>
      <w:r>
        <w:t xml:space="preserve">:2007 </w:t>
      </w:r>
      <w:r w:rsidR="00440FEF">
        <w:rPr>
          <w:i/>
        </w:rPr>
        <w:t>Textiles</w:t>
      </w:r>
      <w:r w:rsidR="00421269">
        <w:rPr>
          <w:i/>
        </w:rPr>
        <w:t xml:space="preserve"> -</w:t>
      </w:r>
      <w:r w:rsidR="00440FEF">
        <w:rPr>
          <w:i/>
        </w:rPr>
        <w:t xml:space="preserve"> Burning behaviour of children</w:t>
      </w:r>
      <w:r w:rsidR="00421269">
        <w:rPr>
          <w:i/>
        </w:rPr>
        <w:t>’</w:t>
      </w:r>
      <w:r w:rsidR="00440FEF">
        <w:rPr>
          <w:i/>
        </w:rPr>
        <w:t>s nightwear</w:t>
      </w:r>
      <w:r w:rsidR="00421269">
        <w:rPr>
          <w:i/>
        </w:rPr>
        <w:t xml:space="preserve"> -</w:t>
      </w:r>
      <w:r w:rsidR="00440FEF">
        <w:rPr>
          <w:i/>
        </w:rPr>
        <w:t xml:space="preserve"> </w:t>
      </w:r>
      <w:r w:rsidR="00D55CD3">
        <w:rPr>
          <w:i/>
        </w:rPr>
        <w:t xml:space="preserve">Specification </w:t>
      </w:r>
      <w:r w:rsidR="00D55CD3">
        <w:t>specifies</w:t>
      </w:r>
      <w:r>
        <w:t xml:space="preserve"> flammability and test requirements for garments</w:t>
      </w:r>
      <w:r w:rsidR="00421269">
        <w:t xml:space="preserve"> and </w:t>
      </w:r>
      <w:r>
        <w:t xml:space="preserve">fabrics. The standard </w:t>
      </w:r>
      <w:r w:rsidR="00421269">
        <w:t>supports</w:t>
      </w:r>
      <w:r>
        <w:t xml:space="preserve"> the </w:t>
      </w:r>
      <w:r w:rsidR="00421269">
        <w:t xml:space="preserve">European </w:t>
      </w:r>
      <w:r>
        <w:t>General Product Safety Directive.</w:t>
      </w:r>
      <w:r w:rsidR="00CE3442">
        <w:t xml:space="preserve"> </w:t>
      </w:r>
      <w:r w:rsidR="00421269">
        <w:t xml:space="preserve">CEN </w:t>
      </w:r>
      <w:r w:rsidR="00440FEF">
        <w:t xml:space="preserve">last </w:t>
      </w:r>
      <w:r>
        <w:t xml:space="preserve">reviewed </w:t>
      </w:r>
      <w:r w:rsidR="00421269">
        <w:t xml:space="preserve">this standard </w:t>
      </w:r>
      <w:r>
        <w:t>in 2007</w:t>
      </w:r>
      <w:r w:rsidR="00F92921">
        <w:t>.</w:t>
      </w:r>
    </w:p>
    <w:p w:rsidR="00D449EF" w:rsidRPr="00826B72" w:rsidRDefault="00D449EF" w:rsidP="00EE3295">
      <w:pPr>
        <w:pStyle w:val="Heading4"/>
        <w:spacing w:before="120"/>
        <w:rPr>
          <w:lang w:val="en"/>
        </w:rPr>
      </w:pPr>
      <w:r w:rsidRPr="00C8779D">
        <w:rPr>
          <w:b w:val="0"/>
          <w:i w:val="0"/>
          <w:color w:val="auto"/>
          <w:sz w:val="22"/>
          <w:lang w:val="en"/>
        </w:rPr>
        <w:t>The approach to safety and warning</w:t>
      </w:r>
      <w:r w:rsidR="00AE08DA">
        <w:rPr>
          <w:b w:val="0"/>
          <w:i w:val="0"/>
          <w:color w:val="auto"/>
          <w:sz w:val="22"/>
          <w:lang w:val="en"/>
        </w:rPr>
        <w:t>s</w:t>
      </w:r>
      <w:r w:rsidRPr="00C8779D">
        <w:rPr>
          <w:b w:val="0"/>
          <w:i w:val="0"/>
          <w:color w:val="auto"/>
          <w:sz w:val="22"/>
          <w:lang w:val="en"/>
        </w:rPr>
        <w:t xml:space="preserve"> differ</w:t>
      </w:r>
      <w:r w:rsidR="00426266">
        <w:rPr>
          <w:b w:val="0"/>
          <w:i w:val="0"/>
          <w:color w:val="auto"/>
          <w:sz w:val="22"/>
          <w:lang w:val="en"/>
        </w:rPr>
        <w:t>s</w:t>
      </w:r>
      <w:r w:rsidRPr="00C8779D">
        <w:rPr>
          <w:b w:val="0"/>
          <w:i w:val="0"/>
          <w:color w:val="auto"/>
          <w:sz w:val="22"/>
          <w:lang w:val="en"/>
        </w:rPr>
        <w:t xml:space="preserve"> from the </w:t>
      </w:r>
      <w:r w:rsidRPr="001A2D19">
        <w:rPr>
          <w:b w:val="0"/>
          <w:i w:val="0"/>
          <w:color w:val="auto"/>
          <w:sz w:val="22"/>
          <w:lang w:val="en"/>
        </w:rPr>
        <w:t>approach in Australia</w:t>
      </w:r>
      <w:r w:rsidRPr="00EE3295">
        <w:rPr>
          <w:b w:val="0"/>
          <w:i w:val="0"/>
          <w:color w:val="auto"/>
          <w:sz w:val="22"/>
          <w:lang w:val="en"/>
        </w:rPr>
        <w:t>:</w:t>
      </w:r>
    </w:p>
    <w:p w:rsidR="006F3866" w:rsidRDefault="006F3866" w:rsidP="00D449EF">
      <w:pPr>
        <w:pStyle w:val="Heading4"/>
        <w:numPr>
          <w:ilvl w:val="0"/>
          <w:numId w:val="48"/>
        </w:numPr>
        <w:spacing w:before="120"/>
        <w:rPr>
          <w:b w:val="0"/>
          <w:i w:val="0"/>
          <w:color w:val="auto"/>
          <w:sz w:val="22"/>
          <w:lang w:val="en"/>
        </w:rPr>
      </w:pPr>
      <w:r>
        <w:rPr>
          <w:b w:val="0"/>
          <w:i w:val="0"/>
          <w:color w:val="auto"/>
          <w:sz w:val="22"/>
          <w:lang w:val="en"/>
        </w:rPr>
        <w:t>Both standards cover children’s nightwear but the specific types of products covered by each standard differ and the product-category schemes also differ.</w:t>
      </w:r>
    </w:p>
    <w:p w:rsidR="00CE3442" w:rsidRDefault="00CE3442" w:rsidP="00D449EF">
      <w:pPr>
        <w:pStyle w:val="Heading4"/>
        <w:numPr>
          <w:ilvl w:val="0"/>
          <w:numId w:val="48"/>
        </w:numPr>
        <w:spacing w:before="120"/>
        <w:rPr>
          <w:b w:val="0"/>
          <w:i w:val="0"/>
          <w:color w:val="auto"/>
          <w:sz w:val="22"/>
          <w:lang w:val="en"/>
        </w:rPr>
      </w:pPr>
      <w:r w:rsidRPr="001A2D19">
        <w:rPr>
          <w:b w:val="0"/>
          <w:i w:val="0"/>
          <w:color w:val="auto"/>
          <w:sz w:val="22"/>
          <w:lang w:val="en"/>
        </w:rPr>
        <w:t>Performance requirements are less than those in AS/NZS 1249 and offer a lower level of safety in some areas</w:t>
      </w:r>
      <w:r>
        <w:rPr>
          <w:b w:val="0"/>
          <w:i w:val="0"/>
          <w:color w:val="auto"/>
          <w:sz w:val="22"/>
          <w:lang w:val="en"/>
        </w:rPr>
        <w:t>.</w:t>
      </w:r>
      <w:r w:rsidRPr="001A2D19">
        <w:rPr>
          <w:b w:val="0"/>
          <w:i w:val="0"/>
          <w:color w:val="auto"/>
          <w:sz w:val="22"/>
          <w:lang w:val="en"/>
        </w:rPr>
        <w:t xml:space="preserve"> </w:t>
      </w:r>
    </w:p>
    <w:p w:rsidR="00CE3442" w:rsidRDefault="00D449EF" w:rsidP="00D449EF">
      <w:pPr>
        <w:pStyle w:val="Heading4"/>
        <w:numPr>
          <w:ilvl w:val="0"/>
          <w:numId w:val="48"/>
        </w:numPr>
        <w:spacing w:before="120"/>
        <w:rPr>
          <w:b w:val="0"/>
          <w:i w:val="0"/>
          <w:color w:val="auto"/>
          <w:sz w:val="22"/>
          <w:lang w:val="en"/>
        </w:rPr>
      </w:pPr>
      <w:r w:rsidRPr="001A2D19">
        <w:rPr>
          <w:b w:val="0"/>
          <w:i w:val="0"/>
          <w:color w:val="auto"/>
          <w:sz w:val="22"/>
          <w:lang w:val="en"/>
        </w:rPr>
        <w:t xml:space="preserve">The </w:t>
      </w:r>
      <w:r w:rsidR="00415B16">
        <w:rPr>
          <w:b w:val="0"/>
          <w:i w:val="0"/>
          <w:color w:val="auto"/>
          <w:sz w:val="22"/>
          <w:lang w:val="en"/>
        </w:rPr>
        <w:t>European</w:t>
      </w:r>
      <w:r w:rsidR="00415B16" w:rsidRPr="001A2D19">
        <w:rPr>
          <w:b w:val="0"/>
          <w:i w:val="0"/>
          <w:color w:val="auto"/>
          <w:sz w:val="22"/>
          <w:lang w:val="en"/>
        </w:rPr>
        <w:t xml:space="preserve"> </w:t>
      </w:r>
      <w:r w:rsidRPr="001A2D19">
        <w:rPr>
          <w:b w:val="0"/>
          <w:i w:val="0"/>
          <w:color w:val="auto"/>
          <w:sz w:val="22"/>
          <w:lang w:val="en"/>
        </w:rPr>
        <w:t>standard sets flammability requirements but has limited design rules which</w:t>
      </w:r>
      <w:r w:rsidR="00C8779D">
        <w:rPr>
          <w:b w:val="0"/>
          <w:i w:val="0"/>
          <w:color w:val="auto"/>
          <w:sz w:val="22"/>
          <w:lang w:val="en"/>
        </w:rPr>
        <w:t xml:space="preserve"> </w:t>
      </w:r>
      <w:r w:rsidRPr="001A2D19">
        <w:rPr>
          <w:b w:val="0"/>
          <w:i w:val="0"/>
          <w:color w:val="auto"/>
          <w:sz w:val="22"/>
          <w:lang w:val="en"/>
        </w:rPr>
        <w:t xml:space="preserve">only </w:t>
      </w:r>
      <w:r w:rsidR="001A2D19">
        <w:rPr>
          <w:b w:val="0"/>
          <w:i w:val="0"/>
          <w:color w:val="auto"/>
          <w:sz w:val="22"/>
          <w:lang w:val="en"/>
        </w:rPr>
        <w:t xml:space="preserve">cover </w:t>
      </w:r>
      <w:r w:rsidRPr="001A2D19">
        <w:rPr>
          <w:b w:val="0"/>
          <w:i w:val="0"/>
          <w:color w:val="auto"/>
          <w:sz w:val="22"/>
          <w:lang w:val="en"/>
        </w:rPr>
        <w:t>pyjamas.</w:t>
      </w:r>
      <w:r w:rsidR="00CE3442" w:rsidRPr="00CE3442">
        <w:rPr>
          <w:b w:val="0"/>
          <w:i w:val="0"/>
          <w:color w:val="auto"/>
          <w:sz w:val="22"/>
          <w:lang w:val="en"/>
        </w:rPr>
        <w:t xml:space="preserve"> </w:t>
      </w:r>
    </w:p>
    <w:p w:rsidR="00D449EF" w:rsidRPr="001A2D19" w:rsidRDefault="00CE3442" w:rsidP="00D449EF">
      <w:pPr>
        <w:pStyle w:val="Heading4"/>
        <w:numPr>
          <w:ilvl w:val="0"/>
          <w:numId w:val="48"/>
        </w:numPr>
        <w:spacing w:before="120"/>
        <w:rPr>
          <w:b w:val="0"/>
          <w:i w:val="0"/>
          <w:color w:val="auto"/>
          <w:sz w:val="22"/>
          <w:lang w:val="en"/>
        </w:rPr>
      </w:pPr>
      <w:r>
        <w:rPr>
          <w:b w:val="0"/>
          <w:i w:val="0"/>
          <w:color w:val="auto"/>
          <w:sz w:val="22"/>
          <w:lang w:val="en"/>
        </w:rPr>
        <w:t>S</w:t>
      </w:r>
      <w:r w:rsidRPr="001A2D19">
        <w:rPr>
          <w:b w:val="0"/>
          <w:i w:val="0"/>
          <w:color w:val="auto"/>
          <w:sz w:val="22"/>
          <w:lang w:val="en"/>
        </w:rPr>
        <w:t xml:space="preserve">ome products </w:t>
      </w:r>
      <w:r>
        <w:rPr>
          <w:b w:val="0"/>
          <w:i w:val="0"/>
          <w:color w:val="auto"/>
          <w:sz w:val="22"/>
          <w:lang w:val="en"/>
        </w:rPr>
        <w:t xml:space="preserve">that can be supplied </w:t>
      </w:r>
      <w:r w:rsidRPr="001A2D19">
        <w:rPr>
          <w:b w:val="0"/>
          <w:i w:val="0"/>
          <w:color w:val="auto"/>
          <w:sz w:val="22"/>
          <w:lang w:val="en"/>
        </w:rPr>
        <w:t xml:space="preserve">in Australia </w:t>
      </w:r>
      <w:r w:rsidR="003F73E8">
        <w:rPr>
          <w:b w:val="0"/>
          <w:i w:val="0"/>
          <w:color w:val="auto"/>
          <w:sz w:val="22"/>
          <w:lang w:val="en"/>
        </w:rPr>
        <w:t>with a ‘</w:t>
      </w:r>
      <w:r w:rsidR="003F73E8" w:rsidRPr="001A2D19">
        <w:rPr>
          <w:b w:val="0"/>
          <w:i w:val="0"/>
          <w:color w:val="auto"/>
          <w:sz w:val="22"/>
          <w:lang w:val="en"/>
        </w:rPr>
        <w:t>high fire danger</w:t>
      </w:r>
      <w:r w:rsidR="003F73E8">
        <w:rPr>
          <w:b w:val="0"/>
          <w:i w:val="0"/>
          <w:color w:val="auto"/>
          <w:sz w:val="22"/>
          <w:lang w:val="en"/>
        </w:rPr>
        <w:t>’</w:t>
      </w:r>
      <w:r w:rsidR="003F73E8" w:rsidRPr="001A2D19">
        <w:rPr>
          <w:b w:val="0"/>
          <w:i w:val="0"/>
          <w:color w:val="auto"/>
          <w:sz w:val="22"/>
          <w:lang w:val="en"/>
        </w:rPr>
        <w:t xml:space="preserve"> </w:t>
      </w:r>
      <w:r w:rsidR="003F73E8">
        <w:rPr>
          <w:b w:val="0"/>
          <w:i w:val="0"/>
          <w:color w:val="auto"/>
          <w:sz w:val="22"/>
          <w:lang w:val="en"/>
        </w:rPr>
        <w:t xml:space="preserve">label </w:t>
      </w:r>
      <w:r>
        <w:rPr>
          <w:b w:val="0"/>
          <w:i w:val="0"/>
          <w:color w:val="auto"/>
          <w:sz w:val="22"/>
          <w:lang w:val="en"/>
        </w:rPr>
        <w:t>are not</w:t>
      </w:r>
      <w:r w:rsidRPr="001A2D19">
        <w:rPr>
          <w:b w:val="0"/>
          <w:i w:val="0"/>
          <w:color w:val="auto"/>
          <w:sz w:val="22"/>
          <w:lang w:val="en"/>
        </w:rPr>
        <w:t xml:space="preserve"> allowed</w:t>
      </w:r>
      <w:r>
        <w:rPr>
          <w:b w:val="0"/>
          <w:i w:val="0"/>
          <w:color w:val="auto"/>
          <w:sz w:val="22"/>
          <w:lang w:val="en"/>
        </w:rPr>
        <w:t xml:space="preserve"> under the European standard</w:t>
      </w:r>
      <w:r w:rsidRPr="001A2D19">
        <w:rPr>
          <w:b w:val="0"/>
          <w:i w:val="0"/>
          <w:color w:val="auto"/>
          <w:sz w:val="22"/>
          <w:lang w:val="en"/>
        </w:rPr>
        <w:t>.</w:t>
      </w:r>
    </w:p>
    <w:p w:rsidR="00D449EF" w:rsidRPr="001A2D19" w:rsidRDefault="00D449EF" w:rsidP="00D449EF">
      <w:pPr>
        <w:pStyle w:val="Heading4"/>
        <w:numPr>
          <w:ilvl w:val="0"/>
          <w:numId w:val="48"/>
        </w:numPr>
        <w:spacing w:before="120"/>
        <w:rPr>
          <w:b w:val="0"/>
          <w:i w:val="0"/>
          <w:color w:val="auto"/>
          <w:sz w:val="22"/>
          <w:lang w:val="en"/>
        </w:rPr>
      </w:pPr>
      <w:r w:rsidRPr="001A2D19">
        <w:rPr>
          <w:b w:val="0"/>
          <w:i w:val="0"/>
          <w:color w:val="auto"/>
          <w:sz w:val="22"/>
          <w:lang w:val="en"/>
        </w:rPr>
        <w:t xml:space="preserve">The </w:t>
      </w:r>
      <w:r w:rsidR="006F3866">
        <w:rPr>
          <w:b w:val="0"/>
          <w:i w:val="0"/>
          <w:color w:val="auto"/>
          <w:sz w:val="22"/>
          <w:lang w:val="en"/>
        </w:rPr>
        <w:t xml:space="preserve">European </w:t>
      </w:r>
      <w:r w:rsidRPr="001A2D19">
        <w:rPr>
          <w:b w:val="0"/>
          <w:i w:val="0"/>
          <w:color w:val="auto"/>
          <w:sz w:val="22"/>
          <w:lang w:val="en"/>
        </w:rPr>
        <w:t xml:space="preserve">warning label is optional if </w:t>
      </w:r>
      <w:r w:rsidR="00415B16">
        <w:rPr>
          <w:b w:val="0"/>
          <w:i w:val="0"/>
          <w:color w:val="auto"/>
          <w:sz w:val="22"/>
          <w:lang w:val="en"/>
        </w:rPr>
        <w:t xml:space="preserve">the </w:t>
      </w:r>
      <w:r w:rsidRPr="001A2D19">
        <w:rPr>
          <w:b w:val="0"/>
          <w:i w:val="0"/>
          <w:color w:val="auto"/>
          <w:sz w:val="22"/>
          <w:lang w:val="en"/>
        </w:rPr>
        <w:t>garment passes flammability test</w:t>
      </w:r>
      <w:r w:rsidR="00415B16">
        <w:rPr>
          <w:b w:val="0"/>
          <w:i w:val="0"/>
          <w:color w:val="auto"/>
          <w:sz w:val="22"/>
          <w:lang w:val="en"/>
        </w:rPr>
        <w:t>s</w:t>
      </w:r>
      <w:r w:rsidRPr="001A2D19">
        <w:rPr>
          <w:b w:val="0"/>
          <w:i w:val="0"/>
          <w:color w:val="auto"/>
          <w:sz w:val="22"/>
          <w:lang w:val="en"/>
        </w:rPr>
        <w:t>.</w:t>
      </w:r>
      <w:r w:rsidR="00CE3442" w:rsidRPr="00EE3295">
        <w:rPr>
          <w:b w:val="0"/>
          <w:i w:val="0"/>
          <w:color w:val="auto"/>
          <w:sz w:val="22"/>
          <w:lang w:val="en"/>
        </w:rPr>
        <w:t xml:space="preserve"> If the supplier uses the labelling, it must be in the prescribed form.</w:t>
      </w:r>
    </w:p>
    <w:p w:rsidR="00415B16" w:rsidRDefault="00D449EF" w:rsidP="00D449EF">
      <w:pPr>
        <w:pStyle w:val="Heading4"/>
        <w:numPr>
          <w:ilvl w:val="0"/>
          <w:numId w:val="48"/>
        </w:numPr>
        <w:spacing w:before="120"/>
        <w:rPr>
          <w:b w:val="0"/>
          <w:i w:val="0"/>
          <w:color w:val="auto"/>
          <w:sz w:val="22"/>
          <w:lang w:val="en"/>
        </w:rPr>
      </w:pPr>
      <w:r w:rsidRPr="001A2D19">
        <w:rPr>
          <w:b w:val="0"/>
          <w:i w:val="0"/>
          <w:color w:val="auto"/>
          <w:sz w:val="22"/>
          <w:lang w:val="en"/>
        </w:rPr>
        <w:t>The warning text is clear</w:t>
      </w:r>
      <w:r w:rsidR="00C8779D">
        <w:rPr>
          <w:b w:val="0"/>
          <w:i w:val="0"/>
          <w:color w:val="auto"/>
          <w:sz w:val="22"/>
          <w:lang w:val="en"/>
        </w:rPr>
        <w:t>:</w:t>
      </w:r>
      <w:r w:rsidRPr="001A2D19">
        <w:rPr>
          <w:b w:val="0"/>
          <w:i w:val="0"/>
          <w:color w:val="auto"/>
          <w:sz w:val="22"/>
          <w:lang w:val="en"/>
        </w:rPr>
        <w:t xml:space="preserve"> </w:t>
      </w:r>
      <w:r w:rsidRPr="00EE3295">
        <w:rPr>
          <w:b w:val="0"/>
          <w:i w:val="0"/>
          <w:color w:val="auto"/>
          <w:sz w:val="22"/>
          <w:lang w:val="en"/>
        </w:rPr>
        <w:t>For child safety, garment should fit snugly. This garment is not</w:t>
      </w:r>
      <w:r w:rsidRPr="001A2D19">
        <w:rPr>
          <w:b w:val="0"/>
          <w:color w:val="auto"/>
          <w:sz w:val="22"/>
          <w:lang w:val="en"/>
        </w:rPr>
        <w:t xml:space="preserve"> flame resistant. Loose fitting garment is more likely to catch fire</w:t>
      </w:r>
      <w:r w:rsidR="00415B16">
        <w:rPr>
          <w:b w:val="0"/>
          <w:color w:val="auto"/>
          <w:sz w:val="22"/>
          <w:lang w:val="en"/>
        </w:rPr>
        <w:t xml:space="preserve"> </w:t>
      </w:r>
      <w:r w:rsidR="00415B16" w:rsidRPr="001A2D19">
        <w:rPr>
          <w:b w:val="0"/>
          <w:i w:val="0"/>
          <w:color w:val="auto"/>
          <w:sz w:val="22"/>
          <w:lang w:val="en"/>
        </w:rPr>
        <w:t>(black text on yellow</w:t>
      </w:r>
      <w:r w:rsidRPr="001A2D19">
        <w:rPr>
          <w:b w:val="0"/>
          <w:color w:val="auto"/>
          <w:sz w:val="22"/>
          <w:lang w:val="en"/>
        </w:rPr>
        <w:t>)</w:t>
      </w:r>
      <w:r w:rsidRPr="001A2D19">
        <w:rPr>
          <w:b w:val="0"/>
          <w:i w:val="0"/>
          <w:color w:val="auto"/>
          <w:sz w:val="22"/>
          <w:lang w:val="en"/>
        </w:rPr>
        <w:t xml:space="preserve">.  </w:t>
      </w:r>
    </w:p>
    <w:p w:rsidR="00415B16" w:rsidRDefault="00415B16" w:rsidP="00D449EF">
      <w:pPr>
        <w:pStyle w:val="Heading4"/>
        <w:numPr>
          <w:ilvl w:val="0"/>
          <w:numId w:val="48"/>
        </w:numPr>
        <w:spacing w:before="120"/>
        <w:rPr>
          <w:b w:val="0"/>
          <w:i w:val="0"/>
          <w:color w:val="auto"/>
          <w:sz w:val="22"/>
          <w:lang w:val="en"/>
        </w:rPr>
      </w:pPr>
      <w:r>
        <w:rPr>
          <w:b w:val="0"/>
          <w:i w:val="0"/>
          <w:color w:val="auto"/>
          <w:sz w:val="22"/>
          <w:lang w:val="en"/>
        </w:rPr>
        <w:t>There is no</w:t>
      </w:r>
      <w:r w:rsidR="00D449EF" w:rsidRPr="001A2D19">
        <w:rPr>
          <w:b w:val="0"/>
          <w:i w:val="0"/>
          <w:color w:val="auto"/>
          <w:sz w:val="22"/>
          <w:lang w:val="en"/>
        </w:rPr>
        <w:t xml:space="preserve"> “high fire danger’ alert for more flammable fabrics. </w:t>
      </w:r>
    </w:p>
    <w:p w:rsidR="00D449EF" w:rsidRPr="001A2D19" w:rsidRDefault="00415B16" w:rsidP="00D449EF">
      <w:pPr>
        <w:pStyle w:val="Heading4"/>
        <w:numPr>
          <w:ilvl w:val="0"/>
          <w:numId w:val="48"/>
        </w:numPr>
        <w:spacing w:before="120"/>
        <w:rPr>
          <w:b w:val="0"/>
          <w:i w:val="0"/>
          <w:color w:val="auto"/>
          <w:sz w:val="22"/>
          <w:lang w:val="en"/>
        </w:rPr>
      </w:pPr>
      <w:r>
        <w:rPr>
          <w:b w:val="0"/>
          <w:i w:val="0"/>
          <w:color w:val="auto"/>
          <w:sz w:val="22"/>
          <w:lang w:val="en"/>
        </w:rPr>
        <w:t>There are n</w:t>
      </w:r>
      <w:r w:rsidRPr="001A2D19">
        <w:rPr>
          <w:b w:val="0"/>
          <w:i w:val="0"/>
          <w:color w:val="auto"/>
          <w:sz w:val="22"/>
          <w:lang w:val="en"/>
        </w:rPr>
        <w:t xml:space="preserve">o </w:t>
      </w:r>
      <w:r w:rsidR="00D449EF" w:rsidRPr="001A2D19">
        <w:rPr>
          <w:b w:val="0"/>
          <w:i w:val="0"/>
          <w:color w:val="auto"/>
          <w:sz w:val="22"/>
          <w:lang w:val="en"/>
        </w:rPr>
        <w:t xml:space="preserve">graphic </w:t>
      </w:r>
      <w:r>
        <w:rPr>
          <w:b w:val="0"/>
          <w:i w:val="0"/>
          <w:color w:val="auto"/>
          <w:sz w:val="22"/>
          <w:lang w:val="en"/>
        </w:rPr>
        <w:t xml:space="preserve">warning </w:t>
      </w:r>
      <w:r w:rsidR="00D449EF" w:rsidRPr="001A2D19">
        <w:rPr>
          <w:b w:val="0"/>
          <w:i w:val="0"/>
          <w:color w:val="auto"/>
          <w:sz w:val="22"/>
          <w:lang w:val="en"/>
        </w:rPr>
        <w:t>symbols</w:t>
      </w:r>
      <w:r>
        <w:rPr>
          <w:b w:val="0"/>
          <w:i w:val="0"/>
          <w:color w:val="auto"/>
          <w:sz w:val="22"/>
          <w:lang w:val="en"/>
        </w:rPr>
        <w:t>.</w:t>
      </w:r>
      <w:r w:rsidR="006F3866">
        <w:rPr>
          <w:b w:val="0"/>
          <w:i w:val="0"/>
          <w:color w:val="auto"/>
          <w:sz w:val="22"/>
          <w:lang w:val="en"/>
        </w:rPr>
        <w:t xml:space="preserve"> </w:t>
      </w:r>
      <w:r>
        <w:rPr>
          <w:b w:val="0"/>
          <w:i w:val="0"/>
          <w:color w:val="auto"/>
          <w:sz w:val="22"/>
          <w:lang w:val="en"/>
        </w:rPr>
        <w:t>C</w:t>
      </w:r>
      <w:r w:rsidRPr="001A2D19">
        <w:rPr>
          <w:b w:val="0"/>
          <w:i w:val="0"/>
          <w:color w:val="auto"/>
          <w:sz w:val="22"/>
          <w:lang w:val="en"/>
        </w:rPr>
        <w:t xml:space="preserve">onsumer tested </w:t>
      </w:r>
      <w:r>
        <w:rPr>
          <w:b w:val="0"/>
          <w:i w:val="0"/>
          <w:color w:val="auto"/>
          <w:sz w:val="22"/>
          <w:lang w:val="en"/>
        </w:rPr>
        <w:t>graphic warning symbols</w:t>
      </w:r>
      <w:r w:rsidR="00D449EF" w:rsidRPr="001A2D19">
        <w:rPr>
          <w:b w:val="0"/>
          <w:i w:val="0"/>
          <w:color w:val="auto"/>
          <w:sz w:val="22"/>
          <w:lang w:val="en"/>
        </w:rPr>
        <w:t xml:space="preserve"> are </w:t>
      </w:r>
      <w:r>
        <w:rPr>
          <w:b w:val="0"/>
          <w:i w:val="0"/>
          <w:color w:val="auto"/>
          <w:sz w:val="22"/>
          <w:lang w:val="en"/>
        </w:rPr>
        <w:t>specified</w:t>
      </w:r>
      <w:r w:rsidRPr="001A2D19">
        <w:rPr>
          <w:b w:val="0"/>
          <w:i w:val="0"/>
          <w:color w:val="auto"/>
          <w:sz w:val="22"/>
          <w:lang w:val="en"/>
        </w:rPr>
        <w:t xml:space="preserve"> </w:t>
      </w:r>
      <w:r w:rsidR="00D449EF" w:rsidRPr="001A2D19">
        <w:rPr>
          <w:b w:val="0"/>
          <w:i w:val="0"/>
          <w:color w:val="auto"/>
          <w:sz w:val="22"/>
          <w:lang w:val="en"/>
        </w:rPr>
        <w:t>in AS/NZS 1249:</w:t>
      </w:r>
      <w:r w:rsidR="00E57756" w:rsidRPr="001A2D19">
        <w:rPr>
          <w:b w:val="0"/>
          <w:i w:val="0"/>
          <w:color w:val="auto"/>
          <w:sz w:val="22"/>
          <w:lang w:val="en"/>
        </w:rPr>
        <w:t>201</w:t>
      </w:r>
      <w:r w:rsidR="00E57756">
        <w:rPr>
          <w:b w:val="0"/>
          <w:i w:val="0"/>
          <w:color w:val="auto"/>
          <w:sz w:val="22"/>
          <w:lang w:val="en"/>
        </w:rPr>
        <w:t>4</w:t>
      </w:r>
      <w:r w:rsidR="00D449EF" w:rsidRPr="001A2D19">
        <w:rPr>
          <w:b w:val="0"/>
          <w:i w:val="0"/>
          <w:color w:val="auto"/>
          <w:sz w:val="22"/>
          <w:lang w:val="en"/>
        </w:rPr>
        <w:t>.</w:t>
      </w:r>
    </w:p>
    <w:p w:rsidR="00D449EF" w:rsidRPr="00C8779D" w:rsidRDefault="00D449EF" w:rsidP="00D449EF">
      <w:pPr>
        <w:pStyle w:val="Heading4"/>
        <w:numPr>
          <w:ilvl w:val="0"/>
          <w:numId w:val="48"/>
        </w:numPr>
        <w:spacing w:before="120"/>
        <w:rPr>
          <w:b w:val="0"/>
          <w:i w:val="0"/>
          <w:color w:val="auto"/>
          <w:sz w:val="22"/>
          <w:lang w:val="en"/>
        </w:rPr>
      </w:pPr>
      <w:r w:rsidRPr="001A2D19">
        <w:rPr>
          <w:b w:val="0"/>
          <w:i w:val="0"/>
          <w:color w:val="auto"/>
          <w:sz w:val="22"/>
          <w:lang w:val="en"/>
        </w:rPr>
        <w:t xml:space="preserve">The fabrics </w:t>
      </w:r>
      <w:r w:rsidR="00415B16">
        <w:rPr>
          <w:b w:val="0"/>
          <w:i w:val="0"/>
          <w:color w:val="auto"/>
          <w:sz w:val="22"/>
          <w:lang w:val="en"/>
        </w:rPr>
        <w:t>do</w:t>
      </w:r>
      <w:r w:rsidR="00415B16" w:rsidRPr="001A2D19">
        <w:rPr>
          <w:b w:val="0"/>
          <w:i w:val="0"/>
          <w:color w:val="auto"/>
          <w:sz w:val="22"/>
          <w:lang w:val="en"/>
        </w:rPr>
        <w:t xml:space="preserve"> </w:t>
      </w:r>
      <w:r w:rsidRPr="001A2D19">
        <w:rPr>
          <w:b w:val="0"/>
          <w:i w:val="0"/>
          <w:color w:val="auto"/>
          <w:sz w:val="22"/>
          <w:lang w:val="en"/>
        </w:rPr>
        <w:t xml:space="preserve">not </w:t>
      </w:r>
      <w:r w:rsidR="00415B16">
        <w:rPr>
          <w:b w:val="0"/>
          <w:i w:val="0"/>
          <w:color w:val="auto"/>
          <w:sz w:val="22"/>
          <w:lang w:val="en"/>
        </w:rPr>
        <w:t>need</w:t>
      </w:r>
      <w:r w:rsidR="00415B16" w:rsidRPr="001A2D19">
        <w:rPr>
          <w:b w:val="0"/>
          <w:i w:val="0"/>
          <w:color w:val="auto"/>
          <w:sz w:val="22"/>
          <w:lang w:val="en"/>
        </w:rPr>
        <w:t xml:space="preserve"> </w:t>
      </w:r>
      <w:r w:rsidRPr="001A2D19">
        <w:rPr>
          <w:b w:val="0"/>
          <w:i w:val="0"/>
          <w:color w:val="auto"/>
          <w:sz w:val="22"/>
          <w:lang w:val="en"/>
        </w:rPr>
        <w:t xml:space="preserve">to be washed </w:t>
      </w:r>
      <w:r w:rsidRPr="00C8779D">
        <w:rPr>
          <w:b w:val="0"/>
          <w:i w:val="0"/>
          <w:color w:val="auto"/>
          <w:sz w:val="22"/>
          <w:lang w:val="en"/>
        </w:rPr>
        <w:t>before testing</w:t>
      </w:r>
      <w:r w:rsidR="006F3866">
        <w:rPr>
          <w:b w:val="0"/>
          <w:i w:val="0"/>
          <w:color w:val="auto"/>
          <w:sz w:val="22"/>
          <w:lang w:val="en"/>
        </w:rPr>
        <w:t xml:space="preserve"> under the European standard</w:t>
      </w:r>
      <w:r w:rsidRPr="00C8779D">
        <w:rPr>
          <w:b w:val="0"/>
          <w:i w:val="0"/>
          <w:color w:val="auto"/>
          <w:sz w:val="22"/>
          <w:lang w:val="en"/>
        </w:rPr>
        <w:t>.</w:t>
      </w:r>
    </w:p>
    <w:p w:rsidR="00473EF8" w:rsidRDefault="00473EF8" w:rsidP="00D449EF">
      <w:pPr>
        <w:pStyle w:val="Heading4"/>
        <w:numPr>
          <w:ilvl w:val="0"/>
          <w:numId w:val="48"/>
        </w:numPr>
        <w:spacing w:before="120"/>
        <w:rPr>
          <w:b w:val="0"/>
          <w:i w:val="0"/>
          <w:color w:val="auto"/>
          <w:sz w:val="22"/>
          <w:lang w:val="en"/>
        </w:rPr>
      </w:pPr>
      <w:r>
        <w:rPr>
          <w:b w:val="0"/>
          <w:i w:val="0"/>
          <w:color w:val="auto"/>
          <w:sz w:val="22"/>
          <w:lang w:val="en"/>
        </w:rPr>
        <w:t xml:space="preserve">Some garments that pass the European </w:t>
      </w:r>
      <w:r w:rsidRPr="00C8779D">
        <w:rPr>
          <w:b w:val="0"/>
          <w:i w:val="0"/>
          <w:color w:val="auto"/>
          <w:sz w:val="22"/>
          <w:lang w:val="en"/>
        </w:rPr>
        <w:t xml:space="preserve">flame spread </w:t>
      </w:r>
      <w:r>
        <w:rPr>
          <w:b w:val="0"/>
          <w:i w:val="0"/>
          <w:color w:val="auto"/>
          <w:sz w:val="22"/>
          <w:lang w:val="en"/>
        </w:rPr>
        <w:t>test could fail the AS/NZS test – or vice versa – since the test methods differ.</w:t>
      </w:r>
    </w:p>
    <w:p w:rsidR="00CE71B1" w:rsidRDefault="006F3866" w:rsidP="00D449EF">
      <w:pPr>
        <w:spacing w:before="120"/>
      </w:pPr>
      <w:r w:rsidRPr="00EE3295">
        <w:t>The</w:t>
      </w:r>
      <w:r w:rsidR="00D449EF">
        <w:t xml:space="preserve"> differences </w:t>
      </w:r>
      <w:r w:rsidR="00CE71B1">
        <w:t xml:space="preserve">between </w:t>
      </w:r>
      <w:r>
        <w:t xml:space="preserve">the </w:t>
      </w:r>
      <w:r w:rsidR="00D449EF">
        <w:t xml:space="preserve">products </w:t>
      </w:r>
      <w:r>
        <w:t>covered</w:t>
      </w:r>
      <w:r w:rsidR="00D449EF">
        <w:t xml:space="preserve">, </w:t>
      </w:r>
      <w:r w:rsidR="00CE71B1" w:rsidRPr="00EE3295">
        <w:t xml:space="preserve">product-category schemes </w:t>
      </w:r>
      <w:r w:rsidR="00D449EF">
        <w:t xml:space="preserve">and </w:t>
      </w:r>
      <w:r w:rsidR="00CE71B1">
        <w:t xml:space="preserve">warning </w:t>
      </w:r>
      <w:r w:rsidR="00D449EF">
        <w:t xml:space="preserve">label </w:t>
      </w:r>
      <w:r w:rsidR="00CE71B1">
        <w:t>requirements c</w:t>
      </w:r>
      <w:r w:rsidR="00D449EF">
        <w:t xml:space="preserve">ould </w:t>
      </w:r>
      <w:r w:rsidR="00CE71B1">
        <w:t>confuse</w:t>
      </w:r>
      <w:r w:rsidR="00D449EF">
        <w:t xml:space="preserve"> supplier</w:t>
      </w:r>
      <w:r w:rsidR="00CE71B1">
        <w:t>s</w:t>
      </w:r>
      <w:r w:rsidR="00D449EF">
        <w:t xml:space="preserve"> and </w:t>
      </w:r>
      <w:r w:rsidR="00CE71B1">
        <w:t xml:space="preserve">consumers if both the European and AS/NZS standards </w:t>
      </w:r>
      <w:r w:rsidR="0024779D">
        <w:t xml:space="preserve">were allowed </w:t>
      </w:r>
      <w:r w:rsidR="00CE71B1">
        <w:t>in Australia.</w:t>
      </w:r>
    </w:p>
    <w:p w:rsidR="00D449EF" w:rsidRPr="001936BA" w:rsidRDefault="00D449EF" w:rsidP="00BD3C15">
      <w:pPr>
        <w:pStyle w:val="Heading3"/>
      </w:pPr>
      <w:r w:rsidRPr="001936BA">
        <w:t xml:space="preserve">The </w:t>
      </w:r>
      <w:r>
        <w:t>British</w:t>
      </w:r>
      <w:r w:rsidRPr="001936BA">
        <w:t xml:space="preserve"> standard</w:t>
      </w:r>
    </w:p>
    <w:p w:rsidR="00440FEF" w:rsidRPr="00CE71B1" w:rsidRDefault="00440FEF" w:rsidP="00EE3295">
      <w:pPr>
        <w:spacing w:before="120"/>
      </w:pPr>
      <w:r>
        <w:t xml:space="preserve">The British Standards Institute (BSI) published a British version of the </w:t>
      </w:r>
      <w:r w:rsidR="00BD56AC">
        <w:t>European</w:t>
      </w:r>
      <w:r>
        <w:t xml:space="preserve"> standard as BS EN 14878.</w:t>
      </w:r>
      <w:r w:rsidR="00CE71B1">
        <w:t xml:space="preserve"> </w:t>
      </w:r>
      <w:r w:rsidRPr="00CE71B1">
        <w:t>The BSI is a reputable standards development body and operat</w:t>
      </w:r>
      <w:r w:rsidR="00263D91" w:rsidRPr="00CE71B1">
        <w:t>es</w:t>
      </w:r>
      <w:r w:rsidRPr="00CE71B1">
        <w:t xml:space="preserve"> in a jurisdiction with economic and regulatory processes that are comparable to Australia.</w:t>
      </w:r>
    </w:p>
    <w:p w:rsidR="00D449EF" w:rsidRDefault="00BD56AC" w:rsidP="00BD56AC">
      <w:pPr>
        <w:spacing w:before="120"/>
      </w:pPr>
      <w:r>
        <w:t>The United Kingdom (UK) has a long-standing nightwear regulation with requirements that are more onerous than parts of the European standard. The UK last reviewed the regulation in 1984. However, s</w:t>
      </w:r>
      <w:r w:rsidR="00D449EF">
        <w:t xml:space="preserve">ome </w:t>
      </w:r>
      <w:r>
        <w:t xml:space="preserve">parts </w:t>
      </w:r>
      <w:r w:rsidR="00D449EF">
        <w:t xml:space="preserve">of </w:t>
      </w:r>
      <w:r>
        <w:t>the British standard</w:t>
      </w:r>
      <w:r w:rsidR="00D449EF">
        <w:t xml:space="preserve"> are more onerous than the regulation </w:t>
      </w:r>
      <w:r>
        <w:t>and</w:t>
      </w:r>
      <w:r w:rsidR="00D449EF">
        <w:t xml:space="preserve"> </w:t>
      </w:r>
      <w:r>
        <w:t xml:space="preserve">UK </w:t>
      </w:r>
      <w:r w:rsidR="00D449EF">
        <w:t xml:space="preserve">suppliers must </w:t>
      </w:r>
      <w:r>
        <w:t>consider</w:t>
      </w:r>
      <w:r w:rsidR="00D449EF">
        <w:t xml:space="preserve"> </w:t>
      </w:r>
      <w:r>
        <w:t xml:space="preserve">both </w:t>
      </w:r>
      <w:r w:rsidR="00D449EF">
        <w:t>the regulation and</w:t>
      </w:r>
      <w:r>
        <w:t xml:space="preserve"> the British standard</w:t>
      </w:r>
      <w:r w:rsidR="00D449EF">
        <w:t>.</w:t>
      </w:r>
    </w:p>
    <w:p w:rsidR="00AE08DA" w:rsidRPr="00EE3295" w:rsidRDefault="00D449EF" w:rsidP="00EE3295">
      <w:pPr>
        <w:spacing w:before="120"/>
      </w:pPr>
      <w:r w:rsidRPr="00EE3295">
        <w:t xml:space="preserve">The </w:t>
      </w:r>
      <w:r w:rsidR="00AE08DA" w:rsidRPr="00EE3295">
        <w:t xml:space="preserve">British standard </w:t>
      </w:r>
      <w:r w:rsidRPr="00EE3295">
        <w:t>approach to safety and warning</w:t>
      </w:r>
      <w:r w:rsidR="00AE08DA" w:rsidRPr="00EE3295">
        <w:t>s</w:t>
      </w:r>
      <w:r w:rsidRPr="00EE3295">
        <w:t xml:space="preserve"> differ</w:t>
      </w:r>
      <w:r w:rsidR="00AE08DA" w:rsidRPr="00EE3295">
        <w:t>s</w:t>
      </w:r>
      <w:r w:rsidRPr="00EE3295">
        <w:t xml:space="preserve"> from the approach in Australia.</w:t>
      </w:r>
      <w:r w:rsidR="00BD56AC" w:rsidRPr="00EE3295">
        <w:t xml:space="preserve"> For example, the British standard </w:t>
      </w:r>
      <w:r w:rsidR="00AE08DA" w:rsidRPr="00EE3295">
        <w:t>has</w:t>
      </w:r>
      <w:r w:rsidR="00BD56AC" w:rsidRPr="00EE3295">
        <w:t xml:space="preserve"> a Low Fire Danger label</w:t>
      </w:r>
      <w:r w:rsidR="00AE08DA" w:rsidRPr="00EE3295">
        <w:t xml:space="preserve"> that references another BSI standard</w:t>
      </w:r>
      <w:r w:rsidR="00BD56AC" w:rsidRPr="00EE3295">
        <w:t xml:space="preserve">: ‘Low Flammability to BS 5722’. </w:t>
      </w:r>
    </w:p>
    <w:p w:rsidR="00AE08DA" w:rsidRDefault="00AE08DA" w:rsidP="00AE08DA">
      <w:pPr>
        <w:spacing w:before="120"/>
      </w:pPr>
      <w:r w:rsidRPr="00B024CB">
        <w:t>The</w:t>
      </w:r>
      <w:r>
        <w:t xml:space="preserve"> differences between the products covered, </w:t>
      </w:r>
      <w:r w:rsidRPr="00B024CB">
        <w:t xml:space="preserve">product-category schemes </w:t>
      </w:r>
      <w:r>
        <w:t xml:space="preserve">and warning label requirements could confuse suppliers and consumers if both the British and AS/NZS standards </w:t>
      </w:r>
      <w:r w:rsidR="0024779D">
        <w:t xml:space="preserve">were allowed </w:t>
      </w:r>
      <w:r>
        <w:t>in Australia.</w:t>
      </w:r>
    </w:p>
    <w:p w:rsidR="00D449EF" w:rsidRPr="001936BA" w:rsidRDefault="00D449EF" w:rsidP="001209B8">
      <w:pPr>
        <w:pStyle w:val="Heading3"/>
      </w:pPr>
      <w:r w:rsidRPr="001936BA">
        <w:lastRenderedPageBreak/>
        <w:t xml:space="preserve">The </w:t>
      </w:r>
      <w:r>
        <w:t>US</w:t>
      </w:r>
      <w:r w:rsidRPr="001936BA">
        <w:t xml:space="preserve"> standard</w:t>
      </w:r>
      <w:r w:rsidR="00191594">
        <w:t>s</w:t>
      </w:r>
    </w:p>
    <w:p w:rsidR="00263D91" w:rsidRPr="00EE3295" w:rsidRDefault="00440FEF" w:rsidP="00263D91">
      <w:pPr>
        <w:pStyle w:val="Heading4"/>
        <w:spacing w:before="120"/>
        <w:rPr>
          <w:rFonts w:eastAsia="Arial"/>
          <w:b w:val="0"/>
          <w:bCs w:val="0"/>
          <w:i w:val="0"/>
          <w:iCs w:val="0"/>
          <w:color w:val="auto"/>
          <w:sz w:val="22"/>
        </w:rPr>
      </w:pPr>
      <w:r w:rsidRPr="00EE3295">
        <w:rPr>
          <w:rFonts w:eastAsia="Arial"/>
          <w:b w:val="0"/>
          <w:bCs w:val="0"/>
          <w:i w:val="0"/>
          <w:iCs w:val="0"/>
          <w:color w:val="auto"/>
          <w:sz w:val="22"/>
        </w:rPr>
        <w:t xml:space="preserve">The US </w:t>
      </w:r>
      <w:r w:rsidR="00263D91" w:rsidRPr="00EE3295">
        <w:rPr>
          <w:rFonts w:eastAsia="Arial"/>
          <w:b w:val="0"/>
          <w:bCs w:val="0"/>
          <w:i w:val="0"/>
          <w:iCs w:val="0"/>
          <w:color w:val="auto"/>
          <w:sz w:val="22"/>
        </w:rPr>
        <w:t xml:space="preserve">Government </w:t>
      </w:r>
      <w:r w:rsidRPr="00EE3295">
        <w:rPr>
          <w:rFonts w:eastAsia="Arial"/>
          <w:b w:val="0"/>
          <w:bCs w:val="0"/>
          <w:i w:val="0"/>
          <w:iCs w:val="0"/>
          <w:color w:val="auto"/>
          <w:sz w:val="22"/>
        </w:rPr>
        <w:t xml:space="preserve">Consumer Product Safety Commission (CPSC) </w:t>
      </w:r>
      <w:r w:rsidR="00263D91" w:rsidRPr="00EE3295">
        <w:rPr>
          <w:rFonts w:eastAsia="Arial"/>
          <w:b w:val="0"/>
          <w:bCs w:val="0"/>
          <w:i w:val="0"/>
          <w:iCs w:val="0"/>
          <w:color w:val="auto"/>
          <w:sz w:val="22"/>
        </w:rPr>
        <w:t>has established regulation that covers children’s nightwear</w:t>
      </w:r>
      <w:r w:rsidR="00426266">
        <w:rPr>
          <w:rFonts w:eastAsia="Arial"/>
          <w:b w:val="0"/>
          <w:bCs w:val="0"/>
          <w:i w:val="0"/>
          <w:iCs w:val="0"/>
          <w:color w:val="auto"/>
          <w:sz w:val="22"/>
        </w:rPr>
        <w:t xml:space="preserve">- see </w:t>
      </w:r>
      <w:r w:rsidR="00426266" w:rsidRPr="00DB1304">
        <w:rPr>
          <w:b w:val="0"/>
          <w:i w:val="0"/>
          <w:color w:val="auto"/>
          <w:sz w:val="22"/>
          <w:lang w:val="en"/>
        </w:rPr>
        <w:t>16 CFR 1615 (0-6) and 16 CFR 1616 (7-14)</w:t>
      </w:r>
      <w:r w:rsidR="00263D91" w:rsidRPr="00EE3295">
        <w:rPr>
          <w:rFonts w:eastAsia="Arial"/>
          <w:b w:val="0"/>
          <w:bCs w:val="0"/>
          <w:i w:val="0"/>
          <w:iCs w:val="0"/>
          <w:color w:val="auto"/>
          <w:sz w:val="22"/>
        </w:rPr>
        <w:t xml:space="preserve">. </w:t>
      </w:r>
      <w:r w:rsidR="00AE08DA">
        <w:rPr>
          <w:rFonts w:eastAsia="Arial"/>
          <w:b w:val="0"/>
          <w:bCs w:val="0"/>
          <w:i w:val="0"/>
          <w:iCs w:val="0"/>
          <w:color w:val="auto"/>
          <w:sz w:val="22"/>
        </w:rPr>
        <w:t xml:space="preserve">The </w:t>
      </w:r>
      <w:r w:rsidR="00263D91" w:rsidRPr="00EE3295">
        <w:rPr>
          <w:rFonts w:eastAsia="Arial"/>
          <w:b w:val="0"/>
          <w:bCs w:val="0"/>
          <w:i w:val="0"/>
          <w:iCs w:val="0"/>
          <w:color w:val="auto"/>
          <w:sz w:val="22"/>
        </w:rPr>
        <w:t>CPSC is a reputable standards development body operating in a jurisdiction with economic and regulatory processes that are comparable to Australia.</w:t>
      </w:r>
      <w:r w:rsidR="00426266" w:rsidRPr="00426266">
        <w:rPr>
          <w:b w:val="0"/>
          <w:i w:val="0"/>
          <w:color w:val="auto"/>
          <w:sz w:val="22"/>
          <w:lang w:val="en"/>
        </w:rPr>
        <w:t xml:space="preserve"> </w:t>
      </w:r>
      <w:r w:rsidR="00426266" w:rsidRPr="002F69CC">
        <w:rPr>
          <w:b w:val="0"/>
          <w:i w:val="0"/>
          <w:color w:val="auto"/>
          <w:sz w:val="22"/>
          <w:lang w:val="en"/>
        </w:rPr>
        <w:t xml:space="preserve">The </w:t>
      </w:r>
      <w:r w:rsidR="00426266">
        <w:rPr>
          <w:b w:val="0"/>
          <w:i w:val="0"/>
          <w:color w:val="auto"/>
          <w:sz w:val="22"/>
          <w:lang w:val="en"/>
        </w:rPr>
        <w:t>CPSC last reviewed the requirements</w:t>
      </w:r>
      <w:r w:rsidR="00426266" w:rsidRPr="002F69CC">
        <w:rPr>
          <w:b w:val="0"/>
          <w:i w:val="0"/>
          <w:color w:val="auto"/>
          <w:sz w:val="22"/>
          <w:lang w:val="en"/>
        </w:rPr>
        <w:t xml:space="preserve"> </w:t>
      </w:r>
      <w:r w:rsidR="00426266">
        <w:rPr>
          <w:b w:val="0"/>
          <w:i w:val="0"/>
          <w:color w:val="auto"/>
          <w:sz w:val="22"/>
          <w:lang w:val="en"/>
        </w:rPr>
        <w:t xml:space="preserve">for </w:t>
      </w:r>
      <w:r w:rsidR="00426266" w:rsidRPr="002F69CC">
        <w:rPr>
          <w:b w:val="0"/>
          <w:i w:val="0"/>
          <w:color w:val="auto"/>
          <w:sz w:val="22"/>
          <w:lang w:val="en"/>
        </w:rPr>
        <w:t>flammability of children’s nightwear in 2001.</w:t>
      </w:r>
    </w:p>
    <w:p w:rsidR="00AE08DA" w:rsidRPr="00EE3295" w:rsidRDefault="00426266" w:rsidP="00EE3295">
      <w:pPr>
        <w:pStyle w:val="Heading4"/>
        <w:spacing w:before="120"/>
        <w:rPr>
          <w:lang w:val="en"/>
        </w:rPr>
      </w:pPr>
      <w:r w:rsidRPr="00EE3295">
        <w:rPr>
          <w:b w:val="0"/>
          <w:i w:val="0"/>
          <w:color w:val="auto"/>
          <w:sz w:val="22"/>
          <w:lang w:val="en"/>
        </w:rPr>
        <w:t>The US standard</w:t>
      </w:r>
      <w:r w:rsidR="00740096">
        <w:rPr>
          <w:b w:val="0"/>
          <w:i w:val="0"/>
          <w:color w:val="auto"/>
          <w:sz w:val="22"/>
          <w:lang w:val="en"/>
        </w:rPr>
        <w:t>s</w:t>
      </w:r>
      <w:r w:rsidRPr="00EE3295">
        <w:rPr>
          <w:b w:val="0"/>
          <w:i w:val="0"/>
          <w:color w:val="auto"/>
          <w:sz w:val="22"/>
          <w:lang w:val="en"/>
        </w:rPr>
        <w:t xml:space="preserve"> </w:t>
      </w:r>
      <w:r w:rsidR="00626F40">
        <w:rPr>
          <w:b w:val="0"/>
          <w:i w:val="0"/>
          <w:color w:val="auto"/>
          <w:sz w:val="22"/>
          <w:lang w:val="en"/>
        </w:rPr>
        <w:t xml:space="preserve">use a different </w:t>
      </w:r>
      <w:r w:rsidRPr="00C8779D">
        <w:rPr>
          <w:b w:val="0"/>
          <w:i w:val="0"/>
          <w:color w:val="auto"/>
          <w:sz w:val="22"/>
          <w:lang w:val="en"/>
        </w:rPr>
        <w:t>approach</w:t>
      </w:r>
      <w:r w:rsidR="00626F40">
        <w:rPr>
          <w:b w:val="0"/>
          <w:i w:val="0"/>
          <w:color w:val="auto"/>
          <w:sz w:val="22"/>
          <w:lang w:val="en"/>
        </w:rPr>
        <w:t xml:space="preserve"> to</w:t>
      </w:r>
      <w:r w:rsidRPr="00426266">
        <w:rPr>
          <w:b w:val="0"/>
          <w:i w:val="0"/>
          <w:color w:val="auto"/>
          <w:sz w:val="22"/>
          <w:lang w:val="en"/>
        </w:rPr>
        <w:t xml:space="preserve"> </w:t>
      </w:r>
      <w:r w:rsidRPr="00C8779D">
        <w:rPr>
          <w:b w:val="0"/>
          <w:i w:val="0"/>
          <w:color w:val="auto"/>
          <w:sz w:val="22"/>
          <w:lang w:val="en"/>
        </w:rPr>
        <w:t>safety and warning</w:t>
      </w:r>
      <w:r>
        <w:rPr>
          <w:b w:val="0"/>
          <w:i w:val="0"/>
          <w:color w:val="auto"/>
          <w:sz w:val="22"/>
          <w:lang w:val="en"/>
        </w:rPr>
        <w:t>s</w:t>
      </w:r>
      <w:r w:rsidRPr="00C8779D">
        <w:rPr>
          <w:b w:val="0"/>
          <w:i w:val="0"/>
          <w:color w:val="auto"/>
          <w:sz w:val="22"/>
          <w:lang w:val="en"/>
        </w:rPr>
        <w:t xml:space="preserve"> </w:t>
      </w:r>
      <w:r>
        <w:rPr>
          <w:b w:val="0"/>
          <w:i w:val="0"/>
          <w:color w:val="auto"/>
          <w:sz w:val="22"/>
          <w:lang w:val="en"/>
        </w:rPr>
        <w:t>than</w:t>
      </w:r>
      <w:r w:rsidRPr="001A2D19">
        <w:rPr>
          <w:b w:val="0"/>
          <w:i w:val="0"/>
          <w:color w:val="auto"/>
          <w:sz w:val="22"/>
          <w:lang w:val="en"/>
        </w:rPr>
        <w:t xml:space="preserve"> </w:t>
      </w:r>
      <w:r w:rsidR="00C307F6">
        <w:rPr>
          <w:b w:val="0"/>
          <w:i w:val="0"/>
          <w:color w:val="auto"/>
          <w:sz w:val="22"/>
          <w:lang w:val="en"/>
        </w:rPr>
        <w:t>that currently</w:t>
      </w:r>
      <w:r w:rsidR="00626F40">
        <w:rPr>
          <w:b w:val="0"/>
          <w:i w:val="0"/>
          <w:color w:val="auto"/>
          <w:sz w:val="22"/>
          <w:lang w:val="en"/>
        </w:rPr>
        <w:t xml:space="preserve"> used </w:t>
      </w:r>
      <w:r w:rsidRPr="001A2D19">
        <w:rPr>
          <w:b w:val="0"/>
          <w:i w:val="0"/>
          <w:color w:val="auto"/>
          <w:sz w:val="22"/>
          <w:lang w:val="en"/>
        </w:rPr>
        <w:t>in Australia</w:t>
      </w:r>
      <w:r>
        <w:rPr>
          <w:b w:val="0"/>
          <w:i w:val="0"/>
          <w:color w:val="auto"/>
          <w:sz w:val="22"/>
          <w:lang w:val="en"/>
        </w:rPr>
        <w:t>:</w:t>
      </w:r>
    </w:p>
    <w:p w:rsidR="00426266" w:rsidRDefault="00426266" w:rsidP="00EE3295">
      <w:pPr>
        <w:numPr>
          <w:ilvl w:val="0"/>
          <w:numId w:val="49"/>
        </w:numPr>
        <w:spacing w:before="120"/>
      </w:pPr>
      <w:r w:rsidRPr="00426266">
        <w:rPr>
          <w:rFonts w:eastAsia="Times New Roman"/>
          <w:bCs/>
          <w:iCs/>
          <w:lang w:val="en"/>
        </w:rPr>
        <w:t>Clothing</w:t>
      </w:r>
      <w:r w:rsidR="00D449EF">
        <w:t xml:space="preserve"> textiles are classified according to 3 classes</w:t>
      </w:r>
      <w:r w:rsidR="00B3410A">
        <w:t>:</w:t>
      </w:r>
      <w:r w:rsidR="00D449EF">
        <w:t xml:space="preserve"> normal, intermediate with raised surfaces</w:t>
      </w:r>
      <w:r w:rsidR="00C13EDD">
        <w:t>,</w:t>
      </w:r>
      <w:r w:rsidR="00D449EF">
        <w:t xml:space="preserve"> and rapid and intense</w:t>
      </w:r>
      <w:r w:rsidR="00191594">
        <w:t>;</w:t>
      </w:r>
      <w:r w:rsidR="00D449EF">
        <w:t xml:space="preserve"> which cannot be used. </w:t>
      </w:r>
    </w:p>
    <w:p w:rsidR="00426266" w:rsidRDefault="00426266" w:rsidP="00EE3295">
      <w:pPr>
        <w:numPr>
          <w:ilvl w:val="0"/>
          <w:numId w:val="49"/>
        </w:numPr>
        <w:spacing w:before="120"/>
      </w:pPr>
      <w:r>
        <w:t>Tight</w:t>
      </w:r>
      <w:r w:rsidR="00D449EF">
        <w:t xml:space="preserve"> fitting garments are </w:t>
      </w:r>
      <w:r>
        <w:t xml:space="preserve">exempt </w:t>
      </w:r>
      <w:r w:rsidR="00D449EF">
        <w:t>from flammability testing but must be labelled.</w:t>
      </w:r>
      <w:r>
        <w:t xml:space="preserve"> </w:t>
      </w:r>
    </w:p>
    <w:p w:rsidR="00426266" w:rsidRDefault="00D449EF" w:rsidP="00EE3295">
      <w:pPr>
        <w:numPr>
          <w:ilvl w:val="0"/>
          <w:numId w:val="49"/>
        </w:numPr>
        <w:spacing w:before="120"/>
      </w:pPr>
      <w:r>
        <w:t>Fabrics and garments that meet flammability requirements do not require a label.</w:t>
      </w:r>
    </w:p>
    <w:p w:rsidR="00426266" w:rsidRDefault="00D449EF" w:rsidP="00EE3295">
      <w:pPr>
        <w:numPr>
          <w:ilvl w:val="0"/>
          <w:numId w:val="49"/>
        </w:numPr>
        <w:spacing w:before="120"/>
      </w:pPr>
      <w:r>
        <w:t xml:space="preserve">The labels are the same as for the </w:t>
      </w:r>
      <w:r w:rsidR="00426266">
        <w:t xml:space="preserve">European </w:t>
      </w:r>
      <w:r>
        <w:t>standard.</w:t>
      </w:r>
      <w:r w:rsidR="00426266">
        <w:t xml:space="preserve"> </w:t>
      </w:r>
    </w:p>
    <w:p w:rsidR="00D449EF" w:rsidRPr="00223BFC" w:rsidRDefault="00D449EF" w:rsidP="00EE3295">
      <w:pPr>
        <w:numPr>
          <w:ilvl w:val="0"/>
          <w:numId w:val="49"/>
        </w:numPr>
        <w:spacing w:before="120"/>
      </w:pPr>
      <w:r w:rsidRPr="007D6B14">
        <w:t xml:space="preserve">The </w:t>
      </w:r>
      <w:r>
        <w:t xml:space="preserve">US </w:t>
      </w:r>
      <w:r w:rsidRPr="007D6B14">
        <w:t>standard</w:t>
      </w:r>
      <w:r w:rsidR="00740096">
        <w:t>s</w:t>
      </w:r>
      <w:r w:rsidRPr="007D6B14">
        <w:t xml:space="preserve"> </w:t>
      </w:r>
      <w:r w:rsidR="00887BB6">
        <w:t>use a different approach to warning labels and only some garments require labels</w:t>
      </w:r>
      <w:r w:rsidR="00426266">
        <w:t>.</w:t>
      </w:r>
    </w:p>
    <w:p w:rsidR="004426C1" w:rsidRDefault="004426C1" w:rsidP="004426C1">
      <w:pPr>
        <w:spacing w:before="120"/>
      </w:pPr>
      <w:r w:rsidRPr="00B024CB">
        <w:t>The</w:t>
      </w:r>
      <w:r>
        <w:t xml:space="preserve"> differences between the products covered, </w:t>
      </w:r>
      <w:r w:rsidRPr="00B024CB">
        <w:t xml:space="preserve">product-category schemes </w:t>
      </w:r>
      <w:r>
        <w:t>and warning label requirements could confuse suppliers and consumers if both the US and AS/NZS standards</w:t>
      </w:r>
      <w:r w:rsidR="008A0CA4">
        <w:t xml:space="preserve"> were allowed</w:t>
      </w:r>
      <w:r>
        <w:t xml:space="preserve"> in Australia.</w:t>
      </w:r>
    </w:p>
    <w:p w:rsidR="00263D91" w:rsidRPr="001936BA" w:rsidRDefault="00263D91" w:rsidP="001209B8">
      <w:pPr>
        <w:pStyle w:val="Heading3"/>
      </w:pPr>
      <w:r>
        <w:t xml:space="preserve">Overview of </w:t>
      </w:r>
      <w:r w:rsidR="00BC7693">
        <w:t>international</w:t>
      </w:r>
      <w:r>
        <w:t xml:space="preserve"> </w:t>
      </w:r>
      <w:r w:rsidRPr="001936BA">
        <w:t>standard</w:t>
      </w:r>
      <w:r>
        <w:t>s</w:t>
      </w:r>
    </w:p>
    <w:p w:rsidR="00960E60" w:rsidRDefault="003A6381" w:rsidP="003A6381">
      <w:pPr>
        <w:tabs>
          <w:tab w:val="left" w:pos="0"/>
          <w:tab w:val="left" w:pos="1021"/>
        </w:tabs>
        <w:spacing w:line="240" w:lineRule="atLeast"/>
        <w:rPr>
          <w:rFonts w:eastAsia="Times New Roman" w:cs="Arial"/>
          <w:szCs w:val="26"/>
        </w:rPr>
      </w:pPr>
      <w:r>
        <w:rPr>
          <w:rFonts w:eastAsia="Times New Roman" w:cs="Arial"/>
          <w:szCs w:val="26"/>
        </w:rPr>
        <w:t xml:space="preserve">AS/NZS 1249:2014 is the most up-to-date nightwear standard. Europe, </w:t>
      </w:r>
      <w:r w:rsidR="00BC7693">
        <w:rPr>
          <w:rFonts w:eastAsia="Times New Roman" w:cs="Arial"/>
          <w:szCs w:val="26"/>
        </w:rPr>
        <w:t xml:space="preserve">the </w:t>
      </w:r>
      <w:r>
        <w:rPr>
          <w:rFonts w:eastAsia="Times New Roman" w:cs="Arial"/>
          <w:szCs w:val="26"/>
        </w:rPr>
        <w:t xml:space="preserve">US and </w:t>
      </w:r>
      <w:r w:rsidR="00BC7693">
        <w:rPr>
          <w:rFonts w:eastAsia="Times New Roman" w:cs="Arial"/>
          <w:szCs w:val="26"/>
        </w:rPr>
        <w:t>the UK</w:t>
      </w:r>
      <w:r>
        <w:rPr>
          <w:rFonts w:eastAsia="Times New Roman" w:cs="Arial"/>
          <w:szCs w:val="26"/>
        </w:rPr>
        <w:t xml:space="preserve"> </w:t>
      </w:r>
      <w:r w:rsidR="00BC7693">
        <w:rPr>
          <w:rFonts w:eastAsia="Times New Roman" w:cs="Arial"/>
          <w:szCs w:val="26"/>
        </w:rPr>
        <w:t xml:space="preserve">last reviewed their </w:t>
      </w:r>
      <w:r>
        <w:rPr>
          <w:rFonts w:eastAsia="Times New Roman" w:cs="Arial"/>
          <w:szCs w:val="26"/>
        </w:rPr>
        <w:t>standards 9, 15 and 32 years ago respectively. T</w:t>
      </w:r>
      <w:r w:rsidR="00960E60">
        <w:rPr>
          <w:rFonts w:eastAsia="Times New Roman" w:cs="Arial"/>
          <w:szCs w:val="26"/>
        </w:rPr>
        <w:t xml:space="preserve">he research and consultation </w:t>
      </w:r>
      <w:r>
        <w:rPr>
          <w:rFonts w:eastAsia="Times New Roman" w:cs="Arial"/>
          <w:szCs w:val="26"/>
        </w:rPr>
        <w:t xml:space="preserve">during the development of the latest </w:t>
      </w:r>
      <w:r w:rsidR="00BC7693">
        <w:rPr>
          <w:rFonts w:eastAsia="Times New Roman" w:cs="Arial"/>
          <w:szCs w:val="26"/>
        </w:rPr>
        <w:t xml:space="preserve">voluntary </w:t>
      </w:r>
      <w:r>
        <w:rPr>
          <w:rFonts w:eastAsia="Times New Roman" w:cs="Arial"/>
          <w:szCs w:val="26"/>
        </w:rPr>
        <w:t xml:space="preserve">Australian standard </w:t>
      </w:r>
      <w:r w:rsidR="00960E60">
        <w:rPr>
          <w:rFonts w:eastAsia="Times New Roman" w:cs="Arial"/>
          <w:szCs w:val="26"/>
        </w:rPr>
        <w:t>support</w:t>
      </w:r>
      <w:r>
        <w:rPr>
          <w:rFonts w:eastAsia="Times New Roman" w:cs="Arial"/>
          <w:szCs w:val="26"/>
        </w:rPr>
        <w:t xml:space="preserve"> the validity of its requirements</w:t>
      </w:r>
      <w:r w:rsidR="00960E60">
        <w:rPr>
          <w:rFonts w:eastAsia="Times New Roman" w:cs="Arial"/>
          <w:szCs w:val="26"/>
        </w:rPr>
        <w:t xml:space="preserve">. To our </w:t>
      </w:r>
      <w:r>
        <w:rPr>
          <w:rFonts w:eastAsia="Times New Roman" w:cs="Arial"/>
          <w:szCs w:val="26"/>
        </w:rPr>
        <w:t>knowledge,</w:t>
      </w:r>
      <w:r w:rsidR="00960E60">
        <w:rPr>
          <w:rFonts w:eastAsia="Times New Roman" w:cs="Arial"/>
          <w:szCs w:val="26"/>
        </w:rPr>
        <w:t xml:space="preserve"> none of the other standards </w:t>
      </w:r>
      <w:r>
        <w:rPr>
          <w:rFonts w:eastAsia="Times New Roman" w:cs="Arial"/>
          <w:szCs w:val="26"/>
        </w:rPr>
        <w:t>has</w:t>
      </w:r>
      <w:r w:rsidR="00960E60">
        <w:rPr>
          <w:rFonts w:eastAsia="Times New Roman" w:cs="Arial"/>
          <w:szCs w:val="26"/>
        </w:rPr>
        <w:t xml:space="preserve"> had the benefit of extensive consumer comprehension testing of warning labels.</w:t>
      </w:r>
    </w:p>
    <w:p w:rsidR="00960E60" w:rsidRDefault="00960E60" w:rsidP="00960E60">
      <w:pPr>
        <w:tabs>
          <w:tab w:val="left" w:pos="0"/>
          <w:tab w:val="left" w:pos="1021"/>
        </w:tabs>
        <w:spacing w:line="240" w:lineRule="atLeast"/>
        <w:rPr>
          <w:rFonts w:eastAsia="Times New Roman" w:cs="Arial"/>
          <w:szCs w:val="26"/>
        </w:rPr>
      </w:pPr>
      <w:r>
        <w:rPr>
          <w:rFonts w:eastAsia="Times New Roman" w:cs="Arial"/>
          <w:szCs w:val="26"/>
        </w:rPr>
        <w:t xml:space="preserve">The definitions of products covered by each of the standards vary. </w:t>
      </w:r>
      <w:r w:rsidR="003A6381">
        <w:rPr>
          <w:rFonts w:eastAsia="Times New Roman" w:cs="Arial"/>
          <w:szCs w:val="26"/>
        </w:rPr>
        <w:t>S</w:t>
      </w:r>
      <w:r>
        <w:rPr>
          <w:rFonts w:eastAsia="Times New Roman" w:cs="Arial"/>
          <w:szCs w:val="26"/>
        </w:rPr>
        <w:t xml:space="preserve">uppliers </w:t>
      </w:r>
      <w:r w:rsidR="003A6381">
        <w:rPr>
          <w:rFonts w:eastAsia="Times New Roman" w:cs="Arial"/>
          <w:szCs w:val="26"/>
        </w:rPr>
        <w:t>emphasised clarity about the scope of the standard as a significant</w:t>
      </w:r>
      <w:r>
        <w:rPr>
          <w:rFonts w:eastAsia="Times New Roman" w:cs="Arial"/>
          <w:szCs w:val="26"/>
        </w:rPr>
        <w:t xml:space="preserve"> issue in the </w:t>
      </w:r>
      <w:r w:rsidR="003A6381">
        <w:rPr>
          <w:rFonts w:eastAsia="Times New Roman" w:cs="Arial"/>
          <w:szCs w:val="26"/>
        </w:rPr>
        <w:t xml:space="preserve">ACCC </w:t>
      </w:r>
      <w:r>
        <w:rPr>
          <w:rFonts w:eastAsia="Times New Roman" w:cs="Arial"/>
          <w:szCs w:val="26"/>
        </w:rPr>
        <w:t xml:space="preserve">workshop </w:t>
      </w:r>
      <w:r w:rsidR="003A6381">
        <w:rPr>
          <w:rFonts w:eastAsia="Times New Roman" w:cs="Arial"/>
          <w:szCs w:val="26"/>
        </w:rPr>
        <w:t>in 2010</w:t>
      </w:r>
      <w:r>
        <w:rPr>
          <w:rFonts w:eastAsia="Times New Roman" w:cs="Arial"/>
          <w:szCs w:val="26"/>
        </w:rPr>
        <w:t xml:space="preserve">. The use of multiple standards </w:t>
      </w:r>
      <w:r w:rsidR="00BC7693">
        <w:rPr>
          <w:rFonts w:eastAsia="Times New Roman" w:cs="Arial"/>
          <w:szCs w:val="26"/>
        </w:rPr>
        <w:t>could</w:t>
      </w:r>
      <w:r>
        <w:rPr>
          <w:rFonts w:eastAsia="Times New Roman" w:cs="Arial"/>
          <w:szCs w:val="26"/>
        </w:rPr>
        <w:t xml:space="preserve"> result in uncertainty </w:t>
      </w:r>
      <w:r w:rsidR="00BC7693">
        <w:rPr>
          <w:rFonts w:eastAsia="Times New Roman" w:cs="Arial"/>
          <w:szCs w:val="26"/>
        </w:rPr>
        <w:t>about</w:t>
      </w:r>
      <w:r>
        <w:rPr>
          <w:rFonts w:eastAsia="Times New Roman" w:cs="Arial"/>
          <w:szCs w:val="26"/>
        </w:rPr>
        <w:t xml:space="preserve"> whether </w:t>
      </w:r>
      <w:r w:rsidR="00BC7693">
        <w:rPr>
          <w:rFonts w:eastAsia="Times New Roman" w:cs="Arial"/>
          <w:szCs w:val="26"/>
        </w:rPr>
        <w:t>the regulation captured some</w:t>
      </w:r>
      <w:r>
        <w:rPr>
          <w:rFonts w:eastAsia="Times New Roman" w:cs="Arial"/>
          <w:szCs w:val="26"/>
        </w:rPr>
        <w:t xml:space="preserve"> product</w:t>
      </w:r>
      <w:r w:rsidR="00BC7693">
        <w:rPr>
          <w:rFonts w:eastAsia="Times New Roman" w:cs="Arial"/>
          <w:szCs w:val="26"/>
        </w:rPr>
        <w:t>s.</w:t>
      </w:r>
      <w:r>
        <w:rPr>
          <w:rFonts w:eastAsia="Times New Roman" w:cs="Arial"/>
          <w:szCs w:val="26"/>
        </w:rPr>
        <w:t xml:space="preserve"> </w:t>
      </w:r>
      <w:r w:rsidR="00BC7693">
        <w:rPr>
          <w:rFonts w:eastAsia="Times New Roman" w:cs="Arial"/>
          <w:szCs w:val="26"/>
        </w:rPr>
        <w:t>Some</w:t>
      </w:r>
      <w:r>
        <w:rPr>
          <w:rFonts w:eastAsia="Times New Roman" w:cs="Arial"/>
          <w:szCs w:val="26"/>
        </w:rPr>
        <w:t xml:space="preserve"> garments </w:t>
      </w:r>
      <w:r w:rsidR="00BC7693">
        <w:rPr>
          <w:rFonts w:eastAsia="Times New Roman" w:cs="Arial"/>
          <w:szCs w:val="26"/>
        </w:rPr>
        <w:t xml:space="preserve">would be </w:t>
      </w:r>
      <w:r>
        <w:rPr>
          <w:rFonts w:eastAsia="Times New Roman" w:cs="Arial"/>
          <w:szCs w:val="26"/>
        </w:rPr>
        <w:t xml:space="preserve">subject to different requirements </w:t>
      </w:r>
      <w:r w:rsidR="00BC7693">
        <w:rPr>
          <w:rFonts w:eastAsia="Times New Roman" w:cs="Arial"/>
          <w:szCs w:val="26"/>
        </w:rPr>
        <w:t>depending on which</w:t>
      </w:r>
      <w:r>
        <w:rPr>
          <w:rFonts w:eastAsia="Times New Roman" w:cs="Arial"/>
          <w:szCs w:val="26"/>
        </w:rPr>
        <w:t xml:space="preserve"> standard</w:t>
      </w:r>
      <w:r w:rsidR="00BC7693">
        <w:rPr>
          <w:rFonts w:eastAsia="Times New Roman" w:cs="Arial"/>
          <w:szCs w:val="26"/>
        </w:rPr>
        <w:t xml:space="preserve"> the supplier chose to use</w:t>
      </w:r>
      <w:r>
        <w:rPr>
          <w:rFonts w:eastAsia="Times New Roman" w:cs="Arial"/>
          <w:szCs w:val="26"/>
        </w:rPr>
        <w:t>.</w:t>
      </w:r>
    </w:p>
    <w:p w:rsidR="00960E60" w:rsidRDefault="00960E60" w:rsidP="00960E60">
      <w:pPr>
        <w:tabs>
          <w:tab w:val="left" w:pos="0"/>
          <w:tab w:val="left" w:pos="1021"/>
        </w:tabs>
        <w:spacing w:line="240" w:lineRule="atLeast"/>
        <w:rPr>
          <w:rFonts w:eastAsia="Times New Roman" w:cs="Arial"/>
          <w:szCs w:val="26"/>
        </w:rPr>
      </w:pPr>
      <w:r>
        <w:rPr>
          <w:rFonts w:eastAsia="Times New Roman" w:cs="Arial"/>
          <w:szCs w:val="26"/>
        </w:rPr>
        <w:t xml:space="preserve">The ACCC concludes that </w:t>
      </w:r>
      <w:r w:rsidR="00E31F63">
        <w:rPr>
          <w:rFonts w:eastAsia="Times New Roman" w:cs="Arial"/>
          <w:szCs w:val="26"/>
        </w:rPr>
        <w:t xml:space="preserve">the </w:t>
      </w:r>
      <w:r w:rsidR="00E31F63">
        <w:t xml:space="preserve">European, British and </w:t>
      </w:r>
      <w:proofErr w:type="gramStart"/>
      <w:r w:rsidR="00E31F63">
        <w:t>US</w:t>
      </w:r>
      <w:proofErr w:type="gramEnd"/>
      <w:r w:rsidR="00E31F63">
        <w:t xml:space="preserve"> standards are</w:t>
      </w:r>
      <w:r w:rsidR="00E31F63">
        <w:rPr>
          <w:rFonts w:eastAsia="Times New Roman" w:cs="Arial"/>
          <w:szCs w:val="26"/>
        </w:rPr>
        <w:t xml:space="preserve"> unsuitable </w:t>
      </w:r>
      <w:r>
        <w:rPr>
          <w:rFonts w:eastAsia="Times New Roman" w:cs="Arial"/>
          <w:szCs w:val="26"/>
        </w:rPr>
        <w:t>for Australia</w:t>
      </w:r>
      <w:r w:rsidR="00BC7693">
        <w:rPr>
          <w:rFonts w:eastAsia="Times New Roman" w:cs="Arial"/>
          <w:szCs w:val="26"/>
        </w:rPr>
        <w:t>.</w:t>
      </w:r>
      <w:r>
        <w:rPr>
          <w:rFonts w:eastAsia="Times New Roman" w:cs="Arial"/>
          <w:szCs w:val="26"/>
        </w:rPr>
        <w:t xml:space="preserve"> </w:t>
      </w:r>
      <w:r w:rsidR="00BC7693">
        <w:rPr>
          <w:rFonts w:eastAsia="Times New Roman" w:cs="Arial"/>
          <w:szCs w:val="26"/>
        </w:rPr>
        <w:t>T</w:t>
      </w:r>
      <w:r>
        <w:rPr>
          <w:rFonts w:eastAsia="Times New Roman" w:cs="Arial"/>
          <w:szCs w:val="26"/>
        </w:rPr>
        <w:t>he use of multiple standards would lead to inconsistent results, confusion for suppliers</w:t>
      </w:r>
      <w:r w:rsidR="00BC7693">
        <w:rPr>
          <w:rFonts w:eastAsia="Times New Roman" w:cs="Arial"/>
          <w:szCs w:val="26"/>
        </w:rPr>
        <w:t>,</w:t>
      </w:r>
      <w:r>
        <w:rPr>
          <w:rFonts w:eastAsia="Times New Roman" w:cs="Arial"/>
          <w:szCs w:val="26"/>
        </w:rPr>
        <w:t xml:space="preserve"> </w:t>
      </w:r>
      <w:r w:rsidR="00BC7693">
        <w:rPr>
          <w:rFonts w:eastAsia="Times New Roman" w:cs="Arial"/>
          <w:szCs w:val="26"/>
        </w:rPr>
        <w:t xml:space="preserve">and </w:t>
      </w:r>
      <w:r>
        <w:rPr>
          <w:rFonts w:eastAsia="Times New Roman" w:cs="Arial"/>
          <w:szCs w:val="26"/>
        </w:rPr>
        <w:t>ineffective and inconsistent labelling</w:t>
      </w:r>
      <w:r w:rsidR="00BC7693">
        <w:rPr>
          <w:rFonts w:eastAsia="Times New Roman" w:cs="Arial"/>
          <w:szCs w:val="26"/>
        </w:rPr>
        <w:t>.</w:t>
      </w:r>
      <w:r>
        <w:rPr>
          <w:rFonts w:eastAsia="Times New Roman" w:cs="Arial"/>
          <w:szCs w:val="26"/>
        </w:rPr>
        <w:t xml:space="preserve"> </w:t>
      </w:r>
      <w:r w:rsidR="00BC7693">
        <w:rPr>
          <w:rFonts w:eastAsia="Times New Roman" w:cs="Arial"/>
          <w:szCs w:val="26"/>
        </w:rPr>
        <w:t xml:space="preserve">This </w:t>
      </w:r>
      <w:r>
        <w:rPr>
          <w:rFonts w:eastAsia="Times New Roman" w:cs="Arial"/>
          <w:szCs w:val="26"/>
        </w:rPr>
        <w:t xml:space="preserve">would confuse consumers and reduce </w:t>
      </w:r>
      <w:r w:rsidR="00BC7693">
        <w:rPr>
          <w:rFonts w:eastAsia="Times New Roman" w:cs="Arial"/>
          <w:szCs w:val="26"/>
        </w:rPr>
        <w:t>safety</w:t>
      </w:r>
      <w:r>
        <w:rPr>
          <w:rFonts w:eastAsia="Times New Roman" w:cs="Arial"/>
          <w:szCs w:val="26"/>
        </w:rPr>
        <w:t>.</w:t>
      </w:r>
    </w:p>
    <w:p w:rsidR="00D449EF" w:rsidRDefault="00D449EF" w:rsidP="00D449EF">
      <w:pPr>
        <w:pStyle w:val="Numbered1"/>
        <w:numPr>
          <w:ilvl w:val="0"/>
          <w:numId w:val="28"/>
        </w:numPr>
        <w:ind w:left="680" w:hanging="680"/>
      </w:pPr>
      <w:bookmarkStart w:id="5" w:name="_Toc460928457"/>
      <w:r>
        <w:t xml:space="preserve">Detailed </w:t>
      </w:r>
      <w:r w:rsidRPr="00382011">
        <w:t>description</w:t>
      </w:r>
      <w:r>
        <w:t xml:space="preserve"> of policy options</w:t>
      </w:r>
      <w:bookmarkEnd w:id="5"/>
    </w:p>
    <w:p w:rsidR="00D449EF" w:rsidRPr="00297D3B" w:rsidRDefault="00D449EF" w:rsidP="00D449EF">
      <w:pPr>
        <w:pStyle w:val="Heading2"/>
        <w:rPr>
          <w:b w:val="0"/>
        </w:rPr>
      </w:pPr>
      <w:r w:rsidRPr="00297D3B">
        <w:rPr>
          <w:b w:val="0"/>
        </w:rPr>
        <w:t xml:space="preserve">Option </w:t>
      </w:r>
      <w:r w:rsidR="00263D91">
        <w:rPr>
          <w:b w:val="0"/>
        </w:rPr>
        <w:t>1</w:t>
      </w:r>
      <w:r w:rsidRPr="00297D3B">
        <w:rPr>
          <w:b w:val="0"/>
        </w:rPr>
        <w:t xml:space="preserve"> </w:t>
      </w:r>
      <w:r w:rsidR="00AD5C7C">
        <w:rPr>
          <w:b w:val="0"/>
        </w:rPr>
        <w:t>–</w:t>
      </w:r>
      <w:r w:rsidRPr="00297D3B">
        <w:rPr>
          <w:b w:val="0"/>
        </w:rPr>
        <w:t xml:space="preserve"> </w:t>
      </w:r>
      <w:r w:rsidR="00AD5C7C">
        <w:rPr>
          <w:b w:val="0"/>
        </w:rPr>
        <w:t>Retain</w:t>
      </w:r>
      <w:r w:rsidRPr="00297D3B">
        <w:rPr>
          <w:b w:val="0"/>
        </w:rPr>
        <w:t xml:space="preserve"> the current </w:t>
      </w:r>
      <w:r w:rsidR="00AD5C7C">
        <w:rPr>
          <w:b w:val="0"/>
        </w:rPr>
        <w:t>safety</w:t>
      </w:r>
      <w:r w:rsidRPr="00297D3B">
        <w:rPr>
          <w:b w:val="0"/>
        </w:rPr>
        <w:t xml:space="preserve"> standard (status quo)</w:t>
      </w:r>
    </w:p>
    <w:p w:rsidR="00D449EF" w:rsidRDefault="00D449EF" w:rsidP="00D449EF">
      <w:pPr>
        <w:pStyle w:val="Heading3"/>
      </w:pPr>
      <w:r w:rsidRPr="009C2938">
        <w:t>Description</w:t>
      </w:r>
    </w:p>
    <w:p w:rsidR="00D449EF" w:rsidRPr="0023057D" w:rsidRDefault="00D449EF" w:rsidP="00D449EF">
      <w:r>
        <w:t xml:space="preserve">The </w:t>
      </w:r>
      <w:r w:rsidR="00AD5C7C">
        <w:t>safety</w:t>
      </w:r>
      <w:r>
        <w:t xml:space="preserve"> standard would continue to reference the voluntary standard AS/NZS 1249:2003.</w:t>
      </w:r>
    </w:p>
    <w:p w:rsidR="00D449EF" w:rsidRDefault="00D449EF" w:rsidP="00D449EF">
      <w:pPr>
        <w:pStyle w:val="Heading3"/>
      </w:pPr>
      <w:r w:rsidRPr="0095683B">
        <w:t>Benefits</w:t>
      </w:r>
    </w:p>
    <w:p w:rsidR="00D449EF" w:rsidRPr="0023057D" w:rsidRDefault="00D449EF" w:rsidP="00D449EF">
      <w:r>
        <w:t xml:space="preserve">Suppliers and consumers would face no changes. </w:t>
      </w:r>
    </w:p>
    <w:p w:rsidR="00D449EF" w:rsidRDefault="001209B8" w:rsidP="00D449EF">
      <w:pPr>
        <w:pStyle w:val="Heading3"/>
      </w:pPr>
      <w:r>
        <w:br w:type="page"/>
      </w:r>
      <w:r w:rsidR="00D449EF">
        <w:lastRenderedPageBreak/>
        <w:t>Limitations</w:t>
      </w:r>
    </w:p>
    <w:p w:rsidR="00D449EF" w:rsidRPr="00D94057" w:rsidRDefault="00D449EF" w:rsidP="00D449EF">
      <w:r w:rsidRPr="00D94057">
        <w:t xml:space="preserve">Keeping the </w:t>
      </w:r>
      <w:r w:rsidR="00AD5C7C">
        <w:t>safety</w:t>
      </w:r>
      <w:r w:rsidRPr="00D94057">
        <w:t xml:space="preserve"> standard unchanged would lose the </w:t>
      </w:r>
      <w:r w:rsidR="001B331D">
        <w:t xml:space="preserve">potential to benefit from </w:t>
      </w:r>
      <w:r w:rsidRPr="00D94057">
        <w:t xml:space="preserve">the research and consultation that underlie the changes to AS/NZS 1249:2014. </w:t>
      </w:r>
      <w:r w:rsidR="001B331D">
        <w:t>S</w:t>
      </w:r>
      <w:r w:rsidR="008779AE">
        <w:t>ome s</w:t>
      </w:r>
      <w:r w:rsidR="001B331D" w:rsidRPr="00D94057">
        <w:t xml:space="preserve">uppliers and safety groups </w:t>
      </w:r>
      <w:r w:rsidRPr="00D94057">
        <w:t>are impatient for the adoption of the updated voluntary standard</w:t>
      </w:r>
      <w:r w:rsidR="001B331D">
        <w:t xml:space="preserve"> and </w:t>
      </w:r>
      <w:r w:rsidR="00D35742">
        <w:t xml:space="preserve">eager </w:t>
      </w:r>
      <w:r w:rsidR="008779AE">
        <w:t>for us to align our</w:t>
      </w:r>
      <w:r w:rsidRPr="00D94057">
        <w:t xml:space="preserve"> regulation </w:t>
      </w:r>
      <w:r w:rsidR="008779AE">
        <w:t>with New Zealand</w:t>
      </w:r>
      <w:r w:rsidRPr="00D94057">
        <w:t xml:space="preserve">. </w:t>
      </w:r>
    </w:p>
    <w:p w:rsidR="00263D91" w:rsidRDefault="00263D91" w:rsidP="00263D91">
      <w:pPr>
        <w:pStyle w:val="Heading2"/>
      </w:pPr>
      <w:r w:rsidRPr="00297D3B">
        <w:rPr>
          <w:b w:val="0"/>
        </w:rPr>
        <w:t xml:space="preserve">Option </w:t>
      </w:r>
      <w:r>
        <w:rPr>
          <w:b w:val="0"/>
        </w:rPr>
        <w:t>2</w:t>
      </w:r>
      <w:r w:rsidRPr="00297D3B">
        <w:rPr>
          <w:b w:val="0"/>
        </w:rPr>
        <w:t xml:space="preserve"> </w:t>
      </w:r>
      <w:r>
        <w:rPr>
          <w:b w:val="0"/>
        </w:rPr>
        <w:t>–</w:t>
      </w:r>
      <w:r w:rsidR="00D55CD3">
        <w:rPr>
          <w:b w:val="0"/>
        </w:rPr>
        <w:t xml:space="preserve"> </w:t>
      </w:r>
      <w:r w:rsidR="00E31F63">
        <w:rPr>
          <w:b w:val="0"/>
        </w:rPr>
        <w:t>A</w:t>
      </w:r>
      <w:r w:rsidR="00ED273F">
        <w:rPr>
          <w:b w:val="0"/>
        </w:rPr>
        <w:t>dopt</w:t>
      </w:r>
      <w:r w:rsidRPr="00D94057">
        <w:rPr>
          <w:b w:val="0"/>
        </w:rPr>
        <w:t xml:space="preserve"> the </w:t>
      </w:r>
      <w:r w:rsidR="00E31F63">
        <w:rPr>
          <w:b w:val="0"/>
        </w:rPr>
        <w:t>updated</w:t>
      </w:r>
      <w:r w:rsidR="00E31F63" w:rsidRPr="00D94057">
        <w:rPr>
          <w:b w:val="0"/>
        </w:rPr>
        <w:t xml:space="preserve"> </w:t>
      </w:r>
      <w:r w:rsidRPr="00D94057">
        <w:rPr>
          <w:b w:val="0"/>
        </w:rPr>
        <w:t xml:space="preserve">voluntary </w:t>
      </w:r>
      <w:r w:rsidR="00B50DA5">
        <w:rPr>
          <w:b w:val="0"/>
        </w:rPr>
        <w:t xml:space="preserve">Australian </w:t>
      </w:r>
      <w:r w:rsidRPr="00D94057">
        <w:rPr>
          <w:b w:val="0"/>
        </w:rPr>
        <w:t>standard</w:t>
      </w:r>
    </w:p>
    <w:p w:rsidR="00263D91" w:rsidRDefault="00263D91" w:rsidP="00263D91">
      <w:pPr>
        <w:pStyle w:val="Heading3"/>
      </w:pPr>
      <w:r w:rsidRPr="00297D3B">
        <w:t>Description</w:t>
      </w:r>
    </w:p>
    <w:p w:rsidR="00263D91" w:rsidRPr="0023057D" w:rsidRDefault="00ED273F" w:rsidP="00263D91">
      <w:r>
        <w:t>Mandate</w:t>
      </w:r>
      <w:r w:rsidR="00263D91">
        <w:t xml:space="preserve"> the changes in the voluntary standard AS/NZS 1249:2014</w:t>
      </w:r>
      <w:r>
        <w:t>.</w:t>
      </w:r>
    </w:p>
    <w:p w:rsidR="00263D91" w:rsidRDefault="00263D91" w:rsidP="00263D91">
      <w:pPr>
        <w:pStyle w:val="Heading3"/>
      </w:pPr>
      <w:r w:rsidRPr="00297D3B">
        <w:t>Benefits</w:t>
      </w:r>
    </w:p>
    <w:p w:rsidR="00263D91" w:rsidRPr="0023057D" w:rsidRDefault="00263D91" w:rsidP="00263D91">
      <w:r>
        <w:t xml:space="preserve">The </w:t>
      </w:r>
      <w:r w:rsidR="00EF3D85">
        <w:t xml:space="preserve">updated voluntary Australian standard has simpler </w:t>
      </w:r>
      <w:r>
        <w:t>requirements</w:t>
      </w:r>
      <w:r w:rsidR="00EF3D85">
        <w:t xml:space="preserve"> that are </w:t>
      </w:r>
      <w:r>
        <w:t xml:space="preserve">likely to reduce costs </w:t>
      </w:r>
      <w:r w:rsidR="00EF3D85">
        <w:t>for suppliers and to improve safety for consumers.</w:t>
      </w:r>
      <w:r w:rsidR="006862DA">
        <w:t xml:space="preserve"> </w:t>
      </w:r>
      <w:r>
        <w:t xml:space="preserve">Once implemented the change would align the Australian and New Zealand requirements. </w:t>
      </w:r>
    </w:p>
    <w:p w:rsidR="00263D91" w:rsidRPr="00297D3B" w:rsidRDefault="00263D91" w:rsidP="00263D91">
      <w:pPr>
        <w:pStyle w:val="Heading3"/>
      </w:pPr>
      <w:r>
        <w:t>Limitations</w:t>
      </w:r>
    </w:p>
    <w:p w:rsidR="00423291" w:rsidRDefault="00423291" w:rsidP="00423291">
      <w:r>
        <w:t>Australia would continue to have a standard that differs from Europe and the USA.</w:t>
      </w:r>
    </w:p>
    <w:p w:rsidR="00423291" w:rsidRDefault="00423291" w:rsidP="00423291">
      <w:r>
        <w:t xml:space="preserve">The change could increase costs for suppliers if they cannot sell existing stock. However, </w:t>
      </w:r>
      <w:r w:rsidR="003733E7">
        <w:t>after the transition</w:t>
      </w:r>
      <w:r>
        <w:t xml:space="preserve">, this option should not result in increased costs to industry and </w:t>
      </w:r>
      <w:r w:rsidR="003733E7">
        <w:t xml:space="preserve">is likely to </w:t>
      </w:r>
      <w:r>
        <w:t xml:space="preserve">reduce the costs of testing, the range of garments requiring testing and the cost of red labels.  </w:t>
      </w:r>
    </w:p>
    <w:p w:rsidR="00D32C30" w:rsidRDefault="00263D91" w:rsidP="00263D91">
      <w:r>
        <w:t xml:space="preserve">The update would </w:t>
      </w:r>
      <w:r w:rsidR="00ED273F">
        <w:t>include</w:t>
      </w:r>
      <w:r>
        <w:t xml:space="preserve"> the new test for melt and dripping fabric </w:t>
      </w:r>
      <w:r w:rsidR="00ED273F">
        <w:t xml:space="preserve">so a small number of ‘low fire danger’ </w:t>
      </w:r>
      <w:r>
        <w:t xml:space="preserve">garments </w:t>
      </w:r>
      <w:r w:rsidR="00ED273F">
        <w:t>would need to change to</w:t>
      </w:r>
      <w:r>
        <w:t xml:space="preserve"> a ‘high fire</w:t>
      </w:r>
      <w:r w:rsidR="00ED273F">
        <w:t xml:space="preserve"> danger</w:t>
      </w:r>
      <w:r>
        <w:t xml:space="preserve">’ warning label. </w:t>
      </w:r>
      <w:r w:rsidR="00423291" w:rsidRPr="00423291">
        <w:t xml:space="preserve"> </w:t>
      </w:r>
      <w:r w:rsidR="00423291">
        <w:t>We seek comments on the impact of this test on suppliers.</w:t>
      </w:r>
    </w:p>
    <w:p w:rsidR="00D449EF" w:rsidRPr="00297D3B" w:rsidRDefault="00D449EF" w:rsidP="00D449EF">
      <w:pPr>
        <w:pStyle w:val="Heading2"/>
        <w:rPr>
          <w:b w:val="0"/>
        </w:rPr>
      </w:pPr>
      <w:r w:rsidRPr="00297D3B">
        <w:rPr>
          <w:b w:val="0"/>
        </w:rPr>
        <w:t xml:space="preserve">Option </w:t>
      </w:r>
      <w:r>
        <w:rPr>
          <w:b w:val="0"/>
        </w:rPr>
        <w:t>3</w:t>
      </w:r>
      <w:r w:rsidRPr="00297D3B">
        <w:rPr>
          <w:b w:val="0"/>
        </w:rPr>
        <w:t xml:space="preserve"> </w:t>
      </w:r>
      <w:r>
        <w:rPr>
          <w:b w:val="0"/>
        </w:rPr>
        <w:t>–</w:t>
      </w:r>
      <w:r w:rsidRPr="00297D3B">
        <w:rPr>
          <w:b w:val="0"/>
        </w:rPr>
        <w:t xml:space="preserve"> </w:t>
      </w:r>
      <w:r>
        <w:rPr>
          <w:b w:val="0"/>
        </w:rPr>
        <w:t>Adopt international standards</w:t>
      </w:r>
    </w:p>
    <w:p w:rsidR="00D449EF" w:rsidRDefault="00D449EF" w:rsidP="00D449EF">
      <w:pPr>
        <w:pStyle w:val="Heading3"/>
      </w:pPr>
      <w:r w:rsidRPr="00297D3B">
        <w:t>Description</w:t>
      </w:r>
    </w:p>
    <w:p w:rsidR="00D449EF" w:rsidRPr="003732DC" w:rsidRDefault="00D449EF" w:rsidP="00D449EF">
      <w:r>
        <w:t xml:space="preserve">Adopt one </w:t>
      </w:r>
      <w:r w:rsidR="006862DA">
        <w:t xml:space="preserve">or more </w:t>
      </w:r>
      <w:r>
        <w:t>of the Europe</w:t>
      </w:r>
      <w:r w:rsidR="006862DA">
        <w:t>an, British or US standards</w:t>
      </w:r>
      <w:r>
        <w:t xml:space="preserve"> </w:t>
      </w:r>
      <w:r w:rsidR="006862DA">
        <w:t>as well as the updated voluntary Australian</w:t>
      </w:r>
      <w:r>
        <w:t xml:space="preserve"> standard.  </w:t>
      </w:r>
    </w:p>
    <w:p w:rsidR="00D449EF" w:rsidRDefault="00D449EF" w:rsidP="00D449EF">
      <w:pPr>
        <w:pStyle w:val="Heading3"/>
      </w:pPr>
      <w:r w:rsidRPr="00297D3B">
        <w:t>Benefits</w:t>
      </w:r>
    </w:p>
    <w:p w:rsidR="00D449EF" w:rsidRDefault="006862DA" w:rsidP="00D449EF">
      <w:r>
        <w:t>The updated voluntary Australian standard has simpler requirements that are likely to reduce costs for suppliers and to improve safety for consumers.</w:t>
      </w:r>
      <w:r w:rsidR="00735D1E" w:rsidRPr="00735D1E">
        <w:t xml:space="preserve"> </w:t>
      </w:r>
      <w:r>
        <w:t>Adopting</w:t>
      </w:r>
      <w:r w:rsidR="00D449EF" w:rsidRPr="00A1608D">
        <w:t xml:space="preserve"> </w:t>
      </w:r>
      <w:r w:rsidRPr="00A1608D">
        <w:t xml:space="preserve">international </w:t>
      </w:r>
      <w:r w:rsidR="00D449EF" w:rsidRPr="00A1608D">
        <w:t xml:space="preserve">standards </w:t>
      </w:r>
      <w:r>
        <w:t>w</w:t>
      </w:r>
      <w:r w:rsidR="00D449EF" w:rsidRPr="00A1608D">
        <w:t xml:space="preserve">ould reduce </w:t>
      </w:r>
      <w:r>
        <w:t>trade</w:t>
      </w:r>
      <w:r w:rsidRPr="00A1608D">
        <w:t xml:space="preserve"> </w:t>
      </w:r>
      <w:r w:rsidR="00D449EF" w:rsidRPr="00A1608D">
        <w:t xml:space="preserve">barriers </w:t>
      </w:r>
      <w:r>
        <w:t>for</w:t>
      </w:r>
      <w:r w:rsidR="00D449EF" w:rsidRPr="00A1608D">
        <w:t xml:space="preserve"> children’s nightwear</w:t>
      </w:r>
      <w:r>
        <w:t xml:space="preserve"> and this could reduce compliance costs for business and increase competition and choice for consumers</w:t>
      </w:r>
      <w:r w:rsidR="00D449EF" w:rsidRPr="00A1608D">
        <w:t>.</w:t>
      </w:r>
    </w:p>
    <w:p w:rsidR="00D449EF" w:rsidRDefault="00D449EF" w:rsidP="00D449EF">
      <w:pPr>
        <w:rPr>
          <w:rFonts w:eastAsia="Times New Roman"/>
          <w:b/>
          <w:bCs/>
          <w:color w:val="000000"/>
          <w:sz w:val="24"/>
        </w:rPr>
      </w:pPr>
      <w:r w:rsidRPr="00921DE8">
        <w:rPr>
          <w:rFonts w:eastAsia="Times New Roman"/>
          <w:b/>
          <w:bCs/>
          <w:color w:val="000000"/>
          <w:sz w:val="24"/>
        </w:rPr>
        <w:t>Limitations</w:t>
      </w:r>
    </w:p>
    <w:p w:rsidR="00735D1E" w:rsidRDefault="00735D1E" w:rsidP="00735D1E">
      <w:pPr>
        <w:tabs>
          <w:tab w:val="left" w:pos="0"/>
          <w:tab w:val="left" w:pos="1021"/>
        </w:tabs>
        <w:spacing w:line="240" w:lineRule="atLeast"/>
        <w:rPr>
          <w:rFonts w:eastAsia="Times New Roman" w:cs="Arial"/>
          <w:szCs w:val="26"/>
        </w:rPr>
      </w:pPr>
      <w:r>
        <w:rPr>
          <w:rFonts w:eastAsia="Times New Roman" w:cs="Arial"/>
          <w:szCs w:val="26"/>
        </w:rPr>
        <w:t xml:space="preserve">The ACCC considers that the </w:t>
      </w:r>
      <w:r>
        <w:t xml:space="preserve">European, British and </w:t>
      </w:r>
      <w:proofErr w:type="gramStart"/>
      <w:r>
        <w:t>US</w:t>
      </w:r>
      <w:proofErr w:type="gramEnd"/>
      <w:r>
        <w:t xml:space="preserve"> standards are</w:t>
      </w:r>
      <w:r>
        <w:rPr>
          <w:rFonts w:eastAsia="Times New Roman" w:cs="Arial"/>
          <w:szCs w:val="26"/>
        </w:rPr>
        <w:t xml:space="preserve"> unsuitable for Australia. The use of </w:t>
      </w:r>
      <w:r w:rsidR="00DA2049">
        <w:rPr>
          <w:rFonts w:eastAsia="Times New Roman" w:cs="Arial"/>
          <w:szCs w:val="26"/>
        </w:rPr>
        <w:t>these</w:t>
      </w:r>
      <w:r>
        <w:rPr>
          <w:rFonts w:eastAsia="Times New Roman" w:cs="Arial"/>
          <w:szCs w:val="26"/>
        </w:rPr>
        <w:t xml:space="preserve"> </w:t>
      </w:r>
      <w:r w:rsidR="00E51B6C">
        <w:rPr>
          <w:rFonts w:eastAsia="Times New Roman" w:cs="Arial"/>
          <w:szCs w:val="26"/>
        </w:rPr>
        <w:t xml:space="preserve">quite different </w:t>
      </w:r>
      <w:r>
        <w:rPr>
          <w:rFonts w:eastAsia="Times New Roman" w:cs="Arial"/>
          <w:szCs w:val="26"/>
        </w:rPr>
        <w:t xml:space="preserve">standards </w:t>
      </w:r>
      <w:r w:rsidR="00E51B6C">
        <w:rPr>
          <w:rFonts w:eastAsia="Times New Roman" w:cs="Arial"/>
          <w:szCs w:val="26"/>
        </w:rPr>
        <w:t xml:space="preserve">could </w:t>
      </w:r>
      <w:r>
        <w:rPr>
          <w:rFonts w:eastAsia="Times New Roman" w:cs="Arial"/>
          <w:szCs w:val="26"/>
        </w:rPr>
        <w:t xml:space="preserve">lead to ineffective and inconsistent labelling. This </w:t>
      </w:r>
      <w:r w:rsidR="00D35742">
        <w:rPr>
          <w:rFonts w:eastAsia="Times New Roman" w:cs="Arial"/>
          <w:szCs w:val="26"/>
        </w:rPr>
        <w:t>c</w:t>
      </w:r>
      <w:r>
        <w:rPr>
          <w:rFonts w:eastAsia="Times New Roman" w:cs="Arial"/>
          <w:szCs w:val="26"/>
        </w:rPr>
        <w:t>ould confuse consumers and reduce safety.</w:t>
      </w:r>
    </w:p>
    <w:p w:rsidR="00263D91" w:rsidRPr="00297D3B" w:rsidRDefault="001209B8" w:rsidP="00263D91">
      <w:pPr>
        <w:pStyle w:val="Heading2"/>
        <w:rPr>
          <w:b w:val="0"/>
        </w:rPr>
      </w:pPr>
      <w:r>
        <w:rPr>
          <w:b w:val="0"/>
        </w:rPr>
        <w:br w:type="page"/>
      </w:r>
      <w:r w:rsidR="00263D91" w:rsidRPr="00297D3B">
        <w:rPr>
          <w:b w:val="0"/>
        </w:rPr>
        <w:lastRenderedPageBreak/>
        <w:t xml:space="preserve">Option </w:t>
      </w:r>
      <w:r w:rsidR="00263D91">
        <w:rPr>
          <w:b w:val="0"/>
        </w:rPr>
        <w:t>4</w:t>
      </w:r>
      <w:r w:rsidR="00263D91" w:rsidRPr="00297D3B">
        <w:rPr>
          <w:b w:val="0"/>
        </w:rPr>
        <w:t xml:space="preserve"> </w:t>
      </w:r>
      <w:r w:rsidR="00263D91">
        <w:rPr>
          <w:b w:val="0"/>
        </w:rPr>
        <w:t>–</w:t>
      </w:r>
      <w:r w:rsidR="00263D91" w:rsidRPr="00297D3B">
        <w:rPr>
          <w:b w:val="0"/>
        </w:rPr>
        <w:t xml:space="preserve"> </w:t>
      </w:r>
      <w:r w:rsidR="00263D91">
        <w:rPr>
          <w:b w:val="0"/>
        </w:rPr>
        <w:t>Revoke the safety standard</w:t>
      </w:r>
    </w:p>
    <w:p w:rsidR="00263D91" w:rsidRDefault="00263D91" w:rsidP="00263D91">
      <w:pPr>
        <w:pStyle w:val="Heading3"/>
      </w:pPr>
      <w:r w:rsidRPr="00297D3B">
        <w:t>Description</w:t>
      </w:r>
    </w:p>
    <w:p w:rsidR="00263D91" w:rsidRPr="003732DC" w:rsidRDefault="00263D91">
      <w:r>
        <w:t xml:space="preserve">Most consumer goods in Australia are not </w:t>
      </w:r>
      <w:r w:rsidR="00735D1E">
        <w:t>regulated</w:t>
      </w:r>
      <w:r>
        <w:t xml:space="preserve"> by mandatory safety standards. </w:t>
      </w:r>
      <w:r w:rsidR="00735D1E">
        <w:t>Revoking</w:t>
      </w:r>
      <w:r>
        <w:t xml:space="preserve"> the safety standard </w:t>
      </w:r>
      <w:r w:rsidR="00735D1E">
        <w:t>would mean</w:t>
      </w:r>
      <w:r>
        <w:t xml:space="preserve"> suppliers would still need to have regard to the consumer protection provisions of the Australian Consumer Law (ACL). The ACL provides consumers with specific protections for consumer transactions </w:t>
      </w:r>
      <w:r w:rsidR="00D60014">
        <w:t xml:space="preserve">called consumer guarantees </w:t>
      </w:r>
      <w:r>
        <w:t xml:space="preserve">every time they purchase goods or services. </w:t>
      </w:r>
      <w:r w:rsidR="00D60014">
        <w:t>O</w:t>
      </w:r>
      <w:r>
        <w:t>ne of th</w:t>
      </w:r>
      <w:r w:rsidR="00D60014">
        <w:t>os</w:t>
      </w:r>
      <w:r>
        <w:t>e guarantees is that goods will be of acceptable quality, meaning they are safe and fit for purpose</w:t>
      </w:r>
      <w:r w:rsidR="00DB4B82">
        <w:t xml:space="preserve">. Consumer protections also exist </w:t>
      </w:r>
      <w:r w:rsidR="00D60014">
        <w:t>to</w:t>
      </w:r>
      <w:r w:rsidR="00DB4B82">
        <w:t xml:space="preserve"> safeguard against suppliers engaging in conduct that is likely to be misleading or deceptive.</w:t>
      </w:r>
      <w:r w:rsidR="00D60014">
        <w:t xml:space="preserve"> Additionally, there are </w:t>
      </w:r>
      <w:r w:rsidR="00DB4B82">
        <w:t xml:space="preserve">provisions for </w:t>
      </w:r>
      <w:r w:rsidR="00D60014">
        <w:t xml:space="preserve">injury </w:t>
      </w:r>
      <w:r w:rsidR="00DB4B82">
        <w:t>reporting, recalls and product liabilit</w:t>
      </w:r>
      <w:r w:rsidR="00D60014">
        <w:t>y. These provisions give suppliers an incentive to ensure that the goods they supply are safe. The ACCC would still be able to take safety action if needed – for example, through recalls</w:t>
      </w:r>
      <w:r w:rsidR="00DB4B82">
        <w:t>.</w:t>
      </w:r>
      <w:r>
        <w:t xml:space="preserve"> </w:t>
      </w:r>
    </w:p>
    <w:p w:rsidR="00263D91" w:rsidRDefault="00263D91" w:rsidP="00263D91">
      <w:pPr>
        <w:pStyle w:val="Heading3"/>
      </w:pPr>
      <w:r w:rsidRPr="00297D3B">
        <w:t>Benefits</w:t>
      </w:r>
    </w:p>
    <w:p w:rsidR="00DB4B82" w:rsidRPr="00A1608D" w:rsidRDefault="007B068E" w:rsidP="00263D91">
      <w:r>
        <w:t xml:space="preserve">There would be no direct compliance costs for industry under this option. Any international trade restrictions resulting from the current safety standard would be removed, making it easier for businesses to import products to Australia. </w:t>
      </w:r>
      <w:r w:rsidR="00D35742">
        <w:t>Increased competition</w:t>
      </w:r>
      <w:r>
        <w:t xml:space="preserve"> may result in a wider range of products becoming available to Australian consumers</w:t>
      </w:r>
      <w:r w:rsidR="00D35742">
        <w:t xml:space="preserve"> and in lower priced goods</w:t>
      </w:r>
      <w:r>
        <w:t>.</w:t>
      </w:r>
    </w:p>
    <w:p w:rsidR="00263D91" w:rsidRDefault="00263D91" w:rsidP="00263D91">
      <w:pPr>
        <w:rPr>
          <w:rFonts w:eastAsia="Times New Roman"/>
          <w:b/>
          <w:bCs/>
          <w:color w:val="000000"/>
          <w:sz w:val="24"/>
        </w:rPr>
      </w:pPr>
      <w:r w:rsidRPr="00921DE8">
        <w:rPr>
          <w:rFonts w:eastAsia="Times New Roman"/>
          <w:b/>
          <w:bCs/>
          <w:color w:val="000000"/>
          <w:sz w:val="24"/>
        </w:rPr>
        <w:t>Limitations</w:t>
      </w:r>
    </w:p>
    <w:p w:rsidR="003E0F5C" w:rsidRDefault="007B068E" w:rsidP="00263D91">
      <w:pPr>
        <w:rPr>
          <w:rFonts w:eastAsia="Times New Roman"/>
          <w:bCs/>
          <w:color w:val="000000"/>
        </w:rPr>
      </w:pPr>
      <w:r>
        <w:rPr>
          <w:rFonts w:eastAsia="Times New Roman"/>
          <w:bCs/>
          <w:color w:val="000000"/>
        </w:rPr>
        <w:t xml:space="preserve">Without the safety standard, the general ACL provisions may be insufficient and some manufacturers could stop safety activities to reduce costs. </w:t>
      </w:r>
      <w:r w:rsidR="006162DF">
        <w:rPr>
          <w:rFonts w:eastAsia="Times New Roman"/>
          <w:bCs/>
          <w:color w:val="000000"/>
        </w:rPr>
        <w:t>Suppliers adhering to voluntary standards could potentially lose market share. T</w:t>
      </w:r>
      <w:r w:rsidR="003E0F5C">
        <w:rPr>
          <w:rFonts w:eastAsia="Times New Roman"/>
          <w:bCs/>
          <w:color w:val="000000"/>
        </w:rPr>
        <w:t xml:space="preserve">o the extent there is a reduction in compliance with safety standards this </w:t>
      </w:r>
      <w:r w:rsidR="006162DF">
        <w:rPr>
          <w:rFonts w:eastAsia="Times New Roman"/>
          <w:bCs/>
          <w:color w:val="000000"/>
        </w:rPr>
        <w:t xml:space="preserve">could lead to an increase in death and injury. </w:t>
      </w:r>
    </w:p>
    <w:p w:rsidR="006162DF" w:rsidRDefault="006162DF" w:rsidP="00263D91">
      <w:pPr>
        <w:rPr>
          <w:rFonts w:eastAsia="Times New Roman"/>
          <w:bCs/>
          <w:color w:val="000000"/>
        </w:rPr>
      </w:pPr>
      <w:r>
        <w:rPr>
          <w:rFonts w:eastAsia="Times New Roman"/>
          <w:bCs/>
          <w:color w:val="000000"/>
        </w:rPr>
        <w:t>Consumers may also need to assess the safety of these products in more detail. This could reduce consumer and retailer confidence in the children’s clothing sector and in the safety of children’s nightwear.</w:t>
      </w:r>
    </w:p>
    <w:p w:rsidR="006162DF" w:rsidRDefault="006162DF" w:rsidP="00EE3295">
      <w:pPr>
        <w:tabs>
          <w:tab w:val="left" w:pos="0"/>
          <w:tab w:val="left" w:pos="1021"/>
        </w:tabs>
        <w:spacing w:line="240" w:lineRule="atLeast"/>
        <w:rPr>
          <w:rFonts w:eastAsia="Times New Roman" w:cs="Arial"/>
          <w:szCs w:val="26"/>
        </w:rPr>
      </w:pPr>
      <w:r>
        <w:rPr>
          <w:rFonts w:eastAsia="Times New Roman" w:cs="Arial"/>
          <w:szCs w:val="26"/>
        </w:rPr>
        <w:t>This option could lead to the use of multiple voluntary standards for these products in Australia. This would lead to inconsistent results, confusion for suppliers, and ineffective and inconsistent labelling</w:t>
      </w:r>
      <w:r w:rsidR="003E0F5C">
        <w:rPr>
          <w:rFonts w:eastAsia="Times New Roman" w:cs="Arial"/>
          <w:szCs w:val="26"/>
        </w:rPr>
        <w:t xml:space="preserve"> and is therefore likely to </w:t>
      </w:r>
      <w:r>
        <w:rPr>
          <w:rFonts w:eastAsia="Times New Roman" w:cs="Arial"/>
          <w:szCs w:val="26"/>
        </w:rPr>
        <w:t>confuse consumers and reduce safety.</w:t>
      </w:r>
    </w:p>
    <w:p w:rsidR="00D449EF" w:rsidRDefault="00D449EF" w:rsidP="00D449EF">
      <w:pPr>
        <w:pStyle w:val="Numbered1"/>
        <w:numPr>
          <w:ilvl w:val="0"/>
          <w:numId w:val="28"/>
        </w:numPr>
        <w:ind w:left="680" w:hanging="680"/>
      </w:pPr>
      <w:bookmarkStart w:id="6" w:name="_Toc460928458"/>
      <w:r>
        <w:t>Preliminary position</w:t>
      </w:r>
      <w:bookmarkEnd w:id="6"/>
    </w:p>
    <w:p w:rsidR="00423291" w:rsidRDefault="00D449EF" w:rsidP="00D449EF">
      <w:r>
        <w:t xml:space="preserve">The ACCC is </w:t>
      </w:r>
      <w:r w:rsidR="00B50DA5">
        <w:t xml:space="preserve">currently </w:t>
      </w:r>
      <w:r>
        <w:t xml:space="preserve">of the view that </w:t>
      </w:r>
      <w:r w:rsidR="00E31F63">
        <w:t>Option 2 (adopt the updated voluntary Australian standard</w:t>
      </w:r>
      <w:r w:rsidR="00AA5CA1">
        <w:t>)</w:t>
      </w:r>
      <w:r w:rsidR="00E31F63">
        <w:t xml:space="preserve"> is likely to provide the greatest net benefit for consumers, suppliers and regulators</w:t>
      </w:r>
      <w:r w:rsidR="00423291">
        <w:t>. Stakeholder submissions to this consultation will help us recommend the most appropriate option the Minister.</w:t>
      </w:r>
    </w:p>
    <w:p w:rsidR="002037EC" w:rsidRDefault="00A428BD" w:rsidP="00A428BD">
      <w:pPr>
        <w:rPr>
          <w:rFonts w:cs="Arial"/>
        </w:rPr>
      </w:pPr>
      <w:r w:rsidRPr="00C8779D">
        <w:rPr>
          <w:rFonts w:cs="Arial"/>
        </w:rPr>
        <w:t>The Office of Best Practice Regulation has agreed that the proposed change is ‘minor and machinery’ and does not require a Regulat</w:t>
      </w:r>
      <w:r>
        <w:rPr>
          <w:rFonts w:cs="Arial"/>
        </w:rPr>
        <w:t>ion</w:t>
      </w:r>
      <w:r w:rsidRPr="00C8779D">
        <w:rPr>
          <w:rFonts w:cs="Arial"/>
        </w:rPr>
        <w:t xml:space="preserve"> Impact Statement.</w:t>
      </w:r>
    </w:p>
    <w:p w:rsidR="00D449EF" w:rsidRDefault="001209B8" w:rsidP="00D449EF">
      <w:pPr>
        <w:pStyle w:val="Numbered1"/>
        <w:numPr>
          <w:ilvl w:val="0"/>
          <w:numId w:val="28"/>
        </w:numPr>
        <w:ind w:left="680" w:hanging="680"/>
      </w:pPr>
      <w:bookmarkStart w:id="7" w:name="_Toc460928459"/>
      <w:r>
        <w:rPr>
          <w:rFonts w:ascii="Arial" w:eastAsia="Arial" w:hAnsi="Arial" w:cs="Arial"/>
          <w:bCs w:val="0"/>
          <w:color w:val="auto"/>
          <w:sz w:val="22"/>
          <w:szCs w:val="22"/>
        </w:rPr>
        <w:br w:type="page"/>
      </w:r>
      <w:r w:rsidR="00D449EF">
        <w:lastRenderedPageBreak/>
        <w:t>C</w:t>
      </w:r>
      <w:r w:rsidR="00D449EF" w:rsidRPr="002B2F74">
        <w:t>onsultation</w:t>
      </w:r>
      <w:r w:rsidR="00D449EF">
        <w:t xml:space="preserve"> questions</w:t>
      </w:r>
      <w:bookmarkEnd w:id="7"/>
      <w:r w:rsidR="00D449EF" w:rsidRPr="009E5FC7">
        <w:t xml:space="preserve"> </w:t>
      </w:r>
    </w:p>
    <w:p w:rsidR="00D449EF" w:rsidRPr="007663B4" w:rsidRDefault="0043663D" w:rsidP="00D449EF">
      <w:pPr>
        <w:spacing w:before="0"/>
      </w:pPr>
      <w:r>
        <w:rPr>
          <w:noProof/>
        </w:rPr>
        <w:pict>
          <v:shape id="_x0000_s1045" type="#_x0000_t202" style="position:absolute;margin-left:-5.15pt;margin-top:9.8pt;width:442.95pt;height:250.7pt;z-index:251667968;visibility:visible;mso-wrap-distance-left:9pt;mso-wrap-distance-top:0;mso-wrap-distance-right:9pt;mso-wrap-distance-bottom:0;mso-position-horizontal-relative:text;mso-position-vertical-relative:text;mso-width-relative:margin;mso-height-relative:margin;v-text-anchor:top" strokeweight="1pt">
            <v:textbox style="mso-next-textbox:#_x0000_s1045">
              <w:txbxContent>
                <w:p w:rsidR="00D520A4" w:rsidRDefault="00D520A4" w:rsidP="00C8779D">
                  <w:pPr>
                    <w:pStyle w:val="ListParagraph"/>
                    <w:numPr>
                      <w:ilvl w:val="0"/>
                      <w:numId w:val="45"/>
                    </w:numPr>
                    <w:tabs>
                      <w:tab w:val="clear" w:pos="340"/>
                      <w:tab w:val="left" w:pos="284"/>
                    </w:tabs>
                    <w:ind w:left="284"/>
                  </w:pPr>
                  <w:r>
                    <w:rPr>
                      <w:b/>
                    </w:rPr>
                    <w:t>Do you support the proposed change to the safety standard?</w:t>
                  </w:r>
                </w:p>
                <w:p w:rsidR="00D520A4" w:rsidRDefault="00D520A4" w:rsidP="00C8779D">
                  <w:pPr>
                    <w:pStyle w:val="ListParagraph"/>
                    <w:numPr>
                      <w:ilvl w:val="0"/>
                      <w:numId w:val="0"/>
                    </w:numPr>
                    <w:tabs>
                      <w:tab w:val="clear" w:pos="340"/>
                      <w:tab w:val="left" w:pos="284"/>
                    </w:tabs>
                    <w:ind w:left="284"/>
                  </w:pPr>
                  <w:r w:rsidRPr="00DD7648">
                    <w:t xml:space="preserve">Do you </w:t>
                  </w:r>
                  <w:r>
                    <w:t xml:space="preserve">support </w:t>
                  </w:r>
                  <w:r w:rsidR="008805BE">
                    <w:t>adoption of the</w:t>
                  </w:r>
                  <w:r>
                    <w:t xml:space="preserve"> </w:t>
                  </w:r>
                  <w:r w:rsidR="008805BE">
                    <w:t xml:space="preserve">updated </w:t>
                  </w:r>
                  <w:r>
                    <w:t>voluntary Australian standard AS/NZS 1249:2014</w:t>
                  </w:r>
                  <w:r w:rsidR="008805BE">
                    <w:t xml:space="preserve"> into the safety standard</w:t>
                  </w:r>
                  <w:r>
                    <w:t>?</w:t>
                  </w:r>
                </w:p>
                <w:p w:rsidR="00D520A4" w:rsidRDefault="00D520A4" w:rsidP="00C8779D">
                  <w:pPr>
                    <w:pStyle w:val="ListParagraph"/>
                    <w:numPr>
                      <w:ilvl w:val="0"/>
                      <w:numId w:val="0"/>
                    </w:numPr>
                    <w:tabs>
                      <w:tab w:val="clear" w:pos="340"/>
                      <w:tab w:val="left" w:pos="284"/>
                    </w:tabs>
                    <w:ind w:left="284"/>
                  </w:pPr>
                  <w:r>
                    <w:t xml:space="preserve">Do you have </w:t>
                  </w:r>
                  <w:r w:rsidR="008805BE">
                    <w:t xml:space="preserve">a </w:t>
                  </w:r>
                  <w:r>
                    <w:t>view</w:t>
                  </w:r>
                  <w:r w:rsidR="008805BE">
                    <w:t xml:space="preserve"> on inclusion</w:t>
                  </w:r>
                  <w:r>
                    <w:t xml:space="preserve"> of the new molten fabric drip test</w:t>
                  </w:r>
                  <w:r w:rsidRPr="00DD7648">
                    <w:t>?</w:t>
                  </w:r>
                </w:p>
                <w:p w:rsidR="00144003" w:rsidRDefault="00144003" w:rsidP="00C8779D">
                  <w:pPr>
                    <w:pStyle w:val="ListParagraph"/>
                    <w:numPr>
                      <w:ilvl w:val="0"/>
                      <w:numId w:val="0"/>
                    </w:numPr>
                    <w:tabs>
                      <w:tab w:val="clear" w:pos="340"/>
                      <w:tab w:val="left" w:pos="284"/>
                    </w:tabs>
                    <w:ind w:left="284"/>
                  </w:pPr>
                  <w:r>
                    <w:t>Do you have views about the products now excluded, such as paper patterns?</w:t>
                  </w:r>
                </w:p>
                <w:p w:rsidR="00D520A4" w:rsidRPr="004D7F75" w:rsidRDefault="00D520A4" w:rsidP="00C8779D">
                  <w:pPr>
                    <w:pStyle w:val="ListParagraph"/>
                    <w:numPr>
                      <w:ilvl w:val="0"/>
                      <w:numId w:val="45"/>
                    </w:numPr>
                    <w:tabs>
                      <w:tab w:val="clear" w:pos="340"/>
                      <w:tab w:val="left" w:pos="284"/>
                    </w:tabs>
                    <w:ind w:left="284"/>
                  </w:pPr>
                  <w:r>
                    <w:rPr>
                      <w:b/>
                    </w:rPr>
                    <w:t>What transition arrangements should be used?</w:t>
                  </w:r>
                </w:p>
                <w:p w:rsidR="008805BE" w:rsidRDefault="00D520A4" w:rsidP="00C8779D">
                  <w:pPr>
                    <w:pStyle w:val="ListParagraph"/>
                    <w:numPr>
                      <w:ilvl w:val="0"/>
                      <w:numId w:val="0"/>
                    </w:numPr>
                    <w:tabs>
                      <w:tab w:val="clear" w:pos="340"/>
                      <w:tab w:val="left" w:pos="284"/>
                    </w:tabs>
                    <w:ind w:left="284"/>
                  </w:pPr>
                  <w:r w:rsidRPr="004D7F75">
                    <w:t xml:space="preserve">Do you have any comment on </w:t>
                  </w:r>
                  <w:r>
                    <w:t xml:space="preserve">appropriate transition arrangements in any update to the </w:t>
                  </w:r>
                  <w:r w:rsidR="00652595" w:rsidRPr="00652595">
                    <w:t>safety</w:t>
                  </w:r>
                  <w:r w:rsidR="005818C6">
                    <w:t xml:space="preserve"> standard?</w:t>
                  </w:r>
                </w:p>
                <w:p w:rsidR="00D520A4" w:rsidRDefault="008805BE" w:rsidP="00C8779D">
                  <w:pPr>
                    <w:pStyle w:val="ListParagraph"/>
                    <w:numPr>
                      <w:ilvl w:val="0"/>
                      <w:numId w:val="0"/>
                    </w:numPr>
                    <w:tabs>
                      <w:tab w:val="clear" w:pos="340"/>
                      <w:tab w:val="left" w:pos="284"/>
                    </w:tabs>
                    <w:ind w:left="284"/>
                  </w:pPr>
                  <w:r>
                    <w:t xml:space="preserve">How much time </w:t>
                  </w:r>
                  <w:r w:rsidR="00D520A4">
                    <w:t>should be allowed for the sale of product</w:t>
                  </w:r>
                  <w:r>
                    <w:t>s complying</w:t>
                  </w:r>
                  <w:r w:rsidR="00D520A4">
                    <w:t xml:space="preserve"> with the current </w:t>
                  </w:r>
                  <w:r w:rsidR="00652595" w:rsidRPr="00652595">
                    <w:t>safety</w:t>
                  </w:r>
                  <w:r w:rsidR="00D520A4" w:rsidRPr="00652595">
                    <w:t xml:space="preserve"> standard?</w:t>
                  </w:r>
                  <w:r w:rsidR="00D520A4">
                    <w:t xml:space="preserve"> </w:t>
                  </w:r>
                </w:p>
                <w:p w:rsidR="00D520A4" w:rsidRPr="00652595" w:rsidRDefault="00D520A4" w:rsidP="00EE3295">
                  <w:pPr>
                    <w:pStyle w:val="ListParagraph"/>
                    <w:numPr>
                      <w:ilvl w:val="0"/>
                      <w:numId w:val="45"/>
                    </w:numPr>
                    <w:tabs>
                      <w:tab w:val="clear" w:pos="340"/>
                      <w:tab w:val="left" w:pos="284"/>
                    </w:tabs>
                    <w:ind w:left="284"/>
                  </w:pPr>
                  <w:r w:rsidRPr="004D7F75">
                    <w:rPr>
                      <w:b/>
                    </w:rPr>
                    <w:t>Do you have any other comments?</w:t>
                  </w:r>
                </w:p>
                <w:p w:rsidR="00652595" w:rsidRDefault="00652595" w:rsidP="00652595">
                  <w:pPr>
                    <w:pStyle w:val="ListParagraph"/>
                    <w:numPr>
                      <w:ilvl w:val="0"/>
                      <w:numId w:val="0"/>
                    </w:numPr>
                    <w:tabs>
                      <w:tab w:val="clear" w:pos="340"/>
                      <w:tab w:val="left" w:pos="284"/>
                    </w:tabs>
                    <w:ind w:left="284"/>
                    <w:rPr>
                      <w:b/>
                    </w:rPr>
                  </w:pPr>
                </w:p>
                <w:p w:rsidR="00652595" w:rsidRPr="00652595" w:rsidRDefault="00652595" w:rsidP="00652595">
                  <w:pPr>
                    <w:pStyle w:val="ListParagraph"/>
                    <w:numPr>
                      <w:ilvl w:val="0"/>
                      <w:numId w:val="0"/>
                    </w:numPr>
                    <w:tabs>
                      <w:tab w:val="clear" w:pos="340"/>
                      <w:tab w:val="left" w:pos="0"/>
                    </w:tabs>
                    <w:rPr>
                      <w:i/>
                    </w:rPr>
                  </w:pPr>
                  <w:r w:rsidRPr="00652595">
                    <w:rPr>
                      <w:i/>
                    </w:rPr>
                    <w:t xml:space="preserve">The ACCC welcomes comment on the proposed change and on the analysis of options, the information and the assumptions included in the paper. </w:t>
                  </w:r>
                </w:p>
                <w:p w:rsidR="00652595" w:rsidRDefault="00652595" w:rsidP="008805BE">
                  <w:pPr>
                    <w:pStyle w:val="ListParagraph"/>
                    <w:numPr>
                      <w:ilvl w:val="0"/>
                      <w:numId w:val="0"/>
                    </w:numPr>
                    <w:tabs>
                      <w:tab w:val="clear" w:pos="340"/>
                      <w:tab w:val="left" w:pos="284"/>
                    </w:tabs>
                    <w:ind w:left="284"/>
                  </w:pPr>
                </w:p>
              </w:txbxContent>
            </v:textbox>
          </v:shape>
        </w:pict>
      </w:r>
    </w:p>
    <w:p w:rsidR="00D55CD3" w:rsidRDefault="00D55CD3" w:rsidP="00E87ACC"/>
    <w:p w:rsidR="00D55CD3" w:rsidRDefault="00D55CD3" w:rsidP="00E87ACC"/>
    <w:p w:rsidR="00D55CD3" w:rsidRDefault="00D55CD3" w:rsidP="00E87ACC"/>
    <w:p w:rsidR="00D55CD3" w:rsidRDefault="00D55CD3" w:rsidP="00E87ACC"/>
    <w:p w:rsidR="00D55CD3" w:rsidRDefault="00D55CD3" w:rsidP="00E87ACC"/>
    <w:p w:rsidR="00D55CD3" w:rsidRDefault="00D55CD3" w:rsidP="00E87ACC"/>
    <w:p w:rsidR="00D55CD3" w:rsidRDefault="00D55CD3" w:rsidP="00E87ACC"/>
    <w:p w:rsidR="00D55CD3" w:rsidRDefault="00D55CD3" w:rsidP="00E87ACC"/>
    <w:p w:rsidR="001209B8" w:rsidRDefault="001209B8" w:rsidP="001209B8">
      <w:pPr>
        <w:pStyle w:val="Numbered1"/>
      </w:pPr>
      <w:bookmarkStart w:id="8" w:name="_Toc460928460"/>
    </w:p>
    <w:p w:rsidR="001209B8" w:rsidRDefault="001209B8" w:rsidP="001209B8">
      <w:pPr>
        <w:pStyle w:val="Numbered1"/>
      </w:pPr>
    </w:p>
    <w:p w:rsidR="00D449EF" w:rsidRPr="005A60B4" w:rsidRDefault="00D449EF" w:rsidP="001209B8">
      <w:pPr>
        <w:pStyle w:val="Numbered1"/>
        <w:numPr>
          <w:ilvl w:val="0"/>
          <w:numId w:val="28"/>
        </w:numPr>
        <w:ind w:left="680" w:hanging="680"/>
      </w:pPr>
      <w:r w:rsidRPr="005A60B4">
        <w:t xml:space="preserve">Have </w:t>
      </w:r>
      <w:r w:rsidRPr="00382011">
        <w:t>your</w:t>
      </w:r>
      <w:r w:rsidRPr="005A60B4">
        <w:t xml:space="preserve"> say</w:t>
      </w:r>
      <w:bookmarkEnd w:id="8"/>
    </w:p>
    <w:p w:rsidR="00D449EF" w:rsidRDefault="00D449EF" w:rsidP="00D449EF">
      <w:r w:rsidRPr="002B2F74">
        <w:t>The ACCC invites</w:t>
      </w:r>
      <w:r>
        <w:t xml:space="preserve"> stakeholders and</w:t>
      </w:r>
      <w:r w:rsidRPr="002B2F74">
        <w:t xml:space="preserve"> interested parties to</w:t>
      </w:r>
      <w:r>
        <w:t xml:space="preserve"> comment on these policy options.</w:t>
      </w:r>
    </w:p>
    <w:p w:rsidR="00D449EF" w:rsidRDefault="00D449EF" w:rsidP="00D449EF">
      <w:r>
        <w:t>Consultation is open fro</w:t>
      </w:r>
      <w:r w:rsidRPr="007F68F7">
        <w:t xml:space="preserve">m </w:t>
      </w:r>
      <w:r w:rsidR="00B75E9E" w:rsidRPr="00B75E9E">
        <w:t>28 September</w:t>
      </w:r>
      <w:r w:rsidRPr="007F68F7">
        <w:t xml:space="preserve"> to </w:t>
      </w:r>
      <w:r w:rsidR="005818C6">
        <w:t>4</w:t>
      </w:r>
      <w:r w:rsidR="00B75E9E">
        <w:t xml:space="preserve"> November</w:t>
      </w:r>
      <w:r w:rsidRPr="007F68F7">
        <w:t xml:space="preserve"> 2016.</w:t>
      </w:r>
      <w:r>
        <w:t xml:space="preserve"> </w:t>
      </w:r>
    </w:p>
    <w:p w:rsidR="00D449EF" w:rsidRDefault="00D449EF" w:rsidP="00D449EF">
      <w:r>
        <w:t xml:space="preserve">The ACCC prefers submissions via the </w:t>
      </w:r>
      <w:r w:rsidRPr="0039574F">
        <w:t>ACCC consultation hub</w:t>
      </w:r>
      <w:r>
        <w:t xml:space="preserve"> at </w:t>
      </w:r>
      <w:hyperlink r:id="rId15" w:history="1">
        <w:r w:rsidRPr="00020736">
          <w:rPr>
            <w:rStyle w:val="Hyperlink"/>
          </w:rPr>
          <w:t>consultation.accc.gov.au</w:t>
        </w:r>
      </w:hyperlink>
      <w:r>
        <w:t xml:space="preserve">. </w:t>
      </w:r>
    </w:p>
    <w:p w:rsidR="00D449EF" w:rsidRDefault="00D449EF" w:rsidP="00D449EF">
      <w:r>
        <w:t xml:space="preserve">The ACCC will </w:t>
      </w:r>
      <w:r w:rsidRPr="007A03C1">
        <w:t xml:space="preserve">alert stakeholders and interested parties to the consultation through the Product Safety Australia website </w:t>
      </w:r>
      <w:hyperlink r:id="rId16" w:history="1">
        <w:r w:rsidRPr="007A03C1">
          <w:rPr>
            <w:rStyle w:val="Hyperlink"/>
          </w:rPr>
          <w:t>www.productsafety.gov.au</w:t>
        </w:r>
      </w:hyperlink>
      <w:r w:rsidRPr="007A03C1">
        <w:t xml:space="preserve"> and </w:t>
      </w:r>
      <w:hyperlink r:id="rId17" w:history="1">
        <w:r w:rsidR="00B50DA5" w:rsidRPr="00B50DA5">
          <w:rPr>
            <w:rStyle w:val="Hyperlink"/>
          </w:rPr>
          <w:t>business.gov.au</w:t>
        </w:r>
      </w:hyperlink>
      <w:r w:rsidRPr="007A03C1">
        <w:t>.</w:t>
      </w:r>
      <w:r>
        <w:t xml:space="preserve"> </w:t>
      </w:r>
    </w:p>
    <w:p w:rsidR="00D449EF" w:rsidRDefault="00D449EF" w:rsidP="00D449EF">
      <w:r>
        <w:t xml:space="preserve">Alternatively, email submissions to </w:t>
      </w:r>
      <w:hyperlink r:id="rId18" w:history="1">
        <w:r w:rsidRPr="007556AB">
          <w:rPr>
            <w:rStyle w:val="Hyperlink"/>
          </w:rPr>
          <w:t>productsafety.regulation@accc.gov.au</w:t>
        </w:r>
      </w:hyperlink>
      <w:r>
        <w:t xml:space="preserve"> or via post:</w:t>
      </w:r>
    </w:p>
    <w:p w:rsidR="00D449EF" w:rsidRDefault="00D449EF" w:rsidP="00D449EF">
      <w:pPr>
        <w:ind w:left="340"/>
      </w:pPr>
      <w:r>
        <w:t>Director</w:t>
      </w:r>
      <w:r>
        <w:br/>
      </w:r>
      <w:r w:rsidRPr="00A07FB8">
        <w:t>Standards</w:t>
      </w:r>
      <w:r>
        <w:t xml:space="preserve"> and Policy</w:t>
      </w:r>
      <w:r>
        <w:br/>
        <w:t>Consumer Product Safety Branch</w:t>
      </w:r>
      <w:r>
        <w:br/>
        <w:t>Australian Competition and Consumer Commission</w:t>
      </w:r>
      <w:r>
        <w:br/>
        <w:t>GPO Box 3131</w:t>
      </w:r>
      <w:r>
        <w:br/>
        <w:t>CANBERRA ACT 2601</w:t>
      </w:r>
    </w:p>
    <w:p w:rsidR="00D449EF" w:rsidRDefault="00D449EF" w:rsidP="00D449EF">
      <w:r>
        <w:t xml:space="preserve">Submissions will be published on the ACCC website at the end of the consultation period. </w:t>
      </w:r>
    </w:p>
    <w:p w:rsidR="00D449EF" w:rsidRDefault="00D449EF" w:rsidP="00D449EF">
      <w:r>
        <w:rPr>
          <w:rFonts w:cs="Arial"/>
          <w:szCs w:val="24"/>
        </w:rPr>
        <w:t>Please note any</w:t>
      </w:r>
      <w:r w:rsidRPr="00530AFB">
        <w:rPr>
          <w:rFonts w:cs="Arial"/>
          <w:szCs w:val="24"/>
        </w:rPr>
        <w:t xml:space="preserve"> information that you believe to be of a confidential nature should be clearly marked or identified as confidential</w:t>
      </w:r>
      <w:r>
        <w:rPr>
          <w:rFonts w:cs="Arial"/>
          <w:szCs w:val="24"/>
        </w:rPr>
        <w:t>. T</w:t>
      </w:r>
      <w:r w:rsidRPr="00530AFB">
        <w:rPr>
          <w:rFonts w:cs="Arial"/>
          <w:szCs w:val="24"/>
        </w:rPr>
        <w:t>he ACCC will not disclose the confidential information to third parties, other than advisors or consultants engaged directly by the ACCC, without first providing you with notice of its intention to do so, such as where it is compelled to do so by law.</w:t>
      </w:r>
    </w:p>
    <w:p w:rsidR="00D449EF" w:rsidRPr="00382011" w:rsidRDefault="00D449EF" w:rsidP="00D449EF">
      <w:pPr>
        <w:rPr>
          <w:rFonts w:eastAsia="Calibri"/>
          <w:b/>
        </w:rPr>
      </w:pPr>
      <w:r>
        <w:rPr>
          <w:rFonts w:eastAsia="Calibri"/>
          <w:b/>
        </w:rPr>
        <w:br w:type="page"/>
      </w:r>
      <w:r w:rsidRPr="00382011">
        <w:rPr>
          <w:rFonts w:eastAsia="Calibri"/>
          <w:b/>
        </w:rPr>
        <w:lastRenderedPageBreak/>
        <w:t>Glossary</w:t>
      </w:r>
    </w:p>
    <w:p w:rsidR="00D449EF" w:rsidRPr="00382011" w:rsidRDefault="00D449EF" w:rsidP="00D449EF">
      <w:pPr>
        <w:rPr>
          <w:rFonts w:eastAsia="Calibri"/>
          <w:b/>
        </w:rPr>
      </w:pPr>
    </w:p>
    <w:tbl>
      <w:tblPr>
        <w:tblW w:w="0" w:type="auto"/>
        <w:tblBorders>
          <w:top w:val="single" w:sz="4" w:space="0" w:color="D5D6D2"/>
          <w:left w:val="single" w:sz="4" w:space="0" w:color="D5D6D2"/>
          <w:bottom w:val="single" w:sz="4" w:space="0" w:color="D5D6D2"/>
          <w:right w:val="single" w:sz="4" w:space="0" w:color="D5D6D2"/>
          <w:insideH w:val="single" w:sz="4" w:space="0" w:color="D5D6D2"/>
          <w:insideV w:val="single" w:sz="4" w:space="0" w:color="D5D6D2"/>
        </w:tblBorders>
        <w:tblLook w:val="04A0" w:firstRow="1" w:lastRow="0" w:firstColumn="1" w:lastColumn="0" w:noHBand="0" w:noVBand="1"/>
      </w:tblPr>
      <w:tblGrid>
        <w:gridCol w:w="2376"/>
        <w:gridCol w:w="6866"/>
      </w:tblGrid>
      <w:tr w:rsidR="00D449EF" w:rsidTr="00263D91">
        <w:tc>
          <w:tcPr>
            <w:tcW w:w="2376" w:type="dxa"/>
            <w:tcBorders>
              <w:top w:val="single" w:sz="4" w:space="0" w:color="D5D6D2"/>
              <w:left w:val="single" w:sz="4" w:space="0" w:color="D5D6D2"/>
              <w:bottom w:val="single" w:sz="4" w:space="0" w:color="D5D6D2"/>
              <w:right w:val="single" w:sz="4" w:space="0" w:color="D5D6D2"/>
            </w:tcBorders>
            <w:shd w:val="clear" w:color="auto" w:fill="auto"/>
            <w:vAlign w:val="center"/>
          </w:tcPr>
          <w:p w:rsidR="00D449EF" w:rsidRPr="0093253C" w:rsidRDefault="00D449EF" w:rsidP="00263D91">
            <w:pPr>
              <w:spacing w:after="120"/>
              <w:rPr>
                <w:b/>
                <w:bCs/>
              </w:rPr>
            </w:pPr>
            <w:r w:rsidRPr="0093253C">
              <w:rPr>
                <w:b/>
                <w:bCs/>
              </w:rPr>
              <w:t>Term</w:t>
            </w:r>
          </w:p>
        </w:tc>
        <w:tc>
          <w:tcPr>
            <w:tcW w:w="6866" w:type="dxa"/>
            <w:tcBorders>
              <w:top w:val="single" w:sz="4" w:space="0" w:color="D5D6D2"/>
              <w:left w:val="single" w:sz="4" w:space="0" w:color="D5D6D2"/>
              <w:bottom w:val="single" w:sz="4" w:space="0" w:color="D5D6D2"/>
              <w:right w:val="single" w:sz="4" w:space="0" w:color="D5D6D2"/>
            </w:tcBorders>
            <w:shd w:val="clear" w:color="auto" w:fill="auto"/>
            <w:vAlign w:val="center"/>
          </w:tcPr>
          <w:p w:rsidR="00D449EF" w:rsidRPr="0093253C" w:rsidRDefault="00D449EF" w:rsidP="00263D91">
            <w:pPr>
              <w:spacing w:after="120"/>
              <w:rPr>
                <w:b/>
                <w:bCs/>
              </w:rPr>
            </w:pPr>
            <w:r w:rsidRPr="0093253C">
              <w:rPr>
                <w:b/>
                <w:bCs/>
              </w:rPr>
              <w:t>Definition</w:t>
            </w:r>
          </w:p>
        </w:tc>
      </w:tr>
      <w:tr w:rsidR="00D449EF" w:rsidTr="00263D91">
        <w:tc>
          <w:tcPr>
            <w:tcW w:w="2376" w:type="dxa"/>
            <w:shd w:val="clear" w:color="auto" w:fill="auto"/>
            <w:vAlign w:val="center"/>
          </w:tcPr>
          <w:p w:rsidR="00D449EF" w:rsidRPr="0093253C" w:rsidRDefault="0057788C" w:rsidP="00263D91">
            <w:pPr>
              <w:spacing w:after="120"/>
              <w:rPr>
                <w:b/>
                <w:bCs/>
              </w:rPr>
            </w:pPr>
            <w:r w:rsidRPr="0093253C">
              <w:rPr>
                <w:b/>
                <w:bCs/>
              </w:rPr>
              <w:t>British standard</w:t>
            </w:r>
          </w:p>
        </w:tc>
        <w:tc>
          <w:tcPr>
            <w:tcW w:w="6866" w:type="dxa"/>
            <w:shd w:val="clear" w:color="auto" w:fill="auto"/>
            <w:vAlign w:val="center"/>
          </w:tcPr>
          <w:p w:rsidR="00D449EF" w:rsidRPr="0093253C" w:rsidRDefault="0093253C" w:rsidP="00D15C30">
            <w:r w:rsidRPr="0093253C">
              <w:t>BS EN 14878:2007 Textiles - Burning behaviour of children’s nightwear – Specification</w:t>
            </w:r>
          </w:p>
          <w:p w:rsidR="0093253C" w:rsidRDefault="0093253C" w:rsidP="00D15C30">
            <w:r>
              <w:t>and</w:t>
            </w:r>
          </w:p>
          <w:p w:rsidR="0093253C" w:rsidRDefault="0093253C" w:rsidP="00D15C30">
            <w:r w:rsidRPr="0093253C">
              <w:t>Nightwear (Safety) Regulations 1985 (UK)</w:t>
            </w:r>
          </w:p>
          <w:p w:rsidR="00D15C30" w:rsidRPr="0093253C" w:rsidRDefault="00D15C30" w:rsidP="00D15C30"/>
        </w:tc>
      </w:tr>
      <w:tr w:rsidR="00D449EF" w:rsidTr="00263D91">
        <w:tc>
          <w:tcPr>
            <w:tcW w:w="2376" w:type="dxa"/>
            <w:shd w:val="clear" w:color="auto" w:fill="auto"/>
            <w:vAlign w:val="center"/>
          </w:tcPr>
          <w:p w:rsidR="00D449EF" w:rsidRPr="0093253C" w:rsidRDefault="0057788C" w:rsidP="00263D91">
            <w:pPr>
              <w:spacing w:after="120"/>
              <w:rPr>
                <w:b/>
                <w:bCs/>
              </w:rPr>
            </w:pPr>
            <w:r w:rsidRPr="0093253C">
              <w:rPr>
                <w:b/>
                <w:bCs/>
              </w:rPr>
              <w:t>European standard</w:t>
            </w:r>
          </w:p>
        </w:tc>
        <w:tc>
          <w:tcPr>
            <w:tcW w:w="6866" w:type="dxa"/>
            <w:shd w:val="clear" w:color="auto" w:fill="auto"/>
            <w:vAlign w:val="center"/>
          </w:tcPr>
          <w:p w:rsidR="00D449EF" w:rsidRDefault="002A2AF9" w:rsidP="00D15C30">
            <w:r w:rsidRPr="002A2AF9">
              <w:t xml:space="preserve">EN 14878:2007 Textiles - Burning behaviour of children’s nightwear </w:t>
            </w:r>
            <w:r w:rsidR="00D15C30">
              <w:t>–</w:t>
            </w:r>
            <w:r w:rsidRPr="002A2AF9">
              <w:t xml:space="preserve"> Specification</w:t>
            </w:r>
          </w:p>
          <w:p w:rsidR="00D15C30" w:rsidRPr="002A2AF9" w:rsidRDefault="00D15C30" w:rsidP="00D15C30">
            <w:pPr>
              <w:rPr>
                <w:sz w:val="20"/>
                <w:szCs w:val="20"/>
              </w:rPr>
            </w:pPr>
          </w:p>
        </w:tc>
      </w:tr>
      <w:tr w:rsidR="00D449EF" w:rsidTr="00263D91">
        <w:tc>
          <w:tcPr>
            <w:tcW w:w="2376" w:type="dxa"/>
            <w:shd w:val="clear" w:color="auto" w:fill="auto"/>
            <w:vAlign w:val="center"/>
          </w:tcPr>
          <w:p w:rsidR="00D449EF" w:rsidRPr="0093253C" w:rsidRDefault="005A45A2" w:rsidP="00263D91">
            <w:pPr>
              <w:spacing w:after="120"/>
              <w:rPr>
                <w:b/>
                <w:bCs/>
              </w:rPr>
            </w:pPr>
            <w:r w:rsidRPr="0093253C">
              <w:rPr>
                <w:b/>
                <w:bCs/>
              </w:rPr>
              <w:t>Safety standard</w:t>
            </w:r>
          </w:p>
        </w:tc>
        <w:tc>
          <w:tcPr>
            <w:tcW w:w="6866" w:type="dxa"/>
            <w:shd w:val="clear" w:color="auto" w:fill="auto"/>
            <w:vAlign w:val="center"/>
          </w:tcPr>
          <w:p w:rsidR="0093253C" w:rsidRPr="00D15C30" w:rsidRDefault="00D15C30" w:rsidP="00D15C30">
            <w:bookmarkStart w:id="9" w:name="Citation"/>
            <w:r w:rsidRPr="00D7281C">
              <w:t>Trade Practices (Consumer Product Safety Standards) (Children’s Nightwear and Paper Patterns for Children’s Nightwear) Regulations 2007</w:t>
            </w:r>
            <w:bookmarkEnd w:id="9"/>
          </w:p>
          <w:p w:rsidR="00D449EF" w:rsidRPr="00382011" w:rsidRDefault="0043663D" w:rsidP="00263D91">
            <w:pPr>
              <w:spacing w:after="120"/>
              <w:rPr>
                <w:sz w:val="20"/>
                <w:szCs w:val="20"/>
              </w:rPr>
            </w:pPr>
            <w:hyperlink r:id="rId19" w:history="1">
              <w:r w:rsidR="00D15C30" w:rsidRPr="00D15C30">
                <w:rPr>
                  <w:rStyle w:val="Hyperlink"/>
                </w:rPr>
                <w:t>www.legislation.gov.au/Details/F2007L00215/Html/Text</w:t>
              </w:r>
            </w:hyperlink>
          </w:p>
        </w:tc>
      </w:tr>
      <w:tr w:rsidR="00D449EF" w:rsidTr="00263D91">
        <w:tc>
          <w:tcPr>
            <w:tcW w:w="2376" w:type="dxa"/>
            <w:shd w:val="clear" w:color="auto" w:fill="auto"/>
            <w:vAlign w:val="center"/>
          </w:tcPr>
          <w:p w:rsidR="00D449EF" w:rsidRPr="0093253C" w:rsidRDefault="005A45A2" w:rsidP="00263D91">
            <w:pPr>
              <w:spacing w:after="120"/>
              <w:rPr>
                <w:b/>
                <w:bCs/>
              </w:rPr>
            </w:pPr>
            <w:r w:rsidRPr="0093253C">
              <w:rPr>
                <w:b/>
                <w:bCs/>
              </w:rPr>
              <w:t>Updated voluntary Australian standard</w:t>
            </w:r>
          </w:p>
        </w:tc>
        <w:tc>
          <w:tcPr>
            <w:tcW w:w="6866" w:type="dxa"/>
            <w:shd w:val="clear" w:color="auto" w:fill="auto"/>
            <w:vAlign w:val="center"/>
          </w:tcPr>
          <w:p w:rsidR="00D449EF" w:rsidRPr="002A2AF9" w:rsidRDefault="002A2AF9" w:rsidP="00D15C30">
            <w:pPr>
              <w:rPr>
                <w:sz w:val="20"/>
                <w:szCs w:val="20"/>
              </w:rPr>
            </w:pPr>
            <w:r w:rsidRPr="00D15C30">
              <w:t>AS/NZS 1249:2014 Children’s nightwear and limited daywear having reduced fire hazard</w:t>
            </w:r>
          </w:p>
        </w:tc>
      </w:tr>
      <w:tr w:rsidR="00D449EF" w:rsidTr="00263D91">
        <w:tc>
          <w:tcPr>
            <w:tcW w:w="2376" w:type="dxa"/>
            <w:shd w:val="clear" w:color="auto" w:fill="auto"/>
            <w:vAlign w:val="center"/>
          </w:tcPr>
          <w:p w:rsidR="00D449EF" w:rsidRPr="0093253C" w:rsidRDefault="005A45A2" w:rsidP="00263D91">
            <w:pPr>
              <w:spacing w:after="120"/>
              <w:rPr>
                <w:b/>
                <w:bCs/>
              </w:rPr>
            </w:pPr>
            <w:r w:rsidRPr="0093253C">
              <w:rPr>
                <w:b/>
                <w:bCs/>
              </w:rPr>
              <w:t>US standard</w:t>
            </w:r>
            <w:r w:rsidR="00060C64">
              <w:rPr>
                <w:b/>
                <w:bCs/>
              </w:rPr>
              <w:t>s</w:t>
            </w:r>
          </w:p>
        </w:tc>
        <w:tc>
          <w:tcPr>
            <w:tcW w:w="6866" w:type="dxa"/>
            <w:shd w:val="clear" w:color="auto" w:fill="auto"/>
            <w:vAlign w:val="center"/>
          </w:tcPr>
          <w:p w:rsidR="0093253C" w:rsidRPr="00D15C30" w:rsidRDefault="002A2AF9" w:rsidP="00D15C30">
            <w:r w:rsidRPr="00D15C30">
              <w:t xml:space="preserve">Code of Federal Regulations </w:t>
            </w:r>
          </w:p>
          <w:p w:rsidR="00D449EF" w:rsidRPr="00D15C30" w:rsidRDefault="002A2AF9" w:rsidP="00D15C30">
            <w:pPr>
              <w:ind w:left="340"/>
            </w:pPr>
            <w:r w:rsidRPr="00D15C30">
              <w:t>Part 1615</w:t>
            </w:r>
            <w:r w:rsidR="0093253C" w:rsidRPr="00D15C30">
              <w:t xml:space="preserve"> - </w:t>
            </w:r>
            <w:r w:rsidRPr="00D15C30">
              <w:t>Standard for the flammability of children’s sleepwear: Sizes 0 through 6X</w:t>
            </w:r>
          </w:p>
          <w:p w:rsidR="0093253C" w:rsidRDefault="0093253C" w:rsidP="00D15C30">
            <w:pPr>
              <w:ind w:left="340"/>
            </w:pPr>
            <w:r w:rsidRPr="00D15C30">
              <w:t>Part 1616 - Standard for the flammability of children’s sleepwear: Sizes 7 through 14</w:t>
            </w:r>
          </w:p>
          <w:p w:rsidR="00701A93" w:rsidRPr="002A2AF9" w:rsidRDefault="00701A93" w:rsidP="00D15C30">
            <w:pPr>
              <w:ind w:left="340"/>
              <w:rPr>
                <w:rFonts w:eastAsia="Times New Roman" w:cs="Arial"/>
              </w:rPr>
            </w:pPr>
          </w:p>
        </w:tc>
      </w:tr>
    </w:tbl>
    <w:p w:rsidR="00D449EF" w:rsidRDefault="00D449EF" w:rsidP="00D449EF"/>
    <w:p w:rsidR="00D449EF" w:rsidRPr="0099438B" w:rsidRDefault="00D449EF" w:rsidP="00D449EF"/>
    <w:p w:rsidR="00D449EF" w:rsidRDefault="00D449EF" w:rsidP="00D449EF">
      <w:pPr>
        <w:pStyle w:val="ListNumber"/>
        <w:numPr>
          <w:ilvl w:val="0"/>
          <w:numId w:val="0"/>
        </w:numPr>
        <w:ind w:left="340" w:hanging="340"/>
      </w:pPr>
    </w:p>
    <w:p w:rsidR="00D449EF" w:rsidRDefault="00D449EF" w:rsidP="00D449EF">
      <w:pPr>
        <w:pStyle w:val="ListNumber"/>
        <w:numPr>
          <w:ilvl w:val="0"/>
          <w:numId w:val="0"/>
        </w:numPr>
        <w:ind w:left="340" w:hanging="340"/>
      </w:pPr>
    </w:p>
    <w:p w:rsidR="00D449EF" w:rsidRDefault="00D449EF" w:rsidP="00D449EF">
      <w:pPr>
        <w:pStyle w:val="ListNumber"/>
        <w:numPr>
          <w:ilvl w:val="0"/>
          <w:numId w:val="0"/>
        </w:numPr>
        <w:ind w:left="340" w:hanging="340"/>
      </w:pPr>
    </w:p>
    <w:p w:rsidR="00D449EF" w:rsidRDefault="00D449EF" w:rsidP="00D449EF">
      <w:pPr>
        <w:pStyle w:val="ListNumber"/>
        <w:numPr>
          <w:ilvl w:val="0"/>
          <w:numId w:val="0"/>
        </w:numPr>
        <w:ind w:left="340" w:hanging="340"/>
      </w:pPr>
    </w:p>
    <w:p w:rsidR="00D449EF" w:rsidRDefault="00D449EF" w:rsidP="00D449EF">
      <w:pPr>
        <w:pStyle w:val="ListNumber"/>
        <w:numPr>
          <w:ilvl w:val="0"/>
          <w:numId w:val="0"/>
        </w:numPr>
        <w:ind w:left="340" w:hanging="340"/>
      </w:pPr>
    </w:p>
    <w:p w:rsidR="00D449EF" w:rsidRDefault="00D449EF" w:rsidP="00D449EF">
      <w:pPr>
        <w:pStyle w:val="ListNumber"/>
        <w:numPr>
          <w:ilvl w:val="0"/>
          <w:numId w:val="0"/>
        </w:numPr>
        <w:ind w:left="340" w:hanging="340"/>
      </w:pPr>
    </w:p>
    <w:p w:rsidR="00D449EF" w:rsidRDefault="00D449EF" w:rsidP="00D449EF">
      <w:pPr>
        <w:pStyle w:val="ListNumber"/>
        <w:numPr>
          <w:ilvl w:val="0"/>
          <w:numId w:val="0"/>
        </w:numPr>
        <w:ind w:left="340" w:hanging="340"/>
      </w:pPr>
    </w:p>
    <w:p w:rsidR="00D449EF" w:rsidRDefault="00D449EF" w:rsidP="00D449EF">
      <w:pPr>
        <w:pStyle w:val="ListNumber"/>
        <w:numPr>
          <w:ilvl w:val="0"/>
          <w:numId w:val="0"/>
        </w:numPr>
        <w:ind w:left="340" w:hanging="340"/>
      </w:pPr>
    </w:p>
    <w:p w:rsidR="00AB6528" w:rsidRDefault="00AB6528" w:rsidP="00DC65CF">
      <w:pPr>
        <w:pStyle w:val="ListNumber"/>
        <w:numPr>
          <w:ilvl w:val="0"/>
          <w:numId w:val="0"/>
        </w:numPr>
        <w:ind w:left="340" w:hanging="340"/>
      </w:pPr>
    </w:p>
    <w:sectPr w:rsidR="00AB6528" w:rsidSect="00782C4B">
      <w:footerReference w:type="default" r:id="rId20"/>
      <w:footerReference w:type="first" r:id="rId21"/>
      <w:pgSz w:w="11906" w:h="16838"/>
      <w:pgMar w:top="1276"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0A4" w:rsidRDefault="00D520A4" w:rsidP="004B4412">
      <w:pPr>
        <w:spacing w:before="0"/>
      </w:pPr>
      <w:r>
        <w:separator/>
      </w:r>
    </w:p>
  </w:endnote>
  <w:endnote w:type="continuationSeparator" w:id="0">
    <w:p w:rsidR="00D520A4" w:rsidRDefault="00D520A4"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0A4" w:rsidRDefault="00D520A4">
    <w:pPr>
      <w:pStyle w:val="Footer"/>
      <w:jc w:val="right"/>
    </w:pPr>
    <w:r>
      <w:fldChar w:fldCharType="begin"/>
    </w:r>
    <w:r>
      <w:instrText xml:space="preserve"> PAGE   \* MERGEFORMAT </w:instrText>
    </w:r>
    <w:r>
      <w:fldChar w:fldCharType="separate"/>
    </w:r>
    <w:r w:rsidR="0043663D">
      <w:rPr>
        <w:noProof/>
      </w:rPr>
      <w:t>5</w:t>
    </w:r>
    <w:r>
      <w:rPr>
        <w:noProof/>
      </w:rPr>
      <w:fldChar w:fldCharType="end"/>
    </w:r>
  </w:p>
  <w:p w:rsidR="00D520A4" w:rsidRPr="00846048" w:rsidRDefault="00D520A4" w:rsidP="000B4A84">
    <w:pPr>
      <w:pStyle w:val="Footer"/>
      <w:rPr>
        <w:sz w:val="19"/>
        <w:szCs w:val="19"/>
      </w:rPr>
    </w:pPr>
    <w:r w:rsidRPr="00846048">
      <w:rPr>
        <w:sz w:val="19"/>
        <w:szCs w:val="19"/>
      </w:rPr>
      <w:t xml:space="preserve">Review of the safety standard for </w:t>
    </w:r>
    <w:r>
      <w:rPr>
        <w:sz w:val="19"/>
        <w:szCs w:val="19"/>
      </w:rPr>
      <w:t>c</w:t>
    </w:r>
    <w:r w:rsidRPr="00846048">
      <w:rPr>
        <w:sz w:val="19"/>
        <w:szCs w:val="19"/>
      </w:rPr>
      <w:t xml:space="preserve">hildren’s nightwear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0A4" w:rsidRDefault="00D520A4">
    <w:pPr>
      <w:pStyle w:val="Footer"/>
      <w:jc w:val="right"/>
    </w:pPr>
    <w:r>
      <w:fldChar w:fldCharType="begin"/>
    </w:r>
    <w:r>
      <w:instrText xml:space="preserve"> PAGE   \* MERGEFORMAT </w:instrText>
    </w:r>
    <w:r>
      <w:fldChar w:fldCharType="separate"/>
    </w:r>
    <w:r>
      <w:rPr>
        <w:noProof/>
      </w:rPr>
      <w:t>2</w:t>
    </w:r>
    <w:r>
      <w:rPr>
        <w:noProof/>
      </w:rPr>
      <w:fldChar w:fldCharType="end"/>
    </w:r>
  </w:p>
  <w:p w:rsidR="00D520A4" w:rsidRDefault="00D520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0A4" w:rsidRDefault="00D520A4" w:rsidP="004B4412">
      <w:pPr>
        <w:spacing w:before="0"/>
      </w:pPr>
      <w:r>
        <w:separator/>
      </w:r>
    </w:p>
  </w:footnote>
  <w:footnote w:type="continuationSeparator" w:id="0">
    <w:p w:rsidR="00D520A4" w:rsidRDefault="00D520A4" w:rsidP="004B4412">
      <w:pPr>
        <w:spacing w:before="0"/>
      </w:pPr>
      <w:r>
        <w:continuationSeparator/>
      </w:r>
    </w:p>
  </w:footnote>
  <w:footnote w:id="1">
    <w:p w:rsidR="00D520A4" w:rsidRPr="00546F76" w:rsidRDefault="00D520A4">
      <w:pPr>
        <w:pStyle w:val="FootnoteText"/>
      </w:pPr>
      <w:r>
        <w:rPr>
          <w:rStyle w:val="FootnoteReference"/>
        </w:rPr>
        <w:footnoteRef/>
      </w:r>
      <w:r>
        <w:t xml:space="preserve"> Harvey LA, </w:t>
      </w:r>
      <w:proofErr w:type="spellStart"/>
      <w:r>
        <w:t>Connolley</w:t>
      </w:r>
      <w:proofErr w:type="spellEnd"/>
      <w:r>
        <w:t xml:space="preserve"> S, Harvey JG </w:t>
      </w:r>
      <w:r>
        <w:rPr>
          <w:i/>
        </w:rPr>
        <w:t xml:space="preserve">Clothing related burns in New South Wales, Australia: Impact of legislation on a continuing problem. </w:t>
      </w:r>
      <w:r>
        <w:t>Burns, 2015 Feb 41(1); 58-64.</w:t>
      </w:r>
    </w:p>
  </w:footnote>
  <w:footnote w:id="2">
    <w:p w:rsidR="00D520A4" w:rsidRPr="00CD384C" w:rsidRDefault="00D520A4">
      <w:pPr>
        <w:pStyle w:val="FootnoteText"/>
      </w:pPr>
      <w:r>
        <w:rPr>
          <w:rStyle w:val="FootnoteReference"/>
        </w:rPr>
        <w:footnoteRef/>
      </w:r>
      <w:r>
        <w:t xml:space="preserve"> Laing JL, Bryant V. </w:t>
      </w:r>
      <w:r>
        <w:rPr>
          <w:i/>
        </w:rPr>
        <w:t>Prevention of burn injuries to children involving nightwear.</w:t>
      </w:r>
      <w:r>
        <w:t xml:space="preserve"> NZ Med J. 1991 Aug 28; 104(918): 363-5.</w:t>
      </w:r>
    </w:p>
  </w:footnote>
  <w:footnote w:id="3">
    <w:p w:rsidR="00D520A4" w:rsidRDefault="00D520A4" w:rsidP="00D35742">
      <w:pPr>
        <w:pStyle w:val="FootnoteText"/>
        <w:tabs>
          <w:tab w:val="clear" w:pos="340"/>
          <w:tab w:val="left" w:pos="0"/>
        </w:tabs>
        <w:ind w:left="0" w:firstLine="0"/>
      </w:pPr>
      <w:r>
        <w:rPr>
          <w:rStyle w:val="FootnoteReference"/>
        </w:rPr>
        <w:footnoteRef/>
      </w:r>
      <w:r>
        <w:t xml:space="preserve"> The ‘low fire danger’ label was altered because the research undertaken in the review indicated many consumers did not understand it: 39% of those surveyed thought the label indicated the garment was treated to resist fire; 29% thought the garment was fire resistant; 26% thought the garment would burn slowly; and 17% thought a wearer could sit close to a fire with little risk. The revised wording was tested for comprehension and was well understood.</w:t>
      </w:r>
    </w:p>
  </w:footnote>
  <w:footnote w:id="4">
    <w:p w:rsidR="00D520A4" w:rsidRDefault="00D520A4" w:rsidP="00D449EF">
      <w:pPr>
        <w:pStyle w:val="FootnoteText"/>
      </w:pPr>
      <w:r>
        <w:rPr>
          <w:rStyle w:val="FootnoteReference"/>
        </w:rPr>
        <w:footnoteRef/>
      </w:r>
      <w:r>
        <w:t xml:space="preserve"> ACCC, </w:t>
      </w:r>
      <w:r w:rsidRPr="000268CC">
        <w:rPr>
          <w:szCs w:val="16"/>
        </w:rPr>
        <w:t xml:space="preserve">International standards for the safety of consumer products - criteria for acceptance, ACCC policy principles, 22 July 2015, </w:t>
      </w:r>
      <w:hyperlink r:id="rId1" w:history="1">
        <w:r w:rsidRPr="00625A3A">
          <w:rPr>
            <w:rStyle w:val="Hyperlink"/>
            <w:sz w:val="16"/>
            <w:szCs w:val="16"/>
          </w:rPr>
          <w:t>www.productsafety.gov.au/content/index.phtml/itemId/1014180</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D68875E"/>
    <w:lvl w:ilvl="0">
      <w:start w:val="1"/>
      <w:numFmt w:val="decimal"/>
      <w:pStyle w:val="ListNumber"/>
      <w:lvlText w:val="%1."/>
      <w:lvlJc w:val="left"/>
      <w:pPr>
        <w:tabs>
          <w:tab w:val="num" w:pos="340"/>
        </w:tabs>
        <w:ind w:left="340" w:hanging="340"/>
      </w:pPr>
      <w:rPr>
        <w:rFonts w:hint="default"/>
      </w:rPr>
    </w:lvl>
  </w:abstractNum>
  <w:abstractNum w:abstractNumId="9">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0E83DB0"/>
    <w:multiLevelType w:val="hybridMultilevel"/>
    <w:tmpl w:val="DDC45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21F6BAB"/>
    <w:multiLevelType w:val="multilevel"/>
    <w:tmpl w:val="5AFE234E"/>
    <w:lvl w:ilvl="0">
      <w:start w:val="3"/>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31C50D6"/>
    <w:multiLevelType w:val="multilevel"/>
    <w:tmpl w:val="2C80B854"/>
    <w:lvl w:ilvl="0">
      <w:start w:val="5"/>
      <w:numFmt w:val="decimal"/>
      <w:lvlText w:val="%1."/>
      <w:lvlJc w:val="left"/>
      <w:pPr>
        <w:ind w:left="501" w:hanging="360"/>
      </w:pPr>
      <w:rPr>
        <w:rFonts w:hint="default"/>
      </w:rPr>
    </w:lvl>
    <w:lvl w:ilvl="1">
      <w:start w:val="1"/>
      <w:numFmt w:val="decimal"/>
      <w:isLgl/>
      <w:lvlText w:val="%1.%2"/>
      <w:lvlJc w:val="left"/>
      <w:pPr>
        <w:ind w:left="861"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581" w:hanging="144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941" w:hanging="180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2301" w:hanging="2160"/>
      </w:pPr>
      <w:rPr>
        <w:rFonts w:hint="default"/>
      </w:rPr>
    </w:lvl>
  </w:abstractNum>
  <w:abstractNum w:abstractNumId="13">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5C71AFA"/>
    <w:multiLevelType w:val="hybridMultilevel"/>
    <w:tmpl w:val="2174C84C"/>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6">
    <w:nsid w:val="16DB02C7"/>
    <w:multiLevelType w:val="hybridMultilevel"/>
    <w:tmpl w:val="987A2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8F179D2"/>
    <w:multiLevelType w:val="multilevel"/>
    <w:tmpl w:val="FF6A2BA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1C0F2D83"/>
    <w:multiLevelType w:val="hybridMultilevel"/>
    <w:tmpl w:val="093E0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EB7097B"/>
    <w:multiLevelType w:val="multilevel"/>
    <w:tmpl w:val="9AD087F4"/>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1">
    <w:nsid w:val="356519C9"/>
    <w:multiLevelType w:val="multilevel"/>
    <w:tmpl w:val="5AFE234E"/>
    <w:lvl w:ilvl="0">
      <w:start w:val="3"/>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66A3CEA"/>
    <w:multiLevelType w:val="multilevel"/>
    <w:tmpl w:val="5AFE234E"/>
    <w:lvl w:ilvl="0">
      <w:start w:val="3"/>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4">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6">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0B61A3F"/>
    <w:multiLevelType w:val="hybridMultilevel"/>
    <w:tmpl w:val="48F410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8">
    <w:nsid w:val="516A1D46"/>
    <w:multiLevelType w:val="hybridMultilevel"/>
    <w:tmpl w:val="99BC48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3D42374"/>
    <w:multiLevelType w:val="multilevel"/>
    <w:tmpl w:val="9F422F32"/>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1">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66DC52CE"/>
    <w:multiLevelType w:val="hybridMultilevel"/>
    <w:tmpl w:val="05ACFE50"/>
    <w:lvl w:ilvl="0" w:tplc="5CD829E8">
      <w:start w:val="1"/>
      <w:numFmt w:val="decimal"/>
      <w:pStyle w:val="Heading9"/>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34">
    <w:nsid w:val="69E94DF5"/>
    <w:multiLevelType w:val="hybridMultilevel"/>
    <w:tmpl w:val="072A16B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36">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37">
    <w:nsid w:val="750F1C5F"/>
    <w:multiLevelType w:val="hybridMultilevel"/>
    <w:tmpl w:val="2F5C24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5F925B5"/>
    <w:multiLevelType w:val="hybridMultilevel"/>
    <w:tmpl w:val="70C6C5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40">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41">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E78187C"/>
    <w:multiLevelType w:val="hybridMultilevel"/>
    <w:tmpl w:val="F31C2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41"/>
  </w:num>
  <w:num w:numId="3">
    <w:abstractNumId w:val="7"/>
  </w:num>
  <w:num w:numId="4">
    <w:abstractNumId w:val="6"/>
  </w:num>
  <w:num w:numId="5">
    <w:abstractNumId w:val="5"/>
  </w:num>
  <w:num w:numId="6">
    <w:abstractNumId w:val="4"/>
  </w:num>
  <w:num w:numId="7">
    <w:abstractNumId w:val="1"/>
  </w:num>
  <w:num w:numId="8">
    <w:abstractNumId w:val="0"/>
  </w:num>
  <w:num w:numId="9">
    <w:abstractNumId w:val="33"/>
  </w:num>
  <w:num w:numId="10">
    <w:abstractNumId w:val="24"/>
  </w:num>
  <w:num w:numId="11">
    <w:abstractNumId w:val="9"/>
  </w:num>
  <w:num w:numId="12">
    <w:abstractNumId w:val="23"/>
  </w:num>
  <w:num w:numId="13">
    <w:abstractNumId w:val="2"/>
  </w:num>
  <w:num w:numId="14">
    <w:abstractNumId w:val="35"/>
  </w:num>
  <w:num w:numId="15">
    <w:abstractNumId w:val="40"/>
  </w:num>
  <w:num w:numId="16">
    <w:abstractNumId w:val="39"/>
  </w:num>
  <w:num w:numId="17">
    <w:abstractNumId w:val="30"/>
  </w:num>
  <w:num w:numId="18">
    <w:abstractNumId w:val="20"/>
  </w:num>
  <w:num w:numId="19">
    <w:abstractNumId w:val="25"/>
  </w:num>
  <w:num w:numId="20">
    <w:abstractNumId w:val="36"/>
  </w:num>
  <w:num w:numId="21">
    <w:abstractNumId w:val="31"/>
  </w:num>
  <w:num w:numId="22">
    <w:abstractNumId w:val="8"/>
  </w:num>
  <w:num w:numId="23">
    <w:abstractNumId w:val="3"/>
  </w:num>
  <w:num w:numId="24">
    <w:abstractNumId w:val="26"/>
  </w:num>
  <w:num w:numId="25">
    <w:abstractNumId w:val="15"/>
  </w:num>
  <w:num w:numId="26">
    <w:abstractNumId w:val="32"/>
  </w:num>
  <w:num w:numId="27">
    <w:abstractNumId w:val="17"/>
  </w:num>
  <w:num w:numId="28">
    <w:abstractNumId w:val="12"/>
  </w:num>
  <w:num w:numId="29">
    <w:abstractNumId w:val="29"/>
  </w:num>
  <w:num w:numId="30">
    <w:abstractNumId w:val="28"/>
  </w:num>
  <w:num w:numId="31">
    <w:abstractNumId w:val="27"/>
  </w:num>
  <w:num w:numId="32">
    <w:abstractNumId w:val="18"/>
  </w:num>
  <w:num w:numId="33">
    <w:abstractNumId w:val="10"/>
  </w:num>
  <w:num w:numId="34">
    <w:abstractNumId w:val="42"/>
  </w:num>
  <w:num w:numId="35">
    <w:abstractNumId w:val="16"/>
  </w:num>
  <w:num w:numId="36">
    <w:abstractNumId w:val="22"/>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34"/>
  </w:num>
  <w:num w:numId="46">
    <w:abstractNumId w:val="11"/>
  </w:num>
  <w:num w:numId="47">
    <w:abstractNumId w:val="21"/>
  </w:num>
  <w:num w:numId="48">
    <w:abstractNumId w:val="38"/>
  </w:num>
  <w:num w:numId="49">
    <w:abstractNumId w:val="37"/>
  </w:num>
  <w:num w:numId="50">
    <w:abstractNumId w:val="19"/>
  </w:num>
  <w:num w:numId="51">
    <w:abstractNumId w:val="9"/>
  </w:num>
  <w:num w:numId="52">
    <w:abstractNumId w:val="14"/>
  </w:num>
  <w:num w:numId="53">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NotTrackMoves/>
  <w:defaultTabStop w:val="340"/>
  <w:characterSpacingControl w:val="doNotCompress"/>
  <w:hdrShapeDefaults>
    <o:shapedefaults v:ext="edit" spidmax="2037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chmars\review of safety standard for childrens nightwear - consultation paper - september 2016 (D2016-00128513).docx"/>
  </w:docVars>
  <w:rsids>
    <w:rsidRoot w:val="00935D49"/>
    <w:rsid w:val="00005966"/>
    <w:rsid w:val="00010FB1"/>
    <w:rsid w:val="000123DD"/>
    <w:rsid w:val="00014359"/>
    <w:rsid w:val="00017DA1"/>
    <w:rsid w:val="0002115F"/>
    <w:rsid w:val="00021202"/>
    <w:rsid w:val="000225C4"/>
    <w:rsid w:val="00023664"/>
    <w:rsid w:val="00023EAC"/>
    <w:rsid w:val="0003237E"/>
    <w:rsid w:val="00033A6D"/>
    <w:rsid w:val="00033E57"/>
    <w:rsid w:val="0003578C"/>
    <w:rsid w:val="000415DA"/>
    <w:rsid w:val="00053EB8"/>
    <w:rsid w:val="00060C64"/>
    <w:rsid w:val="00063247"/>
    <w:rsid w:val="000638D5"/>
    <w:rsid w:val="00063F9F"/>
    <w:rsid w:val="000643B6"/>
    <w:rsid w:val="00070F9F"/>
    <w:rsid w:val="0007137B"/>
    <w:rsid w:val="00084813"/>
    <w:rsid w:val="000848A5"/>
    <w:rsid w:val="00085663"/>
    <w:rsid w:val="00085EBF"/>
    <w:rsid w:val="000925AE"/>
    <w:rsid w:val="00093119"/>
    <w:rsid w:val="00097EF6"/>
    <w:rsid w:val="000B4A84"/>
    <w:rsid w:val="000B66DD"/>
    <w:rsid w:val="000B7F3A"/>
    <w:rsid w:val="000C16A1"/>
    <w:rsid w:val="000C5EE8"/>
    <w:rsid w:val="000D122C"/>
    <w:rsid w:val="000D3018"/>
    <w:rsid w:val="000D3264"/>
    <w:rsid w:val="000D3868"/>
    <w:rsid w:val="000D65D2"/>
    <w:rsid w:val="000D72BE"/>
    <w:rsid w:val="000D7C9A"/>
    <w:rsid w:val="000E1819"/>
    <w:rsid w:val="000E3C61"/>
    <w:rsid w:val="000E4338"/>
    <w:rsid w:val="000E57D9"/>
    <w:rsid w:val="000E6C72"/>
    <w:rsid w:val="000E7F3F"/>
    <w:rsid w:val="000F2368"/>
    <w:rsid w:val="00102C0C"/>
    <w:rsid w:val="00116EB2"/>
    <w:rsid w:val="001209B8"/>
    <w:rsid w:val="00123335"/>
    <w:rsid w:val="00124609"/>
    <w:rsid w:val="00125BA1"/>
    <w:rsid w:val="001306FC"/>
    <w:rsid w:val="00132DAF"/>
    <w:rsid w:val="001417FE"/>
    <w:rsid w:val="00144003"/>
    <w:rsid w:val="001456E7"/>
    <w:rsid w:val="00146A47"/>
    <w:rsid w:val="00147F1E"/>
    <w:rsid w:val="00150167"/>
    <w:rsid w:val="001503A4"/>
    <w:rsid w:val="001573E4"/>
    <w:rsid w:val="00160756"/>
    <w:rsid w:val="00166B41"/>
    <w:rsid w:val="0017232E"/>
    <w:rsid w:val="00172B84"/>
    <w:rsid w:val="00174102"/>
    <w:rsid w:val="00174935"/>
    <w:rsid w:val="00180157"/>
    <w:rsid w:val="00180E2D"/>
    <w:rsid w:val="00181223"/>
    <w:rsid w:val="00183645"/>
    <w:rsid w:val="00186F77"/>
    <w:rsid w:val="00187BA3"/>
    <w:rsid w:val="001913A0"/>
    <w:rsid w:val="00191594"/>
    <w:rsid w:val="00192533"/>
    <w:rsid w:val="001926A4"/>
    <w:rsid w:val="001936BA"/>
    <w:rsid w:val="00193922"/>
    <w:rsid w:val="00195764"/>
    <w:rsid w:val="00195D8C"/>
    <w:rsid w:val="001A2D19"/>
    <w:rsid w:val="001A3A19"/>
    <w:rsid w:val="001A3DAF"/>
    <w:rsid w:val="001A6DAB"/>
    <w:rsid w:val="001B246B"/>
    <w:rsid w:val="001B313A"/>
    <w:rsid w:val="001B331D"/>
    <w:rsid w:val="001B45A0"/>
    <w:rsid w:val="001B65AA"/>
    <w:rsid w:val="001C18EE"/>
    <w:rsid w:val="001C450A"/>
    <w:rsid w:val="001C62C1"/>
    <w:rsid w:val="001D055E"/>
    <w:rsid w:val="001D07BE"/>
    <w:rsid w:val="001D4CDD"/>
    <w:rsid w:val="001D6E42"/>
    <w:rsid w:val="001E3378"/>
    <w:rsid w:val="001E4369"/>
    <w:rsid w:val="001E737E"/>
    <w:rsid w:val="001F084E"/>
    <w:rsid w:val="001F2F13"/>
    <w:rsid w:val="001F3AD4"/>
    <w:rsid w:val="001F492E"/>
    <w:rsid w:val="001F6520"/>
    <w:rsid w:val="001F6DA3"/>
    <w:rsid w:val="002008C0"/>
    <w:rsid w:val="002019B5"/>
    <w:rsid w:val="002037EC"/>
    <w:rsid w:val="002065B1"/>
    <w:rsid w:val="00211629"/>
    <w:rsid w:val="002124FE"/>
    <w:rsid w:val="00212737"/>
    <w:rsid w:val="002135C9"/>
    <w:rsid w:val="00215EF4"/>
    <w:rsid w:val="00216C21"/>
    <w:rsid w:val="00222D11"/>
    <w:rsid w:val="00223BFC"/>
    <w:rsid w:val="0022438B"/>
    <w:rsid w:val="00224DB9"/>
    <w:rsid w:val="00225425"/>
    <w:rsid w:val="0023057D"/>
    <w:rsid w:val="00242590"/>
    <w:rsid w:val="00246408"/>
    <w:rsid w:val="00247779"/>
    <w:rsid w:val="0024779D"/>
    <w:rsid w:val="00251745"/>
    <w:rsid w:val="00253F53"/>
    <w:rsid w:val="0026284D"/>
    <w:rsid w:val="00262A59"/>
    <w:rsid w:val="00263AC0"/>
    <w:rsid w:val="00263D91"/>
    <w:rsid w:val="0026772D"/>
    <w:rsid w:val="002712AA"/>
    <w:rsid w:val="00271931"/>
    <w:rsid w:val="0027622A"/>
    <w:rsid w:val="002814ED"/>
    <w:rsid w:val="0028290F"/>
    <w:rsid w:val="00283E58"/>
    <w:rsid w:val="00285E42"/>
    <w:rsid w:val="00286874"/>
    <w:rsid w:val="002935DA"/>
    <w:rsid w:val="0029535F"/>
    <w:rsid w:val="002953F7"/>
    <w:rsid w:val="00296B65"/>
    <w:rsid w:val="00296F53"/>
    <w:rsid w:val="00296F8D"/>
    <w:rsid w:val="00297D3B"/>
    <w:rsid w:val="002A1973"/>
    <w:rsid w:val="002A2AF9"/>
    <w:rsid w:val="002A357F"/>
    <w:rsid w:val="002A71AA"/>
    <w:rsid w:val="002A7DEF"/>
    <w:rsid w:val="002B1ABD"/>
    <w:rsid w:val="002B1BA7"/>
    <w:rsid w:val="002B2200"/>
    <w:rsid w:val="002B710F"/>
    <w:rsid w:val="002C0C82"/>
    <w:rsid w:val="002C35C4"/>
    <w:rsid w:val="002D0C4D"/>
    <w:rsid w:val="002D3776"/>
    <w:rsid w:val="002D51EA"/>
    <w:rsid w:val="002D5882"/>
    <w:rsid w:val="002D6CC8"/>
    <w:rsid w:val="002E067C"/>
    <w:rsid w:val="002E26D9"/>
    <w:rsid w:val="002E5270"/>
    <w:rsid w:val="002F447C"/>
    <w:rsid w:val="002F7986"/>
    <w:rsid w:val="00303C4A"/>
    <w:rsid w:val="00304EB9"/>
    <w:rsid w:val="00305D43"/>
    <w:rsid w:val="00307F6D"/>
    <w:rsid w:val="00310C0F"/>
    <w:rsid w:val="00312DEB"/>
    <w:rsid w:val="003139DB"/>
    <w:rsid w:val="00314196"/>
    <w:rsid w:val="003177A2"/>
    <w:rsid w:val="00317E3B"/>
    <w:rsid w:val="003211CC"/>
    <w:rsid w:val="003241F5"/>
    <w:rsid w:val="00325320"/>
    <w:rsid w:val="003271B5"/>
    <w:rsid w:val="003301BA"/>
    <w:rsid w:val="00330715"/>
    <w:rsid w:val="00330CA0"/>
    <w:rsid w:val="00331264"/>
    <w:rsid w:val="0033433E"/>
    <w:rsid w:val="00334C8D"/>
    <w:rsid w:val="00340655"/>
    <w:rsid w:val="003459E6"/>
    <w:rsid w:val="003476F0"/>
    <w:rsid w:val="00350ABB"/>
    <w:rsid w:val="00351389"/>
    <w:rsid w:val="003518B3"/>
    <w:rsid w:val="00364E4B"/>
    <w:rsid w:val="00367AAF"/>
    <w:rsid w:val="0037012D"/>
    <w:rsid w:val="003703E4"/>
    <w:rsid w:val="00370B8F"/>
    <w:rsid w:val="00371641"/>
    <w:rsid w:val="003732DC"/>
    <w:rsid w:val="003733E7"/>
    <w:rsid w:val="0037565E"/>
    <w:rsid w:val="0037572F"/>
    <w:rsid w:val="00382011"/>
    <w:rsid w:val="00382184"/>
    <w:rsid w:val="003846F1"/>
    <w:rsid w:val="003876BF"/>
    <w:rsid w:val="0039115D"/>
    <w:rsid w:val="00391939"/>
    <w:rsid w:val="00392827"/>
    <w:rsid w:val="0039574F"/>
    <w:rsid w:val="003A4CB3"/>
    <w:rsid w:val="003A53AB"/>
    <w:rsid w:val="003A6381"/>
    <w:rsid w:val="003A673F"/>
    <w:rsid w:val="003B02B3"/>
    <w:rsid w:val="003B334F"/>
    <w:rsid w:val="003B3A60"/>
    <w:rsid w:val="003B5A70"/>
    <w:rsid w:val="003B64FE"/>
    <w:rsid w:val="003C4908"/>
    <w:rsid w:val="003D0732"/>
    <w:rsid w:val="003D45FD"/>
    <w:rsid w:val="003E0F5C"/>
    <w:rsid w:val="003E114F"/>
    <w:rsid w:val="003E349F"/>
    <w:rsid w:val="003E7D13"/>
    <w:rsid w:val="003F1ED6"/>
    <w:rsid w:val="003F604E"/>
    <w:rsid w:val="003F73E8"/>
    <w:rsid w:val="004032B5"/>
    <w:rsid w:val="004078A4"/>
    <w:rsid w:val="00415B16"/>
    <w:rsid w:val="0041713D"/>
    <w:rsid w:val="004211D4"/>
    <w:rsid w:val="00421269"/>
    <w:rsid w:val="00423003"/>
    <w:rsid w:val="00423291"/>
    <w:rsid w:val="00424548"/>
    <w:rsid w:val="00424AE4"/>
    <w:rsid w:val="00425040"/>
    <w:rsid w:val="00426266"/>
    <w:rsid w:val="0043256D"/>
    <w:rsid w:val="0043663D"/>
    <w:rsid w:val="00436D13"/>
    <w:rsid w:val="00440FEF"/>
    <w:rsid w:val="004426C1"/>
    <w:rsid w:val="00442DFA"/>
    <w:rsid w:val="004438EC"/>
    <w:rsid w:val="00447CD6"/>
    <w:rsid w:val="00451126"/>
    <w:rsid w:val="00453E07"/>
    <w:rsid w:val="00454028"/>
    <w:rsid w:val="00462F92"/>
    <w:rsid w:val="0046316B"/>
    <w:rsid w:val="00463222"/>
    <w:rsid w:val="00465C89"/>
    <w:rsid w:val="004664A7"/>
    <w:rsid w:val="00473EF8"/>
    <w:rsid w:val="00475DDE"/>
    <w:rsid w:val="004762F9"/>
    <w:rsid w:val="00477244"/>
    <w:rsid w:val="0047737C"/>
    <w:rsid w:val="004804BE"/>
    <w:rsid w:val="00480B4B"/>
    <w:rsid w:val="00483BD5"/>
    <w:rsid w:val="00485DC4"/>
    <w:rsid w:val="004872AD"/>
    <w:rsid w:val="0049212B"/>
    <w:rsid w:val="00492F94"/>
    <w:rsid w:val="00496AF8"/>
    <w:rsid w:val="00496C4C"/>
    <w:rsid w:val="00497C7E"/>
    <w:rsid w:val="004A1654"/>
    <w:rsid w:val="004A70AD"/>
    <w:rsid w:val="004B02E6"/>
    <w:rsid w:val="004B0528"/>
    <w:rsid w:val="004B23D6"/>
    <w:rsid w:val="004B4412"/>
    <w:rsid w:val="004B552E"/>
    <w:rsid w:val="004C0CFF"/>
    <w:rsid w:val="004C348C"/>
    <w:rsid w:val="004C6A5C"/>
    <w:rsid w:val="004D3B5C"/>
    <w:rsid w:val="004D55BA"/>
    <w:rsid w:val="004D6831"/>
    <w:rsid w:val="004E1A12"/>
    <w:rsid w:val="004E3567"/>
    <w:rsid w:val="004E619F"/>
    <w:rsid w:val="004F0A93"/>
    <w:rsid w:val="004F2078"/>
    <w:rsid w:val="004F7BFC"/>
    <w:rsid w:val="00501692"/>
    <w:rsid w:val="005038DB"/>
    <w:rsid w:val="00505B58"/>
    <w:rsid w:val="0050656C"/>
    <w:rsid w:val="00515357"/>
    <w:rsid w:val="00517CE4"/>
    <w:rsid w:val="00517F8D"/>
    <w:rsid w:val="0052379B"/>
    <w:rsid w:val="00530128"/>
    <w:rsid w:val="00532467"/>
    <w:rsid w:val="00534AEE"/>
    <w:rsid w:val="00542C91"/>
    <w:rsid w:val="00546F76"/>
    <w:rsid w:val="00547BA2"/>
    <w:rsid w:val="00547CCF"/>
    <w:rsid w:val="00550681"/>
    <w:rsid w:val="00555A70"/>
    <w:rsid w:val="00555F84"/>
    <w:rsid w:val="00564A4D"/>
    <w:rsid w:val="0056786E"/>
    <w:rsid w:val="00571801"/>
    <w:rsid w:val="00571B35"/>
    <w:rsid w:val="00571C9F"/>
    <w:rsid w:val="00573932"/>
    <w:rsid w:val="00573D7B"/>
    <w:rsid w:val="0057788C"/>
    <w:rsid w:val="00577A09"/>
    <w:rsid w:val="00580B78"/>
    <w:rsid w:val="005818C6"/>
    <w:rsid w:val="00581D21"/>
    <w:rsid w:val="005823D9"/>
    <w:rsid w:val="00584D8F"/>
    <w:rsid w:val="00585FB8"/>
    <w:rsid w:val="00586FBE"/>
    <w:rsid w:val="00595360"/>
    <w:rsid w:val="00596D42"/>
    <w:rsid w:val="005A047D"/>
    <w:rsid w:val="005A404D"/>
    <w:rsid w:val="005A45A2"/>
    <w:rsid w:val="005A5BC5"/>
    <w:rsid w:val="005A60B4"/>
    <w:rsid w:val="005A7FFE"/>
    <w:rsid w:val="005B1E3C"/>
    <w:rsid w:val="005B74F1"/>
    <w:rsid w:val="005C24AC"/>
    <w:rsid w:val="005C26CC"/>
    <w:rsid w:val="005C59D1"/>
    <w:rsid w:val="005C5F8C"/>
    <w:rsid w:val="005C7264"/>
    <w:rsid w:val="005D1342"/>
    <w:rsid w:val="005D185E"/>
    <w:rsid w:val="005D4B28"/>
    <w:rsid w:val="005D5694"/>
    <w:rsid w:val="005E0B51"/>
    <w:rsid w:val="005E216C"/>
    <w:rsid w:val="005E53E0"/>
    <w:rsid w:val="005E6636"/>
    <w:rsid w:val="005E6C0E"/>
    <w:rsid w:val="005F0D33"/>
    <w:rsid w:val="005F19B6"/>
    <w:rsid w:val="005F2525"/>
    <w:rsid w:val="005F26C4"/>
    <w:rsid w:val="006007EC"/>
    <w:rsid w:val="0060116F"/>
    <w:rsid w:val="00603123"/>
    <w:rsid w:val="00603892"/>
    <w:rsid w:val="00605D6C"/>
    <w:rsid w:val="0061252F"/>
    <w:rsid w:val="00615C6B"/>
    <w:rsid w:val="006162DF"/>
    <w:rsid w:val="00617053"/>
    <w:rsid w:val="00626F40"/>
    <w:rsid w:val="006313B8"/>
    <w:rsid w:val="00632D6D"/>
    <w:rsid w:val="0063437B"/>
    <w:rsid w:val="0063778D"/>
    <w:rsid w:val="006417EE"/>
    <w:rsid w:val="00642C3E"/>
    <w:rsid w:val="006456B6"/>
    <w:rsid w:val="00646025"/>
    <w:rsid w:val="006468F8"/>
    <w:rsid w:val="00647001"/>
    <w:rsid w:val="00650DE9"/>
    <w:rsid w:val="00650E76"/>
    <w:rsid w:val="00652595"/>
    <w:rsid w:val="00655773"/>
    <w:rsid w:val="00660D0C"/>
    <w:rsid w:val="006629E1"/>
    <w:rsid w:val="00663DAD"/>
    <w:rsid w:val="006668D6"/>
    <w:rsid w:val="006749E0"/>
    <w:rsid w:val="00676679"/>
    <w:rsid w:val="00676A3E"/>
    <w:rsid w:val="00677EDB"/>
    <w:rsid w:val="006847DF"/>
    <w:rsid w:val="006862DA"/>
    <w:rsid w:val="00686484"/>
    <w:rsid w:val="00686C00"/>
    <w:rsid w:val="00687649"/>
    <w:rsid w:val="00691616"/>
    <w:rsid w:val="00694802"/>
    <w:rsid w:val="006A19B3"/>
    <w:rsid w:val="006A312D"/>
    <w:rsid w:val="006A595C"/>
    <w:rsid w:val="006B369D"/>
    <w:rsid w:val="006B4CF9"/>
    <w:rsid w:val="006B55E9"/>
    <w:rsid w:val="006B5CA6"/>
    <w:rsid w:val="006B6FE1"/>
    <w:rsid w:val="006B7AC8"/>
    <w:rsid w:val="006C4729"/>
    <w:rsid w:val="006C4B3B"/>
    <w:rsid w:val="006C63D5"/>
    <w:rsid w:val="006C6EAC"/>
    <w:rsid w:val="006C756C"/>
    <w:rsid w:val="006D110A"/>
    <w:rsid w:val="006D112C"/>
    <w:rsid w:val="006D550F"/>
    <w:rsid w:val="006D77F3"/>
    <w:rsid w:val="006F3866"/>
    <w:rsid w:val="007015B8"/>
    <w:rsid w:val="00701A93"/>
    <w:rsid w:val="00701CAB"/>
    <w:rsid w:val="007022AA"/>
    <w:rsid w:val="00704CFA"/>
    <w:rsid w:val="007051CE"/>
    <w:rsid w:val="00706C4D"/>
    <w:rsid w:val="00707098"/>
    <w:rsid w:val="00707340"/>
    <w:rsid w:val="00707563"/>
    <w:rsid w:val="00711AFB"/>
    <w:rsid w:val="007123B4"/>
    <w:rsid w:val="00722AF4"/>
    <w:rsid w:val="0072348C"/>
    <w:rsid w:val="00724A37"/>
    <w:rsid w:val="00726F0E"/>
    <w:rsid w:val="00727DEF"/>
    <w:rsid w:val="007303C3"/>
    <w:rsid w:val="00730DCF"/>
    <w:rsid w:val="00732C01"/>
    <w:rsid w:val="00733BE6"/>
    <w:rsid w:val="00734AC9"/>
    <w:rsid w:val="00735D1E"/>
    <w:rsid w:val="00740096"/>
    <w:rsid w:val="00743223"/>
    <w:rsid w:val="00746E01"/>
    <w:rsid w:val="00747A29"/>
    <w:rsid w:val="007512C9"/>
    <w:rsid w:val="00751696"/>
    <w:rsid w:val="0075688B"/>
    <w:rsid w:val="00757944"/>
    <w:rsid w:val="00763E5D"/>
    <w:rsid w:val="0076627B"/>
    <w:rsid w:val="007663B4"/>
    <w:rsid w:val="00766C5E"/>
    <w:rsid w:val="00767740"/>
    <w:rsid w:val="00777EE6"/>
    <w:rsid w:val="00782C4B"/>
    <w:rsid w:val="00782EEA"/>
    <w:rsid w:val="00783000"/>
    <w:rsid w:val="00783ECA"/>
    <w:rsid w:val="007852DE"/>
    <w:rsid w:val="00785FF4"/>
    <w:rsid w:val="00787463"/>
    <w:rsid w:val="007909FB"/>
    <w:rsid w:val="00791BB3"/>
    <w:rsid w:val="007928AA"/>
    <w:rsid w:val="007948CF"/>
    <w:rsid w:val="007A0717"/>
    <w:rsid w:val="007A5CBE"/>
    <w:rsid w:val="007A6F2A"/>
    <w:rsid w:val="007A7F02"/>
    <w:rsid w:val="007B068E"/>
    <w:rsid w:val="007B2C72"/>
    <w:rsid w:val="007C0DFE"/>
    <w:rsid w:val="007C1B76"/>
    <w:rsid w:val="007C1C53"/>
    <w:rsid w:val="007C3314"/>
    <w:rsid w:val="007C5092"/>
    <w:rsid w:val="007C5BE9"/>
    <w:rsid w:val="007D275E"/>
    <w:rsid w:val="007D43C1"/>
    <w:rsid w:val="007E1347"/>
    <w:rsid w:val="007E26A9"/>
    <w:rsid w:val="007E4904"/>
    <w:rsid w:val="007E4CB5"/>
    <w:rsid w:val="007E5E03"/>
    <w:rsid w:val="007F066B"/>
    <w:rsid w:val="007F68F7"/>
    <w:rsid w:val="007F6A63"/>
    <w:rsid w:val="008032C2"/>
    <w:rsid w:val="008033C4"/>
    <w:rsid w:val="00804060"/>
    <w:rsid w:val="00806C88"/>
    <w:rsid w:val="0081018D"/>
    <w:rsid w:val="0081034E"/>
    <w:rsid w:val="0081524E"/>
    <w:rsid w:val="00816A49"/>
    <w:rsid w:val="00816CC1"/>
    <w:rsid w:val="008207AF"/>
    <w:rsid w:val="00825899"/>
    <w:rsid w:val="00826B72"/>
    <w:rsid w:val="0083062F"/>
    <w:rsid w:val="008344F6"/>
    <w:rsid w:val="0083510F"/>
    <w:rsid w:val="00836B15"/>
    <w:rsid w:val="008404BC"/>
    <w:rsid w:val="00840AF6"/>
    <w:rsid w:val="00841513"/>
    <w:rsid w:val="00842D92"/>
    <w:rsid w:val="00846048"/>
    <w:rsid w:val="00851209"/>
    <w:rsid w:val="00852112"/>
    <w:rsid w:val="00854BF0"/>
    <w:rsid w:val="00854CEE"/>
    <w:rsid w:val="0086325C"/>
    <w:rsid w:val="00863CC2"/>
    <w:rsid w:val="008779AE"/>
    <w:rsid w:val="0088007E"/>
    <w:rsid w:val="008805BE"/>
    <w:rsid w:val="00881EDE"/>
    <w:rsid w:val="008823D0"/>
    <w:rsid w:val="0088377C"/>
    <w:rsid w:val="008837AC"/>
    <w:rsid w:val="00887BB6"/>
    <w:rsid w:val="00890A5A"/>
    <w:rsid w:val="008945B4"/>
    <w:rsid w:val="0089538C"/>
    <w:rsid w:val="008A0CA4"/>
    <w:rsid w:val="008A2330"/>
    <w:rsid w:val="008A587D"/>
    <w:rsid w:val="008A7E47"/>
    <w:rsid w:val="008B0088"/>
    <w:rsid w:val="008B0183"/>
    <w:rsid w:val="008B62D6"/>
    <w:rsid w:val="008C16BB"/>
    <w:rsid w:val="008C5486"/>
    <w:rsid w:val="008D48E3"/>
    <w:rsid w:val="008D5626"/>
    <w:rsid w:val="008E1EC6"/>
    <w:rsid w:val="008E7031"/>
    <w:rsid w:val="008E7ECD"/>
    <w:rsid w:val="008F34C2"/>
    <w:rsid w:val="008F7CD3"/>
    <w:rsid w:val="00906798"/>
    <w:rsid w:val="009120A1"/>
    <w:rsid w:val="00913E47"/>
    <w:rsid w:val="00915DCD"/>
    <w:rsid w:val="00921DE8"/>
    <w:rsid w:val="00922C95"/>
    <w:rsid w:val="009233EE"/>
    <w:rsid w:val="0092720F"/>
    <w:rsid w:val="009274B2"/>
    <w:rsid w:val="0093253C"/>
    <w:rsid w:val="00935D49"/>
    <w:rsid w:val="00941858"/>
    <w:rsid w:val="00944F92"/>
    <w:rsid w:val="009453F9"/>
    <w:rsid w:val="00955269"/>
    <w:rsid w:val="00955E60"/>
    <w:rsid w:val="0095683B"/>
    <w:rsid w:val="0095704E"/>
    <w:rsid w:val="00960E60"/>
    <w:rsid w:val="009661DE"/>
    <w:rsid w:val="00967670"/>
    <w:rsid w:val="00971C4D"/>
    <w:rsid w:val="00972E73"/>
    <w:rsid w:val="00977CA2"/>
    <w:rsid w:val="00980F47"/>
    <w:rsid w:val="009814BE"/>
    <w:rsid w:val="009827EB"/>
    <w:rsid w:val="00984235"/>
    <w:rsid w:val="009856B7"/>
    <w:rsid w:val="0098602B"/>
    <w:rsid w:val="00991B3B"/>
    <w:rsid w:val="00993BF6"/>
    <w:rsid w:val="0099438B"/>
    <w:rsid w:val="00994AC2"/>
    <w:rsid w:val="009962BA"/>
    <w:rsid w:val="009A34BA"/>
    <w:rsid w:val="009B254D"/>
    <w:rsid w:val="009B72E4"/>
    <w:rsid w:val="009B74B0"/>
    <w:rsid w:val="009C1EAE"/>
    <w:rsid w:val="009C2938"/>
    <w:rsid w:val="009C4A7F"/>
    <w:rsid w:val="009C6F21"/>
    <w:rsid w:val="009C7BC5"/>
    <w:rsid w:val="009D4414"/>
    <w:rsid w:val="009D6B46"/>
    <w:rsid w:val="009E11DD"/>
    <w:rsid w:val="009E5FC7"/>
    <w:rsid w:val="009E7EEA"/>
    <w:rsid w:val="009F4940"/>
    <w:rsid w:val="009F77DD"/>
    <w:rsid w:val="00A037E9"/>
    <w:rsid w:val="00A054D1"/>
    <w:rsid w:val="00A07335"/>
    <w:rsid w:val="00A12B8E"/>
    <w:rsid w:val="00A15600"/>
    <w:rsid w:val="00A1665B"/>
    <w:rsid w:val="00A22CEF"/>
    <w:rsid w:val="00A24C82"/>
    <w:rsid w:val="00A256E2"/>
    <w:rsid w:val="00A26920"/>
    <w:rsid w:val="00A37CE5"/>
    <w:rsid w:val="00A407FB"/>
    <w:rsid w:val="00A428BD"/>
    <w:rsid w:val="00A4478A"/>
    <w:rsid w:val="00A44852"/>
    <w:rsid w:val="00A478CF"/>
    <w:rsid w:val="00A47C24"/>
    <w:rsid w:val="00A506AF"/>
    <w:rsid w:val="00A57D04"/>
    <w:rsid w:val="00A60A26"/>
    <w:rsid w:val="00A61598"/>
    <w:rsid w:val="00A65515"/>
    <w:rsid w:val="00A6611D"/>
    <w:rsid w:val="00A6693D"/>
    <w:rsid w:val="00A66D3E"/>
    <w:rsid w:val="00A67030"/>
    <w:rsid w:val="00A736A8"/>
    <w:rsid w:val="00A75B13"/>
    <w:rsid w:val="00A77DC2"/>
    <w:rsid w:val="00A81A8A"/>
    <w:rsid w:val="00A84F46"/>
    <w:rsid w:val="00A871F4"/>
    <w:rsid w:val="00A911FC"/>
    <w:rsid w:val="00A92B2D"/>
    <w:rsid w:val="00A92F23"/>
    <w:rsid w:val="00A95514"/>
    <w:rsid w:val="00AA0512"/>
    <w:rsid w:val="00AA36E7"/>
    <w:rsid w:val="00AA51E0"/>
    <w:rsid w:val="00AA5CA1"/>
    <w:rsid w:val="00AB2878"/>
    <w:rsid w:val="00AB310D"/>
    <w:rsid w:val="00AB4B90"/>
    <w:rsid w:val="00AB537D"/>
    <w:rsid w:val="00AB6032"/>
    <w:rsid w:val="00AB6528"/>
    <w:rsid w:val="00AC1B2C"/>
    <w:rsid w:val="00AC1FB8"/>
    <w:rsid w:val="00AC3264"/>
    <w:rsid w:val="00AC3378"/>
    <w:rsid w:val="00AC6F01"/>
    <w:rsid w:val="00AC7784"/>
    <w:rsid w:val="00AD0B30"/>
    <w:rsid w:val="00AD16C0"/>
    <w:rsid w:val="00AD24CF"/>
    <w:rsid w:val="00AD3382"/>
    <w:rsid w:val="00AD3D72"/>
    <w:rsid w:val="00AD5C7C"/>
    <w:rsid w:val="00AE08DA"/>
    <w:rsid w:val="00AE0939"/>
    <w:rsid w:val="00AE0FE2"/>
    <w:rsid w:val="00AE16B5"/>
    <w:rsid w:val="00AE1BF1"/>
    <w:rsid w:val="00AE269D"/>
    <w:rsid w:val="00AE2E62"/>
    <w:rsid w:val="00AF0DD2"/>
    <w:rsid w:val="00AF2073"/>
    <w:rsid w:val="00AF2335"/>
    <w:rsid w:val="00AF29ED"/>
    <w:rsid w:val="00B07BBE"/>
    <w:rsid w:val="00B10314"/>
    <w:rsid w:val="00B10E48"/>
    <w:rsid w:val="00B110D5"/>
    <w:rsid w:val="00B12958"/>
    <w:rsid w:val="00B13048"/>
    <w:rsid w:val="00B145BE"/>
    <w:rsid w:val="00B15998"/>
    <w:rsid w:val="00B16838"/>
    <w:rsid w:val="00B1716D"/>
    <w:rsid w:val="00B17A1D"/>
    <w:rsid w:val="00B207A0"/>
    <w:rsid w:val="00B22588"/>
    <w:rsid w:val="00B23856"/>
    <w:rsid w:val="00B279DD"/>
    <w:rsid w:val="00B31BF6"/>
    <w:rsid w:val="00B3410A"/>
    <w:rsid w:val="00B42A9F"/>
    <w:rsid w:val="00B50BC9"/>
    <w:rsid w:val="00B50DA5"/>
    <w:rsid w:val="00B55E50"/>
    <w:rsid w:val="00B56E03"/>
    <w:rsid w:val="00B60F5D"/>
    <w:rsid w:val="00B636D5"/>
    <w:rsid w:val="00B6475E"/>
    <w:rsid w:val="00B67E91"/>
    <w:rsid w:val="00B71EF9"/>
    <w:rsid w:val="00B73C53"/>
    <w:rsid w:val="00B75E9E"/>
    <w:rsid w:val="00B760FD"/>
    <w:rsid w:val="00B76790"/>
    <w:rsid w:val="00B8080B"/>
    <w:rsid w:val="00B81452"/>
    <w:rsid w:val="00B87C39"/>
    <w:rsid w:val="00B951CE"/>
    <w:rsid w:val="00B9536E"/>
    <w:rsid w:val="00B97D27"/>
    <w:rsid w:val="00BA1262"/>
    <w:rsid w:val="00BA4665"/>
    <w:rsid w:val="00BA5784"/>
    <w:rsid w:val="00BA636E"/>
    <w:rsid w:val="00BB2965"/>
    <w:rsid w:val="00BB2FB2"/>
    <w:rsid w:val="00BB3304"/>
    <w:rsid w:val="00BB429F"/>
    <w:rsid w:val="00BB64DE"/>
    <w:rsid w:val="00BC28AF"/>
    <w:rsid w:val="00BC356B"/>
    <w:rsid w:val="00BC7693"/>
    <w:rsid w:val="00BD262F"/>
    <w:rsid w:val="00BD3446"/>
    <w:rsid w:val="00BD3C15"/>
    <w:rsid w:val="00BD4F7D"/>
    <w:rsid w:val="00BD56AC"/>
    <w:rsid w:val="00BE0A1D"/>
    <w:rsid w:val="00BE1F1B"/>
    <w:rsid w:val="00BE3C42"/>
    <w:rsid w:val="00BE47B5"/>
    <w:rsid w:val="00BE4C99"/>
    <w:rsid w:val="00BE5041"/>
    <w:rsid w:val="00BF1FFB"/>
    <w:rsid w:val="00BF3ED7"/>
    <w:rsid w:val="00BF661B"/>
    <w:rsid w:val="00C047F0"/>
    <w:rsid w:val="00C058AB"/>
    <w:rsid w:val="00C06739"/>
    <w:rsid w:val="00C13EDD"/>
    <w:rsid w:val="00C144E0"/>
    <w:rsid w:val="00C16994"/>
    <w:rsid w:val="00C17052"/>
    <w:rsid w:val="00C23298"/>
    <w:rsid w:val="00C25A65"/>
    <w:rsid w:val="00C305CD"/>
    <w:rsid w:val="00C307F6"/>
    <w:rsid w:val="00C34CF8"/>
    <w:rsid w:val="00C35A55"/>
    <w:rsid w:val="00C35BB3"/>
    <w:rsid w:val="00C36573"/>
    <w:rsid w:val="00C369F4"/>
    <w:rsid w:val="00C410E3"/>
    <w:rsid w:val="00C412AB"/>
    <w:rsid w:val="00C4151B"/>
    <w:rsid w:val="00C434D0"/>
    <w:rsid w:val="00C44A77"/>
    <w:rsid w:val="00C538A9"/>
    <w:rsid w:val="00C53B5A"/>
    <w:rsid w:val="00C54F5A"/>
    <w:rsid w:val="00C6681E"/>
    <w:rsid w:val="00C72C99"/>
    <w:rsid w:val="00C755AD"/>
    <w:rsid w:val="00C8389C"/>
    <w:rsid w:val="00C86679"/>
    <w:rsid w:val="00C8779D"/>
    <w:rsid w:val="00C93DC7"/>
    <w:rsid w:val="00C96F55"/>
    <w:rsid w:val="00CA130D"/>
    <w:rsid w:val="00CA2F26"/>
    <w:rsid w:val="00CA37CA"/>
    <w:rsid w:val="00CB08E7"/>
    <w:rsid w:val="00CB0F0C"/>
    <w:rsid w:val="00CB666B"/>
    <w:rsid w:val="00CB75D7"/>
    <w:rsid w:val="00CB7638"/>
    <w:rsid w:val="00CC2659"/>
    <w:rsid w:val="00CD1AC8"/>
    <w:rsid w:val="00CD252C"/>
    <w:rsid w:val="00CD384C"/>
    <w:rsid w:val="00CD443A"/>
    <w:rsid w:val="00CD4F4E"/>
    <w:rsid w:val="00CD614C"/>
    <w:rsid w:val="00CD6256"/>
    <w:rsid w:val="00CE3442"/>
    <w:rsid w:val="00CE6BCF"/>
    <w:rsid w:val="00CE71B1"/>
    <w:rsid w:val="00CF0739"/>
    <w:rsid w:val="00CF23EB"/>
    <w:rsid w:val="00CF2DDE"/>
    <w:rsid w:val="00CF39BC"/>
    <w:rsid w:val="00CF4762"/>
    <w:rsid w:val="00CF5CF4"/>
    <w:rsid w:val="00CF799E"/>
    <w:rsid w:val="00D0062C"/>
    <w:rsid w:val="00D01A6E"/>
    <w:rsid w:val="00D01CF0"/>
    <w:rsid w:val="00D0253C"/>
    <w:rsid w:val="00D0442A"/>
    <w:rsid w:val="00D06837"/>
    <w:rsid w:val="00D07FBB"/>
    <w:rsid w:val="00D106E6"/>
    <w:rsid w:val="00D10999"/>
    <w:rsid w:val="00D1293B"/>
    <w:rsid w:val="00D15C30"/>
    <w:rsid w:val="00D16700"/>
    <w:rsid w:val="00D20237"/>
    <w:rsid w:val="00D203E1"/>
    <w:rsid w:val="00D205E8"/>
    <w:rsid w:val="00D20609"/>
    <w:rsid w:val="00D2102F"/>
    <w:rsid w:val="00D25035"/>
    <w:rsid w:val="00D256E0"/>
    <w:rsid w:val="00D25E41"/>
    <w:rsid w:val="00D32C30"/>
    <w:rsid w:val="00D35742"/>
    <w:rsid w:val="00D449EF"/>
    <w:rsid w:val="00D44E1E"/>
    <w:rsid w:val="00D45CEF"/>
    <w:rsid w:val="00D507D3"/>
    <w:rsid w:val="00D520A4"/>
    <w:rsid w:val="00D52317"/>
    <w:rsid w:val="00D52E21"/>
    <w:rsid w:val="00D530B4"/>
    <w:rsid w:val="00D537C5"/>
    <w:rsid w:val="00D543EE"/>
    <w:rsid w:val="00D544B8"/>
    <w:rsid w:val="00D55CD3"/>
    <w:rsid w:val="00D57582"/>
    <w:rsid w:val="00D60014"/>
    <w:rsid w:val="00D6075E"/>
    <w:rsid w:val="00D61388"/>
    <w:rsid w:val="00D61A54"/>
    <w:rsid w:val="00D62179"/>
    <w:rsid w:val="00D64DEA"/>
    <w:rsid w:val="00D6702B"/>
    <w:rsid w:val="00D73E67"/>
    <w:rsid w:val="00D7776D"/>
    <w:rsid w:val="00D80893"/>
    <w:rsid w:val="00D828C1"/>
    <w:rsid w:val="00D829A9"/>
    <w:rsid w:val="00D85E96"/>
    <w:rsid w:val="00D90F43"/>
    <w:rsid w:val="00D91744"/>
    <w:rsid w:val="00D92752"/>
    <w:rsid w:val="00D92CF1"/>
    <w:rsid w:val="00D92D38"/>
    <w:rsid w:val="00D94057"/>
    <w:rsid w:val="00D94B9E"/>
    <w:rsid w:val="00D950F5"/>
    <w:rsid w:val="00D96549"/>
    <w:rsid w:val="00D965A8"/>
    <w:rsid w:val="00DA13FD"/>
    <w:rsid w:val="00DA2049"/>
    <w:rsid w:val="00DA4B23"/>
    <w:rsid w:val="00DA7850"/>
    <w:rsid w:val="00DB08B9"/>
    <w:rsid w:val="00DB0F93"/>
    <w:rsid w:val="00DB4B82"/>
    <w:rsid w:val="00DC18A0"/>
    <w:rsid w:val="00DC2FAB"/>
    <w:rsid w:val="00DC390E"/>
    <w:rsid w:val="00DC542F"/>
    <w:rsid w:val="00DC5EF4"/>
    <w:rsid w:val="00DC65CF"/>
    <w:rsid w:val="00DC7314"/>
    <w:rsid w:val="00DC7981"/>
    <w:rsid w:val="00DD2499"/>
    <w:rsid w:val="00DD7648"/>
    <w:rsid w:val="00DE0450"/>
    <w:rsid w:val="00DE37CD"/>
    <w:rsid w:val="00DE4EFA"/>
    <w:rsid w:val="00DE5520"/>
    <w:rsid w:val="00DE5B43"/>
    <w:rsid w:val="00DE7CA0"/>
    <w:rsid w:val="00DF027C"/>
    <w:rsid w:val="00DF389A"/>
    <w:rsid w:val="00DF64E0"/>
    <w:rsid w:val="00E0130C"/>
    <w:rsid w:val="00E01A14"/>
    <w:rsid w:val="00E04818"/>
    <w:rsid w:val="00E06442"/>
    <w:rsid w:val="00E12412"/>
    <w:rsid w:val="00E16FF7"/>
    <w:rsid w:val="00E23993"/>
    <w:rsid w:val="00E243DB"/>
    <w:rsid w:val="00E2546F"/>
    <w:rsid w:val="00E25B8C"/>
    <w:rsid w:val="00E31F63"/>
    <w:rsid w:val="00E34830"/>
    <w:rsid w:val="00E35713"/>
    <w:rsid w:val="00E4197A"/>
    <w:rsid w:val="00E44210"/>
    <w:rsid w:val="00E4674F"/>
    <w:rsid w:val="00E50575"/>
    <w:rsid w:val="00E51B6C"/>
    <w:rsid w:val="00E52589"/>
    <w:rsid w:val="00E530BF"/>
    <w:rsid w:val="00E532A8"/>
    <w:rsid w:val="00E5501C"/>
    <w:rsid w:val="00E55910"/>
    <w:rsid w:val="00E57756"/>
    <w:rsid w:val="00E614CF"/>
    <w:rsid w:val="00E61E7B"/>
    <w:rsid w:val="00E641AE"/>
    <w:rsid w:val="00E65C85"/>
    <w:rsid w:val="00E66199"/>
    <w:rsid w:val="00E71DE6"/>
    <w:rsid w:val="00E755EC"/>
    <w:rsid w:val="00E7624D"/>
    <w:rsid w:val="00E7774B"/>
    <w:rsid w:val="00E80D20"/>
    <w:rsid w:val="00E87ACC"/>
    <w:rsid w:val="00E91CA6"/>
    <w:rsid w:val="00E97960"/>
    <w:rsid w:val="00EA034D"/>
    <w:rsid w:val="00EA0388"/>
    <w:rsid w:val="00EA076B"/>
    <w:rsid w:val="00EA3D42"/>
    <w:rsid w:val="00EA417D"/>
    <w:rsid w:val="00EA5E10"/>
    <w:rsid w:val="00EA66E2"/>
    <w:rsid w:val="00EA6B1B"/>
    <w:rsid w:val="00EB2D19"/>
    <w:rsid w:val="00EB35A9"/>
    <w:rsid w:val="00EB4255"/>
    <w:rsid w:val="00EC1068"/>
    <w:rsid w:val="00EC2671"/>
    <w:rsid w:val="00ED273F"/>
    <w:rsid w:val="00ED3A3F"/>
    <w:rsid w:val="00ED7300"/>
    <w:rsid w:val="00ED7559"/>
    <w:rsid w:val="00EE28F3"/>
    <w:rsid w:val="00EE3295"/>
    <w:rsid w:val="00EE7DA4"/>
    <w:rsid w:val="00EF0061"/>
    <w:rsid w:val="00EF103D"/>
    <w:rsid w:val="00EF3D85"/>
    <w:rsid w:val="00EF5110"/>
    <w:rsid w:val="00F033B3"/>
    <w:rsid w:val="00F064D5"/>
    <w:rsid w:val="00F15882"/>
    <w:rsid w:val="00F15B98"/>
    <w:rsid w:val="00F175B7"/>
    <w:rsid w:val="00F1773B"/>
    <w:rsid w:val="00F20771"/>
    <w:rsid w:val="00F20BD3"/>
    <w:rsid w:val="00F24F0B"/>
    <w:rsid w:val="00F31903"/>
    <w:rsid w:val="00F3693D"/>
    <w:rsid w:val="00F371DD"/>
    <w:rsid w:val="00F373A5"/>
    <w:rsid w:val="00F41835"/>
    <w:rsid w:val="00F47559"/>
    <w:rsid w:val="00F47A7B"/>
    <w:rsid w:val="00F57300"/>
    <w:rsid w:val="00F60BE4"/>
    <w:rsid w:val="00F60F2D"/>
    <w:rsid w:val="00F61B84"/>
    <w:rsid w:val="00F62590"/>
    <w:rsid w:val="00F63587"/>
    <w:rsid w:val="00F64332"/>
    <w:rsid w:val="00F64C7B"/>
    <w:rsid w:val="00F671BE"/>
    <w:rsid w:val="00F676DD"/>
    <w:rsid w:val="00F67D05"/>
    <w:rsid w:val="00F75A26"/>
    <w:rsid w:val="00F82078"/>
    <w:rsid w:val="00F82104"/>
    <w:rsid w:val="00F83A0E"/>
    <w:rsid w:val="00F83FAD"/>
    <w:rsid w:val="00F90E23"/>
    <w:rsid w:val="00F91DC6"/>
    <w:rsid w:val="00F92921"/>
    <w:rsid w:val="00F952A0"/>
    <w:rsid w:val="00F96A85"/>
    <w:rsid w:val="00FA1C20"/>
    <w:rsid w:val="00FA3011"/>
    <w:rsid w:val="00FA3C7F"/>
    <w:rsid w:val="00FA6A33"/>
    <w:rsid w:val="00FB01E5"/>
    <w:rsid w:val="00FB1A65"/>
    <w:rsid w:val="00FB52D7"/>
    <w:rsid w:val="00FB6617"/>
    <w:rsid w:val="00FB74E2"/>
    <w:rsid w:val="00FC4D95"/>
    <w:rsid w:val="00FD273B"/>
    <w:rsid w:val="00FD394B"/>
    <w:rsid w:val="00FD5614"/>
    <w:rsid w:val="00FD7474"/>
    <w:rsid w:val="00FE0BE1"/>
    <w:rsid w:val="00FE1164"/>
    <w:rsid w:val="00FE1DE9"/>
    <w:rsid w:val="00FE39C2"/>
    <w:rsid w:val="00FE4D7B"/>
    <w:rsid w:val="00FE5E61"/>
    <w:rsid w:val="00FE6417"/>
    <w:rsid w:val="00FE64AE"/>
    <w:rsid w:val="00FF4F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3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uiPriority="2"/>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935D49"/>
    <w:pPr>
      <w:spacing w:before="200"/>
    </w:pPr>
    <w:rPr>
      <w:sz w:val="22"/>
      <w:szCs w:val="22"/>
      <w:lang w:eastAsia="en-US"/>
    </w:rPr>
  </w:style>
  <w:style w:type="paragraph" w:styleId="Heading1">
    <w:name w:val="heading 1"/>
    <w:basedOn w:val="Normal"/>
    <w:next w:val="Normal"/>
    <w:link w:val="Heading1Char"/>
    <w:qFormat/>
    <w:rsid w:val="009D6B46"/>
    <w:pPr>
      <w:spacing w:before="240"/>
      <w:outlineLvl w:val="0"/>
    </w:pPr>
    <w:rPr>
      <w:rFonts w:ascii="Lucida Fax" w:eastAsia="Times New Roman" w:hAnsi="Lucida Fax"/>
      <w:bCs/>
      <w:color w:val="51626F"/>
      <w:sz w:val="32"/>
      <w:szCs w:val="28"/>
    </w:rPr>
  </w:style>
  <w:style w:type="paragraph" w:styleId="Heading2">
    <w:name w:val="heading 2"/>
    <w:next w:val="Normal"/>
    <w:link w:val="Heading2Char"/>
    <w:qFormat/>
    <w:rsid w:val="009D6B46"/>
    <w:pPr>
      <w:spacing w:before="200" w:line="240" w:lineRule="atLeast"/>
      <w:outlineLvl w:val="1"/>
    </w:pPr>
    <w:rPr>
      <w:rFonts w:eastAsia="Times New Roman"/>
      <w:b/>
      <w:bCs/>
      <w:color w:val="51626F"/>
      <w:sz w:val="28"/>
      <w:szCs w:val="26"/>
      <w:lang w:eastAsia="en-US"/>
    </w:rPr>
  </w:style>
  <w:style w:type="paragraph" w:styleId="Heading3">
    <w:name w:val="heading 3"/>
    <w:basedOn w:val="Normal"/>
    <w:next w:val="Normal"/>
    <w:link w:val="Heading3Char"/>
    <w:qFormat/>
    <w:rsid w:val="009D6B46"/>
    <w:pPr>
      <w:spacing w:before="240"/>
      <w:outlineLvl w:val="2"/>
    </w:pPr>
    <w:rPr>
      <w:rFonts w:eastAsia="Times New Roman"/>
      <w:b/>
      <w:bCs/>
      <w:color w:val="000000"/>
      <w:sz w:val="24"/>
    </w:rPr>
  </w:style>
  <w:style w:type="paragraph" w:styleId="Heading4">
    <w:name w:val="heading 4"/>
    <w:basedOn w:val="Normal"/>
    <w:next w:val="Normal"/>
    <w:link w:val="Heading4Char"/>
    <w:qFormat/>
    <w:rsid w:val="009D6B46"/>
    <w:pPr>
      <w:spacing w:before="240"/>
      <w:outlineLvl w:val="3"/>
    </w:pPr>
    <w:rPr>
      <w:rFonts w:eastAsia="Times New Roman"/>
      <w:b/>
      <w:bCs/>
      <w:i/>
      <w:iCs/>
      <w:color w:val="51626F"/>
      <w:sz w:val="24"/>
    </w:rPr>
  </w:style>
  <w:style w:type="paragraph" w:styleId="Heading5">
    <w:name w:val="heading 5"/>
    <w:next w:val="Normal"/>
    <w:link w:val="Heading5Char"/>
    <w:uiPriority w:val="2"/>
    <w:qFormat/>
    <w:rsid w:val="009D6B46"/>
    <w:pPr>
      <w:spacing w:before="200" w:line="240" w:lineRule="atLeast"/>
      <w:outlineLvl w:val="4"/>
    </w:pPr>
    <w:rPr>
      <w:rFonts w:eastAsia="Times New Roman"/>
      <w:b/>
      <w:color w:val="283037"/>
      <w:sz w:val="22"/>
      <w:szCs w:val="22"/>
      <w:lang w:eastAsia="en-US"/>
    </w:rPr>
  </w:style>
  <w:style w:type="paragraph" w:styleId="Heading6">
    <w:name w:val="heading 6"/>
    <w:basedOn w:val="Normal"/>
    <w:next w:val="Normal"/>
    <w:link w:val="Heading6Char"/>
    <w:uiPriority w:val="2"/>
    <w:qFormat/>
    <w:rsid w:val="009D6B46"/>
    <w:pPr>
      <w:spacing w:before="240"/>
      <w:outlineLvl w:val="5"/>
    </w:pPr>
    <w:rPr>
      <w:rFonts w:eastAsia="Times New Roman"/>
      <w:b/>
      <w:i/>
      <w:iCs/>
    </w:rPr>
  </w:style>
  <w:style w:type="paragraph" w:styleId="Heading7">
    <w:name w:val="heading 7"/>
    <w:basedOn w:val="Normal"/>
    <w:next w:val="Normal"/>
    <w:link w:val="Heading7Char"/>
    <w:uiPriority w:val="2"/>
    <w:qFormat/>
    <w:rsid w:val="009D6B46"/>
    <w:pPr>
      <w:spacing w:before="240"/>
      <w:outlineLvl w:val="6"/>
    </w:pPr>
    <w:rPr>
      <w:rFonts w:eastAsia="Times New Roman"/>
      <w:i/>
      <w:iCs/>
      <w:color w:val="404040"/>
    </w:rPr>
  </w:style>
  <w:style w:type="paragraph" w:styleId="Heading8">
    <w:name w:val="heading 8"/>
    <w:basedOn w:val="Normal"/>
    <w:next w:val="Normal"/>
    <w:link w:val="Heading8Char"/>
    <w:uiPriority w:val="2"/>
    <w:qFormat/>
    <w:rsid w:val="009D6B46"/>
    <w:pPr>
      <w:spacing w:before="240"/>
      <w:outlineLvl w:val="7"/>
    </w:pPr>
    <w:rPr>
      <w:rFonts w:eastAsia="Times New Roman"/>
      <w:color w:val="51626F"/>
      <w:szCs w:val="20"/>
    </w:rPr>
  </w:style>
  <w:style w:type="paragraph" w:styleId="Heading9">
    <w:name w:val="heading 9"/>
    <w:aliases w:val="Numbered Table"/>
    <w:basedOn w:val="Normal"/>
    <w:next w:val="Normal"/>
    <w:link w:val="Heading9Char"/>
    <w:uiPriority w:val="2"/>
    <w:qFormat/>
    <w:rsid w:val="00646025"/>
    <w:pPr>
      <w:numPr>
        <w:numId w:val="26"/>
      </w:numPr>
      <w:tabs>
        <w:tab w:val="left" w:pos="340"/>
      </w:tabs>
      <w:spacing w:before="240" w:after="120"/>
      <w:outlineLvl w:val="8"/>
    </w:pPr>
    <w:rPr>
      <w:rFonts w:eastAsia="Times New Roman"/>
      <w:b/>
      <w:iCs/>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D6B46"/>
    <w:rPr>
      <w:rFonts w:ascii="Lucida Fax" w:eastAsia="Times New Roman" w:hAnsi="Lucida Fax" w:cs="Times New Roman"/>
      <w:bCs/>
      <w:color w:val="51626F"/>
      <w:sz w:val="32"/>
      <w:szCs w:val="28"/>
    </w:rPr>
  </w:style>
  <w:style w:type="character" w:customStyle="1" w:styleId="Heading2Char">
    <w:name w:val="Heading 2 Char"/>
    <w:link w:val="Heading2"/>
    <w:rsid w:val="009D6B46"/>
    <w:rPr>
      <w:rFonts w:ascii="Arial" w:eastAsia="Times New Roman" w:hAnsi="Arial" w:cs="Times New Roman"/>
      <w:b/>
      <w:bCs/>
      <w:color w:val="51626F"/>
      <w:sz w:val="28"/>
      <w:szCs w:val="26"/>
    </w:rPr>
  </w:style>
  <w:style w:type="character" w:customStyle="1" w:styleId="Heading3Char">
    <w:name w:val="Heading 3 Char"/>
    <w:link w:val="Heading3"/>
    <w:rsid w:val="009D6B46"/>
    <w:rPr>
      <w:rFonts w:ascii="Arial" w:eastAsia="Times New Roman" w:hAnsi="Arial" w:cs="Times New Roman"/>
      <w:b/>
      <w:bCs/>
      <w:color w:val="000000"/>
      <w:sz w:val="24"/>
    </w:rPr>
  </w:style>
  <w:style w:type="character" w:customStyle="1" w:styleId="Heading4Char">
    <w:name w:val="Heading 4 Char"/>
    <w:link w:val="Heading4"/>
    <w:rsid w:val="009D6B46"/>
    <w:rPr>
      <w:rFonts w:ascii="Arial" w:eastAsia="Times New Roman" w:hAnsi="Arial" w:cs="Times New Roman"/>
      <w:b/>
      <w:bCs/>
      <w:i/>
      <w:iCs/>
      <w:color w:val="51626F"/>
      <w:sz w:val="24"/>
    </w:rPr>
  </w:style>
  <w:style w:type="character" w:customStyle="1" w:styleId="Heading5Char">
    <w:name w:val="Heading 5 Char"/>
    <w:link w:val="Heading5"/>
    <w:uiPriority w:val="2"/>
    <w:rsid w:val="009D6B46"/>
    <w:rPr>
      <w:rFonts w:ascii="Arial" w:eastAsia="Times New Roman" w:hAnsi="Arial" w:cs="Times New Roman"/>
      <w:b/>
      <w:color w:val="283037"/>
    </w:rPr>
  </w:style>
  <w:style w:type="character" w:customStyle="1" w:styleId="Heading6Char">
    <w:name w:val="Heading 6 Char"/>
    <w:link w:val="Heading6"/>
    <w:uiPriority w:val="2"/>
    <w:rsid w:val="009D6B46"/>
    <w:rPr>
      <w:rFonts w:ascii="Arial" w:eastAsia="Times New Roman" w:hAnsi="Arial" w:cs="Times New Roman"/>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sz w:val="16"/>
      <w:szCs w:val="16"/>
    </w:rPr>
  </w:style>
  <w:style w:type="character" w:customStyle="1" w:styleId="CopyrighttextChar">
    <w:name w:val="Copyright text Char"/>
    <w:link w:val="Copyrighttext"/>
    <w:uiPriority w:val="2"/>
    <w:rsid w:val="00724A37"/>
    <w:rPr>
      <w:rFonts w:ascii="Arial" w:hAnsi="Arial"/>
      <w:color w:val="51626F"/>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tabs>
        <w:tab w:val="left" w:pos="680"/>
      </w:tabs>
    </w:pPr>
  </w:style>
  <w:style w:type="paragraph" w:customStyle="1" w:styleId="Numbered11">
    <w:name w:val="Numbered 1.1"/>
    <w:basedOn w:val="Heading2"/>
    <w:next w:val="Normal"/>
    <w:qFormat/>
    <w:rsid w:val="00F61B84"/>
    <w:pPr>
      <w:tabs>
        <w:tab w:val="left" w:pos="1021"/>
      </w:tabs>
    </w:pPr>
    <w:rPr>
      <w:rFonts w:cs="Arial"/>
      <w:b w:val="0"/>
    </w:rPr>
  </w:style>
  <w:style w:type="paragraph" w:customStyle="1" w:styleId="Numbered111">
    <w:name w:val="Numbered 1.1.1"/>
    <w:basedOn w:val="Heading3"/>
    <w:next w:val="Normal"/>
    <w:qFormat/>
    <w:rsid w:val="00F61B84"/>
    <w:pPr>
      <w:tabs>
        <w:tab w:val="left" w:pos="1361"/>
      </w:tabs>
      <w:contextualSpacing/>
    </w:pPr>
  </w:style>
  <w:style w:type="paragraph" w:customStyle="1" w:styleId="Numbered1111">
    <w:name w:val="Numbered 1.1.1.1"/>
    <w:basedOn w:val="Heading4"/>
    <w:next w:val="Normal"/>
    <w:rsid w:val="00F61B84"/>
    <w:pPr>
      <w:tabs>
        <w:tab w:val="left" w:pos="1361"/>
      </w:tabs>
    </w:pPr>
  </w:style>
  <w:style w:type="paragraph" w:customStyle="1" w:styleId="Numbered11111">
    <w:name w:val="Numbered 1.1.1.1.1"/>
    <w:basedOn w:val="Heading5"/>
    <w:next w:val="Normal"/>
    <w:uiPriority w:val="2"/>
    <w:rsid w:val="00F61B84"/>
    <w:pPr>
      <w:tabs>
        <w:tab w:val="left" w:pos="1701"/>
      </w:tabs>
    </w:pPr>
  </w:style>
  <w:style w:type="paragraph" w:customStyle="1" w:styleId="Numbered111111">
    <w:name w:val="Numbered 1.1.1.1.1.1"/>
    <w:basedOn w:val="Heading6"/>
    <w:next w:val="Normal"/>
    <w:uiPriority w:val="2"/>
    <w:rsid w:val="00F61B84"/>
    <w:pPr>
      <w:tabs>
        <w:tab w:val="left" w:pos="1701"/>
      </w:tabs>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sz w:val="18"/>
    </w:rPr>
  </w:style>
  <w:style w:type="character" w:customStyle="1" w:styleId="HeaderChar">
    <w:name w:val="Header Char"/>
    <w:link w:val="Header"/>
    <w:uiPriority w:val="99"/>
    <w:rsid w:val="008344F6"/>
    <w:rPr>
      <w:rFonts w:ascii="Arial" w:hAnsi="Arial"/>
      <w:color w:val="51626F"/>
      <w:sz w:val="18"/>
    </w:rPr>
  </w:style>
  <w:style w:type="paragraph" w:styleId="NoSpacing">
    <w:name w:val="No Spacing"/>
    <w:uiPriority w:val="1"/>
    <w:qFormat/>
    <w:rsid w:val="00724A37"/>
    <w:rPr>
      <w:sz w:val="22"/>
      <w:szCs w:val="22"/>
      <w:lang w:eastAsia="en-US"/>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link w:val="Tabletitle"/>
    <w:rsid w:val="00584D8F"/>
    <w:rPr>
      <w:rFonts w:ascii="Arial" w:hAnsi="Arial"/>
      <w:b/>
      <w:szCs w:val="20"/>
    </w:rPr>
  </w:style>
  <w:style w:type="paragraph" w:customStyle="1" w:styleId="Charttitle">
    <w:name w:val="Chart title"/>
    <w:basedOn w:val="Tabletitle"/>
    <w:rsid w:val="005C26CC"/>
    <w:rPr>
      <w:sz w:val="24"/>
    </w:rPr>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left w:val="single" w:sz="4" w:space="4" w:color="FFFFFF"/>
        <w:bottom w:val="single" w:sz="4" w:space="1" w:color="FFFFFF"/>
        <w:right w:val="single" w:sz="4" w:space="4" w:color="FFFFFF"/>
      </w:pBdr>
      <w:shd w:val="clear" w:color="auto" w:fill="F2F2F2"/>
      <w:spacing w:after="240"/>
    </w:pPr>
    <w:rPr>
      <w:szCs w:val="20"/>
    </w:rPr>
  </w:style>
  <w:style w:type="character" w:customStyle="1" w:styleId="BoxedtextChar">
    <w:name w:val="Boxed text Char"/>
    <w:link w:val="Boxedtext"/>
    <w:uiPriority w:val="1"/>
    <w:rsid w:val="00AE1BF1"/>
    <w:rPr>
      <w:rFonts w:ascii="Arial" w:hAnsi="Arial"/>
      <w:szCs w:val="20"/>
      <w:shd w:val="clear" w:color="auto" w:fill="F2F2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 w:val="22"/>
      <w:szCs w:val="24"/>
      <w:lang w:eastAsia="en-US"/>
    </w:rPr>
  </w:style>
  <w:style w:type="character" w:customStyle="1" w:styleId="PullquotetextChar">
    <w:name w:val="Pull quote text 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rPr>
  </w:style>
  <w:style w:type="character" w:customStyle="1" w:styleId="QuoteChar">
    <w:name w:val="Quote Char"/>
    <w:link w:val="Quote"/>
    <w:uiPriority w:val="29"/>
    <w:rsid w:val="001D055E"/>
    <w:rPr>
      <w:rFonts w:ascii="Arial" w:hAnsi="Arial"/>
      <w:i/>
      <w:iCs/>
      <w:color w:val="000000"/>
    </w:rPr>
  </w:style>
  <w:style w:type="paragraph" w:customStyle="1" w:styleId="Bulletpoint">
    <w:name w:val="Bullet point"/>
    <w:basedOn w:val="ListBullet"/>
    <w:qFormat/>
    <w:rsid w:val="00E4674F"/>
    <w:pPr>
      <w:numPr>
        <w:numId w:val="2"/>
      </w:numPr>
    </w:p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2"/>
      </w:numPr>
      <w:spacing w:before="120"/>
    </w:pPr>
    <w:rPr>
      <w:color w:val="000000"/>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imes New Roman" w:hAnsi="Lucida Fax"/>
      <w:bCs/>
      <w:color w:val="51626F"/>
      <w:sz w:val="32"/>
      <w:szCs w:val="28"/>
      <w:lang w:val="en-US" w:eastAsia="ja-JP"/>
    </w:rPr>
  </w:style>
  <w:style w:type="paragraph" w:styleId="ListNumber2">
    <w:name w:val="List Number 2"/>
    <w:next w:val="Normal"/>
    <w:uiPriority w:val="99"/>
    <w:rsid w:val="00BE4C99"/>
    <w:pPr>
      <w:numPr>
        <w:numId w:val="23"/>
      </w:numPr>
      <w:tabs>
        <w:tab w:val="left" w:pos="680"/>
      </w:tabs>
      <w:spacing w:before="120"/>
    </w:pPr>
    <w:rPr>
      <w:sz w:val="22"/>
      <w:szCs w:val="22"/>
      <w:lang w:eastAsia="en-US"/>
    </w:rPr>
  </w:style>
  <w:style w:type="character" w:styleId="Hyperlink">
    <w:name w:val="Hyperlink"/>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sz w:val="18"/>
    </w:rPr>
  </w:style>
  <w:style w:type="character" w:customStyle="1" w:styleId="FooterChar">
    <w:name w:val="Footer Char"/>
    <w:link w:val="Footer"/>
    <w:uiPriority w:val="99"/>
    <w:rsid w:val="00A57D04"/>
    <w:rPr>
      <w:rFonts w:ascii="Arial" w:hAnsi="Arial"/>
      <w:color w:val="51626F"/>
      <w:sz w:val="18"/>
    </w:rPr>
  </w:style>
  <w:style w:type="paragraph" w:styleId="ListParagraph">
    <w:name w:val="List Paragraph"/>
    <w:basedOn w:val="Normal"/>
    <w:uiPriority w:val="34"/>
    <w:qFormat/>
    <w:rsid w:val="00F61B84"/>
    <w:pPr>
      <w:numPr>
        <w:numId w:val="11"/>
      </w:numPr>
      <w:tabs>
        <w:tab w:val="left" w:pos="340"/>
      </w:tabs>
      <w:spacing w:before="120"/>
    </w:pPr>
  </w:style>
  <w:style w:type="character" w:customStyle="1" w:styleId="Heading7Char">
    <w:name w:val="Heading 7 Char"/>
    <w:link w:val="Heading7"/>
    <w:uiPriority w:val="2"/>
    <w:rsid w:val="009D6B46"/>
    <w:rPr>
      <w:rFonts w:ascii="Arial" w:eastAsia="Times New Roman" w:hAnsi="Arial" w:cs="Times New Roman"/>
      <w:i/>
      <w:iCs/>
      <w:color w:val="404040"/>
    </w:rPr>
  </w:style>
  <w:style w:type="character" w:customStyle="1" w:styleId="Heading8Char">
    <w:name w:val="Heading 8 Char"/>
    <w:link w:val="Heading8"/>
    <w:uiPriority w:val="2"/>
    <w:rsid w:val="009D6B46"/>
    <w:rPr>
      <w:rFonts w:ascii="Arial" w:eastAsia="Times New Roman" w:hAnsi="Arial" w:cs="Times New Roman"/>
      <w:color w:val="51626F"/>
      <w:szCs w:val="20"/>
    </w:rPr>
  </w:style>
  <w:style w:type="character" w:customStyle="1" w:styleId="Heading9Char">
    <w:name w:val="Heading 9 Char"/>
    <w:aliases w:val="Numbered Table Char"/>
    <w:link w:val="Heading9"/>
    <w:uiPriority w:val="2"/>
    <w:rsid w:val="00646025"/>
    <w:rPr>
      <w:rFonts w:eastAsia="Times New Roman"/>
      <w:b/>
      <w:iCs/>
      <w:color w:val="000000"/>
      <w:sz w:val="24"/>
      <w:lang w:eastAsia="en-US"/>
    </w:rPr>
  </w:style>
  <w:style w:type="paragraph" w:customStyle="1" w:styleId="Numbered1111111">
    <w:name w:val="Numbered 1.1.1.1.1.1.1"/>
    <w:basedOn w:val="Heading7"/>
    <w:next w:val="Normal"/>
    <w:uiPriority w:val="2"/>
    <w:rsid w:val="00F61B84"/>
    <w:pPr>
      <w:tabs>
        <w:tab w:val="left" w:pos="2041"/>
      </w:tabs>
    </w:pPr>
  </w:style>
  <w:style w:type="paragraph" w:customStyle="1" w:styleId="Numbered11111111">
    <w:name w:val="Numbered 1.1.1.1.1.1.1.1"/>
    <w:basedOn w:val="Heading8"/>
    <w:next w:val="Normal"/>
    <w:uiPriority w:val="2"/>
    <w:rsid w:val="00F61B84"/>
    <w:pPr>
      <w:tabs>
        <w:tab w:val="left" w:pos="2041"/>
      </w:tabs>
    </w:pPr>
  </w:style>
  <w:style w:type="table" w:styleId="TableGrid">
    <w:name w:val="Table Grid"/>
    <w:aliases w:val="ACCC Table"/>
    <w:basedOn w:val="TableNormal"/>
    <w:uiPriority w:val="59"/>
    <w:rsid w:val="00C53B5A"/>
    <w:pPr>
      <w:spacing w:before="60" w:after="60"/>
    </w:pPr>
    <w:tblPr>
      <w:tblBorders>
        <w:top w:val="single" w:sz="4" w:space="0" w:color="BFBFBF"/>
        <w:bottom w:val="single" w:sz="4" w:space="0" w:color="BFBF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left w:val="nil"/>
          <w:bottom w:val="single" w:sz="4" w:space="0" w:color="BFBF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tblPr>
      <w:tblBorders>
        <w:top w:val="single" w:sz="4" w:space="0" w:color="D5D6D2"/>
        <w:left w:val="single" w:sz="4" w:space="0" w:color="D5D6D2"/>
        <w:bottom w:val="single" w:sz="4" w:space="0" w:color="D5D6D2"/>
        <w:right w:val="single" w:sz="4" w:space="0" w:color="D5D6D2"/>
        <w:insideH w:val="single" w:sz="4" w:space="0" w:color="D5D6D2"/>
        <w:insideV w:val="single" w:sz="4" w:space="0" w:color="D5D6D2"/>
      </w:tblBorders>
    </w:tblPr>
    <w:tcPr>
      <w:shd w:val="clear" w:color="auto" w:fill="auto"/>
      <w:vAlign w:val="center"/>
    </w:tcPr>
    <w:tblStylePr w:type="firstRow">
      <w:pPr>
        <w:wordWrap/>
        <w:spacing w:beforeLines="0" w:before="120" w:beforeAutospacing="0" w:afterLines="0" w:after="120" w:afterAutospacing="0" w:line="240" w:lineRule="auto"/>
      </w:pPr>
      <w:rPr>
        <w:rFonts w:ascii="Arial" w:hAnsi="Arial"/>
        <w:b/>
        <w:bCs/>
        <w:sz w:val="20"/>
      </w:rPr>
      <w:tblPr/>
      <w:tcPr>
        <w:tcBorders>
          <w:top w:val="single" w:sz="4" w:space="0" w:color="D5D6D2"/>
          <w:left w:val="single" w:sz="4" w:space="0" w:color="D5D6D2"/>
          <w:bottom w:val="single" w:sz="4" w:space="0" w:color="D5D6D2"/>
          <w:right w:val="single" w:sz="4" w:space="0" w:color="D5D6D2"/>
          <w:insideH w:val="single" w:sz="4" w:space="0" w:color="D5D6D2"/>
          <w:insideV w:val="single" w:sz="4" w:space="0" w:color="D5D6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left w:val="single" w:sz="4" w:space="0" w:color="D5D6D2"/>
          <w:bottom w:val="single" w:sz="4" w:space="0" w:color="D5D6D2"/>
          <w:right w:val="single" w:sz="4" w:space="0" w:color="D5D6D2"/>
          <w:insideH w:val="single" w:sz="4" w:space="0" w:color="D5D6D2"/>
          <w:insideV w:val="single" w:sz="4" w:space="0" w:color="D5D6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rPr>
      <w:color w:val="3C4953"/>
    </w:rPr>
    <w:tblPr>
      <w:tblStyleRowBandSize w:val="1"/>
      <w:tblStyleColBandSize w:val="1"/>
      <w:tblBorders>
        <w:top w:val="single" w:sz="8" w:space="0" w:color="51626F"/>
        <w:bottom w:val="single" w:sz="8" w:space="0" w:color="51626F"/>
      </w:tblBorders>
    </w:tblPr>
    <w:tblStylePr w:type="firstRow">
      <w:pPr>
        <w:spacing w:before="0" w:after="0" w:line="240" w:lineRule="auto"/>
      </w:pPr>
      <w:rPr>
        <w:b/>
        <w:bCs/>
      </w:rPr>
      <w:tblPr/>
      <w:tcPr>
        <w:tcBorders>
          <w:top w:val="single" w:sz="8" w:space="0" w:color="51626F"/>
          <w:left w:val="nil"/>
          <w:bottom w:val="single" w:sz="8" w:space="0" w:color="51626F"/>
          <w:right w:val="nil"/>
          <w:insideH w:val="nil"/>
          <w:insideV w:val="nil"/>
        </w:tcBorders>
      </w:tcPr>
    </w:tblStylePr>
    <w:tblStylePr w:type="lastRow">
      <w:pPr>
        <w:spacing w:before="0" w:after="0" w:line="240" w:lineRule="auto"/>
      </w:pPr>
      <w:rPr>
        <w:b/>
        <w:bCs/>
      </w:rPr>
      <w:tblPr/>
      <w:tcPr>
        <w:tcBorders>
          <w:top w:val="single" w:sz="8" w:space="0" w:color="51626F"/>
          <w:left w:val="nil"/>
          <w:bottom w:val="single" w:sz="8" w:space="0" w:color="51626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cPr>
    </w:tblStylePr>
    <w:tblStylePr w:type="band1Horz">
      <w:tblPr/>
      <w:tcPr>
        <w:tcBorders>
          <w:left w:val="nil"/>
          <w:right w:val="nil"/>
          <w:insideH w:val="nil"/>
          <w:insideV w:val="nil"/>
        </w:tcBorders>
        <w:shd w:val="clear" w:color="auto" w:fill="D1D8DD"/>
      </w:tcPr>
    </w:tblStylePr>
  </w:style>
  <w:style w:type="table" w:styleId="LightShading-Accent2">
    <w:name w:val="Light Shading Accent 2"/>
    <w:basedOn w:val="TableNormal"/>
    <w:uiPriority w:val="60"/>
    <w:rsid w:val="00746E01"/>
    <w:rPr>
      <w:color w:val="000000"/>
    </w:rPr>
    <w:tblPr>
      <w:tblBorders>
        <w:top w:val="single" w:sz="4" w:space="0" w:color="B71202"/>
        <w:left w:val="single" w:sz="4" w:space="0" w:color="B71202"/>
        <w:bottom w:val="single" w:sz="4" w:space="0" w:color="B71202"/>
        <w:right w:val="single" w:sz="4" w:space="0" w:color="B71202"/>
        <w:insideH w:val="single" w:sz="4" w:space="0" w:color="B71202"/>
        <w:insideV w:val="single" w:sz="4" w:space="0" w:color="B71202"/>
      </w:tblBorders>
    </w:tblPr>
    <w:tcPr>
      <w:vAlign w:val="center"/>
    </w:tcPr>
    <w:tblStylePr w:type="firstRow">
      <w:pPr>
        <w:spacing w:before="0" w:after="0" w:line="240" w:lineRule="auto"/>
      </w:pPr>
      <w:rPr>
        <w:b w:val="0"/>
        <w:bCs/>
      </w:rPr>
      <w:tblPr/>
      <w:tcPr>
        <w:tcBorders>
          <w:top w:val="single" w:sz="4" w:space="0" w:color="B71202"/>
          <w:left w:val="single" w:sz="4" w:space="0" w:color="B71202"/>
          <w:bottom w:val="single" w:sz="4" w:space="0" w:color="B71202"/>
          <w:right w:val="single" w:sz="4" w:space="0" w:color="B71202"/>
          <w:insideH w:val="single" w:sz="4" w:space="0" w:color="B71202"/>
          <w:insideV w:val="single" w:sz="4" w:space="0" w:color="B71202"/>
          <w:tl2br w:val="nil"/>
          <w:tr2bl w:val="nil"/>
        </w:tcBorders>
      </w:tcPr>
    </w:tblStylePr>
    <w:tblStylePr w:type="lastRow">
      <w:pPr>
        <w:spacing w:before="0" w:after="0" w:line="240" w:lineRule="auto"/>
      </w:pPr>
      <w:rPr>
        <w:b w:val="0"/>
        <w:bCs/>
      </w:rPr>
      <w:tblPr/>
      <w:tcPr>
        <w:tcBorders>
          <w:top w:val="single" w:sz="4" w:space="0" w:color="B71202"/>
          <w:left w:val="single" w:sz="4" w:space="0" w:color="B71202"/>
          <w:bottom w:val="single" w:sz="4" w:space="0" w:color="B71202"/>
          <w:right w:val="single" w:sz="4" w:space="0" w:color="B71202"/>
          <w:insideH w:val="single" w:sz="4" w:space="0" w:color="B71202"/>
          <w:insideV w:val="single" w:sz="4" w:space="0" w:color="B71202"/>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rPr>
      <w:color w:val="007192"/>
    </w:rPr>
    <w:tblPr>
      <w:tblStyleRowBandSize w:val="1"/>
      <w:tblStyleColBandSize w:val="1"/>
      <w:tblBorders>
        <w:top w:val="single" w:sz="8" w:space="0" w:color="0098C3"/>
        <w:bottom w:val="single" w:sz="8" w:space="0" w:color="0098C3"/>
      </w:tblBorders>
    </w:tblPr>
    <w:tblStylePr w:type="firstRow">
      <w:pPr>
        <w:spacing w:before="0" w:after="0" w:line="240" w:lineRule="auto"/>
      </w:pPr>
      <w:rPr>
        <w:b/>
        <w:bCs/>
      </w:rPr>
      <w:tblPr/>
      <w:tcPr>
        <w:tcBorders>
          <w:top w:val="single" w:sz="8" w:space="0" w:color="0098C3"/>
          <w:left w:val="nil"/>
          <w:bottom w:val="single" w:sz="8" w:space="0" w:color="0098C3"/>
          <w:right w:val="nil"/>
          <w:insideH w:val="nil"/>
          <w:insideV w:val="nil"/>
        </w:tcBorders>
      </w:tcPr>
    </w:tblStylePr>
    <w:tblStylePr w:type="lastRow">
      <w:pPr>
        <w:spacing w:before="0" w:after="0" w:line="240" w:lineRule="auto"/>
      </w:pPr>
      <w:rPr>
        <w:b/>
        <w:bCs/>
      </w:rPr>
      <w:tblPr/>
      <w:tcPr>
        <w:tcBorders>
          <w:top w:val="single" w:sz="8" w:space="0" w:color="0098C3"/>
          <w:left w:val="nil"/>
          <w:bottom w:val="single" w:sz="8" w:space="0" w:color="0098C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cPr>
    </w:tblStylePr>
    <w:tblStylePr w:type="band1Horz">
      <w:tblPr/>
      <w:tcPr>
        <w:tcBorders>
          <w:left w:val="nil"/>
          <w:right w:val="nil"/>
          <w:insideH w:val="nil"/>
          <w:insideV w:val="nil"/>
        </w:tcBorders>
        <w:shd w:val="clear" w:color="auto" w:fill="B1EDFF"/>
      </w:tcPr>
    </w:tblStylePr>
  </w:style>
  <w:style w:type="table" w:styleId="LightGrid-Accent6">
    <w:name w:val="Light Grid Accent 6"/>
    <w:basedOn w:val="TableNormal"/>
    <w:uiPriority w:val="62"/>
    <w:rsid w:val="00A871F4"/>
    <w:tblPr>
      <w:tblStyleRowBandSize w:val="1"/>
      <w:tblStyleColBandSize w:val="1"/>
      <w:tblBorders>
        <w:top w:val="single" w:sz="8" w:space="0" w:color="DC5034"/>
        <w:left w:val="single" w:sz="8" w:space="0" w:color="DC5034"/>
        <w:bottom w:val="single" w:sz="8" w:space="0" w:color="DC5034"/>
        <w:right w:val="single" w:sz="8" w:space="0" w:color="DC5034"/>
        <w:insideH w:val="single" w:sz="8" w:space="0" w:color="DC5034"/>
        <w:insideV w:val="single" w:sz="8" w:space="0" w:color="DC5034"/>
      </w:tblBorders>
    </w:tblPr>
    <w:tblStylePr w:type="firstRow">
      <w:pPr>
        <w:spacing w:before="0" w:after="0" w:line="240" w:lineRule="auto"/>
      </w:pPr>
      <w:rPr>
        <w:rFonts w:ascii="Lucida Fax" w:eastAsia="Times New Roman" w:hAnsi="Lucida Fax" w:cs="Times New Roman"/>
        <w:b/>
        <w:bCs/>
      </w:rPr>
      <w:tblPr/>
      <w:tcPr>
        <w:tcBorders>
          <w:top w:val="single" w:sz="8" w:space="0" w:color="DC5034"/>
          <w:left w:val="single" w:sz="8" w:space="0" w:color="DC5034"/>
          <w:bottom w:val="single" w:sz="18" w:space="0" w:color="DC5034"/>
          <w:right w:val="single" w:sz="8" w:space="0" w:color="DC5034"/>
          <w:insideH w:val="nil"/>
          <w:insideV w:val="single" w:sz="8" w:space="0" w:color="DC5034"/>
        </w:tcBorders>
      </w:tcPr>
    </w:tblStylePr>
    <w:tblStylePr w:type="lastRow">
      <w:pPr>
        <w:spacing w:before="0" w:after="0" w:line="240" w:lineRule="auto"/>
      </w:pPr>
      <w:rPr>
        <w:rFonts w:ascii="Lucida Fax" w:eastAsia="Times New Roman" w:hAnsi="Lucida Fax" w:cs="Times New Roman"/>
        <w:b/>
        <w:bCs/>
      </w:rPr>
      <w:tblPr/>
      <w:tcPr>
        <w:tcBorders>
          <w:top w:val="double" w:sz="6" w:space="0" w:color="DC5034"/>
          <w:left w:val="single" w:sz="8" w:space="0" w:color="DC5034"/>
          <w:bottom w:val="single" w:sz="8" w:space="0" w:color="DC5034"/>
          <w:right w:val="single" w:sz="8" w:space="0" w:color="DC5034"/>
          <w:insideH w:val="nil"/>
          <w:insideV w:val="single" w:sz="8" w:space="0" w:color="DC5034"/>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DC5034"/>
          <w:left w:val="single" w:sz="8" w:space="0" w:color="DC5034"/>
          <w:bottom w:val="single" w:sz="8" w:space="0" w:color="DC5034"/>
          <w:right w:val="single" w:sz="8" w:space="0" w:color="DC5034"/>
        </w:tcBorders>
      </w:tcPr>
    </w:tblStylePr>
    <w:tblStylePr w:type="band1Vert">
      <w:tblPr/>
      <w:tcPr>
        <w:tcBorders>
          <w:top w:val="single" w:sz="8" w:space="0" w:color="DC5034"/>
          <w:left w:val="single" w:sz="8" w:space="0" w:color="DC5034"/>
          <w:bottom w:val="single" w:sz="8" w:space="0" w:color="DC5034"/>
          <w:right w:val="single" w:sz="8" w:space="0" w:color="DC5034"/>
        </w:tcBorders>
        <w:shd w:val="clear" w:color="auto" w:fill="F6D3CC"/>
      </w:tcPr>
    </w:tblStylePr>
    <w:tblStylePr w:type="band1Horz">
      <w:tblPr/>
      <w:tcPr>
        <w:tcBorders>
          <w:top w:val="single" w:sz="8" w:space="0" w:color="DC5034"/>
          <w:left w:val="single" w:sz="8" w:space="0" w:color="DC5034"/>
          <w:bottom w:val="single" w:sz="8" w:space="0" w:color="DC5034"/>
          <w:right w:val="single" w:sz="8" w:space="0" w:color="DC5034"/>
          <w:insideV w:val="single" w:sz="8" w:space="0" w:color="DC5034"/>
        </w:tcBorders>
        <w:shd w:val="clear" w:color="auto" w:fill="F6D3CC"/>
      </w:tcPr>
    </w:tblStylePr>
    <w:tblStylePr w:type="band2Horz">
      <w:tblPr/>
      <w:tcPr>
        <w:tcBorders>
          <w:top w:val="single" w:sz="8" w:space="0" w:color="DC5034"/>
          <w:left w:val="single" w:sz="8" w:space="0" w:color="DC5034"/>
          <w:bottom w:val="single" w:sz="8" w:space="0" w:color="DC5034"/>
          <w:right w:val="single" w:sz="8" w:space="0" w:color="DC5034"/>
          <w:insideV w:val="single" w:sz="8" w:space="0" w:color="DC5034"/>
        </w:tcBorders>
      </w:tcPr>
    </w:tblStylePr>
  </w:style>
  <w:style w:type="table" w:styleId="MediumShading1">
    <w:name w:val="Medium Shading 1"/>
    <w:basedOn w:val="TableNormal"/>
    <w:uiPriority w:val="63"/>
    <w:rsid w:val="00A871F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tblPr>
      <w:tblStyleRowBandSize w:val="1"/>
      <w:tblStyleColBandSize w:val="1"/>
      <w:tblBorders>
        <w:top w:val="single" w:sz="8" w:space="0" w:color="758A9A"/>
        <w:left w:val="single" w:sz="8" w:space="0" w:color="758A9A"/>
        <w:bottom w:val="single" w:sz="8" w:space="0" w:color="758A9A"/>
        <w:right w:val="single" w:sz="8" w:space="0" w:color="758A9A"/>
        <w:insideH w:val="single" w:sz="8" w:space="0" w:color="758A9A"/>
      </w:tblBorders>
    </w:tblPr>
    <w:tblStylePr w:type="firstRow">
      <w:pPr>
        <w:spacing w:before="0" w:after="0" w:line="240" w:lineRule="auto"/>
      </w:pPr>
      <w:rPr>
        <w:b/>
        <w:bCs/>
        <w:color w:val="FFFFFF"/>
      </w:rPr>
      <w:tblPr/>
      <w:tcPr>
        <w:tcBorders>
          <w:top w:val="single" w:sz="8" w:space="0" w:color="758A9A"/>
          <w:left w:val="single" w:sz="8" w:space="0" w:color="758A9A"/>
          <w:bottom w:val="single" w:sz="8" w:space="0" w:color="758A9A"/>
          <w:right w:val="single" w:sz="8" w:space="0" w:color="758A9A"/>
          <w:insideH w:val="nil"/>
          <w:insideV w:val="nil"/>
        </w:tcBorders>
        <w:shd w:val="clear" w:color="auto" w:fill="51626F"/>
      </w:tcPr>
    </w:tblStylePr>
    <w:tblStylePr w:type="lastRow">
      <w:pPr>
        <w:spacing w:before="0" w:after="0" w:line="240" w:lineRule="auto"/>
      </w:pPr>
      <w:rPr>
        <w:b/>
        <w:bCs/>
      </w:rPr>
      <w:tblPr/>
      <w:tcPr>
        <w:tcBorders>
          <w:top w:val="double" w:sz="6" w:space="0" w:color="758A9A"/>
          <w:left w:val="single" w:sz="8" w:space="0" w:color="758A9A"/>
          <w:bottom w:val="single" w:sz="8" w:space="0" w:color="758A9A"/>
          <w:right w:val="single" w:sz="8" w:space="0" w:color="758A9A"/>
          <w:insideH w:val="nil"/>
          <w:insideV w:val="nil"/>
        </w:tcBorders>
      </w:tcPr>
    </w:tblStylePr>
    <w:tblStylePr w:type="firstCol">
      <w:rPr>
        <w:b/>
        <w:bCs/>
      </w:rPr>
    </w:tblStylePr>
    <w:tblStylePr w:type="lastCol">
      <w:rPr>
        <w:b/>
        <w:bCs/>
      </w:rPr>
    </w:tblStylePr>
    <w:tblStylePr w:type="band1Vert">
      <w:tblPr/>
      <w:tcPr>
        <w:shd w:val="clear" w:color="auto" w:fill="D1D8DD"/>
      </w:tcPr>
    </w:tblStylePr>
    <w:tblStylePr w:type="band1Horz">
      <w:tblPr/>
      <w:tcPr>
        <w:tcBorders>
          <w:insideH w:val="nil"/>
          <w:insideV w:val="nil"/>
        </w:tcBorders>
        <w:shd w:val="clear" w:color="auto" w:fill="D1D8DD"/>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tblPr>
      <w:tblStyleRowBandSize w:val="1"/>
      <w:tblStyleColBandSize w:val="1"/>
      <w:tblBorders>
        <w:top w:val="single" w:sz="8" w:space="0" w:color="7643BB"/>
        <w:left w:val="single" w:sz="8" w:space="0" w:color="7643BB"/>
        <w:bottom w:val="single" w:sz="8" w:space="0" w:color="7643BB"/>
        <w:right w:val="single" w:sz="8" w:space="0" w:color="7643BB"/>
        <w:insideH w:val="single" w:sz="8" w:space="0" w:color="7643BB"/>
      </w:tblBorders>
    </w:tblPr>
    <w:tblStylePr w:type="firstRow">
      <w:pPr>
        <w:spacing w:before="0" w:after="0" w:line="240" w:lineRule="auto"/>
      </w:pPr>
      <w:rPr>
        <w:b/>
        <w:bCs/>
        <w:color w:val="FFFFFF"/>
      </w:rPr>
      <w:tblPr/>
      <w:tcPr>
        <w:tcBorders>
          <w:top w:val="single" w:sz="8" w:space="0" w:color="7643BB"/>
          <w:left w:val="single" w:sz="8" w:space="0" w:color="7643BB"/>
          <w:bottom w:val="single" w:sz="8" w:space="0" w:color="7643BB"/>
          <w:right w:val="single" w:sz="8" w:space="0" w:color="7643BB"/>
          <w:insideH w:val="nil"/>
          <w:insideV w:val="nil"/>
        </w:tcBorders>
        <w:shd w:val="clear" w:color="auto" w:fill="4F2D7D"/>
      </w:tcPr>
    </w:tblStylePr>
    <w:tblStylePr w:type="lastRow">
      <w:pPr>
        <w:spacing w:before="0" w:after="0" w:line="240" w:lineRule="auto"/>
      </w:pPr>
      <w:rPr>
        <w:b/>
        <w:bCs/>
      </w:rPr>
      <w:tblPr/>
      <w:tcPr>
        <w:tcBorders>
          <w:top w:val="double" w:sz="6" w:space="0" w:color="7643BB"/>
          <w:left w:val="single" w:sz="8" w:space="0" w:color="7643BB"/>
          <w:bottom w:val="single" w:sz="8" w:space="0" w:color="7643BB"/>
          <w:right w:val="single" w:sz="8" w:space="0" w:color="7643BB"/>
          <w:insideH w:val="nil"/>
          <w:insideV w:val="nil"/>
        </w:tcBorders>
      </w:tcPr>
    </w:tblStylePr>
    <w:tblStylePr w:type="firstCol">
      <w:rPr>
        <w:b/>
        <w:bCs/>
      </w:rPr>
    </w:tblStylePr>
    <w:tblStylePr w:type="lastCol">
      <w:rPr>
        <w:b/>
        <w:bCs/>
      </w:rPr>
    </w:tblStylePr>
    <w:tblStylePr w:type="band1Vert">
      <w:tblPr/>
      <w:tcPr>
        <w:shd w:val="clear" w:color="auto" w:fill="D1C1E8"/>
      </w:tcPr>
    </w:tblStylePr>
    <w:tblStylePr w:type="band1Horz">
      <w:tblPr/>
      <w:tcPr>
        <w:tcBorders>
          <w:insideH w:val="nil"/>
          <w:insideV w:val="nil"/>
        </w:tcBorders>
        <w:shd w:val="clear" w:color="auto" w:fill="D1C1E8"/>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tblPr>
      <w:tblStyleRowBandSize w:val="1"/>
      <w:tblStyleColBandSize w:val="1"/>
      <w:tblBorders>
        <w:top w:val="single" w:sz="8" w:space="0" w:color="13CAFF"/>
        <w:left w:val="single" w:sz="8" w:space="0" w:color="13CAFF"/>
        <w:bottom w:val="single" w:sz="8" w:space="0" w:color="13CAFF"/>
        <w:right w:val="single" w:sz="8" w:space="0" w:color="13CAFF"/>
        <w:insideH w:val="single" w:sz="8" w:space="0" w:color="13CAFF"/>
      </w:tblBorders>
    </w:tblPr>
    <w:tblStylePr w:type="firstRow">
      <w:pPr>
        <w:spacing w:before="0" w:after="0" w:line="240" w:lineRule="auto"/>
      </w:pPr>
      <w:rPr>
        <w:b/>
        <w:bCs/>
        <w:color w:val="FFFFFF"/>
      </w:rPr>
      <w:tblPr/>
      <w:tcPr>
        <w:tcBorders>
          <w:top w:val="single" w:sz="8" w:space="0" w:color="13CAFF"/>
          <w:left w:val="single" w:sz="8" w:space="0" w:color="13CAFF"/>
          <w:bottom w:val="single" w:sz="8" w:space="0" w:color="13CAFF"/>
          <w:right w:val="single" w:sz="8" w:space="0" w:color="13CAFF"/>
          <w:insideH w:val="nil"/>
          <w:insideV w:val="nil"/>
        </w:tcBorders>
        <w:shd w:val="clear" w:color="auto" w:fill="0098C3"/>
      </w:tcPr>
    </w:tblStylePr>
    <w:tblStylePr w:type="lastRow">
      <w:pPr>
        <w:spacing w:before="0" w:after="0" w:line="240" w:lineRule="auto"/>
      </w:pPr>
      <w:rPr>
        <w:b/>
        <w:bCs/>
      </w:rPr>
      <w:tblPr/>
      <w:tcPr>
        <w:tcBorders>
          <w:top w:val="double" w:sz="6" w:space="0" w:color="13CAFF"/>
          <w:left w:val="single" w:sz="8" w:space="0" w:color="13CAFF"/>
          <w:bottom w:val="single" w:sz="8" w:space="0" w:color="13CAFF"/>
          <w:right w:val="single" w:sz="8" w:space="0" w:color="13CAFF"/>
          <w:insideH w:val="nil"/>
          <w:insideV w:val="nil"/>
        </w:tcBorders>
      </w:tcPr>
    </w:tblStylePr>
    <w:tblStylePr w:type="firstCol">
      <w:rPr>
        <w:b/>
        <w:bCs/>
      </w:rPr>
    </w:tblStylePr>
    <w:tblStylePr w:type="lastCol">
      <w:rPr>
        <w:b/>
        <w:bCs/>
      </w:rPr>
    </w:tblStylePr>
    <w:tblStylePr w:type="band1Vert">
      <w:tblPr/>
      <w:tcPr>
        <w:shd w:val="clear" w:color="auto" w:fill="B1EDFF"/>
      </w:tcPr>
    </w:tblStylePr>
    <w:tblStylePr w:type="band1Horz">
      <w:tblPr/>
      <w:tcPr>
        <w:tcBorders>
          <w:insideH w:val="nil"/>
          <w:insideV w:val="nil"/>
        </w:tcBorders>
        <w:shd w:val="clear" w:color="auto" w:fill="B1EDF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tblPr>
      <w:tblStyleRowBandSize w:val="1"/>
      <w:tblStyleColBandSize w:val="1"/>
      <w:tblBorders>
        <w:top w:val="single" w:sz="8" w:space="0" w:color="B7DAF0"/>
        <w:left w:val="single" w:sz="8" w:space="0" w:color="B7DAF0"/>
        <w:bottom w:val="single" w:sz="8" w:space="0" w:color="B7DAF0"/>
        <w:right w:val="single" w:sz="8" w:space="0" w:color="B7DAF0"/>
        <w:insideH w:val="single" w:sz="8" w:space="0" w:color="B7DAF0"/>
      </w:tblBorders>
    </w:tblPr>
    <w:tblStylePr w:type="firstRow">
      <w:pPr>
        <w:spacing w:before="0" w:after="0" w:line="240" w:lineRule="auto"/>
      </w:pPr>
      <w:rPr>
        <w:b/>
        <w:bCs/>
        <w:color w:val="FFFFFF"/>
      </w:rPr>
      <w:tblPr/>
      <w:tcPr>
        <w:tcBorders>
          <w:top w:val="single" w:sz="8" w:space="0" w:color="B7DAF0"/>
          <w:left w:val="single" w:sz="8" w:space="0" w:color="B7DAF0"/>
          <w:bottom w:val="single" w:sz="8" w:space="0" w:color="B7DAF0"/>
          <w:right w:val="single" w:sz="8" w:space="0" w:color="B7DAF0"/>
          <w:insideH w:val="nil"/>
          <w:insideV w:val="nil"/>
        </w:tcBorders>
        <w:shd w:val="clear" w:color="auto" w:fill="A0CFEB"/>
      </w:tcPr>
    </w:tblStylePr>
    <w:tblStylePr w:type="lastRow">
      <w:pPr>
        <w:spacing w:before="0" w:after="0" w:line="240" w:lineRule="auto"/>
      </w:pPr>
      <w:rPr>
        <w:b/>
        <w:bCs/>
      </w:rPr>
      <w:tblPr/>
      <w:tcPr>
        <w:tcBorders>
          <w:top w:val="double" w:sz="6" w:space="0" w:color="B7DAF0"/>
          <w:left w:val="single" w:sz="8" w:space="0" w:color="B7DAF0"/>
          <w:bottom w:val="single" w:sz="8" w:space="0" w:color="B7DAF0"/>
          <w:right w:val="single" w:sz="8" w:space="0" w:color="B7DAF0"/>
          <w:insideH w:val="nil"/>
          <w:insideV w:val="nil"/>
        </w:tcBorders>
      </w:tcPr>
    </w:tblStylePr>
    <w:tblStylePr w:type="firstCol">
      <w:rPr>
        <w:b/>
        <w:bCs/>
      </w:rPr>
    </w:tblStylePr>
    <w:tblStylePr w:type="lastCol">
      <w:rPr>
        <w:b/>
        <w:bCs/>
      </w:rPr>
    </w:tblStylePr>
    <w:tblStylePr w:type="band1Vert">
      <w:tblPr/>
      <w:tcPr>
        <w:shd w:val="clear" w:color="auto" w:fill="E7F3FA"/>
      </w:tcPr>
    </w:tblStylePr>
    <w:tblStylePr w:type="band1Horz">
      <w:tblPr/>
      <w:tcPr>
        <w:tcBorders>
          <w:insideH w:val="nil"/>
          <w:insideV w:val="nil"/>
        </w:tcBorders>
        <w:shd w:val="clear" w:color="auto" w:fill="E7F3FA"/>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tblPr>
      <w:tblStyleRowBandSize w:val="1"/>
      <w:tblStyleColBandSize w:val="1"/>
      <w:tblBorders>
        <w:top w:val="single" w:sz="8" w:space="0" w:color="FC220E"/>
        <w:left w:val="single" w:sz="8" w:space="0" w:color="FC220E"/>
        <w:bottom w:val="single" w:sz="8" w:space="0" w:color="FC220E"/>
        <w:right w:val="single" w:sz="8" w:space="0" w:color="FC220E"/>
        <w:insideH w:val="single" w:sz="8" w:space="0" w:color="FC220E"/>
      </w:tblBorders>
    </w:tblPr>
    <w:tblStylePr w:type="firstRow">
      <w:pPr>
        <w:spacing w:before="0" w:after="0" w:line="240" w:lineRule="auto"/>
      </w:pPr>
      <w:rPr>
        <w:b/>
        <w:bCs/>
        <w:color w:val="FFFFFF"/>
      </w:rPr>
      <w:tblPr/>
      <w:tcPr>
        <w:tcBorders>
          <w:top w:val="single" w:sz="8" w:space="0" w:color="FC220E"/>
          <w:left w:val="single" w:sz="8" w:space="0" w:color="FC220E"/>
          <w:bottom w:val="single" w:sz="8" w:space="0" w:color="FC220E"/>
          <w:right w:val="single" w:sz="8" w:space="0" w:color="FC220E"/>
          <w:insideH w:val="nil"/>
          <w:insideV w:val="nil"/>
        </w:tcBorders>
        <w:shd w:val="clear" w:color="auto" w:fill="B71202"/>
      </w:tcPr>
    </w:tblStylePr>
    <w:tblStylePr w:type="lastRow">
      <w:pPr>
        <w:spacing w:before="0" w:after="0" w:line="240" w:lineRule="auto"/>
      </w:pPr>
      <w:rPr>
        <w:b/>
        <w:bCs/>
      </w:rPr>
      <w:tblPr/>
      <w:tcPr>
        <w:tcBorders>
          <w:top w:val="double" w:sz="6" w:space="0" w:color="FC220E"/>
          <w:left w:val="single" w:sz="8" w:space="0" w:color="FC220E"/>
          <w:bottom w:val="single" w:sz="8" w:space="0" w:color="FC220E"/>
          <w:right w:val="single" w:sz="8" w:space="0" w:color="FC220E"/>
          <w:insideH w:val="nil"/>
          <w:insideV w:val="nil"/>
        </w:tcBorders>
      </w:tcPr>
    </w:tblStylePr>
    <w:tblStylePr w:type="firstCol">
      <w:rPr>
        <w:b/>
        <w:bCs/>
      </w:rPr>
    </w:tblStylePr>
    <w:tblStylePr w:type="lastCol">
      <w:rPr>
        <w:b/>
        <w:bCs/>
      </w:rPr>
    </w:tblStylePr>
    <w:tblStylePr w:type="band1Vert">
      <w:tblPr/>
      <w:tcPr>
        <w:shd w:val="clear" w:color="auto" w:fill="FEB6AF"/>
      </w:tcPr>
    </w:tblStylePr>
    <w:tblStylePr w:type="band1Horz">
      <w:tblPr/>
      <w:tcPr>
        <w:tcBorders>
          <w:insideH w:val="nil"/>
          <w:insideV w:val="nil"/>
        </w:tcBorders>
        <w:shd w:val="clear" w:color="auto" w:fill="FEB6AF"/>
      </w:tcPr>
    </w:tblStylePr>
    <w:tblStylePr w:type="band2Horz">
      <w:tblPr/>
      <w:tcPr>
        <w:tcBorders>
          <w:insideH w:val="nil"/>
          <w:insideV w:val="nil"/>
        </w:tcBorders>
      </w:tcPr>
    </w:tblStylePr>
  </w:style>
  <w:style w:type="table" w:styleId="LightList">
    <w:name w:val="Light List"/>
    <w:basedOn w:val="TableNormal"/>
    <w:uiPriority w:val="61"/>
    <w:rsid w:val="00A871F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5">
    <w:name w:val="Light Shading Accent 5"/>
    <w:basedOn w:val="TableNormal"/>
    <w:uiPriority w:val="60"/>
    <w:rsid w:val="00A871F4"/>
    <w:rPr>
      <w:color w:val="880D01"/>
    </w:rPr>
    <w:tblPr>
      <w:tblStyleRowBandSize w:val="1"/>
      <w:tblStyleColBandSize w:val="1"/>
      <w:tblBorders>
        <w:top w:val="single" w:sz="8" w:space="0" w:color="B71202"/>
        <w:bottom w:val="single" w:sz="8" w:space="0" w:color="B71202"/>
      </w:tblBorders>
    </w:tblPr>
    <w:tblStylePr w:type="firstRow">
      <w:pPr>
        <w:spacing w:before="0" w:after="0" w:line="240" w:lineRule="auto"/>
      </w:pPr>
      <w:rPr>
        <w:b/>
        <w:bCs/>
      </w:rPr>
      <w:tblPr/>
      <w:tcPr>
        <w:tcBorders>
          <w:top w:val="single" w:sz="8" w:space="0" w:color="B71202"/>
          <w:left w:val="nil"/>
          <w:bottom w:val="single" w:sz="8" w:space="0" w:color="B71202"/>
          <w:right w:val="nil"/>
          <w:insideH w:val="nil"/>
          <w:insideV w:val="nil"/>
        </w:tcBorders>
      </w:tcPr>
    </w:tblStylePr>
    <w:tblStylePr w:type="lastRow">
      <w:pPr>
        <w:spacing w:before="0" w:after="0" w:line="240" w:lineRule="auto"/>
      </w:pPr>
      <w:rPr>
        <w:b/>
        <w:bCs/>
      </w:rPr>
      <w:tblPr/>
      <w:tcPr>
        <w:tcBorders>
          <w:top w:val="single" w:sz="8" w:space="0" w:color="B71202"/>
          <w:left w:val="nil"/>
          <w:bottom w:val="single" w:sz="8" w:space="0" w:color="B7120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cPr>
    </w:tblStylePr>
    <w:tblStylePr w:type="band1Horz">
      <w:tblPr/>
      <w:tcPr>
        <w:tcBorders>
          <w:left w:val="nil"/>
          <w:right w:val="nil"/>
          <w:insideH w:val="nil"/>
          <w:insideV w:val="nil"/>
        </w:tcBorders>
        <w:shd w:val="clear" w:color="auto" w:fill="FEB6AF"/>
      </w:tcPr>
    </w:tblStylePr>
  </w:style>
  <w:style w:type="table" w:styleId="LightGrid-Accent3">
    <w:name w:val="Light Grid Accent 3"/>
    <w:basedOn w:val="TableNormal"/>
    <w:uiPriority w:val="62"/>
    <w:rsid w:val="00A871F4"/>
    <w:tblPr>
      <w:tblStyleRowBandSize w:val="1"/>
      <w:tblStyleColBandSize w:val="1"/>
      <w:tblBorders>
        <w:top w:val="single" w:sz="8" w:space="0" w:color="0098C3"/>
        <w:left w:val="single" w:sz="8" w:space="0" w:color="0098C3"/>
        <w:bottom w:val="single" w:sz="8" w:space="0" w:color="0098C3"/>
        <w:right w:val="single" w:sz="8" w:space="0" w:color="0098C3"/>
        <w:insideH w:val="single" w:sz="8" w:space="0" w:color="0098C3"/>
        <w:insideV w:val="single" w:sz="8" w:space="0" w:color="0098C3"/>
      </w:tblBorders>
    </w:tblPr>
    <w:tblStylePr w:type="firstRow">
      <w:pPr>
        <w:spacing w:before="0" w:after="0" w:line="240" w:lineRule="auto"/>
      </w:pPr>
      <w:rPr>
        <w:rFonts w:ascii="Lucida Fax" w:eastAsia="Times New Roman" w:hAnsi="Lucida Fax" w:cs="Times New Roman"/>
        <w:b/>
        <w:bCs/>
      </w:rPr>
      <w:tblPr/>
      <w:tcPr>
        <w:tcBorders>
          <w:top w:val="single" w:sz="8" w:space="0" w:color="0098C3"/>
          <w:left w:val="single" w:sz="8" w:space="0" w:color="0098C3"/>
          <w:bottom w:val="single" w:sz="18" w:space="0" w:color="0098C3"/>
          <w:right w:val="single" w:sz="8" w:space="0" w:color="0098C3"/>
          <w:insideH w:val="nil"/>
          <w:insideV w:val="single" w:sz="8" w:space="0" w:color="0098C3"/>
        </w:tcBorders>
      </w:tcPr>
    </w:tblStylePr>
    <w:tblStylePr w:type="lastRow">
      <w:pPr>
        <w:spacing w:before="0" w:after="0" w:line="240" w:lineRule="auto"/>
      </w:pPr>
      <w:rPr>
        <w:rFonts w:ascii="Lucida Fax" w:eastAsia="Times New Roman" w:hAnsi="Lucida Fax" w:cs="Times New Roman"/>
        <w:b/>
        <w:bCs/>
      </w:rPr>
      <w:tblPr/>
      <w:tcPr>
        <w:tcBorders>
          <w:top w:val="double" w:sz="6" w:space="0" w:color="0098C3"/>
          <w:left w:val="single" w:sz="8" w:space="0" w:color="0098C3"/>
          <w:bottom w:val="single" w:sz="8" w:space="0" w:color="0098C3"/>
          <w:right w:val="single" w:sz="8" w:space="0" w:color="0098C3"/>
          <w:insideH w:val="nil"/>
          <w:insideV w:val="single" w:sz="8" w:space="0" w:color="0098C3"/>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0098C3"/>
          <w:left w:val="single" w:sz="8" w:space="0" w:color="0098C3"/>
          <w:bottom w:val="single" w:sz="8" w:space="0" w:color="0098C3"/>
          <w:right w:val="single" w:sz="8" w:space="0" w:color="0098C3"/>
        </w:tcBorders>
      </w:tcPr>
    </w:tblStylePr>
    <w:tblStylePr w:type="band1Vert">
      <w:tblPr/>
      <w:tcPr>
        <w:tcBorders>
          <w:top w:val="single" w:sz="8" w:space="0" w:color="0098C3"/>
          <w:left w:val="single" w:sz="8" w:space="0" w:color="0098C3"/>
          <w:bottom w:val="single" w:sz="8" w:space="0" w:color="0098C3"/>
          <w:right w:val="single" w:sz="8" w:space="0" w:color="0098C3"/>
        </w:tcBorders>
        <w:shd w:val="clear" w:color="auto" w:fill="B1EDFF"/>
      </w:tcPr>
    </w:tblStylePr>
    <w:tblStylePr w:type="band1Horz">
      <w:tblPr/>
      <w:tcPr>
        <w:tcBorders>
          <w:top w:val="single" w:sz="8" w:space="0" w:color="0098C3"/>
          <w:left w:val="single" w:sz="8" w:space="0" w:color="0098C3"/>
          <w:bottom w:val="single" w:sz="8" w:space="0" w:color="0098C3"/>
          <w:right w:val="single" w:sz="8" w:space="0" w:color="0098C3"/>
          <w:insideV w:val="single" w:sz="8" w:space="0" w:color="0098C3"/>
        </w:tcBorders>
        <w:shd w:val="clear" w:color="auto" w:fill="B1EDFF"/>
      </w:tcPr>
    </w:tblStylePr>
    <w:tblStylePr w:type="band2Horz">
      <w:tblPr/>
      <w:tcPr>
        <w:tcBorders>
          <w:top w:val="single" w:sz="8" w:space="0" w:color="0098C3"/>
          <w:left w:val="single" w:sz="8" w:space="0" w:color="0098C3"/>
          <w:bottom w:val="single" w:sz="8" w:space="0" w:color="0098C3"/>
          <w:right w:val="single" w:sz="8" w:space="0" w:color="0098C3"/>
          <w:insideV w:val="single" w:sz="8" w:space="0" w:color="0098C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Lucida Fax" w:eastAsia="Times New Roman" w:hAnsi="Lucida Fax"/>
      <w:color w:val="4F2D7D"/>
      <w:spacing w:val="5"/>
      <w:kern w:val="28"/>
      <w:sz w:val="72"/>
      <w:szCs w:val="52"/>
    </w:rPr>
  </w:style>
  <w:style w:type="character" w:customStyle="1" w:styleId="TitleChar">
    <w:name w:val="Title Char"/>
    <w:link w:val="Title"/>
    <w:uiPriority w:val="10"/>
    <w:rsid w:val="00174102"/>
    <w:rPr>
      <w:rFonts w:ascii="Lucida Fax" w:eastAsia="Times New Roman" w:hAnsi="Lucida Fax" w:cs="Times New Roman"/>
      <w:color w:val="4F2D7D"/>
      <w:spacing w:val="5"/>
      <w:kern w:val="28"/>
      <w:sz w:val="72"/>
      <w:szCs w:val="52"/>
    </w:rPr>
  </w:style>
  <w:style w:type="paragraph" w:customStyle="1" w:styleId="CoverDate">
    <w:name w:val="Cover Date"/>
    <w:qFormat/>
    <w:rsid w:val="00E4674F"/>
    <w:pPr>
      <w:spacing w:before="200"/>
    </w:pPr>
    <w:rPr>
      <w:rFonts w:ascii="Lucida Fax" w:hAnsi="Lucida Fax"/>
      <w:color w:val="DC5034"/>
      <w:sz w:val="24"/>
      <w:szCs w:val="24"/>
      <w:lang w:eastAsia="en-US"/>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tblPr>
      <w:tblStyleRowBandSize w:val="1"/>
      <w:tblStyleColBandSize w:val="1"/>
      <w:tblBorders>
        <w:top w:val="single" w:sz="8" w:space="0" w:color="51626F"/>
        <w:left w:val="single" w:sz="8" w:space="0" w:color="51626F"/>
        <w:bottom w:val="single" w:sz="8" w:space="0" w:color="51626F"/>
        <w:right w:val="single" w:sz="8" w:space="0" w:color="51626F"/>
      </w:tblBorders>
    </w:tblPr>
    <w:tblStylePr w:type="firstRow">
      <w:pPr>
        <w:spacing w:before="0" w:after="0" w:line="240" w:lineRule="auto"/>
      </w:pPr>
      <w:rPr>
        <w:b/>
        <w:bCs/>
        <w:color w:val="FFFFFF"/>
      </w:rPr>
      <w:tblPr/>
      <w:tcPr>
        <w:shd w:val="clear" w:color="auto" w:fill="51626F"/>
      </w:tcPr>
    </w:tblStylePr>
    <w:tblStylePr w:type="lastRow">
      <w:pPr>
        <w:spacing w:before="0" w:after="0" w:line="240" w:lineRule="auto"/>
      </w:pPr>
      <w:rPr>
        <w:b/>
        <w:bCs/>
      </w:rPr>
      <w:tblPr/>
      <w:tcPr>
        <w:tcBorders>
          <w:top w:val="double" w:sz="6" w:space="0" w:color="51626F"/>
          <w:left w:val="single" w:sz="8" w:space="0" w:color="51626F"/>
          <w:bottom w:val="single" w:sz="8" w:space="0" w:color="51626F"/>
          <w:right w:val="single" w:sz="8" w:space="0" w:color="51626F"/>
        </w:tcBorders>
      </w:tcPr>
    </w:tblStylePr>
    <w:tblStylePr w:type="firstCol">
      <w:rPr>
        <w:b/>
        <w:bCs/>
      </w:rPr>
    </w:tblStylePr>
    <w:tblStylePr w:type="lastCol">
      <w:rPr>
        <w:b/>
        <w:bCs/>
      </w:rPr>
    </w:tblStylePr>
    <w:tblStylePr w:type="band1Vert">
      <w:tblPr/>
      <w:tcPr>
        <w:tcBorders>
          <w:top w:val="single" w:sz="8" w:space="0" w:color="51626F"/>
          <w:left w:val="single" w:sz="8" w:space="0" w:color="51626F"/>
          <w:bottom w:val="single" w:sz="8" w:space="0" w:color="51626F"/>
          <w:right w:val="single" w:sz="8" w:space="0" w:color="51626F"/>
        </w:tcBorders>
      </w:tcPr>
    </w:tblStylePr>
    <w:tblStylePr w:type="band1Horz">
      <w:tblPr/>
      <w:tcPr>
        <w:tcBorders>
          <w:top w:val="single" w:sz="8" w:space="0" w:color="51626F"/>
          <w:left w:val="single" w:sz="8" w:space="0" w:color="51626F"/>
          <w:bottom w:val="single" w:sz="8" w:space="0" w:color="51626F"/>
          <w:right w:val="single" w:sz="8" w:space="0" w:color="51626F"/>
        </w:tcBorders>
      </w:tcPr>
    </w:tblStylePr>
  </w:style>
  <w:style w:type="table" w:styleId="LightList-Accent3">
    <w:name w:val="Light List Accent 3"/>
    <w:basedOn w:val="TableNormal"/>
    <w:uiPriority w:val="61"/>
    <w:rsid w:val="0081034E"/>
    <w:tblPr>
      <w:tblStyleRowBandSize w:val="1"/>
      <w:tblStyleColBandSize w:val="1"/>
      <w:tblBorders>
        <w:top w:val="single" w:sz="8" w:space="0" w:color="0098C3"/>
        <w:left w:val="single" w:sz="8" w:space="0" w:color="0098C3"/>
        <w:bottom w:val="single" w:sz="8" w:space="0" w:color="0098C3"/>
        <w:right w:val="single" w:sz="8" w:space="0" w:color="0098C3"/>
      </w:tblBorders>
    </w:tblPr>
    <w:tblStylePr w:type="firstRow">
      <w:pPr>
        <w:spacing w:before="0" w:after="0" w:line="240" w:lineRule="auto"/>
      </w:pPr>
      <w:rPr>
        <w:b/>
        <w:bCs/>
        <w:color w:val="FFFFFF"/>
      </w:rPr>
      <w:tblPr/>
      <w:tcPr>
        <w:shd w:val="clear" w:color="auto" w:fill="0098C3"/>
      </w:tcPr>
    </w:tblStylePr>
    <w:tblStylePr w:type="lastRow">
      <w:pPr>
        <w:spacing w:before="0" w:after="0" w:line="240" w:lineRule="auto"/>
      </w:pPr>
      <w:rPr>
        <w:b/>
        <w:bCs/>
      </w:rPr>
      <w:tblPr/>
      <w:tcPr>
        <w:tcBorders>
          <w:top w:val="double" w:sz="6" w:space="0" w:color="0098C3"/>
          <w:left w:val="single" w:sz="8" w:space="0" w:color="0098C3"/>
          <w:bottom w:val="single" w:sz="8" w:space="0" w:color="0098C3"/>
          <w:right w:val="single" w:sz="8" w:space="0" w:color="0098C3"/>
        </w:tcBorders>
      </w:tcPr>
    </w:tblStylePr>
    <w:tblStylePr w:type="firstCol">
      <w:rPr>
        <w:b/>
        <w:bCs/>
      </w:rPr>
    </w:tblStylePr>
    <w:tblStylePr w:type="lastCol">
      <w:rPr>
        <w:b/>
        <w:bCs/>
      </w:rPr>
    </w:tblStylePr>
    <w:tblStylePr w:type="band1Vert">
      <w:tblPr/>
      <w:tcPr>
        <w:tcBorders>
          <w:top w:val="single" w:sz="8" w:space="0" w:color="0098C3"/>
          <w:left w:val="single" w:sz="8" w:space="0" w:color="0098C3"/>
          <w:bottom w:val="single" w:sz="8" w:space="0" w:color="0098C3"/>
          <w:right w:val="single" w:sz="8" w:space="0" w:color="0098C3"/>
        </w:tcBorders>
      </w:tcPr>
    </w:tblStylePr>
    <w:tblStylePr w:type="band1Horz">
      <w:tblPr/>
      <w:tcPr>
        <w:tcBorders>
          <w:top w:val="single" w:sz="8" w:space="0" w:color="0098C3"/>
          <w:left w:val="single" w:sz="8" w:space="0" w:color="0098C3"/>
          <w:bottom w:val="single" w:sz="8" w:space="0" w:color="0098C3"/>
          <w:right w:val="single" w:sz="8" w:space="0" w:color="0098C3"/>
        </w:tcBorders>
      </w:tcPr>
    </w:tblStylePr>
  </w:style>
  <w:style w:type="table" w:styleId="LightList-Accent5">
    <w:name w:val="Light List Accent 5"/>
    <w:basedOn w:val="TableNormal"/>
    <w:uiPriority w:val="61"/>
    <w:rsid w:val="005B1E3C"/>
    <w:tblPr>
      <w:tblStyleRowBandSize w:val="1"/>
      <w:tblStyleColBandSize w:val="1"/>
      <w:tblBorders>
        <w:top w:val="single" w:sz="8" w:space="0" w:color="B71202"/>
        <w:left w:val="single" w:sz="8" w:space="0" w:color="B71202"/>
        <w:bottom w:val="single" w:sz="8" w:space="0" w:color="B71202"/>
        <w:right w:val="single" w:sz="8" w:space="0" w:color="B71202"/>
      </w:tblBorders>
    </w:tblPr>
    <w:tblStylePr w:type="firstRow">
      <w:pPr>
        <w:spacing w:before="0" w:after="0" w:line="240" w:lineRule="auto"/>
      </w:pPr>
      <w:rPr>
        <w:b/>
        <w:bCs/>
        <w:color w:val="auto"/>
      </w:rPr>
      <w:tblPr/>
      <w:tcPr>
        <w:shd w:val="clear" w:color="auto" w:fill="B71202"/>
      </w:tcPr>
    </w:tblStylePr>
    <w:tblStylePr w:type="lastRow">
      <w:pPr>
        <w:spacing w:before="0" w:after="0" w:line="240" w:lineRule="auto"/>
      </w:pPr>
      <w:rPr>
        <w:b/>
        <w:bCs/>
      </w:rPr>
      <w:tblPr/>
      <w:tcPr>
        <w:tcBorders>
          <w:top w:val="double" w:sz="6" w:space="0" w:color="B71202"/>
          <w:left w:val="single" w:sz="8" w:space="0" w:color="B71202"/>
          <w:bottom w:val="single" w:sz="8" w:space="0" w:color="B71202"/>
          <w:right w:val="single" w:sz="8" w:space="0" w:color="B71202"/>
        </w:tcBorders>
      </w:tcPr>
    </w:tblStylePr>
    <w:tblStylePr w:type="firstCol">
      <w:rPr>
        <w:b/>
        <w:bCs/>
      </w:rPr>
    </w:tblStylePr>
    <w:tblStylePr w:type="lastCol">
      <w:rPr>
        <w:b/>
        <w:bCs/>
      </w:rPr>
    </w:tblStylePr>
    <w:tblStylePr w:type="band1Vert">
      <w:tblPr/>
      <w:tcPr>
        <w:tcBorders>
          <w:top w:val="single" w:sz="8" w:space="0" w:color="B71202"/>
          <w:left w:val="single" w:sz="8" w:space="0" w:color="B71202"/>
          <w:bottom w:val="single" w:sz="8" w:space="0" w:color="B71202"/>
          <w:right w:val="single" w:sz="8" w:space="0" w:color="B71202"/>
        </w:tcBorders>
      </w:tcPr>
    </w:tblStylePr>
    <w:tblStylePr w:type="band1Horz">
      <w:tblPr/>
      <w:tcPr>
        <w:tcBorders>
          <w:top w:val="single" w:sz="8" w:space="0" w:color="B71202"/>
          <w:left w:val="single" w:sz="8" w:space="0" w:color="B71202"/>
          <w:bottom w:val="single" w:sz="8" w:space="0" w:color="B71202"/>
          <w:right w:val="single" w:sz="8" w:space="0" w:color="B71202"/>
        </w:tcBorders>
      </w:tcPr>
    </w:tblStylePr>
  </w:style>
  <w:style w:type="character" w:styleId="Emphasis">
    <w:name w:val="Emphasis"/>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2"/>
    <w:rsid w:val="003A673F"/>
    <w:pPr>
      <w:tabs>
        <w:tab w:val="left" w:pos="340"/>
      </w:tabs>
      <w:spacing w:before="60"/>
      <w:ind w:left="340" w:hanging="340"/>
    </w:pPr>
    <w:rPr>
      <w:sz w:val="16"/>
      <w:szCs w:val="20"/>
    </w:rPr>
  </w:style>
  <w:style w:type="character" w:customStyle="1" w:styleId="FootnoteTextChar">
    <w:name w:val="Footnote Text Char"/>
    <w:link w:val="FootnoteText"/>
    <w:uiPriority w:val="2"/>
    <w:rsid w:val="003A673F"/>
    <w:rPr>
      <w:rFonts w:ascii="Arial" w:hAnsi="Arial"/>
      <w:sz w:val="16"/>
      <w:szCs w:val="20"/>
    </w:rPr>
  </w:style>
  <w:style w:type="character" w:styleId="FootnoteReference">
    <w:name w:val="footnote reference"/>
    <w:uiPriority w:val="99"/>
    <w:unhideWhenUsed/>
    <w:rsid w:val="00701CAB"/>
    <w:rPr>
      <w:vertAlign w:val="superscript"/>
    </w:rPr>
  </w:style>
  <w:style w:type="character" w:styleId="Strong">
    <w:name w:val="Strong"/>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lang w:eastAsia="en-US"/>
    </w:rPr>
  </w:style>
  <w:style w:type="character" w:customStyle="1" w:styleId="SubtitleChar">
    <w:name w:val="Subtitle Char"/>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rPr>
      <w:color w:val="4DA5D9"/>
    </w:rPr>
    <w:tblPr>
      <w:tblStyleRowBandSize w:val="1"/>
      <w:tblStyleColBandSize w:val="1"/>
      <w:tblBorders>
        <w:top w:val="single" w:sz="8" w:space="0" w:color="A0CFEB"/>
        <w:bottom w:val="single" w:sz="8" w:space="0" w:color="A0CFEB"/>
      </w:tblBorders>
    </w:tblPr>
    <w:tblStylePr w:type="firstRow">
      <w:pPr>
        <w:spacing w:before="0" w:after="0" w:line="240" w:lineRule="auto"/>
      </w:pPr>
      <w:rPr>
        <w:b/>
        <w:bCs/>
      </w:rPr>
      <w:tblPr/>
      <w:tcPr>
        <w:tcBorders>
          <w:top w:val="single" w:sz="8" w:space="0" w:color="A0CFEB"/>
          <w:left w:val="nil"/>
          <w:bottom w:val="single" w:sz="8" w:space="0" w:color="A0CFEB"/>
          <w:right w:val="nil"/>
          <w:insideH w:val="nil"/>
          <w:insideV w:val="nil"/>
        </w:tcBorders>
      </w:tcPr>
    </w:tblStylePr>
    <w:tblStylePr w:type="lastRow">
      <w:pPr>
        <w:spacing w:before="0" w:after="0" w:line="240" w:lineRule="auto"/>
      </w:pPr>
      <w:rPr>
        <w:b/>
        <w:bCs/>
      </w:rPr>
      <w:tblPr/>
      <w:tcPr>
        <w:tcBorders>
          <w:top w:val="single" w:sz="8" w:space="0" w:color="A0CFEB"/>
          <w:left w:val="nil"/>
          <w:bottom w:val="single" w:sz="8" w:space="0" w:color="A0CFE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cPr>
    </w:tblStylePr>
    <w:tblStylePr w:type="band1Horz">
      <w:tblPr/>
      <w:tcPr>
        <w:tcBorders>
          <w:left w:val="nil"/>
          <w:right w:val="nil"/>
          <w:insideH w:val="nil"/>
          <w:insideV w:val="nil"/>
        </w:tcBorders>
        <w:shd w:val="clear" w:color="auto" w:fill="E7F3FA"/>
      </w:tcPr>
    </w:tblStylePr>
  </w:style>
  <w:style w:type="table" w:styleId="LightShading-Accent6">
    <w:name w:val="Light Shading Accent 6"/>
    <w:basedOn w:val="TableNormal"/>
    <w:uiPriority w:val="60"/>
    <w:rsid w:val="00746E01"/>
    <w:rPr>
      <w:color w:val="AD351E"/>
    </w:rPr>
    <w:tblPr>
      <w:tblStyleRowBandSize w:val="1"/>
      <w:tblStyleColBandSize w:val="1"/>
      <w:tblBorders>
        <w:top w:val="single" w:sz="8" w:space="0" w:color="DC5034"/>
        <w:bottom w:val="single" w:sz="8" w:space="0" w:color="DC5034"/>
      </w:tblBorders>
    </w:tblPr>
    <w:tblStylePr w:type="firstRow">
      <w:pPr>
        <w:spacing w:before="0" w:after="0" w:line="240" w:lineRule="auto"/>
      </w:pPr>
      <w:rPr>
        <w:b/>
        <w:bCs/>
      </w:rPr>
      <w:tblPr/>
      <w:tcPr>
        <w:tcBorders>
          <w:top w:val="single" w:sz="8" w:space="0" w:color="DC5034"/>
          <w:left w:val="nil"/>
          <w:bottom w:val="single" w:sz="8" w:space="0" w:color="DC5034"/>
          <w:right w:val="nil"/>
          <w:insideH w:val="nil"/>
          <w:insideV w:val="nil"/>
        </w:tcBorders>
      </w:tcPr>
    </w:tblStylePr>
    <w:tblStylePr w:type="lastRow">
      <w:pPr>
        <w:spacing w:before="0" w:after="0" w:line="240" w:lineRule="auto"/>
      </w:pPr>
      <w:rPr>
        <w:b/>
        <w:bCs/>
      </w:rPr>
      <w:tblPr/>
      <w:tcPr>
        <w:tcBorders>
          <w:top w:val="single" w:sz="8" w:space="0" w:color="DC5034"/>
          <w:left w:val="nil"/>
          <w:bottom w:val="single" w:sz="8" w:space="0" w:color="DC503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cPr>
    </w:tblStylePr>
    <w:tblStylePr w:type="band1Horz">
      <w:tblPr/>
      <w:tcPr>
        <w:tcBorders>
          <w:left w:val="nil"/>
          <w:right w:val="nil"/>
          <w:insideH w:val="nil"/>
          <w:insideV w:val="nil"/>
        </w:tcBorders>
        <w:shd w:val="clear" w:color="auto" w:fill="F6D3CC"/>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rPr>
    <w:tblPr>
      <w:tblBorders>
        <w:top w:val="single" w:sz="4" w:space="0" w:color="D5D6D2"/>
        <w:bottom w:val="single" w:sz="4" w:space="0" w:color="D5D6D2"/>
        <w:insideH w:val="single" w:sz="4" w:space="0" w:color="D5D6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left w:val="nil"/>
          <w:bottom w:val="single" w:sz="8" w:space="0" w:color="000000"/>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left w:val="nil"/>
          <w:bottom w:val="single" w:sz="8" w:space="0" w:color="000000"/>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tblPr>
      <w:tblStyleRowBandSize w:val="1"/>
      <w:tblStyleColBandSize w:val="1"/>
      <w:tblBorders>
        <w:top w:val="single" w:sz="8" w:space="0" w:color="4F2D7D"/>
        <w:left w:val="single" w:sz="8" w:space="0" w:color="4F2D7D"/>
        <w:bottom w:val="single" w:sz="8" w:space="0" w:color="4F2D7D"/>
        <w:right w:val="single" w:sz="8" w:space="0" w:color="4F2D7D"/>
      </w:tblBorders>
    </w:tblPr>
    <w:tblStylePr w:type="firstRow">
      <w:pPr>
        <w:spacing w:before="0" w:after="0" w:line="240" w:lineRule="auto"/>
      </w:pPr>
      <w:rPr>
        <w:b/>
        <w:bCs/>
        <w:color w:val="FFFFFF"/>
      </w:rPr>
      <w:tblPr/>
      <w:tcPr>
        <w:shd w:val="clear" w:color="auto" w:fill="4F2D7D"/>
      </w:tcPr>
    </w:tblStylePr>
    <w:tblStylePr w:type="lastRow">
      <w:pPr>
        <w:spacing w:before="0" w:after="0" w:line="240" w:lineRule="auto"/>
      </w:pPr>
      <w:rPr>
        <w:b/>
        <w:bCs/>
      </w:rPr>
      <w:tblPr/>
      <w:tcPr>
        <w:tcBorders>
          <w:top w:val="double" w:sz="6" w:space="0" w:color="4F2D7D"/>
          <w:left w:val="single" w:sz="8" w:space="0" w:color="4F2D7D"/>
          <w:bottom w:val="single" w:sz="8" w:space="0" w:color="4F2D7D"/>
          <w:right w:val="single" w:sz="8" w:space="0" w:color="4F2D7D"/>
        </w:tcBorders>
      </w:tcPr>
    </w:tblStylePr>
    <w:tblStylePr w:type="firstCol">
      <w:rPr>
        <w:b/>
        <w:bCs/>
      </w:rPr>
    </w:tblStylePr>
    <w:tblStylePr w:type="lastCol">
      <w:rPr>
        <w:b/>
        <w:bCs/>
      </w:rPr>
    </w:tblStylePr>
    <w:tblStylePr w:type="band1Vert">
      <w:tblPr/>
      <w:tcPr>
        <w:tcBorders>
          <w:top w:val="single" w:sz="8" w:space="0" w:color="4F2D7D"/>
          <w:left w:val="single" w:sz="8" w:space="0" w:color="4F2D7D"/>
          <w:bottom w:val="single" w:sz="8" w:space="0" w:color="4F2D7D"/>
          <w:right w:val="single" w:sz="8" w:space="0" w:color="4F2D7D"/>
        </w:tcBorders>
      </w:tcPr>
    </w:tblStylePr>
    <w:tblStylePr w:type="band1Horz">
      <w:tblPr/>
      <w:tcPr>
        <w:tcBorders>
          <w:top w:val="single" w:sz="8" w:space="0" w:color="4F2D7D"/>
          <w:left w:val="single" w:sz="8" w:space="0" w:color="4F2D7D"/>
          <w:bottom w:val="single" w:sz="8" w:space="0" w:color="4F2D7D"/>
          <w:right w:val="single" w:sz="8" w:space="0" w:color="4F2D7D"/>
        </w:tcBorders>
      </w:tcPr>
    </w:tblStylePr>
  </w:style>
  <w:style w:type="table" w:styleId="LightList-Accent4">
    <w:name w:val="Light List Accent 4"/>
    <w:basedOn w:val="TableNormal"/>
    <w:uiPriority w:val="61"/>
    <w:rsid w:val="009661DE"/>
    <w:tblPr>
      <w:tblStyleRowBandSize w:val="1"/>
      <w:tblStyleColBandSize w:val="1"/>
      <w:tblBorders>
        <w:top w:val="single" w:sz="8" w:space="0" w:color="A0CFEB"/>
        <w:left w:val="single" w:sz="8" w:space="0" w:color="A0CFEB"/>
        <w:bottom w:val="single" w:sz="8" w:space="0" w:color="A0CFEB"/>
        <w:right w:val="single" w:sz="8" w:space="0" w:color="A0CFEB"/>
      </w:tblBorders>
    </w:tblPr>
    <w:tblStylePr w:type="firstRow">
      <w:pPr>
        <w:spacing w:before="0" w:after="0" w:line="240" w:lineRule="auto"/>
      </w:pPr>
      <w:rPr>
        <w:b/>
        <w:bCs/>
        <w:color w:val="FFFFFF"/>
      </w:rPr>
      <w:tblPr/>
      <w:tcPr>
        <w:shd w:val="clear" w:color="auto" w:fill="A0CFEB"/>
      </w:tcPr>
    </w:tblStylePr>
    <w:tblStylePr w:type="lastRow">
      <w:pPr>
        <w:spacing w:before="0" w:after="0" w:line="240" w:lineRule="auto"/>
      </w:pPr>
      <w:rPr>
        <w:b/>
        <w:bCs/>
      </w:rPr>
      <w:tblPr/>
      <w:tcPr>
        <w:tcBorders>
          <w:top w:val="double" w:sz="6" w:space="0" w:color="A0CFEB"/>
          <w:left w:val="single" w:sz="8" w:space="0" w:color="A0CFEB"/>
          <w:bottom w:val="single" w:sz="8" w:space="0" w:color="A0CFEB"/>
          <w:right w:val="single" w:sz="8" w:space="0" w:color="A0CFEB"/>
        </w:tcBorders>
      </w:tcPr>
    </w:tblStylePr>
    <w:tblStylePr w:type="firstCol">
      <w:rPr>
        <w:b/>
        <w:bCs/>
      </w:rPr>
    </w:tblStylePr>
    <w:tblStylePr w:type="lastCol">
      <w:rPr>
        <w:b/>
        <w:bCs/>
      </w:rPr>
    </w:tblStylePr>
    <w:tblStylePr w:type="band1Vert">
      <w:tblPr/>
      <w:tcPr>
        <w:tcBorders>
          <w:top w:val="single" w:sz="8" w:space="0" w:color="A0CFEB"/>
          <w:left w:val="single" w:sz="8" w:space="0" w:color="A0CFEB"/>
          <w:bottom w:val="single" w:sz="8" w:space="0" w:color="A0CFEB"/>
          <w:right w:val="single" w:sz="8" w:space="0" w:color="A0CFEB"/>
        </w:tcBorders>
      </w:tcPr>
    </w:tblStylePr>
    <w:tblStylePr w:type="band1Horz">
      <w:tblPr/>
      <w:tcPr>
        <w:tcBorders>
          <w:top w:val="single" w:sz="8" w:space="0" w:color="A0CFEB"/>
          <w:left w:val="single" w:sz="8" w:space="0" w:color="A0CFEB"/>
          <w:bottom w:val="single" w:sz="8" w:space="0" w:color="A0CFEB"/>
          <w:right w:val="single" w:sz="8" w:space="0" w:color="A0CFEB"/>
        </w:tcBorders>
      </w:tcPr>
    </w:tblStylePr>
  </w:style>
  <w:style w:type="table" w:styleId="LightList-Accent6">
    <w:name w:val="Light List Accent 6"/>
    <w:basedOn w:val="TableNormal"/>
    <w:uiPriority w:val="61"/>
    <w:rsid w:val="009661DE"/>
    <w:tblPr>
      <w:tblStyleRowBandSize w:val="1"/>
      <w:tblStyleColBandSize w:val="1"/>
      <w:tblBorders>
        <w:top w:val="single" w:sz="8" w:space="0" w:color="DC5034"/>
        <w:left w:val="single" w:sz="8" w:space="0" w:color="DC5034"/>
        <w:bottom w:val="single" w:sz="8" w:space="0" w:color="DC5034"/>
        <w:right w:val="single" w:sz="8" w:space="0" w:color="DC5034"/>
      </w:tblBorders>
    </w:tblPr>
    <w:tblStylePr w:type="firstRow">
      <w:pPr>
        <w:spacing w:before="0" w:after="0" w:line="240" w:lineRule="auto"/>
      </w:pPr>
      <w:rPr>
        <w:b/>
        <w:bCs/>
        <w:color w:val="FFFFFF"/>
      </w:rPr>
      <w:tblPr/>
      <w:tcPr>
        <w:shd w:val="clear" w:color="auto" w:fill="DC5034"/>
      </w:tcPr>
    </w:tblStylePr>
    <w:tblStylePr w:type="lastRow">
      <w:pPr>
        <w:spacing w:before="0" w:after="0" w:line="240" w:lineRule="auto"/>
      </w:pPr>
      <w:rPr>
        <w:b/>
        <w:bCs/>
      </w:rPr>
      <w:tblPr/>
      <w:tcPr>
        <w:tcBorders>
          <w:top w:val="double" w:sz="6" w:space="0" w:color="DC5034"/>
          <w:left w:val="single" w:sz="8" w:space="0" w:color="DC5034"/>
          <w:bottom w:val="single" w:sz="8" w:space="0" w:color="DC5034"/>
          <w:right w:val="single" w:sz="8" w:space="0" w:color="DC5034"/>
        </w:tcBorders>
      </w:tcPr>
    </w:tblStylePr>
    <w:tblStylePr w:type="firstCol">
      <w:rPr>
        <w:b/>
        <w:bCs/>
      </w:rPr>
    </w:tblStylePr>
    <w:tblStylePr w:type="lastCol">
      <w:rPr>
        <w:b/>
        <w:bCs/>
      </w:rPr>
    </w:tblStylePr>
    <w:tblStylePr w:type="band1Vert">
      <w:tblPr/>
      <w:tcPr>
        <w:tcBorders>
          <w:top w:val="single" w:sz="8" w:space="0" w:color="DC5034"/>
          <w:left w:val="single" w:sz="8" w:space="0" w:color="DC5034"/>
          <w:bottom w:val="single" w:sz="8" w:space="0" w:color="DC5034"/>
          <w:right w:val="single" w:sz="8" w:space="0" w:color="DC5034"/>
        </w:tcBorders>
      </w:tcPr>
    </w:tblStylePr>
    <w:tblStylePr w:type="band1Horz">
      <w:tblPr/>
      <w:tcPr>
        <w:tcBorders>
          <w:top w:val="single" w:sz="8" w:space="0" w:color="DC5034"/>
          <w:left w:val="single" w:sz="8" w:space="0" w:color="DC5034"/>
          <w:bottom w:val="single" w:sz="8" w:space="0" w:color="DC5034"/>
          <w:right w:val="single" w:sz="8" w:space="0" w:color="DC5034"/>
        </w:tcBorders>
      </w:tcPr>
    </w:tblStylePr>
  </w:style>
  <w:style w:type="table" w:styleId="LightGrid">
    <w:name w:val="Light Grid"/>
    <w:basedOn w:val="TableNormal"/>
    <w:uiPriority w:val="62"/>
    <w:rsid w:val="009661DE"/>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ucida Fax" w:eastAsia="Times New Roman" w:hAnsi="Lucida Fax"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ucida Fax" w:eastAsia="Times New Roman" w:hAnsi="Lucida Fax"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9661DE"/>
    <w:tblPr>
      <w:tblStyleRowBandSize w:val="1"/>
      <w:tblStyleColBandSize w:val="1"/>
      <w:tblBorders>
        <w:top w:val="single" w:sz="8" w:space="0" w:color="51626F"/>
        <w:left w:val="single" w:sz="8" w:space="0" w:color="51626F"/>
        <w:bottom w:val="single" w:sz="8" w:space="0" w:color="51626F"/>
        <w:right w:val="single" w:sz="8" w:space="0" w:color="51626F"/>
        <w:insideH w:val="single" w:sz="8" w:space="0" w:color="51626F"/>
        <w:insideV w:val="single" w:sz="8" w:space="0" w:color="51626F"/>
      </w:tblBorders>
    </w:tblPr>
    <w:tblStylePr w:type="firstRow">
      <w:pPr>
        <w:spacing w:before="0" w:after="0" w:line="240" w:lineRule="auto"/>
      </w:pPr>
      <w:rPr>
        <w:rFonts w:ascii="Lucida Fax" w:eastAsia="Times New Roman" w:hAnsi="Lucida Fax" w:cs="Times New Roman"/>
        <w:b/>
        <w:bCs/>
      </w:rPr>
      <w:tblPr/>
      <w:tcPr>
        <w:tcBorders>
          <w:top w:val="single" w:sz="8" w:space="0" w:color="51626F"/>
          <w:left w:val="single" w:sz="8" w:space="0" w:color="51626F"/>
          <w:bottom w:val="single" w:sz="18" w:space="0" w:color="51626F"/>
          <w:right w:val="single" w:sz="8" w:space="0" w:color="51626F"/>
          <w:insideH w:val="nil"/>
          <w:insideV w:val="single" w:sz="8" w:space="0" w:color="51626F"/>
        </w:tcBorders>
      </w:tcPr>
    </w:tblStylePr>
    <w:tblStylePr w:type="lastRow">
      <w:pPr>
        <w:spacing w:before="0" w:after="0" w:line="240" w:lineRule="auto"/>
      </w:pPr>
      <w:rPr>
        <w:rFonts w:ascii="Lucida Fax" w:eastAsia="Times New Roman" w:hAnsi="Lucida Fax" w:cs="Times New Roman"/>
        <w:b/>
        <w:bCs/>
      </w:rPr>
      <w:tblPr/>
      <w:tcPr>
        <w:tcBorders>
          <w:top w:val="double" w:sz="6" w:space="0" w:color="51626F"/>
          <w:left w:val="single" w:sz="8" w:space="0" w:color="51626F"/>
          <w:bottom w:val="single" w:sz="8" w:space="0" w:color="51626F"/>
          <w:right w:val="single" w:sz="8" w:space="0" w:color="51626F"/>
          <w:insideH w:val="nil"/>
          <w:insideV w:val="single" w:sz="8" w:space="0" w:color="51626F"/>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51626F"/>
          <w:left w:val="single" w:sz="8" w:space="0" w:color="51626F"/>
          <w:bottom w:val="single" w:sz="8" w:space="0" w:color="51626F"/>
          <w:right w:val="single" w:sz="8" w:space="0" w:color="51626F"/>
        </w:tcBorders>
      </w:tcPr>
    </w:tblStylePr>
    <w:tblStylePr w:type="band1Vert">
      <w:tblPr/>
      <w:tcPr>
        <w:tcBorders>
          <w:top w:val="single" w:sz="8" w:space="0" w:color="51626F"/>
          <w:left w:val="single" w:sz="8" w:space="0" w:color="51626F"/>
          <w:bottom w:val="single" w:sz="8" w:space="0" w:color="51626F"/>
          <w:right w:val="single" w:sz="8" w:space="0" w:color="51626F"/>
        </w:tcBorders>
        <w:shd w:val="clear" w:color="auto" w:fill="D1D8DD"/>
      </w:tcPr>
    </w:tblStylePr>
    <w:tblStylePr w:type="band1Horz">
      <w:tblPr/>
      <w:tcPr>
        <w:tcBorders>
          <w:top w:val="single" w:sz="8" w:space="0" w:color="51626F"/>
          <w:left w:val="single" w:sz="8" w:space="0" w:color="51626F"/>
          <w:bottom w:val="single" w:sz="8" w:space="0" w:color="51626F"/>
          <w:right w:val="single" w:sz="8" w:space="0" w:color="51626F"/>
          <w:insideV w:val="single" w:sz="8" w:space="0" w:color="51626F"/>
        </w:tcBorders>
        <w:shd w:val="clear" w:color="auto" w:fill="D1D8DD"/>
      </w:tcPr>
    </w:tblStylePr>
    <w:tblStylePr w:type="band2Horz">
      <w:tblPr/>
      <w:tcPr>
        <w:tcBorders>
          <w:top w:val="single" w:sz="8" w:space="0" w:color="51626F"/>
          <w:left w:val="single" w:sz="8" w:space="0" w:color="51626F"/>
          <w:bottom w:val="single" w:sz="8" w:space="0" w:color="51626F"/>
          <w:right w:val="single" w:sz="8" w:space="0" w:color="51626F"/>
          <w:insideV w:val="single" w:sz="8" w:space="0" w:color="51626F"/>
        </w:tcBorders>
      </w:tcPr>
    </w:tblStylePr>
  </w:style>
  <w:style w:type="table" w:styleId="LightGrid-Accent2">
    <w:name w:val="Light Grid Accent 2"/>
    <w:basedOn w:val="TableNormal"/>
    <w:uiPriority w:val="62"/>
    <w:rsid w:val="009661DE"/>
    <w:tblPr>
      <w:tblStyleRowBandSize w:val="1"/>
      <w:tblStyleColBandSize w:val="1"/>
      <w:tblBorders>
        <w:top w:val="single" w:sz="8" w:space="0" w:color="4F2D7D"/>
        <w:left w:val="single" w:sz="8" w:space="0" w:color="4F2D7D"/>
        <w:bottom w:val="single" w:sz="8" w:space="0" w:color="4F2D7D"/>
        <w:right w:val="single" w:sz="8" w:space="0" w:color="4F2D7D"/>
        <w:insideH w:val="single" w:sz="8" w:space="0" w:color="4F2D7D"/>
        <w:insideV w:val="single" w:sz="8" w:space="0" w:color="4F2D7D"/>
      </w:tblBorders>
    </w:tblPr>
    <w:tblStylePr w:type="firstRow">
      <w:pPr>
        <w:spacing w:before="0" w:after="0" w:line="240" w:lineRule="auto"/>
      </w:pPr>
      <w:rPr>
        <w:rFonts w:ascii="Lucida Fax" w:eastAsia="Times New Roman" w:hAnsi="Lucida Fax" w:cs="Times New Roman"/>
        <w:b/>
        <w:bCs/>
      </w:rPr>
      <w:tblPr/>
      <w:tcPr>
        <w:tcBorders>
          <w:top w:val="single" w:sz="8" w:space="0" w:color="4F2D7D"/>
          <w:left w:val="single" w:sz="8" w:space="0" w:color="4F2D7D"/>
          <w:bottom w:val="single" w:sz="18" w:space="0" w:color="4F2D7D"/>
          <w:right w:val="single" w:sz="8" w:space="0" w:color="4F2D7D"/>
          <w:insideH w:val="nil"/>
          <w:insideV w:val="single" w:sz="8" w:space="0" w:color="4F2D7D"/>
        </w:tcBorders>
      </w:tcPr>
    </w:tblStylePr>
    <w:tblStylePr w:type="lastRow">
      <w:pPr>
        <w:spacing w:before="0" w:after="0" w:line="240" w:lineRule="auto"/>
      </w:pPr>
      <w:rPr>
        <w:rFonts w:ascii="Lucida Fax" w:eastAsia="Times New Roman" w:hAnsi="Lucida Fax" w:cs="Times New Roman"/>
        <w:b/>
        <w:bCs/>
      </w:rPr>
      <w:tblPr/>
      <w:tcPr>
        <w:tcBorders>
          <w:top w:val="double" w:sz="6" w:space="0" w:color="4F2D7D"/>
          <w:left w:val="single" w:sz="8" w:space="0" w:color="4F2D7D"/>
          <w:bottom w:val="single" w:sz="8" w:space="0" w:color="4F2D7D"/>
          <w:right w:val="single" w:sz="8" w:space="0" w:color="4F2D7D"/>
          <w:insideH w:val="nil"/>
          <w:insideV w:val="single" w:sz="8" w:space="0" w:color="4F2D7D"/>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4F2D7D"/>
          <w:left w:val="single" w:sz="8" w:space="0" w:color="4F2D7D"/>
          <w:bottom w:val="single" w:sz="8" w:space="0" w:color="4F2D7D"/>
          <w:right w:val="single" w:sz="8" w:space="0" w:color="4F2D7D"/>
        </w:tcBorders>
      </w:tcPr>
    </w:tblStylePr>
    <w:tblStylePr w:type="band1Vert">
      <w:tblPr/>
      <w:tcPr>
        <w:tcBorders>
          <w:top w:val="single" w:sz="8" w:space="0" w:color="4F2D7D"/>
          <w:left w:val="single" w:sz="8" w:space="0" w:color="4F2D7D"/>
          <w:bottom w:val="single" w:sz="8" w:space="0" w:color="4F2D7D"/>
          <w:right w:val="single" w:sz="8" w:space="0" w:color="4F2D7D"/>
        </w:tcBorders>
        <w:shd w:val="clear" w:color="auto" w:fill="D1C1E8"/>
      </w:tcPr>
    </w:tblStylePr>
    <w:tblStylePr w:type="band1Horz">
      <w:tblPr/>
      <w:tcPr>
        <w:tcBorders>
          <w:top w:val="single" w:sz="8" w:space="0" w:color="4F2D7D"/>
          <w:left w:val="single" w:sz="8" w:space="0" w:color="4F2D7D"/>
          <w:bottom w:val="single" w:sz="8" w:space="0" w:color="4F2D7D"/>
          <w:right w:val="single" w:sz="8" w:space="0" w:color="4F2D7D"/>
          <w:insideV w:val="single" w:sz="8" w:space="0" w:color="4F2D7D"/>
        </w:tcBorders>
        <w:shd w:val="clear" w:color="auto" w:fill="D1C1E8"/>
      </w:tcPr>
    </w:tblStylePr>
    <w:tblStylePr w:type="band2Horz">
      <w:tblPr/>
      <w:tcPr>
        <w:tcBorders>
          <w:top w:val="single" w:sz="8" w:space="0" w:color="4F2D7D"/>
          <w:left w:val="single" w:sz="8" w:space="0" w:color="4F2D7D"/>
          <w:bottom w:val="single" w:sz="8" w:space="0" w:color="4F2D7D"/>
          <w:right w:val="single" w:sz="8" w:space="0" w:color="4F2D7D"/>
          <w:insideV w:val="single" w:sz="8" w:space="0" w:color="4F2D7D"/>
        </w:tcBorders>
      </w:tcPr>
    </w:tblStylePr>
  </w:style>
  <w:style w:type="table" w:styleId="LightGrid-Accent4">
    <w:name w:val="Light Grid Accent 4"/>
    <w:basedOn w:val="TableNormal"/>
    <w:uiPriority w:val="62"/>
    <w:rsid w:val="009661DE"/>
    <w:tblPr>
      <w:tblStyleRowBandSize w:val="1"/>
      <w:tblStyleColBandSize w:val="1"/>
      <w:tblBorders>
        <w:top w:val="single" w:sz="8" w:space="0" w:color="A0CFEB"/>
        <w:left w:val="single" w:sz="8" w:space="0" w:color="A0CFEB"/>
        <w:bottom w:val="single" w:sz="8" w:space="0" w:color="A0CFEB"/>
        <w:right w:val="single" w:sz="8" w:space="0" w:color="A0CFEB"/>
        <w:insideH w:val="single" w:sz="8" w:space="0" w:color="A0CFEB"/>
        <w:insideV w:val="single" w:sz="8" w:space="0" w:color="A0CFEB"/>
      </w:tblBorders>
    </w:tblPr>
    <w:tblStylePr w:type="firstRow">
      <w:pPr>
        <w:spacing w:before="0" w:after="0" w:line="240" w:lineRule="auto"/>
      </w:pPr>
      <w:rPr>
        <w:rFonts w:ascii="Lucida Fax" w:eastAsia="Times New Roman" w:hAnsi="Lucida Fax" w:cs="Times New Roman"/>
        <w:b/>
        <w:bCs/>
      </w:rPr>
      <w:tblPr/>
      <w:tcPr>
        <w:tcBorders>
          <w:top w:val="single" w:sz="8" w:space="0" w:color="A0CFEB"/>
          <w:left w:val="single" w:sz="8" w:space="0" w:color="A0CFEB"/>
          <w:bottom w:val="single" w:sz="18" w:space="0" w:color="A0CFEB"/>
          <w:right w:val="single" w:sz="8" w:space="0" w:color="A0CFEB"/>
          <w:insideH w:val="nil"/>
          <w:insideV w:val="single" w:sz="8" w:space="0" w:color="A0CFEB"/>
        </w:tcBorders>
      </w:tcPr>
    </w:tblStylePr>
    <w:tblStylePr w:type="lastRow">
      <w:pPr>
        <w:spacing w:before="0" w:after="0" w:line="240" w:lineRule="auto"/>
      </w:pPr>
      <w:rPr>
        <w:rFonts w:ascii="Lucida Fax" w:eastAsia="Times New Roman" w:hAnsi="Lucida Fax" w:cs="Times New Roman"/>
        <w:b/>
        <w:bCs/>
      </w:rPr>
      <w:tblPr/>
      <w:tcPr>
        <w:tcBorders>
          <w:top w:val="double" w:sz="6" w:space="0" w:color="A0CFEB"/>
          <w:left w:val="single" w:sz="8" w:space="0" w:color="A0CFEB"/>
          <w:bottom w:val="single" w:sz="8" w:space="0" w:color="A0CFEB"/>
          <w:right w:val="single" w:sz="8" w:space="0" w:color="A0CFEB"/>
          <w:insideH w:val="nil"/>
          <w:insideV w:val="single" w:sz="8" w:space="0" w:color="A0CFEB"/>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A0CFEB"/>
          <w:left w:val="single" w:sz="8" w:space="0" w:color="A0CFEB"/>
          <w:bottom w:val="single" w:sz="8" w:space="0" w:color="A0CFEB"/>
          <w:right w:val="single" w:sz="8" w:space="0" w:color="A0CFEB"/>
        </w:tcBorders>
      </w:tcPr>
    </w:tblStylePr>
    <w:tblStylePr w:type="band1Vert">
      <w:tblPr/>
      <w:tcPr>
        <w:tcBorders>
          <w:top w:val="single" w:sz="8" w:space="0" w:color="A0CFEB"/>
          <w:left w:val="single" w:sz="8" w:space="0" w:color="A0CFEB"/>
          <w:bottom w:val="single" w:sz="8" w:space="0" w:color="A0CFEB"/>
          <w:right w:val="single" w:sz="8" w:space="0" w:color="A0CFEB"/>
        </w:tcBorders>
        <w:shd w:val="clear" w:color="auto" w:fill="E7F3FA"/>
      </w:tcPr>
    </w:tblStylePr>
    <w:tblStylePr w:type="band1Horz">
      <w:tblPr/>
      <w:tcPr>
        <w:tcBorders>
          <w:top w:val="single" w:sz="8" w:space="0" w:color="A0CFEB"/>
          <w:left w:val="single" w:sz="8" w:space="0" w:color="A0CFEB"/>
          <w:bottom w:val="single" w:sz="8" w:space="0" w:color="A0CFEB"/>
          <w:right w:val="single" w:sz="8" w:space="0" w:color="A0CFEB"/>
          <w:insideV w:val="single" w:sz="8" w:space="0" w:color="A0CFEB"/>
        </w:tcBorders>
        <w:shd w:val="clear" w:color="auto" w:fill="E7F3FA"/>
      </w:tcPr>
    </w:tblStylePr>
    <w:tblStylePr w:type="band2Horz">
      <w:tblPr/>
      <w:tcPr>
        <w:tcBorders>
          <w:top w:val="single" w:sz="8" w:space="0" w:color="A0CFEB"/>
          <w:left w:val="single" w:sz="8" w:space="0" w:color="A0CFEB"/>
          <w:bottom w:val="single" w:sz="8" w:space="0" w:color="A0CFEB"/>
          <w:right w:val="single" w:sz="8" w:space="0" w:color="A0CFEB"/>
          <w:insideV w:val="single" w:sz="8" w:space="0" w:color="A0CFEB"/>
        </w:tcBorders>
      </w:tcPr>
    </w:tblStylePr>
  </w:style>
  <w:style w:type="table" w:styleId="LightGrid-Accent5">
    <w:name w:val="Light Grid Accent 5"/>
    <w:basedOn w:val="TableNormal"/>
    <w:uiPriority w:val="62"/>
    <w:rsid w:val="009661DE"/>
    <w:tblPr>
      <w:tblStyleRowBandSize w:val="1"/>
      <w:tblStyleColBandSize w:val="1"/>
      <w:tblBorders>
        <w:top w:val="single" w:sz="8" w:space="0" w:color="B71202"/>
        <w:left w:val="single" w:sz="8" w:space="0" w:color="B71202"/>
        <w:bottom w:val="single" w:sz="8" w:space="0" w:color="B71202"/>
        <w:right w:val="single" w:sz="8" w:space="0" w:color="B71202"/>
        <w:insideH w:val="single" w:sz="8" w:space="0" w:color="B71202"/>
        <w:insideV w:val="single" w:sz="8" w:space="0" w:color="B71202"/>
      </w:tblBorders>
    </w:tblPr>
    <w:tblStylePr w:type="firstRow">
      <w:pPr>
        <w:spacing w:before="0" w:after="0" w:line="240" w:lineRule="auto"/>
      </w:pPr>
      <w:rPr>
        <w:rFonts w:ascii="Lucida Fax" w:eastAsia="Times New Roman" w:hAnsi="Lucida Fax" w:cs="Times New Roman"/>
        <w:b/>
        <w:bCs/>
      </w:rPr>
      <w:tblPr/>
      <w:tcPr>
        <w:tcBorders>
          <w:top w:val="single" w:sz="8" w:space="0" w:color="B71202"/>
          <w:left w:val="single" w:sz="8" w:space="0" w:color="B71202"/>
          <w:bottom w:val="single" w:sz="18" w:space="0" w:color="B71202"/>
          <w:right w:val="single" w:sz="8" w:space="0" w:color="B71202"/>
          <w:insideH w:val="nil"/>
          <w:insideV w:val="single" w:sz="8" w:space="0" w:color="B71202"/>
        </w:tcBorders>
      </w:tcPr>
    </w:tblStylePr>
    <w:tblStylePr w:type="lastRow">
      <w:pPr>
        <w:spacing w:before="0" w:after="0" w:line="240" w:lineRule="auto"/>
      </w:pPr>
      <w:rPr>
        <w:rFonts w:ascii="Lucida Fax" w:eastAsia="Times New Roman" w:hAnsi="Lucida Fax" w:cs="Times New Roman"/>
        <w:b/>
        <w:bCs/>
      </w:rPr>
      <w:tblPr/>
      <w:tcPr>
        <w:tcBorders>
          <w:top w:val="double" w:sz="6" w:space="0" w:color="B71202"/>
          <w:left w:val="single" w:sz="8" w:space="0" w:color="B71202"/>
          <w:bottom w:val="single" w:sz="8" w:space="0" w:color="B71202"/>
          <w:right w:val="single" w:sz="8" w:space="0" w:color="B71202"/>
          <w:insideH w:val="nil"/>
          <w:insideV w:val="single" w:sz="8" w:space="0" w:color="B71202"/>
        </w:tcBorders>
      </w:tcPr>
    </w:tblStylePr>
    <w:tblStylePr w:type="firstCol">
      <w:rPr>
        <w:rFonts w:ascii="Lucida Fax" w:eastAsia="Times New Roman" w:hAnsi="Lucida Fax" w:cs="Times New Roman"/>
        <w:b/>
        <w:bCs/>
      </w:rPr>
    </w:tblStylePr>
    <w:tblStylePr w:type="lastCol">
      <w:rPr>
        <w:rFonts w:ascii="Lucida Fax" w:eastAsia="Times New Roman" w:hAnsi="Lucida Fax" w:cs="Times New Roman"/>
        <w:b/>
        <w:bCs/>
      </w:rPr>
      <w:tblPr/>
      <w:tcPr>
        <w:tcBorders>
          <w:top w:val="single" w:sz="8" w:space="0" w:color="B71202"/>
          <w:left w:val="single" w:sz="8" w:space="0" w:color="B71202"/>
          <w:bottom w:val="single" w:sz="8" w:space="0" w:color="B71202"/>
          <w:right w:val="single" w:sz="8" w:space="0" w:color="B71202"/>
        </w:tcBorders>
      </w:tcPr>
    </w:tblStylePr>
    <w:tblStylePr w:type="band1Vert">
      <w:tblPr/>
      <w:tcPr>
        <w:tcBorders>
          <w:top w:val="single" w:sz="8" w:space="0" w:color="B71202"/>
          <w:left w:val="single" w:sz="8" w:space="0" w:color="B71202"/>
          <w:bottom w:val="single" w:sz="8" w:space="0" w:color="B71202"/>
          <w:right w:val="single" w:sz="8" w:space="0" w:color="B71202"/>
        </w:tcBorders>
        <w:shd w:val="clear" w:color="auto" w:fill="FEB6AF"/>
      </w:tcPr>
    </w:tblStylePr>
    <w:tblStylePr w:type="band1Horz">
      <w:tblPr/>
      <w:tcPr>
        <w:tcBorders>
          <w:top w:val="single" w:sz="8" w:space="0" w:color="B71202"/>
          <w:left w:val="single" w:sz="8" w:space="0" w:color="B71202"/>
          <w:bottom w:val="single" w:sz="8" w:space="0" w:color="B71202"/>
          <w:right w:val="single" w:sz="8" w:space="0" w:color="B71202"/>
          <w:insideV w:val="single" w:sz="8" w:space="0" w:color="B71202"/>
        </w:tcBorders>
        <w:shd w:val="clear" w:color="auto" w:fill="FEB6AF"/>
      </w:tcPr>
    </w:tblStylePr>
    <w:tblStylePr w:type="band2Horz">
      <w:tblPr/>
      <w:tcPr>
        <w:tcBorders>
          <w:top w:val="single" w:sz="8" w:space="0" w:color="B71202"/>
          <w:left w:val="single" w:sz="8" w:space="0" w:color="B71202"/>
          <w:bottom w:val="single" w:sz="8" w:space="0" w:color="B71202"/>
          <w:right w:val="single" w:sz="8" w:space="0" w:color="B71202"/>
          <w:insideV w:val="single" w:sz="8" w:space="0" w:color="B71202"/>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szCs w:val="20"/>
      <w:lang w:val="en-US" w:eastAsia="ja-JP"/>
    </w:rPr>
  </w:style>
  <w:style w:type="paragraph" w:customStyle="1" w:styleId="Numbered111111111">
    <w:name w:val="Numbered 1.1.1.1.1.1.1.1.1"/>
    <w:basedOn w:val="Heading9"/>
    <w:next w:val="Normal"/>
    <w:uiPriority w:val="2"/>
    <w:rsid w:val="00B60F5D"/>
    <w:pPr>
      <w:numPr>
        <w:numId w:val="0"/>
      </w:numPr>
      <w:tabs>
        <w:tab w:val="left" w:pos="2381"/>
      </w:tabs>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3"/>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sz w:val="22"/>
    </w:rPr>
  </w:style>
  <w:style w:type="paragraph" w:customStyle="1" w:styleId="Tabletext-right">
    <w:name w:val="Table text - right"/>
    <w:basedOn w:val="Tabletext"/>
    <w:link w:val="Tabletext-rightChar"/>
    <w:rsid w:val="00063247"/>
    <w:pPr>
      <w:jc w:val="right"/>
    </w:pPr>
    <w:rPr>
      <w:rFonts w:eastAsia="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584D8F"/>
    <w:pPr>
      <w:jc w:val="right"/>
    </w:pPr>
    <w:rPr>
      <w:rFonts w:eastAsia="Times New Roman"/>
      <w:bCs/>
      <w:szCs w:val="20"/>
    </w:rPr>
  </w:style>
  <w:style w:type="character" w:customStyle="1" w:styleId="Tabletext-rightChar">
    <w:name w:val="Table text - right Char"/>
    <w:link w:val="Tabletext-right"/>
    <w:rsid w:val="00063247"/>
    <w:rPr>
      <w:rFonts w:ascii="Arial" w:eastAsia="Times New Roman" w:hAnsi="Arial" w:cs="Times New Roman"/>
      <w:sz w:val="20"/>
      <w:szCs w:val="20"/>
    </w:rPr>
  </w:style>
  <w:style w:type="character" w:customStyle="1" w:styleId="TabletextChar">
    <w:name w:val="Table text Char"/>
    <w:link w:val="Tabletext"/>
    <w:uiPriority w:val="1"/>
    <w:rsid w:val="00584D8F"/>
    <w:rPr>
      <w:rFonts w:ascii="Arial" w:hAnsi="Arial"/>
      <w:sz w:val="20"/>
    </w:rPr>
  </w:style>
  <w:style w:type="character" w:customStyle="1" w:styleId="TableHeadingChar">
    <w:name w:val="Table Heading Char"/>
    <w:link w:val="TableHeading"/>
    <w:rsid w:val="00584D8F"/>
    <w:rPr>
      <w:rFonts w:ascii="Arial" w:hAnsi="Arial"/>
      <w:b/>
      <w:sz w:val="20"/>
    </w:rPr>
  </w:style>
  <w:style w:type="character" w:customStyle="1" w:styleId="TableHeading-rightChar">
    <w:name w:val="Table Heading - right Char"/>
    <w:link w:val="TableHeading-right"/>
    <w:rsid w:val="00584D8F"/>
    <w:rPr>
      <w:rFonts w:ascii="Arial" w:eastAsia="Times New Roman" w:hAnsi="Arial" w:cs="Times New Roman"/>
      <w:b/>
      <w:bCs/>
      <w:sz w:val="20"/>
      <w:szCs w:val="20"/>
    </w:rPr>
  </w:style>
  <w:style w:type="character" w:customStyle="1" w:styleId="Tabletext-centredChar">
    <w:name w:val="Table text - centred 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rFonts w:eastAsia="Times New Roman"/>
      <w:bCs/>
      <w:szCs w:val="20"/>
    </w:rPr>
  </w:style>
  <w:style w:type="character" w:customStyle="1" w:styleId="EndnoteTextChar">
    <w:name w:val="Endnote Text Char"/>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tblPr>
      <w:tblBorders>
        <w:insideV w:val="single" w:sz="4" w:space="0" w:color="D5D6D2"/>
      </w:tblBorders>
    </w:tblPr>
    <w:tblStylePr w:type="firstRow">
      <w:rPr>
        <w:rFonts w:ascii="Arial" w:hAnsi="Arial"/>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link w:val="Numbered1"/>
    <w:rsid w:val="00F61B84"/>
    <w:rPr>
      <w:rFonts w:ascii="Lucida Fax" w:eastAsia="Times New Roman" w:hAnsi="Lucida Fax"/>
      <w:bCs/>
      <w:color w:val="51626F"/>
      <w:sz w:val="32"/>
      <w:szCs w:val="28"/>
      <w:lang w:eastAsia="en-US"/>
    </w:rPr>
  </w:style>
  <w:style w:type="paragraph" w:customStyle="1" w:styleId="Numberedparagraph">
    <w:name w:val="Numbered paragraph"/>
    <w:basedOn w:val="Normal"/>
    <w:rsid w:val="00B60F5D"/>
    <w:pPr>
      <w:numPr>
        <w:numId w:val="1"/>
      </w:numPr>
      <w:ind w:left="680" w:hanging="680"/>
    </w:pPr>
    <w:rPr>
      <w:rFonts w:eastAsia="Times New Roman"/>
      <w:color w:val="000000"/>
      <w:szCs w:val="20"/>
    </w:rPr>
  </w:style>
  <w:style w:type="paragraph" w:customStyle="1" w:styleId="Listalphabet2">
    <w:name w:val="List alphabet 2"/>
    <w:rsid w:val="00CF799E"/>
    <w:pPr>
      <w:numPr>
        <w:numId w:val="12"/>
      </w:numPr>
      <w:tabs>
        <w:tab w:val="left" w:pos="680"/>
      </w:tabs>
      <w:spacing w:before="120"/>
    </w:pPr>
    <w:rPr>
      <w:sz w:val="22"/>
      <w:szCs w:val="22"/>
      <w:lang w:eastAsia="en-US"/>
    </w:rPr>
  </w:style>
  <w:style w:type="paragraph" w:customStyle="1" w:styleId="Listalphabet3">
    <w:name w:val="List alphabet 3"/>
    <w:rsid w:val="00CF799E"/>
    <w:pPr>
      <w:numPr>
        <w:numId w:val="18"/>
      </w:numPr>
      <w:tabs>
        <w:tab w:val="left" w:pos="1021"/>
      </w:tabs>
      <w:spacing w:before="120"/>
    </w:pPr>
    <w:rPr>
      <w:sz w:val="22"/>
      <w:szCs w:val="22"/>
      <w:lang w:eastAsia="en-US"/>
    </w:rPr>
  </w:style>
  <w:style w:type="paragraph" w:customStyle="1" w:styleId="Listalphabet4">
    <w:name w:val="List alphabet 4"/>
    <w:rsid w:val="00CF799E"/>
    <w:pPr>
      <w:numPr>
        <w:numId w:val="19"/>
      </w:numPr>
      <w:tabs>
        <w:tab w:val="left" w:pos="1361"/>
      </w:tabs>
      <w:spacing w:before="120"/>
    </w:pPr>
    <w:rPr>
      <w:sz w:val="22"/>
      <w:szCs w:val="22"/>
      <w:lang w:eastAsia="en-US"/>
    </w:rPr>
  </w:style>
  <w:style w:type="paragraph" w:customStyle="1" w:styleId="Listalphabet5">
    <w:name w:val="List alphabet 5"/>
    <w:rsid w:val="00CF799E"/>
    <w:pPr>
      <w:numPr>
        <w:numId w:val="20"/>
      </w:numPr>
      <w:tabs>
        <w:tab w:val="left" w:pos="1701"/>
      </w:tabs>
      <w:spacing w:before="120"/>
    </w:pPr>
    <w:rPr>
      <w:sz w:val="22"/>
      <w:szCs w:val="22"/>
      <w:lang w:eastAsia="en-US"/>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1"/>
      </w:numPr>
      <w:tabs>
        <w:tab w:val="left" w:pos="340"/>
      </w:tabs>
      <w:spacing w:before="120"/>
    </w:pPr>
    <w:rPr>
      <w:sz w:val="22"/>
      <w:szCs w:val="22"/>
      <w:lang w:eastAsia="en-US"/>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link w:val="NoteHeading"/>
    <w:uiPriority w:val="99"/>
    <w:semiHidden/>
    <w:rsid w:val="00F61B84"/>
    <w:rPr>
      <w:rFonts w:ascii="Arial" w:hAnsi="Arial"/>
    </w:rPr>
  </w:style>
  <w:style w:type="character" w:styleId="SubtleReference">
    <w:name w:val="Subtle Reference"/>
    <w:uiPriority w:val="31"/>
    <w:unhideWhenUsed/>
    <w:rsid w:val="00B60F5D"/>
    <w:rPr>
      <w:smallCaps/>
      <w:color w:val="4F2D7D"/>
      <w:u w:val="single"/>
    </w:rPr>
  </w:style>
  <w:style w:type="paragraph" w:customStyle="1" w:styleId="ListLegal">
    <w:name w:val="List Legal"/>
    <w:basedOn w:val="ListParagraph"/>
    <w:rsid w:val="00CF799E"/>
    <w:pPr>
      <w:numPr>
        <w:numId w:val="24"/>
      </w:numPr>
      <w:tabs>
        <w:tab w:val="clear" w:pos="340"/>
        <w:tab w:val="left" w:pos="680"/>
      </w:tabs>
    </w:pPr>
  </w:style>
  <w:style w:type="paragraph" w:customStyle="1" w:styleId="ListLegal2">
    <w:name w:val="List Legal 2"/>
    <w:basedOn w:val="ListLegal"/>
    <w:rsid w:val="00C06739"/>
    <w:pPr>
      <w:numPr>
        <w:numId w:val="15"/>
      </w:numPr>
      <w:tabs>
        <w:tab w:val="clear" w:pos="680"/>
        <w:tab w:val="left" w:pos="1021"/>
      </w:tabs>
    </w:pPr>
  </w:style>
  <w:style w:type="paragraph" w:customStyle="1" w:styleId="ListLegal3">
    <w:name w:val="List Legal 3"/>
    <w:basedOn w:val="ListNumber3"/>
    <w:rsid w:val="00CF799E"/>
    <w:pPr>
      <w:numPr>
        <w:numId w:val="14"/>
      </w:numPr>
      <w:tabs>
        <w:tab w:val="clear" w:pos="1021"/>
        <w:tab w:val="left" w:pos="1361"/>
      </w:tabs>
    </w:pPr>
  </w:style>
  <w:style w:type="paragraph" w:customStyle="1" w:styleId="ListLegal4">
    <w:name w:val="List Legal 4"/>
    <w:basedOn w:val="ListLegal3"/>
    <w:rsid w:val="00CF799E"/>
    <w:pPr>
      <w:numPr>
        <w:numId w:val="16"/>
      </w:numPr>
      <w:tabs>
        <w:tab w:val="clear" w:pos="1361"/>
        <w:tab w:val="left" w:pos="1701"/>
      </w:tabs>
    </w:pPr>
  </w:style>
  <w:style w:type="paragraph" w:customStyle="1" w:styleId="ListLegal5">
    <w:name w:val="List Legal 5"/>
    <w:basedOn w:val="ListLegal4"/>
    <w:rsid w:val="000F2368"/>
    <w:pPr>
      <w:numPr>
        <w:numId w:val="25"/>
      </w:numPr>
      <w:tabs>
        <w:tab w:val="clear" w:pos="1701"/>
        <w:tab w:val="left" w:pos="2041"/>
      </w:tabs>
    </w:pPr>
  </w:style>
  <w:style w:type="paragraph" w:customStyle="1" w:styleId="LegalNumbering">
    <w:name w:val="Legal Numbering"/>
    <w:basedOn w:val="Normal"/>
    <w:qFormat/>
    <w:rsid w:val="0002115F"/>
    <w:pPr>
      <w:numPr>
        <w:numId w:val="17"/>
      </w:numPr>
      <w:tabs>
        <w:tab w:val="left" w:pos="340"/>
        <w:tab w:val="left" w:pos="680"/>
        <w:tab w:val="left" w:pos="1021"/>
        <w:tab w:val="left" w:pos="1361"/>
      </w:tabs>
    </w:pPr>
  </w:style>
  <w:style w:type="character" w:styleId="CommentReference">
    <w:name w:val="annotation reference"/>
    <w:uiPriority w:val="99"/>
    <w:semiHidden/>
    <w:unhideWhenUsed/>
    <w:rsid w:val="004F0A93"/>
    <w:rPr>
      <w:sz w:val="16"/>
      <w:szCs w:val="16"/>
    </w:rPr>
  </w:style>
  <w:style w:type="paragraph" w:styleId="CommentText">
    <w:name w:val="annotation text"/>
    <w:basedOn w:val="Normal"/>
    <w:link w:val="CommentTextChar"/>
    <w:uiPriority w:val="99"/>
    <w:semiHidden/>
    <w:unhideWhenUsed/>
    <w:rsid w:val="004F0A93"/>
    <w:rPr>
      <w:sz w:val="20"/>
      <w:szCs w:val="20"/>
    </w:rPr>
  </w:style>
  <w:style w:type="character" w:customStyle="1" w:styleId="CommentTextChar">
    <w:name w:val="Comment Text Char"/>
    <w:link w:val="CommentText"/>
    <w:uiPriority w:val="99"/>
    <w:semiHidden/>
    <w:rsid w:val="004F0A93"/>
    <w:rPr>
      <w:lang w:eastAsia="en-US"/>
    </w:rPr>
  </w:style>
  <w:style w:type="paragraph" w:styleId="CommentSubject">
    <w:name w:val="annotation subject"/>
    <w:basedOn w:val="CommentText"/>
    <w:next w:val="CommentText"/>
    <w:link w:val="CommentSubjectChar"/>
    <w:uiPriority w:val="99"/>
    <w:semiHidden/>
    <w:unhideWhenUsed/>
    <w:rsid w:val="004F0A93"/>
    <w:rPr>
      <w:b/>
      <w:bCs/>
    </w:rPr>
  </w:style>
  <w:style w:type="character" w:customStyle="1" w:styleId="CommentSubjectChar">
    <w:name w:val="Comment Subject Char"/>
    <w:link w:val="CommentSubject"/>
    <w:uiPriority w:val="99"/>
    <w:semiHidden/>
    <w:rsid w:val="004F0A93"/>
    <w:rPr>
      <w:b/>
      <w:bCs/>
      <w:lang w:eastAsia="en-US"/>
    </w:rPr>
  </w:style>
  <w:style w:type="table" w:customStyle="1" w:styleId="ACCCTable2">
    <w:name w:val="ACCC Table2"/>
    <w:basedOn w:val="TableNormal"/>
    <w:next w:val="TableGrid"/>
    <w:uiPriority w:val="59"/>
    <w:rsid w:val="00B81452"/>
    <w:pPr>
      <w:spacing w:before="60" w:after="60"/>
    </w:pPr>
    <w:rPr>
      <w:szCs w:val="22"/>
      <w:lang w:eastAsia="en-US"/>
    </w:rPr>
    <w:tblPr>
      <w:tblBorders>
        <w:top w:val="single" w:sz="4" w:space="0" w:color="BFBFBF"/>
        <w:bottom w:val="single" w:sz="4" w:space="0" w:color="BFBF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left w:val="nil"/>
          <w:bottom w:val="single" w:sz="4" w:space="0" w:color="BFBF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customStyle="1" w:styleId="LightShading11">
    <w:name w:val="Light Shading11"/>
    <w:basedOn w:val="TableNormal"/>
    <w:next w:val="LightShading"/>
    <w:uiPriority w:val="60"/>
    <w:rsid w:val="00555F84"/>
    <w:pPr>
      <w:spacing w:before="120" w:after="120"/>
    </w:pPr>
    <w:rPr>
      <w:color w:val="000000"/>
      <w:szCs w:val="22"/>
      <w:lang w:eastAsia="en-US"/>
    </w:rPr>
    <w:tblPr>
      <w:tblBorders>
        <w:top w:val="single" w:sz="4" w:space="0" w:color="D5D6D2"/>
        <w:bottom w:val="single" w:sz="4" w:space="0" w:color="D5D6D2"/>
        <w:insideH w:val="single" w:sz="4" w:space="0" w:color="D5D6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left w:val="nil"/>
          <w:bottom w:val="single" w:sz="8" w:space="0" w:color="000000"/>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left w:val="nil"/>
          <w:bottom w:val="single" w:sz="8" w:space="0" w:color="000000"/>
          <w:right w:val="nil"/>
          <w:insideH w:val="nil"/>
          <w:insideV w:val="nil"/>
        </w:tcBorders>
        <w:vAlign w:val="center"/>
      </w:tcPr>
    </w:tblStylePr>
    <w:tblStylePr w:type="firstCol">
      <w:rPr>
        <w:b/>
        <w:bCs/>
        <w:sz w:val="20"/>
      </w:rPr>
    </w:tblStylePr>
    <w:tblStylePr w:type="lastCol">
      <w:rPr>
        <w:b/>
        <w:bCs/>
      </w:rPr>
    </w:tblStylePr>
  </w:style>
  <w:style w:type="paragraph" w:styleId="Revision">
    <w:name w:val="Revision"/>
    <w:hidden/>
    <w:uiPriority w:val="99"/>
    <w:semiHidden/>
    <w:rsid w:val="0039574F"/>
    <w:rPr>
      <w:sz w:val="22"/>
      <w:szCs w:val="22"/>
      <w:lang w:eastAsia="en-US"/>
    </w:rPr>
  </w:style>
  <w:style w:type="character" w:styleId="FollowedHyperlink">
    <w:name w:val="FollowedHyperlink"/>
    <w:uiPriority w:val="99"/>
    <w:semiHidden/>
    <w:unhideWhenUsed/>
    <w:rsid w:val="003B3A6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49514">
      <w:bodyDiv w:val="1"/>
      <w:marLeft w:val="0"/>
      <w:marRight w:val="0"/>
      <w:marTop w:val="0"/>
      <w:marBottom w:val="0"/>
      <w:divBdr>
        <w:top w:val="none" w:sz="0" w:space="0" w:color="auto"/>
        <w:left w:val="none" w:sz="0" w:space="0" w:color="auto"/>
        <w:bottom w:val="none" w:sz="0" w:space="0" w:color="auto"/>
        <w:right w:val="none" w:sz="0" w:space="0" w:color="auto"/>
      </w:divBdr>
    </w:div>
    <w:div w:id="495456088">
      <w:bodyDiv w:val="1"/>
      <w:marLeft w:val="0"/>
      <w:marRight w:val="0"/>
      <w:marTop w:val="0"/>
      <w:marBottom w:val="0"/>
      <w:divBdr>
        <w:top w:val="none" w:sz="0" w:space="0" w:color="auto"/>
        <w:left w:val="none" w:sz="0" w:space="0" w:color="auto"/>
        <w:bottom w:val="none" w:sz="0" w:space="0" w:color="auto"/>
        <w:right w:val="none" w:sz="0" w:space="0" w:color="auto"/>
      </w:divBdr>
    </w:div>
    <w:div w:id="532697659">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mailto:productsafety.regulation@accc.gov.au"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creativecommons.org.au/" TargetMode="External"/><Relationship Id="rId17" Type="http://schemas.openxmlformats.org/officeDocument/2006/relationships/hyperlink" Target="http://business.gov.au" TargetMode="External"/><Relationship Id="rId2" Type="http://schemas.openxmlformats.org/officeDocument/2006/relationships/customXml" Target="../customXml/item2.xml"/><Relationship Id="rId16" Type="http://schemas.openxmlformats.org/officeDocument/2006/relationships/hyperlink" Target="http://www.productsafety.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yperlink" Target="https://consultation.accc.gov.au/"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legislation.gov.au/Details/F2007L00215/Html/Text"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roductsafety.gov.au/content/index.phtml/itemId/10141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37E020-D6AE-4AE8-A3FB-7651A513A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65D53AF0</Template>
  <TotalTime>2</TotalTime>
  <Pages>13</Pages>
  <Words>3429</Words>
  <Characters>19546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22930</CharactersWithSpaces>
  <SharedDoc>false</SharedDoc>
  <HLinks>
    <vt:vector size="18" baseType="variant">
      <vt:variant>
        <vt:i4>5439595</vt:i4>
      </vt:variant>
      <vt:variant>
        <vt:i4>3</vt:i4>
      </vt:variant>
      <vt:variant>
        <vt:i4>0</vt:i4>
      </vt:variant>
      <vt:variant>
        <vt:i4>5</vt:i4>
      </vt:variant>
      <vt:variant>
        <vt:lpwstr>mailto:productsafety.regulation@accc.gov.au</vt:lpwstr>
      </vt:variant>
      <vt:variant>
        <vt:lpwstr/>
      </vt:variant>
      <vt:variant>
        <vt:i4>2031625</vt:i4>
      </vt:variant>
      <vt:variant>
        <vt:i4>0</vt:i4>
      </vt:variant>
      <vt:variant>
        <vt:i4>0</vt:i4>
      </vt:variant>
      <vt:variant>
        <vt:i4>5</vt:i4>
      </vt:variant>
      <vt:variant>
        <vt:lpwstr>https://consultation.accc.gov.au/</vt:lpwstr>
      </vt:variant>
      <vt:variant>
        <vt:lpwstr/>
      </vt:variant>
      <vt:variant>
        <vt:i4>5701759</vt:i4>
      </vt:variant>
      <vt:variant>
        <vt:i4>0</vt:i4>
      </vt:variant>
      <vt:variant>
        <vt:i4>0</vt:i4>
      </vt:variant>
      <vt:variant>
        <vt:i4>5</vt:i4>
      </vt:variant>
      <vt:variant>
        <vt:lpwstr>https://www.dpmc.gov.au/sites/default/files/publications/industry_innovation_competitiveness_agenda.pdf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Isabel Ward</dc:creator>
  <cp:lastModifiedBy>Charlotte Marshall</cp:lastModifiedBy>
  <cp:revision>2</cp:revision>
  <cp:lastPrinted>2016-09-14T03:44:00Z</cp:lastPrinted>
  <dcterms:created xsi:type="dcterms:W3CDTF">2016-10-05T22:22:00Z</dcterms:created>
  <dcterms:modified xsi:type="dcterms:W3CDTF">2016-10-05T22:22:00Z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\\cdchnas-evs02\home$\chmars\review of safety standard for childrens nightwear - consultation paper - september 2016 (D2016-00128513).docx</vt:lpwstr>
  </property>
</Properties>
</file>