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bCs/>
          <w:color w:val="4F2D7D" w:themeColor="accent2"/>
          <w:spacing w:val="5"/>
          <w:kern w:val="28"/>
          <w:sz w:val="72"/>
          <w:szCs w:val="52"/>
          <w:lang w:val="en-US" w:eastAsia="ja-JP"/>
        </w:rPr>
        <w:id w:val="1199351438"/>
        <w:docPartObj>
          <w:docPartGallery w:val="Cover Pages"/>
          <w:docPartUnique/>
        </w:docPartObj>
      </w:sdtPr>
      <w:sdtEndPr>
        <w:rPr>
          <w:rFonts w:ascii="Arial" w:eastAsiaTheme="minorHAnsi" w:hAnsi="Arial" w:cstheme="minorBidi"/>
          <w:bCs w:val="0"/>
          <w:color w:val="auto"/>
          <w:spacing w:val="0"/>
          <w:kern w:val="0"/>
          <w:sz w:val="22"/>
          <w:szCs w:val="22"/>
          <w:lang w:val="en-AU" w:eastAsia="en-US"/>
        </w:rPr>
      </w:sdtEndPr>
      <w:sdtContent>
        <w:p w:rsidR="002D3CAF" w:rsidRDefault="002D3CAF" w:rsidP="008945B4">
          <w:r>
            <w:rPr>
              <w:noProof/>
              <w:lang w:eastAsia="en-AU"/>
            </w:rPr>
            <mc:AlternateContent>
              <mc:Choice Requires="wps">
                <w:drawing>
                  <wp:anchor distT="0" distB="0" distL="114300" distR="114300" simplePos="0" relativeHeight="251659264" behindDoc="1" locked="0" layoutInCell="1" allowOverlap="1" wp14:anchorId="599E51C6" wp14:editId="29B40F2B">
                    <wp:simplePos x="0" y="0"/>
                    <wp:positionH relativeFrom="column">
                      <wp:posOffset>-657225</wp:posOffset>
                    </wp:positionH>
                    <wp:positionV relativeFrom="paragraph">
                      <wp:posOffset>-559435</wp:posOffset>
                    </wp:positionV>
                    <wp:extent cx="7058025" cy="10163175"/>
                    <wp:effectExtent l="0" t="0" r="9525" b="9525"/>
                    <wp:wrapNone/>
                    <wp:docPr id="3" name="Rectangle 3"/>
                    <wp:cNvGraphicFramePr/>
                    <a:graphic xmlns:a="http://schemas.openxmlformats.org/drawingml/2006/main">
                      <a:graphicData uri="http://schemas.microsoft.com/office/word/2010/wordprocessingShape">
                        <wps:wsp>
                          <wps:cNvSpPr/>
                          <wps:spPr>
                            <a:xfrm>
                              <a:off x="0" y="0"/>
                              <a:ext cx="7058025" cy="101631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51.75pt;margin-top:-44.05pt;width:555.75pt;height:800.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" fillcolor="#d5d6d2 [3214]" stroked="f" strokeweight="2pt"/>
                </w:pict>
              </mc:Fallback>
            </mc:AlternateContent>
          </w:r>
          <w:r>
            <w:rPr>
              <w:noProof/>
              <w:lang w:eastAsia="en-AU"/>
            </w:rPr>
            <w:drawing>
              <wp:inline distT="0" distB="0" distL="0" distR="0" wp14:anchorId="7BB6B038" wp14:editId="2A935F1D">
                <wp:extent cx="2725235" cy="609600"/>
                <wp:effectExtent l="0" t="0" r="0" b="0"/>
                <wp:docPr id="4" name="Picture 4" title="A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C+GovtCrest_PMS286_CMY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4028" cy="609330"/>
                        </a:xfrm>
                        <a:prstGeom prst="rect">
                          <a:avLst/>
                        </a:prstGeom>
                      </pic:spPr>
                    </pic:pic>
                  </a:graphicData>
                </a:graphic>
              </wp:inline>
            </w:drawing>
          </w:r>
        </w:p>
        <w:p w:rsidR="002D3CAF" w:rsidRPr="005E6C0E" w:rsidRDefault="002D3CAF" w:rsidP="00181223"/>
        <w:tbl>
          <w:tblPr>
            <w:tblStyle w:val="TableGrid"/>
            <w:tblW w:w="0" w:type="auto"/>
            <w:tblBorders>
              <w:top w:val="none" w:sz="0" w:space="0" w:color="auto"/>
              <w:bottom w:val="none" w:sz="0" w:space="0" w:color="auto"/>
            </w:tblBorders>
            <w:tblLook w:val="0400" w:firstRow="0" w:lastRow="0" w:firstColumn="0" w:lastColumn="0" w:noHBand="0" w:noVBand="1"/>
          </w:tblPr>
          <w:tblGrid>
            <w:gridCol w:w="9242"/>
          </w:tblGrid>
          <w:tr w:rsidR="002D3CAF" w:rsidRPr="00C755AD" w:rsidTr="00B918CA">
            <w:trPr>
              <w:trHeight w:val="2192"/>
            </w:trPr>
            <w:tc>
              <w:tcPr>
                <w:tcW w:w="9242" w:type="dxa"/>
              </w:tcPr>
              <w:p w:rsidR="002D3CAF" w:rsidRPr="00C755AD" w:rsidRDefault="002D3CAF" w:rsidP="00C755AD">
                <w:pPr>
                  <w:spacing w:before="720"/>
                  <w:contextualSpacing/>
                  <w:outlineLvl w:val="0"/>
                  <w:rPr>
                    <w:rFonts w:asciiTheme="majorHAnsi" w:eastAsiaTheme="majorEastAsia" w:hAnsiTheme="majorHAnsi" w:cstheme="majorBidi"/>
                    <w:color w:val="4F2D7D" w:themeColor="accent2"/>
                    <w:spacing w:val="5"/>
                    <w:kern w:val="28"/>
                    <w:sz w:val="72"/>
                    <w:szCs w:val="52"/>
                  </w:rPr>
                </w:pPr>
              </w:p>
            </w:tc>
          </w:tr>
          <w:tr w:rsidR="002D3CAF" w:rsidRPr="00C755AD" w:rsidTr="00B918CA">
            <w:tc>
              <w:tcPr>
                <w:tcW w:w="9242" w:type="dxa"/>
              </w:tcPr>
              <w:p w:rsidR="002D3CAF" w:rsidRPr="00110F83" w:rsidRDefault="002D3CAF" w:rsidP="00110F83">
                <w:pPr>
                  <w:pStyle w:val="Subtitle"/>
                  <w:rPr>
                    <w:sz w:val="72"/>
                    <w:szCs w:val="72"/>
                  </w:rPr>
                </w:pPr>
                <w:bookmarkStart w:id="1" w:name="_Toc434239093"/>
                <w:bookmarkStart w:id="2" w:name="_Toc434940224"/>
                <w:bookmarkStart w:id="3" w:name="_Toc434940496"/>
                <w:r w:rsidRPr="00110F83">
                  <w:rPr>
                    <w:sz w:val="72"/>
                    <w:szCs w:val="72"/>
                  </w:rPr>
                  <w:t>Review of the mandatory safety standard for pedal bicycles</w:t>
                </w:r>
                <w:bookmarkEnd w:id="1"/>
                <w:bookmarkEnd w:id="2"/>
                <w:bookmarkEnd w:id="3"/>
                <w:r w:rsidRPr="00110F83">
                  <w:rPr>
                    <w:sz w:val="72"/>
                    <w:szCs w:val="72"/>
                  </w:rPr>
                  <w:t xml:space="preserve"> </w:t>
                </w:r>
              </w:p>
            </w:tc>
          </w:tr>
          <w:tr w:rsidR="002D3CAF" w:rsidRPr="00C755AD" w:rsidTr="00B918CA">
            <w:tc>
              <w:tcPr>
                <w:tcW w:w="9242" w:type="dxa"/>
              </w:tcPr>
              <w:p w:rsidR="002D3CAF" w:rsidRPr="00C755AD" w:rsidRDefault="009F2F98" w:rsidP="006C78EC">
                <w:pPr>
                  <w:pStyle w:val="Subtitle"/>
                </w:pPr>
                <w:r>
                  <w:t xml:space="preserve">Consultation </w:t>
                </w:r>
                <w:r w:rsidR="006C78EC">
                  <w:t>p</w:t>
                </w:r>
                <w:r>
                  <w:t>aper</w:t>
                </w:r>
              </w:p>
            </w:tc>
          </w:tr>
          <w:tr w:rsidR="002D3CAF" w:rsidRPr="00C755AD" w:rsidTr="00B918CA">
            <w:tc>
              <w:tcPr>
                <w:tcW w:w="9242" w:type="dxa"/>
              </w:tcPr>
              <w:p w:rsidR="002D3CAF" w:rsidRPr="00C755AD" w:rsidRDefault="002D3CAF" w:rsidP="00303C4A"/>
              <w:p w:rsidR="002D3CAF" w:rsidRPr="00B918CA" w:rsidRDefault="00193DD5" w:rsidP="00303C4A">
                <w:pPr>
                  <w:pStyle w:val="CoverDate"/>
                  <w:rPr>
                    <w:sz w:val="28"/>
                    <w:szCs w:val="28"/>
                  </w:rPr>
                </w:pPr>
                <w:r>
                  <w:rPr>
                    <w:sz w:val="28"/>
                    <w:szCs w:val="28"/>
                  </w:rPr>
                  <w:t>October</w:t>
                </w:r>
                <w:r w:rsidRPr="00B918CA">
                  <w:rPr>
                    <w:sz w:val="28"/>
                    <w:szCs w:val="28"/>
                  </w:rPr>
                  <w:t xml:space="preserve"> </w:t>
                </w:r>
                <w:r w:rsidR="002D3CAF" w:rsidRPr="00B918CA">
                  <w:rPr>
                    <w:sz w:val="28"/>
                    <w:szCs w:val="28"/>
                  </w:rPr>
                  <w:t>201</w:t>
                </w:r>
                <w:r w:rsidR="000D08E7" w:rsidRPr="00B918CA">
                  <w:rPr>
                    <w:sz w:val="28"/>
                    <w:szCs w:val="28"/>
                  </w:rPr>
                  <w:t>6</w:t>
                </w:r>
              </w:p>
              <w:p w:rsidR="00863D46" w:rsidRDefault="00863D46" w:rsidP="00303C4A">
                <w:pPr>
                  <w:pStyle w:val="CoverDate"/>
                </w:pPr>
              </w:p>
              <w:p w:rsidR="00863D46" w:rsidRDefault="00B918CA" w:rsidP="00B918CA">
                <w:pPr>
                  <w:pStyle w:val="CoverDate"/>
                  <w:jc w:val="center"/>
                </w:pPr>
                <w:r>
                  <w:rPr>
                    <w:rFonts w:cs="Arial"/>
                    <w:noProof/>
                    <w:color w:val="333333"/>
                    <w:sz w:val="18"/>
                    <w:szCs w:val="18"/>
                    <w:lang w:eastAsia="en-AU"/>
                  </w:rPr>
                  <w:drawing>
                    <wp:inline distT="0" distB="0" distL="0" distR="0" wp14:anchorId="72B49E4B" wp14:editId="16299D62">
                      <wp:extent cx="2363057" cy="1571159"/>
                      <wp:effectExtent l="0" t="0" r="0" b="0"/>
                      <wp:docPr id="1" name="Picture 1" descr="Mountain Bi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 Bicyc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862" cy="1571029"/>
                              </a:xfrm>
                              <a:prstGeom prst="rect">
                                <a:avLst/>
                              </a:prstGeom>
                              <a:noFill/>
                              <a:ln>
                                <a:noFill/>
                              </a:ln>
                            </pic:spPr>
                          </pic:pic>
                        </a:graphicData>
                      </a:graphic>
                    </wp:inline>
                  </w:drawing>
                </w:r>
              </w:p>
              <w:p w:rsidR="00863D46" w:rsidRDefault="00863D46" w:rsidP="00303C4A">
                <w:pPr>
                  <w:pStyle w:val="CoverDate"/>
                </w:pPr>
              </w:p>
              <w:p w:rsidR="00863D46" w:rsidRDefault="00863D46" w:rsidP="00303C4A">
                <w:pPr>
                  <w:pStyle w:val="CoverDate"/>
                </w:pPr>
              </w:p>
              <w:p w:rsidR="00863D46" w:rsidRPr="00B918CA" w:rsidRDefault="00863D46" w:rsidP="00303C4A">
                <w:pPr>
                  <w:pStyle w:val="CoverDate"/>
                  <w:rPr>
                    <w:sz w:val="22"/>
                    <w:szCs w:val="22"/>
                  </w:rPr>
                </w:pPr>
              </w:p>
              <w:p w:rsidR="00863D46" w:rsidRPr="00B918CA" w:rsidRDefault="00863D46" w:rsidP="00303C4A">
                <w:pPr>
                  <w:pStyle w:val="CoverDate"/>
                </w:pPr>
                <w:r w:rsidRPr="00B918CA">
                  <w:rPr>
                    <w:sz w:val="22"/>
                    <w:szCs w:val="22"/>
                  </w:rPr>
                  <w:t>Office of Best Practice Regulation</w:t>
                </w:r>
                <w:r w:rsidR="00736927" w:rsidRPr="00B918CA">
                  <w:rPr>
                    <w:sz w:val="22"/>
                    <w:szCs w:val="22"/>
                  </w:rPr>
                  <w:t xml:space="preserve"> Reference Number—14432</w:t>
                </w:r>
              </w:p>
            </w:tc>
          </w:tr>
        </w:tbl>
        <w:p w:rsidR="00B918CA" w:rsidRDefault="00B918CA" w:rsidP="00736927">
          <w:pPr>
            <w:pStyle w:val="TOCHeading"/>
          </w:pPr>
        </w:p>
        <w:p w:rsidR="00B918CA" w:rsidRDefault="00B918CA" w:rsidP="00736927">
          <w:pPr>
            <w:pStyle w:val="TOCHeading"/>
          </w:pPr>
        </w:p>
        <w:p w:rsidR="00B918CA" w:rsidRDefault="00B918CA" w:rsidP="00736927">
          <w:pPr>
            <w:pStyle w:val="TOCHeading"/>
          </w:pPr>
        </w:p>
        <w:p w:rsidR="00B918CA" w:rsidRDefault="00B918CA" w:rsidP="00736927">
          <w:pPr>
            <w:pStyle w:val="TOCHeading"/>
          </w:pPr>
        </w:p>
        <w:p w:rsidR="00B918CA" w:rsidRDefault="00B918CA" w:rsidP="00736927">
          <w:pPr>
            <w:pStyle w:val="TOCHeading"/>
          </w:pPr>
        </w:p>
        <w:p w:rsidR="00B918CA" w:rsidRDefault="00B918CA" w:rsidP="00736927">
          <w:pPr>
            <w:pStyle w:val="TOCHeading"/>
          </w:pPr>
        </w:p>
        <w:p w:rsidR="00B918CA" w:rsidRDefault="00B918CA" w:rsidP="00736927">
          <w:pPr>
            <w:pStyle w:val="TOCHeading"/>
          </w:pPr>
        </w:p>
        <w:p w:rsidR="00B918CA" w:rsidRDefault="00B918CA" w:rsidP="00736927">
          <w:pPr>
            <w:pStyle w:val="TOCHeading"/>
          </w:pPr>
        </w:p>
        <w:p w:rsidR="00B918CA" w:rsidRDefault="00B918CA" w:rsidP="00736927">
          <w:pPr>
            <w:pStyle w:val="TOCHeading"/>
          </w:pPr>
        </w:p>
        <w:p w:rsidR="00C36FF2" w:rsidRDefault="00C36FF2" w:rsidP="00C36FF2">
          <w:pPr>
            <w:jc w:val="center"/>
            <w:rPr>
              <w:rFonts w:eastAsia="Calibri" w:cs="Arial"/>
              <w:u w:val="single"/>
              <w:lang w:val="en-GB"/>
            </w:rPr>
          </w:pPr>
        </w:p>
        <w:p w:rsidR="00C36FF2" w:rsidRDefault="00C36FF2" w:rsidP="00C36FF2">
          <w:pPr>
            <w:jc w:val="center"/>
            <w:rPr>
              <w:rFonts w:eastAsia="Calibri" w:cs="Arial"/>
              <w:u w:val="single"/>
              <w:lang w:val="en-GB"/>
            </w:rPr>
          </w:pPr>
        </w:p>
        <w:p w:rsidR="00B918CA" w:rsidRPr="00C36FF2" w:rsidRDefault="00C36FF2" w:rsidP="00C36FF2">
          <w:pPr>
            <w:jc w:val="center"/>
            <w:rPr>
              <w:rFonts w:eastAsia="Calibri" w:cs="Arial"/>
              <w:u w:val="single"/>
              <w:lang w:val="en-GB"/>
            </w:rPr>
          </w:pPr>
          <w:r w:rsidRPr="0022438B">
            <w:rPr>
              <w:rFonts w:eastAsia="Calibri" w:cs="Arial"/>
              <w:u w:val="single"/>
              <w:lang w:val="en-GB"/>
            </w:rPr>
            <w:t>Disclaimer</w:t>
          </w:r>
        </w:p>
        <w:p w:rsidR="00B918CA" w:rsidRDefault="00C36FF2" w:rsidP="00736927">
          <w:pPr>
            <w:pStyle w:val="TOCHeading"/>
          </w:pPr>
          <w:r>
            <w:rPr>
              <w:noProof/>
              <w:lang w:val="en-AU" w:eastAsia="en-AU"/>
            </w:rPr>
            <mc:AlternateContent>
              <mc:Choice Requires="wps">
                <w:drawing>
                  <wp:anchor distT="0" distB="0" distL="114300" distR="114300" simplePos="0" relativeHeight="251660288" behindDoc="0" locked="0" layoutInCell="1" allowOverlap="1" wp14:anchorId="55876EEC" wp14:editId="47B74806">
                    <wp:simplePos x="0" y="0"/>
                    <wp:positionH relativeFrom="column">
                      <wp:posOffset>145415</wp:posOffset>
                    </wp:positionH>
                    <wp:positionV relativeFrom="paragraph">
                      <wp:posOffset>160655</wp:posOffset>
                    </wp:positionV>
                    <wp:extent cx="1828800" cy="1828800"/>
                    <wp:effectExtent l="0" t="0" r="1270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rsidR="00D14235" w:rsidRPr="004F2078" w:rsidRDefault="00D14235" w:rsidP="009607CB">
                                <w:pPr>
                                  <w:spacing w:before="120" w:after="120"/>
                                  <w:rPr>
                                    <w:rFonts w:eastAsia="Calibri" w:cs="Arial"/>
                                    <w:sz w:val="20"/>
                                    <w:szCs w:val="20"/>
                                    <w:lang w:val="en-GB"/>
                                  </w:rPr>
                                </w:pPr>
                                <w:r w:rsidRPr="004F2078">
                                  <w:rPr>
                                    <w:rFonts w:eastAsia="Calibri" w:cs="Arial"/>
                                    <w:sz w:val="20"/>
                                    <w:szCs w:val="20"/>
                                    <w:lang w:val="en-GB"/>
                                  </w:rPr>
                                  <w:t xml:space="preserve">The Australian Competition &amp; Consumer Commission (ACCC) has developed this consultation paper to seek the views of stakeholders about the mandatory safety standard for </w:t>
                                </w:r>
                                <w:r>
                                  <w:rPr>
                                    <w:rFonts w:eastAsia="Calibri" w:cs="Arial"/>
                                    <w:sz w:val="20"/>
                                    <w:szCs w:val="20"/>
                                    <w:lang w:val="en-GB"/>
                                  </w:rPr>
                                  <w:t>pedal bicycles.</w:t>
                                </w:r>
                              </w:p>
                              <w:p w:rsidR="00D14235" w:rsidRPr="004F2078" w:rsidRDefault="00D14235" w:rsidP="009607CB">
                                <w:pPr>
                                  <w:spacing w:before="120" w:after="120"/>
                                  <w:rPr>
                                    <w:rFonts w:eastAsia="Calibri" w:cs="Arial"/>
                                    <w:sz w:val="20"/>
                                    <w:szCs w:val="20"/>
                                  </w:rPr>
                                </w:pPr>
                                <w:proofErr w:type="gramStart"/>
                                <w:r w:rsidRPr="004F2078">
                                  <w:rPr>
                                    <w:rFonts w:eastAsia="Calibri" w:cs="Arial"/>
                                    <w:sz w:val="20"/>
                                    <w:szCs w:val="20"/>
                                  </w:rPr>
                                  <w:t>© Commonwealth of Australia 2016.</w:t>
                                </w:r>
                                <w:proofErr w:type="gramEnd"/>
                                <w:r w:rsidRPr="004F2078">
                                  <w:rPr>
                                    <w:rFonts w:eastAsia="Calibri" w:cs="Arial"/>
                                    <w:sz w:val="20"/>
                                    <w:szCs w:val="20"/>
                                  </w:rPr>
                                  <w:t xml:space="preserve"> </w:t>
                                </w:r>
                                <w:r w:rsidRPr="004F2078">
                                  <w:rPr>
                                    <w:rFonts w:eastAsia="Calibri" w:cs="Arial"/>
                                    <w:sz w:val="20"/>
                                    <w:szCs w:val="20"/>
                                    <w:lang w:val="en-GB"/>
                                  </w:rPr>
                                  <w:t>All material contained within this work is provided under a Creative Commons Attribution 3.0 Australia licence (</w:t>
                                </w:r>
                                <w:hyperlink r:id="rId12" w:history="1">
                                  <w:r w:rsidRPr="004F2078">
                                    <w:rPr>
                                      <w:rFonts w:eastAsia="Calibri" w:cs="Arial"/>
                                      <w:color w:val="0000FF"/>
                                      <w:sz w:val="20"/>
                                      <w:szCs w:val="20"/>
                                      <w:u w:val="single"/>
                                      <w:lang w:val="en-GB"/>
                                    </w:rPr>
                                    <w:t>creativecommons.org.au/</w:t>
                                  </w:r>
                                </w:hyperlink>
                                <w:r w:rsidRPr="004F2078">
                                  <w:rPr>
                                    <w:rFonts w:eastAsia="Calibri" w:cs="Arial"/>
                                    <w:sz w:val="20"/>
                                    <w:szCs w:val="20"/>
                                    <w:lang w:val="en-GB"/>
                                  </w:rPr>
                                  <w:t>), with the exception of any logos, illustrations or images. You may forward or otherwise distribute the paper. You may re-use the text in other formats, provided the ACCC is acknowledged as the source of the material and directions to access the full document are provided. You may not copy or reproduce any logos, illustrations or images. For more information, contact the Director Corporate Communications, ACCC, GPO Box 3131, Canberra ACT 2601</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45pt;margin-top:12.65pt;width:2in;height:2in;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">
                    <v:textbox style="mso-fit-shape-to-text:t">
                      <w:txbxContent>
                        <w:p w:rsidR="00D14235" w:rsidRPr="004F2078" w:rsidRDefault="00D14235" w:rsidP="009607CB">
                          <w:pPr>
                            <w:spacing w:before="120" w:after="120"/>
                            <w:rPr>
                              <w:rFonts w:eastAsia="Calibri" w:cs="Arial"/>
                              <w:sz w:val="20"/>
                              <w:szCs w:val="20"/>
                              <w:lang w:val="en-GB"/>
                            </w:rPr>
                          </w:pPr>
                          <w:r w:rsidRPr="004F2078">
                            <w:rPr>
                              <w:rFonts w:eastAsia="Calibri" w:cs="Arial"/>
                              <w:sz w:val="20"/>
                              <w:szCs w:val="20"/>
                              <w:lang w:val="en-GB"/>
                            </w:rPr>
                            <w:t xml:space="preserve">The Australian Competition &amp; Consumer Commission (ACCC) has developed this consultation paper to seek the views of stakeholders about the mandatory safety standard for </w:t>
                          </w:r>
                          <w:r>
                            <w:rPr>
                              <w:rFonts w:eastAsia="Calibri" w:cs="Arial"/>
                              <w:sz w:val="20"/>
                              <w:szCs w:val="20"/>
                              <w:lang w:val="en-GB"/>
                            </w:rPr>
                            <w:t>pedal bicycles.</w:t>
                          </w:r>
                        </w:p>
                        <w:p w:rsidR="00D14235" w:rsidRPr="004F2078" w:rsidRDefault="00D14235" w:rsidP="009607CB">
                          <w:pPr>
                            <w:spacing w:before="120" w:after="120"/>
                            <w:rPr>
                              <w:rFonts w:eastAsia="Calibri" w:cs="Arial"/>
                              <w:sz w:val="20"/>
                              <w:szCs w:val="20"/>
                            </w:rPr>
                          </w:pPr>
                          <w:proofErr w:type="gramStart"/>
                          <w:r w:rsidRPr="004F2078">
                            <w:rPr>
                              <w:rFonts w:eastAsia="Calibri" w:cs="Arial"/>
                              <w:sz w:val="20"/>
                              <w:szCs w:val="20"/>
                            </w:rPr>
                            <w:t>© Commonwealth of Australia 2016.</w:t>
                          </w:r>
                          <w:proofErr w:type="gramEnd"/>
                          <w:r w:rsidRPr="004F2078">
                            <w:rPr>
                              <w:rFonts w:eastAsia="Calibri" w:cs="Arial"/>
                              <w:sz w:val="20"/>
                              <w:szCs w:val="20"/>
                            </w:rPr>
                            <w:t xml:space="preserve"> </w:t>
                          </w:r>
                          <w:r w:rsidRPr="004F2078">
                            <w:rPr>
                              <w:rFonts w:eastAsia="Calibri" w:cs="Arial"/>
                              <w:sz w:val="20"/>
                              <w:szCs w:val="20"/>
                              <w:lang w:val="en-GB"/>
                            </w:rPr>
                            <w:t>All material contained within this work is provided under a Creative Commons Attribution 3.0 Australia licence (</w:t>
                          </w:r>
                          <w:hyperlink r:id="rId13" w:history="1">
                            <w:r w:rsidRPr="004F2078">
                              <w:rPr>
                                <w:rFonts w:eastAsia="Calibri" w:cs="Arial"/>
                                <w:color w:val="0000FF"/>
                                <w:sz w:val="20"/>
                                <w:szCs w:val="20"/>
                                <w:u w:val="single"/>
                                <w:lang w:val="en-GB"/>
                              </w:rPr>
                              <w:t>creativecommons.org.au/</w:t>
                            </w:r>
                          </w:hyperlink>
                          <w:r w:rsidRPr="004F2078">
                            <w:rPr>
                              <w:rFonts w:eastAsia="Calibri" w:cs="Arial"/>
                              <w:sz w:val="20"/>
                              <w:szCs w:val="20"/>
                              <w:lang w:val="en-GB"/>
                            </w:rPr>
                            <w:t>), with the exception of any logos, illustrations or images. You may forward or otherwise distribute the paper. You may re-use the text in other formats, provided the ACCC is acknowledged as the source of the material and directions to access the full document are provided. You may not copy or reproduce any logos, illustrations or images. For more information, contact the Director Corporate Communications, ACCC, GPO Box 3131, Canberra ACT 2601</w:t>
                          </w:r>
                        </w:p>
                      </w:txbxContent>
                    </v:textbox>
                    <w10:wrap type="square"/>
                  </v:shape>
                </w:pict>
              </mc:Fallback>
            </mc:AlternateContent>
          </w:r>
        </w:p>
        <w:p w:rsidR="00A55148" w:rsidRPr="00053BFC" w:rsidRDefault="00A55148" w:rsidP="00527F52"/>
        <w:p w:rsidR="00A55148" w:rsidRPr="00527F52" w:rsidRDefault="00A55148" w:rsidP="00527F52">
          <w:pPr>
            <w:rPr>
              <w:rStyle w:val="Strong"/>
              <w:sz w:val="24"/>
            </w:rPr>
          </w:pPr>
          <w:r w:rsidRPr="00527F52">
            <w:rPr>
              <w:rStyle w:val="Strong"/>
              <w:sz w:val="24"/>
            </w:rPr>
            <w:lastRenderedPageBreak/>
            <w:t>C</w:t>
          </w:r>
          <w:r w:rsidR="00736927" w:rsidRPr="00527F52">
            <w:rPr>
              <w:rStyle w:val="Strong"/>
              <w:sz w:val="24"/>
            </w:rPr>
            <w:t>ontents</w:t>
          </w:r>
        </w:p>
        <w:p w:rsidR="0068395A" w:rsidRPr="00613867" w:rsidRDefault="00A047B3">
          <w:pPr>
            <w:pStyle w:val="TOC1"/>
            <w:rPr>
              <w:rFonts w:asciiTheme="minorHAnsi" w:eastAsiaTheme="minorEastAsia" w:hAnsiTheme="minorHAnsi"/>
              <w:sz w:val="20"/>
              <w:szCs w:val="20"/>
              <w:lang w:val="en-AU" w:eastAsia="en-AU"/>
            </w:rPr>
          </w:pPr>
          <w:r w:rsidRPr="006768F6">
            <w:rPr>
              <w:sz w:val="20"/>
              <w:szCs w:val="20"/>
            </w:rPr>
            <w:fldChar w:fldCharType="begin"/>
          </w:r>
          <w:r w:rsidRPr="006768F6">
            <w:rPr>
              <w:sz w:val="20"/>
              <w:szCs w:val="20"/>
            </w:rPr>
            <w:instrText xml:space="preserve"> TOC \o "1-2" \h \z \u </w:instrText>
          </w:r>
          <w:r w:rsidRPr="006768F6">
            <w:rPr>
              <w:sz w:val="20"/>
              <w:szCs w:val="20"/>
            </w:rPr>
            <w:fldChar w:fldCharType="separate"/>
          </w:r>
          <w:hyperlink w:anchor="_Toc463541539" w:history="1">
            <w:r w:rsidR="0068395A" w:rsidRPr="00613867">
              <w:rPr>
                <w:rStyle w:val="Hyperlink"/>
                <w:sz w:val="20"/>
                <w:szCs w:val="20"/>
              </w:rPr>
              <w:t>1.</w:t>
            </w:r>
            <w:r w:rsidR="0068395A" w:rsidRPr="00613867">
              <w:rPr>
                <w:rFonts w:asciiTheme="minorHAnsi" w:eastAsiaTheme="minorEastAsia" w:hAnsiTheme="minorHAnsi"/>
                <w:sz w:val="20"/>
                <w:szCs w:val="20"/>
                <w:lang w:val="en-AU" w:eastAsia="en-AU"/>
              </w:rPr>
              <w:tab/>
            </w:r>
            <w:r w:rsidR="0068395A" w:rsidRPr="00613867">
              <w:rPr>
                <w:rStyle w:val="Hyperlink"/>
                <w:sz w:val="20"/>
                <w:szCs w:val="20"/>
              </w:rPr>
              <w:t>Introduction</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_Toc463541539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3</w:t>
            </w:r>
            <w:r w:rsidR="0068395A" w:rsidRPr="00613867">
              <w:rPr>
                <w:webHidden/>
                <w:sz w:val="20"/>
                <w:szCs w:val="20"/>
              </w:rPr>
              <w:fldChar w:fldCharType="end"/>
            </w:r>
          </w:hyperlink>
        </w:p>
        <w:p w:rsidR="0068395A" w:rsidRPr="00613867" w:rsidRDefault="00B03B43">
          <w:pPr>
            <w:pStyle w:val="TOC1"/>
            <w:rPr>
              <w:rFonts w:asciiTheme="minorHAnsi" w:eastAsiaTheme="minorEastAsia" w:hAnsiTheme="minorHAnsi"/>
              <w:sz w:val="20"/>
              <w:szCs w:val="20"/>
              <w:lang w:val="en-AU" w:eastAsia="en-AU"/>
            </w:rPr>
          </w:pPr>
          <w:hyperlink w:anchor="_Toc463541540" w:history="1">
            <w:r w:rsidR="0068395A" w:rsidRPr="00613867">
              <w:rPr>
                <w:rStyle w:val="Hyperlink"/>
                <w:sz w:val="20"/>
                <w:szCs w:val="20"/>
              </w:rPr>
              <w:t>2.</w:t>
            </w:r>
            <w:r w:rsidR="0068395A" w:rsidRPr="00613867">
              <w:rPr>
                <w:rFonts w:asciiTheme="minorHAnsi" w:eastAsiaTheme="minorEastAsia" w:hAnsiTheme="minorHAnsi"/>
                <w:sz w:val="20"/>
                <w:szCs w:val="20"/>
                <w:lang w:val="en-AU" w:eastAsia="en-AU"/>
              </w:rPr>
              <w:tab/>
            </w:r>
            <w:r w:rsidR="0068395A" w:rsidRPr="00613867">
              <w:rPr>
                <w:rStyle w:val="Hyperlink"/>
                <w:sz w:val="20"/>
                <w:szCs w:val="20"/>
              </w:rPr>
              <w:t>The problem and the need for government action</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_Toc463541540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3</w:t>
            </w:r>
            <w:r w:rsidR="0068395A" w:rsidRPr="00613867">
              <w:rPr>
                <w:webHidden/>
                <w:sz w:val="20"/>
                <w:szCs w:val="20"/>
              </w:rPr>
              <w:fldChar w:fldCharType="end"/>
            </w:r>
          </w:hyperlink>
        </w:p>
        <w:p w:rsidR="0068395A" w:rsidRPr="00613867" w:rsidRDefault="00B03B43">
          <w:pPr>
            <w:pStyle w:val="TOC1"/>
            <w:rPr>
              <w:rFonts w:asciiTheme="minorHAnsi" w:eastAsiaTheme="minorEastAsia" w:hAnsiTheme="minorHAnsi"/>
              <w:sz w:val="20"/>
              <w:szCs w:val="20"/>
              <w:lang w:val="en-AU" w:eastAsia="en-AU"/>
            </w:rPr>
          </w:pPr>
          <w:hyperlink w:anchor="_Toc463541544" w:history="1">
            <w:r w:rsidR="0068395A" w:rsidRPr="00613867">
              <w:rPr>
                <w:rStyle w:val="Hyperlink"/>
                <w:sz w:val="20"/>
                <w:szCs w:val="20"/>
              </w:rPr>
              <w:t>3.</w:t>
            </w:r>
            <w:r w:rsidR="0068395A" w:rsidRPr="00613867">
              <w:rPr>
                <w:rFonts w:asciiTheme="minorHAnsi" w:eastAsiaTheme="minorEastAsia" w:hAnsiTheme="minorHAnsi"/>
                <w:sz w:val="20"/>
                <w:szCs w:val="20"/>
                <w:lang w:val="en-AU" w:eastAsia="en-AU"/>
              </w:rPr>
              <w:tab/>
            </w:r>
            <w:r w:rsidR="0068395A" w:rsidRPr="00613867">
              <w:rPr>
                <w:rStyle w:val="Hyperlink"/>
                <w:sz w:val="20"/>
                <w:szCs w:val="20"/>
              </w:rPr>
              <w:t>Background</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_Toc463541544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3</w:t>
            </w:r>
            <w:r w:rsidR="0068395A" w:rsidRPr="00613867">
              <w:rPr>
                <w:webHidden/>
                <w:sz w:val="20"/>
                <w:szCs w:val="20"/>
              </w:rPr>
              <w:fldChar w:fldCharType="end"/>
            </w:r>
          </w:hyperlink>
        </w:p>
        <w:p w:rsidR="0068395A" w:rsidRPr="00613867" w:rsidRDefault="00B03B43">
          <w:pPr>
            <w:pStyle w:val="TOC2"/>
            <w:rPr>
              <w:rFonts w:asciiTheme="minorHAnsi" w:eastAsiaTheme="minorEastAsia" w:hAnsiTheme="minorHAnsi"/>
              <w:sz w:val="20"/>
              <w:szCs w:val="20"/>
              <w:lang w:eastAsia="en-AU"/>
            </w:rPr>
          </w:pPr>
          <w:hyperlink w:anchor="_Toc463541545" w:history="1">
            <w:r w:rsidR="0068395A" w:rsidRPr="00613867">
              <w:rPr>
                <w:rStyle w:val="Hyperlink"/>
                <w:sz w:val="20"/>
                <w:szCs w:val="20"/>
              </w:rPr>
              <w:t>3.1.</w:t>
            </w:r>
            <w:r w:rsidR="0068395A" w:rsidRPr="00613867">
              <w:rPr>
                <w:rFonts w:asciiTheme="minorHAnsi" w:eastAsiaTheme="minorEastAsia" w:hAnsiTheme="minorHAnsi"/>
                <w:sz w:val="20"/>
                <w:szCs w:val="20"/>
                <w:lang w:eastAsia="en-AU"/>
              </w:rPr>
              <w:tab/>
            </w:r>
            <w:r w:rsidR="0068395A" w:rsidRPr="00613867">
              <w:rPr>
                <w:rStyle w:val="Hyperlink"/>
                <w:sz w:val="20"/>
                <w:szCs w:val="20"/>
              </w:rPr>
              <w:t>Cycling in Australia</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_Toc463541545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3</w:t>
            </w:r>
            <w:r w:rsidR="0068395A" w:rsidRPr="00613867">
              <w:rPr>
                <w:webHidden/>
                <w:sz w:val="20"/>
                <w:szCs w:val="20"/>
              </w:rPr>
              <w:fldChar w:fldCharType="end"/>
            </w:r>
          </w:hyperlink>
        </w:p>
        <w:p w:rsidR="0068395A" w:rsidRPr="00613867" w:rsidRDefault="00B03B43">
          <w:pPr>
            <w:pStyle w:val="TOC2"/>
            <w:rPr>
              <w:rFonts w:asciiTheme="minorHAnsi" w:eastAsiaTheme="minorEastAsia" w:hAnsiTheme="minorHAnsi"/>
              <w:sz w:val="20"/>
              <w:szCs w:val="20"/>
              <w:lang w:eastAsia="en-AU"/>
            </w:rPr>
          </w:pPr>
          <w:hyperlink w:anchor="_Toc463541546" w:history="1">
            <w:r w:rsidR="0068395A" w:rsidRPr="00613867">
              <w:rPr>
                <w:rStyle w:val="Hyperlink"/>
                <w:sz w:val="20"/>
                <w:szCs w:val="20"/>
              </w:rPr>
              <w:t>3.2.</w:t>
            </w:r>
            <w:r w:rsidR="0068395A" w:rsidRPr="00613867">
              <w:rPr>
                <w:rFonts w:asciiTheme="minorHAnsi" w:eastAsiaTheme="minorEastAsia" w:hAnsiTheme="minorHAnsi"/>
                <w:sz w:val="20"/>
                <w:szCs w:val="20"/>
                <w:lang w:eastAsia="en-AU"/>
              </w:rPr>
              <w:tab/>
            </w:r>
            <w:r w:rsidR="0068395A" w:rsidRPr="00613867">
              <w:rPr>
                <w:rStyle w:val="Hyperlink"/>
                <w:sz w:val="20"/>
                <w:szCs w:val="20"/>
              </w:rPr>
              <w:t>Injuries and deaths related to cycle accidents</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_Toc463541546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4</w:t>
            </w:r>
            <w:r w:rsidR="0068395A" w:rsidRPr="00613867">
              <w:rPr>
                <w:webHidden/>
                <w:sz w:val="20"/>
                <w:szCs w:val="20"/>
              </w:rPr>
              <w:fldChar w:fldCharType="end"/>
            </w:r>
          </w:hyperlink>
        </w:p>
        <w:p w:rsidR="0068395A" w:rsidRPr="00613867" w:rsidRDefault="00B03B43">
          <w:pPr>
            <w:pStyle w:val="TOC2"/>
            <w:rPr>
              <w:rFonts w:asciiTheme="minorHAnsi" w:eastAsiaTheme="minorEastAsia" w:hAnsiTheme="minorHAnsi"/>
              <w:sz w:val="20"/>
              <w:szCs w:val="20"/>
              <w:lang w:eastAsia="en-AU"/>
            </w:rPr>
          </w:pPr>
          <w:hyperlink w:anchor="_Toc463541549" w:history="1">
            <w:r w:rsidR="0068395A" w:rsidRPr="00613867">
              <w:rPr>
                <w:rStyle w:val="Hyperlink"/>
                <w:sz w:val="20"/>
                <w:szCs w:val="20"/>
              </w:rPr>
              <w:t>3.3.</w:t>
            </w:r>
            <w:r w:rsidR="0068395A" w:rsidRPr="00613867">
              <w:rPr>
                <w:rFonts w:asciiTheme="minorHAnsi" w:eastAsiaTheme="minorEastAsia" w:hAnsiTheme="minorHAnsi"/>
                <w:sz w:val="20"/>
                <w:szCs w:val="20"/>
                <w:lang w:eastAsia="en-AU"/>
              </w:rPr>
              <w:tab/>
            </w:r>
            <w:r w:rsidR="0068395A" w:rsidRPr="00613867">
              <w:rPr>
                <w:rStyle w:val="Hyperlink"/>
                <w:sz w:val="20"/>
                <w:szCs w:val="20"/>
              </w:rPr>
              <w:t>The mandatory safety standard</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_Toc463541549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4</w:t>
            </w:r>
            <w:r w:rsidR="0068395A" w:rsidRPr="00613867">
              <w:rPr>
                <w:webHidden/>
                <w:sz w:val="20"/>
                <w:szCs w:val="20"/>
              </w:rPr>
              <w:fldChar w:fldCharType="end"/>
            </w:r>
          </w:hyperlink>
        </w:p>
        <w:p w:rsidR="0068395A" w:rsidRPr="00613867" w:rsidRDefault="00B03B43">
          <w:pPr>
            <w:pStyle w:val="TOC2"/>
            <w:rPr>
              <w:rFonts w:asciiTheme="minorHAnsi" w:eastAsiaTheme="minorEastAsia" w:hAnsiTheme="minorHAnsi"/>
              <w:sz w:val="20"/>
              <w:szCs w:val="20"/>
              <w:lang w:eastAsia="en-AU"/>
            </w:rPr>
          </w:pPr>
          <w:hyperlink w:anchor="_Toc463541550" w:history="1">
            <w:r w:rsidR="0068395A" w:rsidRPr="00613867">
              <w:rPr>
                <w:rStyle w:val="Hyperlink"/>
                <w:sz w:val="20"/>
                <w:szCs w:val="20"/>
              </w:rPr>
              <w:t>3.4.</w:t>
            </w:r>
            <w:r w:rsidR="0068395A" w:rsidRPr="00613867">
              <w:rPr>
                <w:rFonts w:asciiTheme="minorHAnsi" w:eastAsiaTheme="minorEastAsia" w:hAnsiTheme="minorHAnsi"/>
                <w:sz w:val="20"/>
                <w:szCs w:val="20"/>
                <w:lang w:eastAsia="en-AU"/>
              </w:rPr>
              <w:tab/>
            </w:r>
            <w:r w:rsidR="0068395A" w:rsidRPr="00613867">
              <w:rPr>
                <w:rStyle w:val="Hyperlink"/>
                <w:sz w:val="20"/>
                <w:szCs w:val="20"/>
              </w:rPr>
              <w:t>The voluntary Australian standard</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_Toc463541550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5</w:t>
            </w:r>
            <w:r w:rsidR="0068395A" w:rsidRPr="00613867">
              <w:rPr>
                <w:webHidden/>
                <w:sz w:val="20"/>
                <w:szCs w:val="20"/>
              </w:rPr>
              <w:fldChar w:fldCharType="end"/>
            </w:r>
          </w:hyperlink>
        </w:p>
        <w:p w:rsidR="0068395A" w:rsidRPr="00613867" w:rsidRDefault="00B03B43">
          <w:pPr>
            <w:pStyle w:val="TOC2"/>
            <w:rPr>
              <w:rFonts w:asciiTheme="minorHAnsi" w:eastAsiaTheme="minorEastAsia" w:hAnsiTheme="minorHAnsi"/>
              <w:sz w:val="20"/>
              <w:szCs w:val="20"/>
              <w:lang w:eastAsia="en-AU"/>
            </w:rPr>
          </w:pPr>
          <w:hyperlink w:anchor="_Toc463541551" w:history="1">
            <w:r w:rsidR="0068395A" w:rsidRPr="00613867">
              <w:rPr>
                <w:rStyle w:val="Hyperlink"/>
                <w:sz w:val="20"/>
                <w:szCs w:val="20"/>
              </w:rPr>
              <w:t>3.5.</w:t>
            </w:r>
            <w:r w:rsidR="0068395A" w:rsidRPr="00613867">
              <w:rPr>
                <w:rFonts w:asciiTheme="minorHAnsi" w:eastAsiaTheme="minorEastAsia" w:hAnsiTheme="minorHAnsi"/>
                <w:sz w:val="20"/>
                <w:szCs w:val="20"/>
                <w:lang w:eastAsia="en-AU"/>
              </w:rPr>
              <w:tab/>
            </w:r>
            <w:r w:rsidR="0068395A" w:rsidRPr="00613867">
              <w:rPr>
                <w:rStyle w:val="Hyperlink"/>
                <w:sz w:val="20"/>
                <w:szCs w:val="20"/>
              </w:rPr>
              <w:t>The bicycle market in Australia</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_Toc463541551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5</w:t>
            </w:r>
            <w:r w:rsidR="0068395A" w:rsidRPr="00613867">
              <w:rPr>
                <w:webHidden/>
                <w:sz w:val="20"/>
                <w:szCs w:val="20"/>
              </w:rPr>
              <w:fldChar w:fldCharType="end"/>
            </w:r>
          </w:hyperlink>
        </w:p>
        <w:p w:rsidR="0068395A" w:rsidRPr="00613867" w:rsidRDefault="00B03B43">
          <w:pPr>
            <w:pStyle w:val="TOC2"/>
            <w:rPr>
              <w:rFonts w:asciiTheme="minorHAnsi" w:eastAsiaTheme="minorEastAsia" w:hAnsiTheme="minorHAnsi"/>
              <w:sz w:val="20"/>
              <w:szCs w:val="20"/>
              <w:lang w:eastAsia="en-AU"/>
            </w:rPr>
          </w:pPr>
          <w:hyperlink w:anchor="_Toc463541552" w:history="1">
            <w:r w:rsidR="0068395A" w:rsidRPr="00613867">
              <w:rPr>
                <w:rStyle w:val="Hyperlink"/>
                <w:sz w:val="20"/>
                <w:szCs w:val="20"/>
              </w:rPr>
              <w:t>3.6.</w:t>
            </w:r>
            <w:r w:rsidR="0068395A" w:rsidRPr="00613867">
              <w:rPr>
                <w:rFonts w:asciiTheme="minorHAnsi" w:eastAsiaTheme="minorEastAsia" w:hAnsiTheme="minorHAnsi"/>
                <w:sz w:val="20"/>
                <w:szCs w:val="20"/>
                <w:lang w:eastAsia="en-AU"/>
              </w:rPr>
              <w:tab/>
            </w:r>
            <w:r w:rsidR="0068395A" w:rsidRPr="00613867">
              <w:rPr>
                <w:rStyle w:val="Hyperlink"/>
                <w:sz w:val="20"/>
                <w:szCs w:val="20"/>
              </w:rPr>
              <w:t>Compliance with the mandatory safety standard</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_Toc463541552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6</w:t>
            </w:r>
            <w:r w:rsidR="0068395A" w:rsidRPr="00613867">
              <w:rPr>
                <w:webHidden/>
                <w:sz w:val="20"/>
                <w:szCs w:val="20"/>
              </w:rPr>
              <w:fldChar w:fldCharType="end"/>
            </w:r>
          </w:hyperlink>
        </w:p>
        <w:p w:rsidR="0068395A" w:rsidRPr="00613867" w:rsidRDefault="00B03B43">
          <w:pPr>
            <w:pStyle w:val="TOC2"/>
            <w:rPr>
              <w:rFonts w:asciiTheme="minorHAnsi" w:eastAsiaTheme="minorEastAsia" w:hAnsiTheme="minorHAnsi"/>
              <w:sz w:val="20"/>
              <w:szCs w:val="20"/>
              <w:lang w:eastAsia="en-AU"/>
            </w:rPr>
          </w:pPr>
          <w:hyperlink w:anchor="_Toc463541553" w:history="1">
            <w:r w:rsidR="0068395A" w:rsidRPr="00613867">
              <w:rPr>
                <w:rStyle w:val="Hyperlink"/>
                <w:sz w:val="20"/>
                <w:szCs w:val="20"/>
              </w:rPr>
              <w:t>3.7.</w:t>
            </w:r>
            <w:r w:rsidR="0068395A" w:rsidRPr="00613867">
              <w:rPr>
                <w:rFonts w:asciiTheme="minorHAnsi" w:eastAsiaTheme="minorEastAsia" w:hAnsiTheme="minorHAnsi"/>
                <w:sz w:val="20"/>
                <w:szCs w:val="20"/>
                <w:lang w:eastAsia="en-AU"/>
              </w:rPr>
              <w:tab/>
            </w:r>
            <w:r w:rsidR="0068395A" w:rsidRPr="00613867">
              <w:rPr>
                <w:rStyle w:val="Hyperlink"/>
                <w:sz w:val="20"/>
                <w:szCs w:val="20"/>
              </w:rPr>
              <w:t>State and Territory road laws</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_Toc463541553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6</w:t>
            </w:r>
            <w:r w:rsidR="0068395A" w:rsidRPr="00613867">
              <w:rPr>
                <w:webHidden/>
                <w:sz w:val="20"/>
                <w:szCs w:val="20"/>
              </w:rPr>
              <w:fldChar w:fldCharType="end"/>
            </w:r>
          </w:hyperlink>
        </w:p>
        <w:p w:rsidR="0068395A" w:rsidRPr="00613867" w:rsidRDefault="00B03B43">
          <w:pPr>
            <w:pStyle w:val="TOC2"/>
            <w:rPr>
              <w:rFonts w:asciiTheme="minorHAnsi" w:eastAsiaTheme="minorEastAsia" w:hAnsiTheme="minorHAnsi"/>
              <w:sz w:val="20"/>
              <w:szCs w:val="20"/>
              <w:lang w:eastAsia="en-AU"/>
            </w:rPr>
          </w:pPr>
          <w:hyperlink w:anchor="_Toc463541554" w:history="1">
            <w:r w:rsidR="0068395A" w:rsidRPr="00613867">
              <w:rPr>
                <w:rStyle w:val="Hyperlink"/>
                <w:sz w:val="20"/>
                <w:szCs w:val="20"/>
              </w:rPr>
              <w:t>3.8.</w:t>
            </w:r>
            <w:r w:rsidR="0068395A" w:rsidRPr="00613867">
              <w:rPr>
                <w:rFonts w:asciiTheme="minorHAnsi" w:eastAsiaTheme="minorEastAsia" w:hAnsiTheme="minorHAnsi"/>
                <w:sz w:val="20"/>
                <w:szCs w:val="20"/>
                <w:lang w:eastAsia="en-AU"/>
              </w:rPr>
              <w:tab/>
            </w:r>
            <w:r w:rsidR="0068395A" w:rsidRPr="00613867">
              <w:rPr>
                <w:rStyle w:val="Hyperlink"/>
                <w:sz w:val="20"/>
                <w:szCs w:val="20"/>
              </w:rPr>
              <w:t>Technological developments and changes in the marketplace</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_Toc463541554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7</w:t>
            </w:r>
            <w:r w:rsidR="0068395A" w:rsidRPr="00613867">
              <w:rPr>
                <w:webHidden/>
                <w:sz w:val="20"/>
                <w:szCs w:val="20"/>
              </w:rPr>
              <w:fldChar w:fldCharType="end"/>
            </w:r>
          </w:hyperlink>
        </w:p>
        <w:p w:rsidR="0068395A" w:rsidRPr="00613867" w:rsidRDefault="00B03B43">
          <w:pPr>
            <w:pStyle w:val="TOC2"/>
            <w:rPr>
              <w:rFonts w:asciiTheme="minorHAnsi" w:eastAsiaTheme="minorEastAsia" w:hAnsiTheme="minorHAnsi"/>
              <w:sz w:val="20"/>
              <w:szCs w:val="20"/>
              <w:lang w:eastAsia="en-AU"/>
            </w:rPr>
          </w:pPr>
          <w:hyperlink w:anchor="_Toc463541557" w:history="1">
            <w:r w:rsidR="0068395A" w:rsidRPr="00613867">
              <w:rPr>
                <w:rStyle w:val="Hyperlink"/>
                <w:sz w:val="20"/>
                <w:szCs w:val="20"/>
              </w:rPr>
              <w:t>3.9.</w:t>
            </w:r>
            <w:r w:rsidR="0068395A" w:rsidRPr="00613867">
              <w:rPr>
                <w:rFonts w:asciiTheme="minorHAnsi" w:eastAsiaTheme="minorEastAsia" w:hAnsiTheme="minorHAnsi"/>
                <w:sz w:val="20"/>
                <w:szCs w:val="20"/>
                <w:lang w:eastAsia="en-AU"/>
              </w:rPr>
              <w:tab/>
            </w:r>
            <w:r w:rsidR="0068395A" w:rsidRPr="00613867">
              <w:rPr>
                <w:rStyle w:val="Hyperlink"/>
                <w:sz w:val="20"/>
                <w:szCs w:val="20"/>
              </w:rPr>
              <w:t>International standards</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_Toc463541557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9</w:t>
            </w:r>
            <w:r w:rsidR="0068395A" w:rsidRPr="00613867">
              <w:rPr>
                <w:webHidden/>
                <w:sz w:val="20"/>
                <w:szCs w:val="20"/>
              </w:rPr>
              <w:fldChar w:fldCharType="end"/>
            </w:r>
          </w:hyperlink>
        </w:p>
        <w:p w:rsidR="0068395A" w:rsidRPr="00613867" w:rsidRDefault="00B03B43">
          <w:pPr>
            <w:pStyle w:val="TOC1"/>
            <w:rPr>
              <w:rFonts w:asciiTheme="minorHAnsi" w:eastAsiaTheme="minorEastAsia" w:hAnsiTheme="minorHAnsi"/>
              <w:sz w:val="20"/>
              <w:szCs w:val="20"/>
              <w:lang w:val="en-AU" w:eastAsia="en-AU"/>
            </w:rPr>
          </w:pPr>
          <w:hyperlink w:anchor="_Toc463541559" w:history="1">
            <w:r w:rsidR="0068395A" w:rsidRPr="00613867">
              <w:rPr>
                <w:rStyle w:val="Hyperlink"/>
                <w:sz w:val="20"/>
                <w:szCs w:val="20"/>
              </w:rPr>
              <w:t>4.</w:t>
            </w:r>
            <w:r w:rsidR="0068395A" w:rsidRPr="00613867">
              <w:rPr>
                <w:rFonts w:asciiTheme="minorHAnsi" w:eastAsiaTheme="minorEastAsia" w:hAnsiTheme="minorHAnsi"/>
                <w:sz w:val="20"/>
                <w:szCs w:val="20"/>
                <w:lang w:val="en-AU" w:eastAsia="en-AU"/>
              </w:rPr>
              <w:tab/>
            </w:r>
            <w:r w:rsidR="0068395A" w:rsidRPr="00613867">
              <w:rPr>
                <w:rStyle w:val="Hyperlink"/>
                <w:sz w:val="20"/>
                <w:szCs w:val="20"/>
              </w:rPr>
              <w:t>Policy options</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_Toc463541559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11</w:t>
            </w:r>
            <w:r w:rsidR="0068395A" w:rsidRPr="00613867">
              <w:rPr>
                <w:webHidden/>
                <w:sz w:val="20"/>
                <w:szCs w:val="20"/>
              </w:rPr>
              <w:fldChar w:fldCharType="end"/>
            </w:r>
          </w:hyperlink>
        </w:p>
        <w:p w:rsidR="0068395A" w:rsidRPr="00613867" w:rsidRDefault="00B03B43">
          <w:pPr>
            <w:pStyle w:val="TOC2"/>
            <w:rPr>
              <w:rFonts w:asciiTheme="minorHAnsi" w:eastAsiaTheme="minorEastAsia" w:hAnsiTheme="minorHAnsi"/>
              <w:sz w:val="20"/>
              <w:szCs w:val="20"/>
              <w:lang w:eastAsia="en-AU"/>
            </w:rPr>
          </w:pPr>
          <w:hyperlink w:anchor="_Toc463541560" w:history="1">
            <w:r w:rsidR="0068395A" w:rsidRPr="00613867">
              <w:rPr>
                <w:rStyle w:val="Hyperlink"/>
                <w:sz w:val="20"/>
                <w:szCs w:val="20"/>
              </w:rPr>
              <w:t>Option 1 – Retain the current mandatory safety standard (status quo)</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_Toc463541560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11</w:t>
            </w:r>
            <w:r w:rsidR="0068395A" w:rsidRPr="00613867">
              <w:rPr>
                <w:webHidden/>
                <w:sz w:val="20"/>
                <w:szCs w:val="20"/>
              </w:rPr>
              <w:fldChar w:fldCharType="end"/>
            </w:r>
          </w:hyperlink>
        </w:p>
        <w:p w:rsidR="0068395A" w:rsidRPr="00613867" w:rsidRDefault="00B03B43">
          <w:pPr>
            <w:pStyle w:val="TOC2"/>
            <w:rPr>
              <w:rFonts w:asciiTheme="minorHAnsi" w:eastAsiaTheme="minorEastAsia" w:hAnsiTheme="minorHAnsi"/>
              <w:sz w:val="20"/>
              <w:szCs w:val="20"/>
              <w:lang w:eastAsia="en-AU"/>
            </w:rPr>
          </w:pPr>
          <w:hyperlink w:anchor="_Toc463541561" w:history="1">
            <w:r w:rsidR="0068395A" w:rsidRPr="00613867">
              <w:rPr>
                <w:rStyle w:val="Hyperlink"/>
                <w:sz w:val="20"/>
                <w:szCs w:val="20"/>
              </w:rPr>
              <w:t>Option 2 – Adopt the entire updated voluntary Australian standard</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_Toc463541561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12</w:t>
            </w:r>
            <w:r w:rsidR="0068395A" w:rsidRPr="00613867">
              <w:rPr>
                <w:webHidden/>
                <w:sz w:val="20"/>
                <w:szCs w:val="20"/>
              </w:rPr>
              <w:fldChar w:fldCharType="end"/>
            </w:r>
          </w:hyperlink>
        </w:p>
        <w:p w:rsidR="0068395A" w:rsidRPr="00613867" w:rsidRDefault="00B03B43">
          <w:pPr>
            <w:pStyle w:val="TOC2"/>
            <w:rPr>
              <w:rFonts w:asciiTheme="minorHAnsi" w:eastAsiaTheme="minorEastAsia" w:hAnsiTheme="minorHAnsi"/>
              <w:sz w:val="20"/>
              <w:szCs w:val="20"/>
              <w:lang w:eastAsia="en-AU"/>
            </w:rPr>
          </w:pPr>
          <w:hyperlink w:anchor="_Toc463541562" w:history="1">
            <w:r w:rsidR="0068395A" w:rsidRPr="00613867">
              <w:rPr>
                <w:rStyle w:val="Hyperlink"/>
                <w:sz w:val="20"/>
                <w:szCs w:val="20"/>
              </w:rPr>
              <w:t>Option 3 - Adopt parts of the updated voluntary Australian standard</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_Toc463541562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13</w:t>
            </w:r>
            <w:r w:rsidR="0068395A" w:rsidRPr="00613867">
              <w:rPr>
                <w:webHidden/>
                <w:sz w:val="20"/>
                <w:szCs w:val="20"/>
              </w:rPr>
              <w:fldChar w:fldCharType="end"/>
            </w:r>
          </w:hyperlink>
        </w:p>
        <w:p w:rsidR="0068395A" w:rsidRPr="00613867" w:rsidRDefault="00B03B43">
          <w:pPr>
            <w:pStyle w:val="TOC2"/>
            <w:rPr>
              <w:rFonts w:asciiTheme="minorHAnsi" w:eastAsiaTheme="minorEastAsia" w:hAnsiTheme="minorHAnsi"/>
              <w:sz w:val="20"/>
              <w:szCs w:val="20"/>
              <w:lang w:eastAsia="en-AU"/>
            </w:rPr>
          </w:pPr>
          <w:hyperlink w:anchor="_Toc463541563" w:history="1">
            <w:r w:rsidR="0068395A" w:rsidRPr="00613867">
              <w:rPr>
                <w:rStyle w:val="Hyperlink"/>
                <w:sz w:val="20"/>
                <w:szCs w:val="20"/>
              </w:rPr>
              <w:t>Option 4 – Allow compliance with the voluntary Australian or trusted international standards</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_Toc463541563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14</w:t>
            </w:r>
            <w:r w:rsidR="0068395A" w:rsidRPr="00613867">
              <w:rPr>
                <w:webHidden/>
                <w:sz w:val="20"/>
                <w:szCs w:val="20"/>
              </w:rPr>
              <w:fldChar w:fldCharType="end"/>
            </w:r>
          </w:hyperlink>
        </w:p>
        <w:p w:rsidR="0068395A" w:rsidRPr="00613867" w:rsidRDefault="00B03B43">
          <w:pPr>
            <w:pStyle w:val="TOC2"/>
            <w:rPr>
              <w:rFonts w:asciiTheme="minorHAnsi" w:eastAsiaTheme="minorEastAsia" w:hAnsiTheme="minorHAnsi"/>
              <w:sz w:val="20"/>
              <w:szCs w:val="20"/>
              <w:lang w:eastAsia="en-AU"/>
            </w:rPr>
          </w:pPr>
          <w:hyperlink w:anchor="_Toc463541564" w:history="1">
            <w:r w:rsidR="0068395A" w:rsidRPr="00613867">
              <w:rPr>
                <w:rStyle w:val="Hyperlink"/>
                <w:sz w:val="20"/>
                <w:szCs w:val="20"/>
              </w:rPr>
              <w:t>Option 5 - Revoke the mandatory safety standard</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_Toc463541564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15</w:t>
            </w:r>
            <w:r w:rsidR="0068395A" w:rsidRPr="00613867">
              <w:rPr>
                <w:webHidden/>
                <w:sz w:val="20"/>
                <w:szCs w:val="20"/>
              </w:rPr>
              <w:fldChar w:fldCharType="end"/>
            </w:r>
          </w:hyperlink>
        </w:p>
        <w:p w:rsidR="0068395A" w:rsidRPr="00613867" w:rsidRDefault="00B03B43">
          <w:pPr>
            <w:pStyle w:val="TOC1"/>
            <w:rPr>
              <w:rFonts w:asciiTheme="minorHAnsi" w:eastAsiaTheme="minorEastAsia" w:hAnsiTheme="minorHAnsi"/>
              <w:sz w:val="20"/>
              <w:szCs w:val="20"/>
              <w:lang w:val="en-AU" w:eastAsia="en-AU"/>
            </w:rPr>
          </w:pPr>
          <w:hyperlink w:anchor="_Toc463541569" w:history="1">
            <w:r w:rsidR="0068395A" w:rsidRPr="00613867">
              <w:rPr>
                <w:rStyle w:val="Hyperlink"/>
                <w:sz w:val="20"/>
                <w:szCs w:val="20"/>
              </w:rPr>
              <w:t>5.</w:t>
            </w:r>
            <w:r w:rsidR="0068395A" w:rsidRPr="00613867">
              <w:rPr>
                <w:rFonts w:asciiTheme="minorHAnsi" w:eastAsiaTheme="minorEastAsia" w:hAnsiTheme="minorHAnsi"/>
                <w:sz w:val="20"/>
                <w:szCs w:val="20"/>
                <w:lang w:val="en-AU" w:eastAsia="en-AU"/>
              </w:rPr>
              <w:tab/>
            </w:r>
            <w:r w:rsidR="0068395A" w:rsidRPr="00613867">
              <w:rPr>
                <w:rStyle w:val="Hyperlink"/>
                <w:sz w:val="20"/>
                <w:szCs w:val="20"/>
              </w:rPr>
              <w:t>Implementation and evaluation</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_Toc463541569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17</w:t>
            </w:r>
            <w:r w:rsidR="0068395A" w:rsidRPr="00613867">
              <w:rPr>
                <w:webHidden/>
                <w:sz w:val="20"/>
                <w:szCs w:val="20"/>
              </w:rPr>
              <w:fldChar w:fldCharType="end"/>
            </w:r>
          </w:hyperlink>
        </w:p>
        <w:p w:rsidR="0068395A" w:rsidRPr="00613867" w:rsidRDefault="00B03B43">
          <w:pPr>
            <w:pStyle w:val="TOC1"/>
            <w:rPr>
              <w:rFonts w:asciiTheme="minorHAnsi" w:eastAsiaTheme="minorEastAsia" w:hAnsiTheme="minorHAnsi"/>
              <w:sz w:val="20"/>
              <w:szCs w:val="20"/>
              <w:lang w:val="en-AU" w:eastAsia="en-AU"/>
            </w:rPr>
          </w:pPr>
          <w:hyperlink w:anchor="_Toc463541574" w:history="1">
            <w:r w:rsidR="0068395A" w:rsidRPr="00613867">
              <w:rPr>
                <w:rStyle w:val="Hyperlink"/>
                <w:sz w:val="20"/>
                <w:szCs w:val="20"/>
              </w:rPr>
              <w:t>6.</w:t>
            </w:r>
            <w:r w:rsidR="0068395A" w:rsidRPr="00613867">
              <w:rPr>
                <w:rFonts w:asciiTheme="minorHAnsi" w:eastAsiaTheme="minorEastAsia" w:hAnsiTheme="minorHAnsi"/>
                <w:sz w:val="20"/>
                <w:szCs w:val="20"/>
                <w:lang w:val="en-AU" w:eastAsia="en-AU"/>
              </w:rPr>
              <w:tab/>
            </w:r>
            <w:r w:rsidR="0068395A" w:rsidRPr="00613867">
              <w:rPr>
                <w:rStyle w:val="Hyperlink"/>
                <w:sz w:val="20"/>
                <w:szCs w:val="20"/>
              </w:rPr>
              <w:t>Key questions</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_Toc463541574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17</w:t>
            </w:r>
            <w:r w:rsidR="0068395A" w:rsidRPr="00613867">
              <w:rPr>
                <w:webHidden/>
                <w:sz w:val="20"/>
                <w:szCs w:val="20"/>
              </w:rPr>
              <w:fldChar w:fldCharType="end"/>
            </w:r>
          </w:hyperlink>
        </w:p>
        <w:p w:rsidR="0068395A" w:rsidRPr="00613867" w:rsidRDefault="00B03B43">
          <w:pPr>
            <w:pStyle w:val="TOC1"/>
            <w:rPr>
              <w:rFonts w:asciiTheme="minorHAnsi" w:eastAsiaTheme="minorEastAsia" w:hAnsiTheme="minorHAnsi"/>
              <w:sz w:val="20"/>
              <w:szCs w:val="20"/>
              <w:lang w:val="en-AU" w:eastAsia="en-AU"/>
            </w:rPr>
          </w:pPr>
          <w:hyperlink w:anchor="_Toc463541575" w:history="1">
            <w:r w:rsidR="0068395A" w:rsidRPr="00613867">
              <w:rPr>
                <w:rStyle w:val="Hyperlink"/>
                <w:sz w:val="20"/>
                <w:szCs w:val="20"/>
              </w:rPr>
              <w:t>7.</w:t>
            </w:r>
            <w:r w:rsidR="0068395A" w:rsidRPr="00613867">
              <w:rPr>
                <w:rFonts w:asciiTheme="minorHAnsi" w:eastAsiaTheme="minorEastAsia" w:hAnsiTheme="minorHAnsi"/>
                <w:sz w:val="20"/>
                <w:szCs w:val="20"/>
                <w:lang w:val="en-AU" w:eastAsia="en-AU"/>
              </w:rPr>
              <w:tab/>
            </w:r>
            <w:r w:rsidR="0068395A" w:rsidRPr="00613867">
              <w:rPr>
                <w:rStyle w:val="Hyperlink"/>
                <w:sz w:val="20"/>
                <w:szCs w:val="20"/>
              </w:rPr>
              <w:t>Have your say</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_Toc463541575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18</w:t>
            </w:r>
            <w:r w:rsidR="0068395A" w:rsidRPr="00613867">
              <w:rPr>
                <w:webHidden/>
                <w:sz w:val="20"/>
                <w:szCs w:val="20"/>
              </w:rPr>
              <w:fldChar w:fldCharType="end"/>
            </w:r>
          </w:hyperlink>
        </w:p>
        <w:p w:rsidR="0068395A" w:rsidRPr="00613867" w:rsidRDefault="00B03B43">
          <w:pPr>
            <w:pStyle w:val="TOC1"/>
            <w:rPr>
              <w:rFonts w:asciiTheme="minorHAnsi" w:eastAsiaTheme="minorEastAsia" w:hAnsiTheme="minorHAnsi"/>
              <w:sz w:val="20"/>
              <w:szCs w:val="20"/>
              <w:lang w:val="en-AU" w:eastAsia="en-AU"/>
            </w:rPr>
          </w:pPr>
          <w:hyperlink w:anchor="_Toc463541576" w:history="1">
            <w:r w:rsidR="0068395A" w:rsidRPr="00613867">
              <w:rPr>
                <w:rStyle w:val="Hyperlink"/>
                <w:sz w:val="20"/>
                <w:szCs w:val="20"/>
              </w:rPr>
              <w:t>Appendix A-Clauses to mandate in Option 3</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_Toc463541576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19</w:t>
            </w:r>
            <w:r w:rsidR="0068395A" w:rsidRPr="00613867">
              <w:rPr>
                <w:webHidden/>
                <w:sz w:val="20"/>
                <w:szCs w:val="20"/>
              </w:rPr>
              <w:fldChar w:fldCharType="end"/>
            </w:r>
          </w:hyperlink>
        </w:p>
        <w:p w:rsidR="0068395A" w:rsidRDefault="00B03B43">
          <w:pPr>
            <w:pStyle w:val="TOC1"/>
            <w:rPr>
              <w:rFonts w:asciiTheme="minorHAnsi" w:eastAsiaTheme="minorEastAsia" w:hAnsiTheme="minorHAnsi"/>
              <w:lang w:val="en-AU" w:eastAsia="en-AU"/>
            </w:rPr>
          </w:pPr>
          <w:hyperlink w:anchor="_Toc463541577" w:history="1">
            <w:r w:rsidR="0068395A" w:rsidRPr="00613867">
              <w:rPr>
                <w:rStyle w:val="Hyperlink"/>
                <w:sz w:val="20"/>
                <w:szCs w:val="20"/>
              </w:rPr>
              <w:t>Appendix B—Regulatory cost estimates</w:t>
            </w:r>
            <w:r w:rsidR="0068395A" w:rsidRPr="00613867">
              <w:rPr>
                <w:webHidden/>
                <w:sz w:val="20"/>
                <w:szCs w:val="20"/>
              </w:rPr>
              <w:tab/>
            </w:r>
            <w:r w:rsidR="0068395A" w:rsidRPr="00613867">
              <w:rPr>
                <w:webHidden/>
                <w:sz w:val="20"/>
                <w:szCs w:val="20"/>
              </w:rPr>
              <w:fldChar w:fldCharType="begin"/>
            </w:r>
            <w:r w:rsidR="0068395A" w:rsidRPr="00613867">
              <w:rPr>
                <w:webHidden/>
                <w:sz w:val="20"/>
                <w:szCs w:val="20"/>
              </w:rPr>
              <w:instrText xml:space="preserve"> PAGEREF _Toc463541577 \h </w:instrText>
            </w:r>
            <w:r w:rsidR="0068395A" w:rsidRPr="00613867">
              <w:rPr>
                <w:webHidden/>
                <w:sz w:val="20"/>
                <w:szCs w:val="20"/>
              </w:rPr>
            </w:r>
            <w:r w:rsidR="0068395A" w:rsidRPr="00613867">
              <w:rPr>
                <w:webHidden/>
                <w:sz w:val="20"/>
                <w:szCs w:val="20"/>
              </w:rPr>
              <w:fldChar w:fldCharType="separate"/>
            </w:r>
            <w:r w:rsidR="0068395A" w:rsidRPr="00613867">
              <w:rPr>
                <w:webHidden/>
                <w:sz w:val="20"/>
                <w:szCs w:val="20"/>
              </w:rPr>
              <w:t>21</w:t>
            </w:r>
            <w:r w:rsidR="0068395A" w:rsidRPr="00613867">
              <w:rPr>
                <w:webHidden/>
                <w:sz w:val="20"/>
                <w:szCs w:val="20"/>
              </w:rPr>
              <w:fldChar w:fldCharType="end"/>
            </w:r>
          </w:hyperlink>
        </w:p>
        <w:p w:rsidR="000469A3" w:rsidRDefault="00A047B3" w:rsidP="003F308A">
          <w:r w:rsidRPr="006768F6">
            <w:rPr>
              <w:sz w:val="20"/>
              <w:szCs w:val="20"/>
            </w:rPr>
            <w:fldChar w:fldCharType="end"/>
          </w:r>
        </w:p>
      </w:sdtContent>
    </w:sdt>
    <w:p w:rsidR="000469A3" w:rsidRDefault="000469A3">
      <w:r>
        <w:br w:type="page"/>
      </w:r>
    </w:p>
    <w:p w:rsidR="002D3CAF" w:rsidRPr="00DE143E" w:rsidRDefault="003C4D94" w:rsidP="00C4727E">
      <w:pPr>
        <w:pStyle w:val="Numbered1"/>
      </w:pPr>
      <w:bookmarkStart w:id="4" w:name="_Toc440455028"/>
      <w:bookmarkStart w:id="5" w:name="_Toc463541539"/>
      <w:r w:rsidRPr="00DE143E">
        <w:lastRenderedPageBreak/>
        <w:t>Introduction</w:t>
      </w:r>
      <w:bookmarkEnd w:id="4"/>
      <w:bookmarkEnd w:id="5"/>
      <w:r w:rsidRPr="00DE143E">
        <w:t xml:space="preserve"> </w:t>
      </w:r>
    </w:p>
    <w:p w:rsidR="003C4D94" w:rsidRDefault="003C4D94" w:rsidP="003C4D94">
      <w:r>
        <w:t>The Australian Competition and Consumer Commission</w:t>
      </w:r>
      <w:r w:rsidR="0015737E">
        <w:t xml:space="preserve"> (ACCC)</w:t>
      </w:r>
      <w:r w:rsidR="00E235B8">
        <w:t xml:space="preserve"> </w:t>
      </w:r>
      <w:proofErr w:type="gramStart"/>
      <w:r w:rsidR="00E235B8">
        <w:t>has</w:t>
      </w:r>
      <w:proofErr w:type="gramEnd"/>
      <w:r w:rsidR="00292C8E">
        <w:t xml:space="preserve"> </w:t>
      </w:r>
      <w:r>
        <w:t xml:space="preserve">prepared this </w:t>
      </w:r>
      <w:r w:rsidR="00926961">
        <w:t xml:space="preserve">consultation paper </w:t>
      </w:r>
      <w:r>
        <w:t>as part of our review of the mandatory safety standard for pedal bicycles</w:t>
      </w:r>
      <w:r w:rsidR="00A77ABA">
        <w:t>.</w:t>
      </w:r>
    </w:p>
    <w:p w:rsidR="003C4D94" w:rsidRDefault="00926961" w:rsidP="003C4D94">
      <w:r w:rsidRPr="00DB6C88">
        <w:t>Th</w:t>
      </w:r>
      <w:r>
        <w:t>is</w:t>
      </w:r>
      <w:r w:rsidRPr="00DB6C88">
        <w:t xml:space="preserve"> </w:t>
      </w:r>
      <w:r>
        <w:t xml:space="preserve">consultation paper is in the format of </w:t>
      </w:r>
      <w:r w:rsidRPr="00DB6C88">
        <w:t>a R</w:t>
      </w:r>
      <w:r>
        <w:t>egulation Impact Statement (R</w:t>
      </w:r>
      <w:r w:rsidRPr="00DB6C88">
        <w:t>IS</w:t>
      </w:r>
      <w:r>
        <w:t>).</w:t>
      </w:r>
      <w:r w:rsidRPr="00DB6C88">
        <w:t xml:space="preserve"> </w:t>
      </w:r>
      <w:r w:rsidR="003C4D94">
        <w:t xml:space="preserve">The Australian Government requires </w:t>
      </w:r>
      <w:r w:rsidR="006667DA">
        <w:t xml:space="preserve">a RIS to inform </w:t>
      </w:r>
      <w:r w:rsidR="003C4D94">
        <w:t>every regulatory policy proposal</w:t>
      </w:r>
      <w:r w:rsidR="00861A3B">
        <w:t xml:space="preserve">, unless </w:t>
      </w:r>
      <w:r w:rsidR="006667DA">
        <w:t xml:space="preserve">it is a </w:t>
      </w:r>
      <w:r w:rsidR="00861A3B">
        <w:t>minor update to existing laws</w:t>
      </w:r>
      <w:r w:rsidR="003C4D94">
        <w:t>. The RIS process assesses the costs and benefits of policy options to ensure any regulation provides the greatest benefit to the Australian community.</w:t>
      </w:r>
    </w:p>
    <w:p w:rsidR="00205336" w:rsidRDefault="00FE22BC" w:rsidP="003C4D94">
      <w:r>
        <w:rPr>
          <w:color w:val="000000"/>
        </w:rPr>
        <w:t xml:space="preserve">This </w:t>
      </w:r>
      <w:r w:rsidR="00926961">
        <w:rPr>
          <w:color w:val="000000"/>
        </w:rPr>
        <w:t>consultation paper</w:t>
      </w:r>
      <w:r>
        <w:rPr>
          <w:color w:val="000000"/>
        </w:rPr>
        <w:t xml:space="preserve"> invites stakeholders to comment on a number of issues and options. </w:t>
      </w:r>
      <w:r w:rsidR="001E0724">
        <w:rPr>
          <w:color w:val="000000"/>
        </w:rPr>
        <w:t>A</w:t>
      </w:r>
      <w:r>
        <w:rPr>
          <w:color w:val="000000"/>
        </w:rPr>
        <w:t xml:space="preserve"> </w:t>
      </w:r>
      <w:r w:rsidR="001E0724">
        <w:rPr>
          <w:color w:val="000000"/>
        </w:rPr>
        <w:t>summary of key questions</w:t>
      </w:r>
      <w:r>
        <w:rPr>
          <w:color w:val="000000"/>
        </w:rPr>
        <w:t xml:space="preserve"> is at</w:t>
      </w:r>
      <w:r w:rsidR="00B52DD5">
        <w:rPr>
          <w:color w:val="000000"/>
        </w:rPr>
        <w:t xml:space="preserve"> section </w:t>
      </w:r>
      <w:r w:rsidR="001E0724">
        <w:rPr>
          <w:color w:val="000000"/>
        </w:rPr>
        <w:t>6</w:t>
      </w:r>
      <w:r>
        <w:rPr>
          <w:color w:val="000000"/>
        </w:rPr>
        <w:t>.</w:t>
      </w:r>
      <w:r w:rsidRPr="00E01E07">
        <w:t xml:space="preserve"> </w:t>
      </w:r>
    </w:p>
    <w:p w:rsidR="00205336" w:rsidRDefault="00205336" w:rsidP="00205336">
      <w:pPr>
        <w:pStyle w:val="Numbered1"/>
      </w:pPr>
      <w:bookmarkStart w:id="6" w:name="_Toc463541540"/>
      <w:r>
        <w:t>The problem and the need for government action</w:t>
      </w:r>
      <w:bookmarkEnd w:id="6"/>
    </w:p>
    <w:p w:rsidR="005660C7" w:rsidRDefault="005660C7" w:rsidP="002C380F">
      <w:r>
        <w:t xml:space="preserve">The ACCC is reviewing the mandatory safety standard </w:t>
      </w:r>
      <w:r w:rsidR="009659CB">
        <w:t xml:space="preserve">for pedal bicycles </w:t>
      </w:r>
      <w:r>
        <w:t>because:</w:t>
      </w:r>
    </w:p>
    <w:p w:rsidR="002C1327" w:rsidRDefault="002C1327" w:rsidP="00357935">
      <w:pPr>
        <w:pStyle w:val="ListBullet"/>
      </w:pPr>
      <w:r>
        <w:t>we want to see if the safety standard is still effective in reducing serious injuries from bicycle product failures (it was introduced in 1979 because of concerns about unsafe bicycles supplied in Australia)</w:t>
      </w:r>
    </w:p>
    <w:p w:rsidR="00357935" w:rsidRDefault="00357935" w:rsidP="00357935">
      <w:pPr>
        <w:pStyle w:val="ListBullet"/>
      </w:pPr>
      <w:r>
        <w:t xml:space="preserve">there have been technological developments in bicycle manufacturing and the current regulatory arrangements may no longer be </w:t>
      </w:r>
      <w:r w:rsidR="002C1327">
        <w:t>the best way to</w:t>
      </w:r>
      <w:r>
        <w:t xml:space="preserve"> address</w:t>
      </w:r>
      <w:r w:rsidR="002C1327">
        <w:t xml:space="preserve"> the</w:t>
      </w:r>
      <w:r>
        <w:t xml:space="preserve"> safety </w:t>
      </w:r>
      <w:r w:rsidR="002C1327">
        <w:t>concerns</w:t>
      </w:r>
      <w:r>
        <w:t xml:space="preserve"> </w:t>
      </w:r>
    </w:p>
    <w:p w:rsidR="005660C7" w:rsidRDefault="005660C7" w:rsidP="005660C7">
      <w:pPr>
        <w:pStyle w:val="ListBullet"/>
      </w:pPr>
      <w:r>
        <w:t>the market has changed since the previous review of the mandatory safety standard</w:t>
      </w:r>
    </w:p>
    <w:p w:rsidR="005660C7" w:rsidRDefault="005660C7" w:rsidP="005660C7">
      <w:pPr>
        <w:pStyle w:val="ListBullet"/>
      </w:pPr>
      <w:r>
        <w:t>we are considering trusted international standards for bicycles</w:t>
      </w:r>
    </w:p>
    <w:p w:rsidR="005660C7" w:rsidRDefault="005660C7" w:rsidP="005660C7">
      <w:pPr>
        <w:pStyle w:val="ListBullet"/>
      </w:pPr>
      <w:r>
        <w:t>we are considering whether mandatory safety requirements for recumbent, one-of-a-kind, folding, tandem, second-hand and hire bicycles are required</w:t>
      </w:r>
    </w:p>
    <w:p w:rsidR="00896C45" w:rsidRDefault="005660C7" w:rsidP="005660C7">
      <w:pPr>
        <w:pStyle w:val="ListBullet"/>
      </w:pPr>
      <w:proofErr w:type="gramStart"/>
      <w:r>
        <w:t>we</w:t>
      </w:r>
      <w:proofErr w:type="gramEnd"/>
      <w:r>
        <w:t xml:space="preserve"> are considering safety principles rather than prescriptive requirements to ensure bicycles have effective braking and are structurally sound</w:t>
      </w:r>
      <w:r w:rsidR="00292A04">
        <w:t>.</w:t>
      </w:r>
    </w:p>
    <w:p w:rsidR="005660C7" w:rsidRDefault="00B95F55" w:rsidP="00A71177">
      <w:pPr>
        <w:pStyle w:val="ListBullet"/>
      </w:pPr>
      <w:proofErr w:type="gramStart"/>
      <w:r>
        <w:t>w</w:t>
      </w:r>
      <w:r w:rsidR="00292A04">
        <w:t>e</w:t>
      </w:r>
      <w:proofErr w:type="gramEnd"/>
      <w:r w:rsidR="00896C45">
        <w:t xml:space="preserve"> want to ensure that the mandatory safety </w:t>
      </w:r>
      <w:r w:rsidR="00292A04">
        <w:t>standard</w:t>
      </w:r>
      <w:r w:rsidR="00896C45">
        <w:t xml:space="preserve"> keep</w:t>
      </w:r>
      <w:r w:rsidR="00292A04">
        <w:t>s</w:t>
      </w:r>
      <w:r w:rsidR="00896C45">
        <w:t xml:space="preserve"> pace with changes in bicycle technology</w:t>
      </w:r>
      <w:r w:rsidR="00292A04">
        <w:t>, bicycle marketing</w:t>
      </w:r>
      <w:r w:rsidR="00896C45">
        <w:t xml:space="preserve"> and use</w:t>
      </w:r>
      <w:r w:rsidR="005660C7">
        <w:t>.</w:t>
      </w:r>
    </w:p>
    <w:p w:rsidR="00F267AD" w:rsidRDefault="00AF6AD9" w:rsidP="002925B1">
      <w:r>
        <w:t>This consultation paper discusses the following policy options</w:t>
      </w:r>
      <w:r w:rsidR="00292A04">
        <w:t>:</w:t>
      </w:r>
      <w:r w:rsidR="005C0846">
        <w:t xml:space="preserve"> </w:t>
      </w:r>
    </w:p>
    <w:tbl>
      <w:tblPr>
        <w:tblStyle w:val="TableGrid"/>
        <w:tblW w:w="9365" w:type="dxa"/>
        <w:tblBorders>
          <w:top w:val="none" w:sz="0" w:space="0" w:color="auto"/>
          <w:bottom w:val="none" w:sz="0" w:space="0" w:color="auto"/>
        </w:tblBorders>
        <w:tblLook w:val="04A0" w:firstRow="1" w:lastRow="0" w:firstColumn="1" w:lastColumn="0" w:noHBand="0" w:noVBand="1"/>
      </w:tblPr>
      <w:tblGrid>
        <w:gridCol w:w="1084"/>
        <w:gridCol w:w="8281"/>
      </w:tblGrid>
      <w:tr w:rsidR="002C4C73" w:rsidRPr="00AF0017" w:rsidTr="002C4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C4C73" w:rsidRPr="002C4C73" w:rsidRDefault="002C4C73" w:rsidP="00E4448C">
            <w:pPr>
              <w:rPr>
                <w:sz w:val="22"/>
              </w:rPr>
            </w:pPr>
            <w:r w:rsidRPr="002C4C73">
              <w:rPr>
                <w:b w:val="0"/>
                <w:sz w:val="22"/>
              </w:rPr>
              <w:t>Option 1</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rsidR="002C4C73" w:rsidRPr="002C4C73" w:rsidRDefault="002C4C73" w:rsidP="00BF44F0">
            <w:pPr>
              <w:cnfStyle w:val="100000000000" w:firstRow="1" w:lastRow="0" w:firstColumn="0" w:lastColumn="0" w:oddVBand="0" w:evenVBand="0" w:oddHBand="0" w:evenHBand="0" w:firstRowFirstColumn="0" w:firstRowLastColumn="0" w:lastRowFirstColumn="0" w:lastRowLastColumn="0"/>
              <w:rPr>
                <w:b w:val="0"/>
                <w:sz w:val="22"/>
              </w:rPr>
            </w:pPr>
            <w:r w:rsidRPr="002C4C73">
              <w:rPr>
                <w:b w:val="0"/>
                <w:sz w:val="22"/>
              </w:rPr>
              <w:t>Retain the current mandatory safety standard (status quo)</w:t>
            </w:r>
          </w:p>
        </w:tc>
      </w:tr>
      <w:tr w:rsidR="00F267AD" w:rsidRPr="00AF0017" w:rsidTr="00BF44F0">
        <w:tc>
          <w:tcPr>
            <w:cnfStyle w:val="001000000000" w:firstRow="0" w:lastRow="0" w:firstColumn="1" w:lastColumn="0" w:oddVBand="0" w:evenVBand="0" w:oddHBand="0" w:evenHBand="0" w:firstRowFirstColumn="0" w:firstRowLastColumn="0" w:lastRowFirstColumn="0" w:lastRowLastColumn="0"/>
            <w:tcW w:w="1084" w:type="dxa"/>
          </w:tcPr>
          <w:p w:rsidR="00F267AD" w:rsidRPr="002C4C73" w:rsidRDefault="00F267AD" w:rsidP="00E4448C">
            <w:pPr>
              <w:rPr>
                <w:b w:val="0"/>
                <w:sz w:val="22"/>
              </w:rPr>
            </w:pPr>
            <w:r w:rsidRPr="002C4C73">
              <w:rPr>
                <w:b w:val="0"/>
                <w:sz w:val="22"/>
              </w:rPr>
              <w:t>Option 2</w:t>
            </w:r>
          </w:p>
        </w:tc>
        <w:tc>
          <w:tcPr>
            <w:tcW w:w="0" w:type="auto"/>
          </w:tcPr>
          <w:p w:rsidR="00F267AD" w:rsidRPr="002C4C73" w:rsidRDefault="00F267AD" w:rsidP="00BF44F0">
            <w:pPr>
              <w:cnfStyle w:val="000000000000" w:firstRow="0" w:lastRow="0" w:firstColumn="0" w:lastColumn="0" w:oddVBand="0" w:evenVBand="0" w:oddHBand="0" w:evenHBand="0" w:firstRowFirstColumn="0" w:firstRowLastColumn="0" w:lastRowFirstColumn="0" w:lastRowLastColumn="0"/>
              <w:rPr>
                <w:sz w:val="22"/>
              </w:rPr>
            </w:pPr>
            <w:r w:rsidRPr="002C4C73">
              <w:rPr>
                <w:sz w:val="22"/>
              </w:rPr>
              <w:t>Adopt the entire updated voluntary Australian standard</w:t>
            </w:r>
          </w:p>
        </w:tc>
      </w:tr>
      <w:tr w:rsidR="00F267AD" w:rsidRPr="00AF0017" w:rsidTr="00BF44F0">
        <w:tc>
          <w:tcPr>
            <w:cnfStyle w:val="001000000000" w:firstRow="0" w:lastRow="0" w:firstColumn="1" w:lastColumn="0" w:oddVBand="0" w:evenVBand="0" w:oddHBand="0" w:evenHBand="0" w:firstRowFirstColumn="0" w:firstRowLastColumn="0" w:lastRowFirstColumn="0" w:lastRowLastColumn="0"/>
            <w:tcW w:w="1084" w:type="dxa"/>
          </w:tcPr>
          <w:p w:rsidR="00F267AD" w:rsidRPr="002C4C73" w:rsidRDefault="00F267AD" w:rsidP="00E4448C">
            <w:pPr>
              <w:rPr>
                <w:b w:val="0"/>
                <w:sz w:val="22"/>
              </w:rPr>
            </w:pPr>
            <w:r w:rsidRPr="002C4C73">
              <w:rPr>
                <w:b w:val="0"/>
                <w:sz w:val="22"/>
              </w:rPr>
              <w:t>Option 3</w:t>
            </w:r>
          </w:p>
        </w:tc>
        <w:tc>
          <w:tcPr>
            <w:tcW w:w="0" w:type="auto"/>
          </w:tcPr>
          <w:p w:rsidR="00F267AD" w:rsidRPr="002C4C73" w:rsidRDefault="00F267AD" w:rsidP="00BF44F0">
            <w:pPr>
              <w:cnfStyle w:val="000000000000" w:firstRow="0" w:lastRow="0" w:firstColumn="0" w:lastColumn="0" w:oddVBand="0" w:evenVBand="0" w:oddHBand="0" w:evenHBand="0" w:firstRowFirstColumn="0" w:firstRowLastColumn="0" w:lastRowFirstColumn="0" w:lastRowLastColumn="0"/>
              <w:rPr>
                <w:sz w:val="22"/>
              </w:rPr>
            </w:pPr>
            <w:r w:rsidRPr="002C4C73">
              <w:rPr>
                <w:sz w:val="22"/>
              </w:rPr>
              <w:t>Adopt parts of the updated voluntary Australian standard</w:t>
            </w:r>
          </w:p>
        </w:tc>
      </w:tr>
      <w:tr w:rsidR="00F267AD" w:rsidRPr="00AF0017" w:rsidTr="00BF44F0">
        <w:tc>
          <w:tcPr>
            <w:cnfStyle w:val="001000000000" w:firstRow="0" w:lastRow="0" w:firstColumn="1" w:lastColumn="0" w:oddVBand="0" w:evenVBand="0" w:oddHBand="0" w:evenHBand="0" w:firstRowFirstColumn="0" w:firstRowLastColumn="0" w:lastRowFirstColumn="0" w:lastRowLastColumn="0"/>
            <w:tcW w:w="1084" w:type="dxa"/>
          </w:tcPr>
          <w:p w:rsidR="00F267AD" w:rsidRPr="002C4C73" w:rsidRDefault="00F267AD" w:rsidP="00BF44F0">
            <w:pPr>
              <w:rPr>
                <w:b w:val="0"/>
                <w:sz w:val="22"/>
              </w:rPr>
            </w:pPr>
            <w:r w:rsidRPr="002C4C73">
              <w:rPr>
                <w:b w:val="0"/>
                <w:sz w:val="22"/>
              </w:rPr>
              <w:t>Option 4</w:t>
            </w:r>
          </w:p>
        </w:tc>
        <w:tc>
          <w:tcPr>
            <w:tcW w:w="0" w:type="auto"/>
          </w:tcPr>
          <w:p w:rsidR="00F267AD" w:rsidRPr="002C4C73" w:rsidRDefault="00F267AD" w:rsidP="00292A04">
            <w:pPr>
              <w:cnfStyle w:val="000000000000" w:firstRow="0" w:lastRow="0" w:firstColumn="0" w:lastColumn="0" w:oddVBand="0" w:evenVBand="0" w:oddHBand="0" w:evenHBand="0" w:firstRowFirstColumn="0" w:firstRowLastColumn="0" w:lastRowFirstColumn="0" w:lastRowLastColumn="0"/>
              <w:rPr>
                <w:sz w:val="22"/>
              </w:rPr>
            </w:pPr>
            <w:r w:rsidRPr="002C4C73">
              <w:rPr>
                <w:sz w:val="22"/>
              </w:rPr>
              <w:t>Allow compliance with the voluntary Australian or trusted international standards</w:t>
            </w:r>
          </w:p>
        </w:tc>
      </w:tr>
      <w:tr w:rsidR="00E4448C" w:rsidRPr="00AF0017" w:rsidTr="00BF44F0">
        <w:tc>
          <w:tcPr>
            <w:cnfStyle w:val="001000000000" w:firstRow="0" w:lastRow="0" w:firstColumn="1" w:lastColumn="0" w:oddVBand="0" w:evenVBand="0" w:oddHBand="0" w:evenHBand="0" w:firstRowFirstColumn="0" w:firstRowLastColumn="0" w:lastRowFirstColumn="0" w:lastRowLastColumn="0"/>
            <w:tcW w:w="1084" w:type="dxa"/>
          </w:tcPr>
          <w:p w:rsidR="00E4448C" w:rsidRPr="002C4C73" w:rsidRDefault="00E4448C" w:rsidP="00704073">
            <w:pPr>
              <w:rPr>
                <w:sz w:val="22"/>
              </w:rPr>
            </w:pPr>
            <w:r w:rsidRPr="002C4C73">
              <w:rPr>
                <w:b w:val="0"/>
                <w:sz w:val="22"/>
              </w:rPr>
              <w:t xml:space="preserve">Option </w:t>
            </w:r>
            <w:r w:rsidR="00704073" w:rsidRPr="002C4C73">
              <w:rPr>
                <w:b w:val="0"/>
                <w:sz w:val="22"/>
              </w:rPr>
              <w:t>5</w:t>
            </w:r>
          </w:p>
        </w:tc>
        <w:tc>
          <w:tcPr>
            <w:tcW w:w="0" w:type="auto"/>
          </w:tcPr>
          <w:p w:rsidR="00E4448C" w:rsidRPr="002C4C73" w:rsidRDefault="00E4448C" w:rsidP="00BF44F0">
            <w:pPr>
              <w:cnfStyle w:val="000000000000" w:firstRow="0" w:lastRow="0" w:firstColumn="0" w:lastColumn="0" w:oddVBand="0" w:evenVBand="0" w:oddHBand="0" w:evenHBand="0" w:firstRowFirstColumn="0" w:firstRowLastColumn="0" w:lastRowFirstColumn="0" w:lastRowLastColumn="0"/>
              <w:rPr>
                <w:sz w:val="22"/>
              </w:rPr>
            </w:pPr>
            <w:r w:rsidRPr="002C4C73">
              <w:rPr>
                <w:sz w:val="22"/>
              </w:rPr>
              <w:t>Revoke the mandatory safety standard</w:t>
            </w:r>
            <w:r w:rsidR="00292A04">
              <w:rPr>
                <w:sz w:val="22"/>
              </w:rPr>
              <w:t>.</w:t>
            </w:r>
          </w:p>
        </w:tc>
      </w:tr>
    </w:tbl>
    <w:p w:rsidR="003C4D94" w:rsidRPr="00867D1B" w:rsidRDefault="00DE143E" w:rsidP="00867D1B">
      <w:pPr>
        <w:pStyle w:val="Numbered1"/>
      </w:pPr>
      <w:bookmarkStart w:id="7" w:name="_Toc463541541"/>
      <w:bookmarkStart w:id="8" w:name="_Toc463541542"/>
      <w:bookmarkStart w:id="9" w:name="_Toc463541543"/>
      <w:bookmarkStart w:id="10" w:name="_Toc440455029"/>
      <w:bookmarkStart w:id="11" w:name="_Toc463541544"/>
      <w:bookmarkEnd w:id="7"/>
      <w:bookmarkEnd w:id="8"/>
      <w:bookmarkEnd w:id="9"/>
      <w:r w:rsidRPr="00867D1B">
        <w:t>Background</w:t>
      </w:r>
      <w:bookmarkEnd w:id="10"/>
      <w:bookmarkEnd w:id="11"/>
    </w:p>
    <w:p w:rsidR="00DE143E" w:rsidRPr="003F308A" w:rsidRDefault="00B52DD5" w:rsidP="003F308A">
      <w:pPr>
        <w:pStyle w:val="Numbered11"/>
      </w:pPr>
      <w:bookmarkStart w:id="12" w:name="_Toc440455030"/>
      <w:bookmarkStart w:id="13" w:name="_Toc457220017"/>
      <w:bookmarkStart w:id="14" w:name="_Toc457222937"/>
      <w:bookmarkStart w:id="15" w:name="_Toc457228129"/>
      <w:bookmarkStart w:id="16" w:name="_Toc457465395"/>
      <w:bookmarkStart w:id="17" w:name="_Toc457569971"/>
      <w:bookmarkStart w:id="18" w:name="_Toc462919654"/>
      <w:bookmarkStart w:id="19" w:name="_Toc463541545"/>
      <w:r w:rsidRPr="003F308A">
        <w:t>Cycling</w:t>
      </w:r>
      <w:r w:rsidR="00867D1B" w:rsidRPr="003F308A">
        <w:t xml:space="preserve"> in Australia</w:t>
      </w:r>
      <w:bookmarkEnd w:id="12"/>
      <w:bookmarkEnd w:id="13"/>
      <w:bookmarkEnd w:id="14"/>
      <w:bookmarkEnd w:id="15"/>
      <w:bookmarkEnd w:id="16"/>
      <w:bookmarkEnd w:id="17"/>
      <w:bookmarkEnd w:id="18"/>
      <w:bookmarkEnd w:id="19"/>
    </w:p>
    <w:p w:rsidR="00EF5BDA" w:rsidRDefault="00FE22BC">
      <w:r>
        <w:t>Cycling is</w:t>
      </w:r>
      <w:r w:rsidR="0064690D">
        <w:t xml:space="preserve"> a</w:t>
      </w:r>
      <w:r>
        <w:t xml:space="preserve"> popular</w:t>
      </w:r>
      <w:r w:rsidR="0064690D">
        <w:t xml:space="preserve"> activity</w:t>
      </w:r>
      <w:r>
        <w:t xml:space="preserve"> in Australia</w:t>
      </w:r>
      <w:r w:rsidR="0064690D">
        <w:t>.</w:t>
      </w:r>
      <w:r>
        <w:t xml:space="preserve"> </w:t>
      </w:r>
      <w:r w:rsidR="0064690D">
        <w:t>I</w:t>
      </w:r>
      <w:r>
        <w:t xml:space="preserve">n an average </w:t>
      </w:r>
      <w:r w:rsidR="00933CBB" w:rsidRPr="001821FC">
        <w:t>week,</w:t>
      </w:r>
      <w:r w:rsidRPr="001821FC">
        <w:t xml:space="preserve"> 3.6 million people ride a bicycle</w:t>
      </w:r>
      <w:r>
        <w:t>,</w:t>
      </w:r>
      <w:r w:rsidRPr="001821FC">
        <w:t xml:space="preserve"> either</w:t>
      </w:r>
      <w:r>
        <w:t xml:space="preserve"> for transport or for recreation.</w:t>
      </w:r>
      <w:r w:rsidRPr="001821FC">
        <w:rPr>
          <w:vertAlign w:val="superscript"/>
        </w:rPr>
        <w:footnoteReference w:id="1"/>
      </w:r>
      <w:r>
        <w:t xml:space="preserve"> </w:t>
      </w:r>
      <w:r w:rsidR="00A120BE">
        <w:t xml:space="preserve">It </w:t>
      </w:r>
      <w:proofErr w:type="gramStart"/>
      <w:r w:rsidR="00A120BE">
        <w:t>is estimated</w:t>
      </w:r>
      <w:proofErr w:type="gramEnd"/>
      <w:r w:rsidR="00A120BE">
        <w:t xml:space="preserve"> that 60 per cent of children cycle regularly.</w:t>
      </w:r>
      <w:r w:rsidR="00A120BE">
        <w:rPr>
          <w:rStyle w:val="FootnoteReference"/>
        </w:rPr>
        <w:footnoteReference w:id="2"/>
      </w:r>
      <w:r w:rsidR="00A120BE">
        <w:t xml:space="preserve"> </w:t>
      </w:r>
      <w:r w:rsidR="00833236">
        <w:t xml:space="preserve">According to the 2011 Australian Census, </w:t>
      </w:r>
      <w:r w:rsidR="000073A4">
        <w:t xml:space="preserve">104 000 </w:t>
      </w:r>
      <w:r w:rsidR="00566B5E">
        <w:t xml:space="preserve">people </w:t>
      </w:r>
      <w:r w:rsidR="00833236">
        <w:t>rode to work</w:t>
      </w:r>
      <w:r w:rsidR="0042489D">
        <w:t xml:space="preserve"> daily</w:t>
      </w:r>
      <w:r w:rsidR="00833236">
        <w:t xml:space="preserve">, a 15 </w:t>
      </w:r>
      <w:r w:rsidR="00833236">
        <w:lastRenderedPageBreak/>
        <w:t>per cent increase from the previous census.</w:t>
      </w:r>
      <w:r w:rsidR="0042489D">
        <w:rPr>
          <w:rStyle w:val="FootnoteReference"/>
        </w:rPr>
        <w:footnoteReference w:id="3"/>
      </w:r>
      <w:r w:rsidR="0042489D">
        <w:t xml:space="preserve"> </w:t>
      </w:r>
      <w:r w:rsidR="00566B5E">
        <w:t>Participation</w:t>
      </w:r>
      <w:r w:rsidR="00B0478B">
        <w:t xml:space="preserve"> in cycling increased by 46 per cent from 2001 </w:t>
      </w:r>
      <w:r w:rsidR="00687D75">
        <w:t>to 2010</w:t>
      </w:r>
      <w:r w:rsidR="00E01235">
        <w:t>,</w:t>
      </w:r>
      <w:r w:rsidR="00B0478B">
        <w:t xml:space="preserve"> with people over 15 years and over averaging at least one </w:t>
      </w:r>
      <w:r w:rsidR="002F2DE7">
        <w:t>bi</w:t>
      </w:r>
      <w:r w:rsidR="00B0478B">
        <w:t>cycle</w:t>
      </w:r>
      <w:r w:rsidR="0020238C">
        <w:t xml:space="preserve"> ride</w:t>
      </w:r>
      <w:r w:rsidR="00B0478B">
        <w:t xml:space="preserve"> per week.</w:t>
      </w:r>
      <w:r w:rsidR="00A120BE">
        <w:rPr>
          <w:rStyle w:val="FootnoteReference"/>
        </w:rPr>
        <w:footnoteReference w:id="4"/>
      </w:r>
      <w:r w:rsidR="00620313">
        <w:t xml:space="preserve"> </w:t>
      </w:r>
      <w:r w:rsidR="00566B5E">
        <w:t>It is anticipated that more Australians will choose to cycle for health, environmental and economic reasons.</w:t>
      </w:r>
      <w:bookmarkStart w:id="20" w:name="_Toc440454586"/>
      <w:bookmarkStart w:id="21" w:name="_Toc440454682"/>
      <w:bookmarkStart w:id="22" w:name="_Toc440454806"/>
      <w:bookmarkStart w:id="23" w:name="_Toc440454836"/>
      <w:bookmarkStart w:id="24" w:name="_Toc440454866"/>
      <w:bookmarkStart w:id="25" w:name="_Toc440454896"/>
      <w:bookmarkStart w:id="26" w:name="_Toc440454941"/>
      <w:bookmarkStart w:id="27" w:name="_Toc440454971"/>
      <w:bookmarkStart w:id="28" w:name="_Toc440455002"/>
      <w:bookmarkStart w:id="29" w:name="_Toc440455031"/>
      <w:bookmarkStart w:id="30" w:name="_Toc440455143"/>
      <w:bookmarkStart w:id="31" w:name="_Toc440455171"/>
      <w:bookmarkStart w:id="32" w:name="_Toc440455201"/>
      <w:bookmarkStart w:id="33" w:name="_Toc440461104"/>
      <w:bookmarkStart w:id="34" w:name="_Toc440455032"/>
      <w:bookmarkStart w:id="35" w:name="_Toc457220018"/>
      <w:bookmarkStart w:id="36" w:name="_Toc457222938"/>
      <w:bookmarkStart w:id="37" w:name="_Toc457228130"/>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D47F55" w:rsidRDefault="00D47F55" w:rsidP="00D47F55">
      <w:pPr>
        <w:pStyle w:val="Numbered11"/>
      </w:pPr>
      <w:bookmarkStart w:id="38" w:name="_Toc457465396"/>
      <w:bookmarkStart w:id="39" w:name="_Toc457569972"/>
      <w:bookmarkStart w:id="40" w:name="_Toc462919655"/>
      <w:bookmarkStart w:id="41" w:name="_Toc463541546"/>
      <w:r>
        <w:t xml:space="preserve">Injuries and deaths </w:t>
      </w:r>
      <w:r w:rsidR="006C7FE4">
        <w:t>related to cycle accidents</w:t>
      </w:r>
      <w:bookmarkEnd w:id="34"/>
      <w:bookmarkEnd w:id="35"/>
      <w:bookmarkEnd w:id="36"/>
      <w:bookmarkEnd w:id="37"/>
      <w:bookmarkEnd w:id="38"/>
      <w:bookmarkEnd w:id="39"/>
      <w:bookmarkEnd w:id="40"/>
      <w:bookmarkEnd w:id="41"/>
    </w:p>
    <w:p w:rsidR="006C7FE4" w:rsidRDefault="00FE22BC" w:rsidP="006C7FE4">
      <w:pPr>
        <w:spacing w:before="120" w:line="220" w:lineRule="atLeast"/>
        <w:rPr>
          <w:rFonts w:cs="Arial"/>
        </w:rPr>
      </w:pPr>
      <w:r>
        <w:rPr>
          <w:rFonts w:cs="Arial"/>
        </w:rPr>
        <w:t>In the 30 years f</w:t>
      </w:r>
      <w:r w:rsidR="006C7FE4" w:rsidRPr="003B20B1">
        <w:rPr>
          <w:rFonts w:cs="Arial"/>
        </w:rPr>
        <w:t xml:space="preserve">rom 1983 to 2012, 1607 </w:t>
      </w:r>
      <w:r w:rsidR="006C7FE4">
        <w:rPr>
          <w:rFonts w:cs="Arial"/>
        </w:rPr>
        <w:t>cyclists</w:t>
      </w:r>
      <w:r w:rsidR="006C7FE4" w:rsidRPr="003B20B1">
        <w:rPr>
          <w:rFonts w:cs="Arial"/>
        </w:rPr>
        <w:t xml:space="preserve"> </w:t>
      </w:r>
      <w:proofErr w:type="gramStart"/>
      <w:r w:rsidR="006C7FE4" w:rsidRPr="003B20B1">
        <w:rPr>
          <w:rFonts w:cs="Arial"/>
        </w:rPr>
        <w:t>were killed</w:t>
      </w:r>
      <w:proofErr w:type="gramEnd"/>
      <w:r w:rsidR="006C7FE4" w:rsidRPr="003B20B1">
        <w:rPr>
          <w:rFonts w:cs="Arial"/>
        </w:rPr>
        <w:t xml:space="preserve">, </w:t>
      </w:r>
      <w:r w:rsidR="006C7FE4">
        <w:rPr>
          <w:rFonts w:cs="Arial"/>
        </w:rPr>
        <w:t>representing</w:t>
      </w:r>
      <w:r w:rsidR="006C7FE4" w:rsidRPr="003B20B1">
        <w:rPr>
          <w:rFonts w:cs="Arial"/>
        </w:rPr>
        <w:t xml:space="preserve"> 2.7</w:t>
      </w:r>
      <w:r w:rsidR="006C7FE4">
        <w:rPr>
          <w:rFonts w:cs="Arial"/>
        </w:rPr>
        <w:t xml:space="preserve"> per cent</w:t>
      </w:r>
      <w:r w:rsidR="006C7FE4" w:rsidRPr="003B20B1">
        <w:rPr>
          <w:rFonts w:cs="Arial"/>
        </w:rPr>
        <w:t xml:space="preserve"> of </w:t>
      </w:r>
      <w:r w:rsidR="006C7FE4">
        <w:rPr>
          <w:rFonts w:cs="Arial"/>
        </w:rPr>
        <w:t xml:space="preserve">Australian </w:t>
      </w:r>
      <w:r w:rsidR="006C7FE4" w:rsidRPr="003B20B1">
        <w:rPr>
          <w:rFonts w:cs="Arial"/>
        </w:rPr>
        <w:t>road user deaths.</w:t>
      </w:r>
      <w:r w:rsidR="006C7FE4" w:rsidRPr="00C70758">
        <w:rPr>
          <w:rFonts w:cs="Arial"/>
          <w:vertAlign w:val="superscript"/>
        </w:rPr>
        <w:footnoteReference w:id="5"/>
      </w:r>
      <w:r w:rsidR="006C7FE4" w:rsidRPr="003B20B1">
        <w:rPr>
          <w:rFonts w:cs="Arial"/>
        </w:rPr>
        <w:t xml:space="preserve"> Each year</w:t>
      </w:r>
      <w:r w:rsidR="006C7FE4">
        <w:rPr>
          <w:rFonts w:cs="Arial"/>
        </w:rPr>
        <w:t xml:space="preserve"> </w:t>
      </w:r>
      <w:r w:rsidR="0000733D">
        <w:rPr>
          <w:rFonts w:cs="Arial"/>
        </w:rPr>
        <w:t>approximately</w:t>
      </w:r>
      <w:r w:rsidR="0000733D" w:rsidRPr="003B20B1">
        <w:rPr>
          <w:rFonts w:cs="Arial"/>
        </w:rPr>
        <w:t xml:space="preserve"> </w:t>
      </w:r>
      <w:r w:rsidR="006C7FE4" w:rsidRPr="003B20B1">
        <w:rPr>
          <w:rFonts w:cs="Arial"/>
        </w:rPr>
        <w:t xml:space="preserve">35 cyclists </w:t>
      </w:r>
      <w:proofErr w:type="gramStart"/>
      <w:r w:rsidR="006C7FE4" w:rsidRPr="003B20B1">
        <w:rPr>
          <w:rFonts w:cs="Arial"/>
        </w:rPr>
        <w:t>are killed</w:t>
      </w:r>
      <w:proofErr w:type="gramEnd"/>
      <w:r w:rsidR="006C7FE4" w:rsidRPr="003B20B1">
        <w:rPr>
          <w:rFonts w:cs="Arial"/>
        </w:rPr>
        <w:t xml:space="preserve"> and 2500 are seriously injured on </w:t>
      </w:r>
      <w:r w:rsidR="006C7FE4">
        <w:rPr>
          <w:rFonts w:cs="Arial"/>
        </w:rPr>
        <w:t>Australia</w:t>
      </w:r>
      <w:r>
        <w:rPr>
          <w:rFonts w:cs="Arial"/>
        </w:rPr>
        <w:t>n</w:t>
      </w:r>
      <w:r w:rsidR="006C7FE4" w:rsidRPr="003B20B1">
        <w:rPr>
          <w:rFonts w:cs="Arial"/>
        </w:rPr>
        <w:t xml:space="preserve"> roads.</w:t>
      </w:r>
      <w:r w:rsidR="006C7FE4" w:rsidRPr="00C70758">
        <w:rPr>
          <w:rFonts w:cs="Arial"/>
          <w:vertAlign w:val="superscript"/>
        </w:rPr>
        <w:footnoteReference w:id="6"/>
      </w:r>
      <w:r w:rsidR="006C7FE4" w:rsidRPr="003B20B1">
        <w:rPr>
          <w:rFonts w:cs="Arial"/>
        </w:rPr>
        <w:t xml:space="preserve">  </w:t>
      </w:r>
    </w:p>
    <w:p w:rsidR="00FE22BC" w:rsidRDefault="00FE22BC" w:rsidP="006C7FE4">
      <w:pPr>
        <w:spacing w:before="120" w:line="220" w:lineRule="atLeast"/>
        <w:rPr>
          <w:rFonts w:cs="Arial"/>
        </w:rPr>
      </w:pPr>
      <w:r>
        <w:rPr>
          <w:rFonts w:cs="Arial"/>
        </w:rPr>
        <w:t>In recent decades, the number of cyclist fatalities has been decreasing</w:t>
      </w:r>
      <w:r w:rsidR="00CF1CA8">
        <w:rPr>
          <w:rFonts w:cs="Arial"/>
        </w:rPr>
        <w:t>.</w:t>
      </w:r>
      <w:r>
        <w:rPr>
          <w:rFonts w:cs="Arial"/>
        </w:rPr>
        <w:t xml:space="preserve"> However, this trend appears to be slowing. In 2013, there was a spike in fatalities with 50 </w:t>
      </w:r>
      <w:r w:rsidR="00CF1CA8">
        <w:rPr>
          <w:rFonts w:cs="Arial"/>
        </w:rPr>
        <w:t>cyclist</w:t>
      </w:r>
      <w:r>
        <w:rPr>
          <w:rFonts w:cs="Arial"/>
        </w:rPr>
        <w:t xml:space="preserve"> deaths on Australian roads.</w:t>
      </w:r>
      <w:r w:rsidRPr="00DC6C40">
        <w:rPr>
          <w:rFonts w:cs="Arial"/>
          <w:vertAlign w:val="superscript"/>
        </w:rPr>
        <w:footnoteReference w:id="7"/>
      </w:r>
    </w:p>
    <w:p w:rsidR="006C7FE4" w:rsidRDefault="006C7FE4" w:rsidP="006C7FE4">
      <w:pPr>
        <w:spacing w:before="120" w:line="220" w:lineRule="atLeast"/>
        <w:rPr>
          <w:rFonts w:cs="Arial"/>
        </w:rPr>
      </w:pPr>
      <w:r w:rsidRPr="003B20B1">
        <w:rPr>
          <w:rFonts w:cs="Arial"/>
        </w:rPr>
        <w:t>The proportion of injuries and deaths attributable to bicycle</w:t>
      </w:r>
      <w:r>
        <w:rPr>
          <w:rFonts w:cs="Arial"/>
        </w:rPr>
        <w:t xml:space="preserve"> design or </w:t>
      </w:r>
      <w:r w:rsidRPr="003B20B1">
        <w:rPr>
          <w:rFonts w:cs="Arial"/>
        </w:rPr>
        <w:t xml:space="preserve">failure is </w:t>
      </w:r>
      <w:r w:rsidR="00FE22BC">
        <w:rPr>
          <w:rFonts w:cs="Arial"/>
        </w:rPr>
        <w:t>un</w:t>
      </w:r>
      <w:r w:rsidRPr="003B20B1">
        <w:rPr>
          <w:rFonts w:cs="Arial"/>
        </w:rPr>
        <w:t>known</w:t>
      </w:r>
      <w:r w:rsidR="0000733D">
        <w:rPr>
          <w:rFonts w:cs="Arial"/>
        </w:rPr>
        <w:t>,</w:t>
      </w:r>
      <w:r w:rsidRPr="003B20B1">
        <w:rPr>
          <w:rFonts w:cs="Arial"/>
        </w:rPr>
        <w:t xml:space="preserve"> but is likely to be small. Australian National Coroner Information System (NCIS) data indicates that product failure was a contributing factor in </w:t>
      </w:r>
      <w:r>
        <w:rPr>
          <w:rFonts w:cs="Arial"/>
        </w:rPr>
        <w:t>seven per cent</w:t>
      </w:r>
      <w:r w:rsidRPr="003B20B1">
        <w:rPr>
          <w:rFonts w:cs="Arial"/>
        </w:rPr>
        <w:t xml:space="preserve"> of deaths associated with bicycles since 2010</w:t>
      </w:r>
      <w:r>
        <w:rPr>
          <w:rFonts w:cs="Arial"/>
        </w:rPr>
        <w:t>, representing</w:t>
      </w:r>
      <w:r w:rsidRPr="003B20B1">
        <w:rPr>
          <w:rFonts w:cs="Arial"/>
        </w:rPr>
        <w:t xml:space="preserve"> </w:t>
      </w:r>
      <w:r>
        <w:rPr>
          <w:rFonts w:cs="Arial"/>
        </w:rPr>
        <w:t>two</w:t>
      </w:r>
      <w:r w:rsidRPr="003B20B1">
        <w:rPr>
          <w:rFonts w:cs="Arial"/>
        </w:rPr>
        <w:t xml:space="preserve"> </w:t>
      </w:r>
      <w:r>
        <w:rPr>
          <w:rFonts w:cs="Arial"/>
        </w:rPr>
        <w:t>to</w:t>
      </w:r>
      <w:r w:rsidRPr="003B20B1">
        <w:rPr>
          <w:rFonts w:cs="Arial"/>
        </w:rPr>
        <w:t xml:space="preserve"> </w:t>
      </w:r>
      <w:r>
        <w:rPr>
          <w:rFonts w:cs="Arial"/>
        </w:rPr>
        <w:t>three</w:t>
      </w:r>
      <w:r w:rsidRPr="003B20B1">
        <w:rPr>
          <w:rFonts w:cs="Arial"/>
        </w:rPr>
        <w:t xml:space="preserve"> deaths </w:t>
      </w:r>
      <w:r w:rsidR="00887FB5">
        <w:rPr>
          <w:rFonts w:cs="Arial"/>
        </w:rPr>
        <w:t>annually</w:t>
      </w:r>
      <w:r w:rsidRPr="003B20B1">
        <w:rPr>
          <w:rFonts w:cs="Arial"/>
        </w:rPr>
        <w:t>.</w:t>
      </w:r>
      <w:r w:rsidR="007C0FE4">
        <w:rPr>
          <w:rStyle w:val="FootnoteReference"/>
          <w:rFonts w:cs="Arial"/>
        </w:rPr>
        <w:footnoteReference w:id="8"/>
      </w:r>
      <w:r w:rsidRPr="003B20B1">
        <w:rPr>
          <w:rFonts w:cs="Arial"/>
        </w:rPr>
        <w:t xml:space="preserve"> </w:t>
      </w:r>
      <w:r w:rsidR="00A150FA">
        <w:rPr>
          <w:rFonts w:cs="Arial"/>
        </w:rPr>
        <w:t>P</w:t>
      </w:r>
      <w:r w:rsidRPr="003B20B1">
        <w:rPr>
          <w:rFonts w:cs="Arial"/>
        </w:rPr>
        <w:t xml:space="preserve">roduct failures </w:t>
      </w:r>
      <w:r w:rsidR="00FE22BC">
        <w:rPr>
          <w:rFonts w:cs="Arial"/>
        </w:rPr>
        <w:t xml:space="preserve">listed in the coronial system </w:t>
      </w:r>
      <w:proofErr w:type="gramStart"/>
      <w:r w:rsidR="00A150FA">
        <w:rPr>
          <w:rFonts w:cs="Arial"/>
        </w:rPr>
        <w:t>are</w:t>
      </w:r>
      <w:r w:rsidRPr="003B20B1">
        <w:rPr>
          <w:rFonts w:cs="Arial"/>
        </w:rPr>
        <w:t xml:space="preserve"> mainly linked</w:t>
      </w:r>
      <w:proofErr w:type="gramEnd"/>
      <w:r w:rsidRPr="003B20B1">
        <w:rPr>
          <w:rFonts w:cs="Arial"/>
        </w:rPr>
        <w:t xml:space="preserve"> to defective or ineffective braking systems.  </w:t>
      </w:r>
    </w:p>
    <w:p w:rsidR="00FE22BC" w:rsidRDefault="00FE22BC" w:rsidP="006C7FE4">
      <w:pPr>
        <w:spacing w:before="120" w:line="220" w:lineRule="atLeast"/>
        <w:rPr>
          <w:rFonts w:cs="Arial"/>
        </w:rPr>
      </w:pPr>
      <w:r>
        <w:rPr>
          <w:rFonts w:cs="Arial"/>
        </w:rPr>
        <w:t>There is insufficient injury data to establish a link between mechanical failure and injuries.</w:t>
      </w:r>
    </w:p>
    <w:p w:rsidR="006C7FE4" w:rsidRDefault="00247712" w:rsidP="006C7FE4">
      <w:pPr>
        <w:spacing w:before="120" w:line="220" w:lineRule="atLeast"/>
        <w:rPr>
          <w:rFonts w:cs="Arial"/>
        </w:rPr>
      </w:pPr>
      <w:r>
        <w:rPr>
          <w:rFonts w:cs="Arial"/>
        </w:rPr>
        <w:t xml:space="preserve">Outside of </w:t>
      </w:r>
      <w:r w:rsidR="00CF1CA8">
        <w:rPr>
          <w:rFonts w:cs="Arial"/>
        </w:rPr>
        <w:t>injuries that</w:t>
      </w:r>
      <w:r>
        <w:rPr>
          <w:rFonts w:cs="Arial"/>
        </w:rPr>
        <w:t xml:space="preserve"> occurred on the road, </w:t>
      </w:r>
      <w:r w:rsidR="00A60895">
        <w:rPr>
          <w:rFonts w:cs="Arial"/>
        </w:rPr>
        <w:t xml:space="preserve">in 2005 the </w:t>
      </w:r>
      <w:r>
        <w:rPr>
          <w:rFonts w:cs="Arial"/>
        </w:rPr>
        <w:t>Q</w:t>
      </w:r>
      <w:r w:rsidR="005D61B3">
        <w:rPr>
          <w:rFonts w:cs="Arial"/>
        </w:rPr>
        <w:t xml:space="preserve">ueensland </w:t>
      </w:r>
      <w:r>
        <w:rPr>
          <w:rFonts w:cs="Arial"/>
        </w:rPr>
        <w:t>I</w:t>
      </w:r>
      <w:r w:rsidR="005D61B3">
        <w:rPr>
          <w:rFonts w:cs="Arial"/>
        </w:rPr>
        <w:t xml:space="preserve">njury </w:t>
      </w:r>
      <w:r>
        <w:rPr>
          <w:rFonts w:cs="Arial"/>
        </w:rPr>
        <w:t>S</w:t>
      </w:r>
      <w:r w:rsidR="005D61B3">
        <w:rPr>
          <w:rFonts w:cs="Arial"/>
        </w:rPr>
        <w:t xml:space="preserve">urveillance </w:t>
      </w:r>
      <w:r w:rsidR="000D5BB1">
        <w:rPr>
          <w:rFonts w:cs="Arial"/>
        </w:rPr>
        <w:t xml:space="preserve">Unit </w:t>
      </w:r>
      <w:r>
        <w:rPr>
          <w:rFonts w:cs="Arial"/>
        </w:rPr>
        <w:t xml:space="preserve">reported that a quarter of bicycle </w:t>
      </w:r>
      <w:r w:rsidR="00CF1CA8">
        <w:rPr>
          <w:rFonts w:cs="Arial"/>
        </w:rPr>
        <w:t xml:space="preserve">injuries </w:t>
      </w:r>
      <w:r w:rsidR="00A60895">
        <w:rPr>
          <w:rFonts w:cs="Arial"/>
        </w:rPr>
        <w:t>resulting</w:t>
      </w:r>
      <w:r w:rsidR="00CF1CA8">
        <w:rPr>
          <w:rFonts w:cs="Arial"/>
        </w:rPr>
        <w:t xml:space="preserve"> in emergency department presentations</w:t>
      </w:r>
      <w:r>
        <w:rPr>
          <w:rFonts w:cs="Arial"/>
        </w:rPr>
        <w:t xml:space="preserve"> occurred around the home.</w:t>
      </w:r>
      <w:r>
        <w:rPr>
          <w:rStyle w:val="FootnoteReference"/>
          <w:rFonts w:cs="Arial"/>
        </w:rPr>
        <w:footnoteReference w:id="9"/>
      </w:r>
      <w:r w:rsidR="008C24C2">
        <w:rPr>
          <w:rFonts w:cs="Arial"/>
        </w:rPr>
        <w:t xml:space="preserve"> For those under 15</w:t>
      </w:r>
      <w:r w:rsidR="003F308A">
        <w:rPr>
          <w:rFonts w:cs="Arial"/>
        </w:rPr>
        <w:t xml:space="preserve"> years old,</w:t>
      </w:r>
      <w:r w:rsidR="008C24C2">
        <w:rPr>
          <w:rFonts w:cs="Arial"/>
        </w:rPr>
        <w:t xml:space="preserve"> 32</w:t>
      </w:r>
      <w:r w:rsidR="003F308A">
        <w:rPr>
          <w:rFonts w:cs="Arial"/>
        </w:rPr>
        <w:t xml:space="preserve"> per cent</w:t>
      </w:r>
      <w:r w:rsidR="008C24C2">
        <w:rPr>
          <w:rFonts w:cs="Arial"/>
        </w:rPr>
        <w:t xml:space="preserve"> of injuries occurred at home and 34</w:t>
      </w:r>
      <w:r w:rsidR="003F308A">
        <w:rPr>
          <w:rFonts w:cs="Arial"/>
        </w:rPr>
        <w:t xml:space="preserve"> per cent</w:t>
      </w:r>
      <w:r w:rsidR="008C24C2">
        <w:rPr>
          <w:rFonts w:cs="Arial"/>
        </w:rPr>
        <w:t xml:space="preserve"> on the road</w:t>
      </w:r>
      <w:r w:rsidR="003F308A">
        <w:rPr>
          <w:rFonts w:cs="Arial"/>
        </w:rPr>
        <w:t>.</w:t>
      </w:r>
      <w:r w:rsidR="008C24C2">
        <w:rPr>
          <w:rFonts w:cs="Arial"/>
        </w:rPr>
        <w:t xml:space="preserve"> </w:t>
      </w:r>
      <w:r w:rsidR="003F308A">
        <w:rPr>
          <w:rFonts w:cs="Arial"/>
        </w:rPr>
        <w:t>F</w:t>
      </w:r>
      <w:r w:rsidR="008C24C2">
        <w:rPr>
          <w:rFonts w:cs="Arial"/>
        </w:rPr>
        <w:t>or those over 15</w:t>
      </w:r>
      <w:r w:rsidR="003F308A">
        <w:rPr>
          <w:rFonts w:cs="Arial"/>
        </w:rPr>
        <w:t xml:space="preserve"> years old,</w:t>
      </w:r>
      <w:r w:rsidR="008C24C2">
        <w:rPr>
          <w:rFonts w:cs="Arial"/>
        </w:rPr>
        <w:t xml:space="preserve"> 54</w:t>
      </w:r>
      <w:r w:rsidR="003F308A">
        <w:rPr>
          <w:rFonts w:cs="Arial"/>
        </w:rPr>
        <w:t xml:space="preserve"> per cent</w:t>
      </w:r>
      <w:r w:rsidR="008C24C2">
        <w:rPr>
          <w:rFonts w:cs="Arial"/>
        </w:rPr>
        <w:t xml:space="preserve"> occurred on the road and </w:t>
      </w:r>
      <w:r w:rsidR="000135D4">
        <w:rPr>
          <w:rFonts w:cs="Arial"/>
        </w:rPr>
        <w:t xml:space="preserve">nine </w:t>
      </w:r>
      <w:r w:rsidR="003F308A">
        <w:rPr>
          <w:rFonts w:cs="Arial"/>
        </w:rPr>
        <w:t>per cent</w:t>
      </w:r>
      <w:r w:rsidR="008C24C2">
        <w:rPr>
          <w:rFonts w:cs="Arial"/>
        </w:rPr>
        <w:t xml:space="preserve"> occurred at home. Most injuries do not involve a motor vehicle but are ‘single vehicle’ crashes (crashes just involving the bicycle).</w:t>
      </w:r>
    </w:p>
    <w:p w:rsidR="00566B5E" w:rsidRDefault="007E5284" w:rsidP="007E5284">
      <w:pPr>
        <w:pStyle w:val="Numbered11"/>
      </w:pPr>
      <w:bookmarkStart w:id="42" w:name="_Toc463541547"/>
      <w:bookmarkStart w:id="43" w:name="_Toc463541548"/>
      <w:bookmarkStart w:id="44" w:name="_Toc440455033"/>
      <w:bookmarkStart w:id="45" w:name="_Toc457220019"/>
      <w:bookmarkStart w:id="46" w:name="_Toc457222939"/>
      <w:bookmarkStart w:id="47" w:name="_Toc457228131"/>
      <w:bookmarkStart w:id="48" w:name="_Toc457465397"/>
      <w:bookmarkStart w:id="49" w:name="_Toc457569973"/>
      <w:bookmarkStart w:id="50" w:name="_Toc462919656"/>
      <w:bookmarkStart w:id="51" w:name="_Toc463541549"/>
      <w:bookmarkEnd w:id="42"/>
      <w:bookmarkEnd w:id="43"/>
      <w:r>
        <w:t>The mandatory safety standard</w:t>
      </w:r>
      <w:r w:rsidR="000C6F6B">
        <w:rPr>
          <w:rStyle w:val="FootnoteReference"/>
        </w:rPr>
        <w:footnoteReference w:id="10"/>
      </w:r>
      <w:bookmarkEnd w:id="44"/>
      <w:bookmarkEnd w:id="45"/>
      <w:bookmarkEnd w:id="46"/>
      <w:bookmarkEnd w:id="47"/>
      <w:bookmarkEnd w:id="48"/>
      <w:bookmarkEnd w:id="49"/>
      <w:bookmarkEnd w:id="50"/>
      <w:bookmarkEnd w:id="51"/>
    </w:p>
    <w:p w:rsidR="000714ED" w:rsidRDefault="007C0FE4" w:rsidP="000714ED">
      <w:pPr>
        <w:pStyle w:val="ListBullet"/>
        <w:numPr>
          <w:ilvl w:val="0"/>
          <w:numId w:val="0"/>
        </w:numPr>
      </w:pPr>
      <w:r>
        <w:t>In Australia, the mandatory safety standard</w:t>
      </w:r>
      <w:r w:rsidR="00690155">
        <w:t xml:space="preserve"> currently</w:t>
      </w:r>
      <w:r>
        <w:t xml:space="preserve"> </w:t>
      </w:r>
      <w:r w:rsidR="000714ED">
        <w:t>sets out a minimum level of safety which includes:</w:t>
      </w:r>
    </w:p>
    <w:p w:rsidR="000714ED" w:rsidRDefault="000714ED" w:rsidP="000714ED">
      <w:pPr>
        <w:pStyle w:val="Bulletpoint"/>
      </w:pPr>
      <w:r>
        <w:t>brakes that perform effectively for the front and rear wheels</w:t>
      </w:r>
    </w:p>
    <w:p w:rsidR="000714ED" w:rsidRDefault="000714ED" w:rsidP="000714ED">
      <w:pPr>
        <w:pStyle w:val="Bulletpoint"/>
      </w:pPr>
      <w:r>
        <w:t>steering that functions safely</w:t>
      </w:r>
    </w:p>
    <w:p w:rsidR="000714ED" w:rsidRDefault="000714ED" w:rsidP="000714ED">
      <w:pPr>
        <w:pStyle w:val="Bulletpoint"/>
      </w:pPr>
      <w:r>
        <w:t>reflectors that improve the visibility of the cyclist</w:t>
      </w:r>
    </w:p>
    <w:p w:rsidR="000714ED" w:rsidRDefault="000714ED" w:rsidP="000714ED">
      <w:pPr>
        <w:pStyle w:val="Bulletpoint"/>
      </w:pPr>
      <w:r>
        <w:t>bell to warn pedestrians</w:t>
      </w:r>
    </w:p>
    <w:p w:rsidR="000714ED" w:rsidRDefault="000714ED" w:rsidP="000714ED">
      <w:pPr>
        <w:pStyle w:val="Bulletpoint"/>
      </w:pPr>
      <w:r>
        <w:t>bicycle identification marking</w:t>
      </w:r>
    </w:p>
    <w:p w:rsidR="000714ED" w:rsidRDefault="000714ED" w:rsidP="000714ED">
      <w:pPr>
        <w:pStyle w:val="Bulletpoint"/>
      </w:pPr>
      <w:proofErr w:type="gramStart"/>
      <w:r>
        <w:t>user</w:t>
      </w:r>
      <w:proofErr w:type="gramEnd"/>
      <w:r>
        <w:t xml:space="preserve"> guidance about necessary maintenance.</w:t>
      </w:r>
    </w:p>
    <w:p w:rsidR="000714ED" w:rsidRDefault="000714ED" w:rsidP="000714ED">
      <w:pPr>
        <w:pStyle w:val="ListBullet"/>
        <w:numPr>
          <w:ilvl w:val="0"/>
          <w:numId w:val="0"/>
        </w:numPr>
      </w:pPr>
      <w:r>
        <w:lastRenderedPageBreak/>
        <w:t xml:space="preserve">The mandatory safety standard first came into effect in 1979 and was last updated in 2004. It references the 1998 voluntary Australian standard for bicycles (AS/NZS 1927) with some minor variations. </w:t>
      </w:r>
    </w:p>
    <w:p w:rsidR="007C0FE4" w:rsidRPr="00951B1F" w:rsidRDefault="000714ED" w:rsidP="007C0FE4">
      <w:r>
        <w:t>The mandatory safety</w:t>
      </w:r>
      <w:r w:rsidR="00D442DD">
        <w:t xml:space="preserve"> </w:t>
      </w:r>
      <w:r w:rsidR="00504480">
        <w:t xml:space="preserve">standard </w:t>
      </w:r>
      <w:r w:rsidR="007C0FE4">
        <w:t>defines bicycles as</w:t>
      </w:r>
      <w:r w:rsidR="007C0FE4" w:rsidRPr="00951B1F">
        <w:t xml:space="preserve"> fully assembled </w:t>
      </w:r>
      <w:r w:rsidR="007C0FE4">
        <w:t>or partially assembled and specifically excludes the following:</w:t>
      </w:r>
    </w:p>
    <w:p w:rsidR="007C0FE4" w:rsidRPr="00CC1172" w:rsidRDefault="007C0FE4" w:rsidP="00504480">
      <w:pPr>
        <w:pStyle w:val="Bulletpoint"/>
        <w:numPr>
          <w:ilvl w:val="0"/>
          <w:numId w:val="89"/>
        </w:numPr>
      </w:pPr>
      <w:r w:rsidRPr="00CC1172">
        <w:t xml:space="preserve">bicycles </w:t>
      </w:r>
      <w:r w:rsidR="00504480">
        <w:t>with</w:t>
      </w:r>
      <w:r w:rsidRPr="00CC1172">
        <w:t xml:space="preserve"> a wheel base of less than 640</w:t>
      </w:r>
      <w:r w:rsidR="000073A4">
        <w:t xml:space="preserve"> </w:t>
      </w:r>
      <w:r w:rsidRPr="00CC1172">
        <w:t>mm</w:t>
      </w:r>
    </w:p>
    <w:p w:rsidR="007C0FE4" w:rsidRDefault="007C0FE4" w:rsidP="00504480">
      <w:pPr>
        <w:pStyle w:val="Bulletpoint"/>
        <w:numPr>
          <w:ilvl w:val="0"/>
          <w:numId w:val="89"/>
        </w:numPr>
      </w:pPr>
      <w:r w:rsidRPr="00CC1172">
        <w:t>bicycles designed, promoted and supplied primarily for use in competition</w:t>
      </w:r>
    </w:p>
    <w:p w:rsidR="000714ED" w:rsidRPr="00CC1172" w:rsidRDefault="000714ED" w:rsidP="00504480">
      <w:pPr>
        <w:pStyle w:val="Bulletpoint"/>
        <w:numPr>
          <w:ilvl w:val="0"/>
          <w:numId w:val="89"/>
        </w:numPr>
      </w:pPr>
      <w:r w:rsidRPr="00CC1172">
        <w:t>power assisted bicycles</w:t>
      </w:r>
    </w:p>
    <w:p w:rsidR="007C0FE4" w:rsidRPr="00CC1172" w:rsidRDefault="007C0FE4" w:rsidP="00504480">
      <w:pPr>
        <w:pStyle w:val="Bulletpoint"/>
        <w:numPr>
          <w:ilvl w:val="0"/>
          <w:numId w:val="89"/>
        </w:numPr>
      </w:pPr>
      <w:r w:rsidRPr="00CC1172">
        <w:t>one</w:t>
      </w:r>
      <w:r w:rsidR="00504480">
        <w:t>-</w:t>
      </w:r>
      <w:r w:rsidRPr="00CC1172">
        <w:t>of</w:t>
      </w:r>
      <w:r w:rsidR="00504480">
        <w:t>-</w:t>
      </w:r>
      <w:r w:rsidRPr="00CC1172">
        <w:t>a</w:t>
      </w:r>
      <w:r w:rsidR="00504480">
        <w:t>-</w:t>
      </w:r>
      <w:r w:rsidRPr="00CC1172">
        <w:t>kind bicycles</w:t>
      </w:r>
    </w:p>
    <w:p w:rsidR="007C0FE4" w:rsidRPr="00CC1172" w:rsidRDefault="00BA1BFC" w:rsidP="00504480">
      <w:pPr>
        <w:pStyle w:val="Bulletpoint"/>
        <w:numPr>
          <w:ilvl w:val="0"/>
          <w:numId w:val="89"/>
        </w:numPr>
      </w:pPr>
      <w:r w:rsidRPr="003F308A">
        <w:t xml:space="preserve">folding </w:t>
      </w:r>
      <w:r w:rsidR="007C0FE4" w:rsidRPr="00CC1172">
        <w:t xml:space="preserve">bicycles </w:t>
      </w:r>
    </w:p>
    <w:p w:rsidR="007C0FE4" w:rsidRPr="00CC1172" w:rsidRDefault="007C0FE4" w:rsidP="00504480">
      <w:pPr>
        <w:pStyle w:val="Bulletpoint"/>
        <w:numPr>
          <w:ilvl w:val="0"/>
          <w:numId w:val="89"/>
        </w:numPr>
      </w:pPr>
      <w:r w:rsidRPr="00CC1172">
        <w:t>tandem bicycles</w:t>
      </w:r>
    </w:p>
    <w:p w:rsidR="007C0FE4" w:rsidRPr="00CC1172" w:rsidRDefault="007C0FE4" w:rsidP="00504480">
      <w:pPr>
        <w:pStyle w:val="Bulletpoint"/>
        <w:numPr>
          <w:ilvl w:val="0"/>
          <w:numId w:val="89"/>
        </w:numPr>
      </w:pPr>
      <w:r w:rsidRPr="00CC1172">
        <w:t>bicycles showing signs of appreciable wear or second hand bicycles</w:t>
      </w:r>
    </w:p>
    <w:p w:rsidR="007C0FE4" w:rsidRDefault="007C0FE4" w:rsidP="00504480">
      <w:pPr>
        <w:pStyle w:val="Bulletpoint"/>
        <w:numPr>
          <w:ilvl w:val="0"/>
          <w:numId w:val="89"/>
        </w:numPr>
      </w:pPr>
      <w:proofErr w:type="gramStart"/>
      <w:r w:rsidRPr="00CC1172">
        <w:t>recumbent</w:t>
      </w:r>
      <w:proofErr w:type="gramEnd"/>
      <w:r w:rsidRPr="00CC1172">
        <w:t xml:space="preserve"> bicycles.</w:t>
      </w:r>
    </w:p>
    <w:p w:rsidR="008E5D41" w:rsidRDefault="000714ED" w:rsidP="00923A70">
      <w:pPr>
        <w:pStyle w:val="Bulletpoint"/>
        <w:numPr>
          <w:ilvl w:val="0"/>
          <w:numId w:val="0"/>
        </w:numPr>
      </w:pPr>
      <w:r>
        <w:t xml:space="preserve">We </w:t>
      </w:r>
      <w:r w:rsidR="00D442DD">
        <w:t xml:space="preserve">discuss </w:t>
      </w:r>
      <w:r w:rsidR="00504480">
        <w:t>the</w:t>
      </w:r>
      <w:r w:rsidR="00D442DD">
        <w:t xml:space="preserve"> safety</w:t>
      </w:r>
      <w:r>
        <w:t xml:space="preserve"> requirements for </w:t>
      </w:r>
      <w:r w:rsidR="00504480">
        <w:t>these bicycles later in</w:t>
      </w:r>
      <w:r w:rsidR="00D442DD">
        <w:t xml:space="preserve"> this paper</w:t>
      </w:r>
      <w:r>
        <w:t>.</w:t>
      </w:r>
    </w:p>
    <w:p w:rsidR="00347958" w:rsidRDefault="00347958" w:rsidP="00347958">
      <w:pPr>
        <w:pStyle w:val="Numbered11"/>
      </w:pPr>
      <w:bookmarkStart w:id="52" w:name="_Toc440455034"/>
      <w:bookmarkStart w:id="53" w:name="_Toc457220020"/>
      <w:bookmarkStart w:id="54" w:name="_Toc457222940"/>
      <w:bookmarkStart w:id="55" w:name="_Toc457228132"/>
      <w:bookmarkStart w:id="56" w:name="_Toc457465398"/>
      <w:bookmarkStart w:id="57" w:name="_Toc457569974"/>
      <w:bookmarkStart w:id="58" w:name="_Toc462919657"/>
      <w:bookmarkStart w:id="59" w:name="_Toc463541550"/>
      <w:r>
        <w:t>The voluntary Australian standard</w:t>
      </w:r>
      <w:bookmarkEnd w:id="52"/>
      <w:bookmarkEnd w:id="53"/>
      <w:bookmarkEnd w:id="54"/>
      <w:bookmarkEnd w:id="55"/>
      <w:bookmarkEnd w:id="56"/>
      <w:bookmarkEnd w:id="57"/>
      <w:bookmarkEnd w:id="58"/>
      <w:bookmarkEnd w:id="59"/>
    </w:p>
    <w:p w:rsidR="00A051CE" w:rsidRDefault="00347958" w:rsidP="00347958">
      <w:r>
        <w:t xml:space="preserve">The </w:t>
      </w:r>
      <w:r w:rsidR="00855DAC">
        <w:t xml:space="preserve">2010 </w:t>
      </w:r>
      <w:r w:rsidR="00A051CE">
        <w:t xml:space="preserve">voluntary Australian standard </w:t>
      </w:r>
      <w:r w:rsidR="00855DAC">
        <w:t xml:space="preserve">(AS/NZS 1927:2010) </w:t>
      </w:r>
      <w:r w:rsidR="00674A09">
        <w:t>has superseded the</w:t>
      </w:r>
      <w:r w:rsidR="00A051CE">
        <w:t xml:space="preserve"> </w:t>
      </w:r>
      <w:r w:rsidR="00855DAC">
        <w:t xml:space="preserve">1998 </w:t>
      </w:r>
      <w:r w:rsidR="00A051CE">
        <w:t xml:space="preserve">version </w:t>
      </w:r>
      <w:r w:rsidR="00855DAC">
        <w:t>and</w:t>
      </w:r>
      <w:r w:rsidR="00A051CE">
        <w:t xml:space="preserve"> </w:t>
      </w:r>
      <w:r w:rsidR="00674A09">
        <w:t>introduce</w:t>
      </w:r>
      <w:r w:rsidR="00855DAC">
        <w:t>d</w:t>
      </w:r>
      <w:r w:rsidR="00674A09">
        <w:t xml:space="preserve"> </w:t>
      </w:r>
      <w:r w:rsidR="00A051CE">
        <w:t xml:space="preserve">new requirements </w:t>
      </w:r>
      <w:proofErr w:type="gramStart"/>
      <w:r w:rsidR="00A051CE">
        <w:t>for</w:t>
      </w:r>
      <w:proofErr w:type="gramEnd"/>
      <w:r w:rsidR="00A051CE">
        <w:t>:</w:t>
      </w:r>
    </w:p>
    <w:p w:rsidR="00A051CE" w:rsidRDefault="00A051CE" w:rsidP="00A051CE">
      <w:pPr>
        <w:pStyle w:val="Bulletpoint"/>
      </w:pPr>
      <w:r>
        <w:t>BMX stunt pegs</w:t>
      </w:r>
    </w:p>
    <w:p w:rsidR="00A051CE" w:rsidRDefault="00674A09" w:rsidP="00A051CE">
      <w:pPr>
        <w:pStyle w:val="Bulletpoint"/>
      </w:pPr>
      <w:r>
        <w:t>m</w:t>
      </w:r>
      <w:r w:rsidR="00A051CE">
        <w:t>odern handlebar stem systems</w:t>
      </w:r>
    </w:p>
    <w:p w:rsidR="00A051CE" w:rsidRDefault="00674A09" w:rsidP="00A051CE">
      <w:pPr>
        <w:pStyle w:val="Bulletpoint"/>
      </w:pPr>
      <w:r>
        <w:t>p</w:t>
      </w:r>
      <w:r w:rsidR="00A051CE">
        <w:t xml:space="preserve">ower assisted </w:t>
      </w:r>
      <w:r w:rsidR="0020238C">
        <w:t xml:space="preserve">bicycles </w:t>
      </w:r>
      <w:r w:rsidR="00A051CE">
        <w:t>with auxiliary power</w:t>
      </w:r>
    </w:p>
    <w:p w:rsidR="00A051CE" w:rsidRDefault="00674A09" w:rsidP="00A051CE">
      <w:pPr>
        <w:pStyle w:val="Bulletpoint"/>
      </w:pPr>
      <w:r>
        <w:t>i</w:t>
      </w:r>
      <w:r w:rsidR="00A051CE">
        <w:t>mproved labelling</w:t>
      </w:r>
    </w:p>
    <w:p w:rsidR="00A051CE" w:rsidRDefault="00674A09" w:rsidP="00A051CE">
      <w:pPr>
        <w:pStyle w:val="Bulletpoint"/>
      </w:pPr>
      <w:r>
        <w:t>m</w:t>
      </w:r>
      <w:r w:rsidR="00A051CE">
        <w:t>odified front hub retention tests</w:t>
      </w:r>
    </w:p>
    <w:p w:rsidR="00A051CE" w:rsidRDefault="00674A09" w:rsidP="00A051CE">
      <w:pPr>
        <w:pStyle w:val="Bulletpoint"/>
      </w:pPr>
      <w:proofErr w:type="gramStart"/>
      <w:r>
        <w:t>c</w:t>
      </w:r>
      <w:r w:rsidR="00A051CE">
        <w:t>larifying</w:t>
      </w:r>
      <w:proofErr w:type="gramEnd"/>
      <w:r w:rsidR="00A051CE">
        <w:t xml:space="preserve"> the test method for front fork tests.</w:t>
      </w:r>
    </w:p>
    <w:p w:rsidR="00605AE2" w:rsidRDefault="00A051CE" w:rsidP="00387B24">
      <w:pPr>
        <w:pStyle w:val="Bulletpoint"/>
        <w:numPr>
          <w:ilvl w:val="0"/>
          <w:numId w:val="0"/>
        </w:numPr>
      </w:pPr>
      <w:r>
        <w:t xml:space="preserve">These </w:t>
      </w:r>
      <w:r w:rsidR="00387B24">
        <w:t xml:space="preserve">new </w:t>
      </w:r>
      <w:r>
        <w:t>requirements are absent from the current mandatory safety standard.</w:t>
      </w:r>
      <w:r w:rsidR="00387B24">
        <w:t xml:space="preserve"> The 2010</w:t>
      </w:r>
      <w:r w:rsidR="00605AE2">
        <w:t xml:space="preserve"> </w:t>
      </w:r>
      <w:r w:rsidR="00387B24">
        <w:t>voluntary Australian standard</w:t>
      </w:r>
      <w:r w:rsidR="00605AE2">
        <w:t xml:space="preserve"> </w:t>
      </w:r>
      <w:r w:rsidR="00387B24">
        <w:t>also</w:t>
      </w:r>
      <w:r w:rsidR="00605AE2">
        <w:t xml:space="preserve"> remov</w:t>
      </w:r>
      <w:r w:rsidR="00387B24">
        <w:t>ed</w:t>
      </w:r>
      <w:r w:rsidR="00605AE2">
        <w:t xml:space="preserve"> </w:t>
      </w:r>
      <w:r w:rsidR="00387B24">
        <w:t>the</w:t>
      </w:r>
      <w:r w:rsidR="00605AE2">
        <w:t xml:space="preserve"> wet braking and road worthiness tests</w:t>
      </w:r>
      <w:r w:rsidR="00387B24">
        <w:t xml:space="preserve"> that are part of the current mandatory safety standard</w:t>
      </w:r>
      <w:r w:rsidR="00605AE2">
        <w:t>.</w:t>
      </w:r>
    </w:p>
    <w:p w:rsidR="00A047B3" w:rsidRPr="00A047B3" w:rsidRDefault="00A047B3" w:rsidP="00A047B3">
      <w:pPr>
        <w:pStyle w:val="Numbered11"/>
      </w:pPr>
      <w:bookmarkStart w:id="60" w:name="_Toc440455036"/>
      <w:bookmarkStart w:id="61" w:name="_Toc457220021"/>
      <w:bookmarkStart w:id="62" w:name="_Toc457222941"/>
      <w:bookmarkStart w:id="63" w:name="_Toc457228133"/>
      <w:bookmarkStart w:id="64" w:name="_Toc457465399"/>
      <w:bookmarkStart w:id="65" w:name="_Toc457569975"/>
      <w:bookmarkStart w:id="66" w:name="_Toc462919658"/>
      <w:bookmarkStart w:id="67" w:name="_Toc463541551"/>
      <w:r w:rsidRPr="00A047B3">
        <w:t>The bicycle market in Australia</w:t>
      </w:r>
      <w:bookmarkEnd w:id="60"/>
      <w:bookmarkEnd w:id="61"/>
      <w:bookmarkEnd w:id="62"/>
      <w:bookmarkEnd w:id="63"/>
      <w:bookmarkEnd w:id="64"/>
      <w:bookmarkEnd w:id="65"/>
      <w:bookmarkEnd w:id="66"/>
      <w:bookmarkEnd w:id="67"/>
    </w:p>
    <w:p w:rsidR="00724A5C" w:rsidRPr="0015737E" w:rsidRDefault="00724A5C" w:rsidP="00724A5C">
      <w:pPr>
        <w:spacing w:before="120" w:line="220" w:lineRule="atLeast"/>
        <w:rPr>
          <w:rFonts w:cs="Arial"/>
        </w:rPr>
      </w:pPr>
      <w:r w:rsidRPr="00E60C1F">
        <w:t xml:space="preserve">The </w:t>
      </w:r>
      <w:r w:rsidR="00F8488B">
        <w:t xml:space="preserve">bicycle </w:t>
      </w:r>
      <w:r w:rsidRPr="00E60C1F">
        <w:t xml:space="preserve">retail market </w:t>
      </w:r>
      <w:r w:rsidR="00674A09">
        <w:t xml:space="preserve">in Australia </w:t>
      </w:r>
      <w:r w:rsidRPr="00E60C1F">
        <w:t xml:space="preserve">is </w:t>
      </w:r>
      <w:r w:rsidR="00674A09">
        <w:t>sizeable</w:t>
      </w:r>
      <w:r w:rsidR="00F8488B">
        <w:t>.</w:t>
      </w:r>
      <w:r w:rsidR="00674A09">
        <w:t xml:space="preserve"> </w:t>
      </w:r>
      <w:r w:rsidR="002E7268">
        <w:t xml:space="preserve"> </w:t>
      </w:r>
      <w:r w:rsidR="00F8488B">
        <w:t>I</w:t>
      </w:r>
      <w:r w:rsidR="002E7268">
        <w:t>t</w:t>
      </w:r>
      <w:r w:rsidRPr="00E60C1F">
        <w:t xml:space="preserve"> </w:t>
      </w:r>
      <w:r w:rsidR="00F8488B">
        <w:t>covers</w:t>
      </w:r>
      <w:r w:rsidR="00F8488B" w:rsidRPr="00E60C1F">
        <w:t xml:space="preserve"> </w:t>
      </w:r>
      <w:r w:rsidRPr="00E60C1F">
        <w:t xml:space="preserve">department stores, specialist bicycle retailers, sporting goods stores, children’s stores and online sellers. </w:t>
      </w:r>
      <w:r w:rsidR="00BD4164" w:rsidRPr="005A4E49">
        <w:rPr>
          <w:rFonts w:cs="Arial"/>
        </w:rPr>
        <w:t>There are approximately 1050 specialised retail stores in Australia.</w:t>
      </w:r>
      <w:r w:rsidR="00BD4164" w:rsidRPr="005A4E49">
        <w:rPr>
          <w:rFonts w:cs="Arial"/>
          <w:vertAlign w:val="superscript"/>
        </w:rPr>
        <w:footnoteReference w:id="11"/>
      </w:r>
      <w:r w:rsidR="00BD4164">
        <w:rPr>
          <w:rFonts w:cs="Arial"/>
        </w:rPr>
        <w:t xml:space="preserve"> </w:t>
      </w:r>
      <w:r>
        <w:t>Competition in this</w:t>
      </w:r>
      <w:r w:rsidRPr="00E60C1F">
        <w:t xml:space="preserve"> market</w:t>
      </w:r>
      <w:r>
        <w:t xml:space="preserve"> is moderate, barriers to entry are low, and there are</w:t>
      </w:r>
      <w:r w:rsidRPr="00E60C1F">
        <w:t xml:space="preserve"> </w:t>
      </w:r>
      <w:r>
        <w:t xml:space="preserve">an </w:t>
      </w:r>
      <w:r w:rsidRPr="00E60C1F">
        <w:t xml:space="preserve">increasing </w:t>
      </w:r>
      <w:r>
        <w:t>number of online traders</w:t>
      </w:r>
      <w:r w:rsidRPr="006645D1">
        <w:rPr>
          <w:rFonts w:cs="Arial"/>
        </w:rPr>
        <w:t>.</w:t>
      </w:r>
      <w:r w:rsidRPr="006645D1">
        <w:rPr>
          <w:rFonts w:cs="Arial"/>
          <w:vertAlign w:val="superscript"/>
        </w:rPr>
        <w:footnoteReference w:id="12"/>
      </w:r>
      <w:r>
        <w:rPr>
          <w:rFonts w:cs="Arial"/>
        </w:rPr>
        <w:t xml:space="preserve"> </w:t>
      </w:r>
    </w:p>
    <w:p w:rsidR="00724A5C" w:rsidRDefault="00724A5C" w:rsidP="003F308A">
      <w:r>
        <w:t xml:space="preserve">Most retailers import </w:t>
      </w:r>
      <w:r w:rsidR="00933CBB">
        <w:t>bicycles,</w:t>
      </w:r>
      <w:r>
        <w:t xml:space="preserve"> as there are few manufacturers in Australia.</w:t>
      </w:r>
      <w:r>
        <w:rPr>
          <w:rStyle w:val="FootnoteReference"/>
        </w:rPr>
        <w:footnoteReference w:id="13"/>
      </w:r>
      <w:r>
        <w:t xml:space="preserve"> </w:t>
      </w:r>
      <w:r w:rsidR="00A42DDA">
        <w:t>I</w:t>
      </w:r>
      <w:r w:rsidR="00A42DDA" w:rsidRPr="006645D1">
        <w:t xml:space="preserve">t </w:t>
      </w:r>
      <w:proofErr w:type="gramStart"/>
      <w:r w:rsidR="00A42DDA" w:rsidRPr="006645D1">
        <w:t>is estimated</w:t>
      </w:r>
      <w:proofErr w:type="gramEnd"/>
      <w:r w:rsidR="00A42DDA" w:rsidRPr="006645D1">
        <w:t xml:space="preserve"> 1.4 million bicycles are imported into Australia every year.</w:t>
      </w:r>
      <w:r w:rsidR="00DD5CA4">
        <w:rPr>
          <w:rStyle w:val="FootnoteReference"/>
        </w:rPr>
        <w:footnoteReference w:id="14"/>
      </w:r>
      <w:r>
        <w:t xml:space="preserve"> </w:t>
      </w:r>
      <w:r w:rsidR="00A42DDA">
        <w:t xml:space="preserve">According to </w:t>
      </w:r>
      <w:r w:rsidR="00A42DDA" w:rsidRPr="00E60C1F">
        <w:t>Bicycle Industries Australia</w:t>
      </w:r>
      <w:r w:rsidR="00A42DDA">
        <w:t>, there are about</w:t>
      </w:r>
      <w:r w:rsidR="00A42DDA" w:rsidRPr="00E60C1F">
        <w:t xml:space="preserve"> 400 importers, manufacture</w:t>
      </w:r>
      <w:r>
        <w:t>rs and wholesalers.</w:t>
      </w:r>
      <w:r w:rsidR="001963A0">
        <w:rPr>
          <w:rStyle w:val="FootnoteReference"/>
        </w:rPr>
        <w:footnoteReference w:id="15"/>
      </w:r>
    </w:p>
    <w:p w:rsidR="00504480" w:rsidRDefault="00FA5E17">
      <w:pPr>
        <w:rPr>
          <w:rFonts w:eastAsiaTheme="majorEastAsia" w:cs="Arial"/>
          <w:bCs/>
          <w:color w:val="51626F"/>
          <w:sz w:val="28"/>
          <w:szCs w:val="26"/>
        </w:rPr>
      </w:pPr>
      <w:r>
        <w:lastRenderedPageBreak/>
        <w:t xml:space="preserve">The </w:t>
      </w:r>
      <w:r w:rsidR="00A42DDA" w:rsidRPr="00E60C1F">
        <w:t xml:space="preserve">manufacturing sector </w:t>
      </w:r>
      <w:r>
        <w:t xml:space="preserve">in Australia is comprised of </w:t>
      </w:r>
      <w:r w:rsidR="00A42DDA" w:rsidRPr="00E60C1F">
        <w:t>small workshop operations</w:t>
      </w:r>
      <w:r>
        <w:t>, primarily producing</w:t>
      </w:r>
      <w:r w:rsidR="00A42DDA">
        <w:t xml:space="preserve"> made</w:t>
      </w:r>
      <w:r w:rsidR="00A42DDA" w:rsidRPr="00E60C1F">
        <w:t xml:space="preserve"> to order </w:t>
      </w:r>
      <w:r>
        <w:t xml:space="preserve">bicycles that </w:t>
      </w:r>
      <w:proofErr w:type="gramStart"/>
      <w:r w:rsidR="00F8488B">
        <w:t xml:space="preserve">are </w:t>
      </w:r>
      <w:r w:rsidR="00A42DDA" w:rsidRPr="00E60C1F">
        <w:t>sold</w:t>
      </w:r>
      <w:proofErr w:type="gramEnd"/>
      <w:r w:rsidR="00A42DDA" w:rsidRPr="00E60C1F">
        <w:t xml:space="preserve"> direct</w:t>
      </w:r>
      <w:r>
        <w:t>ly to consumers</w:t>
      </w:r>
      <w:r w:rsidR="00A42DDA" w:rsidRPr="00E60C1F">
        <w:t xml:space="preserve">. </w:t>
      </w:r>
      <w:bookmarkStart w:id="68" w:name="_Toc440455037"/>
      <w:bookmarkStart w:id="69" w:name="_Toc457220022"/>
      <w:bookmarkStart w:id="70" w:name="_Toc457222942"/>
      <w:bookmarkStart w:id="71" w:name="_Toc457228134"/>
      <w:bookmarkStart w:id="72" w:name="_Toc457465400"/>
      <w:bookmarkStart w:id="73" w:name="_Toc457569976"/>
    </w:p>
    <w:p w:rsidR="00A047B3" w:rsidRDefault="00A047B3" w:rsidP="003F308A">
      <w:pPr>
        <w:pStyle w:val="Numbered11"/>
      </w:pPr>
      <w:bookmarkStart w:id="74" w:name="_Toc462919659"/>
      <w:bookmarkStart w:id="75" w:name="_Toc463541552"/>
      <w:r w:rsidRPr="00A047B3">
        <w:t>Compliance with the mandatory safety standard</w:t>
      </w:r>
      <w:bookmarkStart w:id="76" w:name="_Toc440455038"/>
      <w:bookmarkEnd w:id="68"/>
      <w:bookmarkEnd w:id="69"/>
      <w:bookmarkEnd w:id="70"/>
      <w:bookmarkEnd w:id="71"/>
      <w:bookmarkEnd w:id="72"/>
      <w:bookmarkEnd w:id="73"/>
      <w:bookmarkEnd w:id="76"/>
      <w:bookmarkEnd w:id="74"/>
      <w:bookmarkEnd w:id="75"/>
    </w:p>
    <w:p w:rsidR="005C4E04" w:rsidRDefault="0065777C" w:rsidP="005C4E04">
      <w:r>
        <w:t xml:space="preserve">In 2011, </w:t>
      </w:r>
      <w:r w:rsidR="00690155">
        <w:t xml:space="preserve">the </w:t>
      </w:r>
      <w:proofErr w:type="gramStart"/>
      <w:r w:rsidR="00690155">
        <w:t xml:space="preserve">ACCC </w:t>
      </w:r>
      <w:r w:rsidR="00933CBB">
        <w:t>and State</w:t>
      </w:r>
      <w:proofErr w:type="gramEnd"/>
      <w:r w:rsidR="00690155">
        <w:t xml:space="preserve"> and Territory </w:t>
      </w:r>
      <w:r>
        <w:t xml:space="preserve">consumer </w:t>
      </w:r>
      <w:r w:rsidR="00690155">
        <w:t>protection</w:t>
      </w:r>
      <w:r>
        <w:t xml:space="preserve"> agencies </w:t>
      </w:r>
      <w:r w:rsidR="005E04CA">
        <w:t xml:space="preserve">conducted </w:t>
      </w:r>
      <w:r>
        <w:t>a survey of 435 children’s bicycles in large department stores and independent toy retailers. Only</w:t>
      </w:r>
      <w:r w:rsidR="005E04CA">
        <w:t xml:space="preserve"> one bicycle </w:t>
      </w:r>
      <w:proofErr w:type="gramStart"/>
      <w:r w:rsidR="005E04CA">
        <w:t xml:space="preserve">was </w:t>
      </w:r>
      <w:r w:rsidR="0056545C">
        <w:t>found</w:t>
      </w:r>
      <w:proofErr w:type="gramEnd"/>
      <w:r w:rsidR="0056545C">
        <w:t xml:space="preserve"> to be </w:t>
      </w:r>
      <w:r w:rsidR="005E04CA">
        <w:t>non-</w:t>
      </w:r>
      <w:r w:rsidR="00E23989">
        <w:t>compliant</w:t>
      </w:r>
      <w:r w:rsidR="005E04CA">
        <w:t>.</w:t>
      </w:r>
    </w:p>
    <w:p w:rsidR="003005AA" w:rsidRDefault="004A1EC3" w:rsidP="009E5364">
      <w:r w:rsidRPr="00D73605">
        <w:t>Since 1998, there have been more than 6</w:t>
      </w:r>
      <w:r w:rsidR="00D73605" w:rsidRPr="00D73605">
        <w:t>5</w:t>
      </w:r>
      <w:r w:rsidRPr="00D73605">
        <w:t xml:space="preserve"> bicycle recalls in Australia. </w:t>
      </w:r>
      <w:r w:rsidR="00876CEE">
        <w:t>S</w:t>
      </w:r>
      <w:r w:rsidR="00876CEE" w:rsidRPr="00D73605">
        <w:t xml:space="preserve">uppliers initiated </w:t>
      </w:r>
      <w:r w:rsidR="00876CEE">
        <w:t>m</w:t>
      </w:r>
      <w:r w:rsidR="00876CEE" w:rsidRPr="00D73605">
        <w:t xml:space="preserve">ost </w:t>
      </w:r>
      <w:r w:rsidR="00876CEE">
        <w:t xml:space="preserve">of the </w:t>
      </w:r>
      <w:r w:rsidRPr="00D73605">
        <w:t>recalls.</w:t>
      </w:r>
      <w:r>
        <w:t xml:space="preserve"> </w:t>
      </w:r>
      <w:r w:rsidRPr="003B20B1">
        <w:t xml:space="preserve"> </w:t>
      </w:r>
      <w:r w:rsidR="003005AA">
        <w:t>Seventy per cent</w:t>
      </w:r>
      <w:r w:rsidR="003005AA" w:rsidRPr="003B20B1">
        <w:t xml:space="preserve"> </w:t>
      </w:r>
      <w:r w:rsidR="003005AA">
        <w:t>of</w:t>
      </w:r>
      <w:r w:rsidR="00E23989">
        <w:t xml:space="preserve"> bicycle</w:t>
      </w:r>
      <w:r w:rsidR="003005AA">
        <w:t xml:space="preserve"> recalls were</w:t>
      </w:r>
      <w:r w:rsidR="003005AA" w:rsidRPr="003B20B1">
        <w:t xml:space="preserve"> </w:t>
      </w:r>
      <w:r w:rsidR="003005AA">
        <w:t>associated with</w:t>
      </w:r>
      <w:r w:rsidR="003005AA" w:rsidRPr="003B20B1">
        <w:t xml:space="preserve"> defective components such as forks or frames fracturing. </w:t>
      </w:r>
      <w:r w:rsidR="003005AA">
        <w:t xml:space="preserve">The recalls were </w:t>
      </w:r>
      <w:r>
        <w:t>usually bicycles that were in the medium to high price range</w:t>
      </w:r>
      <w:r w:rsidR="003005AA">
        <w:t>.</w:t>
      </w:r>
      <w:r w:rsidR="003005AA" w:rsidRPr="003B20B1">
        <w:t xml:space="preserve"> </w:t>
      </w:r>
      <w:r>
        <w:t xml:space="preserve">Injury data does not demonstrate a link between faulty </w:t>
      </w:r>
      <w:r w:rsidR="003005AA">
        <w:t>forks</w:t>
      </w:r>
      <w:r>
        <w:t xml:space="preserve"> and</w:t>
      </w:r>
      <w:r w:rsidR="003005AA" w:rsidRPr="003B20B1">
        <w:t xml:space="preserve"> frames </w:t>
      </w:r>
      <w:r w:rsidR="003005AA">
        <w:t>and injur</w:t>
      </w:r>
      <w:r>
        <w:t>ies</w:t>
      </w:r>
      <w:r w:rsidR="003005AA">
        <w:t>.</w:t>
      </w:r>
      <w:r w:rsidR="003005AA" w:rsidRPr="003B20B1">
        <w:t xml:space="preserve"> </w:t>
      </w:r>
      <w:r w:rsidR="003005AA">
        <w:t>Recalls associated with component failure</w:t>
      </w:r>
      <w:r w:rsidR="002E7268">
        <w:t xml:space="preserve">, such as fork or frame fracturing, </w:t>
      </w:r>
      <w:r w:rsidR="00876CEE">
        <w:t>are usually about</w:t>
      </w:r>
      <w:r w:rsidR="003005AA">
        <w:t xml:space="preserve"> component f</w:t>
      </w:r>
      <w:r w:rsidR="003005AA" w:rsidRPr="003B20B1">
        <w:t>atigue later in the life of the bicycle following p</w:t>
      </w:r>
      <w:r w:rsidR="003005AA">
        <w:t>rolonged use. The remaining 30 per cent</w:t>
      </w:r>
      <w:r w:rsidR="003005AA" w:rsidRPr="003B20B1">
        <w:t xml:space="preserve"> </w:t>
      </w:r>
      <w:r w:rsidR="003005AA">
        <w:t xml:space="preserve">of recalls were </w:t>
      </w:r>
      <w:r w:rsidR="00876CEE">
        <w:t>about missing</w:t>
      </w:r>
      <w:r w:rsidR="003005AA" w:rsidRPr="003B20B1">
        <w:t xml:space="preserve"> safety components,</w:t>
      </w:r>
      <w:r w:rsidR="003005AA" w:rsidRPr="003B20B1" w:rsidDel="00666E3B">
        <w:t xml:space="preserve"> </w:t>
      </w:r>
      <w:r w:rsidR="003005AA" w:rsidRPr="003B20B1">
        <w:t xml:space="preserve">such as front brakes, reflectors or warning labels. </w:t>
      </w:r>
    </w:p>
    <w:p w:rsidR="00A42DDA" w:rsidRPr="00A42DDA" w:rsidRDefault="00A53C88" w:rsidP="003F308A">
      <w:pPr>
        <w:spacing w:before="120" w:line="220" w:lineRule="atLeast"/>
        <w:rPr>
          <w:rFonts w:cs="Arial"/>
        </w:rPr>
      </w:pPr>
      <w:r>
        <w:rPr>
          <w:rFonts w:cs="Arial"/>
        </w:rPr>
        <w:t>During</w:t>
      </w:r>
      <w:r w:rsidR="00615DF6">
        <w:rPr>
          <w:rFonts w:cs="Arial"/>
        </w:rPr>
        <w:t xml:space="preserve"> the period</w:t>
      </w:r>
      <w:r w:rsidR="00690155">
        <w:rPr>
          <w:rFonts w:cs="Arial"/>
        </w:rPr>
        <w:t xml:space="preserve"> 1 January 2011</w:t>
      </w:r>
      <w:r>
        <w:rPr>
          <w:rFonts w:cs="Arial"/>
        </w:rPr>
        <w:t xml:space="preserve"> to </w:t>
      </w:r>
      <w:r w:rsidR="007C0FE4" w:rsidRPr="007C0FE4">
        <w:rPr>
          <w:rFonts w:cs="Arial"/>
        </w:rPr>
        <w:t>1 January 2015</w:t>
      </w:r>
      <w:r>
        <w:rPr>
          <w:rFonts w:cs="Arial"/>
        </w:rPr>
        <w:t>,</w:t>
      </w:r>
      <w:r w:rsidR="007C0FE4" w:rsidRPr="007C0FE4">
        <w:rPr>
          <w:rFonts w:cs="Arial"/>
        </w:rPr>
        <w:t xml:space="preserve"> the ACCC received 65 mandatory</w:t>
      </w:r>
      <w:r w:rsidR="00615DF6">
        <w:rPr>
          <w:rFonts w:cs="Arial"/>
        </w:rPr>
        <w:t xml:space="preserve"> safety</w:t>
      </w:r>
      <w:r w:rsidR="007C0FE4" w:rsidRPr="007C0FE4">
        <w:rPr>
          <w:rFonts w:cs="Arial"/>
        </w:rPr>
        <w:t xml:space="preserve"> </w:t>
      </w:r>
      <w:r w:rsidR="00A42DDA" w:rsidRPr="007C0FE4">
        <w:rPr>
          <w:rFonts w:cs="Arial"/>
        </w:rPr>
        <w:t>reports associated with bicycles</w:t>
      </w:r>
      <w:r w:rsidR="00615DF6">
        <w:rPr>
          <w:rFonts w:cs="Arial"/>
        </w:rPr>
        <w:t>.</w:t>
      </w:r>
      <w:r w:rsidR="00A42DDA" w:rsidRPr="007C0FE4">
        <w:rPr>
          <w:rFonts w:cs="Arial"/>
        </w:rPr>
        <w:t xml:space="preserve"> </w:t>
      </w:r>
      <w:r w:rsidR="00615DF6">
        <w:rPr>
          <w:rFonts w:cs="Arial"/>
        </w:rPr>
        <w:t>T</w:t>
      </w:r>
      <w:r w:rsidR="007C0FE4" w:rsidRPr="007C0FE4">
        <w:rPr>
          <w:rFonts w:cs="Arial"/>
        </w:rPr>
        <w:t xml:space="preserve">he most common cause of injury from a bicycle </w:t>
      </w:r>
      <w:r w:rsidR="00D20BCC">
        <w:rPr>
          <w:rFonts w:cs="Arial"/>
        </w:rPr>
        <w:t xml:space="preserve">relate </w:t>
      </w:r>
      <w:r w:rsidR="00D20BCC" w:rsidRPr="00D20BCC">
        <w:rPr>
          <w:rFonts w:cs="Arial"/>
        </w:rPr>
        <w:t xml:space="preserve">to defects </w:t>
      </w:r>
      <w:r w:rsidR="007C0FE4" w:rsidRPr="00D20BCC">
        <w:rPr>
          <w:rFonts w:cs="Arial"/>
        </w:rPr>
        <w:t xml:space="preserve">in the </w:t>
      </w:r>
      <w:r w:rsidR="00933CBB" w:rsidRPr="00D20BCC">
        <w:rPr>
          <w:rFonts w:cs="Arial"/>
        </w:rPr>
        <w:t>handlebars</w:t>
      </w:r>
      <w:r w:rsidR="007C0FE4" w:rsidRPr="00D20BCC">
        <w:rPr>
          <w:rFonts w:cs="Arial"/>
        </w:rPr>
        <w:t xml:space="preserve"> (18</w:t>
      </w:r>
      <w:r w:rsidR="002C5A24" w:rsidRPr="00D20BCC">
        <w:rPr>
          <w:rFonts w:cs="Arial"/>
        </w:rPr>
        <w:t xml:space="preserve"> per cent</w:t>
      </w:r>
      <w:r w:rsidR="007C0FE4" w:rsidRPr="00D20BCC">
        <w:rPr>
          <w:rFonts w:cs="Arial"/>
        </w:rPr>
        <w:t>) or pedals (14</w:t>
      </w:r>
      <w:r w:rsidR="002C5A24" w:rsidRPr="00D20BCC">
        <w:rPr>
          <w:rFonts w:cs="Arial"/>
        </w:rPr>
        <w:t xml:space="preserve"> per cent</w:t>
      </w:r>
      <w:r w:rsidR="007C0FE4" w:rsidRPr="00D20BCC">
        <w:rPr>
          <w:rFonts w:cs="Arial"/>
        </w:rPr>
        <w:t>)</w:t>
      </w:r>
      <w:r w:rsidR="00A42DDA" w:rsidRPr="00D20BCC">
        <w:rPr>
          <w:rFonts w:cs="Arial"/>
        </w:rPr>
        <w:t>.</w:t>
      </w:r>
      <w:r w:rsidR="00A42DDA" w:rsidRPr="007C0FE4">
        <w:rPr>
          <w:rFonts w:cs="Arial"/>
        </w:rPr>
        <w:t xml:space="preserve"> </w:t>
      </w:r>
    </w:p>
    <w:p w:rsidR="00FB4622" w:rsidRDefault="00FB4622" w:rsidP="003F308A">
      <w:pPr>
        <w:pStyle w:val="Numbered11"/>
      </w:pPr>
      <w:bookmarkStart w:id="77" w:name="_Toc440454594"/>
      <w:bookmarkStart w:id="78" w:name="_Toc440454690"/>
      <w:bookmarkStart w:id="79" w:name="_Toc440454814"/>
      <w:bookmarkStart w:id="80" w:name="_Toc440454844"/>
      <w:bookmarkStart w:id="81" w:name="_Toc440454874"/>
      <w:bookmarkStart w:id="82" w:name="_Toc440454904"/>
      <w:bookmarkStart w:id="83" w:name="_Toc440454949"/>
      <w:bookmarkStart w:id="84" w:name="_Toc440454980"/>
      <w:bookmarkStart w:id="85" w:name="_Toc440455010"/>
      <w:bookmarkStart w:id="86" w:name="_Toc440455039"/>
      <w:bookmarkStart w:id="87" w:name="_Toc440455150"/>
      <w:bookmarkStart w:id="88" w:name="_Toc440455178"/>
      <w:bookmarkStart w:id="89" w:name="_Toc440455208"/>
      <w:bookmarkStart w:id="90" w:name="_Toc440461111"/>
      <w:bookmarkStart w:id="91" w:name="_Toc440454595"/>
      <w:bookmarkStart w:id="92" w:name="_Toc440454691"/>
      <w:bookmarkStart w:id="93" w:name="_Toc440454815"/>
      <w:bookmarkStart w:id="94" w:name="_Toc440454845"/>
      <w:bookmarkStart w:id="95" w:name="_Toc440454875"/>
      <w:bookmarkStart w:id="96" w:name="_Toc440454905"/>
      <w:bookmarkStart w:id="97" w:name="_Toc440454950"/>
      <w:bookmarkStart w:id="98" w:name="_Toc440454981"/>
      <w:bookmarkStart w:id="99" w:name="_Toc440455011"/>
      <w:bookmarkStart w:id="100" w:name="_Toc440455040"/>
      <w:bookmarkStart w:id="101" w:name="_Toc440455151"/>
      <w:bookmarkStart w:id="102" w:name="_Toc440455179"/>
      <w:bookmarkStart w:id="103" w:name="_Toc440455209"/>
      <w:bookmarkStart w:id="104" w:name="_Toc440461112"/>
      <w:bookmarkStart w:id="105" w:name="_Toc440454596"/>
      <w:bookmarkStart w:id="106" w:name="_Toc440454692"/>
      <w:bookmarkStart w:id="107" w:name="_Toc440454816"/>
      <w:bookmarkStart w:id="108" w:name="_Toc440454846"/>
      <w:bookmarkStart w:id="109" w:name="_Toc440454876"/>
      <w:bookmarkStart w:id="110" w:name="_Toc440454906"/>
      <w:bookmarkStart w:id="111" w:name="_Toc440454951"/>
      <w:bookmarkStart w:id="112" w:name="_Toc440454982"/>
      <w:bookmarkStart w:id="113" w:name="_Toc440455012"/>
      <w:bookmarkStart w:id="114" w:name="_Toc440455041"/>
      <w:bookmarkStart w:id="115" w:name="_Toc440455152"/>
      <w:bookmarkStart w:id="116" w:name="_Toc440455180"/>
      <w:bookmarkStart w:id="117" w:name="_Toc440455210"/>
      <w:bookmarkStart w:id="118" w:name="_Toc440461113"/>
      <w:bookmarkStart w:id="119" w:name="_Toc440455042"/>
      <w:bookmarkStart w:id="120" w:name="_Toc457220023"/>
      <w:bookmarkStart w:id="121" w:name="_Toc457222943"/>
      <w:bookmarkStart w:id="122" w:name="_Toc457228135"/>
      <w:bookmarkStart w:id="123" w:name="_Toc457465401"/>
      <w:bookmarkStart w:id="124" w:name="_Toc457569977"/>
      <w:bookmarkStart w:id="125" w:name="_Toc462919660"/>
      <w:bookmarkStart w:id="126" w:name="_Toc463541553"/>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t xml:space="preserve">State and </w:t>
      </w:r>
      <w:r w:rsidR="00F312C1">
        <w:t>T</w:t>
      </w:r>
      <w:r>
        <w:t>erritory road laws</w:t>
      </w:r>
      <w:bookmarkEnd w:id="119"/>
      <w:bookmarkEnd w:id="120"/>
      <w:bookmarkEnd w:id="121"/>
      <w:bookmarkEnd w:id="122"/>
      <w:bookmarkEnd w:id="123"/>
      <w:bookmarkEnd w:id="124"/>
      <w:bookmarkEnd w:id="125"/>
      <w:bookmarkEnd w:id="126"/>
    </w:p>
    <w:p w:rsidR="00BC4DE2" w:rsidRDefault="00D442DD" w:rsidP="001742AC">
      <w:pPr>
        <w:spacing w:before="120" w:line="220" w:lineRule="atLeast"/>
        <w:rPr>
          <w:rFonts w:cs="Arial"/>
        </w:rPr>
      </w:pPr>
      <w:r>
        <w:rPr>
          <w:rFonts w:cs="Arial"/>
        </w:rPr>
        <w:t xml:space="preserve">To </w:t>
      </w:r>
      <w:proofErr w:type="gramStart"/>
      <w:r>
        <w:rPr>
          <w:rFonts w:cs="Arial"/>
        </w:rPr>
        <w:t>be legally used</w:t>
      </w:r>
      <w:proofErr w:type="gramEnd"/>
      <w:r>
        <w:rPr>
          <w:rFonts w:cs="Arial"/>
        </w:rPr>
        <w:t xml:space="preserve"> on public streets, a</w:t>
      </w:r>
      <w:r w:rsidR="00F312C1">
        <w:rPr>
          <w:rFonts w:cs="Arial"/>
        </w:rPr>
        <w:t xml:space="preserve">ll </w:t>
      </w:r>
      <w:r w:rsidR="001742AC">
        <w:rPr>
          <w:rFonts w:cs="Arial"/>
        </w:rPr>
        <w:t xml:space="preserve">State and </w:t>
      </w:r>
      <w:r w:rsidR="00F312C1">
        <w:rPr>
          <w:rFonts w:cs="Arial"/>
        </w:rPr>
        <w:t>T</w:t>
      </w:r>
      <w:r w:rsidR="001742AC">
        <w:rPr>
          <w:rFonts w:cs="Arial"/>
        </w:rPr>
        <w:t xml:space="preserve">erritory road rules </w:t>
      </w:r>
      <w:r w:rsidR="00832100">
        <w:rPr>
          <w:rFonts w:cs="Arial"/>
        </w:rPr>
        <w:t>require</w:t>
      </w:r>
      <w:r w:rsidR="00F312C1">
        <w:rPr>
          <w:rFonts w:cs="Arial"/>
        </w:rPr>
        <w:t xml:space="preserve"> bicycles</w:t>
      </w:r>
      <w:r w:rsidR="00832100">
        <w:rPr>
          <w:rFonts w:cs="Arial"/>
        </w:rPr>
        <w:t xml:space="preserve"> to</w:t>
      </w:r>
      <w:r w:rsidR="00690155">
        <w:rPr>
          <w:rFonts w:cs="Arial"/>
        </w:rPr>
        <w:t xml:space="preserve"> have a brake, reflectors and bell</w:t>
      </w:r>
      <w:r w:rsidR="00F312C1">
        <w:rPr>
          <w:rFonts w:cs="Arial"/>
        </w:rPr>
        <w:t>.</w:t>
      </w:r>
      <w:r w:rsidR="007C0FE4">
        <w:rPr>
          <w:rFonts w:cs="Arial"/>
        </w:rPr>
        <w:t xml:space="preserve"> </w:t>
      </w:r>
      <w:r w:rsidR="001742AC">
        <w:rPr>
          <w:rFonts w:cs="Arial"/>
        </w:rPr>
        <w:t xml:space="preserve">Western Australia has </w:t>
      </w:r>
      <w:r w:rsidR="00F312C1">
        <w:rPr>
          <w:rFonts w:cs="Arial"/>
        </w:rPr>
        <w:t xml:space="preserve">additional </w:t>
      </w:r>
      <w:r w:rsidR="001742AC">
        <w:rPr>
          <w:rFonts w:cs="Arial"/>
        </w:rPr>
        <w:t>requirements</w:t>
      </w:r>
      <w:r w:rsidR="00832100">
        <w:rPr>
          <w:rFonts w:cs="Arial"/>
        </w:rPr>
        <w:t xml:space="preserve"> (</w:t>
      </w:r>
      <w:r w:rsidR="00F312C1">
        <w:rPr>
          <w:rFonts w:cs="Arial"/>
        </w:rPr>
        <w:t>Table 1</w:t>
      </w:r>
      <w:r w:rsidR="00832100">
        <w:rPr>
          <w:rFonts w:cs="Arial"/>
        </w:rPr>
        <w:t>)</w:t>
      </w:r>
      <w:r w:rsidR="00EB74B6">
        <w:rPr>
          <w:rFonts w:cs="Arial"/>
        </w:rPr>
        <w:t xml:space="preserve">. </w:t>
      </w:r>
      <w:r w:rsidR="008B41B9">
        <w:rPr>
          <w:rFonts w:cs="Arial"/>
        </w:rPr>
        <w:t xml:space="preserve">The road rules for bicycles do not require brakes to </w:t>
      </w:r>
      <w:proofErr w:type="gramStart"/>
      <w:r w:rsidR="008B41B9">
        <w:rPr>
          <w:rFonts w:cs="Arial"/>
        </w:rPr>
        <w:t>be tested</w:t>
      </w:r>
      <w:proofErr w:type="gramEnd"/>
      <w:r w:rsidR="008B41B9">
        <w:rPr>
          <w:rFonts w:cs="Arial"/>
        </w:rPr>
        <w:t xml:space="preserve"> against specific performance requirements; they just need to be effective.</w:t>
      </w:r>
      <w:r w:rsidR="00607B61">
        <w:rPr>
          <w:rFonts w:cs="Arial"/>
        </w:rPr>
        <w:t xml:space="preserve"> The mandatory safety standard addresses this gap by prescribing test methods for brake performance.</w:t>
      </w:r>
    </w:p>
    <w:p w:rsidR="001742AC" w:rsidRPr="00802B61" w:rsidRDefault="00BC4DE2" w:rsidP="00ED2A8A">
      <w:pPr>
        <w:spacing w:after="120"/>
        <w:rPr>
          <w:rFonts w:cs="Arial"/>
          <w:b/>
          <w:sz w:val="20"/>
          <w:szCs w:val="20"/>
        </w:rPr>
      </w:pPr>
      <w:r w:rsidRPr="00802B61">
        <w:rPr>
          <w:rFonts w:cs="Arial"/>
          <w:b/>
          <w:sz w:val="20"/>
          <w:szCs w:val="20"/>
        </w:rPr>
        <w:t xml:space="preserve">Table 1: Comparison of </w:t>
      </w:r>
      <w:r w:rsidR="00E35178" w:rsidRPr="00802B61">
        <w:rPr>
          <w:rFonts w:cs="Arial"/>
          <w:b/>
          <w:sz w:val="20"/>
          <w:szCs w:val="20"/>
        </w:rPr>
        <w:t>State and Territory road rules for bicycles</w:t>
      </w:r>
    </w:p>
    <w:tbl>
      <w:tblPr>
        <w:tblW w:w="8640" w:type="dxa"/>
        <w:tblInd w:w="93" w:type="dxa"/>
        <w:tblLook w:val="04A0" w:firstRow="1" w:lastRow="0" w:firstColumn="1" w:lastColumn="0" w:noHBand="0" w:noVBand="1"/>
      </w:tblPr>
      <w:tblGrid>
        <w:gridCol w:w="960"/>
        <w:gridCol w:w="960"/>
        <w:gridCol w:w="960"/>
        <w:gridCol w:w="960"/>
        <w:gridCol w:w="960"/>
        <w:gridCol w:w="960"/>
        <w:gridCol w:w="960"/>
        <w:gridCol w:w="960"/>
        <w:gridCol w:w="960"/>
      </w:tblGrid>
      <w:tr w:rsidR="00EB74B6" w:rsidRPr="00BE1C3D" w:rsidTr="004911CD">
        <w:trPr>
          <w:trHeight w:val="480"/>
        </w:trPr>
        <w:tc>
          <w:tcPr>
            <w:tcW w:w="960" w:type="dxa"/>
            <w:tcBorders>
              <w:top w:val="nil"/>
              <w:left w:val="nil"/>
              <w:bottom w:val="nil"/>
              <w:right w:val="nil"/>
            </w:tcBorders>
            <w:shd w:val="clear" w:color="auto" w:fill="auto"/>
            <w:noWrap/>
            <w:vAlign w:val="bottom"/>
            <w:hideMark/>
          </w:tcPr>
          <w:p w:rsidR="00EB74B6" w:rsidRPr="00BE1C3D" w:rsidRDefault="00EB74B6" w:rsidP="004911CD">
            <w:pPr>
              <w:spacing w:before="0"/>
              <w:rPr>
                <w:rFonts w:ascii="Calibri" w:eastAsia="Times New Roman" w:hAnsi="Calibri" w:cs="Times New Roman"/>
                <w:color w:val="000000"/>
                <w:lang w:eastAsia="en-AU"/>
              </w:rPr>
            </w:pPr>
          </w:p>
        </w:tc>
        <w:tc>
          <w:tcPr>
            <w:tcW w:w="7680" w:type="dxa"/>
            <w:gridSpan w:val="8"/>
            <w:tcBorders>
              <w:top w:val="single" w:sz="12" w:space="0" w:color="auto"/>
              <w:left w:val="single" w:sz="12" w:space="0" w:color="auto"/>
              <w:bottom w:val="single" w:sz="12" w:space="0" w:color="auto"/>
              <w:right w:val="single" w:sz="12" w:space="0" w:color="000000"/>
            </w:tcBorders>
            <w:shd w:val="clear" w:color="000000" w:fill="DACDED"/>
            <w:vAlign w:val="center"/>
            <w:hideMark/>
          </w:tcPr>
          <w:p w:rsidR="00EB74B6" w:rsidRPr="00BE1C3D" w:rsidRDefault="00EB74B6" w:rsidP="004911CD">
            <w:pPr>
              <w:spacing w:before="0"/>
              <w:jc w:val="center"/>
              <w:rPr>
                <w:rFonts w:eastAsia="Times New Roman" w:cs="Arial"/>
                <w:b/>
                <w:bCs/>
                <w:color w:val="000000"/>
                <w:sz w:val="16"/>
                <w:szCs w:val="16"/>
                <w:lang w:eastAsia="en-AU"/>
              </w:rPr>
            </w:pPr>
            <w:r w:rsidRPr="00BE1C3D">
              <w:rPr>
                <w:rFonts w:eastAsia="Times New Roman" w:cs="Arial"/>
                <w:b/>
                <w:bCs/>
                <w:color w:val="000000"/>
                <w:sz w:val="16"/>
                <w:szCs w:val="16"/>
                <w:lang w:eastAsia="en-AU"/>
              </w:rPr>
              <w:t>Road rules</w:t>
            </w:r>
          </w:p>
        </w:tc>
      </w:tr>
      <w:tr w:rsidR="00EB74B6" w:rsidRPr="00BE1C3D" w:rsidTr="003F308A">
        <w:trPr>
          <w:trHeight w:val="479"/>
        </w:trPr>
        <w:tc>
          <w:tcPr>
            <w:tcW w:w="960" w:type="dxa"/>
            <w:tcBorders>
              <w:top w:val="nil"/>
              <w:left w:val="nil"/>
              <w:bottom w:val="nil"/>
              <w:right w:val="nil"/>
            </w:tcBorders>
            <w:shd w:val="clear" w:color="auto" w:fill="auto"/>
            <w:textDirection w:val="btLr"/>
            <w:vAlign w:val="center"/>
            <w:hideMark/>
          </w:tcPr>
          <w:p w:rsidR="00EB74B6" w:rsidRPr="00BE1C3D" w:rsidRDefault="00EB74B6" w:rsidP="004911CD">
            <w:pPr>
              <w:spacing w:before="0"/>
              <w:jc w:val="center"/>
              <w:rPr>
                <w:rFonts w:eastAsia="Times New Roman" w:cs="Arial"/>
                <w:b/>
                <w:bCs/>
                <w:color w:val="000000"/>
                <w:sz w:val="16"/>
                <w:szCs w:val="16"/>
                <w:lang w:eastAsia="en-AU"/>
              </w:rPr>
            </w:pPr>
          </w:p>
        </w:tc>
        <w:tc>
          <w:tcPr>
            <w:tcW w:w="1920" w:type="dxa"/>
            <w:gridSpan w:val="2"/>
            <w:tcBorders>
              <w:top w:val="single" w:sz="12" w:space="0" w:color="auto"/>
              <w:left w:val="single" w:sz="12" w:space="0" w:color="auto"/>
              <w:bottom w:val="nil"/>
              <w:right w:val="single" w:sz="12" w:space="0" w:color="000000"/>
            </w:tcBorders>
            <w:shd w:val="clear" w:color="000000" w:fill="DACDED"/>
            <w:vAlign w:val="center"/>
            <w:hideMark/>
          </w:tcPr>
          <w:p w:rsidR="00EB74B6" w:rsidRPr="00BE1C3D" w:rsidRDefault="00EB74B6" w:rsidP="004911CD">
            <w:pPr>
              <w:spacing w:before="0"/>
              <w:jc w:val="center"/>
              <w:rPr>
                <w:rFonts w:eastAsia="Times New Roman" w:cs="Arial"/>
                <w:b/>
                <w:bCs/>
                <w:color w:val="000000"/>
                <w:sz w:val="16"/>
                <w:szCs w:val="16"/>
                <w:lang w:eastAsia="en-AU"/>
              </w:rPr>
            </w:pPr>
            <w:r w:rsidRPr="00BE1C3D">
              <w:rPr>
                <w:rFonts w:eastAsia="Times New Roman" w:cs="Arial"/>
                <w:b/>
                <w:bCs/>
                <w:color w:val="000000"/>
                <w:sz w:val="16"/>
                <w:szCs w:val="16"/>
                <w:lang w:eastAsia="en-AU"/>
              </w:rPr>
              <w:t>Brakes</w:t>
            </w:r>
          </w:p>
        </w:tc>
        <w:tc>
          <w:tcPr>
            <w:tcW w:w="4800" w:type="dxa"/>
            <w:gridSpan w:val="5"/>
            <w:tcBorders>
              <w:top w:val="single" w:sz="12" w:space="0" w:color="auto"/>
              <w:left w:val="nil"/>
              <w:bottom w:val="nil"/>
              <w:right w:val="single" w:sz="12" w:space="0" w:color="000000"/>
            </w:tcBorders>
            <w:shd w:val="clear" w:color="000000" w:fill="DACDED"/>
            <w:vAlign w:val="center"/>
            <w:hideMark/>
          </w:tcPr>
          <w:p w:rsidR="00EB74B6" w:rsidRPr="00BE1C3D" w:rsidRDefault="00EB74B6" w:rsidP="004911CD">
            <w:pPr>
              <w:spacing w:before="0"/>
              <w:jc w:val="center"/>
              <w:rPr>
                <w:rFonts w:eastAsia="Times New Roman" w:cs="Arial"/>
                <w:b/>
                <w:bCs/>
                <w:color w:val="000000"/>
                <w:sz w:val="16"/>
                <w:szCs w:val="16"/>
                <w:lang w:eastAsia="en-AU"/>
              </w:rPr>
            </w:pPr>
            <w:r w:rsidRPr="00BE1C3D">
              <w:rPr>
                <w:rFonts w:eastAsia="Times New Roman" w:cs="Arial"/>
                <w:b/>
                <w:bCs/>
                <w:color w:val="000000"/>
                <w:sz w:val="16"/>
                <w:szCs w:val="16"/>
                <w:lang w:eastAsia="en-AU"/>
              </w:rPr>
              <w:t>Reflectors</w:t>
            </w:r>
          </w:p>
        </w:tc>
        <w:tc>
          <w:tcPr>
            <w:tcW w:w="960" w:type="dxa"/>
            <w:tcBorders>
              <w:top w:val="nil"/>
              <w:left w:val="nil"/>
              <w:bottom w:val="nil"/>
              <w:right w:val="single" w:sz="12" w:space="0" w:color="auto"/>
            </w:tcBorders>
            <w:shd w:val="clear" w:color="000000" w:fill="DACDED"/>
            <w:vAlign w:val="center"/>
            <w:hideMark/>
          </w:tcPr>
          <w:p w:rsidR="00EB74B6" w:rsidRPr="00BE1C3D" w:rsidRDefault="00EB74B6" w:rsidP="004911CD">
            <w:pPr>
              <w:spacing w:before="0"/>
              <w:jc w:val="center"/>
              <w:rPr>
                <w:rFonts w:eastAsia="Times New Roman" w:cs="Arial"/>
                <w:b/>
                <w:bCs/>
                <w:color w:val="000000"/>
                <w:sz w:val="16"/>
                <w:szCs w:val="16"/>
                <w:lang w:eastAsia="en-AU"/>
              </w:rPr>
            </w:pPr>
            <w:r w:rsidRPr="00BE1C3D">
              <w:rPr>
                <w:rFonts w:eastAsia="Times New Roman" w:cs="Arial"/>
                <w:b/>
                <w:bCs/>
                <w:color w:val="000000"/>
                <w:sz w:val="16"/>
                <w:szCs w:val="16"/>
                <w:lang w:eastAsia="en-AU"/>
              </w:rPr>
              <w:t>Bell</w:t>
            </w:r>
          </w:p>
        </w:tc>
      </w:tr>
      <w:tr w:rsidR="00EB74B6" w:rsidRPr="00BE1C3D" w:rsidTr="004911CD">
        <w:trPr>
          <w:trHeight w:val="705"/>
        </w:trPr>
        <w:tc>
          <w:tcPr>
            <w:tcW w:w="960" w:type="dxa"/>
            <w:tcBorders>
              <w:top w:val="nil"/>
              <w:left w:val="nil"/>
              <w:bottom w:val="nil"/>
              <w:right w:val="nil"/>
            </w:tcBorders>
            <w:shd w:val="clear" w:color="auto" w:fill="auto"/>
            <w:textDirection w:val="btLr"/>
            <w:vAlign w:val="center"/>
            <w:hideMark/>
          </w:tcPr>
          <w:p w:rsidR="00EB74B6" w:rsidRPr="00BE1C3D" w:rsidRDefault="00EB74B6" w:rsidP="004911CD">
            <w:pPr>
              <w:spacing w:before="0"/>
              <w:jc w:val="center"/>
              <w:rPr>
                <w:rFonts w:eastAsia="Times New Roman" w:cs="Arial"/>
                <w:b/>
                <w:bCs/>
                <w:color w:val="000000"/>
                <w:sz w:val="16"/>
                <w:szCs w:val="16"/>
                <w:lang w:eastAsia="en-AU"/>
              </w:rPr>
            </w:pPr>
          </w:p>
        </w:tc>
        <w:tc>
          <w:tcPr>
            <w:tcW w:w="960" w:type="dxa"/>
            <w:tcBorders>
              <w:top w:val="nil"/>
              <w:left w:val="single" w:sz="12" w:space="0" w:color="auto"/>
              <w:bottom w:val="nil"/>
              <w:right w:val="single" w:sz="12" w:space="0" w:color="auto"/>
            </w:tcBorders>
            <w:shd w:val="clear" w:color="000000" w:fill="DACDED"/>
            <w:textDirection w:val="btLr"/>
            <w:vAlign w:val="center"/>
            <w:hideMark/>
          </w:tcPr>
          <w:p w:rsidR="00EB74B6" w:rsidRPr="00BE1C3D" w:rsidRDefault="00EB74B6" w:rsidP="004911CD">
            <w:pPr>
              <w:spacing w:before="0"/>
              <w:jc w:val="center"/>
              <w:rPr>
                <w:rFonts w:eastAsia="Times New Roman" w:cs="Arial"/>
                <w:color w:val="000000"/>
                <w:sz w:val="16"/>
                <w:szCs w:val="16"/>
                <w:lang w:eastAsia="en-AU"/>
              </w:rPr>
            </w:pPr>
            <w:r w:rsidRPr="00BE1C3D">
              <w:rPr>
                <w:rFonts w:eastAsia="Times New Roman" w:cs="Arial"/>
                <w:color w:val="000000"/>
                <w:sz w:val="16"/>
                <w:szCs w:val="16"/>
                <w:lang w:eastAsia="en-AU"/>
              </w:rPr>
              <w:t>Aust</w:t>
            </w:r>
            <w:r>
              <w:rPr>
                <w:rFonts w:eastAsia="Times New Roman" w:cs="Arial"/>
                <w:color w:val="000000"/>
                <w:sz w:val="16"/>
                <w:szCs w:val="16"/>
                <w:lang w:eastAsia="en-AU"/>
              </w:rPr>
              <w:t>ralia</w:t>
            </w:r>
          </w:p>
        </w:tc>
        <w:tc>
          <w:tcPr>
            <w:tcW w:w="960" w:type="dxa"/>
            <w:tcBorders>
              <w:top w:val="nil"/>
              <w:left w:val="nil"/>
              <w:bottom w:val="nil"/>
              <w:right w:val="single" w:sz="12" w:space="0" w:color="auto"/>
            </w:tcBorders>
            <w:shd w:val="clear" w:color="000000" w:fill="DACDED"/>
            <w:textDirection w:val="btLr"/>
            <w:vAlign w:val="center"/>
            <w:hideMark/>
          </w:tcPr>
          <w:p w:rsidR="00EB74B6" w:rsidRPr="00BE1C3D" w:rsidRDefault="00EB74B6" w:rsidP="004911CD">
            <w:pPr>
              <w:spacing w:before="0"/>
              <w:jc w:val="center"/>
              <w:rPr>
                <w:rFonts w:eastAsia="Times New Roman" w:cs="Arial"/>
                <w:color w:val="000000"/>
                <w:sz w:val="16"/>
                <w:szCs w:val="16"/>
                <w:lang w:eastAsia="en-AU"/>
              </w:rPr>
            </w:pPr>
            <w:r w:rsidRPr="00BE1C3D">
              <w:rPr>
                <w:rFonts w:eastAsia="Times New Roman" w:cs="Arial"/>
                <w:color w:val="000000"/>
                <w:sz w:val="16"/>
                <w:szCs w:val="16"/>
                <w:lang w:eastAsia="en-AU"/>
              </w:rPr>
              <w:t>WA</w:t>
            </w:r>
          </w:p>
        </w:tc>
        <w:tc>
          <w:tcPr>
            <w:tcW w:w="960" w:type="dxa"/>
            <w:tcBorders>
              <w:top w:val="nil"/>
              <w:left w:val="nil"/>
              <w:bottom w:val="nil"/>
              <w:right w:val="single" w:sz="12" w:space="0" w:color="auto"/>
            </w:tcBorders>
            <w:shd w:val="clear" w:color="000000" w:fill="DACDED"/>
            <w:textDirection w:val="btLr"/>
            <w:vAlign w:val="center"/>
            <w:hideMark/>
          </w:tcPr>
          <w:p w:rsidR="00EB74B6" w:rsidRPr="00BE1C3D" w:rsidRDefault="00EB74B6" w:rsidP="004911CD">
            <w:pPr>
              <w:spacing w:before="0"/>
              <w:jc w:val="center"/>
              <w:rPr>
                <w:rFonts w:eastAsia="Times New Roman" w:cs="Arial"/>
                <w:color w:val="000000"/>
                <w:sz w:val="16"/>
                <w:szCs w:val="16"/>
                <w:lang w:eastAsia="en-AU"/>
              </w:rPr>
            </w:pPr>
            <w:r w:rsidRPr="00BE1C3D">
              <w:rPr>
                <w:rFonts w:eastAsia="Times New Roman" w:cs="Arial"/>
                <w:color w:val="000000"/>
                <w:sz w:val="16"/>
                <w:szCs w:val="16"/>
                <w:lang w:eastAsia="en-AU"/>
              </w:rPr>
              <w:t>Aust</w:t>
            </w:r>
            <w:r>
              <w:rPr>
                <w:rFonts w:eastAsia="Times New Roman" w:cs="Arial"/>
                <w:color w:val="000000"/>
                <w:sz w:val="16"/>
                <w:szCs w:val="16"/>
                <w:lang w:eastAsia="en-AU"/>
              </w:rPr>
              <w:t>ralia</w:t>
            </w:r>
          </w:p>
        </w:tc>
        <w:tc>
          <w:tcPr>
            <w:tcW w:w="3840" w:type="dxa"/>
            <w:gridSpan w:val="4"/>
            <w:tcBorders>
              <w:top w:val="nil"/>
              <w:left w:val="nil"/>
              <w:bottom w:val="nil"/>
              <w:right w:val="single" w:sz="12" w:space="0" w:color="000000"/>
            </w:tcBorders>
            <w:shd w:val="clear" w:color="000000" w:fill="DACDED"/>
            <w:textDirection w:val="btLr"/>
            <w:vAlign w:val="center"/>
            <w:hideMark/>
          </w:tcPr>
          <w:p w:rsidR="00EB74B6" w:rsidRPr="00BE1C3D" w:rsidRDefault="00EB74B6" w:rsidP="004911CD">
            <w:pPr>
              <w:spacing w:before="0"/>
              <w:jc w:val="center"/>
              <w:rPr>
                <w:rFonts w:eastAsia="Times New Roman" w:cs="Arial"/>
                <w:color w:val="000000"/>
                <w:sz w:val="16"/>
                <w:szCs w:val="16"/>
                <w:lang w:eastAsia="en-AU"/>
              </w:rPr>
            </w:pPr>
            <w:r w:rsidRPr="00BE1C3D">
              <w:rPr>
                <w:rFonts w:eastAsia="Times New Roman" w:cs="Arial"/>
                <w:color w:val="000000"/>
                <w:sz w:val="16"/>
                <w:szCs w:val="16"/>
                <w:lang w:eastAsia="en-AU"/>
              </w:rPr>
              <w:t>WA</w:t>
            </w:r>
          </w:p>
        </w:tc>
        <w:tc>
          <w:tcPr>
            <w:tcW w:w="960" w:type="dxa"/>
            <w:tcBorders>
              <w:top w:val="nil"/>
              <w:left w:val="nil"/>
              <w:bottom w:val="nil"/>
              <w:right w:val="single" w:sz="12" w:space="0" w:color="auto"/>
            </w:tcBorders>
            <w:shd w:val="clear" w:color="000000" w:fill="DACDED"/>
            <w:textDirection w:val="btLr"/>
            <w:vAlign w:val="center"/>
            <w:hideMark/>
          </w:tcPr>
          <w:p w:rsidR="00EB74B6" w:rsidRPr="00BE1C3D" w:rsidRDefault="00EB74B6" w:rsidP="004911CD">
            <w:pPr>
              <w:spacing w:before="0"/>
              <w:jc w:val="center"/>
              <w:rPr>
                <w:rFonts w:eastAsia="Times New Roman" w:cs="Arial"/>
                <w:color w:val="000000"/>
                <w:sz w:val="16"/>
                <w:szCs w:val="16"/>
                <w:lang w:eastAsia="en-AU"/>
              </w:rPr>
            </w:pPr>
            <w:r w:rsidRPr="00BE1C3D">
              <w:rPr>
                <w:rFonts w:eastAsia="Times New Roman" w:cs="Arial"/>
                <w:color w:val="000000"/>
                <w:sz w:val="16"/>
                <w:szCs w:val="16"/>
                <w:lang w:eastAsia="en-AU"/>
              </w:rPr>
              <w:t>Aust</w:t>
            </w:r>
            <w:r>
              <w:rPr>
                <w:rFonts w:eastAsia="Times New Roman" w:cs="Arial"/>
                <w:color w:val="000000"/>
                <w:sz w:val="16"/>
                <w:szCs w:val="16"/>
                <w:lang w:eastAsia="en-AU"/>
              </w:rPr>
              <w:t>ralia &amp;</w:t>
            </w:r>
            <w:r w:rsidRPr="00BE1C3D">
              <w:rPr>
                <w:rFonts w:eastAsia="Times New Roman" w:cs="Arial"/>
                <w:color w:val="000000"/>
                <w:sz w:val="16"/>
                <w:szCs w:val="16"/>
                <w:lang w:eastAsia="en-AU"/>
              </w:rPr>
              <w:t xml:space="preserve"> WA</w:t>
            </w:r>
          </w:p>
        </w:tc>
      </w:tr>
      <w:tr w:rsidR="00EB74B6" w:rsidRPr="00BE1C3D" w:rsidTr="003F308A">
        <w:trPr>
          <w:trHeight w:val="1379"/>
        </w:trPr>
        <w:tc>
          <w:tcPr>
            <w:tcW w:w="960" w:type="dxa"/>
            <w:tcBorders>
              <w:top w:val="single" w:sz="12" w:space="0" w:color="auto"/>
              <w:left w:val="single" w:sz="12" w:space="0" w:color="auto"/>
              <w:bottom w:val="single" w:sz="12" w:space="0" w:color="auto"/>
              <w:right w:val="single" w:sz="12" w:space="0" w:color="auto"/>
            </w:tcBorders>
            <w:shd w:val="clear" w:color="000000" w:fill="DACDED"/>
            <w:textDirection w:val="btLr"/>
            <w:vAlign w:val="center"/>
            <w:hideMark/>
          </w:tcPr>
          <w:p w:rsidR="00EB74B6" w:rsidRPr="00BE1C3D" w:rsidRDefault="00EB74B6" w:rsidP="004911CD">
            <w:pPr>
              <w:spacing w:before="0"/>
              <w:jc w:val="center"/>
              <w:rPr>
                <w:rFonts w:eastAsia="Times New Roman" w:cs="Arial"/>
                <w:b/>
                <w:bCs/>
                <w:color w:val="000000"/>
                <w:sz w:val="16"/>
                <w:szCs w:val="16"/>
                <w:lang w:eastAsia="en-AU"/>
              </w:rPr>
            </w:pPr>
            <w:r w:rsidRPr="00BE1C3D">
              <w:rPr>
                <w:rFonts w:eastAsia="Times New Roman" w:cs="Arial"/>
                <w:b/>
                <w:bCs/>
                <w:color w:val="000000"/>
                <w:sz w:val="16"/>
                <w:szCs w:val="16"/>
                <w:lang w:eastAsia="en-AU"/>
              </w:rPr>
              <w:t>Requirement</w:t>
            </w:r>
          </w:p>
        </w:tc>
        <w:tc>
          <w:tcPr>
            <w:tcW w:w="960" w:type="dxa"/>
            <w:tcBorders>
              <w:top w:val="nil"/>
              <w:left w:val="nil"/>
              <w:bottom w:val="nil"/>
              <w:right w:val="single" w:sz="12" w:space="0" w:color="auto"/>
            </w:tcBorders>
            <w:shd w:val="clear" w:color="auto" w:fill="auto"/>
            <w:vAlign w:val="center"/>
            <w:hideMark/>
          </w:tcPr>
          <w:p w:rsidR="00EB74B6" w:rsidRPr="00BE1C3D" w:rsidRDefault="00EB74B6" w:rsidP="004911CD">
            <w:pPr>
              <w:spacing w:before="0"/>
              <w:rPr>
                <w:rFonts w:eastAsia="Times New Roman" w:cs="Arial"/>
                <w:color w:val="000000"/>
                <w:sz w:val="16"/>
                <w:szCs w:val="16"/>
                <w:lang w:eastAsia="en-AU"/>
              </w:rPr>
            </w:pPr>
            <w:r>
              <w:rPr>
                <w:rFonts w:eastAsia="Times New Roman" w:cs="Arial"/>
                <w:color w:val="000000"/>
                <w:sz w:val="16"/>
                <w:szCs w:val="16"/>
                <w:lang w:eastAsia="en-AU"/>
              </w:rPr>
              <w:t>One</w:t>
            </w:r>
            <w:r w:rsidRPr="00BE1C3D">
              <w:rPr>
                <w:rFonts w:eastAsia="Times New Roman" w:cs="Arial"/>
                <w:color w:val="000000"/>
                <w:sz w:val="16"/>
                <w:szCs w:val="16"/>
                <w:lang w:eastAsia="en-AU"/>
              </w:rPr>
              <w:t xml:space="preserve"> brake - front or rear</w:t>
            </w:r>
          </w:p>
        </w:tc>
        <w:tc>
          <w:tcPr>
            <w:tcW w:w="960" w:type="dxa"/>
            <w:tcBorders>
              <w:top w:val="nil"/>
              <w:left w:val="nil"/>
              <w:bottom w:val="nil"/>
              <w:right w:val="single" w:sz="12" w:space="0" w:color="auto"/>
            </w:tcBorders>
            <w:shd w:val="clear" w:color="auto" w:fill="auto"/>
            <w:vAlign w:val="center"/>
            <w:hideMark/>
          </w:tcPr>
          <w:p w:rsidR="00EB74B6" w:rsidRPr="00BE1C3D" w:rsidRDefault="00EB74B6" w:rsidP="004911CD">
            <w:pPr>
              <w:spacing w:before="0"/>
              <w:rPr>
                <w:rFonts w:eastAsia="Times New Roman" w:cs="Arial"/>
                <w:color w:val="000000"/>
                <w:sz w:val="16"/>
                <w:szCs w:val="16"/>
                <w:lang w:eastAsia="en-AU"/>
              </w:rPr>
            </w:pPr>
            <w:r>
              <w:rPr>
                <w:rFonts w:eastAsia="Times New Roman" w:cs="Arial"/>
                <w:color w:val="000000"/>
                <w:sz w:val="16"/>
                <w:szCs w:val="16"/>
                <w:lang w:eastAsia="en-AU"/>
              </w:rPr>
              <w:t>One</w:t>
            </w:r>
            <w:r w:rsidRPr="00BE1C3D">
              <w:rPr>
                <w:rFonts w:eastAsia="Times New Roman" w:cs="Arial"/>
                <w:color w:val="000000"/>
                <w:sz w:val="16"/>
                <w:szCs w:val="16"/>
                <w:lang w:eastAsia="en-AU"/>
              </w:rPr>
              <w:t xml:space="preserve"> brake – rear</w:t>
            </w:r>
          </w:p>
        </w:tc>
        <w:tc>
          <w:tcPr>
            <w:tcW w:w="960" w:type="dxa"/>
            <w:tcBorders>
              <w:top w:val="nil"/>
              <w:left w:val="nil"/>
              <w:bottom w:val="nil"/>
              <w:right w:val="single" w:sz="12" w:space="0" w:color="auto"/>
            </w:tcBorders>
            <w:shd w:val="clear" w:color="auto" w:fill="auto"/>
            <w:vAlign w:val="center"/>
            <w:hideMark/>
          </w:tcPr>
          <w:p w:rsidR="00EB74B6" w:rsidRPr="00BE1C3D" w:rsidRDefault="00EB74B6" w:rsidP="004911CD">
            <w:pPr>
              <w:spacing w:before="0"/>
              <w:rPr>
                <w:rFonts w:eastAsia="Times New Roman" w:cs="Arial"/>
                <w:color w:val="000000"/>
                <w:sz w:val="16"/>
                <w:szCs w:val="16"/>
                <w:lang w:eastAsia="en-AU"/>
              </w:rPr>
            </w:pPr>
            <w:r w:rsidRPr="00BE1C3D">
              <w:rPr>
                <w:rFonts w:eastAsia="Times New Roman" w:cs="Arial"/>
                <w:color w:val="000000"/>
                <w:sz w:val="16"/>
                <w:szCs w:val="16"/>
                <w:lang w:eastAsia="en-AU"/>
              </w:rPr>
              <w:t xml:space="preserve">Rear </w:t>
            </w:r>
          </w:p>
        </w:tc>
        <w:tc>
          <w:tcPr>
            <w:tcW w:w="960" w:type="dxa"/>
            <w:tcBorders>
              <w:top w:val="nil"/>
              <w:left w:val="nil"/>
              <w:bottom w:val="nil"/>
              <w:right w:val="nil"/>
            </w:tcBorders>
            <w:shd w:val="clear" w:color="auto" w:fill="auto"/>
            <w:vAlign w:val="center"/>
            <w:hideMark/>
          </w:tcPr>
          <w:p w:rsidR="00EB74B6" w:rsidRPr="00BE1C3D" w:rsidRDefault="00EB74B6" w:rsidP="004911CD">
            <w:pPr>
              <w:spacing w:before="0"/>
              <w:rPr>
                <w:rFonts w:eastAsia="Times New Roman" w:cs="Arial"/>
                <w:color w:val="000000"/>
                <w:sz w:val="16"/>
                <w:szCs w:val="16"/>
                <w:lang w:eastAsia="en-AU"/>
              </w:rPr>
            </w:pPr>
            <w:r w:rsidRPr="00BE1C3D">
              <w:rPr>
                <w:rFonts w:eastAsia="Times New Roman" w:cs="Arial"/>
                <w:color w:val="000000"/>
                <w:sz w:val="16"/>
                <w:szCs w:val="16"/>
                <w:lang w:eastAsia="en-AU"/>
              </w:rPr>
              <w:t xml:space="preserve">Rear </w:t>
            </w:r>
          </w:p>
        </w:tc>
        <w:tc>
          <w:tcPr>
            <w:tcW w:w="960" w:type="dxa"/>
            <w:tcBorders>
              <w:top w:val="nil"/>
              <w:left w:val="nil"/>
              <w:bottom w:val="nil"/>
              <w:right w:val="nil"/>
            </w:tcBorders>
            <w:shd w:val="clear" w:color="auto" w:fill="auto"/>
            <w:vAlign w:val="center"/>
            <w:hideMark/>
          </w:tcPr>
          <w:p w:rsidR="00EB74B6" w:rsidRPr="00BE1C3D" w:rsidRDefault="00EB74B6" w:rsidP="004911CD">
            <w:pPr>
              <w:spacing w:before="0"/>
              <w:rPr>
                <w:rFonts w:eastAsia="Times New Roman" w:cs="Arial"/>
                <w:color w:val="000000"/>
                <w:sz w:val="16"/>
                <w:szCs w:val="16"/>
                <w:lang w:eastAsia="en-AU"/>
              </w:rPr>
            </w:pPr>
            <w:r w:rsidRPr="00BE1C3D">
              <w:rPr>
                <w:rFonts w:eastAsia="Times New Roman" w:cs="Arial"/>
                <w:color w:val="000000"/>
                <w:sz w:val="16"/>
                <w:szCs w:val="16"/>
                <w:lang w:eastAsia="en-AU"/>
              </w:rPr>
              <w:t>Front</w:t>
            </w:r>
          </w:p>
        </w:tc>
        <w:tc>
          <w:tcPr>
            <w:tcW w:w="960" w:type="dxa"/>
            <w:tcBorders>
              <w:top w:val="nil"/>
              <w:left w:val="nil"/>
              <w:bottom w:val="nil"/>
              <w:right w:val="nil"/>
            </w:tcBorders>
            <w:shd w:val="clear" w:color="auto" w:fill="auto"/>
            <w:vAlign w:val="center"/>
            <w:hideMark/>
          </w:tcPr>
          <w:p w:rsidR="00EB74B6" w:rsidRPr="00BE1C3D" w:rsidRDefault="00EB74B6" w:rsidP="004911CD">
            <w:pPr>
              <w:spacing w:before="0"/>
              <w:rPr>
                <w:rFonts w:eastAsia="Times New Roman" w:cs="Arial"/>
                <w:color w:val="000000"/>
                <w:sz w:val="16"/>
                <w:szCs w:val="16"/>
                <w:lang w:eastAsia="en-AU"/>
              </w:rPr>
            </w:pPr>
            <w:r w:rsidRPr="00BE1C3D">
              <w:rPr>
                <w:rFonts w:eastAsia="Times New Roman" w:cs="Arial"/>
                <w:color w:val="000000"/>
                <w:sz w:val="16"/>
                <w:szCs w:val="16"/>
                <w:lang w:eastAsia="en-AU"/>
              </w:rPr>
              <w:t>Wheels</w:t>
            </w:r>
          </w:p>
        </w:tc>
        <w:tc>
          <w:tcPr>
            <w:tcW w:w="960" w:type="dxa"/>
            <w:tcBorders>
              <w:top w:val="nil"/>
              <w:left w:val="nil"/>
              <w:bottom w:val="nil"/>
              <w:right w:val="single" w:sz="12" w:space="0" w:color="auto"/>
            </w:tcBorders>
            <w:shd w:val="clear" w:color="auto" w:fill="auto"/>
            <w:vAlign w:val="center"/>
            <w:hideMark/>
          </w:tcPr>
          <w:p w:rsidR="00EB74B6" w:rsidRPr="00BE1C3D" w:rsidRDefault="00EB74B6" w:rsidP="004911CD">
            <w:pPr>
              <w:spacing w:before="0"/>
              <w:rPr>
                <w:rFonts w:eastAsia="Times New Roman" w:cs="Arial"/>
                <w:color w:val="000000"/>
                <w:sz w:val="16"/>
                <w:szCs w:val="16"/>
                <w:lang w:eastAsia="en-AU"/>
              </w:rPr>
            </w:pPr>
            <w:r w:rsidRPr="00BE1C3D">
              <w:rPr>
                <w:rFonts w:eastAsia="Times New Roman" w:cs="Arial"/>
                <w:color w:val="000000"/>
                <w:sz w:val="16"/>
                <w:szCs w:val="16"/>
                <w:lang w:eastAsia="en-AU"/>
              </w:rPr>
              <w:t>Pedals</w:t>
            </w:r>
          </w:p>
        </w:tc>
        <w:tc>
          <w:tcPr>
            <w:tcW w:w="960" w:type="dxa"/>
            <w:tcBorders>
              <w:top w:val="nil"/>
              <w:left w:val="nil"/>
              <w:bottom w:val="nil"/>
              <w:right w:val="single" w:sz="12" w:space="0" w:color="auto"/>
            </w:tcBorders>
            <w:shd w:val="clear" w:color="auto" w:fill="auto"/>
            <w:vAlign w:val="center"/>
            <w:hideMark/>
          </w:tcPr>
          <w:p w:rsidR="00EB74B6" w:rsidRPr="00BE1C3D" w:rsidRDefault="00EB74B6" w:rsidP="004911CD">
            <w:pPr>
              <w:spacing w:before="0"/>
              <w:rPr>
                <w:rFonts w:eastAsia="Times New Roman" w:cs="Arial"/>
                <w:color w:val="000000"/>
                <w:sz w:val="16"/>
                <w:szCs w:val="16"/>
                <w:lang w:eastAsia="en-AU"/>
              </w:rPr>
            </w:pPr>
            <w:r w:rsidRPr="00BE1C3D">
              <w:rPr>
                <w:rFonts w:eastAsia="Times New Roman" w:cs="Arial"/>
                <w:color w:val="000000"/>
                <w:sz w:val="16"/>
                <w:szCs w:val="16"/>
                <w:lang w:eastAsia="en-AU"/>
              </w:rPr>
              <w:t>Bell, horn or similar warning device</w:t>
            </w:r>
          </w:p>
        </w:tc>
      </w:tr>
      <w:tr w:rsidR="00EB74B6" w:rsidRPr="00BE1C3D" w:rsidTr="003F308A">
        <w:trPr>
          <w:trHeight w:val="1400"/>
        </w:trPr>
        <w:tc>
          <w:tcPr>
            <w:tcW w:w="960" w:type="dxa"/>
            <w:tcBorders>
              <w:top w:val="nil"/>
              <w:left w:val="single" w:sz="12" w:space="0" w:color="auto"/>
              <w:bottom w:val="single" w:sz="12" w:space="0" w:color="auto"/>
              <w:right w:val="single" w:sz="12" w:space="0" w:color="auto"/>
            </w:tcBorders>
            <w:shd w:val="clear" w:color="000000" w:fill="DACDED"/>
            <w:textDirection w:val="btLr"/>
            <w:vAlign w:val="center"/>
            <w:hideMark/>
          </w:tcPr>
          <w:p w:rsidR="00EB74B6" w:rsidRPr="00BE1C3D" w:rsidRDefault="00EB74B6" w:rsidP="004911CD">
            <w:pPr>
              <w:spacing w:before="0"/>
              <w:jc w:val="center"/>
              <w:rPr>
                <w:rFonts w:eastAsia="Times New Roman" w:cs="Arial"/>
                <w:b/>
                <w:bCs/>
                <w:color w:val="000000"/>
                <w:sz w:val="16"/>
                <w:szCs w:val="16"/>
                <w:lang w:eastAsia="en-AU"/>
              </w:rPr>
            </w:pPr>
            <w:r w:rsidRPr="00BE1C3D">
              <w:rPr>
                <w:rFonts w:eastAsia="Times New Roman" w:cs="Arial"/>
                <w:b/>
                <w:bCs/>
                <w:color w:val="000000"/>
                <w:sz w:val="16"/>
                <w:szCs w:val="16"/>
                <w:lang w:eastAsia="en-AU"/>
              </w:rPr>
              <w:t>Performance</w:t>
            </w:r>
          </w:p>
        </w:tc>
        <w:tc>
          <w:tcPr>
            <w:tcW w:w="960" w:type="dxa"/>
            <w:tcBorders>
              <w:top w:val="nil"/>
              <w:left w:val="nil"/>
              <w:bottom w:val="single" w:sz="12" w:space="0" w:color="auto"/>
              <w:right w:val="single" w:sz="12" w:space="0" w:color="auto"/>
            </w:tcBorders>
            <w:shd w:val="clear" w:color="auto" w:fill="auto"/>
            <w:vAlign w:val="center"/>
            <w:hideMark/>
          </w:tcPr>
          <w:p w:rsidR="00EB74B6" w:rsidRPr="00BE1C3D" w:rsidRDefault="00EB74B6" w:rsidP="004911CD">
            <w:pPr>
              <w:spacing w:before="0"/>
              <w:rPr>
                <w:rFonts w:eastAsia="Times New Roman" w:cs="Arial"/>
                <w:color w:val="000000"/>
                <w:sz w:val="16"/>
                <w:szCs w:val="16"/>
                <w:lang w:eastAsia="en-AU"/>
              </w:rPr>
            </w:pPr>
            <w:r w:rsidRPr="00BE1C3D">
              <w:rPr>
                <w:rFonts w:eastAsia="Times New Roman" w:cs="Arial"/>
                <w:color w:val="000000"/>
                <w:sz w:val="16"/>
                <w:szCs w:val="16"/>
                <w:lang w:eastAsia="en-AU"/>
              </w:rPr>
              <w:t>To be effective – no test</w:t>
            </w:r>
          </w:p>
        </w:tc>
        <w:tc>
          <w:tcPr>
            <w:tcW w:w="960" w:type="dxa"/>
            <w:tcBorders>
              <w:top w:val="nil"/>
              <w:left w:val="nil"/>
              <w:bottom w:val="single" w:sz="12" w:space="0" w:color="auto"/>
              <w:right w:val="single" w:sz="12" w:space="0" w:color="auto"/>
            </w:tcBorders>
            <w:shd w:val="clear" w:color="auto" w:fill="auto"/>
            <w:vAlign w:val="center"/>
            <w:hideMark/>
          </w:tcPr>
          <w:p w:rsidR="00EB74B6" w:rsidRPr="00BE1C3D" w:rsidRDefault="00EB74B6" w:rsidP="004911CD">
            <w:pPr>
              <w:spacing w:before="0"/>
              <w:rPr>
                <w:rFonts w:eastAsia="Times New Roman" w:cs="Arial"/>
                <w:color w:val="000000"/>
                <w:sz w:val="16"/>
                <w:szCs w:val="16"/>
                <w:lang w:eastAsia="en-AU"/>
              </w:rPr>
            </w:pPr>
            <w:r w:rsidRPr="00BE1C3D">
              <w:rPr>
                <w:rFonts w:eastAsia="Times New Roman" w:cs="Arial"/>
                <w:color w:val="000000"/>
                <w:sz w:val="16"/>
                <w:szCs w:val="16"/>
                <w:lang w:eastAsia="en-AU"/>
              </w:rPr>
              <w:t>To be effective – no test</w:t>
            </w:r>
          </w:p>
        </w:tc>
        <w:tc>
          <w:tcPr>
            <w:tcW w:w="960" w:type="dxa"/>
            <w:tcBorders>
              <w:top w:val="nil"/>
              <w:left w:val="nil"/>
              <w:bottom w:val="single" w:sz="12" w:space="0" w:color="auto"/>
              <w:right w:val="single" w:sz="12" w:space="0" w:color="auto"/>
            </w:tcBorders>
            <w:shd w:val="clear" w:color="auto" w:fill="auto"/>
            <w:vAlign w:val="center"/>
            <w:hideMark/>
          </w:tcPr>
          <w:p w:rsidR="00EB74B6" w:rsidRPr="00BE1C3D" w:rsidRDefault="00EB74B6" w:rsidP="004911CD">
            <w:pPr>
              <w:spacing w:before="0"/>
              <w:rPr>
                <w:rFonts w:eastAsia="Times New Roman" w:cs="Arial"/>
                <w:color w:val="000000"/>
                <w:sz w:val="16"/>
                <w:szCs w:val="16"/>
                <w:lang w:eastAsia="en-AU"/>
              </w:rPr>
            </w:pPr>
            <w:r w:rsidRPr="00BE1C3D">
              <w:rPr>
                <w:rFonts w:eastAsia="Times New Roman" w:cs="Arial"/>
                <w:color w:val="000000"/>
                <w:sz w:val="16"/>
                <w:szCs w:val="16"/>
                <w:lang w:eastAsia="en-AU"/>
              </w:rPr>
              <w:t>Red - visible from 50m with low-beam light</w:t>
            </w:r>
          </w:p>
        </w:tc>
        <w:tc>
          <w:tcPr>
            <w:tcW w:w="960" w:type="dxa"/>
            <w:tcBorders>
              <w:top w:val="nil"/>
              <w:left w:val="nil"/>
              <w:bottom w:val="single" w:sz="12" w:space="0" w:color="auto"/>
              <w:right w:val="nil"/>
            </w:tcBorders>
            <w:shd w:val="clear" w:color="auto" w:fill="auto"/>
            <w:vAlign w:val="center"/>
            <w:hideMark/>
          </w:tcPr>
          <w:p w:rsidR="00EB74B6" w:rsidRPr="00BE1C3D" w:rsidRDefault="00EB74B6" w:rsidP="004911CD">
            <w:pPr>
              <w:spacing w:before="0"/>
              <w:rPr>
                <w:rFonts w:eastAsia="Times New Roman" w:cs="Arial"/>
                <w:color w:val="000000"/>
                <w:sz w:val="16"/>
                <w:szCs w:val="16"/>
                <w:lang w:eastAsia="en-AU"/>
              </w:rPr>
            </w:pPr>
            <w:r w:rsidRPr="00BE1C3D">
              <w:rPr>
                <w:rFonts w:eastAsia="Times New Roman" w:cs="Arial"/>
                <w:color w:val="000000"/>
                <w:sz w:val="16"/>
                <w:szCs w:val="16"/>
                <w:lang w:eastAsia="en-AU"/>
              </w:rPr>
              <w:t>Red - visible from 50m with low-beam light</w:t>
            </w:r>
          </w:p>
        </w:tc>
        <w:tc>
          <w:tcPr>
            <w:tcW w:w="960" w:type="dxa"/>
            <w:tcBorders>
              <w:top w:val="nil"/>
              <w:left w:val="nil"/>
              <w:bottom w:val="single" w:sz="12" w:space="0" w:color="auto"/>
              <w:right w:val="nil"/>
            </w:tcBorders>
            <w:shd w:val="clear" w:color="auto" w:fill="auto"/>
            <w:vAlign w:val="center"/>
            <w:hideMark/>
          </w:tcPr>
          <w:p w:rsidR="00EB74B6" w:rsidRPr="00BE1C3D" w:rsidRDefault="00EB74B6" w:rsidP="004911CD">
            <w:pPr>
              <w:spacing w:before="0"/>
              <w:rPr>
                <w:rFonts w:eastAsia="Times New Roman" w:cs="Arial"/>
                <w:color w:val="000000"/>
                <w:sz w:val="16"/>
                <w:szCs w:val="16"/>
                <w:lang w:eastAsia="en-AU"/>
              </w:rPr>
            </w:pPr>
            <w:r w:rsidRPr="00BE1C3D">
              <w:rPr>
                <w:rFonts w:eastAsia="Times New Roman" w:cs="Arial"/>
                <w:color w:val="000000"/>
                <w:sz w:val="16"/>
                <w:szCs w:val="16"/>
                <w:lang w:eastAsia="en-AU"/>
              </w:rPr>
              <w:t>Not red</w:t>
            </w:r>
          </w:p>
        </w:tc>
        <w:tc>
          <w:tcPr>
            <w:tcW w:w="960" w:type="dxa"/>
            <w:tcBorders>
              <w:top w:val="nil"/>
              <w:left w:val="nil"/>
              <w:bottom w:val="single" w:sz="12" w:space="0" w:color="auto"/>
              <w:right w:val="nil"/>
            </w:tcBorders>
            <w:shd w:val="clear" w:color="auto" w:fill="auto"/>
            <w:vAlign w:val="center"/>
            <w:hideMark/>
          </w:tcPr>
          <w:p w:rsidR="00EB74B6" w:rsidRPr="00BE1C3D" w:rsidRDefault="00EB74B6" w:rsidP="004911CD">
            <w:pPr>
              <w:spacing w:before="0"/>
              <w:rPr>
                <w:rFonts w:eastAsia="Times New Roman" w:cs="Arial"/>
                <w:color w:val="000000"/>
                <w:sz w:val="16"/>
                <w:szCs w:val="16"/>
                <w:lang w:eastAsia="en-AU"/>
              </w:rPr>
            </w:pPr>
            <w:r w:rsidRPr="00BE1C3D">
              <w:rPr>
                <w:rFonts w:eastAsia="Times New Roman" w:cs="Arial"/>
                <w:color w:val="000000"/>
                <w:sz w:val="16"/>
                <w:szCs w:val="16"/>
                <w:lang w:eastAsia="en-AU"/>
              </w:rPr>
              <w:t>Yellow – AS 2142 compliant</w:t>
            </w:r>
          </w:p>
        </w:tc>
        <w:tc>
          <w:tcPr>
            <w:tcW w:w="960" w:type="dxa"/>
            <w:tcBorders>
              <w:top w:val="nil"/>
              <w:left w:val="nil"/>
              <w:bottom w:val="single" w:sz="12" w:space="0" w:color="auto"/>
              <w:right w:val="single" w:sz="12" w:space="0" w:color="auto"/>
            </w:tcBorders>
            <w:shd w:val="clear" w:color="auto" w:fill="auto"/>
            <w:vAlign w:val="center"/>
            <w:hideMark/>
          </w:tcPr>
          <w:p w:rsidR="00EB74B6" w:rsidRPr="00BE1C3D" w:rsidRDefault="00EB74B6" w:rsidP="004911CD">
            <w:pPr>
              <w:spacing w:before="0"/>
              <w:rPr>
                <w:rFonts w:eastAsia="Times New Roman" w:cs="Arial"/>
                <w:color w:val="000000"/>
                <w:sz w:val="16"/>
                <w:szCs w:val="16"/>
                <w:lang w:eastAsia="en-AU"/>
              </w:rPr>
            </w:pPr>
            <w:r w:rsidRPr="00BE1C3D">
              <w:rPr>
                <w:rFonts w:eastAsia="Times New Roman" w:cs="Arial"/>
                <w:color w:val="000000"/>
                <w:sz w:val="16"/>
                <w:szCs w:val="16"/>
                <w:lang w:eastAsia="en-AU"/>
              </w:rPr>
              <w:t>Yellow – AS 2142 compliant</w:t>
            </w:r>
          </w:p>
        </w:tc>
        <w:tc>
          <w:tcPr>
            <w:tcW w:w="960" w:type="dxa"/>
            <w:tcBorders>
              <w:top w:val="nil"/>
              <w:left w:val="nil"/>
              <w:bottom w:val="single" w:sz="12" w:space="0" w:color="auto"/>
              <w:right w:val="single" w:sz="12" w:space="0" w:color="auto"/>
            </w:tcBorders>
            <w:shd w:val="clear" w:color="auto" w:fill="auto"/>
            <w:vAlign w:val="center"/>
            <w:hideMark/>
          </w:tcPr>
          <w:p w:rsidR="00EB74B6" w:rsidRPr="00BE1C3D" w:rsidRDefault="00EB74B6" w:rsidP="004911CD">
            <w:pPr>
              <w:spacing w:before="0"/>
              <w:rPr>
                <w:rFonts w:eastAsia="Times New Roman" w:cs="Arial"/>
                <w:color w:val="000000"/>
                <w:sz w:val="16"/>
                <w:szCs w:val="16"/>
                <w:lang w:eastAsia="en-AU"/>
              </w:rPr>
            </w:pPr>
            <w:r w:rsidRPr="00BE1C3D">
              <w:rPr>
                <w:rFonts w:eastAsia="Times New Roman" w:cs="Arial"/>
                <w:color w:val="000000"/>
                <w:sz w:val="16"/>
                <w:szCs w:val="16"/>
                <w:lang w:eastAsia="en-AU"/>
              </w:rPr>
              <w:t>In working order</w:t>
            </w:r>
          </w:p>
        </w:tc>
      </w:tr>
    </w:tbl>
    <w:p w:rsidR="00B37964" w:rsidRPr="005236BC" w:rsidRDefault="00B37964" w:rsidP="005236BC">
      <w:pPr>
        <w:pStyle w:val="Numbered11"/>
        <w:numPr>
          <w:ilvl w:val="0"/>
          <w:numId w:val="0"/>
        </w:numPr>
        <w:ind w:left="426"/>
        <w:rPr>
          <w:rFonts w:eastAsiaTheme="minorHAnsi"/>
          <w:bCs w:val="0"/>
          <w:color w:val="auto"/>
          <w:sz w:val="22"/>
          <w:szCs w:val="22"/>
        </w:rPr>
      </w:pPr>
      <w:bookmarkStart w:id="127" w:name="_Toc440455044"/>
      <w:bookmarkStart w:id="128" w:name="_Toc457220025"/>
      <w:bookmarkStart w:id="129" w:name="_Toc457222944"/>
      <w:bookmarkStart w:id="130" w:name="_Toc457228136"/>
      <w:bookmarkStart w:id="131" w:name="_Toc457465402"/>
      <w:bookmarkStart w:id="132" w:name="_Toc457569978"/>
      <w:bookmarkStart w:id="133" w:name="_Toc462919661"/>
    </w:p>
    <w:p w:rsidR="009E5364" w:rsidRDefault="00A42DDA" w:rsidP="009E5364">
      <w:pPr>
        <w:pStyle w:val="Numbered11"/>
      </w:pPr>
      <w:bookmarkStart w:id="134" w:name="_Toc463541554"/>
      <w:r>
        <w:lastRenderedPageBreak/>
        <w:t>Technological</w:t>
      </w:r>
      <w:r w:rsidR="00667EBB">
        <w:t xml:space="preserve"> developments</w:t>
      </w:r>
      <w:r>
        <w:t xml:space="preserve"> and c</w:t>
      </w:r>
      <w:r w:rsidR="009E5364">
        <w:t>hanges in the marketplace</w:t>
      </w:r>
      <w:bookmarkEnd w:id="127"/>
      <w:bookmarkEnd w:id="128"/>
      <w:bookmarkEnd w:id="129"/>
      <w:bookmarkEnd w:id="130"/>
      <w:bookmarkEnd w:id="131"/>
      <w:bookmarkEnd w:id="132"/>
      <w:bookmarkEnd w:id="133"/>
      <w:bookmarkEnd w:id="134"/>
    </w:p>
    <w:p w:rsidR="006C34C4" w:rsidRDefault="00BA1BFC" w:rsidP="00053BFC">
      <w:r>
        <w:t xml:space="preserve">There </w:t>
      </w:r>
      <w:r w:rsidR="00690155">
        <w:t>have</w:t>
      </w:r>
      <w:r>
        <w:t xml:space="preserve"> been</w:t>
      </w:r>
      <w:r w:rsidR="00615DF6">
        <w:t xml:space="preserve"> numerous</w:t>
      </w:r>
      <w:r>
        <w:t xml:space="preserve"> technological developments in bicycle manufacturing</w:t>
      </w:r>
      <w:r w:rsidR="002C5A24">
        <w:t xml:space="preserve"> including the</w:t>
      </w:r>
      <w:r w:rsidR="00615DF6">
        <w:t xml:space="preserve"> growing</w:t>
      </w:r>
      <w:r w:rsidR="002C5A24">
        <w:t xml:space="preserve"> prevalence of </w:t>
      </w:r>
      <w:r w:rsidR="00690155">
        <w:t>power-assisted</w:t>
      </w:r>
      <w:r>
        <w:t xml:space="preserve"> bicycles, </w:t>
      </w:r>
      <w:r w:rsidR="002C5A24">
        <w:t xml:space="preserve">now </w:t>
      </w:r>
      <w:r>
        <w:t xml:space="preserve">available </w:t>
      </w:r>
      <w:r w:rsidR="002C5A24">
        <w:t xml:space="preserve">in </w:t>
      </w:r>
      <w:r>
        <w:t xml:space="preserve">the Australian market. These products </w:t>
      </w:r>
      <w:proofErr w:type="gramStart"/>
      <w:r>
        <w:t>are not currently covered</w:t>
      </w:r>
      <w:proofErr w:type="gramEnd"/>
      <w:r>
        <w:t xml:space="preserve"> by the mandatory safety standard. Additionally, recumbent, tandem, folding and one-of-a-kind bicycles are also increasing in popularity, </w:t>
      </w:r>
      <w:r w:rsidR="00615DF6">
        <w:t xml:space="preserve">but </w:t>
      </w:r>
      <w:proofErr w:type="gramStart"/>
      <w:r w:rsidR="0008725D">
        <w:t>are</w:t>
      </w:r>
      <w:r>
        <w:t xml:space="preserve"> excluded</w:t>
      </w:r>
      <w:proofErr w:type="gramEnd"/>
      <w:r>
        <w:t xml:space="preserve"> by the definition of a bicycle in the </w:t>
      </w:r>
      <w:r w:rsidR="00615DF6">
        <w:t xml:space="preserve">current </w:t>
      </w:r>
      <w:r>
        <w:t>mandatory safety standard.</w:t>
      </w:r>
    </w:p>
    <w:p w:rsidR="008C24C2" w:rsidRDefault="008C24C2" w:rsidP="00527F52">
      <w:pPr>
        <w:pStyle w:val="Heading3"/>
      </w:pPr>
      <w:r>
        <w:t xml:space="preserve">Power assisted </w:t>
      </w:r>
      <w:r w:rsidR="00B43D33">
        <w:t>bicy</w:t>
      </w:r>
      <w:r>
        <w:t>c</w:t>
      </w:r>
      <w:r w:rsidR="00B43D33">
        <w:t>les</w:t>
      </w:r>
    </w:p>
    <w:p w:rsidR="009E5364" w:rsidRDefault="009E5364" w:rsidP="00C2340C">
      <w:pPr>
        <w:pStyle w:val="Numbered1111"/>
        <w:numPr>
          <w:ilvl w:val="0"/>
          <w:numId w:val="0"/>
        </w:numPr>
      </w:pPr>
      <w:r>
        <w:t>Power</w:t>
      </w:r>
      <w:r w:rsidR="00923A70">
        <w:t>-</w:t>
      </w:r>
      <w:r>
        <w:t>assisted bicycles with power output not exceeding 200</w:t>
      </w:r>
      <w:r w:rsidR="00E85D71">
        <w:t xml:space="preserve"> </w:t>
      </w:r>
      <w:r w:rsidR="000A1363">
        <w:t>W</w:t>
      </w:r>
      <w:r>
        <w:t xml:space="preserve"> </w:t>
      </w:r>
    </w:p>
    <w:p w:rsidR="009E5364" w:rsidRDefault="00903F47" w:rsidP="009E5364">
      <w:r>
        <w:t xml:space="preserve">A </w:t>
      </w:r>
      <w:r w:rsidR="00B43D33">
        <w:t>power-assisted</w:t>
      </w:r>
      <w:r>
        <w:t xml:space="preserve"> bicycle is similar to a traditional bicycle, except it is fitted with an auxiliary motor or engine</w:t>
      </w:r>
      <w:r w:rsidR="00526924">
        <w:t xml:space="preserve"> that assists the rider with powering the bicycle</w:t>
      </w:r>
      <w:r>
        <w:t>.</w:t>
      </w:r>
      <w:r w:rsidR="007D1273">
        <w:t xml:space="preserve"> </w:t>
      </w:r>
      <w:r w:rsidR="00B43D33">
        <w:t xml:space="preserve">These bicycles </w:t>
      </w:r>
      <w:proofErr w:type="gramStart"/>
      <w:r w:rsidR="00B43D33">
        <w:t xml:space="preserve">are </w:t>
      </w:r>
      <w:r w:rsidR="004345A6">
        <w:t xml:space="preserve">currently </w:t>
      </w:r>
      <w:r w:rsidR="00B43D33">
        <w:t>excluded</w:t>
      </w:r>
      <w:proofErr w:type="gramEnd"/>
      <w:r w:rsidR="00B43D33">
        <w:t xml:space="preserve"> from the mandatory safety standard but present the same hazards and risks as a traditional bicycle.</w:t>
      </w:r>
      <w:r>
        <w:t xml:space="preserve"> </w:t>
      </w:r>
    </w:p>
    <w:p w:rsidR="004345A6" w:rsidRDefault="009E5364" w:rsidP="00B43D33">
      <w:r>
        <w:t xml:space="preserve">Australian road authorities classify power assisted bicycles </w:t>
      </w:r>
      <w:r w:rsidR="00905DC7">
        <w:t xml:space="preserve">as not having power </w:t>
      </w:r>
      <w:r w:rsidR="00E60C1F">
        <w:t>exceeding 200</w:t>
      </w:r>
      <w:r w:rsidR="00E85D71">
        <w:t xml:space="preserve"> </w:t>
      </w:r>
      <w:r>
        <w:t>W</w:t>
      </w:r>
      <w:r w:rsidR="00905DC7">
        <w:t>.</w:t>
      </w:r>
      <w:r>
        <w:t xml:space="preserve"> </w:t>
      </w:r>
      <w:r w:rsidR="007D1273">
        <w:t xml:space="preserve">These bicycles </w:t>
      </w:r>
      <w:proofErr w:type="gramStart"/>
      <w:r w:rsidR="00241A60">
        <w:t>can</w:t>
      </w:r>
      <w:r w:rsidR="007D1273">
        <w:t xml:space="preserve"> be </w:t>
      </w:r>
      <w:r w:rsidR="00241A60">
        <w:t>ridden</w:t>
      </w:r>
      <w:proofErr w:type="gramEnd"/>
      <w:r w:rsidR="00241A60">
        <w:t xml:space="preserve"> </w:t>
      </w:r>
      <w:r w:rsidR="007D1273">
        <w:t xml:space="preserve">on the footpath and roads without </w:t>
      </w:r>
      <w:r w:rsidR="00905DC7">
        <w:t xml:space="preserve">registration, licensing and </w:t>
      </w:r>
      <w:r>
        <w:t>third party insurance.</w:t>
      </w:r>
      <w:r w:rsidR="00B43D33">
        <w:t xml:space="preserve"> </w:t>
      </w:r>
      <w:r>
        <w:t xml:space="preserve">The NSW Government, </w:t>
      </w:r>
      <w:r w:rsidRPr="00A340CF">
        <w:t xml:space="preserve">Bicycle Industries Australia and the </w:t>
      </w:r>
      <w:r w:rsidR="00E60C1F" w:rsidRPr="00A340CF">
        <w:t>former</w:t>
      </w:r>
      <w:r w:rsidRPr="00A340CF">
        <w:t xml:space="preserve"> Re</w:t>
      </w:r>
      <w:r w:rsidR="00E60C1F" w:rsidRPr="00A340CF">
        <w:t>tail Cycle Traders Association</w:t>
      </w:r>
      <w:r w:rsidRPr="00A340CF">
        <w:t xml:space="preserve"> requested that the ACCC consider including power assisted bicycles in the</w:t>
      </w:r>
      <w:r w:rsidR="002207B1">
        <w:t xml:space="preserve"> review of the</w:t>
      </w:r>
      <w:r w:rsidRPr="00A340CF">
        <w:t xml:space="preserve"> </w:t>
      </w:r>
      <w:r w:rsidR="00E60C1F" w:rsidRPr="00A340CF">
        <w:t xml:space="preserve">mandatory </w:t>
      </w:r>
      <w:r w:rsidRPr="00A340CF">
        <w:t>safety standard</w:t>
      </w:r>
      <w:r w:rsidR="00DA0B58">
        <w:t>, and</w:t>
      </w:r>
      <w:r w:rsidR="002207B1">
        <w:t xml:space="preserve"> they are </w:t>
      </w:r>
      <w:r w:rsidR="006A2908">
        <w:t>in</w:t>
      </w:r>
      <w:r w:rsidR="002207B1">
        <w:t xml:space="preserve"> the </w:t>
      </w:r>
      <w:r w:rsidR="00ED5D92">
        <w:t xml:space="preserve">updated </w:t>
      </w:r>
      <w:r w:rsidR="00B43D33" w:rsidRPr="00A340CF">
        <w:t xml:space="preserve">voluntary Australian standard. </w:t>
      </w:r>
    </w:p>
    <w:p w:rsidR="008F095D" w:rsidRDefault="00270CB2" w:rsidP="00B43D33">
      <w:r w:rsidRPr="001837EA">
        <w:t xml:space="preserve">The ACCC does not have any </w:t>
      </w:r>
      <w:r w:rsidRPr="0066471B">
        <w:t xml:space="preserve">data on injuries associated with the use of </w:t>
      </w:r>
      <w:r>
        <w:t xml:space="preserve">power-assisted bicycles not exceeding 200 W </w:t>
      </w:r>
      <w:r w:rsidRPr="0066471B">
        <w:t xml:space="preserve">and invites information </w:t>
      </w:r>
      <w:r w:rsidRPr="00A60F14">
        <w:t xml:space="preserve">from stakeholders. </w:t>
      </w:r>
      <w:r w:rsidR="008F095D" w:rsidRPr="00270CB2">
        <w:t xml:space="preserve">The ACCC is considering </w:t>
      </w:r>
      <w:r w:rsidR="00B37964">
        <w:t>whether</w:t>
      </w:r>
      <w:r w:rsidR="00B37964" w:rsidRPr="00270CB2">
        <w:t xml:space="preserve"> </w:t>
      </w:r>
      <w:r w:rsidR="00B37964">
        <w:t xml:space="preserve">there are good reasons to include </w:t>
      </w:r>
      <w:r w:rsidR="005236BC" w:rsidRPr="00270CB2">
        <w:t>power-assisted</w:t>
      </w:r>
      <w:r w:rsidR="008F095D" w:rsidRPr="00270CB2">
        <w:t xml:space="preserve"> bicycles not exceeding 200 W in</w:t>
      </w:r>
      <w:r w:rsidR="00CC7184" w:rsidRPr="00033A60">
        <w:t xml:space="preserve"> any</w:t>
      </w:r>
      <w:r w:rsidR="008F095D" w:rsidRPr="00033A60">
        <w:t xml:space="preserve"> revised mandatory safety standard.</w:t>
      </w:r>
      <w:r w:rsidR="008F095D">
        <w:t xml:space="preserve">   </w:t>
      </w:r>
      <w:r w:rsidR="008F095D">
        <w:rPr>
          <w:rFonts w:cs="Arial"/>
        </w:rPr>
        <w:t xml:space="preserve"> </w:t>
      </w:r>
    </w:p>
    <w:p w:rsidR="009E5364" w:rsidRDefault="009E5364" w:rsidP="00C2340C">
      <w:pPr>
        <w:pStyle w:val="Numbered1111"/>
        <w:numPr>
          <w:ilvl w:val="0"/>
          <w:numId w:val="0"/>
        </w:numPr>
      </w:pPr>
      <w:r>
        <w:t>Pedelecs</w:t>
      </w:r>
    </w:p>
    <w:p w:rsidR="009E5364" w:rsidRDefault="009E5364" w:rsidP="009E5364">
      <w:r>
        <w:t xml:space="preserve">Pedelecs are </w:t>
      </w:r>
      <w:r w:rsidR="004345A6">
        <w:t>power-</w:t>
      </w:r>
      <w:r>
        <w:t xml:space="preserve">assisted bicycles where </w:t>
      </w:r>
      <w:r w:rsidR="00133F89">
        <w:t xml:space="preserve">the rider’s pedalling is assisted by an auxiliary </w:t>
      </w:r>
      <w:r w:rsidR="007E4EAA">
        <w:t xml:space="preserve">electrical </w:t>
      </w:r>
      <w:r w:rsidR="00133F89">
        <w:t>motor</w:t>
      </w:r>
      <w:r w:rsidR="004345A6">
        <w:t>,</w:t>
      </w:r>
      <w:r w:rsidR="00133F89">
        <w:t xml:space="preserve"> </w:t>
      </w:r>
      <w:r w:rsidR="000A1363">
        <w:t xml:space="preserve">where </w:t>
      </w:r>
      <w:r>
        <w:t>the output is progressively reduced and finally cut</w:t>
      </w:r>
      <w:r w:rsidR="00BD261D">
        <w:t>s</w:t>
      </w:r>
      <w:r>
        <w:t xml:space="preserve"> off as the </w:t>
      </w:r>
      <w:r w:rsidR="00BF628A">
        <w:t>bicycle</w:t>
      </w:r>
      <w:r>
        <w:t xml:space="preserve"> reaches a speed of 25</w:t>
      </w:r>
      <w:r w:rsidR="00E85D71">
        <w:t xml:space="preserve"> </w:t>
      </w:r>
      <w:r>
        <w:t>km/h, or sooner</w:t>
      </w:r>
      <w:r w:rsidR="00BF628A">
        <w:t xml:space="preserve"> if the cyclist stops pedalling</w:t>
      </w:r>
      <w:r>
        <w:t>.</w:t>
      </w:r>
      <w:r w:rsidR="007E4EAA" w:rsidRPr="00B81463">
        <w:rPr>
          <w:rFonts w:cs="Arial"/>
          <w:vertAlign w:val="superscript"/>
        </w:rPr>
        <w:footnoteReference w:id="16"/>
      </w:r>
      <w:r>
        <w:t xml:space="preserve"> </w:t>
      </w:r>
      <w:r w:rsidR="00BD261D">
        <w:t xml:space="preserve">Pedelecs </w:t>
      </w:r>
      <w:r>
        <w:t>have a maximum continuous rated power of 250</w:t>
      </w:r>
      <w:r w:rsidR="00E85D71">
        <w:t xml:space="preserve"> </w:t>
      </w:r>
      <w:r>
        <w:t xml:space="preserve">W. </w:t>
      </w:r>
    </w:p>
    <w:p w:rsidR="00BF628A" w:rsidRDefault="009E5364" w:rsidP="009E5364">
      <w:r>
        <w:t xml:space="preserve">In </w:t>
      </w:r>
      <w:r w:rsidR="00CC1172">
        <w:t>2012,</w:t>
      </w:r>
      <w:r>
        <w:t xml:space="preserve"> the </w:t>
      </w:r>
      <w:r w:rsidR="002207B1">
        <w:t xml:space="preserve">Commonwealth </w:t>
      </w:r>
      <w:r>
        <w:t>Department of Infrastructure and Regional Development exempt</w:t>
      </w:r>
      <w:r w:rsidR="00832100">
        <w:t>ed</w:t>
      </w:r>
      <w:r>
        <w:t xml:space="preserve"> pedelecs </w:t>
      </w:r>
      <w:r w:rsidR="00880123">
        <w:t>compliant with</w:t>
      </w:r>
      <w:r>
        <w:t xml:space="preserve"> </w:t>
      </w:r>
      <w:r w:rsidR="000A1363">
        <w:t>the European standard (</w:t>
      </w:r>
      <w:r>
        <w:t>EN 15194:2009</w:t>
      </w:r>
      <w:r w:rsidR="000A1363">
        <w:t>)</w:t>
      </w:r>
      <w:r w:rsidR="00BF628A">
        <w:t xml:space="preserve"> </w:t>
      </w:r>
      <w:r>
        <w:t>from</w:t>
      </w:r>
      <w:r w:rsidR="00832100">
        <w:t xml:space="preserve"> the Australian Design Rules</w:t>
      </w:r>
      <w:r>
        <w:t xml:space="preserve">. Australian </w:t>
      </w:r>
      <w:r w:rsidR="000A1363">
        <w:t>S</w:t>
      </w:r>
      <w:r>
        <w:t xml:space="preserve">tates and </w:t>
      </w:r>
      <w:r w:rsidR="000A1363">
        <w:t>T</w:t>
      </w:r>
      <w:r>
        <w:t xml:space="preserve">erritories have </w:t>
      </w:r>
      <w:r w:rsidR="00BF628A">
        <w:t xml:space="preserve">since </w:t>
      </w:r>
      <w:r>
        <w:t xml:space="preserve">updated their road rules to </w:t>
      </w:r>
      <w:r w:rsidR="00BF628A">
        <w:t xml:space="preserve">recognise </w:t>
      </w:r>
      <w:r>
        <w:t>pedelecs as bicycles</w:t>
      </w:r>
      <w:r w:rsidR="007D1273">
        <w:t xml:space="preserve"> and exempted them from needing motor vehicle registration</w:t>
      </w:r>
      <w:r w:rsidR="004345A6">
        <w:t xml:space="preserve"> if they are compliant with the EN standard. The EN standard sets out requirements for electrical components of the bicycles</w:t>
      </w:r>
      <w:r w:rsidR="000A1363">
        <w:t>.</w:t>
      </w:r>
      <w:r w:rsidR="004345A6">
        <w:t xml:space="preserve"> </w:t>
      </w:r>
    </w:p>
    <w:p w:rsidR="007C0FE4" w:rsidRPr="004345A6" w:rsidRDefault="001837EA" w:rsidP="009E5364">
      <w:r w:rsidRPr="001837EA">
        <w:t xml:space="preserve">The ACCC does not have any </w:t>
      </w:r>
      <w:r w:rsidRPr="0066471B">
        <w:t xml:space="preserve">data on injuries associated with the use of </w:t>
      </w:r>
      <w:r w:rsidR="0066471B">
        <w:t xml:space="preserve">pedelecs </w:t>
      </w:r>
      <w:r w:rsidRPr="0066471B">
        <w:t xml:space="preserve">and invites information </w:t>
      </w:r>
      <w:r w:rsidRPr="009864AF">
        <w:t>from stakeholders.</w:t>
      </w:r>
      <w:r w:rsidRPr="008B41B9">
        <w:t xml:space="preserve"> </w:t>
      </w:r>
      <w:r w:rsidR="009E5364" w:rsidRPr="001837EA">
        <w:t xml:space="preserve">The ACCC is considering </w:t>
      </w:r>
      <w:r w:rsidR="00B37964">
        <w:t>whether</w:t>
      </w:r>
      <w:r w:rsidR="00B37964" w:rsidRPr="00270CB2">
        <w:t xml:space="preserve"> </w:t>
      </w:r>
      <w:r w:rsidR="00B37964">
        <w:t xml:space="preserve">there are good reasons to include </w:t>
      </w:r>
      <w:r w:rsidR="009E5364" w:rsidRPr="001837EA">
        <w:t xml:space="preserve">pedelecs in </w:t>
      </w:r>
      <w:r w:rsidR="00CC7184" w:rsidRPr="001837EA">
        <w:t>any</w:t>
      </w:r>
      <w:r w:rsidR="002207B1" w:rsidRPr="001837EA">
        <w:t xml:space="preserve"> revised</w:t>
      </w:r>
      <w:r w:rsidR="00BF628A" w:rsidRPr="001837EA">
        <w:t xml:space="preserve"> mandatory</w:t>
      </w:r>
      <w:r w:rsidR="009E5364" w:rsidRPr="001837EA">
        <w:t xml:space="preserve"> safety standard</w:t>
      </w:r>
      <w:r w:rsidR="00133F89" w:rsidRPr="001837EA">
        <w:t>.</w:t>
      </w:r>
      <w:r w:rsidR="009E5364">
        <w:t xml:space="preserve">   </w:t>
      </w:r>
      <w:r w:rsidR="007D1273">
        <w:rPr>
          <w:rFonts w:cs="Arial"/>
        </w:rPr>
        <w:t xml:space="preserve"> </w:t>
      </w:r>
    </w:p>
    <w:p w:rsidR="009E5364" w:rsidRDefault="009E5364" w:rsidP="00C2340C">
      <w:pPr>
        <w:pStyle w:val="Numbered1111"/>
        <w:numPr>
          <w:ilvl w:val="0"/>
          <w:numId w:val="0"/>
        </w:numPr>
      </w:pPr>
      <w:r>
        <w:t>Power assisted bicycles with power output greater than 200</w:t>
      </w:r>
      <w:r w:rsidR="007627B9">
        <w:t xml:space="preserve"> </w:t>
      </w:r>
      <w:r>
        <w:t>W (</w:t>
      </w:r>
      <w:r w:rsidR="00BF628A">
        <w:t>excluding</w:t>
      </w:r>
      <w:r>
        <w:t xml:space="preserve"> pedelecs)</w:t>
      </w:r>
    </w:p>
    <w:p w:rsidR="004345A6" w:rsidRDefault="00BF628A" w:rsidP="009E5364">
      <w:r w:rsidRPr="00B14070">
        <w:t xml:space="preserve">Bicycles with motor </w:t>
      </w:r>
      <w:r w:rsidR="009E5364" w:rsidRPr="00735ABF">
        <w:t xml:space="preserve">power output exceeding </w:t>
      </w:r>
      <w:proofErr w:type="gramStart"/>
      <w:r w:rsidR="009E5364" w:rsidRPr="00735ABF">
        <w:t>200</w:t>
      </w:r>
      <w:proofErr w:type="gramEnd"/>
      <w:r w:rsidR="00E85D71">
        <w:t xml:space="preserve"> </w:t>
      </w:r>
      <w:r w:rsidR="009E5364" w:rsidRPr="00735ABF">
        <w:t xml:space="preserve">W, </w:t>
      </w:r>
      <w:r w:rsidRPr="00735ABF">
        <w:t>excluding</w:t>
      </w:r>
      <w:r w:rsidR="009E5364" w:rsidRPr="00735ABF">
        <w:t xml:space="preserve"> pedelecs, are classified as motor vehicles</w:t>
      </w:r>
      <w:r w:rsidRPr="00B14070">
        <w:t>.</w:t>
      </w:r>
      <w:r w:rsidR="009E5364" w:rsidRPr="00B14070">
        <w:t xml:space="preserve"> </w:t>
      </w:r>
      <w:r w:rsidRPr="00B14070">
        <w:t>U</w:t>
      </w:r>
      <w:r w:rsidR="009E5364" w:rsidRPr="00B14070">
        <w:t>nless registered</w:t>
      </w:r>
      <w:r w:rsidRPr="00B14070">
        <w:t>, these bicycles</w:t>
      </w:r>
      <w:r w:rsidR="009E5364" w:rsidRPr="00B14070">
        <w:t xml:space="preserve"> are illegal to use on Australian roads</w:t>
      </w:r>
      <w:r w:rsidR="004345A6">
        <w:t xml:space="preserve">. For </w:t>
      </w:r>
      <w:r w:rsidR="004345A6">
        <w:lastRenderedPageBreak/>
        <w:t xml:space="preserve">the bicycles to be registered they would need to meet the Australian Design Rules for vehicles. </w:t>
      </w:r>
      <w:r w:rsidR="007E4EAA" w:rsidDel="008F095D">
        <w:t xml:space="preserve">The ACCC is proposing </w:t>
      </w:r>
      <w:r w:rsidR="0003447B" w:rsidDel="008F095D">
        <w:t xml:space="preserve">to exclude </w:t>
      </w:r>
      <w:r w:rsidR="007E4EAA" w:rsidDel="008F095D">
        <w:t xml:space="preserve">these bicycles </w:t>
      </w:r>
      <w:r w:rsidR="0003447B" w:rsidDel="008F095D">
        <w:t>from</w:t>
      </w:r>
      <w:r w:rsidR="007E4EAA" w:rsidDel="008F095D">
        <w:t xml:space="preserve"> the </w:t>
      </w:r>
      <w:r w:rsidR="002207B1" w:rsidDel="008F095D">
        <w:t xml:space="preserve">revised </w:t>
      </w:r>
      <w:r w:rsidR="008430E9" w:rsidDel="008F095D">
        <w:t>mandatory safety standard.</w:t>
      </w:r>
    </w:p>
    <w:p w:rsidR="00387B24" w:rsidRDefault="009F32D4" w:rsidP="009E5364">
      <w:r>
        <w:t>There is a separate ban on the supply of m</w:t>
      </w:r>
      <w:r w:rsidR="00387B24" w:rsidRPr="00387B24">
        <w:t xml:space="preserve">iniature motorbikes </w:t>
      </w:r>
      <w:r w:rsidRPr="00387B24">
        <w:t>with inadequate safety features powered by internal combustion engines</w:t>
      </w:r>
      <w:r w:rsidR="00387B24" w:rsidRPr="00387B24">
        <w:t>.</w:t>
      </w:r>
      <w:r w:rsidR="004B48AD">
        <w:rPr>
          <w:rStyle w:val="FootnoteReference"/>
        </w:rPr>
        <w:footnoteReference w:id="17"/>
      </w:r>
      <w:r w:rsidR="00387B24" w:rsidRPr="00387B24">
        <w:t xml:space="preserve"> </w:t>
      </w:r>
      <w:r>
        <w:t>E</w:t>
      </w:r>
      <w:r w:rsidR="00387B24" w:rsidRPr="00387B24">
        <w:t xml:space="preserve">lectric powered </w:t>
      </w:r>
      <w:r>
        <w:t>m</w:t>
      </w:r>
      <w:r w:rsidRPr="00387B24">
        <w:t xml:space="preserve">iniature motorbikes </w:t>
      </w:r>
      <w:r w:rsidR="00387B24" w:rsidRPr="00387B24">
        <w:t xml:space="preserve">are </w:t>
      </w:r>
      <w:r w:rsidR="00D442DD">
        <w:t>not within the scope of</w:t>
      </w:r>
      <w:r w:rsidR="00387B24" w:rsidRPr="00387B24">
        <w:t xml:space="preserve"> this ban</w:t>
      </w:r>
      <w:r>
        <w:t>. Miniature motorbikes are not power assisted bicycles</w:t>
      </w:r>
      <w:r w:rsidRPr="009F32D4">
        <w:t xml:space="preserve"> </w:t>
      </w:r>
      <w:r>
        <w:t>and we do not consider them further in this consultation paper.</w:t>
      </w:r>
    </w:p>
    <w:p w:rsidR="0089607B" w:rsidRPr="003F308A" w:rsidRDefault="0089607B" w:rsidP="00C2340C">
      <w:pPr>
        <w:pStyle w:val="Numbered1111"/>
        <w:numPr>
          <w:ilvl w:val="0"/>
          <w:numId w:val="0"/>
        </w:numPr>
      </w:pPr>
      <w:r w:rsidRPr="003F308A">
        <w:t>Engine kits for bicycles</w:t>
      </w:r>
    </w:p>
    <w:p w:rsidR="007E4EAA" w:rsidRDefault="00BD261D" w:rsidP="005B766F">
      <w:r>
        <w:t xml:space="preserve">Engine </w:t>
      </w:r>
      <w:r w:rsidR="007E4EAA">
        <w:t xml:space="preserve">kits that </w:t>
      </w:r>
      <w:r w:rsidR="00A150FA">
        <w:t xml:space="preserve">the consumer </w:t>
      </w:r>
      <w:r w:rsidR="007E4EAA">
        <w:t>can fit on a bicycle are available</w:t>
      </w:r>
      <w:r w:rsidR="002207B1">
        <w:t xml:space="preserve"> for purchase</w:t>
      </w:r>
      <w:r w:rsidR="007E4EAA">
        <w:t xml:space="preserve"> in </w:t>
      </w:r>
      <w:r w:rsidR="002207B1">
        <w:t>Australia</w:t>
      </w:r>
      <w:r>
        <w:t>.</w:t>
      </w:r>
      <w:r w:rsidR="007E4EAA">
        <w:t xml:space="preserve"> </w:t>
      </w:r>
      <w:r w:rsidR="007E4EAA" w:rsidRPr="00B14070">
        <w:t xml:space="preserve">The NSW Road Traffic Authority </w:t>
      </w:r>
      <w:r w:rsidR="007E4EAA">
        <w:t xml:space="preserve">expressed concern about these kits and </w:t>
      </w:r>
      <w:r w:rsidR="0003447B">
        <w:t xml:space="preserve">asked us to </w:t>
      </w:r>
      <w:r>
        <w:t>inclu</w:t>
      </w:r>
      <w:r w:rsidR="0003447B">
        <w:t>de</w:t>
      </w:r>
      <w:r>
        <w:t xml:space="preserve"> </w:t>
      </w:r>
      <w:r w:rsidR="0003447B">
        <w:t>them in this</w:t>
      </w:r>
      <w:r w:rsidR="002207B1">
        <w:t xml:space="preserve"> </w:t>
      </w:r>
      <w:r w:rsidR="0003447B">
        <w:t>review</w:t>
      </w:r>
      <w:r w:rsidR="007E4EAA">
        <w:t xml:space="preserve">. </w:t>
      </w:r>
      <w:r w:rsidR="007E4EAA" w:rsidRPr="00B14070">
        <w:t>Kits can be either electric or petrol powered, have power output exceeding 200</w:t>
      </w:r>
      <w:r w:rsidR="00E85D71">
        <w:t xml:space="preserve"> </w:t>
      </w:r>
      <w:r w:rsidR="007E4EAA" w:rsidRPr="00B14070">
        <w:t>W, and allow bicycles to reach speeds more than 60</w:t>
      </w:r>
      <w:r w:rsidR="00E85D71">
        <w:t xml:space="preserve"> </w:t>
      </w:r>
      <w:r w:rsidR="007E4EAA" w:rsidRPr="00B14070">
        <w:t xml:space="preserve">km/h. </w:t>
      </w:r>
    </w:p>
    <w:p w:rsidR="008F095D" w:rsidRDefault="005B766F">
      <w:r w:rsidRPr="00B14070">
        <w:t>When engine kits with power output exceeding 200</w:t>
      </w:r>
      <w:r w:rsidR="00E85D71">
        <w:t xml:space="preserve"> </w:t>
      </w:r>
      <w:r w:rsidRPr="00B14070">
        <w:t>W are fitted on bicycles, the bicycle is classified as a motor vehicle and unless registered</w:t>
      </w:r>
      <w:r w:rsidR="007D1273">
        <w:t xml:space="preserve"> (and therefore compliant with Australian Design Rules)</w:t>
      </w:r>
      <w:r w:rsidRPr="00B14070">
        <w:t xml:space="preserve"> are illegal to use on Australian roads. </w:t>
      </w:r>
      <w:r w:rsidR="00B710A9">
        <w:t xml:space="preserve">The </w:t>
      </w:r>
      <w:r w:rsidR="002207B1">
        <w:t xml:space="preserve">current </w:t>
      </w:r>
      <w:r w:rsidR="00B710A9">
        <w:t xml:space="preserve">voluntary </w:t>
      </w:r>
      <w:r w:rsidR="000A1363">
        <w:t xml:space="preserve">Australian </w:t>
      </w:r>
      <w:r w:rsidR="00B710A9">
        <w:t>standard</w:t>
      </w:r>
      <w:r w:rsidRPr="00B14070">
        <w:t xml:space="preserve"> </w:t>
      </w:r>
      <w:r w:rsidR="00B710A9">
        <w:t>and</w:t>
      </w:r>
      <w:r w:rsidRPr="00B14070">
        <w:t xml:space="preserve"> the mandatory safety standard </w:t>
      </w:r>
      <w:r w:rsidR="00B710A9">
        <w:t xml:space="preserve">do not </w:t>
      </w:r>
      <w:r w:rsidRPr="00B14070">
        <w:t>set out requirements for engine kits</w:t>
      </w:r>
      <w:r w:rsidR="00B710A9">
        <w:t xml:space="preserve">. </w:t>
      </w:r>
    </w:p>
    <w:p w:rsidR="00EF5BDA" w:rsidRDefault="00A340CF">
      <w:r>
        <w:t>T</w:t>
      </w:r>
      <w:r w:rsidR="009E5364" w:rsidRPr="00B14070">
        <w:t xml:space="preserve">he ACCC </w:t>
      </w:r>
      <w:r w:rsidR="00241A60" w:rsidRPr="00B14070">
        <w:t>propos</w:t>
      </w:r>
      <w:r w:rsidR="00241A60">
        <w:t>es</w:t>
      </w:r>
      <w:r w:rsidR="00241A60" w:rsidRPr="00B14070">
        <w:t xml:space="preserve"> </w:t>
      </w:r>
      <w:r w:rsidR="009E5364" w:rsidRPr="00B14070">
        <w:t xml:space="preserve">to </w:t>
      </w:r>
      <w:r w:rsidR="00E23989" w:rsidRPr="00B14070">
        <w:t xml:space="preserve">exclude </w:t>
      </w:r>
      <w:r w:rsidR="005B766F" w:rsidRPr="00B14070">
        <w:t>engine kits</w:t>
      </w:r>
      <w:r w:rsidR="009E5364" w:rsidRPr="00B14070">
        <w:t xml:space="preserve"> from </w:t>
      </w:r>
      <w:r w:rsidR="002207B1">
        <w:t>any revision of the</w:t>
      </w:r>
      <w:r w:rsidR="002207B1" w:rsidRPr="00B14070">
        <w:t xml:space="preserve"> </w:t>
      </w:r>
      <w:r w:rsidR="00BF628A" w:rsidRPr="00B14070">
        <w:t>mandatory</w:t>
      </w:r>
      <w:r w:rsidR="009E5364" w:rsidRPr="00B14070">
        <w:t xml:space="preserve"> safety standard.</w:t>
      </w:r>
      <w:r w:rsidR="009E5364">
        <w:t xml:space="preserve"> </w:t>
      </w:r>
    </w:p>
    <w:p w:rsidR="00B710A9" w:rsidRDefault="00B710A9" w:rsidP="00527F52">
      <w:pPr>
        <w:pStyle w:val="Heading3"/>
      </w:pPr>
      <w:r>
        <w:t>Other changes in the market</w:t>
      </w:r>
    </w:p>
    <w:p w:rsidR="009E5364" w:rsidRDefault="00880123" w:rsidP="00C2340C">
      <w:pPr>
        <w:pStyle w:val="Numbered1111"/>
        <w:numPr>
          <w:ilvl w:val="0"/>
          <w:numId w:val="0"/>
        </w:numPr>
      </w:pPr>
      <w:r>
        <w:t>One-of-a-kind, folding, tandem</w:t>
      </w:r>
      <w:r w:rsidR="00855DAC">
        <w:t xml:space="preserve"> and recumbent </w:t>
      </w:r>
      <w:r w:rsidR="009E5364">
        <w:t>bicycles</w:t>
      </w:r>
    </w:p>
    <w:p w:rsidR="008F095D" w:rsidRDefault="00CB15E0" w:rsidP="009E5364">
      <w:r>
        <w:t xml:space="preserve">Cyclists using </w:t>
      </w:r>
      <w:r w:rsidR="00430946">
        <w:t>one</w:t>
      </w:r>
      <w:r w:rsidR="009E5364">
        <w:t>-of-a-kind, folding, tandem, and recumbent bicycles</w:t>
      </w:r>
      <w:r w:rsidR="00B710A9">
        <w:t xml:space="preserve"> </w:t>
      </w:r>
      <w:r w:rsidR="00133F89" w:rsidRPr="00133F89">
        <w:t xml:space="preserve">face the same risks if the product fails as those </w:t>
      </w:r>
      <w:r>
        <w:t>using</w:t>
      </w:r>
      <w:r w:rsidR="00133F89" w:rsidRPr="00133F89">
        <w:t xml:space="preserve"> other bicycle</w:t>
      </w:r>
      <w:r>
        <w:t>s</w:t>
      </w:r>
      <w:r w:rsidR="00133F89" w:rsidRPr="00133F89">
        <w:t>.</w:t>
      </w:r>
      <w:r w:rsidR="00B710A9">
        <w:t xml:space="preserve"> </w:t>
      </w:r>
      <w:r w:rsidR="00855DAC">
        <w:t>The current mandatory safety standard excludes t</w:t>
      </w:r>
      <w:r w:rsidR="00B710A9">
        <w:t>hese bicycles.</w:t>
      </w:r>
      <w:r w:rsidR="006A2908">
        <w:t xml:space="preserve"> </w:t>
      </w:r>
    </w:p>
    <w:p w:rsidR="007D1273" w:rsidRDefault="009864AF" w:rsidP="009E5364">
      <w:r w:rsidRPr="00F7689E">
        <w:t>The ACCC does not have any data on injuries associated with the u</w:t>
      </w:r>
      <w:r>
        <w:t xml:space="preserve">se of </w:t>
      </w:r>
      <w:r w:rsidR="00075AAD">
        <w:t>one-of-a-kind, folding, tandem, and recumbent bicycles</w:t>
      </w:r>
      <w:r w:rsidRPr="009864AF">
        <w:t xml:space="preserve"> and </w:t>
      </w:r>
      <w:r w:rsidRPr="008C37B8">
        <w:t>invites information from stakeholder</w:t>
      </w:r>
      <w:r w:rsidRPr="008B41B9">
        <w:t xml:space="preserve">s. </w:t>
      </w:r>
      <w:r w:rsidR="007D1273" w:rsidRPr="009864AF">
        <w:t xml:space="preserve">The ACCC is considering </w:t>
      </w:r>
      <w:r w:rsidR="00B37964">
        <w:t>whether</w:t>
      </w:r>
      <w:r w:rsidR="00B37964" w:rsidRPr="00270CB2">
        <w:t xml:space="preserve"> </w:t>
      </w:r>
      <w:r w:rsidR="00B37964">
        <w:t xml:space="preserve">there are good reasons to regulate the supply of </w:t>
      </w:r>
      <w:r w:rsidR="007D1273" w:rsidRPr="009864AF">
        <w:t xml:space="preserve">these bicycles </w:t>
      </w:r>
      <w:r w:rsidR="001D7BC4" w:rsidRPr="009864AF">
        <w:t xml:space="preserve">in </w:t>
      </w:r>
      <w:r w:rsidR="00855DAC" w:rsidRPr="009864AF">
        <w:t>O</w:t>
      </w:r>
      <w:r w:rsidR="001D7BC4" w:rsidRPr="009864AF">
        <w:t>ption</w:t>
      </w:r>
      <w:r w:rsidR="00075AAD">
        <w:t>s 3 and</w:t>
      </w:r>
      <w:r w:rsidR="001D7BC4" w:rsidRPr="009864AF">
        <w:t xml:space="preserve"> </w:t>
      </w:r>
      <w:r w:rsidR="00BA44C0" w:rsidRPr="009864AF">
        <w:t xml:space="preserve">4 </w:t>
      </w:r>
      <w:r w:rsidR="001D7BC4" w:rsidRPr="009864AF">
        <w:t xml:space="preserve">of </w:t>
      </w:r>
      <w:r w:rsidR="000A1363" w:rsidRPr="009864AF">
        <w:t xml:space="preserve">this </w:t>
      </w:r>
      <w:r w:rsidR="0006153A" w:rsidRPr="009864AF">
        <w:t>consultation paper</w:t>
      </w:r>
      <w:r w:rsidR="00477002" w:rsidRPr="009864AF">
        <w:t>.</w:t>
      </w:r>
    </w:p>
    <w:p w:rsidR="009E5364" w:rsidRDefault="009E5364" w:rsidP="00C2340C">
      <w:pPr>
        <w:pStyle w:val="Numbered1111"/>
        <w:numPr>
          <w:ilvl w:val="0"/>
          <w:numId w:val="0"/>
        </w:numPr>
      </w:pPr>
      <w:r>
        <w:t xml:space="preserve">Second-hand </w:t>
      </w:r>
      <w:r w:rsidR="00133F89">
        <w:t xml:space="preserve">and hire </w:t>
      </w:r>
      <w:r>
        <w:t>bicycles</w:t>
      </w:r>
    </w:p>
    <w:p w:rsidR="009E5364" w:rsidRDefault="009E5364" w:rsidP="009E5364">
      <w:r>
        <w:t xml:space="preserve">The </w:t>
      </w:r>
      <w:r w:rsidR="00430946">
        <w:t xml:space="preserve">current </w:t>
      </w:r>
      <w:r>
        <w:t xml:space="preserve">mandatory safety standard </w:t>
      </w:r>
      <w:r w:rsidR="00B710A9">
        <w:t xml:space="preserve">does not apply to </w:t>
      </w:r>
      <w:r>
        <w:t xml:space="preserve">second-hand </w:t>
      </w:r>
      <w:r w:rsidR="00133F89">
        <w:t xml:space="preserve">and hire </w:t>
      </w:r>
      <w:r>
        <w:t>bicycles</w:t>
      </w:r>
      <w:r w:rsidR="00B710A9">
        <w:t xml:space="preserve">. </w:t>
      </w:r>
      <w:r w:rsidR="00430946">
        <w:t>ACCC r</w:t>
      </w:r>
      <w:r w:rsidR="00B710A9">
        <w:t>ecalls data shows that there are cases of product failure associated with component fatigu</w:t>
      </w:r>
      <w:r w:rsidR="008430E9">
        <w:t>e later in the life of</w:t>
      </w:r>
      <w:r w:rsidR="00CB15E0">
        <w:t xml:space="preserve"> bicycles</w:t>
      </w:r>
      <w:r w:rsidR="00B710A9">
        <w:t>. This presents an injury risk to consumers purchasing second</w:t>
      </w:r>
      <w:r w:rsidR="00543B72">
        <w:t>-</w:t>
      </w:r>
      <w:r w:rsidR="00B710A9">
        <w:t xml:space="preserve">hand bicycles. </w:t>
      </w:r>
    </w:p>
    <w:p w:rsidR="008F095D" w:rsidRPr="00543B72" w:rsidRDefault="00CB15E0" w:rsidP="009E5364">
      <w:r>
        <w:t>Cyclists</w:t>
      </w:r>
      <w:r w:rsidR="00133F89" w:rsidRPr="00133F89">
        <w:t xml:space="preserve"> face the same risks if the product fails or lacks safety information whether th</w:t>
      </w:r>
      <w:r w:rsidR="00B710A9">
        <w:t xml:space="preserve">e </w:t>
      </w:r>
      <w:r w:rsidR="00B710A9" w:rsidRPr="00F7689E">
        <w:t>bicycle is new or second</w:t>
      </w:r>
      <w:r w:rsidR="008430E9" w:rsidRPr="00F7689E">
        <w:t xml:space="preserve"> </w:t>
      </w:r>
      <w:r w:rsidR="00B710A9" w:rsidRPr="00F7689E">
        <w:t xml:space="preserve">hand. </w:t>
      </w:r>
    </w:p>
    <w:p w:rsidR="0096249A" w:rsidRDefault="00477002" w:rsidP="009E5364">
      <w:r w:rsidRPr="00F7689E">
        <w:t>The ACCC</w:t>
      </w:r>
      <w:r w:rsidR="00F7689E" w:rsidRPr="00F7689E">
        <w:t xml:space="preserve"> does not have any data on injuries associated with the u</w:t>
      </w:r>
      <w:r w:rsidR="00681B88">
        <w:t>se of second-</w:t>
      </w:r>
      <w:r w:rsidR="00F7689E" w:rsidRPr="00F7689E">
        <w:t>hand bicycles and</w:t>
      </w:r>
      <w:r w:rsidR="00681B88">
        <w:t xml:space="preserve"> invites </w:t>
      </w:r>
      <w:r w:rsidR="001837EA">
        <w:t>information</w:t>
      </w:r>
      <w:r w:rsidR="001837EA" w:rsidRPr="001837EA">
        <w:t xml:space="preserve"> </w:t>
      </w:r>
      <w:r w:rsidR="001837EA">
        <w:t>from stakeholders.</w:t>
      </w:r>
      <w:r w:rsidR="00F7689E" w:rsidRPr="00F7689E">
        <w:t xml:space="preserve"> </w:t>
      </w:r>
      <w:r w:rsidR="00E4448C" w:rsidRPr="00F7689E">
        <w:t>O</w:t>
      </w:r>
      <w:r w:rsidRPr="00F7689E">
        <w:t>ption</w:t>
      </w:r>
      <w:r w:rsidR="00075AAD">
        <w:t>s 3 and</w:t>
      </w:r>
      <w:r w:rsidRPr="00F7689E">
        <w:t xml:space="preserve"> </w:t>
      </w:r>
      <w:r w:rsidR="00BA44C0" w:rsidRPr="00F7689E">
        <w:t xml:space="preserve">4 </w:t>
      </w:r>
      <w:r w:rsidRPr="00F7689E">
        <w:t xml:space="preserve">of </w:t>
      </w:r>
      <w:r w:rsidR="001837EA" w:rsidRPr="00F7689E">
        <w:t xml:space="preserve">this </w:t>
      </w:r>
      <w:r w:rsidR="001837EA">
        <w:t>consultation</w:t>
      </w:r>
      <w:r w:rsidR="00681B88" w:rsidRPr="00F7689E">
        <w:t xml:space="preserve"> paper</w:t>
      </w:r>
      <w:r w:rsidR="00543B72">
        <w:t xml:space="preserve"> consider</w:t>
      </w:r>
      <w:r w:rsidR="00B37964" w:rsidRPr="00B37964">
        <w:t xml:space="preserve"> </w:t>
      </w:r>
      <w:r w:rsidR="00B37964">
        <w:t>whether</w:t>
      </w:r>
      <w:r w:rsidR="00B37964" w:rsidRPr="00270CB2">
        <w:t xml:space="preserve"> </w:t>
      </w:r>
      <w:r w:rsidR="00B37964">
        <w:t>there are good reasons to include</w:t>
      </w:r>
      <w:r w:rsidR="00543B72">
        <w:t xml:space="preserve"> second-</w:t>
      </w:r>
      <w:r w:rsidR="00F7689E" w:rsidRPr="00F7689E">
        <w:t>hand bicycles in a mandatory safety standard</w:t>
      </w:r>
      <w:r w:rsidRPr="00F7689E">
        <w:t>.</w:t>
      </w:r>
      <w:r w:rsidR="00F7689E">
        <w:t xml:space="preserve"> </w:t>
      </w:r>
    </w:p>
    <w:p w:rsidR="00B37964" w:rsidRDefault="00B37964" w:rsidP="009E5364"/>
    <w:p w:rsidR="009E5364" w:rsidRDefault="009E5364" w:rsidP="00C2340C">
      <w:pPr>
        <w:pStyle w:val="Numbered1111"/>
        <w:numPr>
          <w:ilvl w:val="0"/>
          <w:numId w:val="0"/>
        </w:numPr>
      </w:pPr>
      <w:r>
        <w:lastRenderedPageBreak/>
        <w:t xml:space="preserve">Competition bicycles </w:t>
      </w:r>
    </w:p>
    <w:p w:rsidR="009E5364" w:rsidRDefault="003E5614" w:rsidP="009E5364">
      <w:r>
        <w:t>The current mandatory safety standard excludes b</w:t>
      </w:r>
      <w:r w:rsidR="00495517">
        <w:t>icycles</w:t>
      </w:r>
      <w:r w:rsidR="009E5364">
        <w:t xml:space="preserve"> designed for specific competitive purposes</w:t>
      </w:r>
      <w:r w:rsidR="0096249A">
        <w:t xml:space="preserve"> such as BMX competitions or racing. </w:t>
      </w:r>
      <w:r w:rsidR="00430946">
        <w:t>Competition bicycles</w:t>
      </w:r>
      <w:r w:rsidR="000A260F">
        <w:t xml:space="preserve"> are </w:t>
      </w:r>
      <w:r w:rsidR="009E5364">
        <w:t xml:space="preserve">not suited for roads </w:t>
      </w:r>
      <w:r w:rsidR="00430946">
        <w:t>or heavy traffic</w:t>
      </w:r>
      <w:r w:rsidR="0096249A">
        <w:t>,</w:t>
      </w:r>
      <w:r w:rsidR="009E5364">
        <w:t xml:space="preserve"> as they often don’t come with safety features </w:t>
      </w:r>
      <w:r w:rsidR="00430946">
        <w:t>like</w:t>
      </w:r>
      <w:r w:rsidR="009E5364">
        <w:t xml:space="preserve"> brakes or reflectors.</w:t>
      </w:r>
    </w:p>
    <w:p w:rsidR="00493D69" w:rsidRDefault="00493D69" w:rsidP="009E5364">
      <w:r>
        <w:t xml:space="preserve">Cyclists riding competition bikes on roads would be breaching State and Territory road rules. </w:t>
      </w:r>
      <w:r w:rsidR="009E5364">
        <w:t xml:space="preserve">The ACCC </w:t>
      </w:r>
      <w:r w:rsidR="00B337FE" w:rsidRPr="00F7689E">
        <w:t xml:space="preserve">does not have any data </w:t>
      </w:r>
      <w:r w:rsidR="00B337FE">
        <w:t xml:space="preserve">on the prevalence of </w:t>
      </w:r>
      <w:r w:rsidR="009A62A2">
        <w:t xml:space="preserve">cyclists using </w:t>
      </w:r>
      <w:r w:rsidR="00B337FE">
        <w:t xml:space="preserve">competition bikes for general road use </w:t>
      </w:r>
      <w:r w:rsidR="009A62A2">
        <w:t>and we do not have</w:t>
      </w:r>
      <w:r w:rsidR="00B337FE">
        <w:t xml:space="preserve"> injury data </w:t>
      </w:r>
      <w:r w:rsidR="009A62A2">
        <w:t>that suggests that</w:t>
      </w:r>
      <w:r>
        <w:t xml:space="preserve"> this is a problem. </w:t>
      </w:r>
      <w:r w:rsidR="009A62A2">
        <w:t xml:space="preserve">However, we </w:t>
      </w:r>
      <w:r w:rsidR="00B337FE">
        <w:t>invite information</w:t>
      </w:r>
      <w:r w:rsidR="00B337FE" w:rsidRPr="001837EA">
        <w:t xml:space="preserve"> </w:t>
      </w:r>
      <w:r w:rsidR="00B337FE">
        <w:t>from stakeholders</w:t>
      </w:r>
      <w:r w:rsidR="009A62A2">
        <w:t xml:space="preserve"> about the use of competition bikes</w:t>
      </w:r>
      <w:r w:rsidR="00B337FE">
        <w:t xml:space="preserve">. </w:t>
      </w:r>
    </w:p>
    <w:p w:rsidR="00493D69" w:rsidRDefault="00493D69" w:rsidP="00493D69">
      <w:r>
        <w:t xml:space="preserve">Bicycles that have multi-purpose functions designed and intended for use on roads and in competition are already included in the current mandatory safety standard. We propose to continue regulating the supply of those bicycles. </w:t>
      </w:r>
    </w:p>
    <w:p w:rsidR="009B592F" w:rsidRDefault="00365070" w:rsidP="009E5364">
      <w:r>
        <w:t xml:space="preserve">At this stage, </w:t>
      </w:r>
      <w:r w:rsidR="009A62A2">
        <w:t>we</w:t>
      </w:r>
      <w:r>
        <w:t xml:space="preserve"> </w:t>
      </w:r>
      <w:r w:rsidR="009E5364">
        <w:t xml:space="preserve">propose that bicycles designed, promoted and supplied exclusively for competition use remain </w:t>
      </w:r>
      <w:r w:rsidR="009072A1">
        <w:t xml:space="preserve">excluded </w:t>
      </w:r>
      <w:r w:rsidR="009E5364">
        <w:t xml:space="preserve">from </w:t>
      </w:r>
      <w:r w:rsidR="00430946">
        <w:t>a</w:t>
      </w:r>
      <w:r w:rsidR="009A62A2">
        <w:t>ny</w:t>
      </w:r>
      <w:r w:rsidR="00430946">
        <w:t xml:space="preserve"> revised </w:t>
      </w:r>
      <w:r w:rsidR="000A260F">
        <w:t>mandatory</w:t>
      </w:r>
      <w:r w:rsidR="009E5364">
        <w:t xml:space="preserve"> safety standard</w:t>
      </w:r>
      <w:r w:rsidR="009072A1">
        <w:t>.</w:t>
      </w:r>
      <w:r w:rsidR="009E5364">
        <w:t xml:space="preserve"> </w:t>
      </w:r>
    </w:p>
    <w:p w:rsidR="0089607B" w:rsidRPr="0089607B" w:rsidRDefault="00493D69" w:rsidP="0089607B">
      <w:r>
        <w:t>H</w:t>
      </w:r>
      <w:r w:rsidR="00853532">
        <w:t>owever</w:t>
      </w:r>
      <w:r>
        <w:t>, some consumers could be confused about whether they can ride competition bikes</w:t>
      </w:r>
      <w:r w:rsidR="00853532">
        <w:t xml:space="preserve"> </w:t>
      </w:r>
      <w:r>
        <w:t>on the road and this could influence purchasing decisions. One way to address this would be to</w:t>
      </w:r>
      <w:r w:rsidR="00763391">
        <w:t xml:space="preserve"> require </w:t>
      </w:r>
      <w:r w:rsidR="00853532">
        <w:t>these</w:t>
      </w:r>
      <w:r w:rsidR="00853532" w:rsidRPr="000A25D3">
        <w:t xml:space="preserve"> </w:t>
      </w:r>
      <w:r w:rsidR="009072A1" w:rsidRPr="000A25D3">
        <w:t xml:space="preserve">bicycles </w:t>
      </w:r>
      <w:r w:rsidR="00763391">
        <w:t xml:space="preserve">to </w:t>
      </w:r>
      <w:proofErr w:type="gramStart"/>
      <w:r w:rsidR="00763391">
        <w:t xml:space="preserve">be </w:t>
      </w:r>
      <w:r>
        <w:t>supplied</w:t>
      </w:r>
      <w:proofErr w:type="gramEnd"/>
      <w:r w:rsidR="009E5364" w:rsidRPr="000A25D3">
        <w:t xml:space="preserve"> with a warning that the bicycle is not suitable for general road use. </w:t>
      </w:r>
      <w:r>
        <w:t>A possible</w:t>
      </w:r>
      <w:r w:rsidR="0089607B" w:rsidRPr="000A25D3">
        <w:t xml:space="preserve"> warning (or words to the same effect) </w:t>
      </w:r>
      <w:r>
        <w:t>c</w:t>
      </w:r>
      <w:r w:rsidRPr="000A25D3">
        <w:t xml:space="preserve">ould </w:t>
      </w:r>
      <w:r w:rsidR="0089607B" w:rsidRPr="000A25D3">
        <w:t>be:</w:t>
      </w:r>
    </w:p>
    <w:p w:rsidR="004F3B6A" w:rsidRDefault="0089607B" w:rsidP="009E5364">
      <w:pPr>
        <w:rPr>
          <w:b/>
        </w:rPr>
      </w:pPr>
      <w:r w:rsidRPr="0089607B">
        <w:rPr>
          <w:b/>
        </w:rPr>
        <w:t>“WARNING: competition bicycle</w:t>
      </w:r>
      <w:r w:rsidR="00CB15E0">
        <w:rPr>
          <w:rFonts w:cs="Arial"/>
          <w:b/>
        </w:rPr>
        <w:t>—</w:t>
      </w:r>
      <w:r w:rsidRPr="0089607B">
        <w:rPr>
          <w:b/>
        </w:rPr>
        <w:t>no</w:t>
      </w:r>
      <w:r w:rsidR="00D07838">
        <w:rPr>
          <w:b/>
        </w:rPr>
        <w:t>t suitable for general road use</w:t>
      </w:r>
      <w:r w:rsidRPr="0089607B">
        <w:rPr>
          <w:b/>
        </w:rPr>
        <w:t>”</w:t>
      </w:r>
      <w:r w:rsidR="00493D69" w:rsidRPr="00594D0F">
        <w:t>.</w:t>
      </w:r>
    </w:p>
    <w:p w:rsidR="00BA1BFC" w:rsidRDefault="00BA1BFC" w:rsidP="002B7960">
      <w:pPr>
        <w:pStyle w:val="Numbered11"/>
      </w:pPr>
      <w:bookmarkStart w:id="135" w:name="_Toc463541555"/>
      <w:bookmarkStart w:id="136" w:name="_Toc463541556"/>
      <w:bookmarkStart w:id="137" w:name="_Toc457220026"/>
      <w:bookmarkStart w:id="138" w:name="_Toc457222945"/>
      <w:bookmarkStart w:id="139" w:name="_Toc457228137"/>
      <w:bookmarkStart w:id="140" w:name="_Toc457465403"/>
      <w:bookmarkStart w:id="141" w:name="_Toc457569979"/>
      <w:bookmarkStart w:id="142" w:name="_Toc463541557"/>
      <w:bookmarkStart w:id="143" w:name="_Toc440455035"/>
      <w:bookmarkStart w:id="144" w:name="_Toc462919662"/>
      <w:bookmarkStart w:id="145" w:name="_Toc440455045"/>
      <w:bookmarkEnd w:id="135"/>
      <w:bookmarkEnd w:id="136"/>
      <w:r>
        <w:t>International standards</w:t>
      </w:r>
      <w:bookmarkEnd w:id="137"/>
      <w:bookmarkEnd w:id="138"/>
      <w:bookmarkEnd w:id="139"/>
      <w:bookmarkEnd w:id="140"/>
      <w:bookmarkEnd w:id="141"/>
      <w:bookmarkEnd w:id="142"/>
      <w:r>
        <w:t xml:space="preserve"> </w:t>
      </w:r>
      <w:bookmarkEnd w:id="143"/>
      <w:bookmarkEnd w:id="144"/>
    </w:p>
    <w:p w:rsidR="00C25096" w:rsidRPr="00DB6C88" w:rsidRDefault="00C25096" w:rsidP="00C25096">
      <w:r w:rsidRPr="00DB6C88">
        <w:t>The ACCC uses the following criteria when assessing whether international standards are appropriate for use in product safety standards in Australia:</w:t>
      </w:r>
      <w:r w:rsidRPr="00DB6C88">
        <w:rPr>
          <w:vertAlign w:val="superscript"/>
        </w:rPr>
        <w:footnoteReference w:id="18"/>
      </w:r>
      <w:r w:rsidRPr="00DB6C88">
        <w:t xml:space="preserve"> </w:t>
      </w:r>
    </w:p>
    <w:p w:rsidR="00C25096" w:rsidRPr="00DB6C88" w:rsidRDefault="00C25096" w:rsidP="00C25096">
      <w:pPr>
        <w:pStyle w:val="Bulletpoint"/>
        <w:ind w:left="360" w:hanging="360"/>
      </w:pPr>
      <w:r w:rsidRPr="00DB6C88">
        <w:t>Addressing safety concerns: Is there evidence that the international standard provides an acceptable level of consumer safety?</w:t>
      </w:r>
    </w:p>
    <w:p w:rsidR="00C25096" w:rsidRDefault="00C25096" w:rsidP="00C25096">
      <w:pPr>
        <w:pStyle w:val="Bulletpoint"/>
        <w:ind w:left="360" w:hanging="360"/>
      </w:pPr>
      <w:r w:rsidRPr="00EE5651">
        <w:t xml:space="preserve">Comparable jurisdiction to Australia: </w:t>
      </w:r>
      <w:r w:rsidRPr="00DB6C88">
        <w:t xml:space="preserve">Is the international standard </w:t>
      </w:r>
      <w:proofErr w:type="gramStart"/>
      <w:r w:rsidRPr="00DB6C88">
        <w:t>published</w:t>
      </w:r>
      <w:proofErr w:type="gramEnd"/>
      <w:r w:rsidRPr="00DB6C88">
        <w:t xml:space="preserve"> or developed by a legitimate standards body or government agency from an economy or nation with comparable economic and regulatory processes to Australia?</w:t>
      </w:r>
    </w:p>
    <w:p w:rsidR="00C25096" w:rsidRDefault="00C25096" w:rsidP="00C25096">
      <w:pPr>
        <w:pStyle w:val="Bulletpoint"/>
        <w:ind w:left="360" w:hanging="360"/>
      </w:pPr>
      <w:r w:rsidRPr="00EE5651">
        <w:t>Applicability to the Australian context:</w:t>
      </w:r>
      <w:r w:rsidRPr="009256BA">
        <w:rPr>
          <w:bCs/>
        </w:rPr>
        <w:t xml:space="preserve"> </w:t>
      </w:r>
      <w:r w:rsidRPr="00DB6C88">
        <w:t>Is the international standard applicable and sufficient in the Australian context?</w:t>
      </w:r>
    </w:p>
    <w:p w:rsidR="00C0611F" w:rsidRDefault="00C25096" w:rsidP="008C37B8">
      <w:pPr>
        <w:rPr>
          <w:b/>
          <w:sz w:val="20"/>
          <w:szCs w:val="20"/>
        </w:rPr>
      </w:pPr>
      <w:r w:rsidRPr="00C25096">
        <w:t xml:space="preserve">Table 2 </w:t>
      </w:r>
      <w:r>
        <w:t xml:space="preserve">lists the </w:t>
      </w:r>
      <w:r w:rsidR="0082281C">
        <w:t xml:space="preserve">international standards </w:t>
      </w:r>
      <w:r w:rsidR="006C34C4">
        <w:t>that</w:t>
      </w:r>
      <w:r w:rsidR="0082281C">
        <w:t xml:space="preserve"> </w:t>
      </w:r>
      <w:r w:rsidR="00D44D9E">
        <w:t xml:space="preserve">we </w:t>
      </w:r>
      <w:r w:rsidR="00B07176">
        <w:t>have assessed against the above criteria.</w:t>
      </w:r>
    </w:p>
    <w:p w:rsidR="00B72D81" w:rsidRDefault="00B72D81">
      <w:pPr>
        <w:rPr>
          <w:b/>
          <w:sz w:val="20"/>
          <w:szCs w:val="20"/>
        </w:rPr>
      </w:pPr>
      <w:r>
        <w:rPr>
          <w:b/>
          <w:sz w:val="20"/>
          <w:szCs w:val="20"/>
        </w:rPr>
        <w:br w:type="page"/>
      </w:r>
    </w:p>
    <w:p w:rsidR="00BA1BFC" w:rsidRPr="00802B61" w:rsidRDefault="00592355" w:rsidP="00E67B40">
      <w:pPr>
        <w:spacing w:after="120"/>
        <w:rPr>
          <w:b/>
          <w:sz w:val="20"/>
          <w:szCs w:val="20"/>
        </w:rPr>
      </w:pPr>
      <w:r w:rsidRPr="00802B61">
        <w:rPr>
          <w:b/>
          <w:sz w:val="20"/>
          <w:szCs w:val="20"/>
        </w:rPr>
        <w:lastRenderedPageBreak/>
        <w:t>Table 2: Standards by region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217"/>
      </w:tblGrid>
      <w:tr w:rsidR="00BA1BFC" w:rsidRPr="00EA6614" w:rsidTr="00535388">
        <w:trPr>
          <w:tblHeader/>
        </w:trPr>
        <w:tc>
          <w:tcPr>
            <w:tcW w:w="1417" w:type="dxa"/>
            <w:shd w:val="clear" w:color="auto" w:fill="D9D9D9"/>
          </w:tcPr>
          <w:p w:rsidR="00BA1BFC" w:rsidRPr="009E1B01" w:rsidRDefault="00BA1BFC" w:rsidP="00BA1BFC">
            <w:pPr>
              <w:pStyle w:val="TableHeading"/>
            </w:pPr>
            <w:r>
              <w:t>Region</w:t>
            </w:r>
          </w:p>
        </w:tc>
        <w:tc>
          <w:tcPr>
            <w:tcW w:w="7217" w:type="dxa"/>
            <w:shd w:val="clear" w:color="auto" w:fill="D9D9D9"/>
          </w:tcPr>
          <w:p w:rsidR="00BA1BFC" w:rsidRPr="009E1B01" w:rsidRDefault="00BA1BFC" w:rsidP="00BA1BFC">
            <w:pPr>
              <w:pStyle w:val="TableHeading"/>
            </w:pPr>
            <w:r w:rsidRPr="009E1B01">
              <w:t>Standard</w:t>
            </w:r>
          </w:p>
        </w:tc>
      </w:tr>
      <w:tr w:rsidR="00BA1BFC" w:rsidRPr="00EA6614" w:rsidTr="00BA1BFC">
        <w:tc>
          <w:tcPr>
            <w:tcW w:w="1417" w:type="dxa"/>
            <w:shd w:val="clear" w:color="auto" w:fill="auto"/>
          </w:tcPr>
          <w:p w:rsidR="00BA1BFC" w:rsidRPr="009E1B01" w:rsidRDefault="00BA1BFC" w:rsidP="00BA1BFC">
            <w:pPr>
              <w:pStyle w:val="Tabletext"/>
            </w:pPr>
            <w:r w:rsidRPr="009E1B01">
              <w:t xml:space="preserve">Australian </w:t>
            </w:r>
          </w:p>
        </w:tc>
        <w:tc>
          <w:tcPr>
            <w:tcW w:w="7217" w:type="dxa"/>
            <w:shd w:val="clear" w:color="auto" w:fill="auto"/>
          </w:tcPr>
          <w:p w:rsidR="00BA1BFC" w:rsidRPr="009E1B01" w:rsidRDefault="00BA1BFC" w:rsidP="00BA1BFC">
            <w:pPr>
              <w:pStyle w:val="Tabletext"/>
            </w:pPr>
            <w:r w:rsidRPr="009E1B01">
              <w:t>AS/NZS 1927:2010 Pedal bicycles</w:t>
            </w:r>
            <w:r>
              <w:t>—</w:t>
            </w:r>
            <w:r w:rsidRPr="009E1B01">
              <w:t>Safety requirements</w:t>
            </w:r>
          </w:p>
        </w:tc>
      </w:tr>
      <w:tr w:rsidR="00BA1BFC" w:rsidRPr="00EA6614" w:rsidTr="00BA1BFC">
        <w:tc>
          <w:tcPr>
            <w:tcW w:w="1417" w:type="dxa"/>
            <w:shd w:val="clear" w:color="auto" w:fill="auto"/>
          </w:tcPr>
          <w:p w:rsidR="00BA1BFC" w:rsidRPr="009E1B01" w:rsidRDefault="00BA1BFC" w:rsidP="00BA1BFC">
            <w:pPr>
              <w:pStyle w:val="Tabletext"/>
            </w:pPr>
            <w:r w:rsidRPr="009E1B01">
              <w:t>USA</w:t>
            </w:r>
          </w:p>
        </w:tc>
        <w:tc>
          <w:tcPr>
            <w:tcW w:w="7217" w:type="dxa"/>
            <w:shd w:val="clear" w:color="auto" w:fill="auto"/>
          </w:tcPr>
          <w:p w:rsidR="00BA1BFC" w:rsidRPr="009E1B01" w:rsidRDefault="00BA1BFC" w:rsidP="00BA1BFC">
            <w:pPr>
              <w:pStyle w:val="Tabletext"/>
            </w:pPr>
            <w:r w:rsidRPr="009E1B01">
              <w:t xml:space="preserve">16 CFR Ch. </w:t>
            </w:r>
            <w:r>
              <w:t>II (1-1-12 Edition) Part 1512—</w:t>
            </w:r>
            <w:r w:rsidRPr="009E1B01">
              <w:t>Requirements for bicycles</w:t>
            </w:r>
          </w:p>
        </w:tc>
      </w:tr>
      <w:tr w:rsidR="00BA1BFC" w:rsidRPr="00EA6614" w:rsidTr="00BA1BFC">
        <w:tc>
          <w:tcPr>
            <w:tcW w:w="1417" w:type="dxa"/>
            <w:vMerge w:val="restart"/>
            <w:shd w:val="clear" w:color="auto" w:fill="auto"/>
          </w:tcPr>
          <w:p w:rsidR="00BA1BFC" w:rsidRPr="009E1B01" w:rsidRDefault="00BA1BFC" w:rsidP="00BA1BFC">
            <w:pPr>
              <w:pStyle w:val="Tabletext"/>
            </w:pPr>
            <w:r w:rsidRPr="009E1B01">
              <w:t xml:space="preserve">International </w:t>
            </w:r>
          </w:p>
          <w:p w:rsidR="00BA1BFC" w:rsidRPr="009E1B01" w:rsidRDefault="00BA1BFC" w:rsidP="00BA1BFC">
            <w:pPr>
              <w:pStyle w:val="Tabletext"/>
            </w:pPr>
          </w:p>
        </w:tc>
        <w:tc>
          <w:tcPr>
            <w:tcW w:w="7217" w:type="dxa"/>
            <w:shd w:val="clear" w:color="auto" w:fill="auto"/>
          </w:tcPr>
          <w:p w:rsidR="00BA1BFC" w:rsidRPr="009E1B01" w:rsidRDefault="00BA1BFC" w:rsidP="00BA1BFC">
            <w:pPr>
              <w:pStyle w:val="Tabletext"/>
            </w:pPr>
            <w:r w:rsidRPr="009E1B01">
              <w:t>ISO 4210:</w:t>
            </w:r>
            <w:r>
              <w:t xml:space="preserve">2014 </w:t>
            </w:r>
            <w:r w:rsidRPr="009E1B01">
              <w:t>Cycles</w:t>
            </w:r>
            <w:r>
              <w:t>—</w:t>
            </w:r>
            <w:r w:rsidRPr="009E1B01">
              <w:t>Safety requirements for bicycles</w:t>
            </w:r>
            <w:r>
              <w:t>, parts 1-9</w:t>
            </w:r>
          </w:p>
        </w:tc>
      </w:tr>
      <w:tr w:rsidR="00BA1BFC" w:rsidRPr="00EA6614" w:rsidTr="00BA1BFC">
        <w:trPr>
          <w:trHeight w:val="392"/>
        </w:trPr>
        <w:tc>
          <w:tcPr>
            <w:tcW w:w="1417" w:type="dxa"/>
            <w:vMerge/>
            <w:shd w:val="clear" w:color="auto" w:fill="auto"/>
          </w:tcPr>
          <w:p w:rsidR="00BA1BFC" w:rsidRPr="009E1B01" w:rsidRDefault="00BA1BFC" w:rsidP="00BA1BFC">
            <w:pPr>
              <w:pStyle w:val="Tabletext"/>
            </w:pPr>
          </w:p>
        </w:tc>
        <w:tc>
          <w:tcPr>
            <w:tcW w:w="7217" w:type="dxa"/>
            <w:shd w:val="clear" w:color="auto" w:fill="auto"/>
          </w:tcPr>
          <w:p w:rsidR="00BA1BFC" w:rsidRPr="009E1B01" w:rsidRDefault="00BA1BFC" w:rsidP="00BA1BFC">
            <w:pPr>
              <w:pStyle w:val="Tabletext"/>
            </w:pPr>
            <w:r w:rsidRPr="009E1B01">
              <w:t>ISO 8098:2002 Cycles</w:t>
            </w:r>
            <w:r>
              <w:t>—</w:t>
            </w:r>
            <w:r w:rsidRPr="009E1B01">
              <w:t>Safety requirements for bicycles for young children</w:t>
            </w:r>
          </w:p>
        </w:tc>
      </w:tr>
      <w:tr w:rsidR="00BA1BFC" w:rsidRPr="00EA6614" w:rsidTr="00BA1BFC">
        <w:tc>
          <w:tcPr>
            <w:tcW w:w="1417" w:type="dxa"/>
            <w:vMerge w:val="restart"/>
            <w:shd w:val="clear" w:color="auto" w:fill="auto"/>
          </w:tcPr>
          <w:p w:rsidR="00BA1BFC" w:rsidRPr="009E1B01" w:rsidRDefault="00BA1BFC" w:rsidP="00BA1BFC">
            <w:pPr>
              <w:pStyle w:val="Tabletext"/>
            </w:pPr>
            <w:r w:rsidRPr="009E1B01">
              <w:t xml:space="preserve">European </w:t>
            </w:r>
          </w:p>
          <w:p w:rsidR="00BA1BFC" w:rsidRPr="009E1B01" w:rsidRDefault="00BA1BFC" w:rsidP="00BA1BFC">
            <w:pPr>
              <w:pStyle w:val="Tabletext"/>
            </w:pPr>
          </w:p>
        </w:tc>
        <w:tc>
          <w:tcPr>
            <w:tcW w:w="7217" w:type="dxa"/>
            <w:shd w:val="clear" w:color="auto" w:fill="auto"/>
          </w:tcPr>
          <w:p w:rsidR="00BA1BFC" w:rsidRPr="009E1B01" w:rsidRDefault="00BA1BFC" w:rsidP="00BA1BFC">
            <w:pPr>
              <w:pStyle w:val="Tabletext"/>
            </w:pPr>
            <w:r w:rsidRPr="009E1B01">
              <w:t>EN 14764:2006 City and trekking bicycles</w:t>
            </w:r>
            <w:r>
              <w:t>—</w:t>
            </w:r>
            <w:r w:rsidRPr="009E1B01">
              <w:t>Safety requirements and test methods</w:t>
            </w:r>
          </w:p>
        </w:tc>
      </w:tr>
      <w:tr w:rsidR="00BA1BFC" w:rsidRPr="00EA6614" w:rsidTr="00BA1BFC">
        <w:tc>
          <w:tcPr>
            <w:tcW w:w="1417" w:type="dxa"/>
            <w:vMerge/>
            <w:shd w:val="clear" w:color="auto" w:fill="auto"/>
          </w:tcPr>
          <w:p w:rsidR="00BA1BFC" w:rsidRPr="009E1B01" w:rsidRDefault="00BA1BFC" w:rsidP="00BA1BFC">
            <w:pPr>
              <w:pStyle w:val="Tabletext"/>
            </w:pPr>
          </w:p>
        </w:tc>
        <w:tc>
          <w:tcPr>
            <w:tcW w:w="7217" w:type="dxa"/>
            <w:shd w:val="clear" w:color="auto" w:fill="auto"/>
          </w:tcPr>
          <w:p w:rsidR="00BA1BFC" w:rsidRPr="009E1B01" w:rsidRDefault="00BA1BFC" w:rsidP="00BA1BFC">
            <w:pPr>
              <w:pStyle w:val="Tabletext"/>
            </w:pPr>
            <w:r w:rsidRPr="009E1B01">
              <w:t>EN 14781:2006 Racing bicycles</w:t>
            </w:r>
            <w:r>
              <w:t>—</w:t>
            </w:r>
            <w:r w:rsidRPr="009E1B01">
              <w:t>Safety requirements and test methods</w:t>
            </w:r>
          </w:p>
        </w:tc>
      </w:tr>
      <w:tr w:rsidR="00BA1BFC" w:rsidRPr="00EA6614" w:rsidTr="00BA1BFC">
        <w:tc>
          <w:tcPr>
            <w:tcW w:w="1417" w:type="dxa"/>
            <w:vMerge/>
            <w:shd w:val="clear" w:color="auto" w:fill="auto"/>
          </w:tcPr>
          <w:p w:rsidR="00BA1BFC" w:rsidRPr="009E1B01" w:rsidRDefault="00BA1BFC" w:rsidP="00BA1BFC">
            <w:pPr>
              <w:pStyle w:val="Tabletext"/>
            </w:pPr>
          </w:p>
        </w:tc>
        <w:tc>
          <w:tcPr>
            <w:tcW w:w="7217" w:type="dxa"/>
            <w:shd w:val="clear" w:color="auto" w:fill="auto"/>
          </w:tcPr>
          <w:p w:rsidR="00BA1BFC" w:rsidRPr="009E1B01" w:rsidRDefault="00BA1BFC" w:rsidP="00BA1BFC">
            <w:pPr>
              <w:pStyle w:val="Tabletext"/>
            </w:pPr>
            <w:r w:rsidRPr="009E1B01">
              <w:t>EN 14766:2006 Mountain bicycles</w:t>
            </w:r>
            <w:r>
              <w:t>—</w:t>
            </w:r>
            <w:r w:rsidRPr="009E1B01">
              <w:t>Safety requirements and test methods</w:t>
            </w:r>
          </w:p>
        </w:tc>
      </w:tr>
      <w:tr w:rsidR="00BA1BFC" w:rsidRPr="00EA6614" w:rsidTr="00BA1BFC">
        <w:tc>
          <w:tcPr>
            <w:tcW w:w="1417" w:type="dxa"/>
            <w:vMerge/>
            <w:shd w:val="clear" w:color="auto" w:fill="auto"/>
          </w:tcPr>
          <w:p w:rsidR="00BA1BFC" w:rsidRPr="009E1B01" w:rsidRDefault="00BA1BFC" w:rsidP="00BA1BFC">
            <w:pPr>
              <w:pStyle w:val="Tabletext"/>
            </w:pPr>
          </w:p>
        </w:tc>
        <w:tc>
          <w:tcPr>
            <w:tcW w:w="7217" w:type="dxa"/>
            <w:shd w:val="clear" w:color="auto" w:fill="auto"/>
          </w:tcPr>
          <w:p w:rsidR="00BA1BFC" w:rsidRPr="009E1B01" w:rsidRDefault="00BA1BFC" w:rsidP="00BA1BFC">
            <w:pPr>
              <w:pStyle w:val="Tabletext"/>
            </w:pPr>
            <w:r w:rsidRPr="009E1B01">
              <w:t>EN 16054:2012 BMX bicycles</w:t>
            </w:r>
            <w:r>
              <w:t>—</w:t>
            </w:r>
            <w:r w:rsidRPr="009E1B01">
              <w:t>Safety requirements and test methods</w:t>
            </w:r>
          </w:p>
        </w:tc>
      </w:tr>
      <w:tr w:rsidR="00BA1BFC" w:rsidRPr="00EA6614" w:rsidTr="00BA1BFC">
        <w:tc>
          <w:tcPr>
            <w:tcW w:w="1417" w:type="dxa"/>
            <w:vMerge/>
            <w:shd w:val="clear" w:color="auto" w:fill="auto"/>
          </w:tcPr>
          <w:p w:rsidR="00BA1BFC" w:rsidRPr="009E1B01" w:rsidRDefault="00BA1BFC" w:rsidP="00BA1BFC">
            <w:pPr>
              <w:pStyle w:val="Tabletext"/>
            </w:pPr>
          </w:p>
        </w:tc>
        <w:tc>
          <w:tcPr>
            <w:tcW w:w="7217" w:type="dxa"/>
            <w:shd w:val="clear" w:color="auto" w:fill="auto"/>
          </w:tcPr>
          <w:p w:rsidR="00BA1BFC" w:rsidRPr="009E1B01" w:rsidRDefault="00BA1BFC" w:rsidP="00BA1BFC">
            <w:pPr>
              <w:pStyle w:val="Tabletext"/>
            </w:pPr>
            <w:r w:rsidRPr="009E1B01">
              <w:t>EN 14765:2005 Bicycles for young children</w:t>
            </w:r>
            <w:r>
              <w:t>—</w:t>
            </w:r>
            <w:r w:rsidRPr="009E1B01">
              <w:t>Safety requirements and test methods</w:t>
            </w:r>
          </w:p>
        </w:tc>
      </w:tr>
    </w:tbl>
    <w:p w:rsidR="00F43C34" w:rsidRDefault="000A192D" w:rsidP="00527F52">
      <w:pPr>
        <w:pStyle w:val="Heading3"/>
      </w:pPr>
      <w:r>
        <w:t xml:space="preserve">United States </w:t>
      </w:r>
      <w:r w:rsidR="00053BFC">
        <w:t>CPSC</w:t>
      </w:r>
      <w:r>
        <w:t xml:space="preserve"> </w:t>
      </w:r>
      <w:r w:rsidR="00F43C34">
        <w:t>Standard</w:t>
      </w:r>
    </w:p>
    <w:p w:rsidR="00A13522" w:rsidRDefault="000B3CDA" w:rsidP="000B3CDA">
      <w:pPr>
        <w:tabs>
          <w:tab w:val="left" w:pos="1758"/>
        </w:tabs>
      </w:pPr>
      <w:r>
        <w:t xml:space="preserve">The </w:t>
      </w:r>
      <w:r w:rsidR="000A192D">
        <w:t>United States Consumer Product Safety Commission (</w:t>
      </w:r>
      <w:r>
        <w:t>CPSC</w:t>
      </w:r>
      <w:r w:rsidR="000A192D">
        <w:t>)</w:t>
      </w:r>
      <w:r>
        <w:t xml:space="preserve"> </w:t>
      </w:r>
      <w:r w:rsidR="00A13522">
        <w:t xml:space="preserve">is an independent agency of the United States government. </w:t>
      </w:r>
      <w:r w:rsidR="00A13522" w:rsidRPr="00F43C34">
        <w:t>The CPSC regulates the sale and manufacture of consumer products</w:t>
      </w:r>
      <w:r w:rsidR="00E4448C">
        <w:t xml:space="preserve">, </w:t>
      </w:r>
      <w:r w:rsidR="00A55148">
        <w:t>and is</w:t>
      </w:r>
      <w:r w:rsidR="00E4448C">
        <w:t xml:space="preserve"> </w:t>
      </w:r>
      <w:r w:rsidR="00E4448C" w:rsidRPr="00E4448C">
        <w:t>a reputable standards development body</w:t>
      </w:r>
      <w:r w:rsidR="00A55148">
        <w:t>. The</w:t>
      </w:r>
      <w:r w:rsidR="00E4448C" w:rsidRPr="00E4448C">
        <w:t xml:space="preserve"> </w:t>
      </w:r>
      <w:r w:rsidR="00E4448C">
        <w:t>United States</w:t>
      </w:r>
      <w:r w:rsidR="00E4448C" w:rsidRPr="00E4448C">
        <w:t xml:space="preserve"> is a jurisdiction with comparable economic and regulatory processes to Australia.</w:t>
      </w:r>
    </w:p>
    <w:p w:rsidR="00CB694A" w:rsidRPr="00F50A7C" w:rsidRDefault="00A13522" w:rsidP="00A13522">
      <w:pPr>
        <w:tabs>
          <w:tab w:val="left" w:pos="1758"/>
        </w:tabs>
      </w:pPr>
      <w:r>
        <w:t xml:space="preserve">The CPSC </w:t>
      </w:r>
      <w:r w:rsidR="000B3CDA">
        <w:t>standard</w:t>
      </w:r>
      <w:r w:rsidR="008A72D1">
        <w:t xml:space="preserve"> broadly</w:t>
      </w:r>
      <w:r w:rsidR="000B3CDA">
        <w:t xml:space="preserve"> has similar requirements to the</w:t>
      </w:r>
      <w:r w:rsidR="009263CC">
        <w:t xml:space="preserve"> updated voluntary</w:t>
      </w:r>
      <w:r w:rsidR="000B3CDA">
        <w:t xml:space="preserve"> Australian s</w:t>
      </w:r>
      <w:r w:rsidR="008A72D1">
        <w:t xml:space="preserve">tandard in terms of steering, brakes, reflectors and markings. The standard does not have a requirement for a warning device and the hand brake levers are on the opposite side to the </w:t>
      </w:r>
      <w:r w:rsidR="009263CC">
        <w:t xml:space="preserve">updated voluntary </w:t>
      </w:r>
      <w:r w:rsidR="008A72D1">
        <w:t>Australian standard</w:t>
      </w:r>
      <w:r>
        <w:t xml:space="preserve"> (right </w:t>
      </w:r>
      <w:r w:rsidRPr="008D7DFF">
        <w:t>hand for rear and left hand for front)</w:t>
      </w:r>
      <w:r w:rsidR="008A72D1" w:rsidRPr="008D7DFF">
        <w:t xml:space="preserve">. </w:t>
      </w:r>
      <w:r w:rsidR="00D421BC" w:rsidRPr="008D7DFF">
        <w:t xml:space="preserve">The CPSC standard allows </w:t>
      </w:r>
      <w:r w:rsidR="00900556">
        <w:t xml:space="preserve">small </w:t>
      </w:r>
      <w:r w:rsidR="008A72D1" w:rsidRPr="008D7DFF">
        <w:t xml:space="preserve">bicycles </w:t>
      </w:r>
      <w:r w:rsidR="009263CC">
        <w:t xml:space="preserve">with a seat </w:t>
      </w:r>
      <w:r w:rsidR="00900556">
        <w:t>height less</w:t>
      </w:r>
      <w:r w:rsidR="009263CC">
        <w:t xml:space="preserve"> than 635 mm </w:t>
      </w:r>
      <w:r w:rsidR="00D421BC" w:rsidRPr="008D7DFF">
        <w:t xml:space="preserve">to have no </w:t>
      </w:r>
      <w:r w:rsidR="008A72D1" w:rsidRPr="008D7DFF">
        <w:t>reflectors</w:t>
      </w:r>
      <w:r w:rsidR="006812E7">
        <w:t>.</w:t>
      </w:r>
    </w:p>
    <w:p w:rsidR="008F095D" w:rsidRDefault="008F095D" w:rsidP="008F095D">
      <w:pPr>
        <w:rPr>
          <w:lang w:val="en"/>
        </w:rPr>
      </w:pPr>
      <w:r>
        <w:rPr>
          <w:lang w:val="en"/>
        </w:rPr>
        <w:t xml:space="preserve">The Australian road </w:t>
      </w:r>
      <w:r w:rsidR="00E802A1">
        <w:rPr>
          <w:lang w:val="en"/>
        </w:rPr>
        <w:t>rules</w:t>
      </w:r>
      <w:r w:rsidR="00387086">
        <w:rPr>
          <w:lang w:val="en"/>
        </w:rPr>
        <w:t xml:space="preserve"> require bicycles</w:t>
      </w:r>
      <w:r>
        <w:rPr>
          <w:lang w:val="en"/>
        </w:rPr>
        <w:t xml:space="preserve"> to be fitted with reflectors</w:t>
      </w:r>
      <w:r w:rsidR="00C05994">
        <w:rPr>
          <w:lang w:val="en"/>
        </w:rPr>
        <w:t xml:space="preserve"> and</w:t>
      </w:r>
      <w:r>
        <w:rPr>
          <w:lang w:val="en"/>
        </w:rPr>
        <w:t xml:space="preserve"> a</w:t>
      </w:r>
      <w:r w:rsidR="00E802A1">
        <w:rPr>
          <w:lang w:val="en"/>
        </w:rPr>
        <w:t xml:space="preserve"> warning device</w:t>
      </w:r>
      <w:r w:rsidR="00C05994">
        <w:rPr>
          <w:lang w:val="en"/>
        </w:rPr>
        <w:t xml:space="preserve">. </w:t>
      </w:r>
      <w:r w:rsidR="00387086">
        <w:rPr>
          <w:lang w:val="en"/>
        </w:rPr>
        <w:t>H</w:t>
      </w:r>
      <w:r>
        <w:rPr>
          <w:lang w:val="en"/>
        </w:rPr>
        <w:t xml:space="preserve">and </w:t>
      </w:r>
      <w:r w:rsidR="00D25954">
        <w:rPr>
          <w:lang w:val="en"/>
        </w:rPr>
        <w:t xml:space="preserve">brake </w:t>
      </w:r>
      <w:r>
        <w:rPr>
          <w:lang w:val="en"/>
        </w:rPr>
        <w:t xml:space="preserve">levers </w:t>
      </w:r>
      <w:r w:rsidR="00387086">
        <w:rPr>
          <w:lang w:val="en"/>
        </w:rPr>
        <w:t xml:space="preserve">also need to be </w:t>
      </w:r>
      <w:r>
        <w:rPr>
          <w:lang w:val="en"/>
        </w:rPr>
        <w:t>on the appropriate side</w:t>
      </w:r>
      <w:r w:rsidR="00C05994">
        <w:rPr>
          <w:lang w:val="en"/>
        </w:rPr>
        <w:t xml:space="preserve"> for Australian roads.</w:t>
      </w:r>
      <w:r>
        <w:rPr>
          <w:lang w:val="en"/>
        </w:rPr>
        <w:t xml:space="preserve"> </w:t>
      </w:r>
    </w:p>
    <w:p w:rsidR="0009167A" w:rsidRDefault="00387086" w:rsidP="008F095D">
      <w:pPr>
        <w:rPr>
          <w:lang w:val="en"/>
        </w:rPr>
      </w:pPr>
      <w:r>
        <w:rPr>
          <w:lang w:val="en"/>
        </w:rPr>
        <w:t xml:space="preserve">Bicycles designed to the CPSC standard would therefore only be </w:t>
      </w:r>
      <w:r w:rsidRPr="00387086">
        <w:t>appropriate for Australia</w:t>
      </w:r>
      <w:r w:rsidRPr="00387086">
        <w:rPr>
          <w:lang w:val="en"/>
        </w:rPr>
        <w:t xml:space="preserve"> </w:t>
      </w:r>
      <w:r>
        <w:rPr>
          <w:lang w:val="en"/>
        </w:rPr>
        <w:t xml:space="preserve">if </w:t>
      </w:r>
      <w:r w:rsidR="0009167A">
        <w:rPr>
          <w:lang w:val="en"/>
        </w:rPr>
        <w:t>suppliers modify them to meet the Australian road rules by adding warning devices, reflectors and switching the sides of the hand brake levers. These changes are relatively inexpensive and do not require structural changes to the bicycle</w:t>
      </w:r>
      <w:r w:rsidR="00900556">
        <w:rPr>
          <w:lang w:val="en"/>
        </w:rPr>
        <w:t xml:space="preserve"> or performance testing</w:t>
      </w:r>
      <w:r w:rsidR="0009167A">
        <w:rPr>
          <w:lang w:val="en"/>
        </w:rPr>
        <w:t>.</w:t>
      </w:r>
    </w:p>
    <w:p w:rsidR="00A13522" w:rsidRPr="00C05994" w:rsidRDefault="00E75E61" w:rsidP="008F095D">
      <w:pPr>
        <w:rPr>
          <w:lang w:val="en"/>
        </w:rPr>
      </w:pPr>
      <w:r>
        <w:rPr>
          <w:lang w:val="en"/>
        </w:rPr>
        <w:t xml:space="preserve">Provided </w:t>
      </w:r>
      <w:r w:rsidR="009D7FE0">
        <w:rPr>
          <w:lang w:val="en"/>
        </w:rPr>
        <w:t xml:space="preserve">the </w:t>
      </w:r>
      <w:r w:rsidR="00387086">
        <w:rPr>
          <w:lang w:val="en"/>
        </w:rPr>
        <w:t xml:space="preserve">mandatory safety standard </w:t>
      </w:r>
      <w:r w:rsidR="0009167A">
        <w:rPr>
          <w:lang w:val="en"/>
        </w:rPr>
        <w:t>require</w:t>
      </w:r>
      <w:r>
        <w:rPr>
          <w:lang w:val="en"/>
        </w:rPr>
        <w:t>d</w:t>
      </w:r>
      <w:r w:rsidR="00387086">
        <w:rPr>
          <w:lang w:val="en"/>
        </w:rPr>
        <w:t xml:space="preserve"> s</w:t>
      </w:r>
      <w:r w:rsidR="008F095D">
        <w:rPr>
          <w:lang w:val="en"/>
        </w:rPr>
        <w:t xml:space="preserve">uppliers </w:t>
      </w:r>
      <w:r w:rsidR="00387086">
        <w:rPr>
          <w:lang w:val="en"/>
        </w:rPr>
        <w:t>to</w:t>
      </w:r>
      <w:r w:rsidR="008F095D">
        <w:rPr>
          <w:lang w:val="en"/>
        </w:rPr>
        <w:t xml:space="preserve"> </w:t>
      </w:r>
      <w:r>
        <w:rPr>
          <w:lang w:val="en"/>
        </w:rPr>
        <w:t>make changes</w:t>
      </w:r>
      <w:r w:rsidR="00A55148">
        <w:rPr>
          <w:lang w:val="en"/>
        </w:rPr>
        <w:t xml:space="preserve"> to the brake levers, warning device and reflectors</w:t>
      </w:r>
      <w:r w:rsidR="00D316ED">
        <w:rPr>
          <w:lang w:val="en"/>
        </w:rPr>
        <w:t>,</w:t>
      </w:r>
      <w:r w:rsidR="00A55148">
        <w:rPr>
          <w:lang w:val="en"/>
        </w:rPr>
        <w:t xml:space="preserve"> we consider the </w:t>
      </w:r>
      <w:r>
        <w:rPr>
          <w:lang w:val="en"/>
        </w:rPr>
        <w:t>CPSC standard</w:t>
      </w:r>
      <w:r w:rsidR="0009167A">
        <w:rPr>
          <w:lang w:val="en"/>
        </w:rPr>
        <w:t xml:space="preserve"> </w:t>
      </w:r>
      <w:r w:rsidR="00A55148">
        <w:rPr>
          <w:lang w:val="en"/>
        </w:rPr>
        <w:t xml:space="preserve">as a suitable method to address </w:t>
      </w:r>
      <w:r>
        <w:rPr>
          <w:lang w:val="en"/>
        </w:rPr>
        <w:t xml:space="preserve">the </w:t>
      </w:r>
      <w:r w:rsidR="0009167A">
        <w:rPr>
          <w:lang w:val="en"/>
        </w:rPr>
        <w:t xml:space="preserve">structural and performance requirements for </w:t>
      </w:r>
      <w:r>
        <w:rPr>
          <w:lang w:val="en"/>
        </w:rPr>
        <w:t>bicycles</w:t>
      </w:r>
      <w:r w:rsidR="0009167A">
        <w:rPr>
          <w:lang w:val="en"/>
        </w:rPr>
        <w:t xml:space="preserve"> in Australia</w:t>
      </w:r>
      <w:r w:rsidR="008F095D">
        <w:rPr>
          <w:lang w:val="en"/>
        </w:rPr>
        <w:t>.</w:t>
      </w:r>
      <w:r w:rsidR="001D6915" w:rsidRPr="00DB6C88">
        <w:rPr>
          <w:lang w:val="en"/>
        </w:rPr>
        <w:t xml:space="preserve"> </w:t>
      </w:r>
    </w:p>
    <w:p w:rsidR="00F43C34" w:rsidRDefault="00053BFC" w:rsidP="00527F52">
      <w:pPr>
        <w:pStyle w:val="Heading3"/>
      </w:pPr>
      <w:r>
        <w:t>ISO</w:t>
      </w:r>
      <w:r w:rsidR="00F43C34">
        <w:t xml:space="preserve"> Standards</w:t>
      </w:r>
    </w:p>
    <w:p w:rsidR="00A55148" w:rsidRPr="00DB6C88" w:rsidRDefault="00A55148" w:rsidP="00A55148">
      <w:pPr>
        <w:rPr>
          <w:lang w:val="en"/>
        </w:rPr>
      </w:pPr>
      <w:r w:rsidRPr="00935A70">
        <w:t>The International Organisation for Standardisation (ISO) is</w:t>
      </w:r>
      <w:r w:rsidRPr="00935A70">
        <w:rPr>
          <w:lang w:val="en"/>
        </w:rPr>
        <w:t xml:space="preserve"> an independent, non-governmental membership</w:t>
      </w:r>
      <w:r w:rsidRPr="00935A70">
        <w:rPr>
          <w:lang w:val="en-GB"/>
        </w:rPr>
        <w:t xml:space="preserve"> organisation</w:t>
      </w:r>
      <w:r w:rsidRPr="00935A70">
        <w:rPr>
          <w:lang w:val="en"/>
        </w:rPr>
        <w:t xml:space="preserve"> and the world's largest developer of voluntary international standards. </w:t>
      </w:r>
    </w:p>
    <w:p w:rsidR="0030404A" w:rsidRDefault="008A72D1" w:rsidP="008A72D1">
      <w:r>
        <w:t xml:space="preserve">The </w:t>
      </w:r>
      <w:r w:rsidR="00A13522" w:rsidRPr="00DB6C88">
        <w:t xml:space="preserve">ISO </w:t>
      </w:r>
      <w:r w:rsidR="00A13522">
        <w:t xml:space="preserve">bicycle </w:t>
      </w:r>
      <w:r>
        <w:t>standards have broadly similar requirements to the</w:t>
      </w:r>
      <w:r w:rsidR="009263CC" w:rsidRPr="009263CC">
        <w:t xml:space="preserve"> </w:t>
      </w:r>
      <w:r w:rsidR="009263CC">
        <w:t>updated voluntary</w:t>
      </w:r>
      <w:r>
        <w:t xml:space="preserve"> Australian standard in terms of steering, brakes, reflectors and markings. The ISO </w:t>
      </w:r>
      <w:r w:rsidR="00900556">
        <w:t>s</w:t>
      </w:r>
      <w:r>
        <w:t xml:space="preserve">tandard </w:t>
      </w:r>
      <w:r>
        <w:lastRenderedPageBreak/>
        <w:t>for young children does not require reflectors or a warning device</w:t>
      </w:r>
      <w:r w:rsidR="00DC37D0">
        <w:t xml:space="preserve"> whereas the </w:t>
      </w:r>
      <w:r w:rsidR="00DC37D0" w:rsidRPr="0030404A">
        <w:rPr>
          <w:lang w:val="en"/>
        </w:rPr>
        <w:t xml:space="preserve">Australian road rules require </w:t>
      </w:r>
      <w:r w:rsidR="00DC37D0">
        <w:rPr>
          <w:lang w:val="en"/>
        </w:rPr>
        <w:t>these</w:t>
      </w:r>
      <w:r>
        <w:t>.</w:t>
      </w:r>
      <w:r w:rsidR="00A13522">
        <w:t xml:space="preserve"> </w:t>
      </w:r>
    </w:p>
    <w:p w:rsidR="0030404A" w:rsidRPr="0030404A" w:rsidRDefault="0030404A" w:rsidP="0030404A">
      <w:pPr>
        <w:rPr>
          <w:lang w:val="en"/>
        </w:rPr>
      </w:pPr>
      <w:r w:rsidRPr="0030404A">
        <w:rPr>
          <w:lang w:val="en"/>
        </w:rPr>
        <w:t xml:space="preserve">Bicycles </w:t>
      </w:r>
      <w:r w:rsidR="00900556">
        <w:t xml:space="preserve">for young children </w:t>
      </w:r>
      <w:r w:rsidRPr="0030404A">
        <w:rPr>
          <w:lang w:val="en"/>
        </w:rPr>
        <w:t xml:space="preserve">designed to the </w:t>
      </w:r>
      <w:r>
        <w:rPr>
          <w:lang w:val="en"/>
        </w:rPr>
        <w:t>ISO</w:t>
      </w:r>
      <w:r w:rsidRPr="0030404A">
        <w:rPr>
          <w:lang w:val="en"/>
        </w:rPr>
        <w:t xml:space="preserve"> standard</w:t>
      </w:r>
      <w:r w:rsidR="00DC37D0">
        <w:rPr>
          <w:lang w:val="en"/>
        </w:rPr>
        <w:t>s</w:t>
      </w:r>
      <w:r w:rsidRPr="0030404A">
        <w:rPr>
          <w:lang w:val="en"/>
        </w:rPr>
        <w:t xml:space="preserve"> would therefore only be </w:t>
      </w:r>
      <w:r w:rsidRPr="0030404A">
        <w:t>appropriate for Australia</w:t>
      </w:r>
      <w:r w:rsidRPr="0030404A">
        <w:rPr>
          <w:lang w:val="en"/>
        </w:rPr>
        <w:t xml:space="preserve"> if suppliers add warning devices</w:t>
      </w:r>
      <w:r>
        <w:rPr>
          <w:lang w:val="en"/>
        </w:rPr>
        <w:t xml:space="preserve"> and</w:t>
      </w:r>
      <w:r w:rsidRPr="0030404A">
        <w:rPr>
          <w:lang w:val="en"/>
        </w:rPr>
        <w:t xml:space="preserve"> reflectors. These changes are relatively inexpensive and do not require structural changes to the bicycle</w:t>
      </w:r>
      <w:r w:rsidR="00900556" w:rsidRPr="00900556">
        <w:rPr>
          <w:lang w:val="en"/>
        </w:rPr>
        <w:t xml:space="preserve"> </w:t>
      </w:r>
      <w:r w:rsidR="00900556">
        <w:rPr>
          <w:lang w:val="en"/>
        </w:rPr>
        <w:t>or performance testing</w:t>
      </w:r>
      <w:r w:rsidRPr="0030404A">
        <w:rPr>
          <w:lang w:val="en"/>
        </w:rPr>
        <w:t>.</w:t>
      </w:r>
    </w:p>
    <w:p w:rsidR="0030404A" w:rsidRPr="0030404A" w:rsidRDefault="0030404A" w:rsidP="0030404A">
      <w:pPr>
        <w:rPr>
          <w:lang w:val="en"/>
        </w:rPr>
      </w:pPr>
      <w:r w:rsidRPr="0030404A">
        <w:rPr>
          <w:lang w:val="en"/>
        </w:rPr>
        <w:t>Provided a mandatory safety standard required suppliers to make changes</w:t>
      </w:r>
      <w:r w:rsidR="00A55148">
        <w:rPr>
          <w:lang w:val="en"/>
        </w:rPr>
        <w:t xml:space="preserve"> to add a warning device and reflectors</w:t>
      </w:r>
      <w:r w:rsidRPr="0030404A">
        <w:rPr>
          <w:lang w:val="en"/>
        </w:rPr>
        <w:t>,</w:t>
      </w:r>
      <w:r w:rsidR="00A55148">
        <w:rPr>
          <w:lang w:val="en"/>
        </w:rPr>
        <w:t xml:space="preserve"> we consider</w:t>
      </w:r>
      <w:r w:rsidRPr="0030404A">
        <w:rPr>
          <w:lang w:val="en"/>
        </w:rPr>
        <w:t xml:space="preserve"> the </w:t>
      </w:r>
      <w:r w:rsidR="00DC37D0">
        <w:rPr>
          <w:lang w:val="en"/>
        </w:rPr>
        <w:t>ISO</w:t>
      </w:r>
      <w:r w:rsidRPr="0030404A">
        <w:rPr>
          <w:lang w:val="en"/>
        </w:rPr>
        <w:t xml:space="preserve"> standard</w:t>
      </w:r>
      <w:r w:rsidR="00DC37D0">
        <w:rPr>
          <w:lang w:val="en"/>
        </w:rPr>
        <w:t>s</w:t>
      </w:r>
      <w:r w:rsidR="00A55148" w:rsidRPr="00A55148">
        <w:rPr>
          <w:lang w:val="en"/>
        </w:rPr>
        <w:t xml:space="preserve"> </w:t>
      </w:r>
      <w:r w:rsidR="00A55148">
        <w:rPr>
          <w:lang w:val="en"/>
        </w:rPr>
        <w:t>as suitable methods to address the structural and performance requirements for bicycles in Australia.</w:t>
      </w:r>
    </w:p>
    <w:p w:rsidR="00F43C34" w:rsidRDefault="00F43C34" w:rsidP="00527F52">
      <w:pPr>
        <w:pStyle w:val="Heading3"/>
      </w:pPr>
      <w:r>
        <w:t>European Standards</w:t>
      </w:r>
    </w:p>
    <w:p w:rsidR="00A55148" w:rsidRPr="006E6D6A" w:rsidRDefault="00A55148" w:rsidP="00A55148">
      <w:r w:rsidRPr="00C90AE7">
        <w:t>The European Committee for Standardization (CEN)</w:t>
      </w:r>
      <w:r w:rsidRPr="00710E8B">
        <w:t xml:space="preserve"> </w:t>
      </w:r>
      <w:r w:rsidRPr="00C90AE7">
        <w:t>developed the European standard. CEN develo</w:t>
      </w:r>
      <w:r>
        <w:t>ps standards for use in Europe. CEN</w:t>
      </w:r>
      <w:r w:rsidRPr="006E6D6A">
        <w:t xml:space="preserve"> is a reputable standards development body and the </w:t>
      </w:r>
      <w:r>
        <w:t>Europe</w:t>
      </w:r>
      <w:r w:rsidRPr="006E6D6A">
        <w:t xml:space="preserve"> is a jurisdiction with comparable economic and reg</w:t>
      </w:r>
      <w:r>
        <w:t>ulatory processes to Australia.</w:t>
      </w:r>
    </w:p>
    <w:p w:rsidR="00FE3DFF" w:rsidRDefault="007F1855" w:rsidP="00D421BC">
      <w:r>
        <w:t xml:space="preserve">The European standards have broadly similar requirements to the </w:t>
      </w:r>
      <w:r w:rsidR="00972965">
        <w:t xml:space="preserve">updated </w:t>
      </w:r>
      <w:r w:rsidR="006073AC">
        <w:t xml:space="preserve">voluntary </w:t>
      </w:r>
      <w:r>
        <w:t xml:space="preserve">Australian standard in terms of steering, brakes and markings. </w:t>
      </w:r>
      <w:r>
        <w:rPr>
          <w:lang w:val="en"/>
        </w:rPr>
        <w:t>There are no specific requirements for reflectors but where fitted they must comply with the requirements of the country the bicycle is marketed in.</w:t>
      </w:r>
      <w:r w:rsidR="00A13522" w:rsidRPr="00A13522">
        <w:t xml:space="preserve"> </w:t>
      </w:r>
      <w:r w:rsidR="00FE3DFF">
        <w:t xml:space="preserve">The </w:t>
      </w:r>
      <w:r w:rsidR="00FE3DFF" w:rsidRPr="0030404A">
        <w:rPr>
          <w:lang w:val="en"/>
        </w:rPr>
        <w:t xml:space="preserve">Australian road rules require bicycles to </w:t>
      </w:r>
      <w:r w:rsidR="00FE3DFF">
        <w:rPr>
          <w:lang w:val="en"/>
        </w:rPr>
        <w:t>have reflectors.</w:t>
      </w:r>
      <w:r w:rsidR="00FE3DFF">
        <w:t xml:space="preserve"> </w:t>
      </w:r>
    </w:p>
    <w:p w:rsidR="00FE3DFF" w:rsidRPr="0030404A" w:rsidRDefault="00FE3DFF" w:rsidP="00FE3DFF">
      <w:pPr>
        <w:rPr>
          <w:lang w:val="en"/>
        </w:rPr>
      </w:pPr>
      <w:r w:rsidRPr="0030404A">
        <w:rPr>
          <w:lang w:val="en"/>
        </w:rPr>
        <w:t xml:space="preserve">Bicycles designed to the </w:t>
      </w:r>
      <w:r w:rsidR="00900556">
        <w:rPr>
          <w:lang w:val="en"/>
        </w:rPr>
        <w:t>European</w:t>
      </w:r>
      <w:r w:rsidRPr="0030404A">
        <w:rPr>
          <w:lang w:val="en"/>
        </w:rPr>
        <w:t xml:space="preserve"> standard</w:t>
      </w:r>
      <w:r>
        <w:rPr>
          <w:lang w:val="en"/>
        </w:rPr>
        <w:t>s</w:t>
      </w:r>
      <w:r w:rsidRPr="0030404A">
        <w:rPr>
          <w:lang w:val="en"/>
        </w:rPr>
        <w:t xml:space="preserve"> would therefore only be </w:t>
      </w:r>
      <w:r w:rsidRPr="0030404A">
        <w:t>appropriate for Australia</w:t>
      </w:r>
      <w:r w:rsidRPr="0030404A">
        <w:rPr>
          <w:lang w:val="en"/>
        </w:rPr>
        <w:t xml:space="preserve"> if suppliers add reflectors. These changes are relatively inexpensive and do not require structural changes to the bicycle</w:t>
      </w:r>
      <w:r w:rsidR="00900556" w:rsidRPr="00900556">
        <w:rPr>
          <w:lang w:val="en"/>
        </w:rPr>
        <w:t xml:space="preserve"> </w:t>
      </w:r>
      <w:r w:rsidR="00900556">
        <w:rPr>
          <w:lang w:val="en"/>
        </w:rPr>
        <w:t>or performance testing</w:t>
      </w:r>
      <w:r w:rsidRPr="0030404A">
        <w:rPr>
          <w:lang w:val="en"/>
        </w:rPr>
        <w:t>.</w:t>
      </w:r>
    </w:p>
    <w:p w:rsidR="006C34C4" w:rsidRDefault="00FE3DFF" w:rsidP="00FE3DFF">
      <w:pPr>
        <w:rPr>
          <w:lang w:val="en"/>
        </w:rPr>
      </w:pPr>
      <w:r w:rsidRPr="0030404A">
        <w:rPr>
          <w:lang w:val="en"/>
        </w:rPr>
        <w:t>Provided a mandatory safety standard required suppliers to</w:t>
      </w:r>
      <w:r w:rsidR="00A55148">
        <w:rPr>
          <w:lang w:val="en"/>
        </w:rPr>
        <w:t xml:space="preserve"> add reflectors</w:t>
      </w:r>
      <w:r w:rsidRPr="0030404A">
        <w:rPr>
          <w:lang w:val="en"/>
        </w:rPr>
        <w:t>,</w:t>
      </w:r>
      <w:r w:rsidR="00A55148">
        <w:rPr>
          <w:lang w:val="en"/>
        </w:rPr>
        <w:t xml:space="preserve"> we consider</w:t>
      </w:r>
      <w:r w:rsidRPr="0030404A">
        <w:rPr>
          <w:lang w:val="en"/>
        </w:rPr>
        <w:t xml:space="preserve"> the </w:t>
      </w:r>
      <w:r w:rsidR="00900556">
        <w:rPr>
          <w:lang w:val="en"/>
        </w:rPr>
        <w:t>European</w:t>
      </w:r>
      <w:r w:rsidRPr="0030404A">
        <w:rPr>
          <w:lang w:val="en"/>
        </w:rPr>
        <w:t xml:space="preserve"> standard</w:t>
      </w:r>
      <w:r>
        <w:rPr>
          <w:lang w:val="en"/>
        </w:rPr>
        <w:t>s</w:t>
      </w:r>
      <w:r w:rsidRPr="0030404A">
        <w:rPr>
          <w:lang w:val="en"/>
        </w:rPr>
        <w:t xml:space="preserve"> </w:t>
      </w:r>
      <w:r w:rsidR="00A55148">
        <w:rPr>
          <w:lang w:val="en"/>
        </w:rPr>
        <w:t>as suitable methods to address the structural and performance requirements for bicycles in Australia.</w:t>
      </w:r>
    </w:p>
    <w:p w:rsidR="006B7EC2" w:rsidRDefault="006B7EC2" w:rsidP="006B7EC2">
      <w:pPr>
        <w:pStyle w:val="Numbered1"/>
      </w:pPr>
      <w:bookmarkStart w:id="146" w:name="_Toc463541558"/>
      <w:bookmarkStart w:id="147" w:name="_Toc463541559"/>
      <w:bookmarkEnd w:id="146"/>
      <w:r>
        <w:t>Policy options</w:t>
      </w:r>
      <w:bookmarkEnd w:id="145"/>
      <w:bookmarkEnd w:id="147"/>
    </w:p>
    <w:p w:rsidR="004B1E68" w:rsidRPr="002B77EE" w:rsidRDefault="004B1E68" w:rsidP="004B1E68">
      <w:pPr>
        <w:pStyle w:val="Numbered11"/>
        <w:numPr>
          <w:ilvl w:val="0"/>
          <w:numId w:val="0"/>
        </w:numPr>
      </w:pPr>
      <w:bookmarkStart w:id="148" w:name="_Toc462919664"/>
      <w:bookmarkStart w:id="149" w:name="_Toc463541560"/>
      <w:bookmarkStart w:id="150" w:name="_Toc440455048"/>
      <w:bookmarkStart w:id="151" w:name="_Toc457220029"/>
      <w:bookmarkStart w:id="152" w:name="_Toc457222948"/>
      <w:bookmarkStart w:id="153" w:name="_Toc457228140"/>
      <w:bookmarkStart w:id="154" w:name="_Toc457465406"/>
      <w:bookmarkStart w:id="155" w:name="_Toc457569982"/>
      <w:r w:rsidRPr="002B77EE">
        <w:t xml:space="preserve">Option </w:t>
      </w:r>
      <w:r>
        <w:t>1 – Retain the current mandatory safety</w:t>
      </w:r>
      <w:r w:rsidRPr="00EA04E2">
        <w:t xml:space="preserve"> standard</w:t>
      </w:r>
      <w:r>
        <w:t xml:space="preserve"> (status quo)</w:t>
      </w:r>
      <w:bookmarkEnd w:id="148"/>
      <w:bookmarkEnd w:id="149"/>
    </w:p>
    <w:p w:rsidR="004B1E68" w:rsidRPr="004C27D2" w:rsidRDefault="004B1E68" w:rsidP="004B1E68">
      <w:pPr>
        <w:pStyle w:val="Numbered111"/>
        <w:numPr>
          <w:ilvl w:val="0"/>
          <w:numId w:val="0"/>
        </w:numPr>
      </w:pPr>
      <w:r w:rsidRPr="004C27D2">
        <w:t>Description</w:t>
      </w:r>
    </w:p>
    <w:p w:rsidR="004B1E68" w:rsidRPr="002C1327" w:rsidRDefault="001E345C" w:rsidP="00A11C96">
      <w:pPr>
        <w:spacing w:before="120" w:line="220" w:lineRule="atLeast"/>
        <w:rPr>
          <w:rFonts w:cs="Arial"/>
        </w:rPr>
      </w:pPr>
      <w:bookmarkStart w:id="156" w:name="_Toc462919665"/>
      <w:r w:rsidRPr="00193DD5">
        <w:rPr>
          <w:rFonts w:cs="Arial"/>
        </w:rPr>
        <w:t xml:space="preserve">The mandatory safety standard would remain unchanged, referencing the 1998 </w:t>
      </w:r>
      <w:r w:rsidRPr="00A11C96">
        <w:rPr>
          <w:rFonts w:cs="Arial"/>
        </w:rPr>
        <w:t xml:space="preserve">voluntary Australian standard with </w:t>
      </w:r>
      <w:r w:rsidR="001C1DF9" w:rsidRPr="00C414CA">
        <w:rPr>
          <w:rFonts w:cs="Arial"/>
        </w:rPr>
        <w:t xml:space="preserve">some </w:t>
      </w:r>
      <w:r w:rsidRPr="00C414CA">
        <w:rPr>
          <w:rFonts w:cs="Arial"/>
        </w:rPr>
        <w:t>minor variations</w:t>
      </w:r>
      <w:r w:rsidRPr="00682050">
        <w:rPr>
          <w:rFonts w:cs="Arial"/>
        </w:rPr>
        <w:t xml:space="preserve">. This option is the status quo against which the benefits and costs of the other </w:t>
      </w:r>
      <w:r w:rsidRPr="00646F21">
        <w:rPr>
          <w:rFonts w:cs="Arial"/>
        </w:rPr>
        <w:t>options are measured</w:t>
      </w:r>
      <w:r w:rsidRPr="002C1327">
        <w:rPr>
          <w:rFonts w:cs="Arial"/>
        </w:rPr>
        <w:t>.</w:t>
      </w:r>
      <w:bookmarkEnd w:id="156"/>
      <w:r w:rsidRPr="002C1327">
        <w:rPr>
          <w:rFonts w:cs="Arial"/>
        </w:rPr>
        <w:t xml:space="preserve"> </w:t>
      </w:r>
    </w:p>
    <w:p w:rsidR="004B1E68" w:rsidRPr="004C27D2" w:rsidRDefault="004B1E68" w:rsidP="004B1E68">
      <w:pPr>
        <w:pStyle w:val="Numbered111"/>
        <w:numPr>
          <w:ilvl w:val="0"/>
          <w:numId w:val="0"/>
        </w:numPr>
      </w:pPr>
      <w:r w:rsidRPr="00E40FE6">
        <w:t>Benefits</w:t>
      </w:r>
    </w:p>
    <w:p w:rsidR="004B1E68" w:rsidRPr="00CC7830" w:rsidRDefault="001A440F" w:rsidP="004C27D2">
      <w:pPr>
        <w:rPr>
          <w:rFonts w:cs="Arial"/>
        </w:rPr>
      </w:pPr>
      <w:r>
        <w:rPr>
          <w:rFonts w:cs="Arial"/>
        </w:rPr>
        <w:t xml:space="preserve">Consumers would have the same level of protection they have now. </w:t>
      </w:r>
      <w:r w:rsidR="00CC7830">
        <w:rPr>
          <w:rFonts w:cs="Arial"/>
        </w:rPr>
        <w:t>There would be no increase in costs to business</w:t>
      </w:r>
      <w:r w:rsidR="001B2DC2">
        <w:rPr>
          <w:rFonts w:cs="Arial"/>
        </w:rPr>
        <w:t xml:space="preserve"> and the high level of compliance is likely to remain unchanged.</w:t>
      </w:r>
    </w:p>
    <w:p w:rsidR="00B72D81" w:rsidRDefault="00B72D81">
      <w:pPr>
        <w:rPr>
          <w:rFonts w:eastAsiaTheme="majorEastAsia" w:cstheme="majorBidi"/>
          <w:b/>
          <w:bCs/>
          <w:color w:val="000000" w:themeColor="text1" w:themeShade="BF"/>
          <w:sz w:val="24"/>
        </w:rPr>
      </w:pPr>
      <w:r>
        <w:br w:type="page"/>
      </w:r>
    </w:p>
    <w:p w:rsidR="004B1E68" w:rsidRDefault="004B1E68" w:rsidP="004C27D2">
      <w:pPr>
        <w:pStyle w:val="Numbered111"/>
        <w:numPr>
          <w:ilvl w:val="0"/>
          <w:numId w:val="0"/>
        </w:numPr>
      </w:pPr>
      <w:r>
        <w:lastRenderedPageBreak/>
        <w:t>Limitations</w:t>
      </w:r>
    </w:p>
    <w:p w:rsidR="004B1E68" w:rsidRPr="009958D2" w:rsidRDefault="00E120ED" w:rsidP="004C27D2">
      <w:r w:rsidRPr="009958D2">
        <w:t xml:space="preserve">Maintaining the status quo </w:t>
      </w:r>
      <w:r w:rsidR="00EA68B0">
        <w:t xml:space="preserve">would </w:t>
      </w:r>
      <w:r w:rsidRPr="009958D2">
        <w:t xml:space="preserve">mean </w:t>
      </w:r>
      <w:r w:rsidR="009958D2" w:rsidRPr="009958D2">
        <w:t xml:space="preserve">that the </w:t>
      </w:r>
      <w:r w:rsidRPr="009958D2">
        <w:t xml:space="preserve">mandatory safety </w:t>
      </w:r>
      <w:r w:rsidR="00EA68B0">
        <w:t>standard</w:t>
      </w:r>
      <w:r w:rsidRPr="009958D2">
        <w:t xml:space="preserve"> </w:t>
      </w:r>
      <w:r w:rsidR="00EA68B0">
        <w:t>would remain out-of-date</w:t>
      </w:r>
      <w:r w:rsidRPr="009958D2">
        <w:t xml:space="preserve"> </w:t>
      </w:r>
      <w:r w:rsidR="00EA68B0">
        <w:t xml:space="preserve">with </w:t>
      </w:r>
      <w:r w:rsidR="009958D2">
        <w:t xml:space="preserve">new </w:t>
      </w:r>
      <w:r w:rsidR="00EA68B0" w:rsidRPr="009958D2">
        <w:t xml:space="preserve">bicycle </w:t>
      </w:r>
      <w:r w:rsidR="009958D2">
        <w:t>technology</w:t>
      </w:r>
      <w:r w:rsidRPr="009958D2">
        <w:t xml:space="preserve">. </w:t>
      </w:r>
      <w:r w:rsidR="00EA68B0">
        <w:t xml:space="preserve">Consumers could miss the opportunity for potential safety improvements from </w:t>
      </w:r>
      <w:r w:rsidR="00604B98">
        <w:t>modern</w:t>
      </w:r>
      <w:r w:rsidR="00EA68B0">
        <w:t xml:space="preserve"> voluntary bicycle standards</w:t>
      </w:r>
      <w:r w:rsidR="00604B98">
        <w:t xml:space="preserve"> and suppliers would miss the chance to supply bicycles that comply with those new standards</w:t>
      </w:r>
      <w:r w:rsidR="0053214D" w:rsidRPr="009958D2">
        <w:t>.</w:t>
      </w:r>
    </w:p>
    <w:p w:rsidR="00C66E96" w:rsidRPr="00E40FE6" w:rsidRDefault="00C66E96" w:rsidP="00C66E96">
      <w:pPr>
        <w:pStyle w:val="Numbered111"/>
        <w:numPr>
          <w:ilvl w:val="0"/>
          <w:numId w:val="0"/>
        </w:numPr>
      </w:pPr>
      <w:r w:rsidRPr="009958D2">
        <w:t>Net benefits</w:t>
      </w:r>
    </w:p>
    <w:p w:rsidR="004B1E68" w:rsidRDefault="00C66E96" w:rsidP="004C27D2">
      <w:r>
        <w:t xml:space="preserve">We will assess the net benefits </w:t>
      </w:r>
      <w:r w:rsidRPr="00DB6C88">
        <w:t xml:space="preserve">of the other policy options against the status quo of </w:t>
      </w:r>
      <w:r w:rsidR="00604B98">
        <w:t>retaining</w:t>
      </w:r>
      <w:r w:rsidRPr="00DB6C88">
        <w:t xml:space="preserve"> the </w:t>
      </w:r>
      <w:r>
        <w:t xml:space="preserve">current </w:t>
      </w:r>
      <w:r w:rsidRPr="00DB6C88">
        <w:t>mandatory safety standard.</w:t>
      </w:r>
    </w:p>
    <w:p w:rsidR="00CB6E84" w:rsidRPr="002B77EE" w:rsidRDefault="00CB6E84" w:rsidP="00E24134">
      <w:pPr>
        <w:pStyle w:val="Numbered11"/>
        <w:numPr>
          <w:ilvl w:val="0"/>
          <w:numId w:val="0"/>
        </w:numPr>
      </w:pPr>
      <w:bookmarkStart w:id="157" w:name="_Toc462919666"/>
      <w:bookmarkStart w:id="158" w:name="_Toc463541561"/>
      <w:r w:rsidRPr="002B77EE">
        <w:t xml:space="preserve">Option </w:t>
      </w:r>
      <w:r w:rsidR="004B1E68">
        <w:t xml:space="preserve">2 </w:t>
      </w:r>
      <w:r w:rsidR="00855DAC">
        <w:t>–</w:t>
      </w:r>
      <w:r w:rsidR="00E235B8">
        <w:t xml:space="preserve"> </w:t>
      </w:r>
      <w:r w:rsidR="00855DAC">
        <w:t>A</w:t>
      </w:r>
      <w:r w:rsidRPr="00EA04E2">
        <w:t>dopt</w:t>
      </w:r>
      <w:r w:rsidR="00855DAC">
        <w:t xml:space="preserve"> </w:t>
      </w:r>
      <w:r w:rsidRPr="00EA04E2">
        <w:t xml:space="preserve">the </w:t>
      </w:r>
      <w:r w:rsidR="00855DAC">
        <w:t xml:space="preserve">entire </w:t>
      </w:r>
      <w:r w:rsidR="00ED5D92">
        <w:t>updated</w:t>
      </w:r>
      <w:r w:rsidR="00E85660">
        <w:t xml:space="preserve"> </w:t>
      </w:r>
      <w:r w:rsidRPr="00EA04E2">
        <w:t>voluntary Australian standard</w:t>
      </w:r>
      <w:bookmarkEnd w:id="150"/>
      <w:bookmarkEnd w:id="151"/>
      <w:bookmarkEnd w:id="152"/>
      <w:bookmarkEnd w:id="153"/>
      <w:bookmarkEnd w:id="154"/>
      <w:bookmarkEnd w:id="155"/>
      <w:bookmarkEnd w:id="157"/>
      <w:bookmarkEnd w:id="158"/>
    </w:p>
    <w:p w:rsidR="002874FC" w:rsidRDefault="002874FC" w:rsidP="002C4C73">
      <w:pPr>
        <w:pStyle w:val="Numbered111"/>
        <w:numPr>
          <w:ilvl w:val="0"/>
          <w:numId w:val="0"/>
        </w:numPr>
      </w:pPr>
      <w:r>
        <w:t>Description</w:t>
      </w:r>
    </w:p>
    <w:p w:rsidR="00A450A6" w:rsidRDefault="002F4F31" w:rsidP="00D7245F">
      <w:pPr>
        <w:spacing w:before="120" w:line="220" w:lineRule="atLeast"/>
        <w:rPr>
          <w:rFonts w:cs="Arial"/>
        </w:rPr>
      </w:pPr>
      <w:r>
        <w:rPr>
          <w:rFonts w:cs="Arial"/>
        </w:rPr>
        <w:t xml:space="preserve">The mandatory safety standard </w:t>
      </w:r>
      <w:r w:rsidR="00256B71">
        <w:rPr>
          <w:rFonts w:cs="Arial"/>
        </w:rPr>
        <w:t xml:space="preserve">would </w:t>
      </w:r>
      <w:r>
        <w:rPr>
          <w:rFonts w:cs="Arial"/>
        </w:rPr>
        <w:t xml:space="preserve">reference </w:t>
      </w:r>
      <w:r w:rsidR="00855DAC">
        <w:rPr>
          <w:rFonts w:cs="Arial"/>
        </w:rPr>
        <w:t>the entire</w:t>
      </w:r>
      <w:r w:rsidR="00A450A6">
        <w:rPr>
          <w:rFonts w:cs="Arial"/>
        </w:rPr>
        <w:t xml:space="preserve"> </w:t>
      </w:r>
      <w:r w:rsidR="00ED5D92">
        <w:rPr>
          <w:rFonts w:cs="Arial"/>
        </w:rPr>
        <w:t>updated</w:t>
      </w:r>
      <w:r w:rsidR="0040745C">
        <w:rPr>
          <w:rFonts w:cs="Arial"/>
        </w:rPr>
        <w:t xml:space="preserve"> </w:t>
      </w:r>
      <w:r w:rsidR="00CC31FB">
        <w:rPr>
          <w:rFonts w:cs="Arial"/>
        </w:rPr>
        <w:t xml:space="preserve">voluntary Australian </w:t>
      </w:r>
      <w:r w:rsidR="00256B71">
        <w:rPr>
          <w:rFonts w:cs="Arial"/>
        </w:rPr>
        <w:t xml:space="preserve">standard. This option is the most similar to the current mandatory </w:t>
      </w:r>
      <w:r w:rsidR="00CD4160">
        <w:rPr>
          <w:rFonts w:cs="Arial"/>
        </w:rPr>
        <w:t xml:space="preserve">safety </w:t>
      </w:r>
      <w:r w:rsidR="00256B71">
        <w:rPr>
          <w:rFonts w:cs="Arial"/>
        </w:rPr>
        <w:t xml:space="preserve">standard, which references </w:t>
      </w:r>
      <w:r w:rsidR="00855DAC">
        <w:rPr>
          <w:rFonts w:cs="Arial"/>
        </w:rPr>
        <w:t xml:space="preserve">all of </w:t>
      </w:r>
      <w:r w:rsidR="00256B71">
        <w:rPr>
          <w:rFonts w:cs="Arial"/>
        </w:rPr>
        <w:t>AS/NZ 1927:1998.</w:t>
      </w:r>
      <w:r w:rsidR="00A450A6">
        <w:rPr>
          <w:rFonts w:cs="Arial"/>
        </w:rPr>
        <w:t xml:space="preserve"> </w:t>
      </w:r>
    </w:p>
    <w:p w:rsidR="0097606E" w:rsidRPr="0097606E" w:rsidRDefault="0097606E" w:rsidP="002C4C73">
      <w:pPr>
        <w:pStyle w:val="Numbered111"/>
        <w:numPr>
          <w:ilvl w:val="0"/>
          <w:numId w:val="0"/>
        </w:numPr>
        <w:rPr>
          <w:rFonts w:cstheme="minorBidi"/>
          <w:sz w:val="22"/>
        </w:rPr>
      </w:pPr>
      <w:r w:rsidRPr="00E40FE6">
        <w:t>Benefits</w:t>
      </w:r>
    </w:p>
    <w:p w:rsidR="002D2ACD" w:rsidRDefault="00CC31FB" w:rsidP="00D7245F">
      <w:pPr>
        <w:spacing w:before="120" w:line="220" w:lineRule="atLeast"/>
        <w:rPr>
          <w:rFonts w:cs="Arial"/>
        </w:rPr>
      </w:pPr>
      <w:r>
        <w:rPr>
          <w:rFonts w:cs="Arial"/>
        </w:rPr>
        <w:t xml:space="preserve">The mandatory </w:t>
      </w:r>
      <w:r w:rsidR="00CD4160">
        <w:rPr>
          <w:rFonts w:cs="Arial"/>
        </w:rPr>
        <w:t xml:space="preserve">safety </w:t>
      </w:r>
      <w:r>
        <w:rPr>
          <w:rFonts w:cs="Arial"/>
        </w:rPr>
        <w:t xml:space="preserve">standard would </w:t>
      </w:r>
      <w:r w:rsidR="00256B71">
        <w:rPr>
          <w:rFonts w:cs="Arial"/>
        </w:rPr>
        <w:t>align with</w:t>
      </w:r>
      <w:r w:rsidR="0040745C">
        <w:rPr>
          <w:rFonts w:cs="Arial"/>
        </w:rPr>
        <w:t xml:space="preserve"> the</w:t>
      </w:r>
      <w:r>
        <w:rPr>
          <w:rFonts w:cs="Arial"/>
        </w:rPr>
        <w:t xml:space="preserve"> </w:t>
      </w:r>
      <w:r w:rsidR="00ED5D92">
        <w:rPr>
          <w:rFonts w:cs="Arial"/>
        </w:rPr>
        <w:t>updated</w:t>
      </w:r>
      <w:r>
        <w:rPr>
          <w:rFonts w:cs="Arial"/>
        </w:rPr>
        <w:t xml:space="preserve"> voluntary </w:t>
      </w:r>
      <w:r w:rsidR="00CD4160">
        <w:rPr>
          <w:rFonts w:cs="Arial"/>
        </w:rPr>
        <w:t xml:space="preserve">Australian </w:t>
      </w:r>
      <w:r>
        <w:rPr>
          <w:rFonts w:cs="Arial"/>
        </w:rPr>
        <w:t>standard</w:t>
      </w:r>
      <w:r w:rsidR="002D2ACD">
        <w:rPr>
          <w:rFonts w:cs="Arial"/>
        </w:rPr>
        <w:t xml:space="preserve"> and </w:t>
      </w:r>
      <w:r w:rsidR="00AA5676">
        <w:rPr>
          <w:rFonts w:cs="Arial"/>
        </w:rPr>
        <w:t xml:space="preserve">would pick up </w:t>
      </w:r>
      <w:r w:rsidR="000D09AA">
        <w:rPr>
          <w:rFonts w:cs="Arial"/>
        </w:rPr>
        <w:t xml:space="preserve">all of the new </w:t>
      </w:r>
      <w:r w:rsidR="00AA5676">
        <w:rPr>
          <w:rFonts w:cs="Arial"/>
        </w:rPr>
        <w:t>safety requirements</w:t>
      </w:r>
      <w:r w:rsidR="000D09AA">
        <w:rPr>
          <w:rFonts w:cs="Arial"/>
        </w:rPr>
        <w:t xml:space="preserve">. This </w:t>
      </w:r>
      <w:r w:rsidR="00C17AF1">
        <w:rPr>
          <w:rFonts w:cs="Arial"/>
        </w:rPr>
        <w:t xml:space="preserve">is likely to </w:t>
      </w:r>
      <w:r w:rsidR="000D09AA">
        <w:rPr>
          <w:rFonts w:cs="Arial"/>
        </w:rPr>
        <w:t>give consumers a higher</w:t>
      </w:r>
      <w:r w:rsidR="00F93740">
        <w:rPr>
          <w:rFonts w:cs="Arial"/>
        </w:rPr>
        <w:t xml:space="preserve"> level of safety</w:t>
      </w:r>
      <w:r w:rsidR="002F658B">
        <w:rPr>
          <w:rFonts w:cs="Arial"/>
        </w:rPr>
        <w:t xml:space="preserve"> </w:t>
      </w:r>
      <w:r w:rsidR="00604B98">
        <w:rPr>
          <w:rFonts w:cs="Arial"/>
        </w:rPr>
        <w:t>and make it easier for suppliers to comply</w:t>
      </w:r>
      <w:r w:rsidR="00F93740">
        <w:rPr>
          <w:rFonts w:cs="Arial"/>
        </w:rPr>
        <w:t>.</w:t>
      </w:r>
    </w:p>
    <w:p w:rsidR="00E4448C" w:rsidRDefault="00307577" w:rsidP="00D7245F">
      <w:pPr>
        <w:spacing w:before="120" w:line="220" w:lineRule="atLeast"/>
        <w:rPr>
          <w:rFonts w:cs="Arial"/>
        </w:rPr>
      </w:pPr>
      <w:r w:rsidRPr="001D6E95">
        <w:rPr>
          <w:rFonts w:cs="Arial"/>
        </w:rPr>
        <w:t>The industry is familiar with the structure of the standard</w:t>
      </w:r>
      <w:r w:rsidR="00CD4160" w:rsidRPr="001D6E95">
        <w:rPr>
          <w:rFonts w:cs="Arial"/>
        </w:rPr>
        <w:t xml:space="preserve"> so there</w:t>
      </w:r>
      <w:r w:rsidRPr="001D6E95">
        <w:rPr>
          <w:rFonts w:cs="Arial"/>
        </w:rPr>
        <w:t xml:space="preserve"> is unlikely to be any change in the cost of administration and testing</w:t>
      </w:r>
      <w:r w:rsidR="00CC1172" w:rsidRPr="001D6E95">
        <w:rPr>
          <w:rFonts w:cs="Arial"/>
        </w:rPr>
        <w:t>.</w:t>
      </w:r>
      <w:r w:rsidR="009A1F4A" w:rsidRPr="001D6E95">
        <w:rPr>
          <w:rFonts w:cs="Arial"/>
        </w:rPr>
        <w:t xml:space="preserve"> </w:t>
      </w:r>
      <w:r w:rsidR="001D6E95" w:rsidRPr="001D6E95">
        <w:rPr>
          <w:rFonts w:cs="Arial"/>
        </w:rPr>
        <w:t xml:space="preserve">Compliance is also likely to remain high for this reason. </w:t>
      </w:r>
      <w:r w:rsidR="00A450A6" w:rsidRPr="00F73815">
        <w:rPr>
          <w:rFonts w:cs="Arial"/>
        </w:rPr>
        <w:t>Power-assisted bicycles</w:t>
      </w:r>
      <w:r w:rsidR="00A74D97" w:rsidRPr="00F73815">
        <w:rPr>
          <w:rFonts w:cs="Arial"/>
        </w:rPr>
        <w:t xml:space="preserve"> with a</w:t>
      </w:r>
      <w:r w:rsidR="00CD4160" w:rsidRPr="00F73815">
        <w:rPr>
          <w:rFonts w:cs="Arial"/>
        </w:rPr>
        <w:t>n</w:t>
      </w:r>
      <w:r w:rsidR="00A74D97" w:rsidRPr="00F73815">
        <w:rPr>
          <w:rFonts w:cs="Arial"/>
        </w:rPr>
        <w:t xml:space="preserve"> output not exceeding </w:t>
      </w:r>
      <w:r w:rsidR="00A74D97" w:rsidRPr="00F73815">
        <w:t>200</w:t>
      </w:r>
      <w:r w:rsidR="007627B9" w:rsidRPr="00F73815">
        <w:t xml:space="preserve"> </w:t>
      </w:r>
      <w:r w:rsidR="00CD4160" w:rsidRPr="00F73815">
        <w:t>W</w:t>
      </w:r>
      <w:r w:rsidR="00A74D97" w:rsidRPr="001B2DC2">
        <w:rPr>
          <w:rFonts w:cs="Arial"/>
        </w:rPr>
        <w:t xml:space="preserve"> </w:t>
      </w:r>
      <w:r w:rsidR="00A450A6" w:rsidRPr="00040EE2">
        <w:rPr>
          <w:rFonts w:cs="Arial"/>
        </w:rPr>
        <w:t>would</w:t>
      </w:r>
      <w:r w:rsidR="00A450A6" w:rsidRPr="00A450A6">
        <w:rPr>
          <w:rFonts w:cs="Arial"/>
        </w:rPr>
        <w:t xml:space="preserve"> be required to comply with the</w:t>
      </w:r>
      <w:r w:rsidR="00DC6BB2">
        <w:rPr>
          <w:rFonts w:cs="Arial"/>
        </w:rPr>
        <w:t xml:space="preserve"> amended</w:t>
      </w:r>
      <w:r w:rsidR="00A450A6" w:rsidRPr="00A450A6">
        <w:rPr>
          <w:rFonts w:cs="Arial"/>
        </w:rPr>
        <w:t xml:space="preserve"> </w:t>
      </w:r>
      <w:r w:rsidR="00CD4160">
        <w:rPr>
          <w:rFonts w:cs="Arial"/>
        </w:rPr>
        <w:t xml:space="preserve">mandatory </w:t>
      </w:r>
      <w:r w:rsidR="00A450A6" w:rsidRPr="00A450A6">
        <w:rPr>
          <w:rFonts w:cs="Arial"/>
        </w:rPr>
        <w:t>safety standard.</w:t>
      </w:r>
      <w:r w:rsidR="00A450A6">
        <w:rPr>
          <w:rFonts w:cs="Arial"/>
        </w:rPr>
        <w:t xml:space="preserve"> </w:t>
      </w:r>
      <w:r w:rsidR="00DC6BB2">
        <w:rPr>
          <w:rFonts w:cs="Arial"/>
        </w:rPr>
        <w:t>I</w:t>
      </w:r>
      <w:r w:rsidR="00A450A6">
        <w:rPr>
          <w:rFonts w:cs="Arial"/>
        </w:rPr>
        <w:t xml:space="preserve">t is </w:t>
      </w:r>
      <w:r w:rsidR="00A74D97">
        <w:rPr>
          <w:rFonts w:cs="Arial"/>
        </w:rPr>
        <w:t>likely</w:t>
      </w:r>
      <w:r w:rsidR="00A450A6">
        <w:rPr>
          <w:rFonts w:cs="Arial"/>
        </w:rPr>
        <w:t xml:space="preserve"> most of </w:t>
      </w:r>
      <w:r w:rsidR="00A450A6" w:rsidRPr="00A450A6">
        <w:rPr>
          <w:rFonts w:cs="Arial"/>
        </w:rPr>
        <w:t xml:space="preserve">these bicycles already comply with </w:t>
      </w:r>
      <w:r w:rsidR="00A340CF">
        <w:rPr>
          <w:rFonts w:cs="Arial"/>
        </w:rPr>
        <w:t xml:space="preserve">the updated voluntary </w:t>
      </w:r>
      <w:r w:rsidR="00CD4160">
        <w:rPr>
          <w:rFonts w:cs="Arial"/>
        </w:rPr>
        <w:t xml:space="preserve">Australian </w:t>
      </w:r>
      <w:r w:rsidR="00A340CF">
        <w:rPr>
          <w:rFonts w:cs="Arial"/>
        </w:rPr>
        <w:t xml:space="preserve">standard </w:t>
      </w:r>
      <w:r w:rsidR="00A450A6" w:rsidRPr="00A450A6">
        <w:rPr>
          <w:rFonts w:cs="Arial"/>
        </w:rPr>
        <w:t>and compliance costs for these products</w:t>
      </w:r>
      <w:r w:rsidR="00A450A6">
        <w:rPr>
          <w:rFonts w:cs="Arial"/>
        </w:rPr>
        <w:t xml:space="preserve"> </w:t>
      </w:r>
      <w:r w:rsidR="00604B98">
        <w:rPr>
          <w:rFonts w:cs="Arial"/>
        </w:rPr>
        <w:t>are</w:t>
      </w:r>
      <w:r w:rsidR="00C706D5">
        <w:rPr>
          <w:rFonts w:cs="Arial"/>
        </w:rPr>
        <w:t xml:space="preserve"> </w:t>
      </w:r>
      <w:r w:rsidR="00A450A6">
        <w:rPr>
          <w:rFonts w:cs="Arial"/>
        </w:rPr>
        <w:t>likely to be low.</w:t>
      </w:r>
    </w:p>
    <w:p w:rsidR="0097606E" w:rsidRPr="0097606E" w:rsidRDefault="004B1E68" w:rsidP="00E42318">
      <w:pPr>
        <w:pStyle w:val="Numbered111"/>
        <w:numPr>
          <w:ilvl w:val="0"/>
          <w:numId w:val="0"/>
        </w:numPr>
      </w:pPr>
      <w:r>
        <w:t>Limitations</w:t>
      </w:r>
    </w:p>
    <w:p w:rsidR="00307577" w:rsidRDefault="001E1954" w:rsidP="00A450A6">
      <w:pPr>
        <w:spacing w:before="120" w:line="220" w:lineRule="atLeast"/>
        <w:rPr>
          <w:rFonts w:cs="Arial"/>
        </w:rPr>
      </w:pPr>
      <w:r w:rsidRPr="00A450A6">
        <w:rPr>
          <w:rFonts w:cs="Arial"/>
        </w:rPr>
        <w:t>The</w:t>
      </w:r>
      <w:r>
        <w:rPr>
          <w:rFonts w:cs="Arial"/>
        </w:rPr>
        <w:t xml:space="preserve"> mandatory safety</w:t>
      </w:r>
      <w:r w:rsidRPr="00A450A6">
        <w:rPr>
          <w:rFonts w:cs="Arial"/>
        </w:rPr>
        <w:t xml:space="preserve"> standard would continue to exclude </w:t>
      </w:r>
      <w:r>
        <w:rPr>
          <w:rFonts w:cs="Arial"/>
        </w:rPr>
        <w:t>o</w:t>
      </w:r>
      <w:r w:rsidR="00A450A6" w:rsidRPr="00A450A6">
        <w:rPr>
          <w:rFonts w:cs="Arial"/>
        </w:rPr>
        <w:t>ne-of-a-kind, tandem, hire/rental, second-hand, folding</w:t>
      </w:r>
      <w:r w:rsidR="00CC1172">
        <w:rPr>
          <w:rFonts w:cs="Arial"/>
        </w:rPr>
        <w:t>,</w:t>
      </w:r>
      <w:r w:rsidR="00A450A6" w:rsidRPr="00A450A6">
        <w:rPr>
          <w:rFonts w:cs="Arial"/>
        </w:rPr>
        <w:t xml:space="preserve"> recumbent bicycles, and pedelecs.</w:t>
      </w:r>
      <w:r w:rsidR="00AD253A">
        <w:rPr>
          <w:rFonts w:cs="Arial"/>
        </w:rPr>
        <w:t xml:space="preserve"> As these bicycles are becoming more popular, where they do not </w:t>
      </w:r>
      <w:r w:rsidR="00A450A6" w:rsidRPr="00A450A6">
        <w:rPr>
          <w:rFonts w:cs="Arial"/>
        </w:rPr>
        <w:t xml:space="preserve">have safety features </w:t>
      </w:r>
      <w:r w:rsidR="00AD253A">
        <w:rPr>
          <w:rFonts w:cs="Arial"/>
        </w:rPr>
        <w:t xml:space="preserve">there is a risk of </w:t>
      </w:r>
      <w:r w:rsidR="00A450A6" w:rsidRPr="00A450A6">
        <w:rPr>
          <w:rFonts w:cs="Arial"/>
        </w:rPr>
        <w:t>preventable injuries or deaths.</w:t>
      </w:r>
    </w:p>
    <w:p w:rsidR="00A74D97" w:rsidRDefault="00A450A6" w:rsidP="00A450A6">
      <w:pPr>
        <w:spacing w:before="120" w:line="220" w:lineRule="atLeast"/>
        <w:rPr>
          <w:rFonts w:cs="Arial"/>
        </w:rPr>
      </w:pPr>
      <w:r>
        <w:rPr>
          <w:rFonts w:cs="Arial"/>
        </w:rPr>
        <w:t xml:space="preserve">If the </w:t>
      </w:r>
      <w:r w:rsidR="00AD253A">
        <w:rPr>
          <w:rFonts w:cs="Arial"/>
        </w:rPr>
        <w:t>updated</w:t>
      </w:r>
      <w:r>
        <w:rPr>
          <w:rFonts w:cs="Arial"/>
        </w:rPr>
        <w:t xml:space="preserve"> voluntary </w:t>
      </w:r>
      <w:r w:rsidR="004A4540">
        <w:rPr>
          <w:rFonts w:cs="Arial"/>
        </w:rPr>
        <w:t xml:space="preserve">Australian </w:t>
      </w:r>
      <w:r>
        <w:rPr>
          <w:rFonts w:cs="Arial"/>
        </w:rPr>
        <w:t xml:space="preserve">standard </w:t>
      </w:r>
      <w:proofErr w:type="gramStart"/>
      <w:r>
        <w:rPr>
          <w:rFonts w:cs="Arial"/>
        </w:rPr>
        <w:t>is adopted</w:t>
      </w:r>
      <w:proofErr w:type="gramEnd"/>
      <w:r w:rsidR="004A4540">
        <w:rPr>
          <w:rFonts w:cs="Arial"/>
        </w:rPr>
        <w:t xml:space="preserve"> in the mandatory safety standard,</w:t>
      </w:r>
      <w:r>
        <w:rPr>
          <w:rFonts w:cs="Arial"/>
        </w:rPr>
        <w:t xml:space="preserve"> it will be at least</w:t>
      </w:r>
      <w:r w:rsidRPr="005044FF">
        <w:rPr>
          <w:rFonts w:cs="Arial"/>
        </w:rPr>
        <w:t xml:space="preserve"> </w:t>
      </w:r>
      <w:r>
        <w:rPr>
          <w:rFonts w:cs="Arial"/>
        </w:rPr>
        <w:t>seven</w:t>
      </w:r>
      <w:r w:rsidRPr="005044FF">
        <w:rPr>
          <w:rFonts w:cs="Arial"/>
        </w:rPr>
        <w:t xml:space="preserve"> years old when it comes into full effect</w:t>
      </w:r>
      <w:r w:rsidR="004A4540">
        <w:rPr>
          <w:rFonts w:cs="Arial"/>
        </w:rPr>
        <w:t>.</w:t>
      </w:r>
      <w:r w:rsidRPr="005044FF">
        <w:rPr>
          <w:rFonts w:cs="Arial"/>
        </w:rPr>
        <w:t xml:space="preserve"> </w:t>
      </w:r>
      <w:r w:rsidR="00AD253A">
        <w:rPr>
          <w:rFonts w:cs="Arial"/>
        </w:rPr>
        <w:t xml:space="preserve">The </w:t>
      </w:r>
      <w:r w:rsidR="00030C4E">
        <w:rPr>
          <w:rFonts w:cs="Arial"/>
        </w:rPr>
        <w:t xml:space="preserve">voluntary Australian </w:t>
      </w:r>
      <w:r w:rsidR="00AD253A">
        <w:rPr>
          <w:rFonts w:cs="Arial"/>
        </w:rPr>
        <w:t xml:space="preserve">standard </w:t>
      </w:r>
      <w:proofErr w:type="gramStart"/>
      <w:r w:rsidRPr="005044FF">
        <w:rPr>
          <w:rFonts w:cs="Arial"/>
        </w:rPr>
        <w:t>was drafted</w:t>
      </w:r>
      <w:proofErr w:type="gramEnd"/>
      <w:r w:rsidRPr="005044FF">
        <w:rPr>
          <w:rFonts w:cs="Arial"/>
        </w:rPr>
        <w:t xml:space="preserve"> to ensure</w:t>
      </w:r>
      <w:r>
        <w:rPr>
          <w:rFonts w:cs="Arial"/>
        </w:rPr>
        <w:t xml:space="preserve"> broad consistency with </w:t>
      </w:r>
      <w:r w:rsidRPr="005044FF">
        <w:rPr>
          <w:rFonts w:cs="Arial"/>
        </w:rPr>
        <w:t xml:space="preserve">the International Standard for pedal bicycles </w:t>
      </w:r>
      <w:r w:rsidR="00AD253A">
        <w:rPr>
          <w:rFonts w:cs="Arial"/>
        </w:rPr>
        <w:t>(</w:t>
      </w:r>
      <w:r w:rsidRPr="005044FF">
        <w:rPr>
          <w:rFonts w:cs="Arial"/>
        </w:rPr>
        <w:t>ISO 4210:1996</w:t>
      </w:r>
      <w:r w:rsidR="00AD253A">
        <w:rPr>
          <w:rFonts w:cs="Arial"/>
        </w:rPr>
        <w:t>).</w:t>
      </w:r>
      <w:r w:rsidRPr="005044FF">
        <w:rPr>
          <w:rFonts w:cs="Arial"/>
        </w:rPr>
        <w:t xml:space="preserve"> </w:t>
      </w:r>
    </w:p>
    <w:p w:rsidR="00A450A6" w:rsidRPr="005044FF" w:rsidRDefault="00030C4E" w:rsidP="00A450A6">
      <w:pPr>
        <w:spacing w:before="120" w:line="220" w:lineRule="atLeast"/>
        <w:rPr>
          <w:rFonts w:cs="Arial"/>
        </w:rPr>
      </w:pPr>
      <w:r>
        <w:rPr>
          <w:rFonts w:cs="Arial"/>
        </w:rPr>
        <w:t>In 2014, a</w:t>
      </w:r>
      <w:r w:rsidR="00A450A6">
        <w:rPr>
          <w:rFonts w:cs="Arial"/>
        </w:rPr>
        <w:t xml:space="preserve">n updated version of </w:t>
      </w:r>
      <w:r w:rsidR="00A450A6" w:rsidRPr="005044FF">
        <w:rPr>
          <w:rFonts w:cs="Arial"/>
        </w:rPr>
        <w:t xml:space="preserve">ISO 4210 </w:t>
      </w:r>
      <w:proofErr w:type="gramStart"/>
      <w:r w:rsidR="00A450A6">
        <w:rPr>
          <w:rFonts w:cs="Arial"/>
        </w:rPr>
        <w:t>was published</w:t>
      </w:r>
      <w:proofErr w:type="gramEnd"/>
      <w:r>
        <w:rPr>
          <w:rFonts w:cs="Arial"/>
        </w:rPr>
        <w:t>.</w:t>
      </w:r>
      <w:r w:rsidR="00A450A6">
        <w:rPr>
          <w:rFonts w:cs="Arial"/>
        </w:rPr>
        <w:t xml:space="preserve"> </w:t>
      </w:r>
      <w:r w:rsidR="00AD253A">
        <w:rPr>
          <w:rFonts w:cs="Arial"/>
        </w:rPr>
        <w:t xml:space="preserve">This will prompt the Standards Australia technical committee to consider </w:t>
      </w:r>
      <w:r w:rsidR="00A450A6">
        <w:rPr>
          <w:rFonts w:cs="Arial"/>
        </w:rPr>
        <w:t xml:space="preserve">whether </w:t>
      </w:r>
      <w:r w:rsidR="00AD253A">
        <w:rPr>
          <w:rFonts w:cs="Arial"/>
        </w:rPr>
        <w:t xml:space="preserve">a </w:t>
      </w:r>
      <w:r w:rsidR="00A450A6">
        <w:rPr>
          <w:rFonts w:cs="Arial"/>
        </w:rPr>
        <w:t xml:space="preserve">revision of </w:t>
      </w:r>
      <w:r>
        <w:rPr>
          <w:rFonts w:cs="Arial"/>
        </w:rPr>
        <w:t xml:space="preserve">the </w:t>
      </w:r>
      <w:r w:rsidR="00A450A6">
        <w:rPr>
          <w:rFonts w:cs="Arial"/>
        </w:rPr>
        <w:t xml:space="preserve">voluntary </w:t>
      </w:r>
      <w:r>
        <w:rPr>
          <w:rFonts w:cs="Arial"/>
        </w:rPr>
        <w:t xml:space="preserve">Australian </w:t>
      </w:r>
      <w:r w:rsidR="00A450A6">
        <w:rPr>
          <w:rFonts w:cs="Arial"/>
        </w:rPr>
        <w:t>standard is now required.</w:t>
      </w:r>
      <w:r w:rsidR="00AD253A">
        <w:rPr>
          <w:rFonts w:cs="Arial"/>
        </w:rPr>
        <w:t xml:space="preserve"> If a new voluntary </w:t>
      </w:r>
      <w:r w:rsidR="00EE21A7">
        <w:rPr>
          <w:rFonts w:cs="Arial"/>
        </w:rPr>
        <w:t xml:space="preserve">Australian </w:t>
      </w:r>
      <w:r w:rsidR="00AD253A">
        <w:rPr>
          <w:rFonts w:cs="Arial"/>
        </w:rPr>
        <w:t xml:space="preserve">standard </w:t>
      </w:r>
      <w:proofErr w:type="gramStart"/>
      <w:r w:rsidR="00AD253A">
        <w:rPr>
          <w:rFonts w:cs="Arial"/>
        </w:rPr>
        <w:t>is released</w:t>
      </w:r>
      <w:proofErr w:type="gramEnd"/>
      <w:r w:rsidR="00EE21A7">
        <w:rPr>
          <w:rFonts w:cs="Arial"/>
        </w:rPr>
        <w:t>,</w:t>
      </w:r>
      <w:r w:rsidR="00AD253A">
        <w:rPr>
          <w:rFonts w:cs="Arial"/>
        </w:rPr>
        <w:t xml:space="preserve"> another review of the mandatory safety standard </w:t>
      </w:r>
      <w:r w:rsidR="000E6AFB">
        <w:rPr>
          <w:rFonts w:cs="Arial"/>
        </w:rPr>
        <w:t>is likely to be needed</w:t>
      </w:r>
      <w:r w:rsidR="00A450A6">
        <w:rPr>
          <w:rFonts w:cs="Arial"/>
        </w:rPr>
        <w:t xml:space="preserve"> within </w:t>
      </w:r>
      <w:r w:rsidR="00A450A6" w:rsidRPr="005044FF">
        <w:rPr>
          <w:rFonts w:cs="Arial"/>
        </w:rPr>
        <w:t>two or three years</w:t>
      </w:r>
      <w:r w:rsidR="00A450A6">
        <w:rPr>
          <w:rFonts w:cs="Arial"/>
        </w:rPr>
        <w:t xml:space="preserve"> with </w:t>
      </w:r>
      <w:r w:rsidR="00EE21A7">
        <w:rPr>
          <w:rFonts w:cs="Arial"/>
        </w:rPr>
        <w:t>consequential</w:t>
      </w:r>
      <w:r w:rsidR="00A450A6">
        <w:rPr>
          <w:rFonts w:cs="Arial"/>
        </w:rPr>
        <w:t xml:space="preserve"> costs to industry and government</w:t>
      </w:r>
      <w:r w:rsidR="00A450A6" w:rsidRPr="005044FF">
        <w:rPr>
          <w:rFonts w:cs="Arial"/>
        </w:rPr>
        <w:t xml:space="preserve">.   </w:t>
      </w:r>
    </w:p>
    <w:p w:rsidR="00A450A6" w:rsidRDefault="00A450A6" w:rsidP="00D7245F">
      <w:pPr>
        <w:spacing w:before="120" w:line="220" w:lineRule="atLeast"/>
        <w:rPr>
          <w:rFonts w:cs="Arial"/>
        </w:rPr>
      </w:pPr>
      <w:r w:rsidRPr="005044FF">
        <w:rPr>
          <w:rFonts w:cs="Arial"/>
        </w:rPr>
        <w:t xml:space="preserve">The ACCC review of other bicycle </w:t>
      </w:r>
      <w:r w:rsidR="00A74D97" w:rsidRPr="005044FF">
        <w:rPr>
          <w:rFonts w:cs="Arial"/>
        </w:rPr>
        <w:t>standards</w:t>
      </w:r>
      <w:r w:rsidR="00795CBB">
        <w:rPr>
          <w:rFonts w:cs="Arial"/>
        </w:rPr>
        <w:t xml:space="preserve"> –</w:t>
      </w:r>
      <w:r w:rsidR="00A74D97" w:rsidRPr="005044FF">
        <w:rPr>
          <w:rFonts w:cs="Arial"/>
        </w:rPr>
        <w:t xml:space="preserve"> the</w:t>
      </w:r>
      <w:r w:rsidR="00795CBB">
        <w:rPr>
          <w:rFonts w:cs="Arial"/>
        </w:rPr>
        <w:t xml:space="preserve"> </w:t>
      </w:r>
      <w:r w:rsidR="00A74D97" w:rsidRPr="005044FF">
        <w:rPr>
          <w:rFonts w:cs="Arial"/>
        </w:rPr>
        <w:t>International Standards Organisation (ISO) standards, European norms (EN) and the US regulations (CFR)</w:t>
      </w:r>
      <w:r w:rsidR="00795CBB">
        <w:rPr>
          <w:rFonts w:cs="Arial"/>
        </w:rPr>
        <w:t xml:space="preserve"> -</w:t>
      </w:r>
      <w:r w:rsidRPr="005044FF">
        <w:rPr>
          <w:rFonts w:cs="Arial"/>
        </w:rPr>
        <w:t xml:space="preserve"> suggests</w:t>
      </w:r>
      <w:r w:rsidR="00795CBB">
        <w:rPr>
          <w:rFonts w:cs="Arial"/>
        </w:rPr>
        <w:t xml:space="preserve"> </w:t>
      </w:r>
      <w:r w:rsidRPr="005044FF">
        <w:rPr>
          <w:rFonts w:cs="Arial"/>
        </w:rPr>
        <w:t xml:space="preserve">that these standards specify similar, and in some cases superior, safety requirements in comparison to </w:t>
      </w:r>
      <w:r>
        <w:rPr>
          <w:rFonts w:cs="Arial"/>
        </w:rPr>
        <w:t>the voluntary Australian standard</w:t>
      </w:r>
      <w:r w:rsidRPr="005044FF">
        <w:rPr>
          <w:rFonts w:cs="Arial"/>
        </w:rPr>
        <w:t xml:space="preserve">. </w:t>
      </w:r>
      <w:r>
        <w:rPr>
          <w:rFonts w:cs="Arial"/>
        </w:rPr>
        <w:t xml:space="preserve">To continue to base regulations solely on the voluntary </w:t>
      </w:r>
      <w:r w:rsidR="00BF389F">
        <w:rPr>
          <w:rFonts w:cs="Arial"/>
        </w:rPr>
        <w:t xml:space="preserve">Australian </w:t>
      </w:r>
      <w:r>
        <w:rPr>
          <w:rFonts w:cs="Arial"/>
        </w:rPr>
        <w:t>standard imposes a</w:t>
      </w:r>
      <w:r w:rsidR="00336A1E">
        <w:rPr>
          <w:rFonts w:cs="Arial"/>
        </w:rPr>
        <w:t>dditional</w:t>
      </w:r>
      <w:r>
        <w:rPr>
          <w:rFonts w:cs="Arial"/>
        </w:rPr>
        <w:t xml:space="preserve"> </w:t>
      </w:r>
      <w:r w:rsidR="00336A1E">
        <w:rPr>
          <w:rFonts w:cs="Arial"/>
        </w:rPr>
        <w:t>regulatory burden on importers</w:t>
      </w:r>
      <w:r w:rsidR="005B0BE5">
        <w:rPr>
          <w:rFonts w:cs="Arial"/>
        </w:rPr>
        <w:t xml:space="preserve"> where there </w:t>
      </w:r>
      <w:r w:rsidR="00E101A9">
        <w:rPr>
          <w:rFonts w:cs="Arial"/>
        </w:rPr>
        <w:t xml:space="preserve">does </w:t>
      </w:r>
      <w:r w:rsidR="005B0BE5">
        <w:rPr>
          <w:rFonts w:cs="Arial"/>
        </w:rPr>
        <w:t xml:space="preserve">not </w:t>
      </w:r>
      <w:r w:rsidR="00E101A9">
        <w:rPr>
          <w:rFonts w:cs="Arial"/>
        </w:rPr>
        <w:t>appear to be</w:t>
      </w:r>
      <w:r w:rsidR="005B0BE5">
        <w:rPr>
          <w:rFonts w:cs="Arial"/>
        </w:rPr>
        <w:t xml:space="preserve"> good reason to do so</w:t>
      </w:r>
      <w:r w:rsidR="00336A1E">
        <w:rPr>
          <w:rFonts w:cs="Arial"/>
        </w:rPr>
        <w:t>.</w:t>
      </w:r>
    </w:p>
    <w:p w:rsidR="005C1811" w:rsidRPr="00E40FE6" w:rsidRDefault="005C1811" w:rsidP="005C1811">
      <w:pPr>
        <w:pStyle w:val="Numbered111"/>
        <w:numPr>
          <w:ilvl w:val="0"/>
          <w:numId w:val="0"/>
        </w:numPr>
      </w:pPr>
      <w:r w:rsidRPr="00E40FE6">
        <w:lastRenderedPageBreak/>
        <w:t>Net benefits</w:t>
      </w:r>
    </w:p>
    <w:p w:rsidR="005C1811" w:rsidRDefault="005C1811" w:rsidP="005C1811">
      <w:pPr>
        <w:spacing w:before="120" w:line="220" w:lineRule="atLeast"/>
        <w:rPr>
          <w:rFonts w:cs="Arial"/>
        </w:rPr>
      </w:pPr>
      <w:r>
        <w:rPr>
          <w:rFonts w:cs="Arial"/>
        </w:rPr>
        <w:t xml:space="preserve">The ACCC estimates an increased cost of approximately $0.1 m annually to industry (Table 3). </w:t>
      </w:r>
      <w:r>
        <w:t>Appendix B provides a detailed explanation of the costings</w:t>
      </w:r>
      <w:r>
        <w:rPr>
          <w:rFonts w:cs="Arial"/>
        </w:rPr>
        <w:t>.</w:t>
      </w:r>
      <w:r w:rsidDel="006B5792">
        <w:rPr>
          <w:rFonts w:cs="Arial"/>
        </w:rPr>
        <w:t xml:space="preserve"> </w:t>
      </w:r>
    </w:p>
    <w:p w:rsidR="00E4448C" w:rsidRPr="00776D93" w:rsidRDefault="00E4448C" w:rsidP="00E4448C">
      <w:pPr>
        <w:spacing w:before="120" w:after="120" w:line="220" w:lineRule="atLeast"/>
        <w:rPr>
          <w:rFonts w:cs="Arial"/>
          <w:b/>
          <w:sz w:val="20"/>
          <w:szCs w:val="20"/>
        </w:rPr>
      </w:pPr>
      <w:r w:rsidRPr="00776D93">
        <w:rPr>
          <w:rFonts w:cs="Arial"/>
          <w:b/>
          <w:sz w:val="20"/>
          <w:szCs w:val="20"/>
        </w:rPr>
        <w:t xml:space="preserve">Table </w:t>
      </w:r>
      <w:r w:rsidR="005C1811">
        <w:rPr>
          <w:rFonts w:cs="Arial"/>
          <w:b/>
          <w:sz w:val="20"/>
          <w:szCs w:val="20"/>
        </w:rPr>
        <w:t>3</w:t>
      </w:r>
      <w:r w:rsidRPr="00776D93">
        <w:rPr>
          <w:rFonts w:cs="Arial"/>
          <w:b/>
          <w:sz w:val="20"/>
          <w:szCs w:val="20"/>
        </w:rPr>
        <w:t>:</w:t>
      </w:r>
      <w:r w:rsidRPr="00776D93">
        <w:rPr>
          <w:b/>
          <w:sz w:val="20"/>
          <w:szCs w:val="20"/>
        </w:rPr>
        <w:t xml:space="preserve"> Option </w:t>
      </w:r>
      <w:r w:rsidR="004B1E68">
        <w:rPr>
          <w:b/>
          <w:sz w:val="20"/>
          <w:szCs w:val="20"/>
        </w:rPr>
        <w:t>2</w:t>
      </w:r>
      <w:r w:rsidR="004B1E68" w:rsidRPr="00776D93">
        <w:rPr>
          <w:b/>
          <w:sz w:val="20"/>
          <w:szCs w:val="20"/>
        </w:rPr>
        <w:t xml:space="preserve"> </w:t>
      </w:r>
      <w:r w:rsidRPr="00776D93">
        <w:rPr>
          <w:b/>
          <w:sz w:val="20"/>
          <w:szCs w:val="20"/>
        </w:rPr>
        <w:t>- Average annual saving for industry</w:t>
      </w:r>
    </w:p>
    <w:tbl>
      <w:tblPr>
        <w:tblStyle w:val="LightGrid-Accent2"/>
        <w:tblW w:w="9464" w:type="dxa"/>
        <w:tblLook w:val="04A0" w:firstRow="1" w:lastRow="0" w:firstColumn="1" w:lastColumn="0" w:noHBand="0" w:noVBand="1"/>
      </w:tblPr>
      <w:tblGrid>
        <w:gridCol w:w="2128"/>
        <w:gridCol w:w="1646"/>
        <w:gridCol w:w="2170"/>
        <w:gridCol w:w="1946"/>
        <w:gridCol w:w="1574"/>
      </w:tblGrid>
      <w:tr w:rsidR="00E4448C" w:rsidRPr="002E3635" w:rsidTr="00E444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4" w:type="dxa"/>
            <w:gridSpan w:val="5"/>
            <w:noWrap/>
          </w:tcPr>
          <w:p w:rsidR="00E4448C" w:rsidRPr="002E3635" w:rsidRDefault="00E4448C" w:rsidP="00E4448C">
            <w:pPr>
              <w:keepNext/>
              <w:spacing w:before="120" w:after="120"/>
              <w:rPr>
                <w:rFonts w:cs="Arial"/>
                <w:sz w:val="20"/>
                <w:szCs w:val="20"/>
              </w:rPr>
            </w:pPr>
            <w:r w:rsidRPr="002E3635">
              <w:rPr>
                <w:rFonts w:cs="Arial"/>
                <w:sz w:val="20"/>
                <w:szCs w:val="20"/>
              </w:rPr>
              <w:t>Average annual regulatory costs (from business as usual)</w:t>
            </w:r>
          </w:p>
        </w:tc>
      </w:tr>
      <w:tr w:rsidR="00E4448C" w:rsidRPr="002E3635" w:rsidTr="00E444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E4448C" w:rsidRDefault="00E4448C" w:rsidP="00E4448C">
            <w:pPr>
              <w:keepNext/>
              <w:spacing w:before="120" w:after="120"/>
              <w:rPr>
                <w:rFonts w:cs="Arial"/>
                <w:b w:val="0"/>
                <w:sz w:val="20"/>
                <w:szCs w:val="20"/>
              </w:rPr>
            </w:pPr>
            <w:r w:rsidRPr="002E3635">
              <w:rPr>
                <w:rFonts w:cs="Arial"/>
                <w:b w:val="0"/>
                <w:sz w:val="20"/>
                <w:szCs w:val="20"/>
              </w:rPr>
              <w:t xml:space="preserve">Change in costs </w:t>
            </w:r>
          </w:p>
          <w:p w:rsidR="00E4448C" w:rsidRPr="002E3635" w:rsidRDefault="00E4448C" w:rsidP="00E4448C">
            <w:pPr>
              <w:keepNext/>
              <w:spacing w:before="120" w:after="120"/>
              <w:rPr>
                <w:rFonts w:cs="Arial"/>
                <w:b w:val="0"/>
                <w:sz w:val="20"/>
                <w:szCs w:val="20"/>
              </w:rPr>
            </w:pPr>
            <w:r w:rsidRPr="00CE4E46">
              <w:rPr>
                <w:rFonts w:cs="Arial"/>
                <w:b w:val="0"/>
                <w:sz w:val="20"/>
                <w:szCs w:val="20"/>
              </w:rPr>
              <w:t>($ million)</w:t>
            </w:r>
          </w:p>
        </w:tc>
        <w:tc>
          <w:tcPr>
            <w:tcW w:w="1646" w:type="dxa"/>
            <w:noWrap/>
          </w:tcPr>
          <w:p w:rsidR="00E4448C" w:rsidRPr="002E3635" w:rsidRDefault="00E4448C" w:rsidP="00E4448C">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Cs/>
                <w:sz w:val="20"/>
                <w:szCs w:val="20"/>
              </w:rPr>
            </w:pPr>
            <w:r w:rsidRPr="002E3635">
              <w:rPr>
                <w:rFonts w:eastAsia="MS Gothic" w:cs="Arial"/>
                <w:bCs/>
                <w:sz w:val="20"/>
                <w:szCs w:val="20"/>
              </w:rPr>
              <w:t>Business</w:t>
            </w:r>
          </w:p>
        </w:tc>
        <w:tc>
          <w:tcPr>
            <w:tcW w:w="2170" w:type="dxa"/>
            <w:noWrap/>
          </w:tcPr>
          <w:p w:rsidR="00E4448C" w:rsidRPr="002E3635" w:rsidRDefault="00E4448C" w:rsidP="00E4448C">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Cs/>
                <w:sz w:val="20"/>
                <w:szCs w:val="20"/>
              </w:rPr>
            </w:pPr>
            <w:r w:rsidRPr="002E3635">
              <w:rPr>
                <w:rFonts w:eastAsia="MS Gothic" w:cs="Arial"/>
                <w:bCs/>
                <w:sz w:val="20"/>
                <w:szCs w:val="20"/>
              </w:rPr>
              <w:t>Community Organisations</w:t>
            </w:r>
          </w:p>
        </w:tc>
        <w:tc>
          <w:tcPr>
            <w:tcW w:w="1946" w:type="dxa"/>
            <w:noWrap/>
          </w:tcPr>
          <w:p w:rsidR="00E4448C" w:rsidRPr="002E3635" w:rsidRDefault="00E4448C" w:rsidP="00E4448C">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Cs/>
                <w:sz w:val="20"/>
                <w:szCs w:val="20"/>
              </w:rPr>
            </w:pPr>
            <w:r w:rsidRPr="002E3635">
              <w:rPr>
                <w:rFonts w:eastAsia="MS Gothic" w:cs="Arial"/>
                <w:bCs/>
                <w:sz w:val="20"/>
                <w:szCs w:val="20"/>
              </w:rPr>
              <w:t>Individuals</w:t>
            </w:r>
          </w:p>
        </w:tc>
        <w:tc>
          <w:tcPr>
            <w:tcW w:w="1574" w:type="dxa"/>
            <w:noWrap/>
          </w:tcPr>
          <w:p w:rsidR="00E4448C" w:rsidRPr="002E3635" w:rsidRDefault="00E4448C" w:rsidP="00E4448C">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Cs/>
                <w:sz w:val="20"/>
                <w:szCs w:val="20"/>
              </w:rPr>
            </w:pPr>
            <w:r w:rsidRPr="002E3635">
              <w:rPr>
                <w:rFonts w:eastAsia="MS Gothic" w:cs="Arial"/>
                <w:bCs/>
                <w:sz w:val="20"/>
                <w:szCs w:val="20"/>
              </w:rPr>
              <w:t>Total change in cost</w:t>
            </w:r>
          </w:p>
        </w:tc>
      </w:tr>
      <w:tr w:rsidR="00E4448C" w:rsidRPr="002E3635" w:rsidTr="00E4448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E4448C" w:rsidRPr="002E3635" w:rsidRDefault="00E4448C" w:rsidP="00E4448C">
            <w:pPr>
              <w:keepNext/>
              <w:spacing w:before="120" w:after="120"/>
              <w:rPr>
                <w:rFonts w:cs="Arial"/>
                <w:b w:val="0"/>
                <w:sz w:val="20"/>
                <w:szCs w:val="20"/>
              </w:rPr>
            </w:pPr>
            <w:r w:rsidRPr="002E3635">
              <w:rPr>
                <w:rFonts w:cs="Arial"/>
                <w:b w:val="0"/>
                <w:sz w:val="20"/>
                <w:szCs w:val="20"/>
              </w:rPr>
              <w:t>Total, by sector</w:t>
            </w:r>
          </w:p>
        </w:tc>
        <w:tc>
          <w:tcPr>
            <w:tcW w:w="1646" w:type="dxa"/>
            <w:noWrap/>
          </w:tcPr>
          <w:p w:rsidR="00E4448C" w:rsidRPr="002E3635" w:rsidRDefault="00E4448C" w:rsidP="00E4448C">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Pr>
                <w:rFonts w:eastAsia="MS Gothic" w:cs="Arial"/>
                <w:bCs/>
                <w:sz w:val="20"/>
                <w:szCs w:val="20"/>
              </w:rPr>
              <w:t>$0.1</w:t>
            </w:r>
          </w:p>
        </w:tc>
        <w:tc>
          <w:tcPr>
            <w:tcW w:w="2170" w:type="dxa"/>
            <w:noWrap/>
          </w:tcPr>
          <w:p w:rsidR="00E4448C" w:rsidRPr="002E3635" w:rsidRDefault="00E4448C" w:rsidP="00E4448C">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sidRPr="002E3635">
              <w:rPr>
                <w:rFonts w:eastAsia="MS Gothic" w:cs="Arial"/>
                <w:bCs/>
                <w:sz w:val="20"/>
                <w:szCs w:val="20"/>
              </w:rPr>
              <w:t>$0</w:t>
            </w:r>
          </w:p>
        </w:tc>
        <w:tc>
          <w:tcPr>
            <w:tcW w:w="1946" w:type="dxa"/>
            <w:noWrap/>
          </w:tcPr>
          <w:p w:rsidR="00E4448C" w:rsidRPr="002E3635" w:rsidRDefault="00E4448C" w:rsidP="00E4448C">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sidRPr="002E3635">
              <w:rPr>
                <w:rFonts w:eastAsia="MS Gothic" w:cs="Arial"/>
                <w:bCs/>
                <w:sz w:val="20"/>
                <w:szCs w:val="20"/>
              </w:rPr>
              <w:t>$0</w:t>
            </w:r>
          </w:p>
        </w:tc>
        <w:tc>
          <w:tcPr>
            <w:tcW w:w="1574" w:type="dxa"/>
            <w:noWrap/>
          </w:tcPr>
          <w:p w:rsidR="00E4448C" w:rsidRPr="002E3635" w:rsidRDefault="00E4448C" w:rsidP="00E4448C">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Pr>
                <w:rFonts w:eastAsia="MS Gothic" w:cs="Arial"/>
                <w:bCs/>
                <w:sz w:val="20"/>
                <w:szCs w:val="20"/>
              </w:rPr>
              <w:t>$0.1</w:t>
            </w:r>
          </w:p>
        </w:tc>
      </w:tr>
    </w:tbl>
    <w:p w:rsidR="004911CD" w:rsidRDefault="004911CD" w:rsidP="00E24134">
      <w:pPr>
        <w:pStyle w:val="Numbered11"/>
        <w:numPr>
          <w:ilvl w:val="0"/>
          <w:numId w:val="0"/>
        </w:numPr>
      </w:pPr>
      <w:bookmarkStart w:id="159" w:name="_Toc440455049"/>
      <w:bookmarkStart w:id="160" w:name="_Toc457220030"/>
      <w:bookmarkStart w:id="161" w:name="_Toc457222949"/>
      <w:bookmarkStart w:id="162" w:name="_Toc457228141"/>
      <w:bookmarkStart w:id="163" w:name="_Toc457465407"/>
      <w:bookmarkStart w:id="164" w:name="_Toc457569983"/>
      <w:bookmarkStart w:id="165" w:name="_Toc462919667"/>
      <w:bookmarkStart w:id="166" w:name="_Toc463541562"/>
      <w:bookmarkStart w:id="167" w:name="_Toc392234333"/>
      <w:r w:rsidRPr="004F65A9">
        <w:t xml:space="preserve">Option </w:t>
      </w:r>
      <w:r w:rsidR="004B1E68">
        <w:t>3</w:t>
      </w:r>
      <w:r w:rsidR="00E235B8">
        <w:t xml:space="preserve"> -</w:t>
      </w:r>
      <w:r w:rsidRPr="004911CD">
        <w:t xml:space="preserve"> </w:t>
      </w:r>
      <w:r w:rsidR="001E1954">
        <w:t>A</w:t>
      </w:r>
      <w:r w:rsidRPr="00EA04E2">
        <w:t xml:space="preserve">dopt </w:t>
      </w:r>
      <w:r w:rsidR="001E1954">
        <w:t>parts</w:t>
      </w:r>
      <w:r w:rsidRPr="00EA04E2">
        <w:t xml:space="preserve"> of the </w:t>
      </w:r>
      <w:r w:rsidR="006C78EC">
        <w:t xml:space="preserve">updated </w:t>
      </w:r>
      <w:r w:rsidR="006C78EC" w:rsidRPr="00EA04E2">
        <w:t>voluntary</w:t>
      </w:r>
      <w:r w:rsidRPr="00EA04E2">
        <w:t xml:space="preserve"> Australian standard</w:t>
      </w:r>
      <w:bookmarkEnd w:id="159"/>
      <w:bookmarkEnd w:id="160"/>
      <w:bookmarkEnd w:id="161"/>
      <w:bookmarkEnd w:id="162"/>
      <w:bookmarkEnd w:id="163"/>
      <w:bookmarkEnd w:id="164"/>
      <w:bookmarkEnd w:id="165"/>
      <w:bookmarkEnd w:id="166"/>
    </w:p>
    <w:p w:rsidR="004911CD" w:rsidRDefault="004911CD" w:rsidP="008F167A">
      <w:pPr>
        <w:pStyle w:val="Numbered111"/>
        <w:numPr>
          <w:ilvl w:val="0"/>
          <w:numId w:val="0"/>
        </w:numPr>
      </w:pPr>
      <w:r>
        <w:t>Description</w:t>
      </w:r>
    </w:p>
    <w:p w:rsidR="004911CD" w:rsidRDefault="004911CD" w:rsidP="00D91251">
      <w:pPr>
        <w:spacing w:before="120"/>
      </w:pPr>
      <w:r>
        <w:rPr>
          <w:rFonts w:cs="Arial"/>
        </w:rPr>
        <w:t>The mandatory safety standard would reference the basic safety feature sections of the updated voluntary Australian standard.</w:t>
      </w:r>
      <w:r w:rsidR="00E306F8">
        <w:rPr>
          <w:rFonts w:cs="Arial"/>
        </w:rPr>
        <w:t xml:space="preserve"> A table of the </w:t>
      </w:r>
      <w:r w:rsidR="00A74D97">
        <w:rPr>
          <w:rFonts w:cs="Arial"/>
        </w:rPr>
        <w:t xml:space="preserve">sections that </w:t>
      </w:r>
      <w:proofErr w:type="gramStart"/>
      <w:r w:rsidR="00A74D97">
        <w:rPr>
          <w:rFonts w:cs="Arial"/>
        </w:rPr>
        <w:t>would be mandated</w:t>
      </w:r>
      <w:proofErr w:type="gramEnd"/>
      <w:r w:rsidR="00E306F8">
        <w:rPr>
          <w:rFonts w:cs="Arial"/>
        </w:rPr>
        <w:t xml:space="preserve"> is </w:t>
      </w:r>
      <w:r w:rsidR="00A64422">
        <w:rPr>
          <w:rFonts w:cs="Arial"/>
        </w:rPr>
        <w:t xml:space="preserve">provided </w:t>
      </w:r>
      <w:r w:rsidR="00E306F8">
        <w:rPr>
          <w:rFonts w:cs="Arial"/>
        </w:rPr>
        <w:t xml:space="preserve">at </w:t>
      </w:r>
      <w:r w:rsidR="00E8632B">
        <w:rPr>
          <w:rFonts w:cs="Arial"/>
        </w:rPr>
        <w:t xml:space="preserve">Appendix </w:t>
      </w:r>
      <w:r w:rsidR="00A74D97">
        <w:rPr>
          <w:rFonts w:cs="Arial"/>
        </w:rPr>
        <w:t>A</w:t>
      </w:r>
      <w:r w:rsidR="00E306F8">
        <w:rPr>
          <w:rFonts w:cs="Arial"/>
        </w:rPr>
        <w:t>.</w:t>
      </w:r>
    </w:p>
    <w:p w:rsidR="004911CD" w:rsidRDefault="004911CD" w:rsidP="008F167A">
      <w:pPr>
        <w:pStyle w:val="Numbered111"/>
        <w:numPr>
          <w:ilvl w:val="0"/>
          <w:numId w:val="0"/>
        </w:numPr>
      </w:pPr>
      <w:r>
        <w:t>Benefits</w:t>
      </w:r>
    </w:p>
    <w:p w:rsidR="00AA5676" w:rsidRDefault="00AA5676" w:rsidP="00AA5676">
      <w:pPr>
        <w:spacing w:before="120" w:line="220" w:lineRule="atLeast"/>
        <w:rPr>
          <w:rFonts w:cs="Arial"/>
          <w:b/>
          <w:sz w:val="20"/>
          <w:szCs w:val="20"/>
        </w:rPr>
      </w:pPr>
      <w:r w:rsidRPr="006D1E38">
        <w:rPr>
          <w:rFonts w:cs="Arial"/>
        </w:rPr>
        <w:t xml:space="preserve">This option provides that one-of-a-kind, tandem, hire/rental, second-hand, recumbent and folding bicycles, pedelecs and power-assisted bicycles with power output not exceeding </w:t>
      </w:r>
      <w:r w:rsidRPr="006D1E38">
        <w:t>200 W</w:t>
      </w:r>
      <w:r w:rsidRPr="006D1E38">
        <w:rPr>
          <w:rFonts w:cs="Arial"/>
        </w:rPr>
        <w:t>, would need to meet the new mandatory safety standard. Where these bicycles do not currently have the minimum safety features, their inclusion may reduce the likelihood of death or injury.</w:t>
      </w:r>
      <w:r w:rsidRPr="005044FF">
        <w:rPr>
          <w:rFonts w:cs="Arial"/>
        </w:rPr>
        <w:t xml:space="preserve"> </w:t>
      </w:r>
    </w:p>
    <w:p w:rsidR="00F26A3D" w:rsidRDefault="00E306F8" w:rsidP="001213F7">
      <w:pPr>
        <w:spacing w:before="120"/>
      </w:pPr>
      <w:r>
        <w:rPr>
          <w:rFonts w:cs="Arial"/>
        </w:rPr>
        <w:t xml:space="preserve">The impact of this change on the costs of compliance, testing and administration for </w:t>
      </w:r>
      <w:r w:rsidRPr="00F73815">
        <w:rPr>
          <w:rFonts w:cs="Arial"/>
        </w:rPr>
        <w:t xml:space="preserve">suppliers is uncertain. While simplifying the </w:t>
      </w:r>
      <w:r w:rsidR="00CB67AA" w:rsidRPr="001B2DC2">
        <w:rPr>
          <w:rFonts w:cs="Arial"/>
        </w:rPr>
        <w:t xml:space="preserve">mandatory safety </w:t>
      </w:r>
      <w:r w:rsidRPr="00040EE2">
        <w:rPr>
          <w:rFonts w:cs="Arial"/>
        </w:rPr>
        <w:t xml:space="preserve">standard may make construction and testing cheaper, it is unlikely to be substantial. </w:t>
      </w:r>
      <w:r w:rsidRPr="00F73815">
        <w:rPr>
          <w:rFonts w:cs="Arial"/>
        </w:rPr>
        <w:t>Some suppliers may continue to comply with the entire standard voluntar</w:t>
      </w:r>
      <w:r w:rsidR="00DD5013" w:rsidRPr="00F73815">
        <w:rPr>
          <w:rFonts w:cs="Arial"/>
        </w:rPr>
        <w:t>il</w:t>
      </w:r>
      <w:r w:rsidRPr="00F73815">
        <w:rPr>
          <w:rFonts w:cs="Arial"/>
        </w:rPr>
        <w:t>y</w:t>
      </w:r>
      <w:r w:rsidR="00F73815" w:rsidRPr="00F73815">
        <w:rPr>
          <w:rFonts w:cs="Arial"/>
        </w:rPr>
        <w:t>. For either of these scenarios it is likely that</w:t>
      </w:r>
      <w:r w:rsidR="005C699D">
        <w:rPr>
          <w:rFonts w:cs="Arial"/>
        </w:rPr>
        <w:t xml:space="preserve"> the</w:t>
      </w:r>
      <w:r w:rsidR="00F73815" w:rsidRPr="00F73815">
        <w:rPr>
          <w:rFonts w:cs="Arial"/>
        </w:rPr>
        <w:t xml:space="preserve"> </w:t>
      </w:r>
      <w:r w:rsidR="005C699D">
        <w:rPr>
          <w:rFonts w:cs="Arial"/>
        </w:rPr>
        <w:t>high level</w:t>
      </w:r>
      <w:r w:rsidR="00F73815" w:rsidRPr="00F73815">
        <w:rPr>
          <w:rFonts w:cs="Arial"/>
        </w:rPr>
        <w:t xml:space="preserve"> of compliance will continue</w:t>
      </w:r>
      <w:r w:rsidR="005C699D">
        <w:rPr>
          <w:rFonts w:cs="Arial"/>
        </w:rPr>
        <w:t xml:space="preserve"> under this option</w:t>
      </w:r>
      <w:r w:rsidR="00F73815" w:rsidRPr="00F73815">
        <w:rPr>
          <w:rFonts w:cs="Arial"/>
        </w:rPr>
        <w:t>.</w:t>
      </w:r>
    </w:p>
    <w:p w:rsidR="00366A4D" w:rsidRDefault="004B1E68" w:rsidP="008F167A">
      <w:pPr>
        <w:pStyle w:val="Numbered111"/>
        <w:numPr>
          <w:ilvl w:val="0"/>
          <w:numId w:val="0"/>
        </w:numPr>
      </w:pPr>
      <w:r>
        <w:t>Limitations</w:t>
      </w:r>
    </w:p>
    <w:p w:rsidR="004911CD" w:rsidRPr="00B34D1F" w:rsidRDefault="00E306F8" w:rsidP="00D91251">
      <w:pPr>
        <w:spacing w:before="120"/>
      </w:pPr>
      <w:r w:rsidRPr="00BF44F0">
        <w:t xml:space="preserve">This </w:t>
      </w:r>
      <w:r w:rsidRPr="00B34D1F">
        <w:t xml:space="preserve">option </w:t>
      </w:r>
      <w:r w:rsidR="00BF44F0" w:rsidRPr="00B34D1F">
        <w:t xml:space="preserve">poses </w:t>
      </w:r>
      <w:r w:rsidRPr="00B34D1F">
        <w:t xml:space="preserve">fewer requirements </w:t>
      </w:r>
      <w:r w:rsidR="00BF44F0" w:rsidRPr="00B34D1F">
        <w:t xml:space="preserve">on suppliers </w:t>
      </w:r>
      <w:r w:rsidRPr="00B34D1F">
        <w:t>than the current mandatory safety standard</w:t>
      </w:r>
      <w:r w:rsidR="00E27784" w:rsidRPr="005609D6">
        <w:t xml:space="preserve">. </w:t>
      </w:r>
      <w:r w:rsidR="00B34D1F" w:rsidRPr="00B34D1F">
        <w:t>Given the</w:t>
      </w:r>
      <w:r w:rsidRPr="00B34D1F">
        <w:t xml:space="preserve"> clauses related to basic safety </w:t>
      </w:r>
      <w:proofErr w:type="gramStart"/>
      <w:r w:rsidR="00E27784" w:rsidRPr="00B34D1F">
        <w:t xml:space="preserve">would still </w:t>
      </w:r>
      <w:r w:rsidRPr="00B34D1F">
        <w:t>be mandated</w:t>
      </w:r>
      <w:proofErr w:type="gramEnd"/>
      <w:r w:rsidRPr="00B34D1F">
        <w:t xml:space="preserve">, it is unlikely this will have any effect on injury and death. </w:t>
      </w:r>
    </w:p>
    <w:p w:rsidR="00E306F8" w:rsidRDefault="005C4450" w:rsidP="003F308A">
      <w:r>
        <w:t>There may be modest costs to s</w:t>
      </w:r>
      <w:r w:rsidR="00E306F8" w:rsidRPr="00B34D1F">
        <w:t xml:space="preserve">uppliers of </w:t>
      </w:r>
      <w:r w:rsidR="00E306F8" w:rsidRPr="00B34D1F">
        <w:rPr>
          <w:rFonts w:cs="Arial"/>
        </w:rPr>
        <w:t>one-of-a-kind, tandem, folding, recumbent and second-hand</w:t>
      </w:r>
      <w:r w:rsidR="00E306F8" w:rsidRPr="005044FF">
        <w:rPr>
          <w:rFonts w:cs="Arial"/>
        </w:rPr>
        <w:t xml:space="preserve"> bicycles </w:t>
      </w:r>
      <w:r>
        <w:rPr>
          <w:rFonts w:cs="Arial"/>
        </w:rPr>
        <w:t>in meeting</w:t>
      </w:r>
      <w:r w:rsidR="00E306F8" w:rsidRPr="005044FF">
        <w:rPr>
          <w:rFonts w:cs="Arial"/>
        </w:rPr>
        <w:t xml:space="preserve"> the </w:t>
      </w:r>
      <w:r w:rsidR="008660A6">
        <w:rPr>
          <w:rFonts w:cs="Arial"/>
        </w:rPr>
        <w:t xml:space="preserve">new </w:t>
      </w:r>
      <w:r w:rsidR="00CB67AA">
        <w:rPr>
          <w:rFonts w:cs="Arial"/>
        </w:rPr>
        <w:t xml:space="preserve">mandatory safety </w:t>
      </w:r>
      <w:r w:rsidR="008660A6">
        <w:rPr>
          <w:rFonts w:cs="Arial"/>
        </w:rPr>
        <w:t xml:space="preserve">standard. </w:t>
      </w:r>
      <w:r>
        <w:rPr>
          <w:rFonts w:cs="Arial"/>
        </w:rPr>
        <w:t xml:space="preserve">We understand that </w:t>
      </w:r>
      <w:r w:rsidR="00E306F8" w:rsidRPr="005044FF">
        <w:rPr>
          <w:rFonts w:cs="Arial"/>
        </w:rPr>
        <w:t>most bicycles already comply and</w:t>
      </w:r>
      <w:r w:rsidR="00BE6392">
        <w:rPr>
          <w:rFonts w:cs="Arial"/>
        </w:rPr>
        <w:t>,</w:t>
      </w:r>
      <w:r w:rsidR="00E306F8" w:rsidRPr="005044FF">
        <w:rPr>
          <w:rFonts w:cs="Arial"/>
        </w:rPr>
        <w:t xml:space="preserve"> </w:t>
      </w:r>
      <w:r w:rsidR="008660A6">
        <w:rPr>
          <w:rFonts w:cs="Arial"/>
        </w:rPr>
        <w:t xml:space="preserve">secondly, </w:t>
      </w:r>
      <w:r w:rsidR="00E306F8" w:rsidRPr="005044FF">
        <w:rPr>
          <w:rFonts w:cs="Arial"/>
        </w:rPr>
        <w:t>any necessary modifications should be straightforward</w:t>
      </w:r>
      <w:r w:rsidR="00E8632B">
        <w:rPr>
          <w:rFonts w:cs="Arial"/>
        </w:rPr>
        <w:t>—</w:t>
      </w:r>
      <w:r w:rsidR="00E306F8" w:rsidRPr="005044FF">
        <w:rPr>
          <w:rFonts w:cs="Arial"/>
        </w:rPr>
        <w:t xml:space="preserve">fitting the bicycle with a bell, reflectors, brakes, identification markings or basic user guidance. </w:t>
      </w:r>
      <w:r w:rsidR="00320763">
        <w:rPr>
          <w:rFonts w:cs="Arial"/>
        </w:rPr>
        <w:t>Suppliers would not need to test t</w:t>
      </w:r>
      <w:r w:rsidR="00E306F8" w:rsidRPr="005044FF">
        <w:rPr>
          <w:rFonts w:cs="Arial"/>
        </w:rPr>
        <w:t>hese requirements</w:t>
      </w:r>
      <w:r w:rsidR="004F1191">
        <w:rPr>
          <w:rFonts w:cs="Arial"/>
        </w:rPr>
        <w:t xml:space="preserve"> to ensure compliance.</w:t>
      </w:r>
    </w:p>
    <w:p w:rsidR="00E306F8" w:rsidRPr="00467F6C" w:rsidRDefault="00E306F8" w:rsidP="003F308A">
      <w:pPr>
        <w:spacing w:before="120" w:line="220" w:lineRule="atLeast"/>
      </w:pPr>
      <w:r w:rsidRPr="00467F6C">
        <w:rPr>
          <w:rFonts w:cs="Arial"/>
        </w:rPr>
        <w:t xml:space="preserve">As </w:t>
      </w:r>
      <w:r w:rsidR="00075AAD">
        <w:rPr>
          <w:rFonts w:cs="Arial"/>
        </w:rPr>
        <w:t>mentioned at</w:t>
      </w:r>
      <w:r w:rsidRPr="00467F6C">
        <w:rPr>
          <w:rFonts w:cs="Arial"/>
        </w:rPr>
        <w:t xml:space="preserve"> </w:t>
      </w:r>
      <w:r w:rsidR="00BE6392">
        <w:rPr>
          <w:rFonts w:cs="Arial"/>
        </w:rPr>
        <w:t>O</w:t>
      </w:r>
      <w:r w:rsidRPr="00467F6C">
        <w:rPr>
          <w:rFonts w:cs="Arial"/>
        </w:rPr>
        <w:t xml:space="preserve">ption </w:t>
      </w:r>
      <w:r w:rsidR="004B1E68">
        <w:rPr>
          <w:rFonts w:cs="Arial"/>
        </w:rPr>
        <w:t>2</w:t>
      </w:r>
      <w:r w:rsidRPr="00467F6C">
        <w:rPr>
          <w:rFonts w:cs="Arial"/>
        </w:rPr>
        <w:t>, the updated voluntary</w:t>
      </w:r>
      <w:r w:rsidR="00CB67AA" w:rsidRPr="00467F6C">
        <w:rPr>
          <w:rFonts w:cs="Arial"/>
        </w:rPr>
        <w:t xml:space="preserve"> Australian</w:t>
      </w:r>
      <w:r w:rsidRPr="00467F6C">
        <w:rPr>
          <w:rFonts w:cs="Arial"/>
        </w:rPr>
        <w:t xml:space="preserve"> standard </w:t>
      </w:r>
      <w:proofErr w:type="gramStart"/>
      <w:r w:rsidRPr="00467F6C">
        <w:rPr>
          <w:rFonts w:cs="Arial"/>
        </w:rPr>
        <w:t>may be</w:t>
      </w:r>
      <w:r w:rsidR="00CB67AA" w:rsidRPr="00467F6C">
        <w:rPr>
          <w:rFonts w:cs="Arial"/>
        </w:rPr>
        <w:t xml:space="preserve"> deemed</w:t>
      </w:r>
      <w:proofErr w:type="gramEnd"/>
      <w:r w:rsidR="00CB67AA" w:rsidRPr="00467F6C">
        <w:rPr>
          <w:rFonts w:cs="Arial"/>
        </w:rPr>
        <w:t xml:space="preserve"> now</w:t>
      </w:r>
      <w:r w:rsidRPr="00467F6C">
        <w:rPr>
          <w:rFonts w:cs="Arial"/>
        </w:rPr>
        <w:t xml:space="preserve"> out</w:t>
      </w:r>
      <w:r w:rsidR="00CB67AA" w:rsidRPr="00467F6C">
        <w:rPr>
          <w:rFonts w:cs="Arial"/>
        </w:rPr>
        <w:t>-</w:t>
      </w:r>
      <w:r w:rsidRPr="00467F6C">
        <w:rPr>
          <w:rFonts w:cs="Arial"/>
        </w:rPr>
        <w:t>of</w:t>
      </w:r>
      <w:r w:rsidR="00CB67AA" w:rsidRPr="00467F6C">
        <w:rPr>
          <w:rFonts w:cs="Arial"/>
        </w:rPr>
        <w:t>-</w:t>
      </w:r>
      <w:r w:rsidRPr="00467F6C">
        <w:rPr>
          <w:rFonts w:cs="Arial"/>
        </w:rPr>
        <w:t>date and requiring review. This would require a</w:t>
      </w:r>
      <w:r w:rsidR="00E8632B" w:rsidRPr="00467F6C">
        <w:rPr>
          <w:rFonts w:cs="Arial"/>
        </w:rPr>
        <w:t xml:space="preserve"> </w:t>
      </w:r>
      <w:r w:rsidR="00A74D97" w:rsidRPr="00467F6C">
        <w:rPr>
          <w:rFonts w:cs="Arial"/>
        </w:rPr>
        <w:t>subsequent</w:t>
      </w:r>
      <w:r w:rsidRPr="00467F6C">
        <w:rPr>
          <w:rFonts w:cs="Arial"/>
        </w:rPr>
        <w:t xml:space="preserve"> review</w:t>
      </w:r>
      <w:r w:rsidR="00467F6C" w:rsidRPr="00467F6C">
        <w:rPr>
          <w:rFonts w:cs="Arial"/>
        </w:rPr>
        <w:t xml:space="preserve"> of the mandatory safety standard</w:t>
      </w:r>
      <w:r w:rsidR="00A74D97" w:rsidRPr="00467F6C">
        <w:rPr>
          <w:rFonts w:cs="Arial"/>
        </w:rPr>
        <w:t>,</w:t>
      </w:r>
      <w:r w:rsidRPr="00467F6C">
        <w:rPr>
          <w:rFonts w:cs="Arial"/>
        </w:rPr>
        <w:t xml:space="preserve"> </w:t>
      </w:r>
      <w:r w:rsidR="00467F6C">
        <w:rPr>
          <w:rFonts w:cs="Arial"/>
        </w:rPr>
        <w:t>presenting</w:t>
      </w:r>
      <w:r w:rsidRPr="00467F6C">
        <w:rPr>
          <w:rFonts w:cs="Arial"/>
        </w:rPr>
        <w:t xml:space="preserve"> resource and cost implications for industry and government.</w:t>
      </w:r>
    </w:p>
    <w:p w:rsidR="00E306F8" w:rsidRPr="00E306F8" w:rsidRDefault="00DD5013" w:rsidP="003F308A">
      <w:pPr>
        <w:spacing w:before="120" w:line="220" w:lineRule="atLeast"/>
      </w:pPr>
      <w:r>
        <w:rPr>
          <w:rFonts w:cs="Arial"/>
        </w:rPr>
        <w:t>Suppliers may need to check b</w:t>
      </w:r>
      <w:r w:rsidRPr="00467F6C">
        <w:rPr>
          <w:rFonts w:cs="Arial"/>
        </w:rPr>
        <w:t xml:space="preserve">icycles </w:t>
      </w:r>
      <w:r w:rsidR="00A74D97" w:rsidRPr="00467F6C">
        <w:rPr>
          <w:rFonts w:cs="Arial"/>
        </w:rPr>
        <w:t xml:space="preserve">that </w:t>
      </w:r>
      <w:r w:rsidR="00320763">
        <w:rPr>
          <w:rFonts w:cs="Arial"/>
        </w:rPr>
        <w:t xml:space="preserve">already meet trusted international standards </w:t>
      </w:r>
      <w:r w:rsidR="00E306F8">
        <w:rPr>
          <w:rFonts w:cs="Arial"/>
        </w:rPr>
        <w:t xml:space="preserve">against the </w:t>
      </w:r>
      <w:r w:rsidR="00BA1A82">
        <w:rPr>
          <w:rFonts w:cs="Arial"/>
        </w:rPr>
        <w:t xml:space="preserve">new </w:t>
      </w:r>
      <w:r w:rsidR="00C85A17">
        <w:rPr>
          <w:rFonts w:cs="Arial"/>
        </w:rPr>
        <w:t xml:space="preserve">mandatory safety </w:t>
      </w:r>
      <w:r w:rsidR="00BA1A82">
        <w:rPr>
          <w:rFonts w:cs="Arial"/>
        </w:rPr>
        <w:t xml:space="preserve">standard despite </w:t>
      </w:r>
      <w:r>
        <w:rPr>
          <w:rFonts w:cs="Arial"/>
        </w:rPr>
        <w:t>satisfying</w:t>
      </w:r>
      <w:r w:rsidR="00BA1A82">
        <w:rPr>
          <w:rFonts w:cs="Arial"/>
        </w:rPr>
        <w:t xml:space="preserve"> similar requirements.</w:t>
      </w:r>
    </w:p>
    <w:p w:rsidR="004911CD" w:rsidRDefault="004911CD" w:rsidP="008F167A">
      <w:pPr>
        <w:pStyle w:val="Numbered111"/>
        <w:numPr>
          <w:ilvl w:val="0"/>
          <w:numId w:val="0"/>
        </w:numPr>
      </w:pPr>
      <w:r>
        <w:lastRenderedPageBreak/>
        <w:t>Net benefits</w:t>
      </w:r>
    </w:p>
    <w:p w:rsidR="000E312F" w:rsidRDefault="008660A6" w:rsidP="00D91251">
      <w:pPr>
        <w:spacing w:before="120"/>
        <w:rPr>
          <w:rFonts w:cs="Arial"/>
        </w:rPr>
      </w:pPr>
      <w:r>
        <w:t>The ACCC estimates that this option would save industry $0.3</w:t>
      </w:r>
      <w:r w:rsidR="00191811">
        <w:t xml:space="preserve"> </w:t>
      </w:r>
      <w:r>
        <w:t xml:space="preserve">m </w:t>
      </w:r>
      <w:r w:rsidR="00E8632B">
        <w:t>annually</w:t>
      </w:r>
      <w:r w:rsidR="002E7B9B">
        <w:t xml:space="preserve"> (Table </w:t>
      </w:r>
      <w:r w:rsidR="005C1811">
        <w:t>4</w:t>
      </w:r>
      <w:r w:rsidR="002E7B9B">
        <w:t>)</w:t>
      </w:r>
      <w:r w:rsidR="00985418">
        <w:t>.</w:t>
      </w:r>
      <w:r>
        <w:rPr>
          <w:rFonts w:cs="Arial"/>
        </w:rPr>
        <w:t xml:space="preserve"> </w:t>
      </w:r>
      <w:r w:rsidR="00086811">
        <w:t>Appendix B provides a detailed explanation of the costings</w:t>
      </w:r>
      <w:r w:rsidR="00AD253A">
        <w:rPr>
          <w:rFonts w:cs="Arial"/>
        </w:rPr>
        <w:t>.</w:t>
      </w:r>
    </w:p>
    <w:p w:rsidR="005C1811" w:rsidRPr="00776D93" w:rsidRDefault="005C1811" w:rsidP="005C1811">
      <w:pPr>
        <w:spacing w:before="120" w:after="120" w:line="220" w:lineRule="atLeast"/>
        <w:rPr>
          <w:rFonts w:cs="Arial"/>
          <w:b/>
          <w:sz w:val="20"/>
          <w:szCs w:val="20"/>
        </w:rPr>
      </w:pPr>
      <w:r w:rsidRPr="00776D93">
        <w:rPr>
          <w:rFonts w:cs="Arial"/>
          <w:b/>
          <w:sz w:val="20"/>
          <w:szCs w:val="20"/>
        </w:rPr>
        <w:t xml:space="preserve">Table </w:t>
      </w:r>
      <w:r>
        <w:rPr>
          <w:rFonts w:cs="Arial"/>
          <w:b/>
          <w:sz w:val="20"/>
          <w:szCs w:val="20"/>
        </w:rPr>
        <w:t>4</w:t>
      </w:r>
      <w:r w:rsidRPr="00776D93">
        <w:rPr>
          <w:rFonts w:cs="Arial"/>
          <w:b/>
          <w:sz w:val="20"/>
          <w:szCs w:val="20"/>
        </w:rPr>
        <w:t xml:space="preserve">: Option </w:t>
      </w:r>
      <w:r w:rsidR="004B1E68">
        <w:rPr>
          <w:rFonts w:cs="Arial"/>
          <w:b/>
          <w:sz w:val="20"/>
          <w:szCs w:val="20"/>
        </w:rPr>
        <w:t>3</w:t>
      </w:r>
      <w:r w:rsidRPr="00776D93">
        <w:rPr>
          <w:rFonts w:cs="Arial"/>
          <w:b/>
          <w:sz w:val="20"/>
          <w:szCs w:val="20"/>
        </w:rPr>
        <w:t xml:space="preserve"> </w:t>
      </w:r>
      <w:r w:rsidRPr="00776D93">
        <w:rPr>
          <w:b/>
          <w:sz w:val="20"/>
          <w:szCs w:val="20"/>
        </w:rPr>
        <w:t>- Average annual saving for industry</w:t>
      </w:r>
    </w:p>
    <w:tbl>
      <w:tblPr>
        <w:tblStyle w:val="LightGrid-Accent2"/>
        <w:tblW w:w="9464" w:type="dxa"/>
        <w:tblLook w:val="04A0" w:firstRow="1" w:lastRow="0" w:firstColumn="1" w:lastColumn="0" w:noHBand="0" w:noVBand="1"/>
      </w:tblPr>
      <w:tblGrid>
        <w:gridCol w:w="2128"/>
        <w:gridCol w:w="1241"/>
        <w:gridCol w:w="2575"/>
        <w:gridCol w:w="1394"/>
        <w:gridCol w:w="2126"/>
      </w:tblGrid>
      <w:tr w:rsidR="005C1811" w:rsidRPr="002E3635" w:rsidTr="00CC783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4" w:type="dxa"/>
            <w:gridSpan w:val="5"/>
            <w:noWrap/>
          </w:tcPr>
          <w:p w:rsidR="005C1811" w:rsidRPr="002E3635" w:rsidRDefault="005C1811" w:rsidP="00CC7830">
            <w:pPr>
              <w:keepNext/>
              <w:spacing w:before="120" w:after="120"/>
              <w:rPr>
                <w:rFonts w:cs="Arial"/>
                <w:sz w:val="20"/>
                <w:szCs w:val="20"/>
              </w:rPr>
            </w:pPr>
            <w:r w:rsidRPr="002E3635">
              <w:rPr>
                <w:rFonts w:cs="Arial"/>
                <w:sz w:val="20"/>
                <w:szCs w:val="20"/>
              </w:rPr>
              <w:t>Average annual regulatory costs (from business as usual)</w:t>
            </w:r>
          </w:p>
        </w:tc>
      </w:tr>
      <w:tr w:rsidR="005C1811" w:rsidRPr="002E3635" w:rsidTr="00CC7830">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128" w:type="dxa"/>
            <w:noWrap/>
          </w:tcPr>
          <w:p w:rsidR="005C1811" w:rsidRDefault="005C1811" w:rsidP="00CC7830">
            <w:pPr>
              <w:keepNext/>
              <w:spacing w:before="120" w:after="120"/>
              <w:rPr>
                <w:rFonts w:cs="Arial"/>
                <w:b w:val="0"/>
                <w:sz w:val="20"/>
                <w:szCs w:val="20"/>
              </w:rPr>
            </w:pPr>
            <w:r w:rsidRPr="002E3635">
              <w:rPr>
                <w:rFonts w:cs="Arial"/>
                <w:b w:val="0"/>
                <w:sz w:val="20"/>
                <w:szCs w:val="20"/>
              </w:rPr>
              <w:t xml:space="preserve">Change in costs </w:t>
            </w:r>
          </w:p>
          <w:p w:rsidR="005C1811" w:rsidRPr="002E3635" w:rsidRDefault="005C1811" w:rsidP="00CC7830">
            <w:pPr>
              <w:keepNext/>
              <w:spacing w:before="120" w:after="120"/>
              <w:rPr>
                <w:rFonts w:cs="Arial"/>
                <w:b w:val="0"/>
                <w:sz w:val="20"/>
                <w:szCs w:val="20"/>
              </w:rPr>
            </w:pPr>
            <w:r w:rsidRPr="00CE4E46">
              <w:rPr>
                <w:rFonts w:cs="Arial"/>
                <w:b w:val="0"/>
                <w:sz w:val="20"/>
                <w:szCs w:val="20"/>
              </w:rPr>
              <w:t>($ million)</w:t>
            </w:r>
          </w:p>
        </w:tc>
        <w:tc>
          <w:tcPr>
            <w:tcW w:w="1241" w:type="dxa"/>
            <w:noWrap/>
          </w:tcPr>
          <w:p w:rsidR="005C1811" w:rsidRPr="002E3635" w:rsidRDefault="005C1811" w:rsidP="00CC783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Cs/>
                <w:sz w:val="20"/>
                <w:szCs w:val="20"/>
              </w:rPr>
            </w:pPr>
            <w:r w:rsidRPr="002E3635">
              <w:rPr>
                <w:rFonts w:eastAsia="MS Gothic" w:cs="Arial"/>
                <w:bCs/>
                <w:sz w:val="20"/>
                <w:szCs w:val="20"/>
              </w:rPr>
              <w:t>Business</w:t>
            </w:r>
          </w:p>
        </w:tc>
        <w:tc>
          <w:tcPr>
            <w:tcW w:w="2575" w:type="dxa"/>
            <w:noWrap/>
          </w:tcPr>
          <w:p w:rsidR="005C1811" w:rsidRPr="002E3635" w:rsidRDefault="005C1811" w:rsidP="00CC783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Cs/>
                <w:sz w:val="20"/>
                <w:szCs w:val="20"/>
              </w:rPr>
            </w:pPr>
            <w:r w:rsidRPr="002E3635">
              <w:rPr>
                <w:rFonts w:eastAsia="MS Gothic" w:cs="Arial"/>
                <w:bCs/>
                <w:sz w:val="20"/>
                <w:szCs w:val="20"/>
              </w:rPr>
              <w:t>Community Organisations</w:t>
            </w:r>
          </w:p>
        </w:tc>
        <w:tc>
          <w:tcPr>
            <w:tcW w:w="1394" w:type="dxa"/>
            <w:noWrap/>
          </w:tcPr>
          <w:p w:rsidR="005C1811" w:rsidRPr="002E3635" w:rsidRDefault="005C1811" w:rsidP="00CC783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Cs/>
                <w:sz w:val="20"/>
                <w:szCs w:val="20"/>
              </w:rPr>
            </w:pPr>
            <w:r w:rsidRPr="002E3635">
              <w:rPr>
                <w:rFonts w:eastAsia="MS Gothic" w:cs="Arial"/>
                <w:bCs/>
                <w:sz w:val="20"/>
                <w:szCs w:val="20"/>
              </w:rPr>
              <w:t>Individuals</w:t>
            </w:r>
          </w:p>
        </w:tc>
        <w:tc>
          <w:tcPr>
            <w:tcW w:w="2126" w:type="dxa"/>
            <w:noWrap/>
          </w:tcPr>
          <w:p w:rsidR="005C1811" w:rsidRPr="002E3635" w:rsidRDefault="005C1811" w:rsidP="00CC783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Cs/>
                <w:sz w:val="20"/>
                <w:szCs w:val="20"/>
              </w:rPr>
            </w:pPr>
            <w:r w:rsidRPr="002E3635">
              <w:rPr>
                <w:rFonts w:eastAsia="MS Gothic" w:cs="Arial"/>
                <w:bCs/>
                <w:sz w:val="20"/>
                <w:szCs w:val="20"/>
              </w:rPr>
              <w:t>Total change in cost</w:t>
            </w:r>
          </w:p>
        </w:tc>
      </w:tr>
      <w:tr w:rsidR="005C1811" w:rsidRPr="002E3635" w:rsidTr="00CC783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5C1811" w:rsidRPr="002E3635" w:rsidRDefault="005C1811" w:rsidP="00CC7830">
            <w:pPr>
              <w:keepNext/>
              <w:spacing w:before="120" w:after="120"/>
              <w:rPr>
                <w:rFonts w:cs="Arial"/>
                <w:b w:val="0"/>
                <w:sz w:val="20"/>
                <w:szCs w:val="20"/>
              </w:rPr>
            </w:pPr>
            <w:r w:rsidRPr="002E3635">
              <w:rPr>
                <w:rFonts w:cs="Arial"/>
                <w:b w:val="0"/>
                <w:sz w:val="20"/>
                <w:szCs w:val="20"/>
              </w:rPr>
              <w:t>Total, by sector</w:t>
            </w:r>
          </w:p>
        </w:tc>
        <w:tc>
          <w:tcPr>
            <w:tcW w:w="1241" w:type="dxa"/>
            <w:noWrap/>
          </w:tcPr>
          <w:p w:rsidR="005C1811" w:rsidRPr="002E3635" w:rsidRDefault="005C1811" w:rsidP="00CC7830">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Pr>
                <w:rFonts w:eastAsia="MS Gothic" w:cs="Arial"/>
                <w:bCs/>
                <w:sz w:val="20"/>
                <w:szCs w:val="20"/>
              </w:rPr>
              <w:t>- (</w:t>
            </w:r>
            <w:r w:rsidRPr="002E3635">
              <w:rPr>
                <w:rFonts w:eastAsia="MS Gothic" w:cs="Arial"/>
                <w:bCs/>
                <w:sz w:val="20"/>
                <w:szCs w:val="20"/>
              </w:rPr>
              <w:t>$0</w:t>
            </w:r>
            <w:r>
              <w:rPr>
                <w:rFonts w:eastAsia="MS Gothic" w:cs="Arial"/>
                <w:bCs/>
                <w:sz w:val="20"/>
                <w:szCs w:val="20"/>
              </w:rPr>
              <w:t>.3)</w:t>
            </w:r>
          </w:p>
        </w:tc>
        <w:tc>
          <w:tcPr>
            <w:tcW w:w="2575" w:type="dxa"/>
            <w:noWrap/>
          </w:tcPr>
          <w:p w:rsidR="005C1811" w:rsidRPr="002E3635" w:rsidRDefault="005C1811" w:rsidP="00CC7830">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sidRPr="002E3635">
              <w:rPr>
                <w:rFonts w:eastAsia="MS Gothic" w:cs="Arial"/>
                <w:bCs/>
                <w:sz w:val="20"/>
                <w:szCs w:val="20"/>
              </w:rPr>
              <w:t>$0</w:t>
            </w:r>
          </w:p>
        </w:tc>
        <w:tc>
          <w:tcPr>
            <w:tcW w:w="1394" w:type="dxa"/>
            <w:noWrap/>
          </w:tcPr>
          <w:p w:rsidR="005C1811" w:rsidRPr="002E3635" w:rsidRDefault="005C1811" w:rsidP="00CC7830">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sidRPr="002E3635">
              <w:rPr>
                <w:rFonts w:eastAsia="MS Gothic" w:cs="Arial"/>
                <w:bCs/>
                <w:sz w:val="20"/>
                <w:szCs w:val="20"/>
              </w:rPr>
              <w:t>$0</w:t>
            </w:r>
          </w:p>
        </w:tc>
        <w:tc>
          <w:tcPr>
            <w:tcW w:w="2126" w:type="dxa"/>
            <w:noWrap/>
          </w:tcPr>
          <w:p w:rsidR="005C1811" w:rsidRPr="002E3635" w:rsidRDefault="005C1811" w:rsidP="00CC7830">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Pr>
                <w:rFonts w:eastAsia="MS Gothic" w:cs="Arial"/>
                <w:bCs/>
                <w:sz w:val="20"/>
                <w:szCs w:val="20"/>
              </w:rPr>
              <w:t>- (</w:t>
            </w:r>
            <w:r w:rsidRPr="002E3635">
              <w:rPr>
                <w:rFonts w:eastAsia="MS Gothic" w:cs="Arial"/>
                <w:bCs/>
                <w:sz w:val="20"/>
                <w:szCs w:val="20"/>
              </w:rPr>
              <w:t>$0</w:t>
            </w:r>
            <w:r>
              <w:rPr>
                <w:rFonts w:eastAsia="MS Gothic" w:cs="Arial"/>
                <w:bCs/>
                <w:sz w:val="20"/>
                <w:szCs w:val="20"/>
              </w:rPr>
              <w:t>.3)</w:t>
            </w:r>
          </w:p>
        </w:tc>
      </w:tr>
    </w:tbl>
    <w:p w:rsidR="004F65A9" w:rsidRDefault="004F65A9" w:rsidP="008F167A">
      <w:pPr>
        <w:pStyle w:val="Numbered11"/>
        <w:numPr>
          <w:ilvl w:val="0"/>
          <w:numId w:val="0"/>
        </w:numPr>
      </w:pPr>
      <w:bookmarkStart w:id="168" w:name="_Toc440455050"/>
      <w:bookmarkStart w:id="169" w:name="_Toc457220031"/>
      <w:bookmarkStart w:id="170" w:name="_Toc457222950"/>
      <w:bookmarkStart w:id="171" w:name="_Toc457228142"/>
      <w:bookmarkStart w:id="172" w:name="_Toc457465408"/>
      <w:bookmarkStart w:id="173" w:name="_Toc457569984"/>
      <w:bookmarkStart w:id="174" w:name="_Toc462919668"/>
      <w:bookmarkStart w:id="175" w:name="_Toc463541563"/>
      <w:r w:rsidRPr="004F65A9">
        <w:t xml:space="preserve">Option </w:t>
      </w:r>
      <w:bookmarkEnd w:id="167"/>
      <w:r w:rsidR="004B1E68">
        <w:t>4</w:t>
      </w:r>
      <w:r w:rsidR="00E235B8">
        <w:t xml:space="preserve"> </w:t>
      </w:r>
      <w:r w:rsidR="001D7BC4">
        <w:t>–</w:t>
      </w:r>
      <w:r w:rsidR="00E235B8">
        <w:t xml:space="preserve"> </w:t>
      </w:r>
      <w:r w:rsidR="001E1954">
        <w:t>Allow</w:t>
      </w:r>
      <w:r w:rsidR="00ED5D92">
        <w:t xml:space="preserve"> </w:t>
      </w:r>
      <w:r w:rsidR="00414E0C">
        <w:t xml:space="preserve">compliance with </w:t>
      </w:r>
      <w:r w:rsidR="00ED5D92">
        <w:t xml:space="preserve">the voluntary Australian </w:t>
      </w:r>
      <w:r>
        <w:t>or trusted international</w:t>
      </w:r>
      <w:r w:rsidRPr="004F65A9">
        <w:t xml:space="preserve"> standards</w:t>
      </w:r>
      <w:bookmarkEnd w:id="168"/>
      <w:bookmarkEnd w:id="169"/>
      <w:bookmarkEnd w:id="170"/>
      <w:bookmarkEnd w:id="171"/>
      <w:bookmarkEnd w:id="172"/>
      <w:bookmarkEnd w:id="173"/>
      <w:bookmarkEnd w:id="174"/>
      <w:bookmarkEnd w:id="175"/>
    </w:p>
    <w:p w:rsidR="009F73F5" w:rsidRDefault="009F73F5" w:rsidP="008F167A">
      <w:pPr>
        <w:pStyle w:val="Numbered111"/>
        <w:numPr>
          <w:ilvl w:val="0"/>
          <w:numId w:val="0"/>
        </w:numPr>
        <w:contextualSpacing w:val="0"/>
      </w:pPr>
      <w:r>
        <w:t>Description</w:t>
      </w:r>
    </w:p>
    <w:p w:rsidR="003F59C5" w:rsidRDefault="00A74D97" w:rsidP="00C16A0D">
      <w:pPr>
        <w:pStyle w:val="TableHeading"/>
        <w:spacing w:before="120" w:after="0"/>
        <w:rPr>
          <w:rFonts w:cs="Arial"/>
          <w:b w:val="0"/>
        </w:rPr>
      </w:pPr>
      <w:r>
        <w:rPr>
          <w:rFonts w:cs="Arial"/>
          <w:b w:val="0"/>
        </w:rPr>
        <w:t xml:space="preserve">This option would involve </w:t>
      </w:r>
      <w:r w:rsidR="00974B6A">
        <w:rPr>
          <w:rFonts w:cs="Arial"/>
          <w:b w:val="0"/>
        </w:rPr>
        <w:t xml:space="preserve">a mandatory </w:t>
      </w:r>
      <w:r w:rsidR="00C713B3">
        <w:rPr>
          <w:rFonts w:cs="Arial"/>
          <w:b w:val="0"/>
        </w:rPr>
        <w:t xml:space="preserve">safety </w:t>
      </w:r>
      <w:r w:rsidR="00974B6A">
        <w:rPr>
          <w:rFonts w:cs="Arial"/>
          <w:b w:val="0"/>
        </w:rPr>
        <w:t xml:space="preserve">standard that lists </w:t>
      </w:r>
      <w:r w:rsidR="003F59C5">
        <w:rPr>
          <w:rFonts w:cs="Arial"/>
          <w:b w:val="0"/>
        </w:rPr>
        <w:t>high-level</w:t>
      </w:r>
      <w:r>
        <w:rPr>
          <w:rFonts w:cs="Arial"/>
          <w:b w:val="0"/>
        </w:rPr>
        <w:t xml:space="preserve"> principles that all bicycles are required </w:t>
      </w:r>
      <w:r w:rsidR="00C713B3">
        <w:rPr>
          <w:rFonts w:cs="Arial"/>
          <w:b w:val="0"/>
        </w:rPr>
        <w:t xml:space="preserve">to </w:t>
      </w:r>
      <w:r>
        <w:rPr>
          <w:rFonts w:cs="Arial"/>
          <w:b w:val="0"/>
        </w:rPr>
        <w:t xml:space="preserve">meet. </w:t>
      </w:r>
      <w:r w:rsidR="003F59C5">
        <w:rPr>
          <w:rFonts w:cs="Arial"/>
          <w:b w:val="0"/>
        </w:rPr>
        <w:t>The principles would require that bicycles</w:t>
      </w:r>
      <w:r w:rsidR="00C713B3">
        <w:rPr>
          <w:rFonts w:cs="Arial"/>
          <w:b w:val="0"/>
        </w:rPr>
        <w:t>:</w:t>
      </w:r>
      <w:r w:rsidR="003F59C5">
        <w:rPr>
          <w:rFonts w:cs="Arial"/>
          <w:b w:val="0"/>
        </w:rPr>
        <w:t xml:space="preserve"> </w:t>
      </w:r>
    </w:p>
    <w:p w:rsidR="003F59C5" w:rsidRDefault="003F59C5" w:rsidP="003F59C5">
      <w:pPr>
        <w:pStyle w:val="TableHeading"/>
        <w:numPr>
          <w:ilvl w:val="0"/>
          <w:numId w:val="83"/>
        </w:numPr>
        <w:rPr>
          <w:rFonts w:cs="Arial"/>
          <w:b w:val="0"/>
        </w:rPr>
      </w:pPr>
      <w:r>
        <w:rPr>
          <w:rFonts w:cs="Arial"/>
          <w:b w:val="0"/>
        </w:rPr>
        <w:t>meet</w:t>
      </w:r>
      <w:r w:rsidR="00974B6A">
        <w:rPr>
          <w:rFonts w:cs="Arial"/>
          <w:b w:val="0"/>
        </w:rPr>
        <w:t xml:space="preserve"> the State and Territory road rules</w:t>
      </w:r>
      <w:r>
        <w:rPr>
          <w:rFonts w:cs="Arial"/>
          <w:b w:val="0"/>
        </w:rPr>
        <w:t xml:space="preserve"> (have reflectors and a warning device)</w:t>
      </w:r>
    </w:p>
    <w:p w:rsidR="003F59C5" w:rsidRDefault="00A74D97" w:rsidP="003F59C5">
      <w:pPr>
        <w:pStyle w:val="TableHeading"/>
        <w:numPr>
          <w:ilvl w:val="0"/>
          <w:numId w:val="83"/>
        </w:numPr>
        <w:rPr>
          <w:rFonts w:cs="Arial"/>
          <w:b w:val="0"/>
        </w:rPr>
      </w:pPr>
      <w:r>
        <w:rPr>
          <w:rFonts w:cs="Arial"/>
          <w:b w:val="0"/>
        </w:rPr>
        <w:t xml:space="preserve">have effective braking </w:t>
      </w:r>
    </w:p>
    <w:p w:rsidR="003F59C5" w:rsidRDefault="003F59C5" w:rsidP="003F59C5">
      <w:pPr>
        <w:pStyle w:val="TableHeading"/>
        <w:numPr>
          <w:ilvl w:val="0"/>
          <w:numId w:val="83"/>
        </w:numPr>
        <w:rPr>
          <w:rFonts w:cs="Arial"/>
          <w:b w:val="0"/>
        </w:rPr>
      </w:pPr>
      <w:proofErr w:type="gramStart"/>
      <w:r>
        <w:rPr>
          <w:rFonts w:cs="Arial"/>
          <w:b w:val="0"/>
        </w:rPr>
        <w:t>be</w:t>
      </w:r>
      <w:proofErr w:type="gramEnd"/>
      <w:r w:rsidR="00A74D97">
        <w:rPr>
          <w:rFonts w:cs="Arial"/>
          <w:b w:val="0"/>
        </w:rPr>
        <w:t xml:space="preserve"> structurally sound. </w:t>
      </w:r>
    </w:p>
    <w:p w:rsidR="002C4C73" w:rsidRPr="002C4C73" w:rsidRDefault="00A74D97" w:rsidP="00A4041E">
      <w:pPr>
        <w:pStyle w:val="TableHeading"/>
      </w:pPr>
      <w:r>
        <w:rPr>
          <w:rFonts w:cs="Arial"/>
          <w:b w:val="0"/>
        </w:rPr>
        <w:t xml:space="preserve">It would then set out the </w:t>
      </w:r>
      <w:r w:rsidR="00974B6A">
        <w:rPr>
          <w:rFonts w:cs="Arial"/>
          <w:b w:val="0"/>
        </w:rPr>
        <w:t xml:space="preserve">voluntary Australian and </w:t>
      </w:r>
      <w:r>
        <w:rPr>
          <w:rFonts w:cs="Arial"/>
          <w:b w:val="0"/>
        </w:rPr>
        <w:t xml:space="preserve">international standards assessed in this </w:t>
      </w:r>
      <w:r w:rsidR="00926961">
        <w:rPr>
          <w:rFonts w:cs="Arial"/>
          <w:b w:val="0"/>
        </w:rPr>
        <w:t>paper</w:t>
      </w:r>
      <w:r>
        <w:rPr>
          <w:rFonts w:cs="Arial"/>
          <w:b w:val="0"/>
        </w:rPr>
        <w:t xml:space="preserve"> as </w:t>
      </w:r>
      <w:r w:rsidR="003500E3">
        <w:rPr>
          <w:rFonts w:cs="Arial"/>
          <w:b w:val="0"/>
        </w:rPr>
        <w:t>‘</w:t>
      </w:r>
      <w:r>
        <w:rPr>
          <w:rFonts w:cs="Arial"/>
          <w:b w:val="0"/>
        </w:rPr>
        <w:t>safe harbours</w:t>
      </w:r>
      <w:r w:rsidR="003500E3">
        <w:rPr>
          <w:rFonts w:cs="Arial"/>
          <w:b w:val="0"/>
        </w:rPr>
        <w:t>’</w:t>
      </w:r>
      <w:r w:rsidR="003F59C5">
        <w:rPr>
          <w:rFonts w:cs="Arial"/>
          <w:b w:val="0"/>
        </w:rPr>
        <w:t xml:space="preserve">. </w:t>
      </w:r>
      <w:r w:rsidR="006A67D9">
        <w:rPr>
          <w:rFonts w:cs="Arial"/>
          <w:b w:val="0"/>
        </w:rPr>
        <w:t>This means that if</w:t>
      </w:r>
      <w:r>
        <w:rPr>
          <w:rFonts w:cs="Arial"/>
          <w:b w:val="0"/>
        </w:rPr>
        <w:t xml:space="preserve"> a supplier sold a bicycle that met </w:t>
      </w:r>
      <w:r w:rsidR="003F59C5">
        <w:rPr>
          <w:rFonts w:cs="Arial"/>
          <w:b w:val="0"/>
        </w:rPr>
        <w:t>one of the</w:t>
      </w:r>
      <w:r>
        <w:rPr>
          <w:rFonts w:cs="Arial"/>
          <w:b w:val="0"/>
        </w:rPr>
        <w:t xml:space="preserve"> standard</w:t>
      </w:r>
      <w:r w:rsidR="003F59C5">
        <w:rPr>
          <w:rFonts w:cs="Arial"/>
          <w:b w:val="0"/>
        </w:rPr>
        <w:t>s</w:t>
      </w:r>
      <w:r>
        <w:rPr>
          <w:rFonts w:cs="Arial"/>
          <w:b w:val="0"/>
        </w:rPr>
        <w:t xml:space="preserve">, they </w:t>
      </w:r>
      <w:proofErr w:type="gramStart"/>
      <w:r>
        <w:rPr>
          <w:rFonts w:cs="Arial"/>
          <w:b w:val="0"/>
        </w:rPr>
        <w:t>would be deemed</w:t>
      </w:r>
      <w:proofErr w:type="gramEnd"/>
      <w:r>
        <w:rPr>
          <w:rFonts w:cs="Arial"/>
          <w:b w:val="0"/>
        </w:rPr>
        <w:t xml:space="preserve"> to comply with the </w:t>
      </w:r>
      <w:r w:rsidR="003F59C5">
        <w:rPr>
          <w:rFonts w:cs="Arial"/>
          <w:b w:val="0"/>
        </w:rPr>
        <w:t>mandatory</w:t>
      </w:r>
      <w:r w:rsidR="00C713B3">
        <w:rPr>
          <w:rFonts w:cs="Arial"/>
          <w:b w:val="0"/>
        </w:rPr>
        <w:t xml:space="preserve"> safety</w:t>
      </w:r>
      <w:r w:rsidR="003F59C5">
        <w:rPr>
          <w:rFonts w:cs="Arial"/>
          <w:b w:val="0"/>
        </w:rPr>
        <w:t xml:space="preserve"> standard</w:t>
      </w:r>
      <w:r>
        <w:rPr>
          <w:rFonts w:cs="Arial"/>
          <w:b w:val="0"/>
        </w:rPr>
        <w:t xml:space="preserve">. </w:t>
      </w:r>
    </w:p>
    <w:p w:rsidR="00322724" w:rsidRDefault="00322724" w:rsidP="008F167A">
      <w:pPr>
        <w:pStyle w:val="Numbered111"/>
        <w:numPr>
          <w:ilvl w:val="0"/>
          <w:numId w:val="0"/>
        </w:numPr>
        <w:ind w:left="504" w:hanging="504"/>
      </w:pPr>
      <w:r>
        <w:t>Benefits</w:t>
      </w:r>
    </w:p>
    <w:p w:rsidR="00322724" w:rsidRPr="00040EE2" w:rsidRDefault="00322724" w:rsidP="00C16A0D">
      <w:pPr>
        <w:spacing w:before="120"/>
      </w:pPr>
      <w:r w:rsidRPr="00040EE2">
        <w:t xml:space="preserve">Bicycles </w:t>
      </w:r>
      <w:proofErr w:type="gramStart"/>
      <w:r w:rsidRPr="00040EE2">
        <w:t>would be supplied</w:t>
      </w:r>
      <w:proofErr w:type="gramEnd"/>
      <w:r w:rsidRPr="00040EE2">
        <w:t xml:space="preserve"> with basic safety features that protect cyclists from a range of product failures that may cause injury, and would come with the features required for use on Australian roads. </w:t>
      </w:r>
      <w:r w:rsidR="00B75821" w:rsidRPr="00040EE2">
        <w:t>The same safet</w:t>
      </w:r>
      <w:r w:rsidR="003F59C5" w:rsidRPr="00040EE2">
        <w:t xml:space="preserve">y outcomes predicted in </w:t>
      </w:r>
      <w:r w:rsidR="00AB2628" w:rsidRPr="00040EE2">
        <w:t>O</w:t>
      </w:r>
      <w:r w:rsidR="003F59C5" w:rsidRPr="00040EE2">
        <w:t xml:space="preserve">ption </w:t>
      </w:r>
      <w:r w:rsidR="002D2ACD" w:rsidRPr="00040EE2">
        <w:t xml:space="preserve">3 </w:t>
      </w:r>
      <w:r w:rsidR="00B75821" w:rsidRPr="00040EE2">
        <w:t xml:space="preserve">are likely </w:t>
      </w:r>
      <w:r w:rsidR="004321B0" w:rsidRPr="00040EE2">
        <w:t xml:space="preserve">with </w:t>
      </w:r>
      <w:r w:rsidR="00B75821" w:rsidRPr="00040EE2">
        <w:t xml:space="preserve">this option. </w:t>
      </w:r>
    </w:p>
    <w:p w:rsidR="00B75821" w:rsidRPr="00040EE2" w:rsidRDefault="00B75821" w:rsidP="00B75821">
      <w:pPr>
        <w:spacing w:before="120" w:line="220" w:lineRule="atLeast"/>
        <w:rPr>
          <w:rFonts w:cs="Arial"/>
        </w:rPr>
      </w:pPr>
      <w:r w:rsidRPr="00040EE2">
        <w:rPr>
          <w:rFonts w:cs="Arial"/>
        </w:rPr>
        <w:t>One-of-a-kind, tandem, hire/rental, second-hand, recumbent and folding bicycles, pedelecs</w:t>
      </w:r>
      <w:r w:rsidR="00AB2628" w:rsidRPr="00040EE2">
        <w:rPr>
          <w:rFonts w:cs="Arial"/>
        </w:rPr>
        <w:t>,</w:t>
      </w:r>
      <w:r w:rsidRPr="00040EE2">
        <w:rPr>
          <w:rFonts w:cs="Arial"/>
        </w:rPr>
        <w:t xml:space="preserve"> and power-assisted bicycles with power output not exceeding 200 W would then be required to </w:t>
      </w:r>
      <w:r w:rsidR="008660A6" w:rsidRPr="00040EE2">
        <w:rPr>
          <w:rFonts w:cs="Arial"/>
        </w:rPr>
        <w:t xml:space="preserve">meet the </w:t>
      </w:r>
      <w:r w:rsidR="004321B0" w:rsidRPr="00040EE2">
        <w:rPr>
          <w:rFonts w:cs="Arial"/>
        </w:rPr>
        <w:t xml:space="preserve">mandatory safety </w:t>
      </w:r>
      <w:r w:rsidR="008660A6" w:rsidRPr="00040EE2">
        <w:rPr>
          <w:rFonts w:cs="Arial"/>
        </w:rPr>
        <w:t>standard.</w:t>
      </w:r>
      <w:r w:rsidRPr="00040EE2">
        <w:rPr>
          <w:rFonts w:cs="Arial"/>
        </w:rPr>
        <w:t xml:space="preserve"> </w:t>
      </w:r>
      <w:r w:rsidR="008660A6" w:rsidRPr="00040EE2">
        <w:rPr>
          <w:rFonts w:cs="Arial"/>
        </w:rPr>
        <w:t>Bicycle</w:t>
      </w:r>
      <w:r w:rsidR="004321B0" w:rsidRPr="00040EE2">
        <w:rPr>
          <w:rFonts w:cs="Arial"/>
        </w:rPr>
        <w:t>s</w:t>
      </w:r>
      <w:r w:rsidR="008660A6" w:rsidRPr="00040EE2">
        <w:rPr>
          <w:rFonts w:cs="Arial"/>
        </w:rPr>
        <w:t xml:space="preserve"> that do not currently have these features would be required to include them</w:t>
      </w:r>
      <w:r w:rsidR="004321B0" w:rsidRPr="00040EE2">
        <w:rPr>
          <w:rFonts w:cs="Arial"/>
        </w:rPr>
        <w:t xml:space="preserve"> to prevent potential</w:t>
      </w:r>
      <w:r w:rsidR="008660A6" w:rsidRPr="00040EE2">
        <w:rPr>
          <w:rFonts w:cs="Arial"/>
        </w:rPr>
        <w:t xml:space="preserve"> </w:t>
      </w:r>
      <w:r w:rsidRPr="00040EE2">
        <w:rPr>
          <w:rFonts w:cs="Arial"/>
        </w:rPr>
        <w:t xml:space="preserve">injury </w:t>
      </w:r>
      <w:r w:rsidR="008660A6" w:rsidRPr="00040EE2">
        <w:rPr>
          <w:rFonts w:cs="Arial"/>
        </w:rPr>
        <w:t>or</w:t>
      </w:r>
      <w:r w:rsidRPr="00040EE2">
        <w:rPr>
          <w:rFonts w:cs="Arial"/>
        </w:rPr>
        <w:t xml:space="preserve"> death.</w:t>
      </w:r>
    </w:p>
    <w:p w:rsidR="00B75821" w:rsidRDefault="002D6A07" w:rsidP="00B75821">
      <w:pPr>
        <w:spacing w:before="120" w:line="220" w:lineRule="atLeast"/>
        <w:rPr>
          <w:rFonts w:cs="Arial"/>
        </w:rPr>
      </w:pPr>
      <w:r w:rsidRPr="00040EE2">
        <w:rPr>
          <w:rFonts w:cs="Arial"/>
        </w:rPr>
        <w:t>C</w:t>
      </w:r>
      <w:r w:rsidR="00A74D97" w:rsidRPr="00040EE2">
        <w:rPr>
          <w:rFonts w:cs="Arial"/>
        </w:rPr>
        <w:t xml:space="preserve">reating a set of broad principles </w:t>
      </w:r>
      <w:r w:rsidR="004321B0" w:rsidRPr="00040EE2">
        <w:rPr>
          <w:rFonts w:cs="Arial"/>
        </w:rPr>
        <w:t xml:space="preserve">against </w:t>
      </w:r>
      <w:r w:rsidR="00A74D97" w:rsidRPr="00040EE2">
        <w:rPr>
          <w:rFonts w:cs="Arial"/>
        </w:rPr>
        <w:t>a list of</w:t>
      </w:r>
      <w:r w:rsidR="0003522B" w:rsidRPr="00040EE2">
        <w:rPr>
          <w:rFonts w:cs="Arial"/>
        </w:rPr>
        <w:t xml:space="preserve"> multiple voluntary standards (including</w:t>
      </w:r>
      <w:r w:rsidR="00C57CC3" w:rsidRPr="00040EE2">
        <w:rPr>
          <w:rFonts w:cs="Arial"/>
        </w:rPr>
        <w:t xml:space="preserve"> trusted</w:t>
      </w:r>
      <w:r w:rsidR="00A74D97" w:rsidRPr="00040EE2">
        <w:rPr>
          <w:rFonts w:cs="Arial"/>
        </w:rPr>
        <w:t xml:space="preserve"> </w:t>
      </w:r>
      <w:r w:rsidR="002A1AF7" w:rsidRPr="00040EE2">
        <w:rPr>
          <w:rFonts w:cs="Arial"/>
        </w:rPr>
        <w:t xml:space="preserve">international </w:t>
      </w:r>
      <w:r w:rsidR="00A74D97" w:rsidRPr="00040EE2">
        <w:rPr>
          <w:rFonts w:cs="Arial"/>
        </w:rPr>
        <w:t>standards</w:t>
      </w:r>
      <w:r w:rsidR="0003522B" w:rsidRPr="00040EE2">
        <w:rPr>
          <w:rFonts w:cs="Arial"/>
        </w:rPr>
        <w:t>)</w:t>
      </w:r>
      <w:r w:rsidR="00A74D97" w:rsidRPr="00040EE2">
        <w:rPr>
          <w:rFonts w:cs="Arial"/>
        </w:rPr>
        <w:t xml:space="preserve"> </w:t>
      </w:r>
      <w:r w:rsidR="008660A6" w:rsidRPr="00040EE2">
        <w:rPr>
          <w:rFonts w:cs="Arial"/>
        </w:rPr>
        <w:t xml:space="preserve">would </w:t>
      </w:r>
      <w:r w:rsidR="0096114C" w:rsidRPr="00040EE2">
        <w:rPr>
          <w:rFonts w:cs="Arial"/>
        </w:rPr>
        <w:t xml:space="preserve">reduce the compliance burden on </w:t>
      </w:r>
      <w:r w:rsidR="00903922" w:rsidRPr="00040EE2">
        <w:rPr>
          <w:rFonts w:cs="Arial"/>
        </w:rPr>
        <w:t xml:space="preserve">global </w:t>
      </w:r>
      <w:r w:rsidR="008660A6" w:rsidRPr="00040EE2">
        <w:rPr>
          <w:rFonts w:cs="Arial"/>
        </w:rPr>
        <w:t>suppliers</w:t>
      </w:r>
      <w:r w:rsidR="0096114C" w:rsidRPr="00040EE2">
        <w:rPr>
          <w:rFonts w:cs="Arial"/>
        </w:rPr>
        <w:t>.</w:t>
      </w:r>
      <w:r w:rsidR="008660A6" w:rsidRPr="00040EE2">
        <w:rPr>
          <w:rFonts w:cs="Arial"/>
        </w:rPr>
        <w:t xml:space="preserve"> </w:t>
      </w:r>
      <w:r w:rsidR="00CB07E2" w:rsidRPr="00040EE2">
        <w:rPr>
          <w:rFonts w:cs="Arial"/>
        </w:rPr>
        <w:t xml:space="preserve">This also means that </w:t>
      </w:r>
      <w:r w:rsidR="00B75821" w:rsidRPr="00040EE2">
        <w:rPr>
          <w:rFonts w:cs="Arial"/>
        </w:rPr>
        <w:t>Australian regulatory requirements for pedal bicycles would become harmonised with those of major international markets.</w:t>
      </w:r>
      <w:r w:rsidR="005D3393" w:rsidRPr="005D3393">
        <w:rPr>
          <w:rFonts w:cs="Arial"/>
        </w:rPr>
        <w:t xml:space="preserve"> </w:t>
      </w:r>
      <w:r w:rsidR="005C699D">
        <w:rPr>
          <w:rFonts w:cs="Arial"/>
        </w:rPr>
        <w:t>The</w:t>
      </w:r>
      <w:r w:rsidR="005D3393">
        <w:rPr>
          <w:rFonts w:cs="Arial"/>
        </w:rPr>
        <w:t xml:space="preserve"> already high </w:t>
      </w:r>
      <w:r w:rsidR="006B09EC">
        <w:rPr>
          <w:rFonts w:cs="Arial"/>
        </w:rPr>
        <w:t>level of compliance in the market is</w:t>
      </w:r>
      <w:r w:rsidR="005D3393">
        <w:rPr>
          <w:rFonts w:cs="Arial"/>
        </w:rPr>
        <w:t xml:space="preserve"> likely to continue under this option.</w:t>
      </w:r>
    </w:p>
    <w:p w:rsidR="00B75821" w:rsidRDefault="00B75821" w:rsidP="003F308A">
      <w:pPr>
        <w:rPr>
          <w:rFonts w:cs="Arial"/>
        </w:rPr>
      </w:pPr>
      <w:r>
        <w:rPr>
          <w:rFonts w:cs="Arial"/>
        </w:rPr>
        <w:t xml:space="preserve">Following initial adjustment, it </w:t>
      </w:r>
      <w:proofErr w:type="gramStart"/>
      <w:r>
        <w:rPr>
          <w:rFonts w:cs="Arial"/>
        </w:rPr>
        <w:t>is</w:t>
      </w:r>
      <w:r w:rsidR="008660A6">
        <w:rPr>
          <w:rFonts w:cs="Arial"/>
        </w:rPr>
        <w:t xml:space="preserve"> assumed</w:t>
      </w:r>
      <w:proofErr w:type="gramEnd"/>
      <w:r w:rsidR="008660A6">
        <w:rPr>
          <w:rFonts w:cs="Arial"/>
        </w:rPr>
        <w:t xml:space="preserve"> it will become </w:t>
      </w:r>
      <w:r>
        <w:rPr>
          <w:rFonts w:cs="Arial"/>
        </w:rPr>
        <w:t xml:space="preserve">easier for suppliers to </w:t>
      </w:r>
      <w:r w:rsidR="008660A6">
        <w:rPr>
          <w:rFonts w:cs="Arial"/>
        </w:rPr>
        <w:t xml:space="preserve">comply with the </w:t>
      </w:r>
      <w:r w:rsidR="00E8632B">
        <w:rPr>
          <w:rFonts w:cs="Arial"/>
        </w:rPr>
        <w:t xml:space="preserve">mandatory safety </w:t>
      </w:r>
      <w:r w:rsidR="008660A6">
        <w:rPr>
          <w:rFonts w:cs="Arial"/>
        </w:rPr>
        <w:t xml:space="preserve">standard and </w:t>
      </w:r>
      <w:r>
        <w:rPr>
          <w:rFonts w:cs="Arial"/>
        </w:rPr>
        <w:t xml:space="preserve">demonstrate compliance. </w:t>
      </w:r>
      <w:r w:rsidRPr="005044FF">
        <w:rPr>
          <w:rFonts w:cs="Arial"/>
        </w:rPr>
        <w:t xml:space="preserve">Suppliers would be able to import bicycles that </w:t>
      </w:r>
      <w:proofErr w:type="gramStart"/>
      <w:r w:rsidRPr="005044FF">
        <w:rPr>
          <w:rFonts w:cs="Arial"/>
        </w:rPr>
        <w:t>are deemed</w:t>
      </w:r>
      <w:proofErr w:type="gramEnd"/>
      <w:r w:rsidRPr="005044FF">
        <w:rPr>
          <w:rFonts w:cs="Arial"/>
        </w:rPr>
        <w:t xml:space="preserve"> safe and compliant for other markets without the need for additional testing. </w:t>
      </w:r>
      <w:r>
        <w:rPr>
          <w:rFonts w:cs="Arial"/>
        </w:rPr>
        <w:t xml:space="preserve">Although </w:t>
      </w:r>
      <w:r w:rsidRPr="005044FF">
        <w:rPr>
          <w:rFonts w:cs="Arial"/>
        </w:rPr>
        <w:t>imported bicycles may still need minor adjustments</w:t>
      </w:r>
      <w:r w:rsidR="008660A6">
        <w:rPr>
          <w:rFonts w:cs="Arial"/>
        </w:rPr>
        <w:t xml:space="preserve"> </w:t>
      </w:r>
      <w:r w:rsidRPr="005044FF">
        <w:rPr>
          <w:rFonts w:cs="Arial"/>
        </w:rPr>
        <w:t xml:space="preserve">to ensure compliance </w:t>
      </w:r>
      <w:r w:rsidR="008660A6">
        <w:rPr>
          <w:rFonts w:cs="Arial"/>
        </w:rPr>
        <w:t xml:space="preserve">with the </w:t>
      </w:r>
      <w:r w:rsidR="0089184E">
        <w:rPr>
          <w:rFonts w:cs="Arial"/>
        </w:rPr>
        <w:t xml:space="preserve">mandatory safety </w:t>
      </w:r>
      <w:r w:rsidR="008660A6">
        <w:rPr>
          <w:rFonts w:cs="Arial"/>
        </w:rPr>
        <w:t>standard</w:t>
      </w:r>
      <w:r w:rsidR="00C4727E">
        <w:rPr>
          <w:rFonts w:cs="Arial"/>
        </w:rPr>
        <w:t>, t</w:t>
      </w:r>
      <w:r w:rsidR="008660A6">
        <w:rPr>
          <w:rFonts w:cs="Arial"/>
        </w:rPr>
        <w:t>his would</w:t>
      </w:r>
      <w:r w:rsidR="00CA0516">
        <w:rPr>
          <w:rFonts w:cs="Arial"/>
        </w:rPr>
        <w:t xml:space="preserve"> </w:t>
      </w:r>
      <w:r w:rsidR="008660A6">
        <w:rPr>
          <w:rFonts w:cs="Arial"/>
        </w:rPr>
        <w:t xml:space="preserve">be necessary to ensure compliance with </w:t>
      </w:r>
      <w:r w:rsidR="0089184E">
        <w:rPr>
          <w:rFonts w:cs="Arial"/>
        </w:rPr>
        <w:t xml:space="preserve">Australian </w:t>
      </w:r>
      <w:r w:rsidR="008660A6">
        <w:rPr>
          <w:rFonts w:cs="Arial"/>
        </w:rPr>
        <w:t xml:space="preserve">road </w:t>
      </w:r>
      <w:r w:rsidR="00974B6A">
        <w:rPr>
          <w:rFonts w:cs="Arial"/>
        </w:rPr>
        <w:t>rules</w:t>
      </w:r>
      <w:r w:rsidR="008660A6">
        <w:rPr>
          <w:rFonts w:cs="Arial"/>
        </w:rPr>
        <w:t xml:space="preserve">. </w:t>
      </w:r>
    </w:p>
    <w:p w:rsidR="00B75821" w:rsidRDefault="00B75821" w:rsidP="003F308A">
      <w:pPr>
        <w:rPr>
          <w:rFonts w:cs="Arial"/>
        </w:rPr>
      </w:pPr>
      <w:r>
        <w:rPr>
          <w:rFonts w:cs="Arial"/>
        </w:rPr>
        <w:t xml:space="preserve">This option may result in a </w:t>
      </w:r>
      <w:r w:rsidR="008660A6">
        <w:rPr>
          <w:rFonts w:cs="Arial"/>
        </w:rPr>
        <w:t xml:space="preserve">greater level of consumer choice as it will be easier for suppliers to import bicycles to Australia. </w:t>
      </w:r>
    </w:p>
    <w:p w:rsidR="00AD253A" w:rsidRDefault="00260BA7" w:rsidP="008F167A">
      <w:pPr>
        <w:pStyle w:val="Numbered111"/>
        <w:numPr>
          <w:ilvl w:val="0"/>
          <w:numId w:val="0"/>
        </w:numPr>
        <w:ind w:left="504" w:hanging="504"/>
      </w:pPr>
      <w:r>
        <w:lastRenderedPageBreak/>
        <w:t>Limitations</w:t>
      </w:r>
    </w:p>
    <w:p w:rsidR="00AD253A" w:rsidRDefault="00AD253A" w:rsidP="00C16A0D">
      <w:pPr>
        <w:spacing w:before="120"/>
      </w:pPr>
      <w:r>
        <w:t>This option</w:t>
      </w:r>
      <w:r w:rsidR="00974B6A">
        <w:t xml:space="preserve">, rather than listing specific </w:t>
      </w:r>
      <w:r>
        <w:t>mandatory requirements</w:t>
      </w:r>
      <w:r w:rsidR="00C4727E">
        <w:t>,</w:t>
      </w:r>
      <w:r w:rsidR="00974B6A">
        <w:t xml:space="preserve"> would list </w:t>
      </w:r>
      <w:r w:rsidR="009607CB">
        <w:t>safety</w:t>
      </w:r>
      <w:r w:rsidR="00974B6A">
        <w:t xml:space="preserve"> principles and </w:t>
      </w:r>
      <w:r w:rsidR="009607CB">
        <w:t xml:space="preserve">deem products meeting </w:t>
      </w:r>
      <w:r w:rsidR="00D03CD6">
        <w:t xml:space="preserve">specified </w:t>
      </w:r>
      <w:r w:rsidR="00C57CC3">
        <w:t xml:space="preserve">trusted </w:t>
      </w:r>
      <w:r w:rsidR="00974B6A">
        <w:t xml:space="preserve">standards </w:t>
      </w:r>
      <w:r w:rsidR="009607CB">
        <w:t>to comply</w:t>
      </w:r>
      <w:r w:rsidR="00D03CD6">
        <w:t xml:space="preserve"> with those safety principles</w:t>
      </w:r>
      <w:r w:rsidR="00974B6A">
        <w:t xml:space="preserve">. This means significantly less requirements than the current mandatory </w:t>
      </w:r>
      <w:r w:rsidR="00C57CC3">
        <w:t xml:space="preserve">safety </w:t>
      </w:r>
      <w:r w:rsidR="00974B6A">
        <w:t>standard that mandates the entirety of AS/NZS</w:t>
      </w:r>
      <w:r w:rsidR="00E2035E">
        <w:t xml:space="preserve"> </w:t>
      </w:r>
      <w:r w:rsidR="00974B6A">
        <w:t xml:space="preserve">1927:1998 (excluding those sections that only pertain to New Zealand). </w:t>
      </w:r>
      <w:r>
        <w:t>However</w:t>
      </w:r>
      <w:r w:rsidR="00E2035E">
        <w:t>, we</w:t>
      </w:r>
      <w:r>
        <w:t xml:space="preserve"> anticipate that there would be no change to bicycle </w:t>
      </w:r>
      <w:r w:rsidR="00E2035E">
        <w:t>safety,</w:t>
      </w:r>
      <w:r>
        <w:t xml:space="preserve"> </w:t>
      </w:r>
      <w:r w:rsidR="00974B6A">
        <w:t>as bicycles would still require effective braking and to be structurally sound</w:t>
      </w:r>
      <w:r>
        <w:t>.</w:t>
      </w:r>
    </w:p>
    <w:p w:rsidR="00AD253A" w:rsidRDefault="00AD253A" w:rsidP="00AD253A">
      <w:pPr>
        <w:rPr>
          <w:rFonts w:cs="Arial"/>
        </w:rPr>
      </w:pPr>
      <w:r>
        <w:t xml:space="preserve">As </w:t>
      </w:r>
      <w:r w:rsidR="00E8632B">
        <w:t>discussed</w:t>
      </w:r>
      <w:r w:rsidR="005C4450">
        <w:t xml:space="preserve"> in the previous option</w:t>
      </w:r>
      <w:r>
        <w:t xml:space="preserve">, </w:t>
      </w:r>
      <w:r w:rsidR="005C4450">
        <w:t xml:space="preserve">there may be modest cost to </w:t>
      </w:r>
      <w:r>
        <w:t xml:space="preserve">suppliers of </w:t>
      </w:r>
      <w:r w:rsidRPr="005044FF">
        <w:rPr>
          <w:rFonts w:cs="Arial"/>
        </w:rPr>
        <w:t xml:space="preserve">one-of-a-kind, tandem, folding, recumbent and second-hand bicycles may </w:t>
      </w:r>
      <w:r>
        <w:rPr>
          <w:rFonts w:cs="Arial"/>
        </w:rPr>
        <w:t>face</w:t>
      </w:r>
      <w:r w:rsidRPr="005044FF">
        <w:rPr>
          <w:rFonts w:cs="Arial"/>
        </w:rPr>
        <w:t xml:space="preserve"> costs to satisfy the </w:t>
      </w:r>
      <w:r w:rsidR="00A74D97">
        <w:rPr>
          <w:rFonts w:cs="Arial"/>
        </w:rPr>
        <w:t>safety specifications</w:t>
      </w:r>
      <w:r>
        <w:rPr>
          <w:rFonts w:cs="Arial"/>
        </w:rPr>
        <w:t xml:space="preserve">. </w:t>
      </w:r>
    </w:p>
    <w:p w:rsidR="00D91F74" w:rsidRDefault="00974B6A" w:rsidP="00AD253A">
      <w:pPr>
        <w:rPr>
          <w:rFonts w:cs="Arial"/>
          <w:highlight w:val="yellow"/>
        </w:rPr>
      </w:pPr>
      <w:r w:rsidRPr="00D6603D">
        <w:rPr>
          <w:rFonts w:cs="Arial"/>
        </w:rPr>
        <w:t>Enforcement of the</w:t>
      </w:r>
      <w:r w:rsidR="006A6307" w:rsidRPr="00D6603D">
        <w:rPr>
          <w:rFonts w:cs="Arial"/>
        </w:rPr>
        <w:t xml:space="preserve"> amended</w:t>
      </w:r>
      <w:r w:rsidR="00C57CC3" w:rsidRPr="00D6603D">
        <w:rPr>
          <w:rFonts w:cs="Arial"/>
        </w:rPr>
        <w:t xml:space="preserve"> mandatory safety</w:t>
      </w:r>
      <w:r w:rsidRPr="00D6603D">
        <w:rPr>
          <w:rFonts w:cs="Arial"/>
        </w:rPr>
        <w:t xml:space="preserve"> standard </w:t>
      </w:r>
      <w:r w:rsidR="00C92858" w:rsidRPr="00D6603D">
        <w:rPr>
          <w:rFonts w:cs="Arial"/>
        </w:rPr>
        <w:t xml:space="preserve">by the ACCC and </w:t>
      </w:r>
      <w:r w:rsidR="00C57CC3" w:rsidRPr="00D6603D">
        <w:rPr>
          <w:rFonts w:cs="Arial"/>
        </w:rPr>
        <w:t>S</w:t>
      </w:r>
      <w:r w:rsidR="00C92858" w:rsidRPr="00D6603D">
        <w:rPr>
          <w:rFonts w:cs="Arial"/>
        </w:rPr>
        <w:t xml:space="preserve">tate and </w:t>
      </w:r>
      <w:r w:rsidR="00C57CC3" w:rsidRPr="00D6603D">
        <w:rPr>
          <w:rFonts w:cs="Arial"/>
        </w:rPr>
        <w:t>T</w:t>
      </w:r>
      <w:r w:rsidR="00C92858" w:rsidRPr="00D6603D">
        <w:rPr>
          <w:rFonts w:cs="Arial"/>
        </w:rPr>
        <w:t xml:space="preserve">erritory </w:t>
      </w:r>
      <w:r w:rsidR="00D6603D" w:rsidRPr="00D6603D">
        <w:rPr>
          <w:rFonts w:cs="Arial"/>
        </w:rPr>
        <w:t xml:space="preserve">ACL </w:t>
      </w:r>
      <w:r w:rsidR="00C92858" w:rsidRPr="00D6603D">
        <w:rPr>
          <w:rFonts w:cs="Arial"/>
        </w:rPr>
        <w:t xml:space="preserve">regulators </w:t>
      </w:r>
      <w:r w:rsidR="00D6603D">
        <w:rPr>
          <w:rFonts w:cs="Arial"/>
        </w:rPr>
        <w:t>c</w:t>
      </w:r>
      <w:r w:rsidRPr="00D6603D">
        <w:rPr>
          <w:rFonts w:cs="Arial"/>
        </w:rPr>
        <w:t>ould</w:t>
      </w:r>
      <w:r w:rsidR="00903922" w:rsidRPr="00D6603D">
        <w:rPr>
          <w:rFonts w:cs="Arial"/>
        </w:rPr>
        <w:t xml:space="preserve"> potentially</w:t>
      </w:r>
      <w:r w:rsidRPr="00D6603D">
        <w:rPr>
          <w:rFonts w:cs="Arial"/>
        </w:rPr>
        <w:t xml:space="preserve"> be more </w:t>
      </w:r>
      <w:r w:rsidR="00903922" w:rsidRPr="00D6603D">
        <w:rPr>
          <w:rFonts w:cs="Arial"/>
        </w:rPr>
        <w:t xml:space="preserve">onerous </w:t>
      </w:r>
      <w:r w:rsidRPr="00D6603D">
        <w:rPr>
          <w:rFonts w:cs="Arial"/>
        </w:rPr>
        <w:t xml:space="preserve">than the </w:t>
      </w:r>
      <w:r w:rsidR="006A6307" w:rsidRPr="00D6603D">
        <w:rPr>
          <w:rFonts w:cs="Arial"/>
        </w:rPr>
        <w:t xml:space="preserve">current mandatory safety </w:t>
      </w:r>
      <w:r w:rsidRPr="00D6603D">
        <w:rPr>
          <w:rFonts w:cs="Arial"/>
        </w:rPr>
        <w:t>standard</w:t>
      </w:r>
      <w:r w:rsidR="00903922" w:rsidRPr="00D6603D">
        <w:rPr>
          <w:rFonts w:cs="Arial"/>
        </w:rPr>
        <w:t>.</w:t>
      </w:r>
      <w:r w:rsidRPr="00D6603D">
        <w:rPr>
          <w:rFonts w:cs="Arial"/>
        </w:rPr>
        <w:t xml:space="preserve"> </w:t>
      </w:r>
      <w:r w:rsidR="00D6603D">
        <w:rPr>
          <w:rFonts w:cs="Arial"/>
        </w:rPr>
        <w:t>To address this, s</w:t>
      </w:r>
      <w:r w:rsidR="00D91F74" w:rsidRPr="00D6603D">
        <w:rPr>
          <w:rFonts w:cs="Arial"/>
        </w:rPr>
        <w:t xml:space="preserve">uppliers would be required to declare which of </w:t>
      </w:r>
      <w:r w:rsidR="00D6603D" w:rsidRPr="00D6603D">
        <w:rPr>
          <w:rFonts w:cs="Arial"/>
        </w:rPr>
        <w:t xml:space="preserve">the voluntary trusted standards they are meeting in order to demonstrate compliance with the mandatory safety </w:t>
      </w:r>
      <w:r w:rsidR="00D03CD6" w:rsidRPr="00D6603D">
        <w:rPr>
          <w:rFonts w:cs="Arial"/>
        </w:rPr>
        <w:t>standard.</w:t>
      </w:r>
      <w:r w:rsidR="00D03CD6">
        <w:rPr>
          <w:rFonts w:cs="Arial"/>
        </w:rPr>
        <w:t xml:space="preserve"> This declaration would need to be available at the point of sale (e.g. on the bicycle, on the sales literature or assembly/use instructions, or on the internet).</w:t>
      </w:r>
    </w:p>
    <w:p w:rsidR="00AD253A" w:rsidRDefault="00AD253A" w:rsidP="00A4041E">
      <w:pPr>
        <w:pStyle w:val="Numbered111"/>
        <w:numPr>
          <w:ilvl w:val="0"/>
          <w:numId w:val="0"/>
        </w:numPr>
        <w:contextualSpacing w:val="0"/>
      </w:pPr>
      <w:r>
        <w:t>Net benefits</w:t>
      </w:r>
    </w:p>
    <w:p w:rsidR="00AD253A" w:rsidRDefault="001E1954" w:rsidP="00C16A0D">
      <w:pPr>
        <w:spacing w:before="120"/>
      </w:pPr>
      <w:r>
        <w:t>We expect t</w:t>
      </w:r>
      <w:r w:rsidR="00244177">
        <w:t xml:space="preserve">his option </w:t>
      </w:r>
      <w:r w:rsidR="008660A6">
        <w:t>to result in a saving of $2.1</w:t>
      </w:r>
      <w:r w:rsidR="00191811">
        <w:t xml:space="preserve"> </w:t>
      </w:r>
      <w:r w:rsidR="008660A6">
        <w:t>m to industry per annum</w:t>
      </w:r>
      <w:r w:rsidR="007C2596">
        <w:t xml:space="preserve"> (Table </w:t>
      </w:r>
      <w:r w:rsidR="005C1811">
        <w:t>5</w:t>
      </w:r>
      <w:r w:rsidR="007C2596">
        <w:t>)</w:t>
      </w:r>
      <w:r w:rsidR="008660A6">
        <w:t xml:space="preserve">. </w:t>
      </w:r>
      <w:r w:rsidR="00086811">
        <w:t>Appendix B provides a detailed explanation of the costings</w:t>
      </w:r>
      <w:r w:rsidR="008660A6">
        <w:t>.</w:t>
      </w:r>
    </w:p>
    <w:p w:rsidR="00E42318" w:rsidRPr="00776D93" w:rsidRDefault="00E42318" w:rsidP="00E42318">
      <w:pPr>
        <w:spacing w:before="120" w:after="120" w:line="220" w:lineRule="atLeast"/>
        <w:rPr>
          <w:rFonts w:cs="Arial"/>
          <w:b/>
          <w:sz w:val="20"/>
          <w:szCs w:val="20"/>
        </w:rPr>
      </w:pPr>
      <w:r w:rsidRPr="00776D93">
        <w:rPr>
          <w:rFonts w:cs="Arial"/>
          <w:b/>
          <w:sz w:val="20"/>
          <w:szCs w:val="20"/>
        </w:rPr>
        <w:t xml:space="preserve">Table </w:t>
      </w:r>
      <w:r w:rsidR="005C1811">
        <w:rPr>
          <w:rFonts w:cs="Arial"/>
          <w:b/>
          <w:sz w:val="20"/>
          <w:szCs w:val="20"/>
        </w:rPr>
        <w:t>5</w:t>
      </w:r>
      <w:r w:rsidRPr="00776D93">
        <w:rPr>
          <w:rFonts w:cs="Arial"/>
          <w:b/>
          <w:sz w:val="20"/>
          <w:szCs w:val="20"/>
        </w:rPr>
        <w:t xml:space="preserve">: Option </w:t>
      </w:r>
      <w:r w:rsidR="004B1E68">
        <w:rPr>
          <w:rFonts w:cs="Arial"/>
          <w:b/>
          <w:sz w:val="20"/>
          <w:szCs w:val="20"/>
        </w:rPr>
        <w:t>4</w:t>
      </w:r>
      <w:r w:rsidRPr="00776D93">
        <w:rPr>
          <w:rFonts w:cs="Arial"/>
          <w:b/>
          <w:sz w:val="20"/>
          <w:szCs w:val="20"/>
        </w:rPr>
        <w:t xml:space="preserve"> </w:t>
      </w:r>
      <w:r w:rsidRPr="00776D93">
        <w:rPr>
          <w:b/>
          <w:sz w:val="20"/>
          <w:szCs w:val="20"/>
        </w:rPr>
        <w:t>- Average annual saving for industry</w:t>
      </w:r>
    </w:p>
    <w:tbl>
      <w:tblPr>
        <w:tblStyle w:val="LightGrid-Accent2"/>
        <w:tblW w:w="9464" w:type="dxa"/>
        <w:tblLook w:val="04A0" w:firstRow="1" w:lastRow="0" w:firstColumn="1" w:lastColumn="0" w:noHBand="0" w:noVBand="1"/>
      </w:tblPr>
      <w:tblGrid>
        <w:gridCol w:w="2128"/>
        <w:gridCol w:w="1241"/>
        <w:gridCol w:w="2575"/>
        <w:gridCol w:w="1394"/>
        <w:gridCol w:w="2126"/>
      </w:tblGrid>
      <w:tr w:rsidR="00E42318" w:rsidRPr="002E3635" w:rsidTr="00CC783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4" w:type="dxa"/>
            <w:gridSpan w:val="5"/>
            <w:noWrap/>
          </w:tcPr>
          <w:p w:rsidR="00E42318" w:rsidRPr="002E3635" w:rsidRDefault="00E42318" w:rsidP="00CC7830">
            <w:pPr>
              <w:keepNext/>
              <w:spacing w:before="120" w:after="120"/>
              <w:rPr>
                <w:rFonts w:cs="Arial"/>
                <w:sz w:val="20"/>
                <w:szCs w:val="20"/>
              </w:rPr>
            </w:pPr>
            <w:r w:rsidRPr="002E3635">
              <w:rPr>
                <w:rFonts w:cs="Arial"/>
                <w:sz w:val="20"/>
                <w:szCs w:val="20"/>
              </w:rPr>
              <w:t>Average annual regulatory costs (from business as usual)</w:t>
            </w:r>
          </w:p>
        </w:tc>
      </w:tr>
      <w:tr w:rsidR="00E42318" w:rsidRPr="002E3635" w:rsidTr="00CC7830">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128" w:type="dxa"/>
            <w:noWrap/>
          </w:tcPr>
          <w:p w:rsidR="00E42318" w:rsidRDefault="00E42318" w:rsidP="00CC7830">
            <w:pPr>
              <w:keepNext/>
              <w:spacing w:before="120" w:after="120"/>
              <w:rPr>
                <w:rFonts w:cs="Arial"/>
                <w:b w:val="0"/>
                <w:sz w:val="20"/>
                <w:szCs w:val="20"/>
              </w:rPr>
            </w:pPr>
            <w:r w:rsidRPr="002E3635">
              <w:rPr>
                <w:rFonts w:cs="Arial"/>
                <w:b w:val="0"/>
                <w:sz w:val="20"/>
                <w:szCs w:val="20"/>
              </w:rPr>
              <w:t xml:space="preserve">Change in costs </w:t>
            </w:r>
          </w:p>
          <w:p w:rsidR="00E42318" w:rsidRPr="002E3635" w:rsidRDefault="00E42318" w:rsidP="00CC7830">
            <w:pPr>
              <w:keepNext/>
              <w:spacing w:before="120" w:after="120"/>
              <w:rPr>
                <w:rFonts w:cs="Arial"/>
                <w:b w:val="0"/>
                <w:sz w:val="20"/>
                <w:szCs w:val="20"/>
              </w:rPr>
            </w:pPr>
            <w:r w:rsidRPr="00CE4E46">
              <w:rPr>
                <w:rFonts w:cs="Arial"/>
                <w:b w:val="0"/>
                <w:sz w:val="20"/>
                <w:szCs w:val="20"/>
              </w:rPr>
              <w:t>($ million)</w:t>
            </w:r>
          </w:p>
        </w:tc>
        <w:tc>
          <w:tcPr>
            <w:tcW w:w="1241" w:type="dxa"/>
            <w:noWrap/>
          </w:tcPr>
          <w:p w:rsidR="00E42318" w:rsidRPr="002E3635" w:rsidRDefault="00E42318" w:rsidP="00CC783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Cs/>
                <w:sz w:val="20"/>
                <w:szCs w:val="20"/>
              </w:rPr>
            </w:pPr>
            <w:r w:rsidRPr="002E3635">
              <w:rPr>
                <w:rFonts w:eastAsia="MS Gothic" w:cs="Arial"/>
                <w:bCs/>
                <w:sz w:val="20"/>
                <w:szCs w:val="20"/>
              </w:rPr>
              <w:t>Business</w:t>
            </w:r>
          </w:p>
        </w:tc>
        <w:tc>
          <w:tcPr>
            <w:tcW w:w="2575" w:type="dxa"/>
            <w:noWrap/>
          </w:tcPr>
          <w:p w:rsidR="00E42318" w:rsidRPr="002E3635" w:rsidRDefault="00E42318" w:rsidP="00CC783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Cs/>
                <w:sz w:val="20"/>
                <w:szCs w:val="20"/>
              </w:rPr>
            </w:pPr>
            <w:r w:rsidRPr="002E3635">
              <w:rPr>
                <w:rFonts w:eastAsia="MS Gothic" w:cs="Arial"/>
                <w:bCs/>
                <w:sz w:val="20"/>
                <w:szCs w:val="20"/>
              </w:rPr>
              <w:t>Community Organisations</w:t>
            </w:r>
          </w:p>
        </w:tc>
        <w:tc>
          <w:tcPr>
            <w:tcW w:w="1394" w:type="dxa"/>
            <w:noWrap/>
          </w:tcPr>
          <w:p w:rsidR="00E42318" w:rsidRPr="002E3635" w:rsidRDefault="00E42318" w:rsidP="00CC783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Cs/>
                <w:sz w:val="20"/>
                <w:szCs w:val="20"/>
              </w:rPr>
            </w:pPr>
            <w:r w:rsidRPr="002E3635">
              <w:rPr>
                <w:rFonts w:eastAsia="MS Gothic" w:cs="Arial"/>
                <w:bCs/>
                <w:sz w:val="20"/>
                <w:szCs w:val="20"/>
              </w:rPr>
              <w:t>Individuals</w:t>
            </w:r>
          </w:p>
        </w:tc>
        <w:tc>
          <w:tcPr>
            <w:tcW w:w="2126" w:type="dxa"/>
            <w:noWrap/>
          </w:tcPr>
          <w:p w:rsidR="00E42318" w:rsidRPr="002E3635" w:rsidRDefault="00E42318" w:rsidP="00CC783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Cs/>
                <w:sz w:val="20"/>
                <w:szCs w:val="20"/>
              </w:rPr>
            </w:pPr>
            <w:r w:rsidRPr="002E3635">
              <w:rPr>
                <w:rFonts w:eastAsia="MS Gothic" w:cs="Arial"/>
                <w:bCs/>
                <w:sz w:val="20"/>
                <w:szCs w:val="20"/>
              </w:rPr>
              <w:t>Total change in cost</w:t>
            </w:r>
          </w:p>
        </w:tc>
      </w:tr>
      <w:tr w:rsidR="00E42318" w:rsidRPr="002E3635" w:rsidTr="00CC783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E42318" w:rsidRPr="002E3635" w:rsidRDefault="00E42318" w:rsidP="00CC7830">
            <w:pPr>
              <w:keepNext/>
              <w:spacing w:before="120" w:after="120"/>
              <w:rPr>
                <w:rFonts w:cs="Arial"/>
                <w:b w:val="0"/>
                <w:sz w:val="20"/>
                <w:szCs w:val="20"/>
              </w:rPr>
            </w:pPr>
            <w:r w:rsidRPr="002E3635">
              <w:rPr>
                <w:rFonts w:cs="Arial"/>
                <w:b w:val="0"/>
                <w:sz w:val="20"/>
                <w:szCs w:val="20"/>
              </w:rPr>
              <w:t>Total, by sector</w:t>
            </w:r>
          </w:p>
        </w:tc>
        <w:tc>
          <w:tcPr>
            <w:tcW w:w="1241" w:type="dxa"/>
            <w:noWrap/>
          </w:tcPr>
          <w:p w:rsidR="00E42318" w:rsidRPr="002E3635" w:rsidRDefault="00E42318" w:rsidP="00CC7830">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Pr>
                <w:rFonts w:eastAsia="MS Gothic" w:cs="Arial"/>
                <w:bCs/>
                <w:sz w:val="20"/>
                <w:szCs w:val="20"/>
              </w:rPr>
              <w:t>- (</w:t>
            </w:r>
            <w:r w:rsidRPr="002E3635">
              <w:rPr>
                <w:rFonts w:eastAsia="MS Gothic" w:cs="Arial"/>
                <w:bCs/>
                <w:sz w:val="20"/>
                <w:szCs w:val="20"/>
              </w:rPr>
              <w:t>$</w:t>
            </w:r>
            <w:r>
              <w:rPr>
                <w:rFonts w:eastAsia="MS Gothic" w:cs="Arial"/>
                <w:bCs/>
                <w:sz w:val="20"/>
                <w:szCs w:val="20"/>
              </w:rPr>
              <w:t>2.1)</w:t>
            </w:r>
          </w:p>
        </w:tc>
        <w:tc>
          <w:tcPr>
            <w:tcW w:w="2575" w:type="dxa"/>
            <w:noWrap/>
          </w:tcPr>
          <w:p w:rsidR="00E42318" w:rsidRPr="002E3635" w:rsidRDefault="00E42318" w:rsidP="00CC7830">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sidRPr="002E3635">
              <w:rPr>
                <w:rFonts w:eastAsia="MS Gothic" w:cs="Arial"/>
                <w:bCs/>
                <w:sz w:val="20"/>
                <w:szCs w:val="20"/>
              </w:rPr>
              <w:t>$0</w:t>
            </w:r>
          </w:p>
        </w:tc>
        <w:tc>
          <w:tcPr>
            <w:tcW w:w="1394" w:type="dxa"/>
            <w:noWrap/>
          </w:tcPr>
          <w:p w:rsidR="00E42318" w:rsidRPr="002E3635" w:rsidRDefault="00E42318" w:rsidP="00CC7830">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sidRPr="002E3635">
              <w:rPr>
                <w:rFonts w:eastAsia="MS Gothic" w:cs="Arial"/>
                <w:bCs/>
                <w:sz w:val="20"/>
                <w:szCs w:val="20"/>
              </w:rPr>
              <w:t>$0</w:t>
            </w:r>
          </w:p>
        </w:tc>
        <w:tc>
          <w:tcPr>
            <w:tcW w:w="2126" w:type="dxa"/>
            <w:noWrap/>
          </w:tcPr>
          <w:p w:rsidR="00E42318" w:rsidRPr="002E3635" w:rsidRDefault="00E42318" w:rsidP="00CC7830">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Pr>
                <w:rFonts w:eastAsia="MS Gothic" w:cs="Arial"/>
                <w:bCs/>
                <w:sz w:val="20"/>
                <w:szCs w:val="20"/>
              </w:rPr>
              <w:t>- (</w:t>
            </w:r>
            <w:r w:rsidRPr="002E3635">
              <w:rPr>
                <w:rFonts w:eastAsia="MS Gothic" w:cs="Arial"/>
                <w:bCs/>
                <w:sz w:val="20"/>
                <w:szCs w:val="20"/>
              </w:rPr>
              <w:t>$</w:t>
            </w:r>
            <w:r>
              <w:rPr>
                <w:rFonts w:eastAsia="MS Gothic" w:cs="Arial"/>
                <w:bCs/>
                <w:sz w:val="20"/>
                <w:szCs w:val="20"/>
              </w:rPr>
              <w:t>2.1)</w:t>
            </w:r>
          </w:p>
        </w:tc>
      </w:tr>
    </w:tbl>
    <w:p w:rsidR="00E4448C" w:rsidRPr="002B77EE" w:rsidRDefault="00E4448C" w:rsidP="00A4041E">
      <w:pPr>
        <w:pStyle w:val="Numbered11"/>
        <w:numPr>
          <w:ilvl w:val="0"/>
          <w:numId w:val="0"/>
        </w:numPr>
      </w:pPr>
      <w:bookmarkStart w:id="176" w:name="_Toc462919669"/>
      <w:bookmarkStart w:id="177" w:name="_Toc463541564"/>
      <w:r w:rsidRPr="002B77EE">
        <w:t xml:space="preserve">Option </w:t>
      </w:r>
      <w:r w:rsidR="004B1E68">
        <w:t>5</w:t>
      </w:r>
      <w:r>
        <w:t xml:space="preserve"> - Revoke the mandatory safety standard</w:t>
      </w:r>
      <w:bookmarkEnd w:id="176"/>
      <w:bookmarkEnd w:id="177"/>
    </w:p>
    <w:p w:rsidR="00E4448C" w:rsidRPr="00EA532C" w:rsidRDefault="00E4448C" w:rsidP="00A4041E">
      <w:pPr>
        <w:pStyle w:val="Numbered111"/>
        <w:numPr>
          <w:ilvl w:val="0"/>
          <w:numId w:val="0"/>
        </w:numPr>
      </w:pPr>
      <w:r w:rsidRPr="00EA532C">
        <w:t>Description</w:t>
      </w:r>
    </w:p>
    <w:p w:rsidR="00E4448C" w:rsidRDefault="00E4448C" w:rsidP="00E4448C">
      <w:r>
        <w:t xml:space="preserve">Most consumer goods in Australia </w:t>
      </w:r>
      <w:proofErr w:type="gramStart"/>
      <w:r>
        <w:t>are not regulated</w:t>
      </w:r>
      <w:proofErr w:type="gramEnd"/>
      <w:r>
        <w:t xml:space="preserve"> by mandatory safety standards. Revoking the mandatory safety standard would mean suppliers still need to have regard to</w:t>
      </w:r>
      <w:r w:rsidRPr="00EB0DB0">
        <w:t xml:space="preserve"> </w:t>
      </w:r>
      <w:r>
        <w:t>the consumer</w:t>
      </w:r>
      <w:r w:rsidRPr="00EB0DB0">
        <w:t xml:space="preserve"> protection</w:t>
      </w:r>
      <w:r>
        <w:t xml:space="preserve"> provisions</w:t>
      </w:r>
      <w:r w:rsidRPr="00EB0DB0">
        <w:t xml:space="preserve"> of the Australian Consumer Law (ACL). The</w:t>
      </w:r>
      <w:r>
        <w:t xml:space="preserve"> ACL provides consumers with specific protections for consumer transactions called statutory consumer guarantees every time they purchase goods or services. One of those guarantees is that goods will be of acceptable quality, meaning they are safe and fit for purpose. </w:t>
      </w:r>
    </w:p>
    <w:p w:rsidR="00E4448C" w:rsidRDefault="00E4448C" w:rsidP="00E4448C">
      <w:r>
        <w:t xml:space="preserve">As the Australian </w:t>
      </w:r>
      <w:proofErr w:type="gramStart"/>
      <w:r>
        <w:t>road</w:t>
      </w:r>
      <w:proofErr w:type="gramEnd"/>
      <w:r>
        <w:t xml:space="preserve"> rules set out </w:t>
      </w:r>
      <w:r w:rsidRPr="000036C7">
        <w:t>minimum requirements for bicycles,</w:t>
      </w:r>
      <w:r w:rsidRPr="00EE21A7">
        <w:t xml:space="preserve"> if a bicycle is sold that cannot legally be ridden </w:t>
      </w:r>
      <w:r w:rsidRPr="000036C7">
        <w:t>on the road it may be considered unfit for purpose. However, this may not apply to bicycles not designed for road use. For example, the road rules do not set out requirements for effective brakes, just that there are brakes. It also does</w:t>
      </w:r>
      <w:r>
        <w:t xml:space="preserve"> not have any requirements for structural integrity. </w:t>
      </w:r>
    </w:p>
    <w:p w:rsidR="00E4448C" w:rsidRDefault="00E4448C" w:rsidP="00E4448C">
      <w:r w:rsidRPr="00BE1086">
        <w:t>Consumer protections also exist to safeguard against suppliers engaging in conduct that is likely to be misleading or deceptive. Additionally, there are provisions for injury reporting, recalls and product liability.</w:t>
      </w:r>
      <w:r>
        <w:t xml:space="preserve"> </w:t>
      </w:r>
      <w:r w:rsidRPr="00BE1086">
        <w:t xml:space="preserve">These provisions give suppliers an incentive to ensure that the </w:t>
      </w:r>
      <w:r w:rsidRPr="00BE1086">
        <w:lastRenderedPageBreak/>
        <w:t>goods they supply are safe.</w:t>
      </w:r>
      <w:r w:rsidRPr="00BE1086">
        <w:rPr>
          <w:rFonts w:eastAsia="Arial" w:cs="Times New Roman"/>
        </w:rPr>
        <w:t xml:space="preserve"> The ACCC would still be able to take safety action if needed – for example, through recalls.</w:t>
      </w:r>
    </w:p>
    <w:p w:rsidR="00E4448C" w:rsidRPr="006A3F55" w:rsidRDefault="00E4448C" w:rsidP="00A4041E">
      <w:pPr>
        <w:pStyle w:val="Numbered111"/>
        <w:numPr>
          <w:ilvl w:val="0"/>
          <w:numId w:val="0"/>
        </w:numPr>
        <w:rPr>
          <w:rFonts w:cstheme="minorBidi"/>
          <w:sz w:val="22"/>
        </w:rPr>
      </w:pPr>
      <w:r w:rsidRPr="00E40FE6">
        <w:t>Benefits</w:t>
      </w:r>
    </w:p>
    <w:p w:rsidR="00E4448C" w:rsidRDefault="00E4448C" w:rsidP="00E4448C">
      <w:pPr>
        <w:spacing w:before="120" w:line="220" w:lineRule="atLeast"/>
        <w:rPr>
          <w:rFonts w:cs="Arial"/>
        </w:rPr>
      </w:pPr>
      <w:r w:rsidRPr="005044FF">
        <w:rPr>
          <w:rFonts w:cs="Arial"/>
        </w:rPr>
        <w:t xml:space="preserve">There </w:t>
      </w:r>
      <w:r>
        <w:rPr>
          <w:rFonts w:cs="Arial"/>
        </w:rPr>
        <w:t>would</w:t>
      </w:r>
      <w:r w:rsidRPr="005044FF">
        <w:rPr>
          <w:rFonts w:cs="Arial"/>
        </w:rPr>
        <w:t xml:space="preserve"> be no direct compliance costs for industry under </w:t>
      </w:r>
      <w:r>
        <w:rPr>
          <w:rFonts w:cs="Arial"/>
        </w:rPr>
        <w:t xml:space="preserve">this option. </w:t>
      </w:r>
      <w:r w:rsidRPr="005044FF">
        <w:rPr>
          <w:rFonts w:cs="Arial"/>
        </w:rPr>
        <w:t>Any international trade restrictions resulting from the current</w:t>
      </w:r>
      <w:r>
        <w:rPr>
          <w:rFonts w:cs="Arial"/>
        </w:rPr>
        <w:t xml:space="preserve"> mandatory</w:t>
      </w:r>
      <w:r w:rsidRPr="005044FF">
        <w:rPr>
          <w:rFonts w:cs="Arial"/>
        </w:rPr>
        <w:t xml:space="preserve"> safety standard </w:t>
      </w:r>
      <w:proofErr w:type="gramStart"/>
      <w:r>
        <w:rPr>
          <w:rFonts w:cs="Arial"/>
        </w:rPr>
        <w:t>would</w:t>
      </w:r>
      <w:r w:rsidRPr="005044FF">
        <w:rPr>
          <w:rFonts w:cs="Arial"/>
        </w:rPr>
        <w:t xml:space="preserve"> </w:t>
      </w:r>
      <w:r>
        <w:rPr>
          <w:rFonts w:cs="Arial"/>
        </w:rPr>
        <w:t>be removed</w:t>
      </w:r>
      <w:proofErr w:type="gramEnd"/>
      <w:r>
        <w:rPr>
          <w:rFonts w:cs="Arial"/>
        </w:rPr>
        <w:t>, making it easier for businesses to import products to Australia</w:t>
      </w:r>
      <w:r w:rsidRPr="005044FF">
        <w:rPr>
          <w:rFonts w:cs="Arial"/>
        </w:rPr>
        <w:t>.</w:t>
      </w:r>
      <w:r>
        <w:rPr>
          <w:rFonts w:cs="Arial"/>
        </w:rPr>
        <w:t xml:space="preserve"> This may result </w:t>
      </w:r>
      <w:r w:rsidRPr="005044FF">
        <w:rPr>
          <w:rFonts w:cs="Arial"/>
        </w:rPr>
        <w:t>in lower priced bicycles and a wider range of bicycles becoming available to Australian consumer</w:t>
      </w:r>
      <w:r>
        <w:rPr>
          <w:rFonts w:cs="Arial"/>
        </w:rPr>
        <w:t>s</w:t>
      </w:r>
      <w:r w:rsidRPr="005044FF">
        <w:rPr>
          <w:rFonts w:cs="Arial"/>
        </w:rPr>
        <w:t xml:space="preserve">. </w:t>
      </w:r>
    </w:p>
    <w:p w:rsidR="00E4448C" w:rsidRPr="00EA532C" w:rsidRDefault="004B1E68" w:rsidP="00A4041E">
      <w:pPr>
        <w:pStyle w:val="Numbered111"/>
        <w:numPr>
          <w:ilvl w:val="0"/>
          <w:numId w:val="0"/>
        </w:numPr>
      </w:pPr>
      <w:r>
        <w:t>Limitations</w:t>
      </w:r>
    </w:p>
    <w:p w:rsidR="00E4448C" w:rsidRPr="005044FF" w:rsidRDefault="00E4448C" w:rsidP="00E4448C">
      <w:r>
        <w:t>W</w:t>
      </w:r>
      <w:r w:rsidRPr="005044FF">
        <w:t>ithout a</w:t>
      </w:r>
      <w:r>
        <w:t xml:space="preserve"> mandatory</w:t>
      </w:r>
      <w:r w:rsidRPr="005044FF">
        <w:t xml:space="preserve"> safety standard, </w:t>
      </w:r>
      <w:r>
        <w:t xml:space="preserve">there may be a rise in the number of bicycles supplied that </w:t>
      </w:r>
      <w:r w:rsidRPr="005044FF">
        <w:t xml:space="preserve">do not comply with Australian road laws </w:t>
      </w:r>
      <w:r>
        <w:t>and are illegal to use</w:t>
      </w:r>
      <w:r w:rsidRPr="005044FF">
        <w:t>. This w</w:t>
      </w:r>
      <w:r>
        <w:t>ill</w:t>
      </w:r>
      <w:r w:rsidRPr="005044FF">
        <w:t xml:space="preserve"> </w:t>
      </w:r>
      <w:r>
        <w:t xml:space="preserve">affect the safety of cyclists and increase road safety </w:t>
      </w:r>
      <w:r w:rsidRPr="005044FF">
        <w:t xml:space="preserve">enforcement and compliance costs </w:t>
      </w:r>
      <w:r>
        <w:t>for States and Territories</w:t>
      </w:r>
      <w:r w:rsidRPr="005044FF">
        <w:t>.</w:t>
      </w:r>
    </w:p>
    <w:p w:rsidR="00E4448C" w:rsidRDefault="00E4448C" w:rsidP="00E4448C">
      <w:r>
        <w:t>The mandatory safety standard corrects a level of information asymmetry. A visual inspection of a bicycle by a consumer does not allow the consumer to determine if structural parts of a bicycle, such as the seat or pillar, would perform safely when used.</w:t>
      </w:r>
    </w:p>
    <w:p w:rsidR="00E4448C" w:rsidRDefault="00E4448C" w:rsidP="00E4448C">
      <w:r>
        <w:t>The consumer</w:t>
      </w:r>
      <w:r w:rsidRPr="00EB0DB0">
        <w:t xml:space="preserve"> protection</w:t>
      </w:r>
      <w:r>
        <w:t xml:space="preserve"> provisions</w:t>
      </w:r>
      <w:r w:rsidRPr="00EB0DB0">
        <w:t xml:space="preserve"> </w:t>
      </w:r>
      <w:r>
        <w:t xml:space="preserve">of the ACL may not provide sufficient incentives to suppliers to ensure their goods offer an acceptable level of safety. Without a mandatory safety standard, suppliers will determine the safety requirements for their products. </w:t>
      </w:r>
    </w:p>
    <w:p w:rsidR="00E4448C" w:rsidRDefault="00E4448C" w:rsidP="00E4448C">
      <w:r>
        <w:t xml:space="preserve">It </w:t>
      </w:r>
      <w:proofErr w:type="gramStart"/>
      <w:r>
        <w:t>is assumed</w:t>
      </w:r>
      <w:proofErr w:type="gramEnd"/>
      <w:r>
        <w:t xml:space="preserve"> that many suppliers, particularly those at the upper price range and with established reputation, will choose to meet the updated voluntary Australian standard or trusted international standards as benchmarks because they are an established means of demonstrating reasonable levels of safety.</w:t>
      </w:r>
    </w:p>
    <w:p w:rsidR="00E4448C" w:rsidRDefault="00E4448C" w:rsidP="00E4448C">
      <w:r w:rsidRPr="00505806">
        <w:t xml:space="preserve">However, </w:t>
      </w:r>
      <w:r>
        <w:t xml:space="preserve">some suppliers, particularly those supplying </w:t>
      </w:r>
      <w:r w:rsidRPr="00505806">
        <w:t>bicycles in the lower price range and unbranded products</w:t>
      </w:r>
      <w:r>
        <w:t>,</w:t>
      </w:r>
      <w:r w:rsidRPr="00505806">
        <w:t xml:space="preserve"> may be at risk of bypassing a design</w:t>
      </w:r>
      <w:r>
        <w:t xml:space="preserve"> and testing regime. There is a risk that quality standards may decrease over time and there would be a segmentation of the market between cheap and less safe products and more expensive and safer products. If this happened and such bicycles did not have basic safety features or were subject to increased level of component failure, there will be a risk of increased </w:t>
      </w:r>
      <w:r w:rsidRPr="005044FF">
        <w:t>injury or death.</w:t>
      </w:r>
      <w:r>
        <w:t xml:space="preserve"> Given cheaper products are more likely to be purchased by consumers from a poorer socioeconomic background, this could leave more vulnerable consumers at risk of injury or death as these products would be more likely to fail.</w:t>
      </w:r>
    </w:p>
    <w:p w:rsidR="007542E8" w:rsidRDefault="007542E8">
      <w:pPr>
        <w:rPr>
          <w:rFonts w:eastAsiaTheme="majorEastAsia" w:cstheme="majorBidi"/>
          <w:b/>
          <w:bCs/>
          <w:color w:val="000000" w:themeColor="text1" w:themeShade="BF"/>
          <w:sz w:val="24"/>
        </w:rPr>
      </w:pPr>
      <w:r>
        <w:br w:type="page"/>
      </w:r>
    </w:p>
    <w:p w:rsidR="00E4448C" w:rsidRPr="00A908E4" w:rsidRDefault="00E4448C" w:rsidP="005C1811">
      <w:pPr>
        <w:pStyle w:val="Numbered111"/>
        <w:numPr>
          <w:ilvl w:val="0"/>
          <w:numId w:val="0"/>
        </w:numPr>
        <w:contextualSpacing w:val="0"/>
      </w:pPr>
      <w:r w:rsidRPr="00A908E4">
        <w:lastRenderedPageBreak/>
        <w:t>Net benefits</w:t>
      </w:r>
    </w:p>
    <w:p w:rsidR="00E4448C" w:rsidRDefault="00E4448C" w:rsidP="00E4448C">
      <w:r>
        <w:t xml:space="preserve">The ACCC estimates that this option would result in an annual saving of $3.7 m to industry (Table </w:t>
      </w:r>
      <w:r w:rsidR="009B7A18">
        <w:t>6</w:t>
      </w:r>
      <w:r>
        <w:t>). Appendix B provides a detailed explanation of the costings.</w:t>
      </w:r>
    </w:p>
    <w:p w:rsidR="00E4448C" w:rsidRDefault="00E4448C" w:rsidP="00E4448C">
      <w:pPr>
        <w:spacing w:before="120" w:after="120"/>
        <w:rPr>
          <w:b/>
          <w:sz w:val="20"/>
          <w:szCs w:val="20"/>
        </w:rPr>
      </w:pPr>
      <w:r w:rsidRPr="00776D93">
        <w:rPr>
          <w:b/>
          <w:sz w:val="20"/>
          <w:szCs w:val="20"/>
        </w:rPr>
        <w:t xml:space="preserve">Table </w:t>
      </w:r>
      <w:r w:rsidR="005C1811">
        <w:rPr>
          <w:b/>
          <w:sz w:val="20"/>
          <w:szCs w:val="20"/>
        </w:rPr>
        <w:t>6</w:t>
      </w:r>
      <w:r w:rsidRPr="00776D93">
        <w:rPr>
          <w:b/>
          <w:sz w:val="20"/>
          <w:szCs w:val="20"/>
        </w:rPr>
        <w:t xml:space="preserve">: Option </w:t>
      </w:r>
      <w:r w:rsidR="004B1E68">
        <w:rPr>
          <w:b/>
          <w:sz w:val="20"/>
          <w:szCs w:val="20"/>
        </w:rPr>
        <w:t>5</w:t>
      </w:r>
      <w:r w:rsidRPr="00776D93">
        <w:rPr>
          <w:b/>
          <w:sz w:val="20"/>
          <w:szCs w:val="20"/>
        </w:rPr>
        <w:t xml:space="preserve"> - Average annual saving for industry</w:t>
      </w:r>
    </w:p>
    <w:tbl>
      <w:tblPr>
        <w:tblStyle w:val="LightGrid-Accent2"/>
        <w:tblW w:w="9105" w:type="dxa"/>
        <w:tblLook w:val="04A0" w:firstRow="1" w:lastRow="0" w:firstColumn="1" w:lastColumn="0" w:noHBand="0" w:noVBand="1"/>
      </w:tblPr>
      <w:tblGrid>
        <w:gridCol w:w="2047"/>
        <w:gridCol w:w="1584"/>
        <w:gridCol w:w="2087"/>
        <w:gridCol w:w="1872"/>
        <w:gridCol w:w="1515"/>
      </w:tblGrid>
      <w:tr w:rsidR="005C1811" w:rsidRPr="00CE4E46" w:rsidTr="00CC7830">
        <w:trPr>
          <w:cnfStyle w:val="100000000000" w:firstRow="1" w:lastRow="0" w:firstColumn="0" w:lastColumn="0" w:oddVBand="0" w:evenVBand="0" w:oddHBand="0"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9105" w:type="dxa"/>
            <w:gridSpan w:val="5"/>
            <w:noWrap/>
          </w:tcPr>
          <w:p w:rsidR="005C1811" w:rsidRPr="00CE4E46" w:rsidRDefault="005C1811" w:rsidP="00CC7830">
            <w:pPr>
              <w:keepNext/>
              <w:spacing w:before="120" w:after="120"/>
              <w:rPr>
                <w:rFonts w:cs="Arial"/>
                <w:sz w:val="20"/>
                <w:szCs w:val="20"/>
              </w:rPr>
            </w:pPr>
            <w:r w:rsidRPr="00CE4E46">
              <w:rPr>
                <w:rFonts w:cs="Arial"/>
                <w:sz w:val="20"/>
                <w:szCs w:val="20"/>
              </w:rPr>
              <w:t>Average annual regulatory costs (from business as usual)</w:t>
            </w:r>
          </w:p>
        </w:tc>
      </w:tr>
      <w:tr w:rsidR="005C1811" w:rsidRPr="00CE4E46" w:rsidTr="00CC7830">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2047" w:type="dxa"/>
            <w:noWrap/>
          </w:tcPr>
          <w:p w:rsidR="005C1811" w:rsidRDefault="005C1811" w:rsidP="00CC7830">
            <w:pPr>
              <w:keepNext/>
              <w:spacing w:before="120" w:after="120"/>
              <w:rPr>
                <w:rFonts w:cs="Arial"/>
                <w:b w:val="0"/>
                <w:sz w:val="20"/>
                <w:szCs w:val="20"/>
              </w:rPr>
            </w:pPr>
            <w:r w:rsidRPr="00CE4E46">
              <w:rPr>
                <w:rFonts w:cs="Arial"/>
                <w:b w:val="0"/>
                <w:sz w:val="20"/>
                <w:szCs w:val="20"/>
              </w:rPr>
              <w:t xml:space="preserve">Change in costs </w:t>
            </w:r>
          </w:p>
          <w:p w:rsidR="005C1811" w:rsidRPr="00CE4E46" w:rsidRDefault="005C1811" w:rsidP="00CC7830">
            <w:pPr>
              <w:keepNext/>
              <w:spacing w:before="120" w:after="120"/>
              <w:rPr>
                <w:rFonts w:cs="Arial"/>
                <w:b w:val="0"/>
                <w:sz w:val="20"/>
                <w:szCs w:val="20"/>
              </w:rPr>
            </w:pPr>
            <w:r w:rsidRPr="00CE4E46">
              <w:rPr>
                <w:rFonts w:cs="Arial"/>
                <w:b w:val="0"/>
                <w:sz w:val="20"/>
                <w:szCs w:val="20"/>
              </w:rPr>
              <w:t>($ million)</w:t>
            </w:r>
          </w:p>
        </w:tc>
        <w:tc>
          <w:tcPr>
            <w:tcW w:w="1584" w:type="dxa"/>
            <w:noWrap/>
          </w:tcPr>
          <w:p w:rsidR="005C1811" w:rsidRPr="00CE4E46" w:rsidRDefault="005C1811" w:rsidP="00CC783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Cs/>
                <w:sz w:val="20"/>
                <w:szCs w:val="20"/>
              </w:rPr>
            </w:pPr>
            <w:r w:rsidRPr="00CE4E46">
              <w:rPr>
                <w:rFonts w:eastAsia="MS Gothic" w:cs="Arial"/>
                <w:bCs/>
                <w:sz w:val="20"/>
                <w:szCs w:val="20"/>
              </w:rPr>
              <w:t>Business</w:t>
            </w:r>
          </w:p>
        </w:tc>
        <w:tc>
          <w:tcPr>
            <w:tcW w:w="2087" w:type="dxa"/>
            <w:noWrap/>
          </w:tcPr>
          <w:p w:rsidR="005C1811" w:rsidRPr="00CE4E46" w:rsidRDefault="005C1811" w:rsidP="00CC783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Cs/>
                <w:sz w:val="20"/>
                <w:szCs w:val="20"/>
              </w:rPr>
            </w:pPr>
            <w:r w:rsidRPr="00CE4E46">
              <w:rPr>
                <w:rFonts w:eastAsia="MS Gothic" w:cs="Arial"/>
                <w:bCs/>
                <w:sz w:val="20"/>
                <w:szCs w:val="20"/>
              </w:rPr>
              <w:t>Community Organisations</w:t>
            </w:r>
          </w:p>
        </w:tc>
        <w:tc>
          <w:tcPr>
            <w:tcW w:w="1872" w:type="dxa"/>
            <w:noWrap/>
          </w:tcPr>
          <w:p w:rsidR="005C1811" w:rsidRPr="00CE4E46" w:rsidRDefault="005C1811" w:rsidP="00CC783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Cs/>
                <w:sz w:val="20"/>
                <w:szCs w:val="20"/>
              </w:rPr>
            </w:pPr>
            <w:r w:rsidRPr="00CE4E46">
              <w:rPr>
                <w:rFonts w:eastAsia="MS Gothic" w:cs="Arial"/>
                <w:bCs/>
                <w:sz w:val="20"/>
                <w:szCs w:val="20"/>
              </w:rPr>
              <w:t>Individuals</w:t>
            </w:r>
          </w:p>
        </w:tc>
        <w:tc>
          <w:tcPr>
            <w:tcW w:w="1515" w:type="dxa"/>
            <w:noWrap/>
          </w:tcPr>
          <w:p w:rsidR="005C1811" w:rsidRPr="00CE4E46" w:rsidRDefault="005C1811" w:rsidP="00CC7830">
            <w:pPr>
              <w:keepNext/>
              <w:spacing w:before="120" w:after="120"/>
              <w:cnfStyle w:val="000000100000" w:firstRow="0" w:lastRow="0" w:firstColumn="0" w:lastColumn="0" w:oddVBand="0" w:evenVBand="0" w:oddHBand="1" w:evenHBand="0" w:firstRowFirstColumn="0" w:firstRowLastColumn="0" w:lastRowFirstColumn="0" w:lastRowLastColumn="0"/>
              <w:rPr>
                <w:rFonts w:eastAsia="MS Gothic" w:cs="Arial"/>
                <w:bCs/>
                <w:sz w:val="20"/>
                <w:szCs w:val="20"/>
              </w:rPr>
            </w:pPr>
            <w:r w:rsidRPr="00CE4E46">
              <w:rPr>
                <w:rFonts w:eastAsia="MS Gothic" w:cs="Arial"/>
                <w:bCs/>
                <w:sz w:val="20"/>
                <w:szCs w:val="20"/>
              </w:rPr>
              <w:t>Total change in cost</w:t>
            </w:r>
          </w:p>
        </w:tc>
      </w:tr>
      <w:tr w:rsidR="005C1811" w:rsidRPr="00CE4E46" w:rsidTr="00CC7830">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2047" w:type="dxa"/>
            <w:noWrap/>
          </w:tcPr>
          <w:p w:rsidR="005C1811" w:rsidRPr="00CE4E46" w:rsidRDefault="005C1811" w:rsidP="00CC7830">
            <w:pPr>
              <w:keepNext/>
              <w:spacing w:before="120" w:after="120"/>
              <w:rPr>
                <w:rFonts w:cs="Arial"/>
                <w:b w:val="0"/>
                <w:sz w:val="20"/>
                <w:szCs w:val="20"/>
              </w:rPr>
            </w:pPr>
            <w:r w:rsidRPr="00CE4E46">
              <w:rPr>
                <w:rFonts w:cs="Arial"/>
                <w:b w:val="0"/>
                <w:sz w:val="20"/>
                <w:szCs w:val="20"/>
              </w:rPr>
              <w:t>Total, by sector</w:t>
            </w:r>
          </w:p>
        </w:tc>
        <w:tc>
          <w:tcPr>
            <w:tcW w:w="1584" w:type="dxa"/>
            <w:noWrap/>
          </w:tcPr>
          <w:p w:rsidR="005C1811" w:rsidRPr="00CE4E46" w:rsidRDefault="005C1811" w:rsidP="00CC7830">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Pr>
                <w:rFonts w:eastAsia="MS Gothic" w:cs="Arial"/>
                <w:bCs/>
                <w:sz w:val="20"/>
                <w:szCs w:val="20"/>
              </w:rPr>
              <w:t>- (</w:t>
            </w:r>
            <w:r w:rsidRPr="00CE4E46">
              <w:rPr>
                <w:rFonts w:eastAsia="MS Gothic" w:cs="Arial"/>
                <w:bCs/>
                <w:sz w:val="20"/>
                <w:szCs w:val="20"/>
              </w:rPr>
              <w:t>$</w:t>
            </w:r>
            <w:r>
              <w:rPr>
                <w:rFonts w:eastAsia="MS Gothic" w:cs="Arial"/>
                <w:bCs/>
                <w:sz w:val="20"/>
                <w:szCs w:val="20"/>
              </w:rPr>
              <w:t>3.7)</w:t>
            </w:r>
          </w:p>
        </w:tc>
        <w:tc>
          <w:tcPr>
            <w:tcW w:w="2087" w:type="dxa"/>
            <w:noWrap/>
          </w:tcPr>
          <w:p w:rsidR="005C1811" w:rsidRPr="00CE4E46" w:rsidRDefault="005C1811" w:rsidP="00CC7830">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sidRPr="00CE4E46">
              <w:rPr>
                <w:rFonts w:eastAsia="MS Gothic" w:cs="Arial"/>
                <w:bCs/>
                <w:sz w:val="20"/>
                <w:szCs w:val="20"/>
              </w:rPr>
              <w:t>$0</w:t>
            </w:r>
          </w:p>
        </w:tc>
        <w:tc>
          <w:tcPr>
            <w:tcW w:w="1872" w:type="dxa"/>
            <w:noWrap/>
          </w:tcPr>
          <w:p w:rsidR="005C1811" w:rsidRPr="00CE4E46" w:rsidRDefault="005C1811" w:rsidP="00CC7830">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sidRPr="00CE4E46">
              <w:rPr>
                <w:rFonts w:eastAsia="MS Gothic" w:cs="Arial"/>
                <w:bCs/>
                <w:sz w:val="20"/>
                <w:szCs w:val="20"/>
              </w:rPr>
              <w:t>$0</w:t>
            </w:r>
          </w:p>
        </w:tc>
        <w:tc>
          <w:tcPr>
            <w:tcW w:w="1515" w:type="dxa"/>
            <w:noWrap/>
          </w:tcPr>
          <w:p w:rsidR="005C1811" w:rsidRPr="00CE4E46" w:rsidRDefault="005C1811" w:rsidP="00CC7830">
            <w:pPr>
              <w:keepNext/>
              <w:spacing w:before="120" w:after="120"/>
              <w:cnfStyle w:val="000000010000" w:firstRow="0" w:lastRow="0" w:firstColumn="0" w:lastColumn="0" w:oddVBand="0" w:evenVBand="0" w:oddHBand="0" w:evenHBand="1" w:firstRowFirstColumn="0" w:firstRowLastColumn="0" w:lastRowFirstColumn="0" w:lastRowLastColumn="0"/>
              <w:rPr>
                <w:rFonts w:eastAsia="MS Gothic" w:cs="Arial"/>
                <w:bCs/>
                <w:sz w:val="20"/>
                <w:szCs w:val="20"/>
              </w:rPr>
            </w:pPr>
            <w:r>
              <w:rPr>
                <w:rFonts w:eastAsia="MS Gothic" w:cs="Arial"/>
                <w:bCs/>
                <w:sz w:val="20"/>
                <w:szCs w:val="20"/>
              </w:rPr>
              <w:t>- (</w:t>
            </w:r>
            <w:r w:rsidRPr="00CE4E46">
              <w:rPr>
                <w:rFonts w:eastAsia="MS Gothic" w:cs="Arial"/>
                <w:bCs/>
                <w:sz w:val="20"/>
                <w:szCs w:val="20"/>
              </w:rPr>
              <w:t>$</w:t>
            </w:r>
            <w:r>
              <w:rPr>
                <w:rFonts w:eastAsia="MS Gothic" w:cs="Arial"/>
                <w:bCs/>
                <w:sz w:val="20"/>
                <w:szCs w:val="20"/>
              </w:rPr>
              <w:t>3.7)</w:t>
            </w:r>
          </w:p>
        </w:tc>
      </w:tr>
    </w:tbl>
    <w:p w:rsidR="00DE3221" w:rsidRDefault="00DE3221" w:rsidP="00C4727E">
      <w:pPr>
        <w:pStyle w:val="Numbered1"/>
        <w:tabs>
          <w:tab w:val="clear" w:pos="680"/>
        </w:tabs>
      </w:pPr>
      <w:bookmarkStart w:id="178" w:name="_Toc463541565"/>
      <w:bookmarkStart w:id="179" w:name="_Toc463541566"/>
      <w:bookmarkStart w:id="180" w:name="_Toc463541567"/>
      <w:bookmarkStart w:id="181" w:name="_Toc463541568"/>
      <w:bookmarkStart w:id="182" w:name="_Toc434497034"/>
      <w:bookmarkStart w:id="183" w:name="_Toc440455051"/>
      <w:bookmarkStart w:id="184" w:name="_Toc463541569"/>
      <w:bookmarkEnd w:id="178"/>
      <w:bookmarkEnd w:id="179"/>
      <w:bookmarkEnd w:id="180"/>
      <w:bookmarkEnd w:id="181"/>
      <w:r>
        <w:t>Implementation and evaluation</w:t>
      </w:r>
      <w:bookmarkEnd w:id="182"/>
      <w:bookmarkEnd w:id="183"/>
      <w:bookmarkEnd w:id="184"/>
    </w:p>
    <w:p w:rsidR="004A4D13" w:rsidRDefault="00DE3221">
      <w:r>
        <w:t xml:space="preserve">The ACCC will consider </w:t>
      </w:r>
      <w:r w:rsidRPr="004E7FAE">
        <w:t xml:space="preserve">implementation and evaluation of the preferred option </w:t>
      </w:r>
      <w:r w:rsidR="006667DA">
        <w:t>after</w:t>
      </w:r>
      <w:r>
        <w:t xml:space="preserve"> </w:t>
      </w:r>
      <w:r w:rsidRPr="004E7FAE">
        <w:t>consultation.</w:t>
      </w:r>
      <w:bookmarkStart w:id="185" w:name="_Toc419731389"/>
      <w:bookmarkStart w:id="186" w:name="_Toc434497035"/>
      <w:bookmarkStart w:id="187" w:name="_Toc440455052"/>
    </w:p>
    <w:p w:rsidR="00272417" w:rsidRDefault="00A55148" w:rsidP="00DF53BE">
      <w:pPr>
        <w:pStyle w:val="Numbered1"/>
        <w:tabs>
          <w:tab w:val="clear" w:pos="680"/>
        </w:tabs>
        <w:ind w:left="680" w:hanging="680"/>
      </w:pPr>
      <w:bookmarkStart w:id="188" w:name="_Toc463541570"/>
      <w:bookmarkStart w:id="189" w:name="_Toc463541571"/>
      <w:bookmarkStart w:id="190" w:name="_Toc463541572"/>
      <w:bookmarkStart w:id="191" w:name="_Toc463541573"/>
      <w:bookmarkStart w:id="192" w:name="_Toc463541574"/>
      <w:bookmarkEnd w:id="188"/>
      <w:bookmarkEnd w:id="189"/>
      <w:bookmarkEnd w:id="190"/>
      <w:bookmarkEnd w:id="191"/>
      <w:r>
        <w:t>Key questions</w:t>
      </w:r>
      <w:bookmarkEnd w:id="192"/>
    </w:p>
    <w:p w:rsidR="00272417" w:rsidRPr="009F0321" w:rsidRDefault="00501D62" w:rsidP="00272417">
      <w:pPr>
        <w:pStyle w:val="LegalNumbering"/>
        <w:rPr>
          <w:rFonts w:cs="Arial"/>
          <w:bCs/>
        </w:rPr>
      </w:pPr>
      <w:r w:rsidRPr="009F0321">
        <w:rPr>
          <w:rFonts w:cs="Arial"/>
          <w:bCs/>
          <w:noProof/>
          <w:lang w:eastAsia="en-AU"/>
        </w:rPr>
        <mc:AlternateContent>
          <mc:Choice Requires="wps">
            <w:drawing>
              <wp:anchor distT="0" distB="0" distL="114300" distR="114300" simplePos="0" relativeHeight="251658239" behindDoc="1" locked="0" layoutInCell="1" allowOverlap="1" wp14:anchorId="387D270F" wp14:editId="34503C1F">
                <wp:simplePos x="0" y="0"/>
                <wp:positionH relativeFrom="column">
                  <wp:posOffset>-41097</wp:posOffset>
                </wp:positionH>
                <wp:positionV relativeFrom="paragraph">
                  <wp:posOffset>90776</wp:posOffset>
                </wp:positionV>
                <wp:extent cx="5825448" cy="4417888"/>
                <wp:effectExtent l="0" t="0" r="23495" b="20955"/>
                <wp:wrapNone/>
                <wp:docPr id="2" name="Text Box 2"/>
                <wp:cNvGraphicFramePr/>
                <a:graphic xmlns:a="http://schemas.openxmlformats.org/drawingml/2006/main">
                  <a:graphicData uri="http://schemas.microsoft.com/office/word/2010/wordprocessingShape">
                    <wps:wsp>
                      <wps:cNvSpPr txBox="1"/>
                      <wps:spPr>
                        <a:xfrm>
                          <a:off x="0" y="0"/>
                          <a:ext cx="5825448" cy="44178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4235" w:rsidRDefault="00D142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3.25pt;margin-top:7.15pt;width:458.7pt;height:347.8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" fillcolor="white [3201]" strokeweight=".5pt">
                <v:textbox>
                  <w:txbxContent>
                    <w:p w:rsidR="00D14235" w:rsidRDefault="00D14235"/>
                  </w:txbxContent>
                </v:textbox>
              </v:shape>
            </w:pict>
          </mc:Fallback>
        </mc:AlternateContent>
      </w:r>
      <w:r w:rsidR="00272417" w:rsidRPr="009F0321">
        <w:rPr>
          <w:rFonts w:cs="Arial"/>
          <w:bCs/>
        </w:rPr>
        <w:t>Do you agree with the issues identified?</w:t>
      </w:r>
    </w:p>
    <w:p w:rsidR="00272417" w:rsidRPr="009F0321" w:rsidRDefault="00272417" w:rsidP="00272417">
      <w:pPr>
        <w:pStyle w:val="LegalNumbering"/>
        <w:rPr>
          <w:rFonts w:cs="Arial"/>
          <w:bCs/>
        </w:rPr>
      </w:pPr>
      <w:r w:rsidRPr="009F0321">
        <w:rPr>
          <w:rFonts w:cs="Arial"/>
          <w:bCs/>
        </w:rPr>
        <w:t>Are there safety hazards not addressed in this consultation paper?</w:t>
      </w:r>
    </w:p>
    <w:p w:rsidR="00272417" w:rsidRPr="009F0321" w:rsidRDefault="00272417" w:rsidP="00272417">
      <w:pPr>
        <w:pStyle w:val="LegalNumbering"/>
        <w:rPr>
          <w:rFonts w:cs="Arial"/>
          <w:bCs/>
        </w:rPr>
      </w:pPr>
      <w:r w:rsidRPr="009F0321">
        <w:rPr>
          <w:rFonts w:cs="Arial"/>
          <w:bCs/>
        </w:rPr>
        <w:t>Do you agree with the ACCC’s assessment of international standards?</w:t>
      </w:r>
    </w:p>
    <w:p w:rsidR="00272417" w:rsidRPr="009F0321" w:rsidRDefault="00272417" w:rsidP="00272417">
      <w:pPr>
        <w:pStyle w:val="LegalNumbering"/>
        <w:rPr>
          <w:rFonts w:cs="Arial"/>
          <w:bCs/>
        </w:rPr>
      </w:pPr>
      <w:r w:rsidRPr="009F0321">
        <w:rPr>
          <w:rFonts w:cs="Arial"/>
          <w:bCs/>
        </w:rPr>
        <w:t>Are there any other standards that the ACCC should consider?</w:t>
      </w:r>
    </w:p>
    <w:p w:rsidR="00272417" w:rsidRPr="009F0321" w:rsidRDefault="00272417" w:rsidP="00272417">
      <w:pPr>
        <w:pStyle w:val="LegalNumbering"/>
        <w:rPr>
          <w:rFonts w:cs="Arial"/>
          <w:bCs/>
        </w:rPr>
      </w:pPr>
      <w:r w:rsidRPr="009F0321">
        <w:rPr>
          <w:rFonts w:cs="Arial"/>
          <w:bCs/>
        </w:rPr>
        <w:t>Which policy option do you support?</w:t>
      </w:r>
    </w:p>
    <w:p w:rsidR="00272417" w:rsidRPr="009F0321" w:rsidRDefault="00272417" w:rsidP="00272417">
      <w:pPr>
        <w:pStyle w:val="LegalNumbering"/>
        <w:rPr>
          <w:rFonts w:cs="Arial"/>
          <w:bCs/>
        </w:rPr>
      </w:pPr>
      <w:r w:rsidRPr="009F0321">
        <w:rPr>
          <w:rFonts w:cs="Arial"/>
          <w:bCs/>
        </w:rPr>
        <w:t>Are there any other policy options that the ACCC should consider?</w:t>
      </w:r>
    </w:p>
    <w:p w:rsidR="0068395A" w:rsidRPr="009F0321" w:rsidRDefault="0068395A" w:rsidP="00272417">
      <w:pPr>
        <w:pStyle w:val="LegalNumbering"/>
        <w:rPr>
          <w:rFonts w:cs="Arial"/>
          <w:bCs/>
        </w:rPr>
      </w:pPr>
      <w:r w:rsidRPr="009F0321">
        <w:rPr>
          <w:rFonts w:cs="Arial"/>
          <w:bCs/>
        </w:rPr>
        <w:t xml:space="preserve">Should the mandatory safety standard cover pedelecs and </w:t>
      </w:r>
      <w:r w:rsidR="00496512" w:rsidRPr="009F0321">
        <w:rPr>
          <w:rFonts w:cs="Arial"/>
          <w:bCs/>
        </w:rPr>
        <w:t>power-assisted</w:t>
      </w:r>
      <w:r w:rsidRPr="009F0321">
        <w:rPr>
          <w:rFonts w:cs="Arial"/>
          <w:bCs/>
        </w:rPr>
        <w:t xml:space="preserve"> bicycles with power output not exceeding 200 W?</w:t>
      </w:r>
    </w:p>
    <w:p w:rsidR="0068395A" w:rsidRPr="009F0321" w:rsidRDefault="0068395A" w:rsidP="00272417">
      <w:pPr>
        <w:pStyle w:val="LegalNumbering"/>
        <w:rPr>
          <w:rFonts w:cs="Arial"/>
          <w:bCs/>
        </w:rPr>
      </w:pPr>
      <w:r w:rsidRPr="009F0321">
        <w:rPr>
          <w:rFonts w:cs="Arial"/>
          <w:bCs/>
        </w:rPr>
        <w:t>Should the mandatory safety standard specify minimum safety features for one-of-a-kind, folding, tandem and recumbent bicycles?</w:t>
      </w:r>
    </w:p>
    <w:p w:rsidR="0068395A" w:rsidRPr="009F0321" w:rsidRDefault="0068395A" w:rsidP="00272417">
      <w:pPr>
        <w:pStyle w:val="LegalNumbering"/>
        <w:rPr>
          <w:rFonts w:cs="Arial"/>
          <w:bCs/>
        </w:rPr>
      </w:pPr>
      <w:r w:rsidRPr="009F0321">
        <w:rPr>
          <w:rFonts w:cs="Arial"/>
          <w:bCs/>
        </w:rPr>
        <w:t>Should the mandatory safety standard specify minimum safety features for second-hand and hire bicycles?</w:t>
      </w:r>
    </w:p>
    <w:p w:rsidR="00933C45" w:rsidRPr="009F0321" w:rsidRDefault="00933C45" w:rsidP="00272417">
      <w:pPr>
        <w:pStyle w:val="LegalNumbering"/>
        <w:rPr>
          <w:rFonts w:cs="Arial"/>
          <w:bCs/>
        </w:rPr>
      </w:pPr>
      <w:r w:rsidRPr="009F0321">
        <w:rPr>
          <w:rFonts w:cs="Arial"/>
          <w:bCs/>
        </w:rPr>
        <w:t xml:space="preserve">Do you support </w:t>
      </w:r>
      <w:r w:rsidR="00763391" w:rsidRPr="009F0321">
        <w:rPr>
          <w:rFonts w:cs="Arial"/>
          <w:bCs/>
        </w:rPr>
        <w:t xml:space="preserve">a requirement for </w:t>
      </w:r>
      <w:r w:rsidRPr="009F0321">
        <w:t xml:space="preserve">competition bicycles to </w:t>
      </w:r>
      <w:proofErr w:type="gramStart"/>
      <w:r w:rsidRPr="009F0321">
        <w:t xml:space="preserve">be </w:t>
      </w:r>
      <w:r w:rsidR="007542E8" w:rsidRPr="009F0321">
        <w:t>supplied</w:t>
      </w:r>
      <w:proofErr w:type="gramEnd"/>
      <w:r w:rsidRPr="009F0321">
        <w:t xml:space="preserve"> with a warning that the bicycle is not suitable for general road use?</w:t>
      </w:r>
    </w:p>
    <w:p w:rsidR="00952699" w:rsidRPr="009F0321" w:rsidRDefault="00272417" w:rsidP="00E43BD9">
      <w:pPr>
        <w:pStyle w:val="LegalNumbering"/>
      </w:pPr>
      <w:r w:rsidRPr="009F0321">
        <w:rPr>
          <w:rFonts w:cs="Arial"/>
          <w:bCs/>
        </w:rPr>
        <w:t>Do you agree with the ACCC cost estimates set out in this section? Are there additional costs for your business that have not been included?</w:t>
      </w:r>
    </w:p>
    <w:p w:rsidR="00E4448C" w:rsidRPr="009F0321" w:rsidRDefault="00E4448C" w:rsidP="00E4448C">
      <w:pPr>
        <w:pStyle w:val="LegalNumbering"/>
      </w:pPr>
      <w:r w:rsidRPr="009F0321">
        <w:t xml:space="preserve">How much time should the ACCC allow </w:t>
      </w:r>
      <w:proofErr w:type="gramStart"/>
      <w:r w:rsidRPr="009F0321">
        <w:t>for suppliers</w:t>
      </w:r>
      <w:proofErr w:type="gramEnd"/>
      <w:r w:rsidRPr="009F0321">
        <w:t xml:space="preserve"> to transition to </w:t>
      </w:r>
      <w:r w:rsidR="007542E8" w:rsidRPr="009F0321">
        <w:t xml:space="preserve">a </w:t>
      </w:r>
      <w:r w:rsidRPr="009F0321">
        <w:t>new mandatory safety standard?</w:t>
      </w:r>
    </w:p>
    <w:p w:rsidR="00933C45" w:rsidRDefault="00933C45" w:rsidP="00933C45">
      <w:pPr>
        <w:pStyle w:val="LegalNumbering"/>
        <w:numPr>
          <w:ilvl w:val="0"/>
          <w:numId w:val="0"/>
        </w:numPr>
        <w:ind w:left="340" w:hanging="340"/>
      </w:pPr>
    </w:p>
    <w:p w:rsidR="0068395A" w:rsidRDefault="0068395A" w:rsidP="00933C45">
      <w:pPr>
        <w:pStyle w:val="LegalNumbering"/>
        <w:numPr>
          <w:ilvl w:val="0"/>
          <w:numId w:val="0"/>
        </w:numPr>
        <w:ind w:left="340" w:hanging="340"/>
      </w:pPr>
    </w:p>
    <w:p w:rsidR="00DE3221" w:rsidRDefault="00260BA7" w:rsidP="00C4727E">
      <w:pPr>
        <w:pStyle w:val="Numbered1"/>
        <w:tabs>
          <w:tab w:val="clear" w:pos="680"/>
        </w:tabs>
      </w:pPr>
      <w:bookmarkStart w:id="193" w:name="_Toc463541575"/>
      <w:bookmarkEnd w:id="185"/>
      <w:bookmarkEnd w:id="186"/>
      <w:bookmarkEnd w:id="187"/>
      <w:r>
        <w:lastRenderedPageBreak/>
        <w:t>Have your say</w:t>
      </w:r>
      <w:bookmarkEnd w:id="193"/>
    </w:p>
    <w:p w:rsidR="005C6B36" w:rsidRDefault="005C6B36" w:rsidP="005C6B36">
      <w:r w:rsidRPr="002B2F74">
        <w:t>The ACCC invites</w:t>
      </w:r>
      <w:r>
        <w:t xml:space="preserve"> stakeholders and</w:t>
      </w:r>
      <w:r w:rsidRPr="002B2F74">
        <w:t xml:space="preserve"> interested parties to</w:t>
      </w:r>
      <w:r>
        <w:t xml:space="preserve"> comment on these policy options.</w:t>
      </w:r>
    </w:p>
    <w:p w:rsidR="005C6B36" w:rsidRDefault="005C6B36" w:rsidP="005C6B36">
      <w:r>
        <w:t>Consultation is open fro</w:t>
      </w:r>
      <w:r w:rsidRPr="007F68F7">
        <w:t xml:space="preserve">m </w:t>
      </w:r>
      <w:r w:rsidR="00C03223">
        <w:t xml:space="preserve">12 </w:t>
      </w:r>
      <w:r w:rsidR="006D56C5">
        <w:t>October 2016</w:t>
      </w:r>
      <w:r w:rsidR="006D56C5" w:rsidRPr="007F68F7">
        <w:t xml:space="preserve"> </w:t>
      </w:r>
      <w:r w:rsidRPr="007F68F7">
        <w:t xml:space="preserve">to </w:t>
      </w:r>
      <w:r w:rsidR="00C03223">
        <w:t xml:space="preserve">9 </w:t>
      </w:r>
      <w:r w:rsidR="006D56C5">
        <w:t xml:space="preserve">December </w:t>
      </w:r>
      <w:r w:rsidRPr="007F68F7">
        <w:t>2016.</w:t>
      </w:r>
      <w:r>
        <w:t xml:space="preserve"> </w:t>
      </w:r>
    </w:p>
    <w:p w:rsidR="005C6B36" w:rsidRDefault="005C6B36" w:rsidP="005C6B36">
      <w:r>
        <w:t xml:space="preserve">The ACCC prefers submissions via the </w:t>
      </w:r>
      <w:r w:rsidRPr="0039574F">
        <w:t>ACCC consultation hub</w:t>
      </w:r>
      <w:r>
        <w:t xml:space="preserve"> at </w:t>
      </w:r>
      <w:hyperlink r:id="rId14" w:history="1">
        <w:r w:rsidR="00320D02" w:rsidRPr="00320D02">
          <w:rPr>
            <w:rStyle w:val="Hyperlink"/>
          </w:rPr>
          <w:t>consultation.accc.gov.au</w:t>
        </w:r>
      </w:hyperlink>
      <w:r>
        <w:t xml:space="preserve">. </w:t>
      </w:r>
    </w:p>
    <w:p w:rsidR="005C6B36" w:rsidRDefault="005C6B36" w:rsidP="005C6B36">
      <w:r>
        <w:t xml:space="preserve">The ACCC will </w:t>
      </w:r>
      <w:r w:rsidRPr="007A03C1">
        <w:t xml:space="preserve">alert stakeholders and interested parties to the consultation through the Product Safety Australia website </w:t>
      </w:r>
      <w:hyperlink r:id="rId15" w:history="1">
        <w:r w:rsidR="00320D02" w:rsidRPr="00320D02">
          <w:rPr>
            <w:rStyle w:val="Hyperlink"/>
          </w:rPr>
          <w:t>www.</w:t>
        </w:r>
        <w:r w:rsidR="00320D02" w:rsidRPr="00763391">
          <w:rPr>
            <w:rStyle w:val="Hyperlink"/>
          </w:rPr>
          <w:t>productsafety.gov.au</w:t>
        </w:r>
      </w:hyperlink>
      <w:r w:rsidRPr="007A03C1">
        <w:t xml:space="preserve"> and </w:t>
      </w:r>
      <w:hyperlink r:id="rId16" w:history="1">
        <w:r w:rsidR="00320D02" w:rsidRPr="00320D02">
          <w:rPr>
            <w:rStyle w:val="Hyperlink"/>
          </w:rPr>
          <w:t>www.business.gov.au</w:t>
        </w:r>
      </w:hyperlink>
      <w:r w:rsidRPr="007A03C1">
        <w:t>.</w:t>
      </w:r>
      <w:r>
        <w:t xml:space="preserve"> </w:t>
      </w:r>
    </w:p>
    <w:p w:rsidR="005C6B36" w:rsidRDefault="005C6B36" w:rsidP="005C6B36">
      <w:r>
        <w:t xml:space="preserve">Alternatively, email submissions to </w:t>
      </w:r>
      <w:hyperlink r:id="rId17" w:history="1">
        <w:r w:rsidRPr="007556AB">
          <w:rPr>
            <w:rStyle w:val="Hyperlink"/>
          </w:rPr>
          <w:t>productsafety.regulation@accc.gov.au</w:t>
        </w:r>
      </w:hyperlink>
      <w:r>
        <w:t xml:space="preserve"> or via post:</w:t>
      </w:r>
    </w:p>
    <w:p w:rsidR="005C6B36" w:rsidRDefault="005C6B36" w:rsidP="005C6B36">
      <w:pPr>
        <w:ind w:left="340"/>
      </w:pPr>
      <w:r>
        <w:t>Director</w:t>
      </w:r>
      <w:r>
        <w:br/>
      </w:r>
      <w:r w:rsidRPr="00A07FB8">
        <w:t>Standards</w:t>
      </w:r>
      <w:r>
        <w:t xml:space="preserve"> and Policy</w:t>
      </w:r>
      <w:r>
        <w:br/>
        <w:t>Consumer Product Safety Branch</w:t>
      </w:r>
      <w:r>
        <w:br/>
        <w:t>Australian Competition and Consumer Commission</w:t>
      </w:r>
      <w:r>
        <w:br/>
        <w:t>GPO Box 3131</w:t>
      </w:r>
      <w:r>
        <w:br/>
        <w:t>CANBERRA ACT 2601</w:t>
      </w:r>
    </w:p>
    <w:p w:rsidR="005C6B36" w:rsidRDefault="006667DA" w:rsidP="005C6B36">
      <w:r>
        <w:t xml:space="preserve">We </w:t>
      </w:r>
      <w:r w:rsidR="005C6B36">
        <w:t>will publish</w:t>
      </w:r>
      <w:r>
        <w:t xml:space="preserve"> submissions </w:t>
      </w:r>
      <w:r w:rsidR="005C6B36">
        <w:t xml:space="preserve">on the ACCC website at the end of the consultation period. </w:t>
      </w:r>
    </w:p>
    <w:p w:rsidR="005C6B36" w:rsidRPr="00B74DAB" w:rsidRDefault="005C6B36" w:rsidP="005C6B36">
      <w:r>
        <w:rPr>
          <w:rFonts w:cs="Arial"/>
          <w:szCs w:val="24"/>
        </w:rPr>
        <w:t>Please note any</w:t>
      </w:r>
      <w:r w:rsidRPr="00530AFB">
        <w:rPr>
          <w:rFonts w:cs="Arial"/>
          <w:szCs w:val="24"/>
        </w:rPr>
        <w:t xml:space="preserve"> information that you believe to be of a confidential nature should be clearly marked or identified as confidential</w:t>
      </w:r>
      <w:r>
        <w:rPr>
          <w:rFonts w:cs="Arial"/>
          <w:szCs w:val="24"/>
        </w:rPr>
        <w:t>. T</w:t>
      </w:r>
      <w:r w:rsidRPr="00530AFB">
        <w:rPr>
          <w:rFonts w:cs="Arial"/>
          <w:szCs w:val="24"/>
        </w:rPr>
        <w:t>he ACCC will not disclose the confidential information to third parties, other than advisors or consultants engaged directly by the ACCC, without first providing you with notice of its intention to do so, such as where it is compelled to do so by law.</w:t>
      </w:r>
    </w:p>
    <w:p w:rsidR="00B073F7" w:rsidRDefault="00B073F7" w:rsidP="003F308A">
      <w:pPr>
        <w:pStyle w:val="Heading1"/>
      </w:pPr>
      <w:bookmarkStart w:id="194" w:name="_Toc440455054"/>
    </w:p>
    <w:p w:rsidR="0068395A" w:rsidRDefault="0068395A">
      <w:pPr>
        <w:rPr>
          <w:rFonts w:ascii="Lucida Fax" w:eastAsiaTheme="majorEastAsia" w:hAnsi="Lucida Fax" w:cstheme="majorBidi"/>
          <w:bCs/>
          <w:color w:val="51626F"/>
          <w:sz w:val="32"/>
          <w:szCs w:val="28"/>
        </w:rPr>
      </w:pPr>
      <w:r>
        <w:br w:type="page"/>
      </w:r>
    </w:p>
    <w:p w:rsidR="00A047B3" w:rsidRDefault="00F752E0" w:rsidP="003F308A">
      <w:pPr>
        <w:pStyle w:val="Heading1"/>
      </w:pPr>
      <w:bookmarkStart w:id="195" w:name="_Toc463541576"/>
      <w:r>
        <w:lastRenderedPageBreak/>
        <w:t>Appendix</w:t>
      </w:r>
      <w:r w:rsidRPr="007030B2" w:rsidDel="0036769A">
        <w:t xml:space="preserve"> </w:t>
      </w:r>
      <w:bookmarkEnd w:id="194"/>
      <w:r w:rsidR="00CF1CA8">
        <w:t>A</w:t>
      </w:r>
      <w:r w:rsidR="002E3136">
        <w:t>-</w:t>
      </w:r>
      <w:r w:rsidR="00A047B3">
        <w:t xml:space="preserve">Clauses to mandate in Option </w:t>
      </w:r>
      <w:r w:rsidR="00ED78CD">
        <w:t>3</w:t>
      </w:r>
      <w:bookmarkEnd w:id="195"/>
    </w:p>
    <w:tbl>
      <w:tblPr>
        <w:tblW w:w="9087" w:type="dxa"/>
        <w:tblInd w:w="93" w:type="dxa"/>
        <w:tblLook w:val="04A0" w:firstRow="1" w:lastRow="0" w:firstColumn="1" w:lastColumn="0" w:noHBand="0" w:noVBand="1"/>
      </w:tblPr>
      <w:tblGrid>
        <w:gridCol w:w="328"/>
        <w:gridCol w:w="738"/>
        <w:gridCol w:w="792"/>
        <w:gridCol w:w="1134"/>
        <w:gridCol w:w="4867"/>
        <w:gridCol w:w="1228"/>
      </w:tblGrid>
      <w:tr w:rsidR="00F752E0" w:rsidRPr="002F6BF5" w:rsidTr="001154E3">
        <w:trPr>
          <w:trHeight w:val="300"/>
          <w:tblHeader/>
        </w:trPr>
        <w:tc>
          <w:tcPr>
            <w:tcW w:w="299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52E0" w:rsidRPr="00A047B3" w:rsidRDefault="00F752E0" w:rsidP="00A047B3">
            <w:pPr>
              <w:spacing w:before="0"/>
              <w:rPr>
                <w:rFonts w:asciiTheme="minorHAnsi" w:eastAsia="Times New Roman" w:hAnsiTheme="minorHAnsi" w:cstheme="minorHAnsi"/>
                <w:b/>
                <w:color w:val="000000"/>
                <w:sz w:val="20"/>
                <w:szCs w:val="20"/>
                <w:lang w:eastAsia="en-AU"/>
              </w:rPr>
            </w:pPr>
            <w:r w:rsidRPr="00A047B3">
              <w:rPr>
                <w:rFonts w:asciiTheme="minorHAnsi" w:eastAsia="Times New Roman" w:hAnsiTheme="minorHAnsi" w:cstheme="minorHAnsi"/>
                <w:b/>
                <w:color w:val="000000"/>
                <w:sz w:val="20"/>
                <w:szCs w:val="20"/>
                <w:lang w:eastAsia="en-AU"/>
              </w:rPr>
              <w:t>AS/NZS 1927:2010 - Clause</w:t>
            </w:r>
          </w:p>
        </w:tc>
        <w:tc>
          <w:tcPr>
            <w:tcW w:w="4867" w:type="dxa"/>
            <w:tcBorders>
              <w:top w:val="single" w:sz="4" w:space="0" w:color="auto"/>
              <w:left w:val="nil"/>
              <w:bottom w:val="single" w:sz="4" w:space="0" w:color="auto"/>
              <w:right w:val="single" w:sz="4" w:space="0" w:color="auto"/>
            </w:tcBorders>
            <w:shd w:val="clear" w:color="auto" w:fill="auto"/>
            <w:vAlign w:val="center"/>
            <w:hideMark/>
          </w:tcPr>
          <w:p w:rsidR="00F752E0" w:rsidRPr="00A047B3" w:rsidRDefault="00F752E0" w:rsidP="00A047B3">
            <w:pPr>
              <w:spacing w:before="0"/>
              <w:rPr>
                <w:rFonts w:asciiTheme="minorHAnsi" w:eastAsia="Times New Roman" w:hAnsiTheme="minorHAnsi" w:cstheme="minorHAnsi"/>
                <w:b/>
                <w:color w:val="000000"/>
                <w:sz w:val="20"/>
                <w:szCs w:val="20"/>
                <w:lang w:eastAsia="en-AU"/>
              </w:rPr>
            </w:pPr>
            <w:r w:rsidRPr="00A047B3">
              <w:rPr>
                <w:rFonts w:asciiTheme="minorHAnsi" w:eastAsia="Times New Roman" w:hAnsiTheme="minorHAnsi" w:cstheme="minorHAnsi"/>
                <w:b/>
                <w:color w:val="000000"/>
                <w:sz w:val="20"/>
                <w:szCs w:val="20"/>
                <w:lang w:eastAsia="en-AU"/>
              </w:rPr>
              <w:t>Requirement for:</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rPr>
                <w:rFonts w:asciiTheme="minorHAnsi" w:eastAsia="Times New Roman" w:hAnsiTheme="minorHAnsi" w:cstheme="minorHAnsi"/>
                <w:b/>
                <w:color w:val="000000"/>
                <w:sz w:val="20"/>
                <w:szCs w:val="20"/>
                <w:lang w:eastAsia="en-AU"/>
              </w:rPr>
            </w:pPr>
            <w:r w:rsidRPr="002F6BF5">
              <w:rPr>
                <w:rFonts w:asciiTheme="minorHAnsi" w:eastAsia="Times New Roman" w:hAnsiTheme="minorHAnsi" w:cstheme="minorHAnsi"/>
                <w:b/>
                <w:color w:val="000000"/>
                <w:sz w:val="20"/>
                <w:szCs w:val="20"/>
                <w:lang w:eastAsia="en-AU"/>
              </w:rPr>
              <w:t>Mandatory</w:t>
            </w:r>
          </w:p>
        </w:tc>
      </w:tr>
      <w:tr w:rsidR="00F752E0" w:rsidRPr="002F6BF5" w:rsidTr="001154E3">
        <w:trPr>
          <w:trHeight w:val="300"/>
        </w:trPr>
        <w:tc>
          <w:tcPr>
            <w:tcW w:w="3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1</w:t>
            </w:r>
          </w:p>
        </w:tc>
        <w:tc>
          <w:tcPr>
            <w:tcW w:w="738"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1.5</w:t>
            </w: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Bicycle marking requirements</w:t>
            </w:r>
          </w:p>
        </w:tc>
        <w:tc>
          <w:tcPr>
            <w:tcW w:w="1228" w:type="dxa"/>
            <w:tcBorders>
              <w:top w:val="nil"/>
              <w:left w:val="nil"/>
              <w:bottom w:val="single" w:sz="4" w:space="0" w:color="auto"/>
              <w:right w:val="single" w:sz="4" w:space="0" w:color="auto"/>
            </w:tcBorders>
            <w:shd w:val="clear" w:color="000000" w:fill="92D050"/>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9"/>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val="restart"/>
            <w:tcBorders>
              <w:top w:val="nil"/>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1.6</w:t>
            </w: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1.6.2</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Informative labelling - handlebars misaligned</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6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1.6.3</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Informative labelling - handlebars misaligned &amp; pedals detached</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6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1.6.4</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Informative labelling - other partially assembled bicycles</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1.7</w:t>
            </w: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xml:space="preserve">Instructions manual </w:t>
            </w:r>
          </w:p>
        </w:tc>
        <w:tc>
          <w:tcPr>
            <w:tcW w:w="1228" w:type="dxa"/>
            <w:tcBorders>
              <w:top w:val="nil"/>
              <w:left w:val="nil"/>
              <w:bottom w:val="single" w:sz="4" w:space="0" w:color="auto"/>
              <w:right w:val="single" w:sz="4" w:space="0" w:color="auto"/>
            </w:tcBorders>
            <w:shd w:val="clear" w:color="000000" w:fill="92D050"/>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w:t>
            </w:r>
          </w:p>
        </w:tc>
        <w:tc>
          <w:tcPr>
            <w:tcW w:w="738"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2.2</w:t>
            </w: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Sharp edges</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2.3</w:t>
            </w: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Fasteners</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2.4</w:t>
            </w: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Projections</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val="restart"/>
            <w:tcBorders>
              <w:top w:val="nil"/>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2.5</w:t>
            </w: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2.5.1</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Control cable ends</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2.5.2</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Control cable abrasion</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2.6</w:t>
            </w: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2.6.1</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Ground clearance</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2.7</w:t>
            </w: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Toe clearance</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val="restart"/>
            <w:tcBorders>
              <w:top w:val="nil"/>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2.8</w:t>
            </w: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2.8.1</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Wheels - hub to frame attachment</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2.8.2</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Wheel clearance</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2.8.3</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Tyres</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val="restart"/>
            <w:tcBorders>
              <w:top w:val="nil"/>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2.9</w:t>
            </w: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2.9.1</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Chainguards</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2.9.2</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Spoke protection</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2.10</w:t>
            </w: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Drive chain</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val="restart"/>
            <w:tcBorders>
              <w:top w:val="nil"/>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2.11</w:t>
            </w: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2.11.1</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Pedal specifications</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2.11.2</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Toe clips</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2.11.3</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Sole clips</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val="restart"/>
            <w:tcBorders>
              <w:top w:val="nil"/>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2.12</w:t>
            </w: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2.12.1</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Handlebar</w:t>
            </w:r>
          </w:p>
        </w:tc>
        <w:tc>
          <w:tcPr>
            <w:tcW w:w="1228" w:type="dxa"/>
            <w:tcBorders>
              <w:top w:val="nil"/>
              <w:left w:val="nil"/>
              <w:bottom w:val="single" w:sz="4" w:space="0" w:color="auto"/>
              <w:right w:val="single" w:sz="4" w:space="0" w:color="auto"/>
            </w:tcBorders>
            <w:shd w:val="clear" w:color="000000" w:fill="92D050"/>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2.12.2</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Handlebar ends</w:t>
            </w:r>
          </w:p>
        </w:tc>
        <w:tc>
          <w:tcPr>
            <w:tcW w:w="1228" w:type="dxa"/>
            <w:tcBorders>
              <w:top w:val="nil"/>
              <w:left w:val="nil"/>
              <w:bottom w:val="single" w:sz="4" w:space="0" w:color="auto"/>
              <w:right w:val="single" w:sz="4" w:space="0" w:color="auto"/>
            </w:tcBorders>
            <w:shd w:val="clear" w:color="000000" w:fill="92D050"/>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2.12.3</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Handlebar stem connection</w:t>
            </w:r>
          </w:p>
        </w:tc>
        <w:tc>
          <w:tcPr>
            <w:tcW w:w="1228" w:type="dxa"/>
            <w:tcBorders>
              <w:top w:val="nil"/>
              <w:left w:val="nil"/>
              <w:bottom w:val="single" w:sz="4" w:space="0" w:color="auto"/>
              <w:right w:val="single" w:sz="4" w:space="0" w:color="auto"/>
            </w:tcBorders>
            <w:shd w:val="clear" w:color="000000" w:fill="92D050"/>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2.13</w:t>
            </w: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Seat pillar</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val="restart"/>
            <w:tcBorders>
              <w:top w:val="nil"/>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2.14</w:t>
            </w:r>
          </w:p>
        </w:tc>
        <w:tc>
          <w:tcPr>
            <w:tcW w:w="792"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2.14.1</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Brake specifications</w:t>
            </w:r>
          </w:p>
        </w:tc>
        <w:tc>
          <w:tcPr>
            <w:tcW w:w="1228" w:type="dxa"/>
            <w:tcBorders>
              <w:top w:val="nil"/>
              <w:left w:val="nil"/>
              <w:bottom w:val="single" w:sz="4" w:space="0" w:color="auto"/>
              <w:right w:val="single" w:sz="4" w:space="0" w:color="auto"/>
            </w:tcBorders>
            <w:shd w:val="clear" w:color="000000" w:fill="92D050"/>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vMerge w:val="restart"/>
            <w:tcBorders>
              <w:top w:val="nil"/>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2.14.2</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2.14.2.1</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Handbrake lever location</w:t>
            </w:r>
          </w:p>
        </w:tc>
        <w:tc>
          <w:tcPr>
            <w:tcW w:w="1228" w:type="dxa"/>
            <w:tcBorders>
              <w:top w:val="nil"/>
              <w:left w:val="nil"/>
              <w:bottom w:val="single" w:sz="4" w:space="0" w:color="auto"/>
              <w:right w:val="single" w:sz="4" w:space="0" w:color="auto"/>
            </w:tcBorders>
            <w:shd w:val="clear" w:color="000000" w:fill="92D050"/>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2.14.2.2</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Handbrake lever attachment</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2.14.2.3</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Handbrake grip dimensions</w:t>
            </w:r>
          </w:p>
        </w:tc>
        <w:tc>
          <w:tcPr>
            <w:tcW w:w="1228" w:type="dxa"/>
            <w:tcBorders>
              <w:top w:val="nil"/>
              <w:left w:val="nil"/>
              <w:bottom w:val="single" w:sz="4" w:space="0" w:color="auto"/>
              <w:right w:val="single" w:sz="4" w:space="0" w:color="auto"/>
            </w:tcBorders>
            <w:shd w:val="clear" w:color="000000" w:fill="92D050"/>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2.14.2.4</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Pre-travel force</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2.14.2.5</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Brake pad assembly</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2.14.2.6</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Brake adjustment</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2.14.2.7</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Attachment of brake assembly</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vMerge/>
            <w:tcBorders>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2.14.2.8</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Cantilever brakes</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vMerge w:val="restart"/>
            <w:tcBorders>
              <w:top w:val="nil"/>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2.14.3</w:t>
            </w: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2.14.3.1</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Back-pedal brakes - operating force</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2.14.3.2</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xml:space="preserve">Back-pedal brakes - crank differential </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0"/>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vMerge/>
            <w:tcBorders>
              <w:left w:val="nil"/>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2.14.3.3</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Independent operation</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F752E0" w:rsidRPr="002F6BF5" w:rsidTr="001154E3">
        <w:trPr>
          <w:trHeight w:val="307"/>
        </w:trPr>
        <w:tc>
          <w:tcPr>
            <w:tcW w:w="328" w:type="dxa"/>
            <w:vMerge/>
            <w:tcBorders>
              <w:top w:val="nil"/>
              <w:left w:val="single" w:sz="4" w:space="0" w:color="auto"/>
              <w:bottom w:val="single" w:sz="4" w:space="0" w:color="auto"/>
              <w:right w:val="single" w:sz="4" w:space="0" w:color="auto"/>
            </w:tcBorders>
            <w:vAlign w:val="center"/>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792" w:type="dxa"/>
            <w:vMerge/>
            <w:tcBorders>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rsidR="00F752E0" w:rsidRPr="002F6BF5" w:rsidRDefault="00F752E0"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2.14.3.4</w:t>
            </w:r>
          </w:p>
        </w:tc>
        <w:tc>
          <w:tcPr>
            <w:tcW w:w="4867" w:type="dxa"/>
            <w:tcBorders>
              <w:top w:val="nil"/>
              <w:left w:val="nil"/>
              <w:bottom w:val="single" w:sz="4" w:space="0" w:color="auto"/>
              <w:right w:val="single" w:sz="4" w:space="0" w:color="auto"/>
            </w:tcBorders>
            <w:shd w:val="clear" w:color="auto" w:fill="auto"/>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Handbrakes and back-pedal brakes in combination</w:t>
            </w:r>
          </w:p>
        </w:tc>
        <w:tc>
          <w:tcPr>
            <w:tcW w:w="1228" w:type="dxa"/>
            <w:tcBorders>
              <w:top w:val="nil"/>
              <w:left w:val="nil"/>
              <w:bottom w:val="single" w:sz="4" w:space="0" w:color="auto"/>
              <w:right w:val="single" w:sz="4" w:space="0" w:color="auto"/>
            </w:tcBorders>
            <w:shd w:val="clear" w:color="auto" w:fill="auto"/>
            <w:noWrap/>
            <w:vAlign w:val="bottom"/>
            <w:hideMark/>
          </w:tcPr>
          <w:p w:rsidR="00F752E0" w:rsidRPr="002F6BF5" w:rsidRDefault="00F752E0"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bl>
    <w:p w:rsidR="00F752E0" w:rsidRDefault="00F752E0" w:rsidP="00F752E0"/>
    <w:tbl>
      <w:tblPr>
        <w:tblW w:w="9087" w:type="dxa"/>
        <w:tblInd w:w="93" w:type="dxa"/>
        <w:tblLook w:val="04A0" w:firstRow="1" w:lastRow="0" w:firstColumn="1" w:lastColumn="0" w:noHBand="0" w:noVBand="1"/>
      </w:tblPr>
      <w:tblGrid>
        <w:gridCol w:w="328"/>
        <w:gridCol w:w="738"/>
        <w:gridCol w:w="792"/>
        <w:gridCol w:w="1134"/>
        <w:gridCol w:w="4867"/>
        <w:gridCol w:w="1228"/>
      </w:tblGrid>
      <w:tr w:rsidR="001154E3" w:rsidRPr="002F6BF5" w:rsidTr="001154E3">
        <w:trPr>
          <w:trHeight w:val="300"/>
        </w:trPr>
        <w:tc>
          <w:tcPr>
            <w:tcW w:w="2992" w:type="dxa"/>
            <w:gridSpan w:val="4"/>
            <w:tcBorders>
              <w:top w:val="single" w:sz="4" w:space="0" w:color="auto"/>
              <w:left w:val="single" w:sz="4" w:space="0" w:color="auto"/>
              <w:bottom w:val="single" w:sz="4" w:space="0" w:color="auto"/>
              <w:right w:val="single" w:sz="4" w:space="0" w:color="auto"/>
            </w:tcBorders>
            <w:vAlign w:val="center"/>
          </w:tcPr>
          <w:p w:rsidR="001154E3" w:rsidRPr="00A047B3" w:rsidRDefault="001154E3" w:rsidP="00E01235">
            <w:pPr>
              <w:spacing w:before="0"/>
              <w:rPr>
                <w:rFonts w:asciiTheme="minorHAnsi" w:eastAsia="Times New Roman" w:hAnsiTheme="minorHAnsi" w:cstheme="minorHAnsi"/>
                <w:b/>
                <w:color w:val="000000"/>
                <w:sz w:val="20"/>
                <w:szCs w:val="20"/>
                <w:lang w:eastAsia="en-AU"/>
              </w:rPr>
            </w:pPr>
            <w:r w:rsidRPr="00A047B3">
              <w:rPr>
                <w:rFonts w:asciiTheme="minorHAnsi" w:eastAsia="Times New Roman" w:hAnsiTheme="minorHAnsi" w:cstheme="minorHAnsi"/>
                <w:b/>
                <w:color w:val="000000"/>
                <w:sz w:val="20"/>
                <w:szCs w:val="20"/>
                <w:lang w:eastAsia="en-AU"/>
              </w:rPr>
              <w:t>AS/NZS 1927:2010 - Clause</w:t>
            </w:r>
          </w:p>
        </w:tc>
        <w:tc>
          <w:tcPr>
            <w:tcW w:w="4867" w:type="dxa"/>
            <w:tcBorders>
              <w:top w:val="single" w:sz="4" w:space="0" w:color="auto"/>
              <w:left w:val="nil"/>
              <w:bottom w:val="single" w:sz="4" w:space="0" w:color="auto"/>
              <w:right w:val="single" w:sz="4" w:space="0" w:color="auto"/>
            </w:tcBorders>
            <w:shd w:val="clear" w:color="auto" w:fill="auto"/>
            <w:vAlign w:val="center"/>
          </w:tcPr>
          <w:p w:rsidR="001154E3" w:rsidRPr="00A047B3" w:rsidRDefault="001154E3" w:rsidP="00E01235">
            <w:pPr>
              <w:spacing w:before="0"/>
              <w:rPr>
                <w:rFonts w:asciiTheme="minorHAnsi" w:eastAsia="Times New Roman" w:hAnsiTheme="minorHAnsi" w:cstheme="minorHAnsi"/>
                <w:b/>
                <w:color w:val="000000"/>
                <w:sz w:val="20"/>
                <w:szCs w:val="20"/>
                <w:lang w:eastAsia="en-AU"/>
              </w:rPr>
            </w:pPr>
            <w:r w:rsidRPr="00A047B3">
              <w:rPr>
                <w:rFonts w:asciiTheme="minorHAnsi" w:eastAsia="Times New Roman" w:hAnsiTheme="minorHAnsi" w:cstheme="minorHAnsi"/>
                <w:b/>
                <w:color w:val="000000"/>
                <w:sz w:val="20"/>
                <w:szCs w:val="20"/>
                <w:lang w:eastAsia="en-AU"/>
              </w:rPr>
              <w:t>Requirement for:</w:t>
            </w:r>
          </w:p>
        </w:tc>
        <w:tc>
          <w:tcPr>
            <w:tcW w:w="1228" w:type="dxa"/>
            <w:tcBorders>
              <w:top w:val="single" w:sz="4" w:space="0" w:color="auto"/>
              <w:left w:val="nil"/>
              <w:bottom w:val="single" w:sz="4" w:space="0" w:color="auto"/>
              <w:right w:val="single" w:sz="4" w:space="0" w:color="auto"/>
            </w:tcBorders>
            <w:shd w:val="clear" w:color="000000" w:fill="92D050"/>
            <w:noWrap/>
            <w:vAlign w:val="center"/>
          </w:tcPr>
          <w:p w:rsidR="001154E3" w:rsidRPr="002F6BF5" w:rsidRDefault="001154E3" w:rsidP="00E01235">
            <w:pPr>
              <w:spacing w:before="0"/>
              <w:rPr>
                <w:rFonts w:asciiTheme="minorHAnsi" w:eastAsia="Times New Roman" w:hAnsiTheme="minorHAnsi" w:cstheme="minorHAnsi"/>
                <w:b/>
                <w:color w:val="000000"/>
                <w:sz w:val="20"/>
                <w:szCs w:val="20"/>
                <w:lang w:eastAsia="en-AU"/>
              </w:rPr>
            </w:pPr>
            <w:r w:rsidRPr="002F6BF5">
              <w:rPr>
                <w:rFonts w:asciiTheme="minorHAnsi" w:eastAsia="Times New Roman" w:hAnsiTheme="minorHAnsi" w:cstheme="minorHAnsi"/>
                <w:b/>
                <w:color w:val="000000"/>
                <w:sz w:val="20"/>
                <w:szCs w:val="20"/>
                <w:lang w:eastAsia="en-AU"/>
              </w:rPr>
              <w:t>Mandatory</w:t>
            </w:r>
          </w:p>
        </w:tc>
      </w:tr>
      <w:tr w:rsidR="001154E3" w:rsidRPr="002F6BF5" w:rsidTr="00F752E0">
        <w:trPr>
          <w:trHeight w:val="300"/>
        </w:trPr>
        <w:tc>
          <w:tcPr>
            <w:tcW w:w="328" w:type="dxa"/>
            <w:vMerge w:val="restart"/>
            <w:tcBorders>
              <w:top w:val="single" w:sz="4" w:space="0" w:color="auto"/>
              <w:left w:val="single" w:sz="4" w:space="0" w:color="auto"/>
              <w:bottom w:val="single" w:sz="4" w:space="0" w:color="auto"/>
              <w:right w:val="single" w:sz="4" w:space="0" w:color="auto"/>
            </w:tcBorders>
            <w:vAlign w:val="center"/>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2</w:t>
            </w:r>
          </w:p>
        </w:tc>
        <w:tc>
          <w:tcPr>
            <w:tcW w:w="738" w:type="dxa"/>
            <w:vMerge w:val="restart"/>
            <w:tcBorders>
              <w:top w:val="single" w:sz="4" w:space="0" w:color="auto"/>
              <w:left w:val="nil"/>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2.15</w:t>
            </w:r>
          </w:p>
        </w:tc>
        <w:tc>
          <w:tcPr>
            <w:tcW w:w="792" w:type="dxa"/>
            <w:vMerge w:val="restart"/>
            <w:tcBorders>
              <w:top w:val="single" w:sz="4" w:space="0" w:color="auto"/>
              <w:left w:val="nil"/>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2.15.2.1</w:t>
            </w:r>
          </w:p>
        </w:tc>
        <w:tc>
          <w:tcPr>
            <w:tcW w:w="4867" w:type="dxa"/>
            <w:tcBorders>
              <w:top w:val="single" w:sz="4" w:space="0" w:color="auto"/>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Reflector specification</w:t>
            </w:r>
          </w:p>
        </w:tc>
        <w:tc>
          <w:tcPr>
            <w:tcW w:w="1228" w:type="dxa"/>
            <w:tcBorders>
              <w:top w:val="nil"/>
              <w:left w:val="nil"/>
              <w:bottom w:val="single" w:sz="4" w:space="0" w:color="auto"/>
              <w:right w:val="single" w:sz="4" w:space="0" w:color="auto"/>
            </w:tcBorders>
            <w:shd w:val="clear" w:color="000000" w:fill="92D050"/>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1154E3" w:rsidRPr="002F6BF5" w:rsidTr="00F752E0">
        <w:trPr>
          <w:trHeight w:val="300"/>
        </w:trPr>
        <w:tc>
          <w:tcPr>
            <w:tcW w:w="328" w:type="dxa"/>
            <w:vMerge/>
            <w:tcBorders>
              <w:top w:val="nil"/>
              <w:left w:val="single" w:sz="4" w:space="0" w:color="auto"/>
              <w:bottom w:val="single" w:sz="4" w:space="0" w:color="auto"/>
              <w:right w:val="single" w:sz="4" w:space="0" w:color="auto"/>
            </w:tcBorders>
            <w:vAlign w:val="center"/>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p>
        </w:tc>
        <w:tc>
          <w:tcPr>
            <w:tcW w:w="792" w:type="dxa"/>
            <w:vMerge/>
            <w:tcBorders>
              <w:left w:val="nil"/>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2.15.2.2</w:t>
            </w:r>
          </w:p>
        </w:tc>
        <w:tc>
          <w:tcPr>
            <w:tcW w:w="4867" w:type="dxa"/>
            <w:tcBorders>
              <w:top w:val="nil"/>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Rear reflector</w:t>
            </w:r>
          </w:p>
        </w:tc>
        <w:tc>
          <w:tcPr>
            <w:tcW w:w="1228" w:type="dxa"/>
            <w:tcBorders>
              <w:top w:val="nil"/>
              <w:left w:val="nil"/>
              <w:bottom w:val="single" w:sz="4" w:space="0" w:color="auto"/>
              <w:right w:val="single" w:sz="4" w:space="0" w:color="auto"/>
            </w:tcBorders>
            <w:shd w:val="clear" w:color="000000" w:fill="92D050"/>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1154E3" w:rsidRPr="002F6BF5" w:rsidTr="00F752E0">
        <w:trPr>
          <w:trHeight w:val="300"/>
        </w:trPr>
        <w:tc>
          <w:tcPr>
            <w:tcW w:w="328" w:type="dxa"/>
            <w:vMerge/>
            <w:tcBorders>
              <w:top w:val="nil"/>
              <w:left w:val="single" w:sz="4" w:space="0" w:color="auto"/>
              <w:bottom w:val="single" w:sz="4" w:space="0" w:color="auto"/>
              <w:right w:val="single" w:sz="4" w:space="0" w:color="auto"/>
            </w:tcBorders>
            <w:vAlign w:val="center"/>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p>
        </w:tc>
        <w:tc>
          <w:tcPr>
            <w:tcW w:w="792" w:type="dxa"/>
            <w:vMerge/>
            <w:tcBorders>
              <w:left w:val="nil"/>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2.15.2.3</w:t>
            </w:r>
          </w:p>
        </w:tc>
        <w:tc>
          <w:tcPr>
            <w:tcW w:w="4867" w:type="dxa"/>
            <w:tcBorders>
              <w:top w:val="nil"/>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Side reflectors</w:t>
            </w:r>
          </w:p>
        </w:tc>
        <w:tc>
          <w:tcPr>
            <w:tcW w:w="1228" w:type="dxa"/>
            <w:tcBorders>
              <w:top w:val="nil"/>
              <w:left w:val="nil"/>
              <w:bottom w:val="single" w:sz="4" w:space="0" w:color="auto"/>
              <w:right w:val="single" w:sz="4" w:space="0" w:color="auto"/>
            </w:tcBorders>
            <w:shd w:val="clear" w:color="000000" w:fill="92D050"/>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1154E3" w:rsidRPr="002F6BF5" w:rsidTr="00F752E0">
        <w:trPr>
          <w:trHeight w:val="300"/>
        </w:trPr>
        <w:tc>
          <w:tcPr>
            <w:tcW w:w="328" w:type="dxa"/>
            <w:vMerge/>
            <w:tcBorders>
              <w:top w:val="nil"/>
              <w:left w:val="single" w:sz="4" w:space="0" w:color="auto"/>
              <w:bottom w:val="single" w:sz="4" w:space="0" w:color="auto"/>
              <w:right w:val="single" w:sz="4" w:space="0" w:color="auto"/>
            </w:tcBorders>
            <w:vAlign w:val="center"/>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p>
        </w:tc>
        <w:tc>
          <w:tcPr>
            <w:tcW w:w="792" w:type="dxa"/>
            <w:vMerge/>
            <w:tcBorders>
              <w:left w:val="nil"/>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2.15.2.4</w:t>
            </w:r>
          </w:p>
        </w:tc>
        <w:tc>
          <w:tcPr>
            <w:tcW w:w="4867" w:type="dxa"/>
            <w:tcBorders>
              <w:top w:val="nil"/>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Pedal reflectors</w:t>
            </w:r>
          </w:p>
        </w:tc>
        <w:tc>
          <w:tcPr>
            <w:tcW w:w="1228" w:type="dxa"/>
            <w:tcBorders>
              <w:top w:val="nil"/>
              <w:left w:val="nil"/>
              <w:bottom w:val="single" w:sz="4" w:space="0" w:color="auto"/>
              <w:right w:val="single" w:sz="4" w:space="0" w:color="auto"/>
            </w:tcBorders>
            <w:shd w:val="clear" w:color="000000" w:fill="92D050"/>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1154E3" w:rsidRPr="002F6BF5" w:rsidTr="00F752E0">
        <w:trPr>
          <w:trHeight w:val="300"/>
        </w:trPr>
        <w:tc>
          <w:tcPr>
            <w:tcW w:w="328" w:type="dxa"/>
            <w:vMerge/>
            <w:tcBorders>
              <w:top w:val="nil"/>
              <w:left w:val="single" w:sz="4" w:space="0" w:color="auto"/>
              <w:bottom w:val="single" w:sz="4" w:space="0" w:color="auto"/>
              <w:right w:val="single" w:sz="4" w:space="0" w:color="auto"/>
            </w:tcBorders>
            <w:vAlign w:val="center"/>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p>
        </w:tc>
        <w:tc>
          <w:tcPr>
            <w:tcW w:w="792" w:type="dxa"/>
            <w:vMerge/>
            <w:tcBorders>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2.15.2.5</w:t>
            </w:r>
          </w:p>
        </w:tc>
        <w:tc>
          <w:tcPr>
            <w:tcW w:w="4867" w:type="dxa"/>
            <w:tcBorders>
              <w:top w:val="nil"/>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Front reflector</w:t>
            </w:r>
          </w:p>
        </w:tc>
        <w:tc>
          <w:tcPr>
            <w:tcW w:w="1228" w:type="dxa"/>
            <w:tcBorders>
              <w:top w:val="nil"/>
              <w:left w:val="nil"/>
              <w:bottom w:val="single" w:sz="4" w:space="0" w:color="auto"/>
              <w:right w:val="single" w:sz="4" w:space="0" w:color="auto"/>
            </w:tcBorders>
            <w:shd w:val="clear" w:color="000000" w:fill="92D050"/>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1154E3" w:rsidRPr="002F6BF5" w:rsidTr="00F752E0">
        <w:trPr>
          <w:trHeight w:val="300"/>
        </w:trPr>
        <w:tc>
          <w:tcPr>
            <w:tcW w:w="328" w:type="dxa"/>
            <w:vMerge/>
            <w:tcBorders>
              <w:top w:val="nil"/>
              <w:left w:val="single" w:sz="4" w:space="0" w:color="auto"/>
              <w:bottom w:val="single" w:sz="4" w:space="0" w:color="auto"/>
              <w:right w:val="single" w:sz="4" w:space="0" w:color="auto"/>
            </w:tcBorders>
            <w:vAlign w:val="center"/>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p>
        </w:tc>
        <w:tc>
          <w:tcPr>
            <w:tcW w:w="738"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2.16</w:t>
            </w:r>
          </w:p>
        </w:tc>
        <w:tc>
          <w:tcPr>
            <w:tcW w:w="792"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Warning device</w:t>
            </w:r>
          </w:p>
        </w:tc>
        <w:tc>
          <w:tcPr>
            <w:tcW w:w="1228" w:type="dxa"/>
            <w:tcBorders>
              <w:top w:val="nil"/>
              <w:left w:val="nil"/>
              <w:bottom w:val="single" w:sz="4" w:space="0" w:color="auto"/>
              <w:right w:val="single" w:sz="4" w:space="0" w:color="auto"/>
            </w:tcBorders>
            <w:shd w:val="clear" w:color="000000" w:fill="92D050"/>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1154E3" w:rsidRPr="002F6BF5" w:rsidTr="00F752E0">
        <w:trPr>
          <w:trHeight w:val="300"/>
        </w:trPr>
        <w:tc>
          <w:tcPr>
            <w:tcW w:w="328" w:type="dxa"/>
            <w:vMerge/>
            <w:tcBorders>
              <w:top w:val="nil"/>
              <w:left w:val="single" w:sz="4" w:space="0" w:color="auto"/>
              <w:bottom w:val="single" w:sz="4" w:space="0" w:color="auto"/>
              <w:right w:val="single" w:sz="4" w:space="0" w:color="auto"/>
            </w:tcBorders>
            <w:vAlign w:val="center"/>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p>
        </w:tc>
        <w:tc>
          <w:tcPr>
            <w:tcW w:w="738"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2.17</w:t>
            </w:r>
          </w:p>
        </w:tc>
        <w:tc>
          <w:tcPr>
            <w:tcW w:w="792"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2.17.2</w:t>
            </w:r>
          </w:p>
        </w:tc>
        <w:tc>
          <w:tcPr>
            <w:tcW w:w="1134"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Lighting equipment</w:t>
            </w:r>
          </w:p>
        </w:tc>
        <w:tc>
          <w:tcPr>
            <w:tcW w:w="1228" w:type="dxa"/>
            <w:tcBorders>
              <w:top w:val="nil"/>
              <w:left w:val="nil"/>
              <w:bottom w:val="single" w:sz="4" w:space="0" w:color="auto"/>
              <w:right w:val="single" w:sz="4" w:space="0" w:color="auto"/>
            </w:tcBorders>
            <w:shd w:val="clear" w:color="auto" w:fill="auto"/>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1154E3" w:rsidRPr="002F6BF5" w:rsidTr="00F752E0">
        <w:trPr>
          <w:trHeight w:val="300"/>
        </w:trPr>
        <w:tc>
          <w:tcPr>
            <w:tcW w:w="3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3</w:t>
            </w:r>
          </w:p>
        </w:tc>
        <w:tc>
          <w:tcPr>
            <w:tcW w:w="738"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3.1</w:t>
            </w:r>
          </w:p>
        </w:tc>
        <w:tc>
          <w:tcPr>
            <w:tcW w:w="792"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Assembly instructions</w:t>
            </w:r>
          </w:p>
        </w:tc>
        <w:tc>
          <w:tcPr>
            <w:tcW w:w="1228" w:type="dxa"/>
            <w:tcBorders>
              <w:top w:val="nil"/>
              <w:left w:val="nil"/>
              <w:bottom w:val="single" w:sz="4" w:space="0" w:color="auto"/>
              <w:right w:val="single" w:sz="4" w:space="0" w:color="auto"/>
            </w:tcBorders>
            <w:shd w:val="clear" w:color="auto" w:fill="auto"/>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1154E3" w:rsidRPr="002F6BF5" w:rsidTr="00F752E0">
        <w:trPr>
          <w:trHeight w:val="300"/>
        </w:trPr>
        <w:tc>
          <w:tcPr>
            <w:tcW w:w="328" w:type="dxa"/>
            <w:vMerge/>
            <w:tcBorders>
              <w:top w:val="nil"/>
              <w:left w:val="single" w:sz="4" w:space="0" w:color="auto"/>
              <w:bottom w:val="single" w:sz="4" w:space="0" w:color="auto"/>
              <w:right w:val="single" w:sz="4" w:space="0" w:color="auto"/>
            </w:tcBorders>
            <w:vAlign w:val="center"/>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p>
        </w:tc>
        <w:tc>
          <w:tcPr>
            <w:tcW w:w="738"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3.2</w:t>
            </w:r>
          </w:p>
        </w:tc>
        <w:tc>
          <w:tcPr>
            <w:tcW w:w="792"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Seat pillar and seat adjustment</w:t>
            </w:r>
          </w:p>
        </w:tc>
        <w:tc>
          <w:tcPr>
            <w:tcW w:w="1228" w:type="dxa"/>
            <w:tcBorders>
              <w:top w:val="nil"/>
              <w:left w:val="nil"/>
              <w:bottom w:val="single" w:sz="4" w:space="0" w:color="auto"/>
              <w:right w:val="single" w:sz="4" w:space="0" w:color="auto"/>
            </w:tcBorders>
            <w:shd w:val="clear" w:color="auto" w:fill="auto"/>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1154E3" w:rsidRPr="002F6BF5" w:rsidTr="00F752E0">
        <w:trPr>
          <w:trHeight w:val="300"/>
        </w:trPr>
        <w:tc>
          <w:tcPr>
            <w:tcW w:w="328" w:type="dxa"/>
            <w:vMerge/>
            <w:tcBorders>
              <w:top w:val="nil"/>
              <w:left w:val="single" w:sz="4" w:space="0" w:color="auto"/>
              <w:bottom w:val="single" w:sz="4" w:space="0" w:color="auto"/>
              <w:right w:val="single" w:sz="4" w:space="0" w:color="auto"/>
            </w:tcBorders>
            <w:vAlign w:val="center"/>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p>
        </w:tc>
        <w:tc>
          <w:tcPr>
            <w:tcW w:w="738"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3.3</w:t>
            </w:r>
          </w:p>
        </w:tc>
        <w:tc>
          <w:tcPr>
            <w:tcW w:w="792"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Steering stability</w:t>
            </w:r>
          </w:p>
        </w:tc>
        <w:tc>
          <w:tcPr>
            <w:tcW w:w="1228" w:type="dxa"/>
            <w:tcBorders>
              <w:top w:val="nil"/>
              <w:left w:val="nil"/>
              <w:bottom w:val="single" w:sz="4" w:space="0" w:color="auto"/>
              <w:right w:val="single" w:sz="4" w:space="0" w:color="auto"/>
            </w:tcBorders>
            <w:shd w:val="clear" w:color="auto" w:fill="auto"/>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1154E3" w:rsidRPr="002F6BF5" w:rsidTr="00F752E0">
        <w:trPr>
          <w:trHeight w:val="300"/>
        </w:trPr>
        <w:tc>
          <w:tcPr>
            <w:tcW w:w="328" w:type="dxa"/>
            <w:vMerge/>
            <w:tcBorders>
              <w:top w:val="nil"/>
              <w:left w:val="single" w:sz="4" w:space="0" w:color="auto"/>
              <w:bottom w:val="single" w:sz="4" w:space="0" w:color="auto"/>
              <w:right w:val="single" w:sz="4" w:space="0" w:color="auto"/>
            </w:tcBorders>
            <w:vAlign w:val="center"/>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p>
        </w:tc>
        <w:tc>
          <w:tcPr>
            <w:tcW w:w="738" w:type="dxa"/>
            <w:vMerge w:val="restart"/>
            <w:tcBorders>
              <w:top w:val="nil"/>
              <w:left w:val="nil"/>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3.4</w:t>
            </w:r>
          </w:p>
        </w:tc>
        <w:tc>
          <w:tcPr>
            <w:tcW w:w="792"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3.4.1</w:t>
            </w:r>
          </w:p>
        </w:tc>
        <w:tc>
          <w:tcPr>
            <w:tcW w:w="1134"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Handbrake performance requirement</w:t>
            </w:r>
          </w:p>
        </w:tc>
        <w:tc>
          <w:tcPr>
            <w:tcW w:w="1228" w:type="dxa"/>
            <w:tcBorders>
              <w:top w:val="nil"/>
              <w:left w:val="nil"/>
              <w:bottom w:val="single" w:sz="4" w:space="0" w:color="auto"/>
              <w:right w:val="single" w:sz="4" w:space="0" w:color="auto"/>
            </w:tcBorders>
            <w:shd w:val="clear" w:color="000000" w:fill="92D050"/>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1154E3" w:rsidRPr="002F6BF5" w:rsidTr="00F752E0">
        <w:trPr>
          <w:trHeight w:val="300"/>
        </w:trPr>
        <w:tc>
          <w:tcPr>
            <w:tcW w:w="328" w:type="dxa"/>
            <w:vMerge/>
            <w:tcBorders>
              <w:top w:val="nil"/>
              <w:left w:val="single" w:sz="4" w:space="0" w:color="auto"/>
              <w:bottom w:val="single" w:sz="4" w:space="0" w:color="auto"/>
              <w:right w:val="single" w:sz="4" w:space="0" w:color="auto"/>
            </w:tcBorders>
            <w:vAlign w:val="center"/>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p>
        </w:tc>
        <w:tc>
          <w:tcPr>
            <w:tcW w:w="792"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3.4.2</w:t>
            </w:r>
          </w:p>
        </w:tc>
        <w:tc>
          <w:tcPr>
            <w:tcW w:w="1134"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Back-pedal brake performance requirement</w:t>
            </w:r>
          </w:p>
        </w:tc>
        <w:tc>
          <w:tcPr>
            <w:tcW w:w="1228" w:type="dxa"/>
            <w:tcBorders>
              <w:top w:val="nil"/>
              <w:left w:val="nil"/>
              <w:bottom w:val="single" w:sz="4" w:space="0" w:color="auto"/>
              <w:right w:val="single" w:sz="4" w:space="0" w:color="auto"/>
            </w:tcBorders>
            <w:shd w:val="clear" w:color="000000" w:fill="92D050"/>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1154E3" w:rsidRPr="002F6BF5" w:rsidTr="00F752E0">
        <w:trPr>
          <w:trHeight w:val="300"/>
        </w:trPr>
        <w:tc>
          <w:tcPr>
            <w:tcW w:w="328" w:type="dxa"/>
            <w:vMerge/>
            <w:tcBorders>
              <w:top w:val="nil"/>
              <w:left w:val="single" w:sz="4" w:space="0" w:color="auto"/>
              <w:bottom w:val="single" w:sz="4" w:space="0" w:color="auto"/>
              <w:right w:val="single" w:sz="4" w:space="0" w:color="auto"/>
            </w:tcBorders>
            <w:vAlign w:val="center"/>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p>
        </w:tc>
        <w:tc>
          <w:tcPr>
            <w:tcW w:w="792"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3.4.3</w:t>
            </w:r>
          </w:p>
        </w:tc>
        <w:tc>
          <w:tcPr>
            <w:tcW w:w="1134"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Braking performance</w:t>
            </w:r>
          </w:p>
        </w:tc>
        <w:tc>
          <w:tcPr>
            <w:tcW w:w="1228" w:type="dxa"/>
            <w:tcBorders>
              <w:top w:val="nil"/>
              <w:left w:val="nil"/>
              <w:bottom w:val="single" w:sz="4" w:space="0" w:color="auto"/>
              <w:right w:val="single" w:sz="4" w:space="0" w:color="auto"/>
            </w:tcBorders>
            <w:shd w:val="clear" w:color="000000" w:fill="92D050"/>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1154E3" w:rsidRPr="002F6BF5" w:rsidTr="00F752E0">
        <w:trPr>
          <w:trHeight w:val="300"/>
        </w:trPr>
        <w:tc>
          <w:tcPr>
            <w:tcW w:w="3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4</w:t>
            </w:r>
          </w:p>
        </w:tc>
        <w:tc>
          <w:tcPr>
            <w:tcW w:w="738"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4.2</w:t>
            </w:r>
          </w:p>
        </w:tc>
        <w:tc>
          <w:tcPr>
            <w:tcW w:w="792"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Static load on wheel</w:t>
            </w:r>
          </w:p>
        </w:tc>
        <w:tc>
          <w:tcPr>
            <w:tcW w:w="1228" w:type="dxa"/>
            <w:tcBorders>
              <w:top w:val="nil"/>
              <w:left w:val="nil"/>
              <w:bottom w:val="single" w:sz="4" w:space="0" w:color="auto"/>
              <w:right w:val="single" w:sz="4" w:space="0" w:color="auto"/>
            </w:tcBorders>
            <w:shd w:val="clear" w:color="auto" w:fill="auto"/>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1154E3" w:rsidRPr="002F6BF5" w:rsidTr="00F752E0">
        <w:trPr>
          <w:trHeight w:val="300"/>
        </w:trPr>
        <w:tc>
          <w:tcPr>
            <w:tcW w:w="328" w:type="dxa"/>
            <w:vMerge/>
            <w:tcBorders>
              <w:top w:val="nil"/>
              <w:left w:val="single" w:sz="4" w:space="0" w:color="auto"/>
              <w:bottom w:val="single" w:sz="4" w:space="0" w:color="auto"/>
              <w:right w:val="single" w:sz="4" w:space="0" w:color="auto"/>
            </w:tcBorders>
            <w:vAlign w:val="center"/>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p>
        </w:tc>
        <w:tc>
          <w:tcPr>
            <w:tcW w:w="738"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4.3</w:t>
            </w:r>
          </w:p>
        </w:tc>
        <w:tc>
          <w:tcPr>
            <w:tcW w:w="792"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Front fork</w:t>
            </w:r>
          </w:p>
        </w:tc>
        <w:tc>
          <w:tcPr>
            <w:tcW w:w="1228" w:type="dxa"/>
            <w:tcBorders>
              <w:top w:val="nil"/>
              <w:left w:val="nil"/>
              <w:bottom w:val="single" w:sz="4" w:space="0" w:color="auto"/>
              <w:right w:val="single" w:sz="4" w:space="0" w:color="auto"/>
            </w:tcBorders>
            <w:shd w:val="clear" w:color="auto" w:fill="auto"/>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1154E3" w:rsidRPr="002F6BF5" w:rsidTr="00F752E0">
        <w:trPr>
          <w:trHeight w:val="300"/>
        </w:trPr>
        <w:tc>
          <w:tcPr>
            <w:tcW w:w="328" w:type="dxa"/>
            <w:vMerge/>
            <w:tcBorders>
              <w:top w:val="nil"/>
              <w:left w:val="single" w:sz="4" w:space="0" w:color="auto"/>
              <w:bottom w:val="single" w:sz="4" w:space="0" w:color="auto"/>
              <w:right w:val="single" w:sz="4" w:space="0" w:color="auto"/>
            </w:tcBorders>
            <w:vAlign w:val="center"/>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p>
        </w:tc>
        <w:tc>
          <w:tcPr>
            <w:tcW w:w="738"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4.4</w:t>
            </w:r>
          </w:p>
        </w:tc>
        <w:tc>
          <w:tcPr>
            <w:tcW w:w="792"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Fork and frame assembly</w:t>
            </w:r>
          </w:p>
        </w:tc>
        <w:tc>
          <w:tcPr>
            <w:tcW w:w="1228" w:type="dxa"/>
            <w:tcBorders>
              <w:top w:val="nil"/>
              <w:left w:val="nil"/>
              <w:bottom w:val="single" w:sz="4" w:space="0" w:color="auto"/>
              <w:right w:val="single" w:sz="4" w:space="0" w:color="auto"/>
            </w:tcBorders>
            <w:shd w:val="clear" w:color="auto" w:fill="auto"/>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1154E3" w:rsidRPr="002F6BF5" w:rsidTr="00F752E0">
        <w:trPr>
          <w:trHeight w:val="300"/>
        </w:trPr>
        <w:tc>
          <w:tcPr>
            <w:tcW w:w="328" w:type="dxa"/>
            <w:vMerge/>
            <w:tcBorders>
              <w:top w:val="nil"/>
              <w:left w:val="single" w:sz="4" w:space="0" w:color="auto"/>
              <w:bottom w:val="single" w:sz="4" w:space="0" w:color="auto"/>
              <w:right w:val="single" w:sz="4" w:space="0" w:color="auto"/>
            </w:tcBorders>
            <w:vAlign w:val="center"/>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p>
        </w:tc>
        <w:tc>
          <w:tcPr>
            <w:tcW w:w="738" w:type="dxa"/>
            <w:vMerge w:val="restart"/>
            <w:tcBorders>
              <w:top w:val="nil"/>
              <w:left w:val="nil"/>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4.5</w:t>
            </w:r>
          </w:p>
        </w:tc>
        <w:tc>
          <w:tcPr>
            <w:tcW w:w="792"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4.5.1</w:t>
            </w:r>
          </w:p>
        </w:tc>
        <w:tc>
          <w:tcPr>
            <w:tcW w:w="1134"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xml:space="preserve">Handlebar stem  </w:t>
            </w:r>
          </w:p>
        </w:tc>
        <w:tc>
          <w:tcPr>
            <w:tcW w:w="1228" w:type="dxa"/>
            <w:tcBorders>
              <w:top w:val="nil"/>
              <w:left w:val="nil"/>
              <w:bottom w:val="single" w:sz="4" w:space="0" w:color="auto"/>
              <w:right w:val="single" w:sz="4" w:space="0" w:color="auto"/>
            </w:tcBorders>
            <w:shd w:val="clear" w:color="000000" w:fill="92D050"/>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1154E3" w:rsidRPr="002F6BF5" w:rsidTr="00F752E0">
        <w:trPr>
          <w:trHeight w:val="300"/>
        </w:trPr>
        <w:tc>
          <w:tcPr>
            <w:tcW w:w="328" w:type="dxa"/>
            <w:vMerge/>
            <w:tcBorders>
              <w:top w:val="nil"/>
              <w:left w:val="single" w:sz="4" w:space="0" w:color="auto"/>
              <w:bottom w:val="single" w:sz="4" w:space="0" w:color="auto"/>
              <w:right w:val="single" w:sz="4" w:space="0" w:color="auto"/>
            </w:tcBorders>
            <w:vAlign w:val="center"/>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p>
        </w:tc>
        <w:tc>
          <w:tcPr>
            <w:tcW w:w="738" w:type="dxa"/>
            <w:vMerge/>
            <w:tcBorders>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p>
        </w:tc>
        <w:tc>
          <w:tcPr>
            <w:tcW w:w="792"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4.5.2</w:t>
            </w:r>
          </w:p>
        </w:tc>
        <w:tc>
          <w:tcPr>
            <w:tcW w:w="1134"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Handlebars &amp; clamps</w:t>
            </w:r>
          </w:p>
        </w:tc>
        <w:tc>
          <w:tcPr>
            <w:tcW w:w="1228" w:type="dxa"/>
            <w:tcBorders>
              <w:top w:val="nil"/>
              <w:left w:val="nil"/>
              <w:bottom w:val="single" w:sz="4" w:space="0" w:color="auto"/>
              <w:right w:val="single" w:sz="4" w:space="0" w:color="auto"/>
            </w:tcBorders>
            <w:shd w:val="clear" w:color="000000" w:fill="92D050"/>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1154E3" w:rsidRPr="002F6BF5" w:rsidTr="00F752E0">
        <w:trPr>
          <w:trHeight w:val="300"/>
        </w:trPr>
        <w:tc>
          <w:tcPr>
            <w:tcW w:w="328" w:type="dxa"/>
            <w:vMerge/>
            <w:tcBorders>
              <w:top w:val="nil"/>
              <w:left w:val="single" w:sz="4" w:space="0" w:color="auto"/>
              <w:bottom w:val="single" w:sz="4" w:space="0" w:color="auto"/>
              <w:right w:val="single" w:sz="4" w:space="0" w:color="auto"/>
            </w:tcBorders>
            <w:vAlign w:val="center"/>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p>
        </w:tc>
        <w:tc>
          <w:tcPr>
            <w:tcW w:w="738"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4.6</w:t>
            </w:r>
          </w:p>
        </w:tc>
        <w:tc>
          <w:tcPr>
            <w:tcW w:w="792"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Brake friction pads - heat resistance</w:t>
            </w:r>
          </w:p>
        </w:tc>
        <w:tc>
          <w:tcPr>
            <w:tcW w:w="1228" w:type="dxa"/>
            <w:tcBorders>
              <w:top w:val="nil"/>
              <w:left w:val="nil"/>
              <w:bottom w:val="single" w:sz="4" w:space="0" w:color="auto"/>
              <w:right w:val="single" w:sz="4" w:space="0" w:color="auto"/>
            </w:tcBorders>
            <w:shd w:val="clear" w:color="auto" w:fill="auto"/>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1154E3" w:rsidRPr="002F6BF5" w:rsidTr="00F752E0">
        <w:trPr>
          <w:trHeight w:val="300"/>
        </w:trPr>
        <w:tc>
          <w:tcPr>
            <w:tcW w:w="328" w:type="dxa"/>
            <w:vMerge/>
            <w:tcBorders>
              <w:top w:val="nil"/>
              <w:left w:val="single" w:sz="4" w:space="0" w:color="auto"/>
              <w:bottom w:val="single" w:sz="4" w:space="0" w:color="auto"/>
              <w:right w:val="single" w:sz="4" w:space="0" w:color="auto"/>
            </w:tcBorders>
            <w:vAlign w:val="center"/>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p>
        </w:tc>
        <w:tc>
          <w:tcPr>
            <w:tcW w:w="738"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4.7</w:t>
            </w:r>
          </w:p>
        </w:tc>
        <w:tc>
          <w:tcPr>
            <w:tcW w:w="792"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Drive chain</w:t>
            </w:r>
          </w:p>
        </w:tc>
        <w:tc>
          <w:tcPr>
            <w:tcW w:w="1228" w:type="dxa"/>
            <w:tcBorders>
              <w:top w:val="nil"/>
              <w:left w:val="nil"/>
              <w:bottom w:val="single" w:sz="4" w:space="0" w:color="auto"/>
              <w:right w:val="single" w:sz="4" w:space="0" w:color="auto"/>
            </w:tcBorders>
            <w:shd w:val="clear" w:color="auto" w:fill="auto"/>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r w:rsidR="001154E3" w:rsidRPr="002F6BF5" w:rsidTr="00F752E0">
        <w:trPr>
          <w:trHeight w:val="300"/>
        </w:trPr>
        <w:tc>
          <w:tcPr>
            <w:tcW w:w="328" w:type="dxa"/>
            <w:vMerge/>
            <w:tcBorders>
              <w:top w:val="nil"/>
              <w:left w:val="single" w:sz="4" w:space="0" w:color="auto"/>
              <w:bottom w:val="single" w:sz="4" w:space="0" w:color="auto"/>
              <w:right w:val="single" w:sz="4" w:space="0" w:color="auto"/>
            </w:tcBorders>
            <w:vAlign w:val="center"/>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p>
        </w:tc>
        <w:tc>
          <w:tcPr>
            <w:tcW w:w="738"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4.8</w:t>
            </w:r>
          </w:p>
        </w:tc>
        <w:tc>
          <w:tcPr>
            <w:tcW w:w="792"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54E3" w:rsidRPr="002F6BF5" w:rsidRDefault="001154E3" w:rsidP="00F752E0">
            <w:pPr>
              <w:spacing w:before="0"/>
              <w:jc w:val="right"/>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c>
          <w:tcPr>
            <w:tcW w:w="4867" w:type="dxa"/>
            <w:tcBorders>
              <w:top w:val="nil"/>
              <w:left w:val="nil"/>
              <w:bottom w:val="single" w:sz="4" w:space="0" w:color="auto"/>
              <w:right w:val="single" w:sz="4" w:space="0" w:color="auto"/>
            </w:tcBorders>
            <w:shd w:val="clear" w:color="auto" w:fill="auto"/>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Pedal</w:t>
            </w:r>
          </w:p>
        </w:tc>
        <w:tc>
          <w:tcPr>
            <w:tcW w:w="1228" w:type="dxa"/>
            <w:tcBorders>
              <w:top w:val="nil"/>
              <w:left w:val="nil"/>
              <w:bottom w:val="single" w:sz="4" w:space="0" w:color="auto"/>
              <w:right w:val="single" w:sz="4" w:space="0" w:color="auto"/>
            </w:tcBorders>
            <w:shd w:val="clear" w:color="auto" w:fill="auto"/>
            <w:noWrap/>
            <w:vAlign w:val="bottom"/>
            <w:hideMark/>
          </w:tcPr>
          <w:p w:rsidR="001154E3" w:rsidRPr="002F6BF5" w:rsidRDefault="001154E3" w:rsidP="00F752E0">
            <w:pPr>
              <w:spacing w:before="0"/>
              <w:rPr>
                <w:rFonts w:asciiTheme="minorHAnsi" w:eastAsia="Times New Roman" w:hAnsiTheme="minorHAnsi" w:cstheme="minorHAnsi"/>
                <w:color w:val="000000"/>
                <w:sz w:val="20"/>
                <w:szCs w:val="20"/>
                <w:lang w:eastAsia="en-AU"/>
              </w:rPr>
            </w:pPr>
            <w:r w:rsidRPr="002F6BF5">
              <w:rPr>
                <w:rFonts w:asciiTheme="minorHAnsi" w:eastAsia="Times New Roman" w:hAnsiTheme="minorHAnsi" w:cstheme="minorHAnsi"/>
                <w:color w:val="000000"/>
                <w:sz w:val="20"/>
                <w:szCs w:val="20"/>
                <w:lang w:eastAsia="en-AU"/>
              </w:rPr>
              <w:t> </w:t>
            </w:r>
          </w:p>
        </w:tc>
      </w:tr>
    </w:tbl>
    <w:p w:rsidR="00F752E0" w:rsidRPr="009D6B46" w:rsidRDefault="00F752E0" w:rsidP="00F752E0"/>
    <w:p w:rsidR="00F752E0" w:rsidRDefault="00F752E0">
      <w:pPr>
        <w:rPr>
          <w:rFonts w:cs="Arial"/>
        </w:rPr>
      </w:pPr>
      <w:r>
        <w:rPr>
          <w:rFonts w:cs="Arial"/>
        </w:rPr>
        <w:br w:type="page"/>
      </w:r>
    </w:p>
    <w:p w:rsidR="00F752E0" w:rsidRDefault="00F752E0" w:rsidP="00D54C95">
      <w:pPr>
        <w:pStyle w:val="Heading1"/>
      </w:pPr>
      <w:bookmarkStart w:id="196" w:name="_Toc440455055"/>
      <w:bookmarkStart w:id="197" w:name="_Toc463541577"/>
      <w:r>
        <w:lastRenderedPageBreak/>
        <w:t>Appendix</w:t>
      </w:r>
      <w:r w:rsidRPr="007030B2" w:rsidDel="0036769A">
        <w:t xml:space="preserve"> </w:t>
      </w:r>
      <w:r w:rsidR="00CF1CA8">
        <w:t>B</w:t>
      </w:r>
      <w:r w:rsidR="00505A30">
        <w:t>—</w:t>
      </w:r>
      <w:r>
        <w:t>Regulatory cost estimates</w:t>
      </w:r>
      <w:bookmarkEnd w:id="196"/>
      <w:bookmarkEnd w:id="197"/>
    </w:p>
    <w:p w:rsidR="00F752E0" w:rsidRDefault="004A4D13" w:rsidP="00406C20">
      <w:pPr>
        <w:rPr>
          <w:rFonts w:cs="Arial"/>
        </w:rPr>
      </w:pPr>
      <w:r>
        <w:rPr>
          <w:rFonts w:cs="Arial"/>
        </w:rPr>
        <w:t>We have assessed t</w:t>
      </w:r>
      <w:r w:rsidR="00D54C95">
        <w:rPr>
          <w:rFonts w:cs="Arial"/>
        </w:rPr>
        <w:t xml:space="preserve">he regulatory costs for each policy option against the status quo. Costings have been based on </w:t>
      </w:r>
      <w:r w:rsidR="00C816C1">
        <w:rPr>
          <w:rFonts w:cs="Arial"/>
        </w:rPr>
        <w:t xml:space="preserve">industry estimated, </w:t>
      </w:r>
      <w:r w:rsidR="00D54C95">
        <w:rPr>
          <w:rFonts w:cs="Arial"/>
        </w:rPr>
        <w:t>published data</w:t>
      </w:r>
      <w:r w:rsidR="00C816C1">
        <w:rPr>
          <w:rFonts w:cs="Arial"/>
        </w:rPr>
        <w:t>.</w:t>
      </w:r>
      <w:r w:rsidR="00D54C95">
        <w:rPr>
          <w:rFonts w:cs="Arial"/>
        </w:rPr>
        <w:t xml:space="preserve"> </w:t>
      </w:r>
      <w:r w:rsidR="00C816C1">
        <w:rPr>
          <w:rFonts w:cs="Arial"/>
        </w:rPr>
        <w:t xml:space="preserve">Any </w:t>
      </w:r>
      <w:r w:rsidR="00D54C95">
        <w:rPr>
          <w:rFonts w:cs="Arial"/>
        </w:rPr>
        <w:t xml:space="preserve">assumptions </w:t>
      </w:r>
      <w:r w:rsidR="00C816C1">
        <w:rPr>
          <w:rFonts w:cs="Arial"/>
        </w:rPr>
        <w:t xml:space="preserve">made </w:t>
      </w:r>
      <w:proofErr w:type="gramStart"/>
      <w:r w:rsidR="00C816C1">
        <w:rPr>
          <w:rFonts w:cs="Arial"/>
        </w:rPr>
        <w:t>are</w:t>
      </w:r>
      <w:r>
        <w:rPr>
          <w:rFonts w:cs="Arial"/>
        </w:rPr>
        <w:t xml:space="preserve"> detailed</w:t>
      </w:r>
      <w:proofErr w:type="gramEnd"/>
      <w:r>
        <w:rPr>
          <w:rFonts w:cs="Arial"/>
        </w:rPr>
        <w:t xml:space="preserve"> bel</w:t>
      </w:r>
      <w:r w:rsidR="00D54C95">
        <w:rPr>
          <w:rFonts w:cs="Arial"/>
        </w:rPr>
        <w:t>ow and will be reviewed and re-adjusted based on information received from industry and other stakeholders following the consultation period.</w:t>
      </w:r>
    </w:p>
    <w:p w:rsidR="00D54C95" w:rsidRDefault="00D54C95" w:rsidP="003F308A">
      <w:pPr>
        <w:pStyle w:val="Heading3"/>
      </w:pPr>
      <w:r>
        <w:t>Assumptions</w:t>
      </w:r>
    </w:p>
    <w:p w:rsidR="00D54C95" w:rsidRDefault="00D54C95" w:rsidP="003F308A">
      <w:pPr>
        <w:pStyle w:val="ListParagraph"/>
        <w:numPr>
          <w:ilvl w:val="0"/>
          <w:numId w:val="73"/>
        </w:numPr>
      </w:pPr>
      <w:r>
        <w:t xml:space="preserve">1.4 million </w:t>
      </w:r>
      <w:proofErr w:type="gramStart"/>
      <w:r>
        <w:t>new</w:t>
      </w:r>
      <w:proofErr w:type="gramEnd"/>
      <w:r>
        <w:t xml:space="preserve"> bicycles are </w:t>
      </w:r>
      <w:r w:rsidR="00C816C1">
        <w:t xml:space="preserve">supplied </w:t>
      </w:r>
      <w:r>
        <w:t>in Australia each year.</w:t>
      </w:r>
      <w:r w:rsidRPr="006233EE">
        <w:rPr>
          <w:rStyle w:val="FootnoteReference"/>
          <w:rFonts w:cs="Arial"/>
        </w:rPr>
        <w:footnoteReference w:id="19"/>
      </w:r>
      <w:r>
        <w:t xml:space="preserve"> </w:t>
      </w:r>
    </w:p>
    <w:p w:rsidR="00D54C95" w:rsidRDefault="00D54C95" w:rsidP="003F308A">
      <w:pPr>
        <w:pStyle w:val="ListParagraph"/>
        <w:numPr>
          <w:ilvl w:val="0"/>
          <w:numId w:val="73"/>
        </w:numPr>
      </w:pPr>
      <w:r>
        <w:t>There are an estimated 400 importers, manufacturers and wholesalers (</w:t>
      </w:r>
      <w:r w:rsidRPr="004A4D13">
        <w:t>suppliers</w:t>
      </w:r>
      <w:r>
        <w:t>).</w:t>
      </w:r>
      <w:r>
        <w:rPr>
          <w:rStyle w:val="FootnoteReference"/>
        </w:rPr>
        <w:footnoteReference w:id="20"/>
      </w:r>
      <w:r>
        <w:t xml:space="preserve"> </w:t>
      </w:r>
    </w:p>
    <w:p w:rsidR="00D54C95" w:rsidRDefault="00D54C95" w:rsidP="003F308A">
      <w:pPr>
        <w:pStyle w:val="ListParagraph"/>
        <w:numPr>
          <w:ilvl w:val="0"/>
          <w:numId w:val="73"/>
        </w:numPr>
      </w:pPr>
      <w:r>
        <w:t>For the purpose of these regulatory estimates it is assumed each supplier sells an equal number of bicycles:</w:t>
      </w:r>
      <w:r>
        <w:br/>
        <w:t>Bicycles per supplier (3</w:t>
      </w:r>
      <w:r w:rsidR="00C816C1">
        <w:t xml:space="preserve"> </w:t>
      </w:r>
      <w:r>
        <w:t>500)</w:t>
      </w:r>
      <w:r w:rsidR="000F2611">
        <w:t xml:space="preserve"> </w:t>
      </w:r>
      <w:r>
        <w:t>= bicycles imported (1.4</w:t>
      </w:r>
      <w:r w:rsidR="00C414CA">
        <w:t xml:space="preserve"> </w:t>
      </w:r>
      <w:r>
        <w:t>m) / number of suppliers (400)</w:t>
      </w:r>
    </w:p>
    <w:p w:rsidR="00D54C95" w:rsidRDefault="00D54C95" w:rsidP="003F308A">
      <w:pPr>
        <w:pStyle w:val="ListParagraph"/>
        <w:numPr>
          <w:ilvl w:val="0"/>
          <w:numId w:val="73"/>
        </w:numPr>
      </w:pPr>
      <w:r>
        <w:t xml:space="preserve">It </w:t>
      </w:r>
      <w:proofErr w:type="gramStart"/>
      <w:r>
        <w:t>is assumed</w:t>
      </w:r>
      <w:proofErr w:type="gramEnd"/>
      <w:r>
        <w:t xml:space="preserve"> that each supplier will have a range of 10 different models</w:t>
      </w:r>
      <w:r w:rsidR="000F2611">
        <w:t>.</w:t>
      </w:r>
    </w:p>
    <w:p w:rsidR="00D54C95" w:rsidRDefault="00D54C95" w:rsidP="003F308A">
      <w:pPr>
        <w:pStyle w:val="ListParagraph"/>
        <w:numPr>
          <w:ilvl w:val="0"/>
          <w:numId w:val="73"/>
        </w:numPr>
      </w:pPr>
      <w:r>
        <w:t xml:space="preserve">Every model </w:t>
      </w:r>
      <w:proofErr w:type="gramStart"/>
      <w:r>
        <w:t>is tested</w:t>
      </w:r>
      <w:proofErr w:type="gramEnd"/>
      <w:r>
        <w:t xml:space="preserve"> once a year at a cost of $1007.40</w:t>
      </w:r>
      <w:r w:rsidR="000F2611">
        <w:t>.</w:t>
      </w:r>
      <w:r>
        <w:rPr>
          <w:rStyle w:val="FootnoteReference"/>
        </w:rPr>
        <w:footnoteReference w:id="21"/>
      </w:r>
    </w:p>
    <w:p w:rsidR="00D54C95" w:rsidRPr="00D06214" w:rsidRDefault="00D06214" w:rsidP="003F308A">
      <w:pPr>
        <w:pStyle w:val="ListParagraph"/>
        <w:numPr>
          <w:ilvl w:val="0"/>
          <w:numId w:val="73"/>
        </w:numPr>
      </w:pPr>
      <w:r>
        <w:t>20 000</w:t>
      </w:r>
      <w:r w:rsidRPr="00D06214">
        <w:rPr>
          <w:rFonts w:cs="Arial"/>
        </w:rPr>
        <w:t xml:space="preserve"> </w:t>
      </w:r>
      <w:proofErr w:type="gramStart"/>
      <w:r w:rsidRPr="006233EE">
        <w:rPr>
          <w:rFonts w:cs="Arial"/>
        </w:rPr>
        <w:t>one-of-a-kind</w:t>
      </w:r>
      <w:proofErr w:type="gramEnd"/>
      <w:r w:rsidRPr="006233EE">
        <w:rPr>
          <w:rFonts w:cs="Arial"/>
        </w:rPr>
        <w:t>, folding, hire/rental, tandem, recumbent and second hand bicycles are supplied annually</w:t>
      </w:r>
      <w:r>
        <w:rPr>
          <w:rFonts w:cs="Arial"/>
        </w:rPr>
        <w:t>.</w:t>
      </w:r>
      <w:r w:rsidRPr="006233EE">
        <w:rPr>
          <w:rStyle w:val="FootnoteReference"/>
          <w:rFonts w:cs="Arial"/>
        </w:rPr>
        <w:footnoteReference w:id="22"/>
      </w:r>
    </w:p>
    <w:p w:rsidR="00D06214" w:rsidRPr="00D06214" w:rsidRDefault="00D06214" w:rsidP="003F308A">
      <w:pPr>
        <w:pStyle w:val="ListParagraph"/>
        <w:numPr>
          <w:ilvl w:val="0"/>
          <w:numId w:val="73"/>
        </w:numPr>
      </w:pPr>
      <w:r w:rsidRPr="006233EE">
        <w:rPr>
          <w:rFonts w:cs="Arial"/>
        </w:rPr>
        <w:t>25 000 two wheeled electric vehicles were imported into Australia in 2013/14</w:t>
      </w:r>
      <w:r w:rsidR="00A7644B">
        <w:rPr>
          <w:rFonts w:cs="Arial"/>
        </w:rPr>
        <w:t>.</w:t>
      </w:r>
      <w:r w:rsidR="00A7644B" w:rsidRPr="006233EE">
        <w:rPr>
          <w:rFonts w:cs="Arial"/>
        </w:rPr>
        <w:t xml:space="preserve"> </w:t>
      </w:r>
      <w:r w:rsidRPr="006233EE">
        <w:rPr>
          <w:rFonts w:cs="Arial"/>
        </w:rPr>
        <w:t>60% of these vehicles are pedelecs and 40</w:t>
      </w:r>
      <w:r w:rsidR="00505A30">
        <w:rPr>
          <w:rFonts w:cs="Arial"/>
        </w:rPr>
        <w:t xml:space="preserve"> per cent</w:t>
      </w:r>
      <w:r w:rsidRPr="006233EE">
        <w:rPr>
          <w:rFonts w:cs="Arial"/>
        </w:rPr>
        <w:t xml:space="preserve"> are power assisted bicycles with power output not exceeding 200</w:t>
      </w:r>
      <w:r w:rsidR="00A7644B">
        <w:rPr>
          <w:rFonts w:cs="Arial"/>
        </w:rPr>
        <w:t xml:space="preserve"> </w:t>
      </w:r>
      <w:r w:rsidRPr="006233EE">
        <w:rPr>
          <w:rFonts w:cs="Arial"/>
        </w:rPr>
        <w:t>W (</w:t>
      </w:r>
      <w:r w:rsidRPr="003F308A">
        <w:rPr>
          <w:rFonts w:cs="Arial"/>
        </w:rPr>
        <w:t>PABs</w:t>
      </w:r>
      <w:r w:rsidRPr="006233EE">
        <w:rPr>
          <w:rFonts w:cs="Arial"/>
        </w:rPr>
        <w:t>)</w:t>
      </w:r>
      <w:r>
        <w:rPr>
          <w:rFonts w:cs="Arial"/>
        </w:rPr>
        <w:t>.</w:t>
      </w:r>
      <w:r w:rsidRPr="006233EE">
        <w:rPr>
          <w:rStyle w:val="FootnoteReference"/>
          <w:rFonts w:cs="Arial"/>
        </w:rPr>
        <w:footnoteReference w:id="23"/>
      </w:r>
    </w:p>
    <w:p w:rsidR="00D06214" w:rsidRPr="00D06214" w:rsidRDefault="00D06214" w:rsidP="003F308A">
      <w:pPr>
        <w:pStyle w:val="ListParagraph"/>
        <w:numPr>
          <w:ilvl w:val="0"/>
          <w:numId w:val="73"/>
        </w:numPr>
      </w:pPr>
      <w:r w:rsidRPr="006233EE">
        <w:rPr>
          <w:rFonts w:cs="Arial"/>
        </w:rPr>
        <w:t xml:space="preserve">Based on assumption </w:t>
      </w:r>
      <w:r w:rsidR="000F2611">
        <w:rPr>
          <w:rFonts w:cs="Arial"/>
        </w:rPr>
        <w:t>seven</w:t>
      </w:r>
      <w:r w:rsidRPr="006233EE">
        <w:rPr>
          <w:rFonts w:cs="Arial"/>
        </w:rPr>
        <w:t xml:space="preserve">, 15 000 pedelecs are sold annually. It </w:t>
      </w:r>
      <w:proofErr w:type="gramStart"/>
      <w:r w:rsidRPr="006233EE">
        <w:rPr>
          <w:rFonts w:cs="Arial"/>
        </w:rPr>
        <w:t>is further assumed</w:t>
      </w:r>
      <w:proofErr w:type="gramEnd"/>
      <w:r w:rsidRPr="006233EE">
        <w:rPr>
          <w:rFonts w:cs="Arial"/>
        </w:rPr>
        <w:t xml:space="preserve"> that 175 pedelecs are sold per model. This </w:t>
      </w:r>
      <w:proofErr w:type="gramStart"/>
      <w:r w:rsidRPr="006233EE">
        <w:rPr>
          <w:rFonts w:cs="Arial"/>
        </w:rPr>
        <w:t>is based</w:t>
      </w:r>
      <w:proofErr w:type="gramEnd"/>
      <w:r w:rsidRPr="006233EE">
        <w:rPr>
          <w:rFonts w:cs="Arial"/>
        </w:rPr>
        <w:t xml:space="preserve"> on the assumption that there is half the number of pedelecs sold per model as opposed to other bicycles discussed in assumption</w:t>
      </w:r>
      <w:r w:rsidR="00C816C1">
        <w:rPr>
          <w:rFonts w:cs="Arial"/>
        </w:rPr>
        <w:t xml:space="preserve"> </w:t>
      </w:r>
      <w:r w:rsidR="000F2611">
        <w:rPr>
          <w:rFonts w:cs="Arial"/>
        </w:rPr>
        <w:t>four</w:t>
      </w:r>
      <w:r w:rsidRPr="006233EE">
        <w:rPr>
          <w:rFonts w:cs="Arial"/>
        </w:rPr>
        <w:t>.</w:t>
      </w:r>
      <w:r>
        <w:rPr>
          <w:rFonts w:cs="Arial"/>
        </w:rPr>
        <w:br/>
        <w:t xml:space="preserve">Total pedelec models (86) </w:t>
      </w:r>
      <w:r>
        <w:rPr>
          <w:rFonts w:cs="Arial"/>
        </w:rPr>
        <w:tab/>
        <w:t>= total pedelec (15 000) / pedelec per model (175)</w:t>
      </w:r>
    </w:p>
    <w:p w:rsidR="00D06214" w:rsidRDefault="00D06214" w:rsidP="003F308A">
      <w:pPr>
        <w:pStyle w:val="ListParagraph"/>
        <w:numPr>
          <w:ilvl w:val="0"/>
          <w:numId w:val="73"/>
        </w:numPr>
      </w:pPr>
      <w:r>
        <w:t xml:space="preserve">Based on assumption </w:t>
      </w:r>
      <w:r w:rsidR="00C816C1">
        <w:t>seven</w:t>
      </w:r>
      <w:r>
        <w:t xml:space="preserve">, 10 000 PABs </w:t>
      </w:r>
      <w:proofErr w:type="gramStart"/>
      <w:r>
        <w:t>are sold</w:t>
      </w:r>
      <w:proofErr w:type="gramEnd"/>
      <w:r>
        <w:t xml:space="preserve"> annually. The estimated number of models has been calculated using the same method as in </w:t>
      </w:r>
      <w:r w:rsidR="00C816C1">
        <w:t xml:space="preserve">the </w:t>
      </w:r>
      <w:r>
        <w:t>previous assumption:</w:t>
      </w:r>
      <w:r w:rsidR="006667DA">
        <w:t xml:space="preserve"> </w:t>
      </w:r>
      <w:r>
        <w:t>Total PABs (57)</w:t>
      </w:r>
      <w:r>
        <w:tab/>
        <w:t>= total PABs (10 000) / PABs per model (175)</w:t>
      </w:r>
    </w:p>
    <w:p w:rsidR="007D2587" w:rsidRPr="007D2587" w:rsidRDefault="006667DA" w:rsidP="003F308A">
      <w:pPr>
        <w:pStyle w:val="ListParagraph"/>
        <w:numPr>
          <w:ilvl w:val="0"/>
          <w:numId w:val="73"/>
        </w:numPr>
      </w:pPr>
      <w:r>
        <w:t>We</w:t>
      </w:r>
      <w:r w:rsidR="007D2587">
        <w:t xml:space="preserve"> assume that towards the end of the 12 month transition period</w:t>
      </w:r>
      <w:r w:rsidR="00C816C1">
        <w:t>,</w:t>
      </w:r>
      <w:r w:rsidR="007D2587">
        <w:t xml:space="preserve"> 10</w:t>
      </w:r>
      <w:r w:rsidR="00505A30">
        <w:t xml:space="preserve"> per cent</w:t>
      </w:r>
      <w:r w:rsidR="007D2587">
        <w:t xml:space="preserve"> of bicycles in retail stores and warehouses will not compl</w:t>
      </w:r>
      <w:r>
        <w:t>y</w:t>
      </w:r>
      <w:r w:rsidR="007D2587">
        <w:t xml:space="preserve"> </w:t>
      </w:r>
      <w:r w:rsidR="00C816C1">
        <w:t xml:space="preserve">with </w:t>
      </w:r>
      <w:r w:rsidR="007D2587">
        <w:t>the new</w:t>
      </w:r>
      <w:r w:rsidR="00C816C1">
        <w:t xml:space="preserve"> mandatory</w:t>
      </w:r>
      <w:r w:rsidR="007D2587">
        <w:t xml:space="preserve"> safety standard. It </w:t>
      </w:r>
      <w:proofErr w:type="gramStart"/>
      <w:r w:rsidR="007D2587">
        <w:t>is further assumed</w:t>
      </w:r>
      <w:proofErr w:type="gramEnd"/>
      <w:r w:rsidR="007D2587">
        <w:t xml:space="preserve"> that </w:t>
      </w:r>
      <w:r w:rsidR="007D2587" w:rsidRPr="006233EE">
        <w:rPr>
          <w:rFonts w:cs="Arial"/>
        </w:rPr>
        <w:t>75</w:t>
      </w:r>
      <w:r w:rsidR="00505A30">
        <w:rPr>
          <w:rFonts w:cs="Arial"/>
        </w:rPr>
        <w:t xml:space="preserve"> per cent</w:t>
      </w:r>
      <w:r w:rsidR="007D2587" w:rsidRPr="006233EE">
        <w:rPr>
          <w:rFonts w:cs="Arial"/>
        </w:rPr>
        <w:t xml:space="preserve"> of these bicycles would be sold at a discount prior to the end of </w:t>
      </w:r>
      <w:r w:rsidR="00C816C1">
        <w:rPr>
          <w:rFonts w:cs="Arial"/>
        </w:rPr>
        <w:t xml:space="preserve">the </w:t>
      </w:r>
      <w:r w:rsidR="007D2587" w:rsidRPr="006233EE">
        <w:rPr>
          <w:rFonts w:cs="Arial"/>
        </w:rPr>
        <w:t>transition period while the remaining 25</w:t>
      </w:r>
      <w:r w:rsidR="00505A30">
        <w:rPr>
          <w:rFonts w:cs="Arial"/>
        </w:rPr>
        <w:t xml:space="preserve"> per cent</w:t>
      </w:r>
      <w:r w:rsidR="007D2587" w:rsidRPr="006233EE">
        <w:rPr>
          <w:rFonts w:cs="Arial"/>
        </w:rPr>
        <w:t xml:space="preserve"> would be retested and/or recalibrated to meet the new </w:t>
      </w:r>
      <w:r w:rsidR="00C816C1">
        <w:rPr>
          <w:rFonts w:cs="Arial"/>
        </w:rPr>
        <w:t xml:space="preserve">mandatory </w:t>
      </w:r>
      <w:r w:rsidR="007D2587" w:rsidRPr="006233EE">
        <w:rPr>
          <w:rFonts w:cs="Arial"/>
        </w:rPr>
        <w:t xml:space="preserve">safety standard. The cost of testing to transition to the new </w:t>
      </w:r>
      <w:r w:rsidR="00C816C1">
        <w:rPr>
          <w:rFonts w:cs="Arial"/>
        </w:rPr>
        <w:t xml:space="preserve">mandatory </w:t>
      </w:r>
      <w:r w:rsidR="007D2587" w:rsidRPr="006233EE">
        <w:rPr>
          <w:rFonts w:cs="Arial"/>
        </w:rPr>
        <w:t>safety standard is included in these estimates</w:t>
      </w:r>
      <w:r w:rsidR="00A7644B">
        <w:rPr>
          <w:rFonts w:cs="Arial"/>
        </w:rPr>
        <w:t>.</w:t>
      </w:r>
      <w:r w:rsidR="007D2587" w:rsidRPr="006233EE">
        <w:rPr>
          <w:rFonts w:cs="Arial"/>
        </w:rPr>
        <w:t xml:space="preserve"> </w:t>
      </w:r>
      <w:r w:rsidR="00A7644B">
        <w:rPr>
          <w:rFonts w:cs="Arial"/>
        </w:rPr>
        <w:t>H</w:t>
      </w:r>
      <w:r w:rsidR="00A7644B" w:rsidRPr="006233EE">
        <w:rPr>
          <w:rFonts w:cs="Arial"/>
        </w:rPr>
        <w:t>owever</w:t>
      </w:r>
      <w:r w:rsidR="00FB43C2">
        <w:rPr>
          <w:rFonts w:cs="Arial"/>
        </w:rPr>
        <w:t>,</w:t>
      </w:r>
      <w:r w:rsidR="007D2587" w:rsidRPr="006233EE">
        <w:rPr>
          <w:rFonts w:cs="Arial"/>
        </w:rPr>
        <w:t xml:space="preserve"> the potential loss of sales is not.</w:t>
      </w:r>
    </w:p>
    <w:p w:rsidR="007D2587" w:rsidRPr="006233EE" w:rsidRDefault="007D2587" w:rsidP="007D2587">
      <w:pPr>
        <w:pStyle w:val="ListParagraph"/>
        <w:numPr>
          <w:ilvl w:val="0"/>
          <w:numId w:val="73"/>
        </w:numPr>
        <w:tabs>
          <w:tab w:val="clear" w:pos="340"/>
        </w:tabs>
        <w:rPr>
          <w:rFonts w:cs="Arial"/>
        </w:rPr>
      </w:pPr>
      <w:r w:rsidRPr="006233EE">
        <w:rPr>
          <w:rFonts w:cs="Arial"/>
        </w:rPr>
        <w:t xml:space="preserve">It </w:t>
      </w:r>
      <w:proofErr w:type="gramStart"/>
      <w:r w:rsidRPr="006233EE">
        <w:rPr>
          <w:rFonts w:cs="Arial"/>
        </w:rPr>
        <w:t>is estimated</w:t>
      </w:r>
      <w:proofErr w:type="gramEnd"/>
      <w:r w:rsidRPr="006233EE">
        <w:rPr>
          <w:rFonts w:cs="Arial"/>
        </w:rPr>
        <w:t xml:space="preserve"> that suppliers would need approximately </w:t>
      </w:r>
      <w:r w:rsidR="00505A30">
        <w:rPr>
          <w:rFonts w:cs="Arial"/>
        </w:rPr>
        <w:t>two</w:t>
      </w:r>
      <w:r w:rsidR="00505A30" w:rsidRPr="006233EE">
        <w:rPr>
          <w:rFonts w:cs="Arial"/>
        </w:rPr>
        <w:t xml:space="preserve"> </w:t>
      </w:r>
      <w:r w:rsidRPr="006233EE">
        <w:rPr>
          <w:rFonts w:cs="Arial"/>
        </w:rPr>
        <w:t>hours to arrange testing and any other compliance related administration activities for each bicycle model.</w:t>
      </w:r>
    </w:p>
    <w:p w:rsidR="007D2587" w:rsidRPr="006233EE" w:rsidRDefault="007D2587" w:rsidP="007D2587">
      <w:pPr>
        <w:pStyle w:val="ListParagraph"/>
        <w:numPr>
          <w:ilvl w:val="0"/>
          <w:numId w:val="73"/>
        </w:numPr>
        <w:tabs>
          <w:tab w:val="clear" w:pos="340"/>
        </w:tabs>
        <w:rPr>
          <w:rFonts w:cs="Arial"/>
        </w:rPr>
      </w:pPr>
      <w:r w:rsidRPr="006233EE">
        <w:rPr>
          <w:rFonts w:cs="Arial"/>
        </w:rPr>
        <w:t xml:space="preserve">It </w:t>
      </w:r>
      <w:proofErr w:type="gramStart"/>
      <w:r w:rsidRPr="006233EE">
        <w:rPr>
          <w:rFonts w:cs="Arial"/>
        </w:rPr>
        <w:t>is estimated</w:t>
      </w:r>
      <w:proofErr w:type="gramEnd"/>
      <w:r w:rsidRPr="006233EE">
        <w:rPr>
          <w:rFonts w:cs="Arial"/>
        </w:rPr>
        <w:t xml:space="preserve"> that 20 minutes would be required to check and/or spec up one-of-a-kind, folding, tandem, recumbent and second hand bicycles to meet </w:t>
      </w:r>
      <w:r w:rsidRPr="00FB43C2">
        <w:rPr>
          <w:rFonts w:cs="Arial"/>
        </w:rPr>
        <w:t>“</w:t>
      </w:r>
      <w:r w:rsidRPr="00A7644B">
        <w:rPr>
          <w:rFonts w:cs="Arial"/>
        </w:rPr>
        <w:t>core safety specifications</w:t>
      </w:r>
      <w:r w:rsidRPr="00FB43C2">
        <w:rPr>
          <w:rFonts w:cs="Arial"/>
        </w:rPr>
        <w:t>”</w:t>
      </w:r>
      <w:r w:rsidRPr="006233EE">
        <w:rPr>
          <w:rFonts w:cs="Arial"/>
        </w:rPr>
        <w:t xml:space="preserve"> requirements. </w:t>
      </w:r>
    </w:p>
    <w:p w:rsidR="007D2587" w:rsidRPr="006233EE" w:rsidRDefault="007D2587" w:rsidP="007D2587">
      <w:pPr>
        <w:pStyle w:val="ListParagraph"/>
        <w:numPr>
          <w:ilvl w:val="0"/>
          <w:numId w:val="73"/>
        </w:numPr>
        <w:tabs>
          <w:tab w:val="clear" w:pos="340"/>
        </w:tabs>
        <w:rPr>
          <w:rFonts w:cs="Arial"/>
        </w:rPr>
      </w:pPr>
      <w:r w:rsidRPr="006233EE">
        <w:rPr>
          <w:rFonts w:cs="Arial"/>
        </w:rPr>
        <w:lastRenderedPageBreak/>
        <w:t xml:space="preserve">The default hourly cost for labour in Australia </w:t>
      </w:r>
      <w:proofErr w:type="gramStart"/>
      <w:r w:rsidRPr="006233EE">
        <w:rPr>
          <w:rFonts w:cs="Arial"/>
        </w:rPr>
        <w:t>is estimated</w:t>
      </w:r>
      <w:proofErr w:type="gramEnd"/>
      <w:r w:rsidRPr="006233EE">
        <w:rPr>
          <w:rFonts w:cs="Arial"/>
        </w:rPr>
        <w:t xml:space="preserve"> to be $37.40 and this value is scaled up using a multiplier of 1.75 to account for the no-wage labour on costs</w:t>
      </w:r>
      <w:r w:rsidRPr="006233EE">
        <w:rPr>
          <w:rStyle w:val="FootnoteReference"/>
          <w:rFonts w:cs="Arial"/>
        </w:rPr>
        <w:footnoteReference w:id="24"/>
      </w:r>
      <w:r w:rsidRPr="006233EE">
        <w:rPr>
          <w:rFonts w:cs="Arial"/>
        </w:rPr>
        <w:t xml:space="preserve">. Therefore labour costs per hour is estimated to be $65.45  </w:t>
      </w:r>
    </w:p>
    <w:p w:rsidR="007D2587" w:rsidRPr="006233EE" w:rsidRDefault="007D2587" w:rsidP="007D2587">
      <w:pPr>
        <w:pStyle w:val="ListParagraph"/>
        <w:numPr>
          <w:ilvl w:val="0"/>
          <w:numId w:val="73"/>
        </w:numPr>
        <w:tabs>
          <w:tab w:val="clear" w:pos="340"/>
        </w:tabs>
        <w:rPr>
          <w:rFonts w:cs="Arial"/>
        </w:rPr>
      </w:pPr>
      <w:r w:rsidRPr="006233EE">
        <w:rPr>
          <w:rFonts w:cs="Arial"/>
        </w:rPr>
        <w:t xml:space="preserve">Substantive compliance costs are costs incurred to deliver the </w:t>
      </w:r>
      <w:r w:rsidR="00E7185A" w:rsidRPr="006233EE">
        <w:rPr>
          <w:rFonts w:cs="Arial"/>
        </w:rPr>
        <w:t>regulat</w:t>
      </w:r>
      <w:r w:rsidR="00E7185A">
        <w:rPr>
          <w:rFonts w:cs="Arial"/>
        </w:rPr>
        <w:t xml:space="preserve">ory </w:t>
      </w:r>
      <w:r w:rsidRPr="006233EE">
        <w:rPr>
          <w:rFonts w:cs="Arial"/>
        </w:rPr>
        <w:t>outcomes being sought</w:t>
      </w:r>
      <w:r w:rsidR="00E7185A">
        <w:rPr>
          <w:rFonts w:cs="Arial"/>
        </w:rPr>
        <w:t>,</w:t>
      </w:r>
      <w:r w:rsidRPr="006233EE">
        <w:rPr>
          <w:rFonts w:cs="Arial"/>
        </w:rPr>
        <w:t xml:space="preserve"> but do not include any costs a normal business would pay in </w:t>
      </w:r>
      <w:r w:rsidR="00E7185A">
        <w:rPr>
          <w:rFonts w:cs="Arial"/>
        </w:rPr>
        <w:t xml:space="preserve">the </w:t>
      </w:r>
      <w:r w:rsidRPr="006233EE">
        <w:rPr>
          <w:rFonts w:cs="Arial"/>
        </w:rPr>
        <w:t>absence of regulation</w:t>
      </w:r>
      <w:r w:rsidRPr="006233EE">
        <w:rPr>
          <w:rStyle w:val="FootnoteReference"/>
          <w:rFonts w:cs="Arial"/>
        </w:rPr>
        <w:footnoteReference w:id="25"/>
      </w:r>
      <w:r w:rsidRPr="006233EE">
        <w:rPr>
          <w:rFonts w:cs="Arial"/>
        </w:rPr>
        <w:t>. It usually includes purchase and maintenance costs but also includes costs associated with factories requiring a separate production line or additional assembly or manufacturing process</w:t>
      </w:r>
      <w:r w:rsidR="00FB43C2">
        <w:rPr>
          <w:rFonts w:cs="Arial"/>
        </w:rPr>
        <w:t>es</w:t>
      </w:r>
      <w:r w:rsidRPr="006233EE">
        <w:rPr>
          <w:rFonts w:cs="Arial"/>
        </w:rPr>
        <w:t xml:space="preserve"> that cater for safety standard specifications. For bicycles, this would mainly include application of labels, correct configuration assembly of brake levers</w:t>
      </w:r>
      <w:r w:rsidR="00FB43C2">
        <w:rPr>
          <w:rFonts w:cs="Arial"/>
        </w:rPr>
        <w:t>,</w:t>
      </w:r>
      <w:r w:rsidRPr="006233EE">
        <w:rPr>
          <w:rFonts w:cs="Arial"/>
        </w:rPr>
        <w:t xml:space="preserve"> and fitment of AS/NZS compliant reflectors. Substantive costs would vary significantly depending on manufacturer’s expertise and accessibility to AS/NZS parts. At times, the importer, distributor or retailer may carry out this work. It is assumed that the substantive cost per bicycle is AUD$2.</w:t>
      </w:r>
    </w:p>
    <w:p w:rsidR="00E551CC" w:rsidRDefault="00E551CC" w:rsidP="00E551CC">
      <w:pPr>
        <w:pStyle w:val="ListParagraph"/>
        <w:numPr>
          <w:ilvl w:val="0"/>
          <w:numId w:val="73"/>
        </w:numPr>
        <w:tabs>
          <w:tab w:val="clear" w:pos="340"/>
        </w:tabs>
        <w:rPr>
          <w:rFonts w:cs="Arial"/>
        </w:rPr>
      </w:pPr>
      <w:r w:rsidRPr="006233EE">
        <w:rPr>
          <w:rFonts w:cs="Arial"/>
        </w:rPr>
        <w:t xml:space="preserve">The cost of compliance under the current regulation for the purposes of this estimate </w:t>
      </w:r>
      <w:proofErr w:type="gramStart"/>
      <w:r w:rsidRPr="006233EE">
        <w:rPr>
          <w:rFonts w:cs="Arial"/>
        </w:rPr>
        <w:t>is considered</w:t>
      </w:r>
      <w:proofErr w:type="gramEnd"/>
      <w:r w:rsidRPr="006233EE">
        <w:rPr>
          <w:rFonts w:cs="Arial"/>
        </w:rPr>
        <w:t xml:space="preserve"> a business-as-usual (</w:t>
      </w:r>
      <w:r w:rsidRPr="00D85580">
        <w:rPr>
          <w:rFonts w:cs="Arial"/>
        </w:rPr>
        <w:t>BAU</w:t>
      </w:r>
      <w:r w:rsidRPr="006233EE">
        <w:rPr>
          <w:rFonts w:cs="Arial"/>
        </w:rPr>
        <w:t>) cost. Current compliance costs are:</w:t>
      </w:r>
      <w:r w:rsidR="00AA22B7">
        <w:rPr>
          <w:rFonts w:cs="Arial"/>
        </w:rPr>
        <w:br/>
      </w:r>
    </w:p>
    <w:tbl>
      <w:tblPr>
        <w:tblStyle w:val="TableGrid"/>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095"/>
        <w:gridCol w:w="1701"/>
      </w:tblGrid>
      <w:tr w:rsidR="00750EA4" w:rsidTr="00A76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0EA4" w:rsidRPr="00750EA4" w:rsidRDefault="00750EA4" w:rsidP="003F308A">
            <w:pPr>
              <w:spacing w:before="60" w:after="60"/>
              <w:jc w:val="center"/>
              <w:rPr>
                <w:rFonts w:cs="Arial"/>
              </w:rPr>
            </w:pPr>
            <w:r w:rsidRPr="00750EA4">
              <w:rPr>
                <w:rFonts w:cs="Arial"/>
              </w:rPr>
              <w:t>A</w:t>
            </w:r>
          </w:p>
        </w:tc>
        <w:tc>
          <w:tcPr>
            <w:tcW w:w="6095" w:type="dxa"/>
            <w:tcBorders>
              <w:top w:val="single" w:sz="4" w:space="0" w:color="auto"/>
              <w:left w:val="single" w:sz="4" w:space="0" w:color="auto"/>
              <w:bottom w:val="single" w:sz="4" w:space="0" w:color="auto"/>
              <w:right w:val="single" w:sz="4" w:space="0" w:color="auto"/>
            </w:tcBorders>
          </w:tcPr>
          <w:p w:rsidR="00750EA4" w:rsidRPr="003F308A" w:rsidRDefault="00750EA4" w:rsidP="003F308A">
            <w:pPr>
              <w:spacing w:before="60" w:after="60"/>
              <w:cnfStyle w:val="100000000000" w:firstRow="1" w:lastRow="0" w:firstColumn="0" w:lastColumn="0" w:oddVBand="0" w:evenVBand="0" w:oddHBand="0" w:evenHBand="0" w:firstRowFirstColumn="0" w:firstRowLastColumn="0" w:lastRowFirstColumn="0" w:lastRowLastColumn="0"/>
              <w:rPr>
                <w:rFonts w:cs="Arial"/>
                <w:b w:val="0"/>
              </w:rPr>
            </w:pPr>
            <w:r w:rsidRPr="00AA22B7">
              <w:rPr>
                <w:rFonts w:cs="Arial"/>
              </w:rPr>
              <w:t>Total suppliers (manufacturers, importers and wholesalers)</w:t>
            </w:r>
          </w:p>
        </w:tc>
        <w:tc>
          <w:tcPr>
            <w:tcW w:w="1701" w:type="dxa"/>
            <w:tcBorders>
              <w:top w:val="single" w:sz="4" w:space="0" w:color="auto"/>
              <w:left w:val="single" w:sz="4" w:space="0" w:color="auto"/>
              <w:bottom w:val="single" w:sz="4" w:space="0" w:color="auto"/>
              <w:right w:val="single" w:sz="4" w:space="0" w:color="auto"/>
            </w:tcBorders>
          </w:tcPr>
          <w:p w:rsidR="00750EA4" w:rsidRPr="003F308A" w:rsidRDefault="00750EA4" w:rsidP="003F308A">
            <w:pPr>
              <w:spacing w:before="60" w:after="60"/>
              <w:cnfStyle w:val="100000000000" w:firstRow="1" w:lastRow="0" w:firstColumn="0" w:lastColumn="0" w:oddVBand="0" w:evenVBand="0" w:oddHBand="0" w:evenHBand="0" w:firstRowFirstColumn="0" w:firstRowLastColumn="0" w:lastRowFirstColumn="0" w:lastRowLastColumn="0"/>
              <w:rPr>
                <w:rFonts w:cs="Arial"/>
                <w:b w:val="0"/>
              </w:rPr>
            </w:pPr>
            <w:r w:rsidRPr="00AA22B7">
              <w:rPr>
                <w:rFonts w:cs="Arial"/>
              </w:rPr>
              <w:t>400</w:t>
            </w:r>
          </w:p>
        </w:tc>
      </w:tr>
      <w:tr w:rsidR="00750EA4" w:rsidTr="00A7644B">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tcBorders>
            <w:shd w:val="clear" w:color="auto" w:fill="D9D9D9" w:themeFill="background1" w:themeFillShade="D9"/>
          </w:tcPr>
          <w:p w:rsidR="00750EA4" w:rsidRPr="00750EA4" w:rsidRDefault="00750EA4" w:rsidP="003F308A">
            <w:pPr>
              <w:jc w:val="center"/>
              <w:rPr>
                <w:rFonts w:cs="Arial"/>
              </w:rPr>
            </w:pPr>
            <w:r w:rsidRPr="00750EA4">
              <w:rPr>
                <w:rFonts w:cs="Arial"/>
              </w:rPr>
              <w:t>B</w:t>
            </w:r>
          </w:p>
        </w:tc>
        <w:tc>
          <w:tcPr>
            <w:tcW w:w="6095" w:type="dxa"/>
            <w:tcBorders>
              <w:top w:val="single" w:sz="4" w:space="0" w:color="auto"/>
            </w:tcBorders>
          </w:tcPr>
          <w:p w:rsidR="00750EA4" w:rsidRDefault="00750EA4" w:rsidP="00750EA4">
            <w:pPr>
              <w:cnfStyle w:val="000000000000" w:firstRow="0" w:lastRow="0" w:firstColumn="0" w:lastColumn="0" w:oddVBand="0" w:evenVBand="0" w:oddHBand="0" w:evenHBand="0" w:firstRowFirstColumn="0" w:firstRowLastColumn="0" w:lastRowFirstColumn="0" w:lastRowLastColumn="0"/>
              <w:rPr>
                <w:rFonts w:cs="Arial"/>
              </w:rPr>
            </w:pPr>
            <w:r>
              <w:rPr>
                <w:rFonts w:cs="Arial"/>
              </w:rPr>
              <w:t>Number of models per business</w:t>
            </w:r>
          </w:p>
        </w:tc>
        <w:tc>
          <w:tcPr>
            <w:tcW w:w="1701" w:type="dxa"/>
            <w:tcBorders>
              <w:top w:val="single" w:sz="4" w:space="0" w:color="auto"/>
            </w:tcBorders>
          </w:tcPr>
          <w:p w:rsidR="00750EA4" w:rsidRDefault="00750EA4" w:rsidP="00750EA4">
            <w:pPr>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750EA4" w:rsidTr="00A7644B">
        <w:tc>
          <w:tcPr>
            <w:cnfStyle w:val="001000000000" w:firstRow="0" w:lastRow="0" w:firstColumn="1" w:lastColumn="0" w:oddVBand="0" w:evenVBand="0" w:oddHBand="0" w:evenHBand="0" w:firstRowFirstColumn="0" w:firstRowLastColumn="0" w:lastRowFirstColumn="0" w:lastRowLastColumn="0"/>
            <w:tcW w:w="850" w:type="dxa"/>
            <w:shd w:val="clear" w:color="auto" w:fill="D9D9D9" w:themeFill="background1" w:themeFillShade="D9"/>
          </w:tcPr>
          <w:p w:rsidR="00750EA4" w:rsidRPr="00750EA4" w:rsidRDefault="00750EA4" w:rsidP="003F308A">
            <w:pPr>
              <w:jc w:val="center"/>
              <w:rPr>
                <w:rFonts w:cs="Arial"/>
              </w:rPr>
            </w:pPr>
            <w:r w:rsidRPr="00750EA4">
              <w:rPr>
                <w:rFonts w:cs="Arial"/>
              </w:rPr>
              <w:t>C</w:t>
            </w:r>
          </w:p>
        </w:tc>
        <w:tc>
          <w:tcPr>
            <w:tcW w:w="6095" w:type="dxa"/>
          </w:tcPr>
          <w:p w:rsidR="00750EA4" w:rsidRDefault="00750EA4" w:rsidP="00750EA4">
            <w:pPr>
              <w:cnfStyle w:val="000000000000" w:firstRow="0" w:lastRow="0" w:firstColumn="0" w:lastColumn="0" w:oddVBand="0" w:evenVBand="0" w:oddHBand="0" w:evenHBand="0" w:firstRowFirstColumn="0" w:firstRowLastColumn="0" w:lastRowFirstColumn="0" w:lastRowLastColumn="0"/>
              <w:rPr>
                <w:rFonts w:cs="Arial"/>
              </w:rPr>
            </w:pPr>
            <w:r>
              <w:rPr>
                <w:rFonts w:cs="Arial"/>
              </w:rPr>
              <w:t>Cost of testing</w:t>
            </w:r>
          </w:p>
        </w:tc>
        <w:tc>
          <w:tcPr>
            <w:tcW w:w="1701" w:type="dxa"/>
          </w:tcPr>
          <w:p w:rsidR="00750EA4" w:rsidRDefault="00750EA4" w:rsidP="00750EA4">
            <w:pPr>
              <w:cnfStyle w:val="000000000000" w:firstRow="0" w:lastRow="0" w:firstColumn="0" w:lastColumn="0" w:oddVBand="0" w:evenVBand="0" w:oddHBand="0" w:evenHBand="0" w:firstRowFirstColumn="0" w:firstRowLastColumn="0" w:lastRowFirstColumn="0" w:lastRowLastColumn="0"/>
              <w:rPr>
                <w:rFonts w:cs="Arial"/>
              </w:rPr>
            </w:pPr>
            <w:r>
              <w:rPr>
                <w:rFonts w:cs="Arial"/>
              </w:rPr>
              <w:t>$1007.40</w:t>
            </w:r>
          </w:p>
        </w:tc>
      </w:tr>
      <w:tr w:rsidR="00750EA4" w:rsidTr="00A7644B">
        <w:tc>
          <w:tcPr>
            <w:cnfStyle w:val="001000000000" w:firstRow="0" w:lastRow="0" w:firstColumn="1" w:lastColumn="0" w:oddVBand="0" w:evenVBand="0" w:oddHBand="0" w:evenHBand="0" w:firstRowFirstColumn="0" w:firstRowLastColumn="0" w:lastRowFirstColumn="0" w:lastRowLastColumn="0"/>
            <w:tcW w:w="850" w:type="dxa"/>
            <w:shd w:val="clear" w:color="auto" w:fill="D9D9D9" w:themeFill="background1" w:themeFillShade="D9"/>
          </w:tcPr>
          <w:p w:rsidR="00750EA4" w:rsidRPr="00750EA4" w:rsidRDefault="00750EA4" w:rsidP="003F308A">
            <w:pPr>
              <w:jc w:val="center"/>
              <w:rPr>
                <w:rFonts w:cs="Arial"/>
              </w:rPr>
            </w:pPr>
            <w:r w:rsidRPr="00750EA4">
              <w:rPr>
                <w:rFonts w:cs="Arial"/>
              </w:rPr>
              <w:t>D</w:t>
            </w:r>
          </w:p>
        </w:tc>
        <w:tc>
          <w:tcPr>
            <w:tcW w:w="6095" w:type="dxa"/>
          </w:tcPr>
          <w:p w:rsidR="00750EA4" w:rsidRDefault="00750EA4" w:rsidP="00750EA4">
            <w:pPr>
              <w:cnfStyle w:val="000000000000" w:firstRow="0" w:lastRow="0" w:firstColumn="0" w:lastColumn="0" w:oddVBand="0" w:evenVBand="0" w:oddHBand="0" w:evenHBand="0" w:firstRowFirstColumn="0" w:firstRowLastColumn="0" w:lastRowFirstColumn="0" w:lastRowLastColumn="0"/>
              <w:rPr>
                <w:rFonts w:cs="Arial"/>
              </w:rPr>
            </w:pPr>
            <w:r>
              <w:rPr>
                <w:rFonts w:cs="Arial"/>
              </w:rPr>
              <w:t>Total cost of testing per business per annum</w:t>
            </w:r>
          </w:p>
        </w:tc>
        <w:tc>
          <w:tcPr>
            <w:tcW w:w="1701" w:type="dxa"/>
          </w:tcPr>
          <w:p w:rsidR="00750EA4" w:rsidRDefault="00750EA4" w:rsidP="00750EA4">
            <w:pPr>
              <w:cnfStyle w:val="000000000000" w:firstRow="0" w:lastRow="0" w:firstColumn="0" w:lastColumn="0" w:oddVBand="0" w:evenVBand="0" w:oddHBand="0" w:evenHBand="0" w:firstRowFirstColumn="0" w:firstRowLastColumn="0" w:lastRowFirstColumn="0" w:lastRowLastColumn="0"/>
              <w:rPr>
                <w:rFonts w:cs="Arial"/>
              </w:rPr>
            </w:pPr>
            <w:r>
              <w:rPr>
                <w:rFonts w:cs="Arial"/>
              </w:rPr>
              <w:t>$10 074</w:t>
            </w:r>
          </w:p>
        </w:tc>
      </w:tr>
      <w:tr w:rsidR="00750EA4" w:rsidTr="00A7644B">
        <w:tc>
          <w:tcPr>
            <w:cnfStyle w:val="001000000000" w:firstRow="0" w:lastRow="0" w:firstColumn="1" w:lastColumn="0" w:oddVBand="0" w:evenVBand="0" w:oddHBand="0" w:evenHBand="0" w:firstRowFirstColumn="0" w:firstRowLastColumn="0" w:lastRowFirstColumn="0" w:lastRowLastColumn="0"/>
            <w:tcW w:w="850" w:type="dxa"/>
            <w:shd w:val="clear" w:color="auto" w:fill="D9D9D9" w:themeFill="background1" w:themeFillShade="D9"/>
          </w:tcPr>
          <w:p w:rsidR="00750EA4" w:rsidRPr="003F308A" w:rsidRDefault="00750EA4" w:rsidP="003F308A">
            <w:pPr>
              <w:jc w:val="center"/>
              <w:rPr>
                <w:rFonts w:cs="Arial"/>
              </w:rPr>
            </w:pPr>
            <w:r w:rsidRPr="003F308A">
              <w:rPr>
                <w:rFonts w:cs="Arial"/>
              </w:rPr>
              <w:t>E</w:t>
            </w:r>
          </w:p>
        </w:tc>
        <w:tc>
          <w:tcPr>
            <w:tcW w:w="6095" w:type="dxa"/>
          </w:tcPr>
          <w:p w:rsidR="00750EA4" w:rsidRPr="003F308A" w:rsidRDefault="00750EA4" w:rsidP="00750EA4">
            <w:pPr>
              <w:cnfStyle w:val="000000000000" w:firstRow="0" w:lastRow="0" w:firstColumn="0" w:lastColumn="0" w:oddVBand="0" w:evenVBand="0" w:oddHBand="0" w:evenHBand="0" w:firstRowFirstColumn="0" w:firstRowLastColumn="0" w:lastRowFirstColumn="0" w:lastRowLastColumn="0"/>
              <w:rPr>
                <w:rFonts w:cs="Arial"/>
                <w:b/>
                <w:u w:val="single"/>
              </w:rPr>
            </w:pPr>
            <w:r w:rsidRPr="003F308A">
              <w:rPr>
                <w:rFonts w:cs="Arial"/>
                <w:b/>
                <w:u w:val="single"/>
              </w:rPr>
              <w:t xml:space="preserve">Total </w:t>
            </w:r>
            <w:r w:rsidR="00FB43C2">
              <w:rPr>
                <w:rFonts w:cs="Arial"/>
                <w:b/>
                <w:u w:val="single"/>
              </w:rPr>
              <w:t xml:space="preserve">testing </w:t>
            </w:r>
            <w:r w:rsidRPr="003F308A">
              <w:rPr>
                <w:rFonts w:cs="Arial"/>
                <w:b/>
                <w:u w:val="single"/>
              </w:rPr>
              <w:t>cost to industry per annum</w:t>
            </w:r>
          </w:p>
        </w:tc>
        <w:tc>
          <w:tcPr>
            <w:tcW w:w="1701" w:type="dxa"/>
          </w:tcPr>
          <w:p w:rsidR="00750EA4" w:rsidRPr="003F308A" w:rsidRDefault="00750EA4" w:rsidP="00750EA4">
            <w:pPr>
              <w:cnfStyle w:val="000000000000" w:firstRow="0" w:lastRow="0" w:firstColumn="0" w:lastColumn="0" w:oddVBand="0" w:evenVBand="0" w:oddHBand="0" w:evenHBand="0" w:firstRowFirstColumn="0" w:firstRowLastColumn="0" w:lastRowFirstColumn="0" w:lastRowLastColumn="0"/>
              <w:rPr>
                <w:rFonts w:cs="Arial"/>
                <w:b/>
                <w:u w:val="single"/>
              </w:rPr>
            </w:pPr>
            <w:r w:rsidRPr="003F308A">
              <w:rPr>
                <w:rFonts w:cs="Arial"/>
                <w:b/>
                <w:u w:val="single"/>
              </w:rPr>
              <w:t>$4 029 600</w:t>
            </w:r>
          </w:p>
        </w:tc>
      </w:tr>
      <w:tr w:rsidR="00750EA4" w:rsidTr="00A7644B">
        <w:tc>
          <w:tcPr>
            <w:cnfStyle w:val="001000000000" w:firstRow="0" w:lastRow="0" w:firstColumn="1" w:lastColumn="0" w:oddVBand="0" w:evenVBand="0" w:oddHBand="0" w:evenHBand="0" w:firstRowFirstColumn="0" w:firstRowLastColumn="0" w:lastRowFirstColumn="0" w:lastRowLastColumn="0"/>
            <w:tcW w:w="850" w:type="dxa"/>
            <w:shd w:val="clear" w:color="auto" w:fill="D9D9D9" w:themeFill="background1" w:themeFillShade="D9"/>
          </w:tcPr>
          <w:p w:rsidR="00750EA4" w:rsidRPr="00750EA4" w:rsidRDefault="00750EA4" w:rsidP="003F308A">
            <w:pPr>
              <w:jc w:val="center"/>
              <w:rPr>
                <w:rFonts w:cs="Arial"/>
              </w:rPr>
            </w:pPr>
            <w:r w:rsidRPr="00750EA4">
              <w:rPr>
                <w:rFonts w:cs="Arial"/>
              </w:rPr>
              <w:t>F</w:t>
            </w:r>
          </w:p>
        </w:tc>
        <w:tc>
          <w:tcPr>
            <w:tcW w:w="6095" w:type="dxa"/>
          </w:tcPr>
          <w:p w:rsidR="00750EA4" w:rsidRDefault="00750EA4" w:rsidP="00750EA4">
            <w:pPr>
              <w:cnfStyle w:val="000000000000" w:firstRow="0" w:lastRow="0" w:firstColumn="0" w:lastColumn="0" w:oddVBand="0" w:evenVBand="0" w:oddHBand="0" w:evenHBand="0" w:firstRowFirstColumn="0" w:firstRowLastColumn="0" w:lastRowFirstColumn="0" w:lastRowLastColumn="0"/>
              <w:rPr>
                <w:rFonts w:cs="Arial"/>
              </w:rPr>
            </w:pPr>
            <w:r>
              <w:rPr>
                <w:rFonts w:cs="Arial"/>
              </w:rPr>
              <w:t>Labour costs</w:t>
            </w:r>
          </w:p>
        </w:tc>
        <w:tc>
          <w:tcPr>
            <w:tcW w:w="1701" w:type="dxa"/>
          </w:tcPr>
          <w:p w:rsidR="00750EA4" w:rsidRDefault="00750EA4" w:rsidP="00750EA4">
            <w:pPr>
              <w:cnfStyle w:val="000000000000" w:firstRow="0" w:lastRow="0" w:firstColumn="0" w:lastColumn="0" w:oddVBand="0" w:evenVBand="0" w:oddHBand="0" w:evenHBand="0" w:firstRowFirstColumn="0" w:firstRowLastColumn="0" w:lastRowFirstColumn="0" w:lastRowLastColumn="0"/>
              <w:rPr>
                <w:rFonts w:cs="Arial"/>
              </w:rPr>
            </w:pPr>
            <w:r>
              <w:rPr>
                <w:rFonts w:cs="Arial"/>
              </w:rPr>
              <w:t>$65.45</w:t>
            </w:r>
          </w:p>
        </w:tc>
      </w:tr>
      <w:tr w:rsidR="00750EA4" w:rsidTr="00A7644B">
        <w:tc>
          <w:tcPr>
            <w:cnfStyle w:val="001000000000" w:firstRow="0" w:lastRow="0" w:firstColumn="1" w:lastColumn="0" w:oddVBand="0" w:evenVBand="0" w:oddHBand="0" w:evenHBand="0" w:firstRowFirstColumn="0" w:firstRowLastColumn="0" w:lastRowFirstColumn="0" w:lastRowLastColumn="0"/>
            <w:tcW w:w="850" w:type="dxa"/>
            <w:shd w:val="clear" w:color="auto" w:fill="D9D9D9" w:themeFill="background1" w:themeFillShade="D9"/>
          </w:tcPr>
          <w:p w:rsidR="00750EA4" w:rsidRPr="00750EA4" w:rsidRDefault="00750EA4" w:rsidP="003F308A">
            <w:pPr>
              <w:jc w:val="center"/>
              <w:rPr>
                <w:rFonts w:cs="Arial"/>
              </w:rPr>
            </w:pPr>
            <w:r w:rsidRPr="00750EA4">
              <w:rPr>
                <w:rFonts w:cs="Arial"/>
              </w:rPr>
              <w:t>G</w:t>
            </w:r>
          </w:p>
        </w:tc>
        <w:tc>
          <w:tcPr>
            <w:tcW w:w="6095" w:type="dxa"/>
          </w:tcPr>
          <w:p w:rsidR="00750EA4" w:rsidRDefault="00750EA4" w:rsidP="00750EA4">
            <w:pPr>
              <w:cnfStyle w:val="000000000000" w:firstRow="0" w:lastRow="0" w:firstColumn="0" w:lastColumn="0" w:oddVBand="0" w:evenVBand="0" w:oddHBand="0" w:evenHBand="0" w:firstRowFirstColumn="0" w:firstRowLastColumn="0" w:lastRowFirstColumn="0" w:lastRowLastColumn="0"/>
              <w:rPr>
                <w:rFonts w:cs="Arial"/>
              </w:rPr>
            </w:pPr>
            <w:r>
              <w:rPr>
                <w:rFonts w:cs="Arial"/>
              </w:rPr>
              <w:t>Administrative hours required per model</w:t>
            </w:r>
          </w:p>
        </w:tc>
        <w:tc>
          <w:tcPr>
            <w:tcW w:w="1701" w:type="dxa"/>
          </w:tcPr>
          <w:p w:rsidR="00750EA4" w:rsidRDefault="00750EA4" w:rsidP="00750EA4">
            <w:pPr>
              <w:cnfStyle w:val="000000000000" w:firstRow="0" w:lastRow="0" w:firstColumn="0" w:lastColumn="0" w:oddVBand="0" w:evenVBand="0" w:oddHBand="0" w:evenHBand="0" w:firstRowFirstColumn="0" w:firstRowLastColumn="0" w:lastRowFirstColumn="0" w:lastRowLastColumn="0"/>
              <w:rPr>
                <w:rFonts w:cs="Arial"/>
              </w:rPr>
            </w:pPr>
            <w:r>
              <w:rPr>
                <w:rFonts w:cs="Arial"/>
              </w:rPr>
              <w:t>2</w:t>
            </w:r>
          </w:p>
        </w:tc>
      </w:tr>
      <w:tr w:rsidR="00750EA4" w:rsidTr="00A7644B">
        <w:tc>
          <w:tcPr>
            <w:cnfStyle w:val="001000000000" w:firstRow="0" w:lastRow="0" w:firstColumn="1" w:lastColumn="0" w:oddVBand="0" w:evenVBand="0" w:oddHBand="0" w:evenHBand="0" w:firstRowFirstColumn="0" w:firstRowLastColumn="0" w:lastRowFirstColumn="0" w:lastRowLastColumn="0"/>
            <w:tcW w:w="850" w:type="dxa"/>
            <w:shd w:val="clear" w:color="auto" w:fill="D9D9D9" w:themeFill="background1" w:themeFillShade="D9"/>
          </w:tcPr>
          <w:p w:rsidR="00750EA4" w:rsidRPr="00750EA4" w:rsidRDefault="00750EA4" w:rsidP="003F308A">
            <w:pPr>
              <w:jc w:val="center"/>
              <w:rPr>
                <w:rFonts w:cs="Arial"/>
              </w:rPr>
            </w:pPr>
            <w:r w:rsidRPr="00750EA4">
              <w:rPr>
                <w:rFonts w:cs="Arial"/>
              </w:rPr>
              <w:t>H</w:t>
            </w:r>
          </w:p>
        </w:tc>
        <w:tc>
          <w:tcPr>
            <w:tcW w:w="6095" w:type="dxa"/>
          </w:tcPr>
          <w:p w:rsidR="00750EA4" w:rsidRDefault="00750EA4" w:rsidP="00750EA4">
            <w:pPr>
              <w:cnfStyle w:val="000000000000" w:firstRow="0" w:lastRow="0" w:firstColumn="0" w:lastColumn="0" w:oddVBand="0" w:evenVBand="0" w:oddHBand="0" w:evenHBand="0" w:firstRowFirstColumn="0" w:firstRowLastColumn="0" w:lastRowFirstColumn="0" w:lastRowLastColumn="0"/>
              <w:rPr>
                <w:rFonts w:cs="Arial"/>
              </w:rPr>
            </w:pPr>
            <w:r>
              <w:rPr>
                <w:rFonts w:cs="Arial"/>
              </w:rPr>
              <w:t>Total admin hours cost per business</w:t>
            </w:r>
          </w:p>
        </w:tc>
        <w:tc>
          <w:tcPr>
            <w:tcW w:w="1701" w:type="dxa"/>
          </w:tcPr>
          <w:p w:rsidR="00750EA4" w:rsidRDefault="00750EA4" w:rsidP="00A047B3">
            <w:pPr>
              <w:cnfStyle w:val="000000000000" w:firstRow="0" w:lastRow="0" w:firstColumn="0" w:lastColumn="0" w:oddVBand="0" w:evenVBand="0" w:oddHBand="0" w:evenHBand="0" w:firstRowFirstColumn="0" w:firstRowLastColumn="0" w:lastRowFirstColumn="0" w:lastRowLastColumn="0"/>
              <w:rPr>
                <w:rFonts w:cs="Arial"/>
              </w:rPr>
            </w:pPr>
            <w:r>
              <w:rPr>
                <w:rFonts w:cs="Arial"/>
              </w:rPr>
              <w:t>$1309</w:t>
            </w:r>
          </w:p>
        </w:tc>
      </w:tr>
      <w:tr w:rsidR="00750EA4" w:rsidTr="00A7644B">
        <w:tc>
          <w:tcPr>
            <w:cnfStyle w:val="001000000000" w:firstRow="0" w:lastRow="0" w:firstColumn="1" w:lastColumn="0" w:oddVBand="0" w:evenVBand="0" w:oddHBand="0" w:evenHBand="0" w:firstRowFirstColumn="0" w:firstRowLastColumn="0" w:lastRowFirstColumn="0" w:lastRowLastColumn="0"/>
            <w:tcW w:w="850" w:type="dxa"/>
            <w:shd w:val="clear" w:color="auto" w:fill="D9D9D9" w:themeFill="background1" w:themeFillShade="D9"/>
          </w:tcPr>
          <w:p w:rsidR="00750EA4" w:rsidRPr="003F308A" w:rsidRDefault="00750EA4" w:rsidP="003F308A">
            <w:pPr>
              <w:jc w:val="center"/>
              <w:rPr>
                <w:rFonts w:cs="Arial"/>
              </w:rPr>
            </w:pPr>
            <w:r w:rsidRPr="003F308A">
              <w:rPr>
                <w:rFonts w:cs="Arial"/>
              </w:rPr>
              <w:t>I</w:t>
            </w:r>
          </w:p>
        </w:tc>
        <w:tc>
          <w:tcPr>
            <w:tcW w:w="6095" w:type="dxa"/>
          </w:tcPr>
          <w:p w:rsidR="00750EA4" w:rsidRPr="003F308A" w:rsidRDefault="00750EA4" w:rsidP="00A047B3">
            <w:pPr>
              <w:cnfStyle w:val="000000000000" w:firstRow="0" w:lastRow="0" w:firstColumn="0" w:lastColumn="0" w:oddVBand="0" w:evenVBand="0" w:oddHBand="0" w:evenHBand="0" w:firstRowFirstColumn="0" w:firstRowLastColumn="0" w:lastRowFirstColumn="0" w:lastRowLastColumn="0"/>
              <w:rPr>
                <w:rFonts w:cs="Arial"/>
                <w:b/>
                <w:u w:val="single"/>
              </w:rPr>
            </w:pPr>
            <w:r w:rsidRPr="003F308A">
              <w:rPr>
                <w:rFonts w:cs="Arial"/>
                <w:b/>
                <w:u w:val="single"/>
              </w:rPr>
              <w:t>Total admin cost to industry per annum</w:t>
            </w:r>
          </w:p>
        </w:tc>
        <w:tc>
          <w:tcPr>
            <w:tcW w:w="1701" w:type="dxa"/>
          </w:tcPr>
          <w:p w:rsidR="00750EA4" w:rsidRPr="003F308A" w:rsidRDefault="00750EA4" w:rsidP="00A047B3">
            <w:pPr>
              <w:cnfStyle w:val="000000000000" w:firstRow="0" w:lastRow="0" w:firstColumn="0" w:lastColumn="0" w:oddVBand="0" w:evenVBand="0" w:oddHBand="0" w:evenHBand="0" w:firstRowFirstColumn="0" w:firstRowLastColumn="0" w:lastRowFirstColumn="0" w:lastRowLastColumn="0"/>
              <w:rPr>
                <w:rFonts w:cs="Arial"/>
                <w:b/>
                <w:u w:val="single"/>
              </w:rPr>
            </w:pPr>
            <w:r w:rsidRPr="003F308A">
              <w:rPr>
                <w:rFonts w:cs="Arial"/>
                <w:b/>
                <w:u w:val="single"/>
              </w:rPr>
              <w:t>$523 600</w:t>
            </w:r>
          </w:p>
        </w:tc>
      </w:tr>
      <w:tr w:rsidR="00750EA4" w:rsidTr="00A7644B">
        <w:tc>
          <w:tcPr>
            <w:cnfStyle w:val="001000000000" w:firstRow="0" w:lastRow="0" w:firstColumn="1" w:lastColumn="0" w:oddVBand="0" w:evenVBand="0" w:oddHBand="0" w:evenHBand="0" w:firstRowFirstColumn="0" w:firstRowLastColumn="0" w:lastRowFirstColumn="0" w:lastRowLastColumn="0"/>
            <w:tcW w:w="850" w:type="dxa"/>
            <w:shd w:val="clear" w:color="auto" w:fill="D9D9D9" w:themeFill="background1" w:themeFillShade="D9"/>
          </w:tcPr>
          <w:p w:rsidR="00750EA4" w:rsidRPr="00750EA4" w:rsidRDefault="00750EA4" w:rsidP="003F308A">
            <w:pPr>
              <w:jc w:val="center"/>
              <w:rPr>
                <w:rFonts w:cs="Arial"/>
              </w:rPr>
            </w:pPr>
            <w:r w:rsidRPr="00750EA4">
              <w:rPr>
                <w:rFonts w:cs="Arial"/>
              </w:rPr>
              <w:t>J</w:t>
            </w:r>
          </w:p>
        </w:tc>
        <w:tc>
          <w:tcPr>
            <w:tcW w:w="6095" w:type="dxa"/>
          </w:tcPr>
          <w:p w:rsidR="00750EA4" w:rsidRDefault="00750EA4" w:rsidP="00750EA4">
            <w:pPr>
              <w:cnfStyle w:val="000000000000" w:firstRow="0" w:lastRow="0" w:firstColumn="0" w:lastColumn="0" w:oddVBand="0" w:evenVBand="0" w:oddHBand="0" w:evenHBand="0" w:firstRowFirstColumn="0" w:firstRowLastColumn="0" w:lastRowFirstColumn="0" w:lastRowLastColumn="0"/>
              <w:rPr>
                <w:rFonts w:cs="Arial"/>
              </w:rPr>
            </w:pPr>
            <w:r>
              <w:rPr>
                <w:rFonts w:cs="Arial"/>
              </w:rPr>
              <w:t>Substantive costs of standard</w:t>
            </w:r>
          </w:p>
        </w:tc>
        <w:tc>
          <w:tcPr>
            <w:tcW w:w="1701" w:type="dxa"/>
          </w:tcPr>
          <w:p w:rsidR="00750EA4" w:rsidRDefault="00750EA4" w:rsidP="00A047B3">
            <w:pPr>
              <w:cnfStyle w:val="000000000000" w:firstRow="0" w:lastRow="0" w:firstColumn="0" w:lastColumn="0" w:oddVBand="0" w:evenVBand="0" w:oddHBand="0" w:evenHBand="0" w:firstRowFirstColumn="0" w:firstRowLastColumn="0" w:lastRowFirstColumn="0" w:lastRowLastColumn="0"/>
              <w:rPr>
                <w:rFonts w:cs="Arial"/>
              </w:rPr>
            </w:pPr>
            <w:r>
              <w:rPr>
                <w:rFonts w:cs="Arial"/>
              </w:rPr>
              <w:t>$2</w:t>
            </w:r>
          </w:p>
        </w:tc>
      </w:tr>
      <w:tr w:rsidR="00750EA4" w:rsidTr="00A7644B">
        <w:tc>
          <w:tcPr>
            <w:cnfStyle w:val="001000000000" w:firstRow="0" w:lastRow="0" w:firstColumn="1" w:lastColumn="0" w:oddVBand="0" w:evenVBand="0" w:oddHBand="0" w:evenHBand="0" w:firstRowFirstColumn="0" w:firstRowLastColumn="0" w:lastRowFirstColumn="0" w:lastRowLastColumn="0"/>
            <w:tcW w:w="850" w:type="dxa"/>
            <w:shd w:val="clear" w:color="auto" w:fill="D9D9D9" w:themeFill="background1" w:themeFillShade="D9"/>
          </w:tcPr>
          <w:p w:rsidR="00750EA4" w:rsidRPr="00750EA4" w:rsidRDefault="00750EA4" w:rsidP="003F308A">
            <w:pPr>
              <w:jc w:val="center"/>
              <w:rPr>
                <w:rFonts w:cs="Arial"/>
              </w:rPr>
            </w:pPr>
            <w:r w:rsidRPr="00750EA4">
              <w:rPr>
                <w:rFonts w:cs="Arial"/>
              </w:rPr>
              <w:t>K</w:t>
            </w:r>
          </w:p>
        </w:tc>
        <w:tc>
          <w:tcPr>
            <w:tcW w:w="6095" w:type="dxa"/>
          </w:tcPr>
          <w:p w:rsidR="00750EA4" w:rsidRDefault="00750EA4" w:rsidP="00750EA4">
            <w:pPr>
              <w:cnfStyle w:val="000000000000" w:firstRow="0" w:lastRow="0" w:firstColumn="0" w:lastColumn="0" w:oddVBand="0" w:evenVBand="0" w:oddHBand="0" w:evenHBand="0" w:firstRowFirstColumn="0" w:firstRowLastColumn="0" w:lastRowFirstColumn="0" w:lastRowLastColumn="0"/>
              <w:rPr>
                <w:rFonts w:cs="Arial"/>
              </w:rPr>
            </w:pPr>
            <w:r>
              <w:rPr>
                <w:rFonts w:cs="Arial"/>
              </w:rPr>
              <w:t>Total bicycles supplied in Australia per annum</w:t>
            </w:r>
          </w:p>
        </w:tc>
        <w:tc>
          <w:tcPr>
            <w:tcW w:w="1701" w:type="dxa"/>
          </w:tcPr>
          <w:p w:rsidR="00750EA4" w:rsidRDefault="00750EA4" w:rsidP="00A047B3">
            <w:pPr>
              <w:cnfStyle w:val="000000000000" w:firstRow="0" w:lastRow="0" w:firstColumn="0" w:lastColumn="0" w:oddVBand="0" w:evenVBand="0" w:oddHBand="0" w:evenHBand="0" w:firstRowFirstColumn="0" w:firstRowLastColumn="0" w:lastRowFirstColumn="0" w:lastRowLastColumn="0"/>
              <w:rPr>
                <w:rFonts w:cs="Arial"/>
              </w:rPr>
            </w:pPr>
            <w:r>
              <w:rPr>
                <w:rFonts w:cs="Arial"/>
              </w:rPr>
              <w:t>1 400 000</w:t>
            </w:r>
          </w:p>
        </w:tc>
      </w:tr>
      <w:tr w:rsidR="00750EA4" w:rsidTr="00A7644B">
        <w:tc>
          <w:tcPr>
            <w:cnfStyle w:val="001000000000" w:firstRow="0" w:lastRow="0" w:firstColumn="1" w:lastColumn="0" w:oddVBand="0" w:evenVBand="0" w:oddHBand="0" w:evenHBand="0" w:firstRowFirstColumn="0" w:firstRowLastColumn="0" w:lastRowFirstColumn="0" w:lastRowLastColumn="0"/>
            <w:tcW w:w="850" w:type="dxa"/>
            <w:shd w:val="clear" w:color="auto" w:fill="D9D9D9" w:themeFill="background1" w:themeFillShade="D9"/>
          </w:tcPr>
          <w:p w:rsidR="00750EA4" w:rsidRPr="003F308A" w:rsidRDefault="00750EA4" w:rsidP="003F308A">
            <w:pPr>
              <w:jc w:val="center"/>
              <w:rPr>
                <w:rFonts w:cs="Arial"/>
              </w:rPr>
            </w:pPr>
            <w:r w:rsidRPr="003F308A">
              <w:rPr>
                <w:rFonts w:cs="Arial"/>
              </w:rPr>
              <w:t>L</w:t>
            </w:r>
          </w:p>
        </w:tc>
        <w:tc>
          <w:tcPr>
            <w:tcW w:w="6095" w:type="dxa"/>
          </w:tcPr>
          <w:p w:rsidR="00750EA4" w:rsidRPr="003F308A" w:rsidRDefault="00750EA4" w:rsidP="00A047B3">
            <w:pPr>
              <w:cnfStyle w:val="000000000000" w:firstRow="0" w:lastRow="0" w:firstColumn="0" w:lastColumn="0" w:oddVBand="0" w:evenVBand="0" w:oddHBand="0" w:evenHBand="0" w:firstRowFirstColumn="0" w:firstRowLastColumn="0" w:lastRowFirstColumn="0" w:lastRowLastColumn="0"/>
              <w:rPr>
                <w:rFonts w:cs="Arial"/>
                <w:b/>
                <w:u w:val="single"/>
              </w:rPr>
            </w:pPr>
            <w:r w:rsidRPr="003F308A">
              <w:rPr>
                <w:rFonts w:cs="Arial"/>
                <w:b/>
                <w:u w:val="single"/>
              </w:rPr>
              <w:t>Total cost per annum</w:t>
            </w:r>
          </w:p>
        </w:tc>
        <w:tc>
          <w:tcPr>
            <w:tcW w:w="1701" w:type="dxa"/>
          </w:tcPr>
          <w:p w:rsidR="00750EA4" w:rsidRPr="003F308A" w:rsidRDefault="00750EA4" w:rsidP="00A047B3">
            <w:pPr>
              <w:cnfStyle w:val="000000000000" w:firstRow="0" w:lastRow="0" w:firstColumn="0" w:lastColumn="0" w:oddVBand="0" w:evenVBand="0" w:oddHBand="0" w:evenHBand="0" w:firstRowFirstColumn="0" w:firstRowLastColumn="0" w:lastRowFirstColumn="0" w:lastRowLastColumn="0"/>
              <w:rPr>
                <w:rFonts w:cs="Arial"/>
                <w:b/>
                <w:u w:val="single"/>
              </w:rPr>
            </w:pPr>
            <w:r w:rsidRPr="003F308A">
              <w:rPr>
                <w:rFonts w:cs="Arial"/>
                <w:b/>
                <w:u w:val="single"/>
              </w:rPr>
              <w:t>$2 800 00</w:t>
            </w:r>
            <w:r w:rsidR="00FB43C2">
              <w:rPr>
                <w:rFonts w:cs="Arial"/>
                <w:b/>
                <w:u w:val="single"/>
              </w:rPr>
              <w:t>0</w:t>
            </w:r>
          </w:p>
        </w:tc>
      </w:tr>
      <w:tr w:rsidR="00750EA4" w:rsidTr="00A7644B">
        <w:tc>
          <w:tcPr>
            <w:cnfStyle w:val="001000000000" w:firstRow="0" w:lastRow="0" w:firstColumn="1" w:lastColumn="0" w:oddVBand="0" w:evenVBand="0" w:oddHBand="0" w:evenHBand="0" w:firstRowFirstColumn="0" w:firstRowLastColumn="0" w:lastRowFirstColumn="0" w:lastRowLastColumn="0"/>
            <w:tcW w:w="850" w:type="dxa"/>
            <w:shd w:val="clear" w:color="auto" w:fill="D9D9D9" w:themeFill="background1" w:themeFillShade="D9"/>
          </w:tcPr>
          <w:p w:rsidR="00750EA4" w:rsidRPr="003F308A" w:rsidRDefault="00750EA4" w:rsidP="003F308A">
            <w:pPr>
              <w:jc w:val="center"/>
              <w:rPr>
                <w:rFonts w:cs="Arial"/>
              </w:rPr>
            </w:pPr>
            <w:r w:rsidRPr="003F308A">
              <w:rPr>
                <w:rFonts w:cs="Arial"/>
              </w:rPr>
              <w:t>M</w:t>
            </w:r>
          </w:p>
        </w:tc>
        <w:tc>
          <w:tcPr>
            <w:tcW w:w="6095" w:type="dxa"/>
          </w:tcPr>
          <w:p w:rsidR="00750EA4" w:rsidRPr="003F308A" w:rsidRDefault="00750EA4" w:rsidP="00750EA4">
            <w:pPr>
              <w:cnfStyle w:val="000000000000" w:firstRow="0" w:lastRow="0" w:firstColumn="0" w:lastColumn="0" w:oddVBand="0" w:evenVBand="0" w:oddHBand="0" w:evenHBand="0" w:firstRowFirstColumn="0" w:firstRowLastColumn="0" w:lastRowFirstColumn="0" w:lastRowLastColumn="0"/>
              <w:rPr>
                <w:rFonts w:cs="Arial"/>
                <w:b/>
                <w:u w:val="single"/>
              </w:rPr>
            </w:pPr>
            <w:r w:rsidRPr="003F308A">
              <w:rPr>
                <w:rFonts w:cs="Arial"/>
                <w:b/>
                <w:u w:val="single"/>
              </w:rPr>
              <w:t>Total industry BAU costs per annum (testing costs + admin cost + substantive cost)</w:t>
            </w:r>
          </w:p>
        </w:tc>
        <w:tc>
          <w:tcPr>
            <w:tcW w:w="1701" w:type="dxa"/>
          </w:tcPr>
          <w:p w:rsidR="00750EA4" w:rsidRPr="003F308A" w:rsidRDefault="00750EA4" w:rsidP="00A047B3">
            <w:pPr>
              <w:cnfStyle w:val="000000000000" w:firstRow="0" w:lastRow="0" w:firstColumn="0" w:lastColumn="0" w:oddVBand="0" w:evenVBand="0" w:oddHBand="0" w:evenHBand="0" w:firstRowFirstColumn="0" w:firstRowLastColumn="0" w:lastRowFirstColumn="0" w:lastRowLastColumn="0"/>
              <w:rPr>
                <w:rFonts w:cs="Arial"/>
                <w:b/>
                <w:u w:val="single"/>
              </w:rPr>
            </w:pPr>
            <w:r w:rsidRPr="003F308A">
              <w:rPr>
                <w:rFonts w:cs="Arial"/>
                <w:b/>
                <w:u w:val="single"/>
              </w:rPr>
              <w:t>$7 353 200</w:t>
            </w:r>
          </w:p>
        </w:tc>
      </w:tr>
    </w:tbl>
    <w:p w:rsidR="007D2587" w:rsidRDefault="00750EA4" w:rsidP="003F308A">
      <w:pPr>
        <w:pStyle w:val="ListParagraph"/>
        <w:numPr>
          <w:ilvl w:val="0"/>
          <w:numId w:val="73"/>
        </w:numPr>
      </w:pPr>
      <w:r>
        <w:t xml:space="preserve">In the case of </w:t>
      </w:r>
      <w:r w:rsidR="00FB43C2">
        <w:t>O</w:t>
      </w:r>
      <w:r>
        <w:t xml:space="preserve">ption </w:t>
      </w:r>
      <w:r w:rsidR="00E4448C">
        <w:t>4</w:t>
      </w:r>
      <w:r w:rsidR="00C66E55">
        <w:t>,</w:t>
      </w:r>
      <w:r w:rsidR="00505A30">
        <w:t xml:space="preserve"> </w:t>
      </w:r>
      <w:r w:rsidR="00201703">
        <w:t>we</w:t>
      </w:r>
      <w:r>
        <w:t xml:space="preserve"> assume that BAU costs </w:t>
      </w:r>
      <w:proofErr w:type="gramStart"/>
      <w:r>
        <w:t xml:space="preserve">will be </w:t>
      </w:r>
      <w:r w:rsidR="00201703">
        <w:t>halved</w:t>
      </w:r>
      <w:proofErr w:type="gramEnd"/>
      <w:r w:rsidR="00201703">
        <w:t>,</w:t>
      </w:r>
      <w:r>
        <w:t xml:space="preserve"> as it is likely many suppliers would continue to test to a voluntary international or Australian standard</w:t>
      </w:r>
      <w:r w:rsidR="00201703">
        <w:t>.</w:t>
      </w:r>
      <w:r>
        <w:t xml:space="preserve"> </w:t>
      </w:r>
      <w:r w:rsidR="00FB43C2">
        <w:t>T</w:t>
      </w:r>
      <w:r>
        <w:t xml:space="preserve">he total cost estimated at </w:t>
      </w:r>
      <w:r w:rsidR="00AA22B7">
        <w:t xml:space="preserve">row M </w:t>
      </w:r>
      <w:proofErr w:type="gramStart"/>
      <w:r w:rsidR="00AA22B7">
        <w:t>has been halved</w:t>
      </w:r>
      <w:proofErr w:type="gramEnd"/>
      <w:r w:rsidR="00AA22B7">
        <w:t>.</w:t>
      </w:r>
    </w:p>
    <w:p w:rsidR="008660A6" w:rsidRDefault="008606B4" w:rsidP="003F308A">
      <w:pPr>
        <w:pStyle w:val="ListParagraph"/>
        <w:numPr>
          <w:ilvl w:val="0"/>
          <w:numId w:val="73"/>
        </w:numPr>
      </w:pPr>
      <w:r>
        <w:t xml:space="preserve">For </w:t>
      </w:r>
      <w:r w:rsidR="00FB43C2">
        <w:t>O</w:t>
      </w:r>
      <w:r>
        <w:t xml:space="preserve">ption </w:t>
      </w:r>
      <w:r w:rsidR="00E4448C">
        <w:t>1</w:t>
      </w:r>
      <w:r w:rsidR="00C66E55">
        <w:t>,</w:t>
      </w:r>
      <w:r w:rsidR="00505A30">
        <w:t xml:space="preserve"> </w:t>
      </w:r>
      <w:r>
        <w:t xml:space="preserve">it is assumed that the increased </w:t>
      </w:r>
      <w:r w:rsidR="00201703">
        <w:t xml:space="preserve">the </w:t>
      </w:r>
      <w:r>
        <w:t xml:space="preserve">scope </w:t>
      </w:r>
      <w:r w:rsidR="00201703">
        <w:t xml:space="preserve">to cover power assisted bicycles </w:t>
      </w:r>
      <w:r>
        <w:t>will result in the increased cost of $</w:t>
      </w:r>
      <w:r w:rsidR="00FB43C2">
        <w:t>100 000</w:t>
      </w:r>
      <w:r w:rsidR="00E7185A">
        <w:t>.</w:t>
      </w:r>
    </w:p>
    <w:p w:rsidR="008606B4" w:rsidRDefault="008606B4" w:rsidP="003F308A">
      <w:pPr>
        <w:pStyle w:val="ListParagraph"/>
        <w:numPr>
          <w:ilvl w:val="0"/>
          <w:numId w:val="73"/>
        </w:numPr>
      </w:pPr>
      <w:r>
        <w:t xml:space="preserve">For </w:t>
      </w:r>
      <w:r w:rsidR="00FB43C2">
        <w:t>O</w:t>
      </w:r>
      <w:r>
        <w:t xml:space="preserve">ption </w:t>
      </w:r>
      <w:r w:rsidR="00E4448C">
        <w:t>2</w:t>
      </w:r>
      <w:r>
        <w:t>, the scope is also increased, but there is a de</w:t>
      </w:r>
      <w:r w:rsidR="00D0115B">
        <w:t>crease</w:t>
      </w:r>
      <w:r>
        <w:t xml:space="preserve"> in compliance cost due to </w:t>
      </w:r>
      <w:r w:rsidR="00933CBB">
        <w:t>fewer provisions</w:t>
      </w:r>
      <w:r>
        <w:t xml:space="preserve"> of the standards needing to </w:t>
      </w:r>
      <w:proofErr w:type="gramStart"/>
      <w:r>
        <w:t>be met</w:t>
      </w:r>
      <w:proofErr w:type="gramEnd"/>
      <w:r w:rsidR="00FB43C2">
        <w:t xml:space="preserve">. </w:t>
      </w:r>
      <w:r w:rsidR="00201703">
        <w:t>We</w:t>
      </w:r>
      <w:r>
        <w:t xml:space="preserve"> assume </w:t>
      </w:r>
      <w:r w:rsidR="00FB43C2">
        <w:t xml:space="preserve">that </w:t>
      </w:r>
      <w:r>
        <w:t>this will be a saving of 30</w:t>
      </w:r>
      <w:r w:rsidR="00505A30">
        <w:t xml:space="preserve"> per cent</w:t>
      </w:r>
      <w:r>
        <w:t xml:space="preserve"> less than BAU.</w:t>
      </w:r>
    </w:p>
    <w:p w:rsidR="007B633E" w:rsidRPr="006C3C67" w:rsidRDefault="008606B4" w:rsidP="00644892">
      <w:pPr>
        <w:pStyle w:val="ListParagraph"/>
        <w:numPr>
          <w:ilvl w:val="0"/>
          <w:numId w:val="73"/>
        </w:numPr>
      </w:pPr>
      <w:r>
        <w:t xml:space="preserve">For </w:t>
      </w:r>
      <w:r w:rsidR="00FB43C2">
        <w:t>O</w:t>
      </w:r>
      <w:r>
        <w:t xml:space="preserve">ption </w:t>
      </w:r>
      <w:r w:rsidR="00E4448C">
        <w:t>3</w:t>
      </w:r>
      <w:r>
        <w:t xml:space="preserve">, </w:t>
      </w:r>
      <w:r w:rsidR="00201703">
        <w:t>the scope is also increased</w:t>
      </w:r>
      <w:r w:rsidR="00FB43C2">
        <w:t>. H</w:t>
      </w:r>
      <w:r>
        <w:t xml:space="preserve">owever, </w:t>
      </w:r>
      <w:r w:rsidR="00201703">
        <w:t>we</w:t>
      </w:r>
      <w:r>
        <w:t xml:space="preserve"> assume that importers will not </w:t>
      </w:r>
      <w:r w:rsidR="00201703">
        <w:t>need</w:t>
      </w:r>
      <w:r>
        <w:t xml:space="preserve"> to retest, as they do currently, although some will continue to test. </w:t>
      </w:r>
      <w:r w:rsidR="00201703">
        <w:t>We</w:t>
      </w:r>
      <w:r>
        <w:t xml:space="preserve"> assume </w:t>
      </w:r>
      <w:r w:rsidR="00201703">
        <w:t xml:space="preserve">this will </w:t>
      </w:r>
      <w:r w:rsidR="00E7185A">
        <w:t xml:space="preserve">be </w:t>
      </w:r>
      <w:r>
        <w:t>75</w:t>
      </w:r>
      <w:r w:rsidR="00505A30">
        <w:t xml:space="preserve"> per cent</w:t>
      </w:r>
      <w:r>
        <w:t xml:space="preserve"> less than BAU.</w:t>
      </w:r>
    </w:p>
    <w:sectPr w:rsidR="007B633E" w:rsidRPr="006C3C67" w:rsidSect="002D3CAF">
      <w:headerReference w:type="default" r:id="rId18"/>
      <w:footerReference w:type="default" r:id="rId19"/>
      <w:footerReference w:type="first" r:id="rId20"/>
      <w:pgSz w:w="11906" w:h="16838"/>
      <w:pgMar w:top="1276"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235" w:rsidRDefault="00D14235" w:rsidP="004B4412">
      <w:pPr>
        <w:spacing w:before="0"/>
      </w:pPr>
      <w:r>
        <w:separator/>
      </w:r>
    </w:p>
  </w:endnote>
  <w:endnote w:type="continuationSeparator" w:id="0">
    <w:p w:rsidR="00D14235" w:rsidRDefault="00D14235"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573467"/>
      <w:docPartObj>
        <w:docPartGallery w:val="Page Numbers (Bottom of Page)"/>
        <w:docPartUnique/>
      </w:docPartObj>
    </w:sdtPr>
    <w:sdtEndPr>
      <w:rPr>
        <w:noProof/>
      </w:rPr>
    </w:sdtEndPr>
    <w:sdtContent>
      <w:p w:rsidR="00D14235" w:rsidRPr="00485280" w:rsidRDefault="00D14235" w:rsidP="006570DF">
        <w:pPr>
          <w:pStyle w:val="Footer"/>
          <w:jc w:val="center"/>
          <w:rPr>
            <w:sz w:val="20"/>
            <w:szCs w:val="20"/>
          </w:rPr>
        </w:pPr>
        <w:r w:rsidRPr="00485280">
          <w:rPr>
            <w:sz w:val="20"/>
            <w:szCs w:val="20"/>
          </w:rPr>
          <w:t>Review of the mandatory safety standard for pedal bicycles</w:t>
        </w:r>
      </w:p>
      <w:p w:rsidR="00D14235" w:rsidRDefault="00D14235" w:rsidP="006570DF">
        <w:pPr>
          <w:pStyle w:val="Footer"/>
          <w:jc w:val="right"/>
        </w:pPr>
        <w:r>
          <w:fldChar w:fldCharType="begin"/>
        </w:r>
        <w:r>
          <w:instrText xml:space="preserve"> PAGE   \* MERGEFORMAT </w:instrText>
        </w:r>
        <w:r>
          <w:fldChar w:fldCharType="separate"/>
        </w:r>
        <w:r w:rsidR="00B03B43">
          <w:rPr>
            <w:noProof/>
          </w:rPr>
          <w:t>22</w:t>
        </w:r>
        <w:r>
          <w:rPr>
            <w:noProof/>
          </w:rPr>
          <w:fldChar w:fldCharType="end"/>
        </w:r>
      </w:p>
    </w:sdtContent>
  </w:sdt>
  <w:p w:rsidR="00D14235" w:rsidRDefault="00D142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D14235" w:rsidRDefault="00D14235">
        <w:pPr>
          <w:pStyle w:val="Footer"/>
        </w:pPr>
        <w:r>
          <w:fldChar w:fldCharType="begin"/>
        </w:r>
        <w:r>
          <w:instrText xml:space="preserve"> PAGE   \* MERGEFORMAT </w:instrText>
        </w:r>
        <w:r>
          <w:fldChar w:fldCharType="separate"/>
        </w:r>
        <w:r w:rsidR="00B03B43">
          <w:rPr>
            <w:noProof/>
          </w:rPr>
          <w:t>0</w:t>
        </w:r>
        <w:r>
          <w:rPr>
            <w:noProof/>
          </w:rPr>
          <w:fldChar w:fldCharType="end"/>
        </w:r>
      </w:p>
    </w:sdtContent>
  </w:sdt>
  <w:p w:rsidR="00D14235" w:rsidRDefault="00D14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235" w:rsidRDefault="00D14235" w:rsidP="004B4412">
      <w:pPr>
        <w:spacing w:before="0"/>
      </w:pPr>
      <w:r>
        <w:separator/>
      </w:r>
    </w:p>
  </w:footnote>
  <w:footnote w:type="continuationSeparator" w:id="0">
    <w:p w:rsidR="00D14235" w:rsidRDefault="00D14235" w:rsidP="004B4412">
      <w:pPr>
        <w:spacing w:before="0"/>
      </w:pPr>
      <w:r>
        <w:continuationSeparator/>
      </w:r>
    </w:p>
  </w:footnote>
  <w:footnote w:id="1">
    <w:p w:rsidR="00D14235" w:rsidRPr="005034D5" w:rsidRDefault="00D14235" w:rsidP="003F308A">
      <w:pPr>
        <w:pStyle w:val="FootnoteText"/>
        <w:rPr>
          <w:szCs w:val="16"/>
        </w:rPr>
      </w:pPr>
      <w:r w:rsidRPr="005034D5">
        <w:rPr>
          <w:rStyle w:val="FootnoteReference"/>
          <w:szCs w:val="16"/>
        </w:rPr>
        <w:footnoteRef/>
      </w:r>
      <w:r w:rsidRPr="005034D5">
        <w:rPr>
          <w:szCs w:val="16"/>
        </w:rPr>
        <w:t xml:space="preserve"> Australi</w:t>
      </w:r>
      <w:r w:rsidRPr="00A047B3">
        <w:rPr>
          <w:szCs w:val="16"/>
        </w:rPr>
        <w:t xml:space="preserve">an Bicycle Council, Australian Cycling Participation 2013 </w:t>
      </w:r>
      <w:r>
        <w:rPr>
          <w:szCs w:val="16"/>
        </w:rPr>
        <w:t xml:space="preserve">, </w:t>
      </w:r>
      <w:hyperlink r:id="rId1" w:history="1">
        <w:r w:rsidRPr="00DD1EF9">
          <w:rPr>
            <w:rStyle w:val="Hyperlink"/>
            <w:sz w:val="16"/>
            <w:szCs w:val="16"/>
          </w:rPr>
          <w:t>www.onlinepublications.austroads.com.au/items/AP-C91-13</w:t>
        </w:r>
      </w:hyperlink>
    </w:p>
  </w:footnote>
  <w:footnote w:id="2">
    <w:p w:rsidR="00D14235" w:rsidRDefault="00D14235" w:rsidP="00A120BE">
      <w:pPr>
        <w:pStyle w:val="FootnoteText"/>
      </w:pPr>
      <w:r>
        <w:rPr>
          <w:rStyle w:val="FootnoteReference"/>
        </w:rPr>
        <w:footnoteRef/>
      </w:r>
      <w:r>
        <w:t xml:space="preserve"> Australian Bureau of Statistics (2009), Children’s Participation in Cultural and Leisure Activities (Catalogue number 4901.0)</w:t>
      </w:r>
    </w:p>
  </w:footnote>
  <w:footnote w:id="3">
    <w:p w:rsidR="00D14235" w:rsidRDefault="00D14235" w:rsidP="00166514">
      <w:pPr>
        <w:pStyle w:val="FootnoteText"/>
        <w:ind w:left="0" w:firstLine="0"/>
      </w:pPr>
      <w:r>
        <w:rPr>
          <w:rStyle w:val="FootnoteReference"/>
        </w:rPr>
        <w:footnoteRef/>
      </w:r>
      <w:r>
        <w:t xml:space="preserve"> Australian Bureau of Statistics (2011),  2011 Census of Population and Housing, Basic Community Profile (Catalogue number 2001.0); Australian Bureau of Statistics (2006),  2006 Census of Housing, Community Profile Series (Catalogue number 2001.0)</w:t>
      </w:r>
    </w:p>
  </w:footnote>
  <w:footnote w:id="4">
    <w:p w:rsidR="00D14235" w:rsidRDefault="00D14235">
      <w:pPr>
        <w:pStyle w:val="FootnoteText"/>
      </w:pPr>
      <w:r>
        <w:rPr>
          <w:rStyle w:val="FootnoteReference"/>
        </w:rPr>
        <w:footnoteRef/>
      </w:r>
      <w:r>
        <w:t xml:space="preserve"> Australian Sports Commission (2010), Participation in Exercise, Recreation and Sport Annual Report 2010, p 27</w:t>
      </w:r>
    </w:p>
  </w:footnote>
  <w:footnote w:id="5">
    <w:p w:rsidR="00D14235" w:rsidRPr="006C7FE4" w:rsidRDefault="00D14235" w:rsidP="006C7FE4">
      <w:pPr>
        <w:pStyle w:val="FootnoteText"/>
        <w:ind w:left="0" w:firstLine="0"/>
        <w:rPr>
          <w:color w:val="0000FF"/>
          <w:szCs w:val="16"/>
          <w:u w:val="single"/>
        </w:rPr>
      </w:pPr>
      <w:r w:rsidRPr="006C7FE4">
        <w:rPr>
          <w:szCs w:val="16"/>
          <w:vertAlign w:val="superscript"/>
        </w:rPr>
        <w:footnoteRef/>
      </w:r>
      <w:r>
        <w:rPr>
          <w:szCs w:val="16"/>
        </w:rPr>
        <w:t xml:space="preserve"> </w:t>
      </w:r>
      <w:r w:rsidRPr="00877FA9">
        <w:rPr>
          <w:szCs w:val="16"/>
        </w:rPr>
        <w:t>Bureau of Infrastructure, Transport and Regional Economics (BITRE), Road deaths Australia 2012 statistical summary,</w:t>
      </w:r>
      <w:r w:rsidRPr="006C7FE4">
        <w:rPr>
          <w:szCs w:val="16"/>
        </w:rPr>
        <w:t xml:space="preserve"> May 2013</w:t>
      </w:r>
      <w:r>
        <w:rPr>
          <w:szCs w:val="16"/>
        </w:rPr>
        <w:t>,</w:t>
      </w:r>
      <w:r>
        <w:rPr>
          <w:color w:val="0000FF"/>
          <w:szCs w:val="16"/>
          <w:u w:val="single"/>
        </w:rPr>
        <w:t xml:space="preserve"> </w:t>
      </w:r>
      <w:hyperlink r:id="rId2" w:history="1">
        <w:r w:rsidRPr="00DD1EF9">
          <w:rPr>
            <w:rStyle w:val="Hyperlink"/>
            <w:sz w:val="16"/>
            <w:szCs w:val="16"/>
          </w:rPr>
          <w:t>www.bitre.gov.au/publications/ongoing/files/RDA_Summary_2012_June.pdf</w:t>
        </w:r>
      </w:hyperlink>
    </w:p>
  </w:footnote>
  <w:footnote w:id="6">
    <w:p w:rsidR="00D14235" w:rsidRPr="00877FA9" w:rsidRDefault="00D14235" w:rsidP="006C7FE4">
      <w:pPr>
        <w:pStyle w:val="FootnoteText"/>
        <w:ind w:left="0" w:firstLine="0"/>
        <w:rPr>
          <w:szCs w:val="16"/>
        </w:rPr>
      </w:pPr>
      <w:r w:rsidRPr="005034D5">
        <w:rPr>
          <w:rStyle w:val="FootnoteReference"/>
        </w:rPr>
        <w:footnoteRef/>
      </w:r>
      <w:r>
        <w:t xml:space="preserve"> </w:t>
      </w:r>
      <w:r w:rsidRPr="00877FA9">
        <w:rPr>
          <w:szCs w:val="16"/>
        </w:rPr>
        <w:t xml:space="preserve">Centre for Accident Research and Road Safety–Queensland (CARRS-Q), State of the road–Bicycle safety, May 2011, </w:t>
      </w:r>
      <w:hyperlink r:id="rId3" w:history="1">
        <w:r w:rsidRPr="00DD1EF9">
          <w:rPr>
            <w:rStyle w:val="Hyperlink"/>
            <w:sz w:val="16"/>
            <w:szCs w:val="16"/>
          </w:rPr>
          <w:t>www.carrsq.qut.edu.au/publications/corporate/bicycle_safety_fs.pdf</w:t>
        </w:r>
      </w:hyperlink>
      <w:r w:rsidRPr="00877FA9">
        <w:rPr>
          <w:szCs w:val="16"/>
        </w:rPr>
        <w:t xml:space="preserve">  </w:t>
      </w:r>
    </w:p>
  </w:footnote>
  <w:footnote w:id="7">
    <w:p w:rsidR="00D14235" w:rsidRPr="00877FA9" w:rsidRDefault="00D14235" w:rsidP="00FE22BC">
      <w:pPr>
        <w:pStyle w:val="FootnoteText"/>
        <w:ind w:left="284" w:hanging="284"/>
        <w:rPr>
          <w:szCs w:val="16"/>
        </w:rPr>
      </w:pPr>
      <w:r w:rsidRPr="00644892">
        <w:rPr>
          <w:szCs w:val="16"/>
          <w:vertAlign w:val="superscript"/>
        </w:rPr>
        <w:footnoteRef/>
      </w:r>
      <w:r w:rsidRPr="00644892">
        <w:rPr>
          <w:szCs w:val="16"/>
          <w:vertAlign w:val="superscript"/>
        </w:rPr>
        <w:t xml:space="preserve"> </w:t>
      </w:r>
      <w:r w:rsidRPr="00877FA9">
        <w:rPr>
          <w:szCs w:val="16"/>
        </w:rPr>
        <w:t xml:space="preserve">Dept. of Infrastructure and Regional Development – Aust. road deaths database </w:t>
      </w:r>
      <w:hyperlink r:id="rId4" w:history="1">
        <w:r w:rsidRPr="00DD1EF9">
          <w:rPr>
            <w:rStyle w:val="Hyperlink"/>
            <w:sz w:val="16"/>
            <w:szCs w:val="16"/>
          </w:rPr>
          <w:t>www.bitre.gov.au/statistics/safety/fatal_road_crash_database.aspx</w:t>
        </w:r>
      </w:hyperlink>
    </w:p>
  </w:footnote>
  <w:footnote w:id="8">
    <w:p w:rsidR="00D14235" w:rsidRDefault="00D14235" w:rsidP="007C0FE4">
      <w:pPr>
        <w:pStyle w:val="FootnoteText"/>
      </w:pPr>
      <w:r>
        <w:rPr>
          <w:rStyle w:val="FootnoteReference"/>
        </w:rPr>
        <w:footnoteRef/>
      </w:r>
      <w:r>
        <w:t xml:space="preserve"> The ACCC has reviewed confidential data from the National Coronial Information System (NCIS) (www.ncis.org.au)</w:t>
      </w:r>
    </w:p>
  </w:footnote>
  <w:footnote w:id="9">
    <w:p w:rsidR="00D14235" w:rsidRPr="00E306F8" w:rsidRDefault="00D14235">
      <w:pPr>
        <w:pStyle w:val="FootnoteText"/>
      </w:pPr>
      <w:r>
        <w:rPr>
          <w:rStyle w:val="FootnoteReference"/>
        </w:rPr>
        <w:footnoteRef/>
      </w:r>
      <w:r>
        <w:t xml:space="preserve"> Queensland Injury Surveillance Unit, </w:t>
      </w:r>
      <w:r>
        <w:rPr>
          <w:i/>
        </w:rPr>
        <w:t>Injury Bulletin</w:t>
      </w:r>
      <w:r>
        <w:t xml:space="preserve">, 86, April 2005, </w:t>
      </w:r>
      <w:hyperlink r:id="rId5" w:history="1">
        <w:r w:rsidRPr="00DD1EF9">
          <w:rPr>
            <w:rStyle w:val="Hyperlink"/>
            <w:sz w:val="16"/>
          </w:rPr>
          <w:t>www.qisu.org.au/ModCoreFilesUploaded/Bulletin_86103.pdf</w:t>
        </w:r>
      </w:hyperlink>
      <w:r>
        <w:t xml:space="preserve"> </w:t>
      </w:r>
    </w:p>
  </w:footnote>
  <w:footnote w:id="10">
    <w:p w:rsidR="00D14235" w:rsidRDefault="00D14235">
      <w:pPr>
        <w:pStyle w:val="FootnoteText"/>
      </w:pPr>
      <w:r>
        <w:rPr>
          <w:rStyle w:val="FootnoteReference"/>
        </w:rPr>
        <w:footnoteRef/>
      </w:r>
      <w:r>
        <w:t xml:space="preserve"> </w:t>
      </w:r>
      <w:hyperlink r:id="rId6" w:history="1">
        <w:r w:rsidRPr="000C6F6B">
          <w:rPr>
            <w:rStyle w:val="Hyperlink"/>
            <w:sz w:val="16"/>
          </w:rPr>
          <w:t>Consumer Protection Notice No. 6 of 2004 - Consumer Product Safety Standard: Pedal Bicycles: Safety Requirements</w:t>
        </w:r>
      </w:hyperlink>
    </w:p>
  </w:footnote>
  <w:footnote w:id="11">
    <w:p w:rsidR="00D14235" w:rsidRPr="00281C57" w:rsidRDefault="00D14235" w:rsidP="00BD4164">
      <w:pPr>
        <w:pStyle w:val="FootnoteText"/>
        <w:ind w:left="0" w:firstLine="0"/>
        <w:rPr>
          <w:szCs w:val="16"/>
        </w:rPr>
      </w:pPr>
      <w:r w:rsidRPr="005034D5">
        <w:rPr>
          <w:rStyle w:val="FootnoteReference"/>
          <w:szCs w:val="16"/>
        </w:rPr>
        <w:footnoteRef/>
      </w:r>
      <w:r>
        <w:rPr>
          <w:szCs w:val="16"/>
        </w:rPr>
        <w:t xml:space="preserve">  </w:t>
      </w:r>
      <w:r w:rsidRPr="005034D5">
        <w:rPr>
          <w:szCs w:val="16"/>
        </w:rPr>
        <w:t>Bicycle Industries Australia, Relative Costs of Doing Business in Australia: Retail trade industry</w:t>
      </w:r>
      <w:r>
        <w:rPr>
          <w:szCs w:val="16"/>
        </w:rPr>
        <w:t xml:space="preserve"> </w:t>
      </w:r>
      <w:hyperlink r:id="rId7" w:history="1">
        <w:r w:rsidRPr="00DD1EF9">
          <w:rPr>
            <w:rStyle w:val="Hyperlink"/>
            <w:rFonts w:cs="Arial"/>
            <w:sz w:val="16"/>
            <w:szCs w:val="16"/>
          </w:rPr>
          <w:t>www.pc.gov.au/inquiries/completed/retail-trade/submissions/submissions-test/submission-counter/sub008-retail-trade.pdf</w:t>
        </w:r>
      </w:hyperlink>
    </w:p>
  </w:footnote>
  <w:footnote w:id="12">
    <w:p w:rsidR="00D14235" w:rsidRPr="00D3401C" w:rsidRDefault="00D14235" w:rsidP="00724A5C">
      <w:pPr>
        <w:pStyle w:val="FootnoteText"/>
        <w:rPr>
          <w:szCs w:val="16"/>
        </w:rPr>
      </w:pPr>
      <w:r w:rsidRPr="005034D5">
        <w:rPr>
          <w:rStyle w:val="FootnoteReference"/>
          <w:szCs w:val="16"/>
        </w:rPr>
        <w:footnoteRef/>
      </w:r>
      <w:r w:rsidRPr="005034D5">
        <w:rPr>
          <w:szCs w:val="16"/>
        </w:rPr>
        <w:t xml:space="preserve">   IBISWorld</w:t>
      </w:r>
      <w:r w:rsidRPr="00D3401C">
        <w:rPr>
          <w:szCs w:val="16"/>
        </w:rPr>
        <w:t xml:space="preserve"> Industry Report OD5492, Bicycle Retailing and Repair in Australia, May 2014</w:t>
      </w:r>
    </w:p>
  </w:footnote>
  <w:footnote w:id="13">
    <w:p w:rsidR="00D14235" w:rsidRDefault="00D14235" w:rsidP="00724A5C">
      <w:pPr>
        <w:pStyle w:val="FootnoteText"/>
      </w:pPr>
      <w:r>
        <w:rPr>
          <w:rStyle w:val="FootnoteReference"/>
        </w:rPr>
        <w:footnoteRef/>
      </w:r>
      <w:r>
        <w:t xml:space="preserve"> </w:t>
      </w:r>
      <w:r w:rsidRPr="005034D5">
        <w:rPr>
          <w:szCs w:val="16"/>
        </w:rPr>
        <w:t>IBISWorld</w:t>
      </w:r>
      <w:r w:rsidRPr="00D3401C">
        <w:rPr>
          <w:szCs w:val="16"/>
        </w:rPr>
        <w:t xml:space="preserve"> Industry Report OD5492, Bicycle Retailing and Repair in Australia, May 2014</w:t>
      </w:r>
    </w:p>
  </w:footnote>
  <w:footnote w:id="14">
    <w:p w:rsidR="00D14235" w:rsidRDefault="00D14235">
      <w:pPr>
        <w:pStyle w:val="FootnoteText"/>
      </w:pPr>
      <w:r>
        <w:rPr>
          <w:rStyle w:val="FootnoteReference"/>
        </w:rPr>
        <w:footnoteRef/>
      </w:r>
      <w:r>
        <w:t xml:space="preserve"> </w:t>
      </w:r>
      <w:hyperlink r:id="rId8" w:history="1">
        <w:r w:rsidRPr="00DD1EF9">
          <w:rPr>
            <w:rStyle w:val="Hyperlink"/>
            <w:sz w:val="16"/>
          </w:rPr>
          <w:t>www.bikeoz.com.au/index.php/news/67-bicycle-sales-hits-new-high-as-children-get-left-behind</w:t>
        </w:r>
      </w:hyperlink>
      <w:r>
        <w:t xml:space="preserve"> </w:t>
      </w:r>
    </w:p>
  </w:footnote>
  <w:footnote w:id="15">
    <w:p w:rsidR="00D14235" w:rsidRDefault="00D14235">
      <w:pPr>
        <w:pStyle w:val="FootnoteText"/>
      </w:pPr>
      <w:r>
        <w:rPr>
          <w:rStyle w:val="FootnoteReference"/>
        </w:rPr>
        <w:footnoteRef/>
      </w:r>
      <w:r>
        <w:t xml:space="preserve"> </w:t>
      </w:r>
      <w:r w:rsidRPr="005034D5">
        <w:rPr>
          <w:szCs w:val="16"/>
        </w:rPr>
        <w:t>Bicycle Industries Australia, Relative Costs of Doing Business in Australia: Retail trade industry</w:t>
      </w:r>
    </w:p>
  </w:footnote>
  <w:footnote w:id="16">
    <w:p w:rsidR="00D14235" w:rsidRPr="00451985" w:rsidRDefault="00D14235" w:rsidP="007E4EAA">
      <w:pPr>
        <w:pStyle w:val="FootnoteText"/>
        <w:rPr>
          <w:szCs w:val="16"/>
        </w:rPr>
      </w:pPr>
      <w:r w:rsidRPr="005034D5">
        <w:rPr>
          <w:rStyle w:val="FootnoteReference"/>
          <w:szCs w:val="16"/>
        </w:rPr>
        <w:footnoteRef/>
      </w:r>
      <w:r w:rsidRPr="005034D5">
        <w:rPr>
          <w:szCs w:val="16"/>
        </w:rPr>
        <w:t xml:space="preserve">  </w:t>
      </w:r>
      <w:r>
        <w:rPr>
          <w:szCs w:val="16"/>
        </w:rPr>
        <w:t xml:space="preserve">  </w:t>
      </w:r>
      <w:r w:rsidRPr="00451985">
        <w:rPr>
          <w:szCs w:val="16"/>
        </w:rPr>
        <w:t>European Norm EN 15194:2009+A1 Cycles – Electrically power assisted cycles – EPAC Bicycles, clause 1 Scope.</w:t>
      </w:r>
    </w:p>
  </w:footnote>
  <w:footnote w:id="17">
    <w:p w:rsidR="00D14235" w:rsidRDefault="00D14235">
      <w:pPr>
        <w:pStyle w:val="FootnoteText"/>
      </w:pPr>
      <w:r>
        <w:rPr>
          <w:rStyle w:val="FootnoteReference"/>
        </w:rPr>
        <w:footnoteRef/>
      </w:r>
      <w:r>
        <w:t xml:space="preserve"> </w:t>
      </w:r>
      <w:hyperlink r:id="rId9" w:history="1">
        <w:r w:rsidRPr="004B48AD">
          <w:rPr>
            <w:rStyle w:val="Hyperlink"/>
            <w:sz w:val="16"/>
          </w:rPr>
          <w:t>Consumer Protection Notice No. 24 of 2011</w:t>
        </w:r>
      </w:hyperlink>
    </w:p>
  </w:footnote>
  <w:footnote w:id="18">
    <w:p w:rsidR="00D14235" w:rsidRDefault="00D14235" w:rsidP="00C25096">
      <w:pPr>
        <w:pStyle w:val="FootnoteText"/>
      </w:pPr>
      <w:r>
        <w:rPr>
          <w:rStyle w:val="FootnoteReference"/>
        </w:rPr>
        <w:footnoteRef/>
      </w:r>
      <w:r>
        <w:t xml:space="preserve"> ACCC, </w:t>
      </w:r>
      <w:r w:rsidRPr="000268CC">
        <w:rPr>
          <w:szCs w:val="16"/>
        </w:rPr>
        <w:t xml:space="preserve">International standards for the safety of consumer products - criteria for acceptance, ACCC policy principles, 22 July 2015, </w:t>
      </w:r>
      <w:hyperlink r:id="rId10" w:history="1">
        <w:r w:rsidRPr="00DD1EF9">
          <w:rPr>
            <w:rStyle w:val="Hyperlink"/>
            <w:sz w:val="16"/>
            <w:szCs w:val="16"/>
          </w:rPr>
          <w:t>www.productsafety.gov.au/content/index.phtml/itemId/1014180</w:t>
        </w:r>
      </w:hyperlink>
    </w:p>
  </w:footnote>
  <w:footnote w:id="19">
    <w:p w:rsidR="00D14235" w:rsidRPr="006B597D" w:rsidRDefault="00D14235" w:rsidP="00D54C95">
      <w:pPr>
        <w:pStyle w:val="FootnoteText"/>
        <w:rPr>
          <w:szCs w:val="16"/>
        </w:rPr>
      </w:pPr>
      <w:r w:rsidRPr="006B597D">
        <w:rPr>
          <w:rStyle w:val="FootnoteReference"/>
          <w:szCs w:val="16"/>
        </w:rPr>
        <w:footnoteRef/>
      </w:r>
      <w:r w:rsidRPr="006B597D">
        <w:rPr>
          <w:szCs w:val="16"/>
        </w:rPr>
        <w:t xml:space="preserve"> </w:t>
      </w:r>
      <w:r>
        <w:rPr>
          <w:szCs w:val="16"/>
        </w:rPr>
        <w:t xml:space="preserve">  </w:t>
      </w:r>
      <w:r w:rsidRPr="006B597D">
        <w:rPr>
          <w:szCs w:val="16"/>
        </w:rPr>
        <w:t xml:space="preserve">Relative Costs of Doing Business in Australia: Retail Trade Industry – Bicycle Industries Australia Ltd </w:t>
      </w:r>
    </w:p>
  </w:footnote>
  <w:footnote w:id="20">
    <w:p w:rsidR="00D14235" w:rsidRDefault="00D14235">
      <w:pPr>
        <w:pStyle w:val="FootnoteText"/>
      </w:pPr>
      <w:r>
        <w:rPr>
          <w:rStyle w:val="FootnoteReference"/>
        </w:rPr>
        <w:footnoteRef/>
      </w:r>
      <w:r>
        <w:t xml:space="preserve"> ibid </w:t>
      </w:r>
    </w:p>
  </w:footnote>
  <w:footnote w:id="21">
    <w:p w:rsidR="00D14235" w:rsidRDefault="00D14235">
      <w:pPr>
        <w:pStyle w:val="FootnoteText"/>
      </w:pPr>
      <w:r>
        <w:rPr>
          <w:rStyle w:val="FootnoteReference"/>
        </w:rPr>
        <w:footnoteRef/>
      </w:r>
      <w:r>
        <w:t xml:space="preserve"> Average quote taken from two testing laboratories </w:t>
      </w:r>
    </w:p>
  </w:footnote>
  <w:footnote w:id="22">
    <w:p w:rsidR="00D14235" w:rsidRPr="006B597D" w:rsidRDefault="00D14235" w:rsidP="00D06214">
      <w:pPr>
        <w:pStyle w:val="FootnoteText"/>
        <w:rPr>
          <w:szCs w:val="16"/>
        </w:rPr>
      </w:pPr>
      <w:r w:rsidRPr="006B597D">
        <w:rPr>
          <w:rStyle w:val="FootnoteReference"/>
          <w:szCs w:val="16"/>
        </w:rPr>
        <w:footnoteRef/>
      </w:r>
      <w:r w:rsidRPr="006B597D">
        <w:rPr>
          <w:szCs w:val="16"/>
        </w:rPr>
        <w:t xml:space="preserve"> </w:t>
      </w:r>
      <w:r>
        <w:rPr>
          <w:szCs w:val="16"/>
        </w:rPr>
        <w:t xml:space="preserve">  </w:t>
      </w:r>
      <w:r w:rsidRPr="006B597D">
        <w:rPr>
          <w:szCs w:val="16"/>
        </w:rPr>
        <w:t xml:space="preserve">Industry estimate </w:t>
      </w:r>
    </w:p>
  </w:footnote>
  <w:footnote w:id="23">
    <w:p w:rsidR="00D14235" w:rsidRDefault="00D14235" w:rsidP="00D06214">
      <w:pPr>
        <w:pStyle w:val="FootnoteText"/>
      </w:pPr>
      <w:r w:rsidRPr="006B597D">
        <w:rPr>
          <w:rStyle w:val="FootnoteReference"/>
          <w:szCs w:val="16"/>
        </w:rPr>
        <w:footnoteRef/>
      </w:r>
      <w:r w:rsidRPr="006B597D">
        <w:rPr>
          <w:szCs w:val="16"/>
        </w:rPr>
        <w:t xml:space="preserve"> </w:t>
      </w:r>
      <w:r>
        <w:rPr>
          <w:szCs w:val="16"/>
        </w:rPr>
        <w:t xml:space="preserve">  </w:t>
      </w:r>
      <w:r w:rsidRPr="006B597D">
        <w:rPr>
          <w:szCs w:val="16"/>
        </w:rPr>
        <w:t>Ibid</w:t>
      </w:r>
      <w:r>
        <w:t xml:space="preserve"> </w:t>
      </w:r>
    </w:p>
  </w:footnote>
  <w:footnote w:id="24">
    <w:p w:rsidR="00D14235" w:rsidRPr="00402316" w:rsidRDefault="00D14235" w:rsidP="007D2587">
      <w:pPr>
        <w:pStyle w:val="FootnoteText"/>
        <w:rPr>
          <w:szCs w:val="16"/>
        </w:rPr>
      </w:pPr>
      <w:r w:rsidRPr="00402316">
        <w:rPr>
          <w:rStyle w:val="FootnoteReference"/>
          <w:szCs w:val="16"/>
        </w:rPr>
        <w:footnoteRef/>
      </w:r>
      <w:r w:rsidRPr="00402316">
        <w:rPr>
          <w:szCs w:val="16"/>
        </w:rPr>
        <w:t xml:space="preserve">  Ibid above n.16</w:t>
      </w:r>
    </w:p>
  </w:footnote>
  <w:footnote w:id="25">
    <w:p w:rsidR="00D14235" w:rsidRDefault="00D14235" w:rsidP="007D2587">
      <w:pPr>
        <w:pStyle w:val="FootnoteText"/>
      </w:pPr>
      <w:r w:rsidRPr="00402316">
        <w:rPr>
          <w:rStyle w:val="FootnoteReference"/>
          <w:szCs w:val="16"/>
        </w:rPr>
        <w:footnoteRef/>
      </w:r>
      <w:r w:rsidRPr="00402316">
        <w:rPr>
          <w:szCs w:val="16"/>
        </w:rPr>
        <w:t xml:space="preserve">  Ibid above n.16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35" w:rsidRDefault="00D14235" w:rsidP="00E34AAD">
    <w:pPr>
      <w:pStyle w:val="Header"/>
      <w:tabs>
        <w:tab w:val="clear" w:pos="4513"/>
        <w:tab w:val="clear" w:pos="9026"/>
        <w:tab w:val="left" w:pos="19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41F3B25"/>
    <w:multiLevelType w:val="multilevel"/>
    <w:tmpl w:val="ECE49770"/>
    <w:lvl w:ilvl="0">
      <w:start w:val="1"/>
      <w:numFmt w:val="decimal"/>
      <w:lvlText w:val="%1"/>
      <w:lvlJc w:val="left"/>
      <w:pPr>
        <w:ind w:left="360" w:hanging="360"/>
      </w:pPr>
      <w:rPr>
        <w:rFonts w:hint="default"/>
        <w:sz w:val="22"/>
      </w:rPr>
    </w:lvl>
    <w:lvl w:ilvl="1">
      <w:start w:val="1"/>
      <w:numFmt w:val="decimal"/>
      <w:isLgl/>
      <w:lvlText w:val="%1.%2"/>
      <w:lvlJc w:val="left"/>
      <w:pPr>
        <w:ind w:left="795" w:hanging="435"/>
      </w:pPr>
      <w:rPr>
        <w:rFonts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nsid w:val="05A12172"/>
    <w:multiLevelType w:val="hybridMultilevel"/>
    <w:tmpl w:val="7D84D4F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06B44DED"/>
    <w:multiLevelType w:val="hybridMultilevel"/>
    <w:tmpl w:val="930A598E"/>
    <w:lvl w:ilvl="0" w:tplc="D5E8D25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3B6676A"/>
    <w:multiLevelType w:val="hybridMultilevel"/>
    <w:tmpl w:val="58CE5F52"/>
    <w:lvl w:ilvl="0" w:tplc="D5E8D254">
      <w:start w:val="1"/>
      <w:numFmt w:val="lowerLetter"/>
      <w:lvlText w:val="(%1)"/>
      <w:lvlJc w:val="left"/>
      <w:pPr>
        <w:ind w:left="115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nsid w:val="1742008F"/>
    <w:multiLevelType w:val="hybridMultilevel"/>
    <w:tmpl w:val="8864C6B8"/>
    <w:lvl w:ilvl="0" w:tplc="98D6DD10">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9686741"/>
    <w:multiLevelType w:val="hybridMultilevel"/>
    <w:tmpl w:val="04745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B861D73"/>
    <w:multiLevelType w:val="hybridMultilevel"/>
    <w:tmpl w:val="0CBCF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858"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nsid w:val="1D23743A"/>
    <w:multiLevelType w:val="hybridMultilevel"/>
    <w:tmpl w:val="2C9E01B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1">
    <w:nsid w:val="1F3B3F23"/>
    <w:multiLevelType w:val="hybridMultilevel"/>
    <w:tmpl w:val="B21EC13A"/>
    <w:lvl w:ilvl="0" w:tplc="D5E8D254">
      <w:start w:val="1"/>
      <w:numFmt w:val="lowerLetter"/>
      <w:lvlText w:val="(%1)"/>
      <w:lvlJc w:val="left"/>
      <w:pPr>
        <w:ind w:left="1155" w:hanging="360"/>
      </w:pPr>
      <w:rPr>
        <w:rFonts w:hint="default"/>
      </w:rPr>
    </w:lvl>
    <w:lvl w:ilvl="1" w:tplc="BC1E42E0">
      <w:start w:val="1"/>
      <w:numFmt w:val="lowerRoman"/>
      <w:lvlText w:val="(%2)"/>
      <w:lvlJc w:val="right"/>
      <w:pPr>
        <w:ind w:left="1875" w:hanging="360"/>
      </w:pPr>
      <w:rPr>
        <w:rFonts w:hint="default"/>
      </w:rPr>
    </w:lvl>
    <w:lvl w:ilvl="2" w:tplc="0C09001B">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22">
    <w:nsid w:val="1F4439AD"/>
    <w:multiLevelType w:val="hybridMultilevel"/>
    <w:tmpl w:val="E3FCE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0A33471"/>
    <w:multiLevelType w:val="hybridMultilevel"/>
    <w:tmpl w:val="1CC61FE6"/>
    <w:lvl w:ilvl="0" w:tplc="B9F0ACEA">
      <w:start w:val="1"/>
      <w:numFmt w:val="lowerLetter"/>
      <w:lvlText w:val="(%1)"/>
      <w:lvlJc w:val="left"/>
      <w:pPr>
        <w:ind w:left="115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26C39A5"/>
    <w:multiLevelType w:val="hybridMultilevel"/>
    <w:tmpl w:val="70C4A7BE"/>
    <w:lvl w:ilvl="0" w:tplc="D5E8D254">
      <w:start w:val="1"/>
      <w:numFmt w:val="lowerLetter"/>
      <w:lvlText w:val="(%1)"/>
      <w:lvlJc w:val="left"/>
      <w:pPr>
        <w:ind w:left="115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43C4C55"/>
    <w:multiLevelType w:val="hybridMultilevel"/>
    <w:tmpl w:val="2B0AA7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2CC00975"/>
    <w:multiLevelType w:val="hybridMultilevel"/>
    <w:tmpl w:val="EB90A16A"/>
    <w:lvl w:ilvl="0" w:tplc="D5E8D254">
      <w:start w:val="1"/>
      <w:numFmt w:val="lowerLetter"/>
      <w:lvlText w:val="(%1)"/>
      <w:lvlJc w:val="left"/>
      <w:pPr>
        <w:ind w:left="1155" w:hanging="360"/>
      </w:pPr>
      <w:rPr>
        <w:rFonts w:hint="default"/>
      </w:rPr>
    </w:lvl>
    <w:lvl w:ilvl="1" w:tplc="BC1E42E0">
      <w:start w:val="1"/>
      <w:numFmt w:val="lowerRoman"/>
      <w:lvlText w:val="(%2)"/>
      <w:lvlJc w:val="right"/>
      <w:pPr>
        <w:ind w:left="1875" w:hanging="360"/>
      </w:pPr>
      <w:rPr>
        <w:rFonts w:hint="default"/>
      </w:rPr>
    </w:lvl>
    <w:lvl w:ilvl="2" w:tplc="0C09001B">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27">
    <w:nsid w:val="2E3B3D7F"/>
    <w:multiLevelType w:val="hybridMultilevel"/>
    <w:tmpl w:val="EC065332"/>
    <w:lvl w:ilvl="0" w:tplc="BF7EE972">
      <w:start w:val="1"/>
      <w:numFmt w:val="lowerLetter"/>
      <w:lvlText w:val="(%1)"/>
      <w:lvlJc w:val="left"/>
      <w:pPr>
        <w:ind w:left="115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ECD25F1"/>
    <w:multiLevelType w:val="hybridMultilevel"/>
    <w:tmpl w:val="73BC7DE0"/>
    <w:lvl w:ilvl="0" w:tplc="D5E8D254">
      <w:start w:val="1"/>
      <w:numFmt w:val="lowerLetter"/>
      <w:lvlText w:val="(%1)"/>
      <w:lvlJc w:val="left"/>
      <w:pPr>
        <w:ind w:left="1155" w:hanging="360"/>
      </w:pPr>
      <w:rPr>
        <w:rFonts w:hint="default"/>
      </w:rPr>
    </w:lvl>
    <w:lvl w:ilvl="1" w:tplc="0D4EEFF6">
      <w:start w:val="1"/>
      <w:numFmt w:val="lowerRoman"/>
      <w:lvlText w:val="(%2)"/>
      <w:lvlJc w:val="right"/>
      <w:pPr>
        <w:ind w:left="1875" w:hanging="360"/>
      </w:pPr>
      <w:rPr>
        <w:rFonts w:hint="default"/>
      </w:r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29">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0">
    <w:nsid w:val="34CB15C6"/>
    <w:multiLevelType w:val="hybridMultilevel"/>
    <w:tmpl w:val="24E23F5E"/>
    <w:lvl w:ilvl="0" w:tplc="D5E8D254">
      <w:start w:val="1"/>
      <w:numFmt w:val="lowerLetter"/>
      <w:lvlText w:val="(%1)"/>
      <w:lvlJc w:val="left"/>
      <w:pPr>
        <w:ind w:left="1155" w:hanging="360"/>
      </w:pPr>
      <w:rPr>
        <w:rFonts w:hint="default"/>
      </w:rPr>
    </w:lvl>
    <w:lvl w:ilvl="1" w:tplc="BC1E42E0">
      <w:start w:val="1"/>
      <w:numFmt w:val="lowerRoman"/>
      <w:lvlText w:val="(%2)"/>
      <w:lvlJc w:val="right"/>
      <w:pPr>
        <w:ind w:left="1875" w:hanging="360"/>
      </w:pPr>
      <w:rPr>
        <w:rFonts w:hint="default"/>
      </w:r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31">
    <w:nsid w:val="36644AD2"/>
    <w:multiLevelType w:val="hybridMultilevel"/>
    <w:tmpl w:val="8286C890"/>
    <w:lvl w:ilvl="0" w:tplc="D5E8D254">
      <w:start w:val="1"/>
      <w:numFmt w:val="lowerLetter"/>
      <w:lvlText w:val="(%1)"/>
      <w:lvlJc w:val="left"/>
      <w:pPr>
        <w:ind w:left="1155" w:hanging="360"/>
      </w:pPr>
      <w:rPr>
        <w:rFonts w:hint="default"/>
      </w:rPr>
    </w:lvl>
    <w:lvl w:ilvl="1" w:tplc="0C090019">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32">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3">
    <w:nsid w:val="3923347D"/>
    <w:multiLevelType w:val="hybridMultilevel"/>
    <w:tmpl w:val="D45C48E2"/>
    <w:lvl w:ilvl="0" w:tplc="D66A534E">
      <w:start w:val="1"/>
      <w:numFmt w:val="bullet"/>
      <w:pStyle w:val="ListBullet"/>
      <w:lvlText w:val=""/>
      <w:lvlJc w:val="left"/>
      <w:pPr>
        <w:ind w:left="360" w:hanging="360"/>
      </w:pPr>
      <w:rPr>
        <w:rFonts w:ascii="Symbol" w:hAnsi="Symbol" w:hint="default"/>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3AE93EFB"/>
    <w:multiLevelType w:val="hybridMultilevel"/>
    <w:tmpl w:val="E65E288E"/>
    <w:lvl w:ilvl="0" w:tplc="D5E8D254">
      <w:start w:val="1"/>
      <w:numFmt w:val="lowerLetter"/>
      <w:lvlText w:val="(%1)"/>
      <w:lvlJc w:val="left"/>
      <w:pPr>
        <w:ind w:left="115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6">
    <w:nsid w:val="3DD3044F"/>
    <w:multiLevelType w:val="hybridMultilevel"/>
    <w:tmpl w:val="D5804430"/>
    <w:lvl w:ilvl="0" w:tplc="E4F0701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1A76392"/>
    <w:multiLevelType w:val="hybridMultilevel"/>
    <w:tmpl w:val="65DC44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485D54B9"/>
    <w:multiLevelType w:val="hybridMultilevel"/>
    <w:tmpl w:val="F33E129C"/>
    <w:lvl w:ilvl="0" w:tplc="D5E8D254">
      <w:start w:val="1"/>
      <w:numFmt w:val="lowerLetter"/>
      <w:lvlText w:val="(%1)"/>
      <w:lvlJc w:val="left"/>
      <w:pPr>
        <w:ind w:left="1155" w:hanging="360"/>
      </w:pPr>
      <w:rPr>
        <w:rFonts w:hint="default"/>
      </w:rPr>
    </w:lvl>
    <w:lvl w:ilvl="1" w:tplc="976A54CA">
      <w:start w:val="1"/>
      <w:numFmt w:val="lowerRoman"/>
      <w:lvlText w:val="(%2)"/>
      <w:lvlJc w:val="right"/>
      <w:pPr>
        <w:ind w:left="1875" w:hanging="360"/>
      </w:pPr>
      <w:rPr>
        <w:rFonts w:hint="default"/>
      </w:r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39">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A6B3680"/>
    <w:multiLevelType w:val="multilevel"/>
    <w:tmpl w:val="22FC9686"/>
    <w:name w:val="StandardBulletedList"/>
    <w:lvl w:ilvl="0">
      <w:start w:val="1"/>
      <w:numFmt w:val="bullet"/>
      <w:pStyle w:val="Bullet"/>
      <w:lvlText w:val="•"/>
      <w:lvlJc w:val="left"/>
      <w:pPr>
        <w:tabs>
          <w:tab w:val="num" w:pos="877"/>
        </w:tabs>
        <w:ind w:left="877" w:hanging="520"/>
      </w:pPr>
      <w:rPr>
        <w:rFonts w:ascii="Times New Roman" w:hAnsi="Times New Roman" w:cs="Times New Roman"/>
      </w:rPr>
    </w:lvl>
    <w:lvl w:ilvl="1">
      <w:start w:val="1"/>
      <w:numFmt w:val="bullet"/>
      <w:pStyle w:val="Dash"/>
      <w:lvlText w:val="–"/>
      <w:lvlJc w:val="left"/>
      <w:pPr>
        <w:tabs>
          <w:tab w:val="num" w:pos="1397"/>
        </w:tabs>
        <w:ind w:left="1397" w:hanging="520"/>
      </w:pPr>
      <w:rPr>
        <w:rFonts w:ascii="Times New Roman" w:hAnsi="Times New Roman" w:cs="Times New Roman"/>
      </w:rPr>
    </w:lvl>
    <w:lvl w:ilvl="2">
      <w:start w:val="1"/>
      <w:numFmt w:val="bullet"/>
      <w:pStyle w:val="DoubleDot"/>
      <w:lvlText w:val=":"/>
      <w:lvlJc w:val="left"/>
      <w:pPr>
        <w:tabs>
          <w:tab w:val="num" w:pos="1917"/>
        </w:tabs>
        <w:ind w:left="1917" w:hanging="520"/>
      </w:pPr>
      <w:rPr>
        <w:rFonts w:ascii="Times New Roman" w:hAnsi="Times New Roman" w:cs="Times New Roman"/>
      </w:r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41">
    <w:nsid w:val="4B60666A"/>
    <w:multiLevelType w:val="hybridMultilevel"/>
    <w:tmpl w:val="9C0ABDE6"/>
    <w:lvl w:ilvl="0" w:tplc="B348400C">
      <w:start w:val="5"/>
      <w:numFmt w:val="lowerLetter"/>
      <w:lvlText w:val="(%1)"/>
      <w:lvlJc w:val="left"/>
      <w:pPr>
        <w:ind w:left="115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4B7105A0"/>
    <w:multiLevelType w:val="hybridMultilevel"/>
    <w:tmpl w:val="1046D146"/>
    <w:lvl w:ilvl="0" w:tplc="D5E8D254">
      <w:start w:val="1"/>
      <w:numFmt w:val="lowerLetter"/>
      <w:lvlText w:val="(%1)"/>
      <w:lvlJc w:val="left"/>
      <w:pPr>
        <w:ind w:left="115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1381D34"/>
    <w:multiLevelType w:val="hybridMultilevel"/>
    <w:tmpl w:val="34BA2788"/>
    <w:lvl w:ilvl="0" w:tplc="D5E8D254">
      <w:start w:val="1"/>
      <w:numFmt w:val="lowerLetter"/>
      <w:lvlText w:val="(%1)"/>
      <w:lvlJc w:val="left"/>
      <w:pPr>
        <w:ind w:left="1155" w:hanging="360"/>
      </w:pPr>
      <w:rPr>
        <w:rFonts w:hint="default"/>
      </w:rPr>
    </w:lvl>
    <w:lvl w:ilvl="1" w:tplc="BC1E42E0">
      <w:start w:val="1"/>
      <w:numFmt w:val="lowerRoman"/>
      <w:lvlText w:val="(%2)"/>
      <w:lvlJc w:val="right"/>
      <w:pPr>
        <w:ind w:left="1875" w:hanging="360"/>
      </w:pPr>
      <w:rPr>
        <w:rFonts w:hint="default"/>
      </w:rPr>
    </w:lvl>
    <w:lvl w:ilvl="2" w:tplc="E15E930E">
      <w:start w:val="1"/>
      <w:numFmt w:val="lowerLetter"/>
      <w:lvlText w:val="(%3)"/>
      <w:lvlJc w:val="left"/>
      <w:pPr>
        <w:ind w:left="2595" w:hanging="180"/>
      </w:pPr>
      <w:rPr>
        <w:rFonts w:ascii="Arial" w:eastAsia="Calibri" w:hAnsi="Arial" w:cs="Arial"/>
      </w:rPr>
    </w:lvl>
    <w:lvl w:ilvl="3" w:tplc="D5E8D254">
      <w:start w:val="1"/>
      <w:numFmt w:val="lowerLetter"/>
      <w:lvlText w:val="(%4)"/>
      <w:lvlJc w:val="left"/>
      <w:pPr>
        <w:ind w:left="3315" w:hanging="360"/>
      </w:pPr>
      <w:rPr>
        <w:rFonts w:hint="default"/>
      </w:r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44">
    <w:nsid w:val="52C10D13"/>
    <w:multiLevelType w:val="hybridMultilevel"/>
    <w:tmpl w:val="9B520C5A"/>
    <w:lvl w:ilvl="0" w:tplc="D5E8D254">
      <w:start w:val="1"/>
      <w:numFmt w:val="lowerLetter"/>
      <w:lvlText w:val="(%1)"/>
      <w:lvlJc w:val="left"/>
      <w:pPr>
        <w:ind w:left="115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6182549"/>
    <w:multiLevelType w:val="hybridMultilevel"/>
    <w:tmpl w:val="4238B47C"/>
    <w:lvl w:ilvl="0" w:tplc="D5E8D254">
      <w:start w:val="1"/>
      <w:numFmt w:val="lowerLetter"/>
      <w:lvlText w:val="(%1)"/>
      <w:lvlJc w:val="left"/>
      <w:pPr>
        <w:ind w:left="115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6F66323"/>
    <w:multiLevelType w:val="hybridMultilevel"/>
    <w:tmpl w:val="E54056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48">
    <w:nsid w:val="5C2C5EAC"/>
    <w:multiLevelType w:val="hybridMultilevel"/>
    <w:tmpl w:val="6BAAC5B8"/>
    <w:lvl w:ilvl="0" w:tplc="D5E8D254">
      <w:start w:val="1"/>
      <w:numFmt w:val="lowerLetter"/>
      <w:lvlText w:val="(%1)"/>
      <w:lvlJc w:val="left"/>
      <w:pPr>
        <w:ind w:left="1155" w:hanging="360"/>
      </w:pPr>
      <w:rPr>
        <w:rFonts w:hint="default"/>
      </w:rPr>
    </w:lvl>
    <w:lvl w:ilvl="1" w:tplc="BC1E42E0">
      <w:start w:val="1"/>
      <w:numFmt w:val="lowerRoman"/>
      <w:lvlText w:val="(%2)"/>
      <w:lvlJc w:val="right"/>
      <w:pPr>
        <w:ind w:left="1875" w:hanging="360"/>
      </w:pPr>
      <w:rPr>
        <w:rFonts w:hint="default"/>
      </w:r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4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nsid w:val="61DA3061"/>
    <w:multiLevelType w:val="hybridMultilevel"/>
    <w:tmpl w:val="84C2B0BE"/>
    <w:lvl w:ilvl="0" w:tplc="18641710">
      <w:numFmt w:val="bullet"/>
      <w:lvlText w:val="-"/>
      <w:lvlJc w:val="left"/>
      <w:pPr>
        <w:ind w:left="1077" w:hanging="360"/>
      </w:pPr>
      <w:rPr>
        <w:rFonts w:ascii="Times New Roman" w:eastAsiaTheme="minorHAnsi" w:hAnsi="Times New Roman" w:cs="Times New Roman"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1">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53">
    <w:nsid w:val="67DE04A9"/>
    <w:multiLevelType w:val="hybridMultilevel"/>
    <w:tmpl w:val="FB78B282"/>
    <w:lvl w:ilvl="0" w:tplc="D5E8D254">
      <w:start w:val="1"/>
      <w:numFmt w:val="lowerLetter"/>
      <w:lvlText w:val="(%1)"/>
      <w:lvlJc w:val="left"/>
      <w:pPr>
        <w:ind w:left="115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85142D3"/>
    <w:multiLevelType w:val="hybridMultilevel"/>
    <w:tmpl w:val="DB7E34C8"/>
    <w:lvl w:ilvl="0" w:tplc="D5E8D254">
      <w:start w:val="1"/>
      <w:numFmt w:val="lowerLetter"/>
      <w:lvlText w:val="(%1)"/>
      <w:lvlJc w:val="left"/>
      <w:pPr>
        <w:ind w:left="115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6E465569"/>
    <w:multiLevelType w:val="hybridMultilevel"/>
    <w:tmpl w:val="24BCBD74"/>
    <w:lvl w:ilvl="0" w:tplc="26500F80">
      <w:start w:val="7"/>
      <w:numFmt w:val="decimal"/>
      <w:lvlText w:val="%1."/>
      <w:lvlJc w:val="left"/>
      <w:pPr>
        <w:ind w:left="360"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56">
    <w:nsid w:val="6FB96ADD"/>
    <w:multiLevelType w:val="hybridMultilevel"/>
    <w:tmpl w:val="386860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701E7B6D"/>
    <w:multiLevelType w:val="hybridMultilevel"/>
    <w:tmpl w:val="96B41B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59">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60">
    <w:nsid w:val="7549541C"/>
    <w:multiLevelType w:val="hybridMultilevel"/>
    <w:tmpl w:val="F3D0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62">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63">
    <w:nsid w:val="7C57598F"/>
    <w:multiLevelType w:val="hybridMultilevel"/>
    <w:tmpl w:val="48345F7E"/>
    <w:lvl w:ilvl="0" w:tplc="D5E8D254">
      <w:start w:val="1"/>
      <w:numFmt w:val="lowerLetter"/>
      <w:lvlText w:val="(%1)"/>
      <w:lvlJc w:val="left"/>
      <w:pPr>
        <w:ind w:left="1155" w:hanging="360"/>
      </w:pPr>
      <w:rPr>
        <w:rFonts w:hint="default"/>
      </w:rPr>
    </w:lvl>
    <w:lvl w:ilvl="1" w:tplc="106434E2">
      <w:start w:val="1"/>
      <w:numFmt w:val="lowerRoman"/>
      <w:lvlText w:val="(%2)"/>
      <w:lvlJc w:val="right"/>
      <w:pPr>
        <w:ind w:left="1875" w:hanging="360"/>
      </w:pPr>
      <w:rPr>
        <w:rFonts w:hint="default"/>
      </w:r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64">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64"/>
  </w:num>
  <w:num w:numId="3">
    <w:abstractNumId w:val="7"/>
  </w:num>
  <w:num w:numId="4">
    <w:abstractNumId w:val="6"/>
  </w:num>
  <w:num w:numId="5">
    <w:abstractNumId w:val="5"/>
  </w:num>
  <w:num w:numId="6">
    <w:abstractNumId w:val="4"/>
  </w:num>
  <w:num w:numId="7">
    <w:abstractNumId w:val="1"/>
  </w:num>
  <w:num w:numId="8">
    <w:abstractNumId w:val="0"/>
  </w:num>
  <w:num w:numId="9">
    <w:abstractNumId w:val="52"/>
  </w:num>
  <w:num w:numId="10">
    <w:abstractNumId w:val="33"/>
  </w:num>
  <w:num w:numId="11">
    <w:abstractNumId w:val="12"/>
  </w:num>
  <w:num w:numId="12">
    <w:abstractNumId w:val="19"/>
  </w:num>
  <w:num w:numId="13">
    <w:abstractNumId w:val="32"/>
  </w:num>
  <w:num w:numId="14">
    <w:abstractNumId w:val="2"/>
  </w:num>
  <w:num w:numId="15">
    <w:abstractNumId w:val="58"/>
  </w:num>
  <w:num w:numId="16">
    <w:abstractNumId w:val="62"/>
  </w:num>
  <w:num w:numId="17">
    <w:abstractNumId w:val="61"/>
  </w:num>
  <w:num w:numId="18">
    <w:abstractNumId w:val="47"/>
  </w:num>
  <w:num w:numId="19">
    <w:abstractNumId w:val="29"/>
  </w:num>
  <w:num w:numId="20">
    <w:abstractNumId w:val="35"/>
  </w:num>
  <w:num w:numId="21">
    <w:abstractNumId w:val="59"/>
  </w:num>
  <w:num w:numId="22">
    <w:abstractNumId w:val="49"/>
  </w:num>
  <w:num w:numId="23">
    <w:abstractNumId w:val="8"/>
  </w:num>
  <w:num w:numId="24">
    <w:abstractNumId w:val="3"/>
  </w:num>
  <w:num w:numId="25">
    <w:abstractNumId w:val="39"/>
  </w:num>
  <w:num w:numId="26">
    <w:abstractNumId w:val="15"/>
  </w:num>
  <w:num w:numId="27">
    <w:abstractNumId w:val="51"/>
  </w:num>
  <w:num w:numId="28">
    <w:abstractNumId w:val="60"/>
  </w:num>
  <w:num w:numId="29">
    <w:abstractNumId w:val="22"/>
  </w:num>
  <w:num w:numId="30">
    <w:abstractNumId w:val="37"/>
  </w:num>
  <w:num w:numId="31">
    <w:abstractNumId w:val="40"/>
  </w:num>
  <w:num w:numId="32">
    <w:abstractNumId w:val="11"/>
  </w:num>
  <w:num w:numId="33">
    <w:abstractNumId w:val="36"/>
  </w:num>
  <w:num w:numId="34">
    <w:abstractNumId w:val="18"/>
  </w:num>
  <w:num w:numId="35">
    <w:abstractNumId w:val="17"/>
  </w:num>
  <w:num w:numId="36">
    <w:abstractNumId w:val="56"/>
  </w:num>
  <w:num w:numId="37">
    <w:abstractNumId w:val="16"/>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19"/>
  </w:num>
  <w:num w:numId="51">
    <w:abstractNumId w:val="9"/>
  </w:num>
  <w:num w:numId="52">
    <w:abstractNumId w:val="50"/>
  </w:num>
  <w:num w:numId="53">
    <w:abstractNumId w:val="31"/>
  </w:num>
  <w:num w:numId="54">
    <w:abstractNumId w:val="23"/>
  </w:num>
  <w:num w:numId="55">
    <w:abstractNumId w:val="63"/>
  </w:num>
  <w:num w:numId="56">
    <w:abstractNumId w:val="41"/>
  </w:num>
  <w:num w:numId="57">
    <w:abstractNumId w:val="28"/>
  </w:num>
  <w:num w:numId="58">
    <w:abstractNumId w:val="27"/>
  </w:num>
  <w:num w:numId="59">
    <w:abstractNumId w:val="38"/>
  </w:num>
  <w:num w:numId="60">
    <w:abstractNumId w:val="53"/>
  </w:num>
  <w:num w:numId="61">
    <w:abstractNumId w:val="44"/>
  </w:num>
  <w:num w:numId="62">
    <w:abstractNumId w:val="14"/>
  </w:num>
  <w:num w:numId="63">
    <w:abstractNumId w:val="54"/>
  </w:num>
  <w:num w:numId="64">
    <w:abstractNumId w:val="24"/>
  </w:num>
  <w:num w:numId="65">
    <w:abstractNumId w:val="45"/>
  </w:num>
  <w:num w:numId="66">
    <w:abstractNumId w:val="42"/>
  </w:num>
  <w:num w:numId="67">
    <w:abstractNumId w:val="34"/>
  </w:num>
  <w:num w:numId="68">
    <w:abstractNumId w:val="48"/>
  </w:num>
  <w:num w:numId="69">
    <w:abstractNumId w:val="30"/>
  </w:num>
  <w:num w:numId="70">
    <w:abstractNumId w:val="26"/>
  </w:num>
  <w:num w:numId="71">
    <w:abstractNumId w:val="43"/>
  </w:num>
  <w:num w:numId="72">
    <w:abstractNumId w:val="21"/>
  </w:num>
  <w:num w:numId="73">
    <w:abstractNumId w:val="46"/>
  </w:num>
  <w:num w:numId="74">
    <w:abstractNumId w:val="55"/>
  </w:num>
  <w:num w:numId="75">
    <w:abstractNumId w:val="19"/>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num>
  <w:num w:numId="78">
    <w:abstractNumId w:val="33"/>
  </w:num>
  <w:num w:numId="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5"/>
  </w:num>
  <w:num w:numId="84">
    <w:abstractNumId w:val="19"/>
  </w:num>
  <w:num w:numId="85">
    <w:abstractNumId w:val="19"/>
  </w:num>
  <w:num w:numId="86">
    <w:abstractNumId w:val="19"/>
  </w:num>
  <w:num w:numId="87">
    <w:abstractNumId w:val="57"/>
  </w:num>
  <w:num w:numId="88">
    <w:abstractNumId w:val="19"/>
  </w:num>
  <w:num w:numId="89">
    <w:abstractNumId w:val="10"/>
  </w:num>
  <w:num w:numId="90">
    <w:abstractNumId w:val="19"/>
  </w:num>
  <w:num w:numId="91">
    <w:abstractNumId w:val="19"/>
  </w:num>
  <w:num w:numId="92">
    <w:abstractNumId w:val="19"/>
  </w:num>
  <w:num w:numId="93">
    <w:abstractNumId w:val="19"/>
  </w:num>
  <w:num w:numId="94">
    <w:abstractNumId w:val="19"/>
  </w:num>
  <w:num w:numId="95">
    <w:abstractNumId w:val="19"/>
  </w:num>
  <w:num w:numId="96">
    <w:abstractNumId w:val="1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34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044\D16 130124  CPS SP - Pedal Bicycle draft RIS - incorporating feedback from standards review meeting - September 2016.DOCX"/>
  </w:docVars>
  <w:rsids>
    <w:rsidRoot w:val="002D3CAF"/>
    <w:rsid w:val="00001163"/>
    <w:rsid w:val="00001A41"/>
    <w:rsid w:val="00003674"/>
    <w:rsid w:val="000036C7"/>
    <w:rsid w:val="0000733D"/>
    <w:rsid w:val="000073A4"/>
    <w:rsid w:val="00012204"/>
    <w:rsid w:val="000135D4"/>
    <w:rsid w:val="0002115F"/>
    <w:rsid w:val="00021202"/>
    <w:rsid w:val="000225C4"/>
    <w:rsid w:val="00022B58"/>
    <w:rsid w:val="00030C4E"/>
    <w:rsid w:val="0003189F"/>
    <w:rsid w:val="00033A60"/>
    <w:rsid w:val="0003447B"/>
    <w:rsid w:val="0003522B"/>
    <w:rsid w:val="00035651"/>
    <w:rsid w:val="00035742"/>
    <w:rsid w:val="0003578C"/>
    <w:rsid w:val="00037F73"/>
    <w:rsid w:val="00040EE2"/>
    <w:rsid w:val="00041889"/>
    <w:rsid w:val="0004241A"/>
    <w:rsid w:val="00043458"/>
    <w:rsid w:val="000469A3"/>
    <w:rsid w:val="00052D85"/>
    <w:rsid w:val="00053BFC"/>
    <w:rsid w:val="00053C23"/>
    <w:rsid w:val="0005649B"/>
    <w:rsid w:val="000613F4"/>
    <w:rsid w:val="0006153A"/>
    <w:rsid w:val="00062674"/>
    <w:rsid w:val="00063247"/>
    <w:rsid w:val="0006508D"/>
    <w:rsid w:val="00070F9F"/>
    <w:rsid w:val="0007137B"/>
    <w:rsid w:val="000714ED"/>
    <w:rsid w:val="00074141"/>
    <w:rsid w:val="000758C3"/>
    <w:rsid w:val="00075AAD"/>
    <w:rsid w:val="00077370"/>
    <w:rsid w:val="000779E8"/>
    <w:rsid w:val="00085663"/>
    <w:rsid w:val="00085EBF"/>
    <w:rsid w:val="00086811"/>
    <w:rsid w:val="0008725D"/>
    <w:rsid w:val="0009167A"/>
    <w:rsid w:val="000973A9"/>
    <w:rsid w:val="000A0945"/>
    <w:rsid w:val="000A1363"/>
    <w:rsid w:val="000A192D"/>
    <w:rsid w:val="000A25D3"/>
    <w:rsid w:val="000A260F"/>
    <w:rsid w:val="000A6EDB"/>
    <w:rsid w:val="000B0ECC"/>
    <w:rsid w:val="000B3CDA"/>
    <w:rsid w:val="000B6271"/>
    <w:rsid w:val="000C264F"/>
    <w:rsid w:val="000C6F6B"/>
    <w:rsid w:val="000D08E7"/>
    <w:rsid w:val="000D09AA"/>
    <w:rsid w:val="000D122C"/>
    <w:rsid w:val="000D1CDC"/>
    <w:rsid w:val="000D40A1"/>
    <w:rsid w:val="000D4C48"/>
    <w:rsid w:val="000D5BB1"/>
    <w:rsid w:val="000E1819"/>
    <w:rsid w:val="000E312F"/>
    <w:rsid w:val="000E6AFB"/>
    <w:rsid w:val="000E6C72"/>
    <w:rsid w:val="000F128D"/>
    <w:rsid w:val="000F2368"/>
    <w:rsid w:val="000F2611"/>
    <w:rsid w:val="00106F6A"/>
    <w:rsid w:val="00107C9A"/>
    <w:rsid w:val="00110F83"/>
    <w:rsid w:val="00112FB0"/>
    <w:rsid w:val="001154E3"/>
    <w:rsid w:val="00116BC2"/>
    <w:rsid w:val="00116EB2"/>
    <w:rsid w:val="001213F7"/>
    <w:rsid w:val="00121427"/>
    <w:rsid w:val="00124609"/>
    <w:rsid w:val="00127C87"/>
    <w:rsid w:val="00131527"/>
    <w:rsid w:val="00131AAA"/>
    <w:rsid w:val="00132CDA"/>
    <w:rsid w:val="00133F89"/>
    <w:rsid w:val="00141B53"/>
    <w:rsid w:val="0014328B"/>
    <w:rsid w:val="001538C1"/>
    <w:rsid w:val="0015737E"/>
    <w:rsid w:val="001573E4"/>
    <w:rsid w:val="00160756"/>
    <w:rsid w:val="00166514"/>
    <w:rsid w:val="00171075"/>
    <w:rsid w:val="0017232E"/>
    <w:rsid w:val="00173CAC"/>
    <w:rsid w:val="00174102"/>
    <w:rsid w:val="001742AC"/>
    <w:rsid w:val="00174A2D"/>
    <w:rsid w:val="00180157"/>
    <w:rsid w:val="00181223"/>
    <w:rsid w:val="001837EA"/>
    <w:rsid w:val="00185BA3"/>
    <w:rsid w:val="001860A6"/>
    <w:rsid w:val="00186F77"/>
    <w:rsid w:val="00191811"/>
    <w:rsid w:val="001926A4"/>
    <w:rsid w:val="00193DD5"/>
    <w:rsid w:val="001963A0"/>
    <w:rsid w:val="00197237"/>
    <w:rsid w:val="001A1042"/>
    <w:rsid w:val="001A3114"/>
    <w:rsid w:val="001A3A19"/>
    <w:rsid w:val="001A440F"/>
    <w:rsid w:val="001B246B"/>
    <w:rsid w:val="001B2DC2"/>
    <w:rsid w:val="001B45A0"/>
    <w:rsid w:val="001C18EE"/>
    <w:rsid w:val="001C1DF9"/>
    <w:rsid w:val="001D055E"/>
    <w:rsid w:val="001D415E"/>
    <w:rsid w:val="001D6915"/>
    <w:rsid w:val="001D6E95"/>
    <w:rsid w:val="001D7BC4"/>
    <w:rsid w:val="001E0724"/>
    <w:rsid w:val="001E1954"/>
    <w:rsid w:val="001E1EF0"/>
    <w:rsid w:val="001E345C"/>
    <w:rsid w:val="001E6A7A"/>
    <w:rsid w:val="001E6B6C"/>
    <w:rsid w:val="001F492E"/>
    <w:rsid w:val="001F6DA3"/>
    <w:rsid w:val="00201703"/>
    <w:rsid w:val="0020238C"/>
    <w:rsid w:val="002047DE"/>
    <w:rsid w:val="00205336"/>
    <w:rsid w:val="0021200D"/>
    <w:rsid w:val="00212737"/>
    <w:rsid w:val="00216DFE"/>
    <w:rsid w:val="002207B1"/>
    <w:rsid w:val="00224DB9"/>
    <w:rsid w:val="00230CB1"/>
    <w:rsid w:val="00231465"/>
    <w:rsid w:val="00233F6B"/>
    <w:rsid w:val="00241A60"/>
    <w:rsid w:val="002420E3"/>
    <w:rsid w:val="00242B9C"/>
    <w:rsid w:val="00244177"/>
    <w:rsid w:val="00246CE3"/>
    <w:rsid w:val="00247712"/>
    <w:rsid w:val="00251369"/>
    <w:rsid w:val="00251745"/>
    <w:rsid w:val="00256B71"/>
    <w:rsid w:val="0025761D"/>
    <w:rsid w:val="0025765C"/>
    <w:rsid w:val="00260BA7"/>
    <w:rsid w:val="00260F33"/>
    <w:rsid w:val="00263AC0"/>
    <w:rsid w:val="0026446C"/>
    <w:rsid w:val="0026772D"/>
    <w:rsid w:val="00270CB2"/>
    <w:rsid w:val="00272417"/>
    <w:rsid w:val="0028052C"/>
    <w:rsid w:val="00281C57"/>
    <w:rsid w:val="00282CBC"/>
    <w:rsid w:val="002832E2"/>
    <w:rsid w:val="002861F0"/>
    <w:rsid w:val="00286874"/>
    <w:rsid w:val="002874FC"/>
    <w:rsid w:val="002925B1"/>
    <w:rsid w:val="00292A04"/>
    <w:rsid w:val="00292C8E"/>
    <w:rsid w:val="00296B65"/>
    <w:rsid w:val="00296D97"/>
    <w:rsid w:val="002A1AF7"/>
    <w:rsid w:val="002A20B4"/>
    <w:rsid w:val="002A7DEF"/>
    <w:rsid w:val="002B43C0"/>
    <w:rsid w:val="002B77EE"/>
    <w:rsid w:val="002B7960"/>
    <w:rsid w:val="002C1327"/>
    <w:rsid w:val="002C209B"/>
    <w:rsid w:val="002C33F0"/>
    <w:rsid w:val="002C380F"/>
    <w:rsid w:val="002C38F9"/>
    <w:rsid w:val="002C4C73"/>
    <w:rsid w:val="002C5A24"/>
    <w:rsid w:val="002D16C8"/>
    <w:rsid w:val="002D2ACD"/>
    <w:rsid w:val="002D380D"/>
    <w:rsid w:val="002D3CAF"/>
    <w:rsid w:val="002D6A07"/>
    <w:rsid w:val="002E26FF"/>
    <w:rsid w:val="002E3136"/>
    <w:rsid w:val="002E7268"/>
    <w:rsid w:val="002E7B9B"/>
    <w:rsid w:val="002F2DE7"/>
    <w:rsid w:val="002F4F31"/>
    <w:rsid w:val="002F58D1"/>
    <w:rsid w:val="002F658B"/>
    <w:rsid w:val="002F7986"/>
    <w:rsid w:val="003005AA"/>
    <w:rsid w:val="00302D09"/>
    <w:rsid w:val="00303C4A"/>
    <w:rsid w:val="0030404A"/>
    <w:rsid w:val="003046B3"/>
    <w:rsid w:val="00307577"/>
    <w:rsid w:val="00307F6D"/>
    <w:rsid w:val="00316FF7"/>
    <w:rsid w:val="003177A2"/>
    <w:rsid w:val="00320763"/>
    <w:rsid w:val="00320D02"/>
    <w:rsid w:val="003217D3"/>
    <w:rsid w:val="00322724"/>
    <w:rsid w:val="0032609D"/>
    <w:rsid w:val="00326A26"/>
    <w:rsid w:val="003271B5"/>
    <w:rsid w:val="003301BA"/>
    <w:rsid w:val="00330CA0"/>
    <w:rsid w:val="00331264"/>
    <w:rsid w:val="00334C8D"/>
    <w:rsid w:val="00336A1E"/>
    <w:rsid w:val="00337C45"/>
    <w:rsid w:val="00340655"/>
    <w:rsid w:val="00342D79"/>
    <w:rsid w:val="003459E6"/>
    <w:rsid w:val="00345DB5"/>
    <w:rsid w:val="00347958"/>
    <w:rsid w:val="003500E3"/>
    <w:rsid w:val="003518B3"/>
    <w:rsid w:val="00355AF7"/>
    <w:rsid w:val="0035703F"/>
    <w:rsid w:val="00357935"/>
    <w:rsid w:val="003639FE"/>
    <w:rsid w:val="00365070"/>
    <w:rsid w:val="00366A4D"/>
    <w:rsid w:val="00371641"/>
    <w:rsid w:val="003742EE"/>
    <w:rsid w:val="0037551F"/>
    <w:rsid w:val="003846F1"/>
    <w:rsid w:val="00387086"/>
    <w:rsid w:val="00387B24"/>
    <w:rsid w:val="00390431"/>
    <w:rsid w:val="00391A94"/>
    <w:rsid w:val="0039265B"/>
    <w:rsid w:val="00392EB5"/>
    <w:rsid w:val="003A673F"/>
    <w:rsid w:val="003A698F"/>
    <w:rsid w:val="003A6C92"/>
    <w:rsid w:val="003A6FA4"/>
    <w:rsid w:val="003B15E6"/>
    <w:rsid w:val="003B5A70"/>
    <w:rsid w:val="003C4D94"/>
    <w:rsid w:val="003D0DF6"/>
    <w:rsid w:val="003D1A60"/>
    <w:rsid w:val="003D2182"/>
    <w:rsid w:val="003D7296"/>
    <w:rsid w:val="003E5614"/>
    <w:rsid w:val="003E6A7A"/>
    <w:rsid w:val="003F308A"/>
    <w:rsid w:val="003F59C5"/>
    <w:rsid w:val="00400E79"/>
    <w:rsid w:val="004011E6"/>
    <w:rsid w:val="0040649A"/>
    <w:rsid w:val="00406C20"/>
    <w:rsid w:val="0040745C"/>
    <w:rsid w:val="004131B1"/>
    <w:rsid w:val="00414E0C"/>
    <w:rsid w:val="00416E89"/>
    <w:rsid w:val="00422F13"/>
    <w:rsid w:val="004235D7"/>
    <w:rsid w:val="0042489D"/>
    <w:rsid w:val="0042562B"/>
    <w:rsid w:val="00425D63"/>
    <w:rsid w:val="0042647F"/>
    <w:rsid w:val="00430946"/>
    <w:rsid w:val="004321B0"/>
    <w:rsid w:val="004345A6"/>
    <w:rsid w:val="0044359B"/>
    <w:rsid w:val="00451316"/>
    <w:rsid w:val="0045226B"/>
    <w:rsid w:val="004530E1"/>
    <w:rsid w:val="00467F6C"/>
    <w:rsid w:val="00472B50"/>
    <w:rsid w:val="00475DDE"/>
    <w:rsid w:val="00477002"/>
    <w:rsid w:val="00480B4B"/>
    <w:rsid w:val="00483195"/>
    <w:rsid w:val="00484513"/>
    <w:rsid w:val="00485280"/>
    <w:rsid w:val="00485DC4"/>
    <w:rsid w:val="004911CD"/>
    <w:rsid w:val="00493D69"/>
    <w:rsid w:val="004944CB"/>
    <w:rsid w:val="00494E49"/>
    <w:rsid w:val="00495517"/>
    <w:rsid w:val="00496512"/>
    <w:rsid w:val="004A149E"/>
    <w:rsid w:val="004A1EC3"/>
    <w:rsid w:val="004A4540"/>
    <w:rsid w:val="004A4D13"/>
    <w:rsid w:val="004A60CC"/>
    <w:rsid w:val="004A7B8F"/>
    <w:rsid w:val="004B1E68"/>
    <w:rsid w:val="004B4412"/>
    <w:rsid w:val="004B48AD"/>
    <w:rsid w:val="004B6F46"/>
    <w:rsid w:val="004B76D3"/>
    <w:rsid w:val="004C27D2"/>
    <w:rsid w:val="004C348C"/>
    <w:rsid w:val="004C4A78"/>
    <w:rsid w:val="004D3910"/>
    <w:rsid w:val="004D55BA"/>
    <w:rsid w:val="004E59AA"/>
    <w:rsid w:val="004F1191"/>
    <w:rsid w:val="004F3B6A"/>
    <w:rsid w:val="004F65A9"/>
    <w:rsid w:val="00501D62"/>
    <w:rsid w:val="005038DB"/>
    <w:rsid w:val="00504480"/>
    <w:rsid w:val="00505806"/>
    <w:rsid w:val="00505A30"/>
    <w:rsid w:val="00512954"/>
    <w:rsid w:val="005236BC"/>
    <w:rsid w:val="0052379B"/>
    <w:rsid w:val="00526924"/>
    <w:rsid w:val="00527F52"/>
    <w:rsid w:val="00530128"/>
    <w:rsid w:val="0053214D"/>
    <w:rsid w:val="00532467"/>
    <w:rsid w:val="0053384A"/>
    <w:rsid w:val="00535388"/>
    <w:rsid w:val="00543B72"/>
    <w:rsid w:val="00547BA2"/>
    <w:rsid w:val="00547CCF"/>
    <w:rsid w:val="00547F34"/>
    <w:rsid w:val="00553AE4"/>
    <w:rsid w:val="005609D6"/>
    <w:rsid w:val="0056313D"/>
    <w:rsid w:val="00564633"/>
    <w:rsid w:val="00564A4D"/>
    <w:rsid w:val="0056545C"/>
    <w:rsid w:val="005660C7"/>
    <w:rsid w:val="00566B5E"/>
    <w:rsid w:val="00571B35"/>
    <w:rsid w:val="00571C9F"/>
    <w:rsid w:val="00575267"/>
    <w:rsid w:val="00576DD5"/>
    <w:rsid w:val="00577A09"/>
    <w:rsid w:val="00580B78"/>
    <w:rsid w:val="005814C4"/>
    <w:rsid w:val="00584D8F"/>
    <w:rsid w:val="00592355"/>
    <w:rsid w:val="00592EF2"/>
    <w:rsid w:val="00594234"/>
    <w:rsid w:val="00594D0F"/>
    <w:rsid w:val="00595326"/>
    <w:rsid w:val="00595B49"/>
    <w:rsid w:val="00596D42"/>
    <w:rsid w:val="005A0C04"/>
    <w:rsid w:val="005A36B9"/>
    <w:rsid w:val="005A404D"/>
    <w:rsid w:val="005A47AD"/>
    <w:rsid w:val="005A4E49"/>
    <w:rsid w:val="005B0BE5"/>
    <w:rsid w:val="005B1E3C"/>
    <w:rsid w:val="005B209E"/>
    <w:rsid w:val="005B766F"/>
    <w:rsid w:val="005C0846"/>
    <w:rsid w:val="005C1811"/>
    <w:rsid w:val="005C2261"/>
    <w:rsid w:val="005C24AC"/>
    <w:rsid w:val="005C26CC"/>
    <w:rsid w:val="005C2D70"/>
    <w:rsid w:val="005C4450"/>
    <w:rsid w:val="005C46B3"/>
    <w:rsid w:val="005C4E04"/>
    <w:rsid w:val="005C699D"/>
    <w:rsid w:val="005C6B36"/>
    <w:rsid w:val="005C7FB2"/>
    <w:rsid w:val="005D14F0"/>
    <w:rsid w:val="005D3393"/>
    <w:rsid w:val="005D61B3"/>
    <w:rsid w:val="005E04CA"/>
    <w:rsid w:val="005E1E39"/>
    <w:rsid w:val="005E349B"/>
    <w:rsid w:val="005E6C0E"/>
    <w:rsid w:val="0060135A"/>
    <w:rsid w:val="00603202"/>
    <w:rsid w:val="00603FDC"/>
    <w:rsid w:val="006043AF"/>
    <w:rsid w:val="00604863"/>
    <w:rsid w:val="00604B98"/>
    <w:rsid w:val="00605AE2"/>
    <w:rsid w:val="00606824"/>
    <w:rsid w:val="00607157"/>
    <w:rsid w:val="006073AC"/>
    <w:rsid w:val="00607B61"/>
    <w:rsid w:val="00613867"/>
    <w:rsid w:val="00615C6B"/>
    <w:rsid w:val="00615DF6"/>
    <w:rsid w:val="00616023"/>
    <w:rsid w:val="00620313"/>
    <w:rsid w:val="006211A3"/>
    <w:rsid w:val="00623EF7"/>
    <w:rsid w:val="00624E5D"/>
    <w:rsid w:val="00632D6D"/>
    <w:rsid w:val="0063320E"/>
    <w:rsid w:val="00633BDA"/>
    <w:rsid w:val="00640DAE"/>
    <w:rsid w:val="00642C3E"/>
    <w:rsid w:val="00644892"/>
    <w:rsid w:val="00646025"/>
    <w:rsid w:val="0064690D"/>
    <w:rsid w:val="00646F21"/>
    <w:rsid w:val="006570DF"/>
    <w:rsid w:val="0065777C"/>
    <w:rsid w:val="00661D86"/>
    <w:rsid w:val="006639DC"/>
    <w:rsid w:val="00663DAD"/>
    <w:rsid w:val="0066471B"/>
    <w:rsid w:val="006667DA"/>
    <w:rsid w:val="00667EBB"/>
    <w:rsid w:val="00674A09"/>
    <w:rsid w:val="00676679"/>
    <w:rsid w:val="006768F6"/>
    <w:rsid w:val="006812E7"/>
    <w:rsid w:val="00681B88"/>
    <w:rsid w:val="00682050"/>
    <w:rsid w:val="0068395A"/>
    <w:rsid w:val="00687519"/>
    <w:rsid w:val="00687D75"/>
    <w:rsid w:val="00690155"/>
    <w:rsid w:val="00691616"/>
    <w:rsid w:val="006A2908"/>
    <w:rsid w:val="006A3C4D"/>
    <w:rsid w:val="006A3C63"/>
    <w:rsid w:val="006A3F55"/>
    <w:rsid w:val="006A473B"/>
    <w:rsid w:val="006A6307"/>
    <w:rsid w:val="006A67D9"/>
    <w:rsid w:val="006B09EC"/>
    <w:rsid w:val="006B4CF9"/>
    <w:rsid w:val="006B5792"/>
    <w:rsid w:val="006B7AC8"/>
    <w:rsid w:val="006B7EC2"/>
    <w:rsid w:val="006C34C4"/>
    <w:rsid w:val="006C3C67"/>
    <w:rsid w:val="006C4137"/>
    <w:rsid w:val="006C78EC"/>
    <w:rsid w:val="006C7FE4"/>
    <w:rsid w:val="006D11CA"/>
    <w:rsid w:val="006D1E38"/>
    <w:rsid w:val="006D550F"/>
    <w:rsid w:val="006D56C5"/>
    <w:rsid w:val="006D77F3"/>
    <w:rsid w:val="006D79CA"/>
    <w:rsid w:val="006E0F51"/>
    <w:rsid w:val="006E3B46"/>
    <w:rsid w:val="006E6299"/>
    <w:rsid w:val="006F1F36"/>
    <w:rsid w:val="006F63F1"/>
    <w:rsid w:val="006F7880"/>
    <w:rsid w:val="00701CAB"/>
    <w:rsid w:val="00702076"/>
    <w:rsid w:val="00702111"/>
    <w:rsid w:val="00704073"/>
    <w:rsid w:val="00707563"/>
    <w:rsid w:val="007215B7"/>
    <w:rsid w:val="0072348C"/>
    <w:rsid w:val="00724175"/>
    <w:rsid w:val="00724A37"/>
    <w:rsid w:val="00724A5C"/>
    <w:rsid w:val="007303C3"/>
    <w:rsid w:val="00735ABF"/>
    <w:rsid w:val="00735D1F"/>
    <w:rsid w:val="00736927"/>
    <w:rsid w:val="00741D59"/>
    <w:rsid w:val="00742121"/>
    <w:rsid w:val="00743223"/>
    <w:rsid w:val="00743950"/>
    <w:rsid w:val="00744B09"/>
    <w:rsid w:val="00746E01"/>
    <w:rsid w:val="007474C0"/>
    <w:rsid w:val="00750EA4"/>
    <w:rsid w:val="007542E8"/>
    <w:rsid w:val="007627B9"/>
    <w:rsid w:val="00762EBF"/>
    <w:rsid w:val="00763391"/>
    <w:rsid w:val="00763E5D"/>
    <w:rsid w:val="00767740"/>
    <w:rsid w:val="00772FD5"/>
    <w:rsid w:val="00773187"/>
    <w:rsid w:val="00776D93"/>
    <w:rsid w:val="00777EE6"/>
    <w:rsid w:val="0078119C"/>
    <w:rsid w:val="0078264F"/>
    <w:rsid w:val="00782EEA"/>
    <w:rsid w:val="0078671C"/>
    <w:rsid w:val="00795CBB"/>
    <w:rsid w:val="007A680B"/>
    <w:rsid w:val="007A6E0B"/>
    <w:rsid w:val="007B2C72"/>
    <w:rsid w:val="007B633E"/>
    <w:rsid w:val="007B64CC"/>
    <w:rsid w:val="007C0FE4"/>
    <w:rsid w:val="007C1C53"/>
    <w:rsid w:val="007C2596"/>
    <w:rsid w:val="007C4948"/>
    <w:rsid w:val="007D0F7D"/>
    <w:rsid w:val="007D1273"/>
    <w:rsid w:val="007D2587"/>
    <w:rsid w:val="007E0874"/>
    <w:rsid w:val="007E26A9"/>
    <w:rsid w:val="007E4904"/>
    <w:rsid w:val="007E4CB5"/>
    <w:rsid w:val="007E4EAA"/>
    <w:rsid w:val="007E5284"/>
    <w:rsid w:val="007F066B"/>
    <w:rsid w:val="007F1855"/>
    <w:rsid w:val="007F5020"/>
    <w:rsid w:val="00802B61"/>
    <w:rsid w:val="008033C4"/>
    <w:rsid w:val="00805EE8"/>
    <w:rsid w:val="00806807"/>
    <w:rsid w:val="00806C88"/>
    <w:rsid w:val="008101C5"/>
    <w:rsid w:val="0081034E"/>
    <w:rsid w:val="00815A35"/>
    <w:rsid w:val="00816245"/>
    <w:rsid w:val="008227EC"/>
    <w:rsid w:val="0082281C"/>
    <w:rsid w:val="00827CD8"/>
    <w:rsid w:val="00832100"/>
    <w:rsid w:val="00833236"/>
    <w:rsid w:val="0083359B"/>
    <w:rsid w:val="008344F6"/>
    <w:rsid w:val="00834FC1"/>
    <w:rsid w:val="0083510F"/>
    <w:rsid w:val="00835FF6"/>
    <w:rsid w:val="008430E9"/>
    <w:rsid w:val="00844C04"/>
    <w:rsid w:val="00851209"/>
    <w:rsid w:val="00851AED"/>
    <w:rsid w:val="00853532"/>
    <w:rsid w:val="00855DAC"/>
    <w:rsid w:val="008606B4"/>
    <w:rsid w:val="00861A3B"/>
    <w:rsid w:val="00863D46"/>
    <w:rsid w:val="00864FB0"/>
    <w:rsid w:val="008660A6"/>
    <w:rsid w:val="00866D13"/>
    <w:rsid w:val="00867D1B"/>
    <w:rsid w:val="00867F9D"/>
    <w:rsid w:val="00876CEE"/>
    <w:rsid w:val="0088007E"/>
    <w:rsid w:val="00880123"/>
    <w:rsid w:val="008837AC"/>
    <w:rsid w:val="00887FB5"/>
    <w:rsid w:val="0089184E"/>
    <w:rsid w:val="008945B4"/>
    <w:rsid w:val="00895951"/>
    <w:rsid w:val="00895D84"/>
    <w:rsid w:val="0089607B"/>
    <w:rsid w:val="00896C45"/>
    <w:rsid w:val="008A1062"/>
    <w:rsid w:val="008A334D"/>
    <w:rsid w:val="008A3439"/>
    <w:rsid w:val="008A587D"/>
    <w:rsid w:val="008A72D1"/>
    <w:rsid w:val="008B39F4"/>
    <w:rsid w:val="008B3A32"/>
    <w:rsid w:val="008B41B9"/>
    <w:rsid w:val="008B6618"/>
    <w:rsid w:val="008C24C2"/>
    <w:rsid w:val="008C37B8"/>
    <w:rsid w:val="008C3FCF"/>
    <w:rsid w:val="008C4FF4"/>
    <w:rsid w:val="008C5486"/>
    <w:rsid w:val="008C6E44"/>
    <w:rsid w:val="008C7E27"/>
    <w:rsid w:val="008D409D"/>
    <w:rsid w:val="008D6BCD"/>
    <w:rsid w:val="008D7DFF"/>
    <w:rsid w:val="008E0155"/>
    <w:rsid w:val="008E5325"/>
    <w:rsid w:val="008E5D41"/>
    <w:rsid w:val="008E7031"/>
    <w:rsid w:val="008F095D"/>
    <w:rsid w:val="008F167A"/>
    <w:rsid w:val="00900153"/>
    <w:rsid w:val="00900556"/>
    <w:rsid w:val="00903922"/>
    <w:rsid w:val="00903F47"/>
    <w:rsid w:val="00904C40"/>
    <w:rsid w:val="00905DC7"/>
    <w:rsid w:val="009072A1"/>
    <w:rsid w:val="00922C95"/>
    <w:rsid w:val="0092305C"/>
    <w:rsid w:val="009233EE"/>
    <w:rsid w:val="00923A70"/>
    <w:rsid w:val="009242E5"/>
    <w:rsid w:val="009256BA"/>
    <w:rsid w:val="00925A55"/>
    <w:rsid w:val="009263CC"/>
    <w:rsid w:val="00926961"/>
    <w:rsid w:val="00933C45"/>
    <w:rsid w:val="00933CBB"/>
    <w:rsid w:val="00935A70"/>
    <w:rsid w:val="00943356"/>
    <w:rsid w:val="00945C0C"/>
    <w:rsid w:val="00951D6B"/>
    <w:rsid w:val="00952699"/>
    <w:rsid w:val="00952913"/>
    <w:rsid w:val="00954D6C"/>
    <w:rsid w:val="009607CB"/>
    <w:rsid w:val="0096114C"/>
    <w:rsid w:val="0096249A"/>
    <w:rsid w:val="0096264A"/>
    <w:rsid w:val="009659CB"/>
    <w:rsid w:val="009661DE"/>
    <w:rsid w:val="0096663F"/>
    <w:rsid w:val="009701F7"/>
    <w:rsid w:val="00972965"/>
    <w:rsid w:val="009741E7"/>
    <w:rsid w:val="00974A53"/>
    <w:rsid w:val="00974B6A"/>
    <w:rsid w:val="0097606E"/>
    <w:rsid w:val="00985418"/>
    <w:rsid w:val="009856B7"/>
    <w:rsid w:val="0098602B"/>
    <w:rsid w:val="009864AF"/>
    <w:rsid w:val="0098697B"/>
    <w:rsid w:val="00991B3B"/>
    <w:rsid w:val="009958D2"/>
    <w:rsid w:val="009962BA"/>
    <w:rsid w:val="009A058E"/>
    <w:rsid w:val="009A1F4A"/>
    <w:rsid w:val="009A2E88"/>
    <w:rsid w:val="009A62A2"/>
    <w:rsid w:val="009B36C4"/>
    <w:rsid w:val="009B592F"/>
    <w:rsid w:val="009B74B0"/>
    <w:rsid w:val="009B7A18"/>
    <w:rsid w:val="009D4414"/>
    <w:rsid w:val="009D6B46"/>
    <w:rsid w:val="009D7FE0"/>
    <w:rsid w:val="009E36D1"/>
    <w:rsid w:val="009E5364"/>
    <w:rsid w:val="009E6FEE"/>
    <w:rsid w:val="009E7180"/>
    <w:rsid w:val="009F0321"/>
    <w:rsid w:val="009F2B21"/>
    <w:rsid w:val="009F2F98"/>
    <w:rsid w:val="009F32D4"/>
    <w:rsid w:val="009F3E5F"/>
    <w:rsid w:val="009F4940"/>
    <w:rsid w:val="009F567D"/>
    <w:rsid w:val="009F73F5"/>
    <w:rsid w:val="00A00FBF"/>
    <w:rsid w:val="00A047B3"/>
    <w:rsid w:val="00A051CE"/>
    <w:rsid w:val="00A11C96"/>
    <w:rsid w:val="00A120BE"/>
    <w:rsid w:val="00A13522"/>
    <w:rsid w:val="00A150FA"/>
    <w:rsid w:val="00A1665B"/>
    <w:rsid w:val="00A27323"/>
    <w:rsid w:val="00A33969"/>
    <w:rsid w:val="00A340CF"/>
    <w:rsid w:val="00A4041E"/>
    <w:rsid w:val="00A42DDA"/>
    <w:rsid w:val="00A43042"/>
    <w:rsid w:val="00A4478A"/>
    <w:rsid w:val="00A44852"/>
    <w:rsid w:val="00A450A6"/>
    <w:rsid w:val="00A45228"/>
    <w:rsid w:val="00A45618"/>
    <w:rsid w:val="00A5396F"/>
    <w:rsid w:val="00A53C88"/>
    <w:rsid w:val="00A55148"/>
    <w:rsid w:val="00A57D04"/>
    <w:rsid w:val="00A6003C"/>
    <w:rsid w:val="00A60368"/>
    <w:rsid w:val="00A60895"/>
    <w:rsid w:val="00A60A26"/>
    <w:rsid w:val="00A61598"/>
    <w:rsid w:val="00A64422"/>
    <w:rsid w:val="00A646AE"/>
    <w:rsid w:val="00A71177"/>
    <w:rsid w:val="00A74D97"/>
    <w:rsid w:val="00A755B8"/>
    <w:rsid w:val="00A7644B"/>
    <w:rsid w:val="00A77ABA"/>
    <w:rsid w:val="00A829F9"/>
    <w:rsid w:val="00A84F46"/>
    <w:rsid w:val="00A871F4"/>
    <w:rsid w:val="00A908E4"/>
    <w:rsid w:val="00A91307"/>
    <w:rsid w:val="00A97DD7"/>
    <w:rsid w:val="00AA22B7"/>
    <w:rsid w:val="00AA2483"/>
    <w:rsid w:val="00AA3797"/>
    <w:rsid w:val="00AA443C"/>
    <w:rsid w:val="00AA5676"/>
    <w:rsid w:val="00AB2628"/>
    <w:rsid w:val="00AB4533"/>
    <w:rsid w:val="00AB5E5A"/>
    <w:rsid w:val="00AC0DC8"/>
    <w:rsid w:val="00AC1740"/>
    <w:rsid w:val="00AC1B2C"/>
    <w:rsid w:val="00AC291B"/>
    <w:rsid w:val="00AC3264"/>
    <w:rsid w:val="00AC456E"/>
    <w:rsid w:val="00AC6F01"/>
    <w:rsid w:val="00AD253A"/>
    <w:rsid w:val="00AE0FE2"/>
    <w:rsid w:val="00AE1BF1"/>
    <w:rsid w:val="00AE2F04"/>
    <w:rsid w:val="00AE42A7"/>
    <w:rsid w:val="00AE498F"/>
    <w:rsid w:val="00AF05B1"/>
    <w:rsid w:val="00AF0DD2"/>
    <w:rsid w:val="00AF6AD9"/>
    <w:rsid w:val="00AF6FE2"/>
    <w:rsid w:val="00B03B43"/>
    <w:rsid w:val="00B0478B"/>
    <w:rsid w:val="00B06815"/>
    <w:rsid w:val="00B06985"/>
    <w:rsid w:val="00B07176"/>
    <w:rsid w:val="00B073F7"/>
    <w:rsid w:val="00B10314"/>
    <w:rsid w:val="00B11B60"/>
    <w:rsid w:val="00B12457"/>
    <w:rsid w:val="00B13048"/>
    <w:rsid w:val="00B14070"/>
    <w:rsid w:val="00B15998"/>
    <w:rsid w:val="00B1716D"/>
    <w:rsid w:val="00B17A1D"/>
    <w:rsid w:val="00B207A0"/>
    <w:rsid w:val="00B2114E"/>
    <w:rsid w:val="00B337FE"/>
    <w:rsid w:val="00B33E86"/>
    <w:rsid w:val="00B34D1F"/>
    <w:rsid w:val="00B37964"/>
    <w:rsid w:val="00B40269"/>
    <w:rsid w:val="00B43D33"/>
    <w:rsid w:val="00B45F3C"/>
    <w:rsid w:val="00B50C4D"/>
    <w:rsid w:val="00B52DD5"/>
    <w:rsid w:val="00B56E03"/>
    <w:rsid w:val="00B608D6"/>
    <w:rsid w:val="00B60F5D"/>
    <w:rsid w:val="00B62DAF"/>
    <w:rsid w:val="00B632D0"/>
    <w:rsid w:val="00B67E91"/>
    <w:rsid w:val="00B710A9"/>
    <w:rsid w:val="00B72D81"/>
    <w:rsid w:val="00B75821"/>
    <w:rsid w:val="00B75C04"/>
    <w:rsid w:val="00B8080B"/>
    <w:rsid w:val="00B87C39"/>
    <w:rsid w:val="00B918CA"/>
    <w:rsid w:val="00B9584D"/>
    <w:rsid w:val="00B95E1A"/>
    <w:rsid w:val="00B95F55"/>
    <w:rsid w:val="00B97C16"/>
    <w:rsid w:val="00BA1A82"/>
    <w:rsid w:val="00BA1BFC"/>
    <w:rsid w:val="00BA2FD7"/>
    <w:rsid w:val="00BA44C0"/>
    <w:rsid w:val="00BA4665"/>
    <w:rsid w:val="00BA4A3B"/>
    <w:rsid w:val="00BB2FB2"/>
    <w:rsid w:val="00BB3304"/>
    <w:rsid w:val="00BB43C2"/>
    <w:rsid w:val="00BC4DE2"/>
    <w:rsid w:val="00BC7E84"/>
    <w:rsid w:val="00BD261D"/>
    <w:rsid w:val="00BD3446"/>
    <w:rsid w:val="00BD4164"/>
    <w:rsid w:val="00BE1F1B"/>
    <w:rsid w:val="00BE47B5"/>
    <w:rsid w:val="00BE4C99"/>
    <w:rsid w:val="00BE6392"/>
    <w:rsid w:val="00BE75E4"/>
    <w:rsid w:val="00BF0A8A"/>
    <w:rsid w:val="00BF3289"/>
    <w:rsid w:val="00BF389F"/>
    <w:rsid w:val="00BF44F0"/>
    <w:rsid w:val="00BF628A"/>
    <w:rsid w:val="00BF6BCC"/>
    <w:rsid w:val="00C03223"/>
    <w:rsid w:val="00C053DF"/>
    <w:rsid w:val="00C058AB"/>
    <w:rsid w:val="00C05994"/>
    <w:rsid w:val="00C0611F"/>
    <w:rsid w:val="00C06739"/>
    <w:rsid w:val="00C102B9"/>
    <w:rsid w:val="00C1479D"/>
    <w:rsid w:val="00C16A0D"/>
    <w:rsid w:val="00C17AF1"/>
    <w:rsid w:val="00C2340C"/>
    <w:rsid w:val="00C25096"/>
    <w:rsid w:val="00C26C04"/>
    <w:rsid w:val="00C27C50"/>
    <w:rsid w:val="00C334D9"/>
    <w:rsid w:val="00C33D72"/>
    <w:rsid w:val="00C36FF2"/>
    <w:rsid w:val="00C414CA"/>
    <w:rsid w:val="00C4727E"/>
    <w:rsid w:val="00C538A9"/>
    <w:rsid w:val="00C53B5A"/>
    <w:rsid w:val="00C53FD2"/>
    <w:rsid w:val="00C54F5A"/>
    <w:rsid w:val="00C57CC3"/>
    <w:rsid w:val="00C60BA3"/>
    <w:rsid w:val="00C64F9A"/>
    <w:rsid w:val="00C66E55"/>
    <w:rsid w:val="00C66E96"/>
    <w:rsid w:val="00C706D5"/>
    <w:rsid w:val="00C713B3"/>
    <w:rsid w:val="00C755AD"/>
    <w:rsid w:val="00C75C06"/>
    <w:rsid w:val="00C816C1"/>
    <w:rsid w:val="00C85A17"/>
    <w:rsid w:val="00C86679"/>
    <w:rsid w:val="00C92858"/>
    <w:rsid w:val="00C942F8"/>
    <w:rsid w:val="00CA0516"/>
    <w:rsid w:val="00CA5908"/>
    <w:rsid w:val="00CB07E2"/>
    <w:rsid w:val="00CB15E0"/>
    <w:rsid w:val="00CB666B"/>
    <w:rsid w:val="00CB674E"/>
    <w:rsid w:val="00CB67AA"/>
    <w:rsid w:val="00CB694A"/>
    <w:rsid w:val="00CB6E84"/>
    <w:rsid w:val="00CC1172"/>
    <w:rsid w:val="00CC31FB"/>
    <w:rsid w:val="00CC4D14"/>
    <w:rsid w:val="00CC58CF"/>
    <w:rsid w:val="00CC6C39"/>
    <w:rsid w:val="00CC7184"/>
    <w:rsid w:val="00CC7830"/>
    <w:rsid w:val="00CD4160"/>
    <w:rsid w:val="00CD4468"/>
    <w:rsid w:val="00CF1CA8"/>
    <w:rsid w:val="00CF22C3"/>
    <w:rsid w:val="00CF5D01"/>
    <w:rsid w:val="00CF72E7"/>
    <w:rsid w:val="00CF799E"/>
    <w:rsid w:val="00D0115B"/>
    <w:rsid w:val="00D01CF0"/>
    <w:rsid w:val="00D03CD6"/>
    <w:rsid w:val="00D0442A"/>
    <w:rsid w:val="00D0473B"/>
    <w:rsid w:val="00D06214"/>
    <w:rsid w:val="00D06762"/>
    <w:rsid w:val="00D0776B"/>
    <w:rsid w:val="00D07838"/>
    <w:rsid w:val="00D14235"/>
    <w:rsid w:val="00D177E5"/>
    <w:rsid w:val="00D203E1"/>
    <w:rsid w:val="00D20BCC"/>
    <w:rsid w:val="00D25954"/>
    <w:rsid w:val="00D25E4F"/>
    <w:rsid w:val="00D3041A"/>
    <w:rsid w:val="00D316ED"/>
    <w:rsid w:val="00D32E9A"/>
    <w:rsid w:val="00D35961"/>
    <w:rsid w:val="00D421BC"/>
    <w:rsid w:val="00D442DD"/>
    <w:rsid w:val="00D44D9E"/>
    <w:rsid w:val="00D47F55"/>
    <w:rsid w:val="00D50FF3"/>
    <w:rsid w:val="00D544B8"/>
    <w:rsid w:val="00D54C95"/>
    <w:rsid w:val="00D5590C"/>
    <w:rsid w:val="00D61388"/>
    <w:rsid w:val="00D61A54"/>
    <w:rsid w:val="00D64DEA"/>
    <w:rsid w:val="00D6603D"/>
    <w:rsid w:val="00D7245F"/>
    <w:rsid w:val="00D73605"/>
    <w:rsid w:val="00D80893"/>
    <w:rsid w:val="00D82D37"/>
    <w:rsid w:val="00D85580"/>
    <w:rsid w:val="00D91251"/>
    <w:rsid w:val="00D91F53"/>
    <w:rsid w:val="00D91F74"/>
    <w:rsid w:val="00D92CF1"/>
    <w:rsid w:val="00D92D38"/>
    <w:rsid w:val="00D95017"/>
    <w:rsid w:val="00D950F5"/>
    <w:rsid w:val="00D96022"/>
    <w:rsid w:val="00DA0B58"/>
    <w:rsid w:val="00DA1A22"/>
    <w:rsid w:val="00DB0F93"/>
    <w:rsid w:val="00DB5286"/>
    <w:rsid w:val="00DB6D82"/>
    <w:rsid w:val="00DC054E"/>
    <w:rsid w:val="00DC055F"/>
    <w:rsid w:val="00DC0AC5"/>
    <w:rsid w:val="00DC37D0"/>
    <w:rsid w:val="00DC542F"/>
    <w:rsid w:val="00DC6BB2"/>
    <w:rsid w:val="00DC7981"/>
    <w:rsid w:val="00DD1AEE"/>
    <w:rsid w:val="00DD2B2E"/>
    <w:rsid w:val="00DD5013"/>
    <w:rsid w:val="00DD5CA4"/>
    <w:rsid w:val="00DE1356"/>
    <w:rsid w:val="00DE143E"/>
    <w:rsid w:val="00DE3221"/>
    <w:rsid w:val="00DE4EFA"/>
    <w:rsid w:val="00DE5520"/>
    <w:rsid w:val="00DF2CA1"/>
    <w:rsid w:val="00DF4DA5"/>
    <w:rsid w:val="00DF53BE"/>
    <w:rsid w:val="00E003DF"/>
    <w:rsid w:val="00E01235"/>
    <w:rsid w:val="00E02D47"/>
    <w:rsid w:val="00E038F7"/>
    <w:rsid w:val="00E04818"/>
    <w:rsid w:val="00E06442"/>
    <w:rsid w:val="00E07B32"/>
    <w:rsid w:val="00E101A9"/>
    <w:rsid w:val="00E120ED"/>
    <w:rsid w:val="00E131FC"/>
    <w:rsid w:val="00E14298"/>
    <w:rsid w:val="00E2035E"/>
    <w:rsid w:val="00E235B8"/>
    <w:rsid w:val="00E23989"/>
    <w:rsid w:val="00E23993"/>
    <w:rsid w:val="00E24134"/>
    <w:rsid w:val="00E25B8C"/>
    <w:rsid w:val="00E27784"/>
    <w:rsid w:val="00E306F8"/>
    <w:rsid w:val="00E317A8"/>
    <w:rsid w:val="00E34AAD"/>
    <w:rsid w:val="00E35178"/>
    <w:rsid w:val="00E35BDB"/>
    <w:rsid w:val="00E42318"/>
    <w:rsid w:val="00E43BD9"/>
    <w:rsid w:val="00E4448C"/>
    <w:rsid w:val="00E45640"/>
    <w:rsid w:val="00E45AC7"/>
    <w:rsid w:val="00E4674F"/>
    <w:rsid w:val="00E47829"/>
    <w:rsid w:val="00E47956"/>
    <w:rsid w:val="00E47BF2"/>
    <w:rsid w:val="00E544D0"/>
    <w:rsid w:val="00E551CC"/>
    <w:rsid w:val="00E56F3F"/>
    <w:rsid w:val="00E6034A"/>
    <w:rsid w:val="00E60C1F"/>
    <w:rsid w:val="00E621DD"/>
    <w:rsid w:val="00E65C85"/>
    <w:rsid w:val="00E66199"/>
    <w:rsid w:val="00E67B40"/>
    <w:rsid w:val="00E7185A"/>
    <w:rsid w:val="00E7337C"/>
    <w:rsid w:val="00E755EC"/>
    <w:rsid w:val="00E759A1"/>
    <w:rsid w:val="00E75E61"/>
    <w:rsid w:val="00E7624D"/>
    <w:rsid w:val="00E802A1"/>
    <w:rsid w:val="00E82E4D"/>
    <w:rsid w:val="00E854F8"/>
    <w:rsid w:val="00E85660"/>
    <w:rsid w:val="00E85D71"/>
    <w:rsid w:val="00E8632B"/>
    <w:rsid w:val="00EA11E1"/>
    <w:rsid w:val="00EA3D42"/>
    <w:rsid w:val="00EA4064"/>
    <w:rsid w:val="00EA532C"/>
    <w:rsid w:val="00EA68B0"/>
    <w:rsid w:val="00EA6B1B"/>
    <w:rsid w:val="00EB0DB0"/>
    <w:rsid w:val="00EB1F66"/>
    <w:rsid w:val="00EB74B6"/>
    <w:rsid w:val="00EC387F"/>
    <w:rsid w:val="00EC65E2"/>
    <w:rsid w:val="00ED1D41"/>
    <w:rsid w:val="00ED2A8A"/>
    <w:rsid w:val="00ED5D92"/>
    <w:rsid w:val="00ED78CD"/>
    <w:rsid w:val="00EE21A7"/>
    <w:rsid w:val="00EE28F3"/>
    <w:rsid w:val="00EE57C1"/>
    <w:rsid w:val="00EF5110"/>
    <w:rsid w:val="00EF5BDA"/>
    <w:rsid w:val="00F00630"/>
    <w:rsid w:val="00F06ECA"/>
    <w:rsid w:val="00F15882"/>
    <w:rsid w:val="00F16416"/>
    <w:rsid w:val="00F170CD"/>
    <w:rsid w:val="00F17E48"/>
    <w:rsid w:val="00F20BD3"/>
    <w:rsid w:val="00F21D6A"/>
    <w:rsid w:val="00F25A87"/>
    <w:rsid w:val="00F25ADD"/>
    <w:rsid w:val="00F267AD"/>
    <w:rsid w:val="00F26A3D"/>
    <w:rsid w:val="00F312C1"/>
    <w:rsid w:val="00F373A5"/>
    <w:rsid w:val="00F43C34"/>
    <w:rsid w:val="00F46C81"/>
    <w:rsid w:val="00F47559"/>
    <w:rsid w:val="00F50A7C"/>
    <w:rsid w:val="00F5327E"/>
    <w:rsid w:val="00F55A32"/>
    <w:rsid w:val="00F60BE4"/>
    <w:rsid w:val="00F61B84"/>
    <w:rsid w:val="00F6461B"/>
    <w:rsid w:val="00F64C7B"/>
    <w:rsid w:val="00F676DD"/>
    <w:rsid w:val="00F73815"/>
    <w:rsid w:val="00F752E0"/>
    <w:rsid w:val="00F75A26"/>
    <w:rsid w:val="00F7689E"/>
    <w:rsid w:val="00F77488"/>
    <w:rsid w:val="00F80DDF"/>
    <w:rsid w:val="00F83FAD"/>
    <w:rsid w:val="00F8488B"/>
    <w:rsid w:val="00F91DC6"/>
    <w:rsid w:val="00F93740"/>
    <w:rsid w:val="00F952A0"/>
    <w:rsid w:val="00FA3C7F"/>
    <w:rsid w:val="00FA5E17"/>
    <w:rsid w:val="00FA78D1"/>
    <w:rsid w:val="00FB12F8"/>
    <w:rsid w:val="00FB43C2"/>
    <w:rsid w:val="00FB4622"/>
    <w:rsid w:val="00FB52D7"/>
    <w:rsid w:val="00FB74E2"/>
    <w:rsid w:val="00FC6AF6"/>
    <w:rsid w:val="00FD2490"/>
    <w:rsid w:val="00FD5614"/>
    <w:rsid w:val="00FD6D8F"/>
    <w:rsid w:val="00FE0BE1"/>
    <w:rsid w:val="00FE1DE9"/>
    <w:rsid w:val="00FE22BC"/>
    <w:rsid w:val="00FE39C2"/>
    <w:rsid w:val="00FE3DFF"/>
    <w:rsid w:val="00FE64AE"/>
    <w:rsid w:val="00FE77BC"/>
    <w:rsid w:val="00FF34B4"/>
    <w:rsid w:val="00FF79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pPr>
  </w:style>
  <w:style w:type="paragraph" w:customStyle="1" w:styleId="Numbered11">
    <w:name w:val="Numbered 1.1"/>
    <w:basedOn w:val="Heading2"/>
    <w:next w:val="Normal"/>
    <w:qFormat/>
    <w:rsid w:val="00F61B84"/>
    <w:pPr>
      <w:numPr>
        <w:ilvl w:val="1"/>
        <w:numId w:val="12"/>
      </w:numPr>
      <w:tabs>
        <w:tab w:val="left" w:pos="1021"/>
      </w:tabs>
    </w:pPr>
    <w:rPr>
      <w:rFonts w:cs="Arial"/>
      <w:b w:val="0"/>
    </w:rPr>
  </w:style>
  <w:style w:type="paragraph" w:customStyle="1" w:styleId="Numbered111">
    <w:name w:val="Numbered 1.1.1"/>
    <w:basedOn w:val="Heading3"/>
    <w:next w:val="Normal"/>
    <w:qFormat/>
    <w:rsid w:val="00F61B84"/>
    <w:pPr>
      <w:numPr>
        <w:ilvl w:val="2"/>
        <w:numId w:val="12"/>
      </w:numPr>
      <w:tabs>
        <w:tab w:val="left" w:pos="1361"/>
      </w:tabs>
      <w:contextualSpacing/>
    </w:pPr>
  </w:style>
  <w:style w:type="paragraph" w:customStyle="1" w:styleId="Numbered1111">
    <w:name w:val="Numbered 1.1.1.1"/>
    <w:basedOn w:val="Heading4"/>
    <w:next w:val="Normal"/>
    <w:rsid w:val="00F61B84"/>
    <w:pPr>
      <w:numPr>
        <w:ilvl w:val="3"/>
        <w:numId w:val="12"/>
      </w:numPr>
      <w:tabs>
        <w:tab w:val="left" w:pos="1361"/>
      </w:tabs>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BF628A"/>
    <w:rPr>
      <w:sz w:val="16"/>
      <w:szCs w:val="16"/>
    </w:rPr>
  </w:style>
  <w:style w:type="paragraph" w:styleId="CommentText">
    <w:name w:val="annotation text"/>
    <w:basedOn w:val="Normal"/>
    <w:link w:val="CommentTextChar"/>
    <w:uiPriority w:val="99"/>
    <w:semiHidden/>
    <w:unhideWhenUsed/>
    <w:rsid w:val="00BF628A"/>
    <w:rPr>
      <w:sz w:val="20"/>
      <w:szCs w:val="20"/>
    </w:rPr>
  </w:style>
  <w:style w:type="character" w:customStyle="1" w:styleId="CommentTextChar">
    <w:name w:val="Comment Text Char"/>
    <w:basedOn w:val="DefaultParagraphFont"/>
    <w:link w:val="CommentText"/>
    <w:uiPriority w:val="99"/>
    <w:semiHidden/>
    <w:rsid w:val="00BF628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628A"/>
    <w:rPr>
      <w:b/>
      <w:bCs/>
    </w:rPr>
  </w:style>
  <w:style w:type="character" w:customStyle="1" w:styleId="CommentSubjectChar">
    <w:name w:val="Comment Subject Char"/>
    <w:basedOn w:val="CommentTextChar"/>
    <w:link w:val="CommentSubject"/>
    <w:uiPriority w:val="99"/>
    <w:semiHidden/>
    <w:rsid w:val="00BF628A"/>
    <w:rPr>
      <w:rFonts w:ascii="Arial" w:hAnsi="Arial"/>
      <w:b/>
      <w:bCs/>
      <w:sz w:val="20"/>
      <w:szCs w:val="20"/>
    </w:rPr>
  </w:style>
  <w:style w:type="paragraph" w:customStyle="1" w:styleId="Bullet">
    <w:name w:val="Bullet"/>
    <w:basedOn w:val="Normal"/>
    <w:link w:val="BulletChar"/>
    <w:rsid w:val="006A3F55"/>
    <w:pPr>
      <w:numPr>
        <w:numId w:val="31"/>
      </w:numPr>
      <w:tabs>
        <w:tab w:val="left" w:pos="720"/>
      </w:tabs>
      <w:spacing w:before="0" w:after="200" w:line="276" w:lineRule="auto"/>
    </w:pPr>
    <w:rPr>
      <w:rFonts w:ascii="Calibri" w:eastAsia="Calibri" w:hAnsi="Calibri" w:cs="Times New Roman"/>
    </w:rPr>
  </w:style>
  <w:style w:type="character" w:customStyle="1" w:styleId="BulletChar">
    <w:name w:val="Bullet Char"/>
    <w:link w:val="Bullet"/>
    <w:rsid w:val="006A3F55"/>
    <w:rPr>
      <w:rFonts w:ascii="Calibri" w:eastAsia="Calibri" w:hAnsi="Calibri" w:cs="Times New Roman"/>
    </w:rPr>
  </w:style>
  <w:style w:type="paragraph" w:customStyle="1" w:styleId="Dash">
    <w:name w:val="Dash"/>
    <w:basedOn w:val="Normal"/>
    <w:rsid w:val="006A3F55"/>
    <w:pPr>
      <w:numPr>
        <w:ilvl w:val="1"/>
        <w:numId w:val="31"/>
      </w:numPr>
      <w:tabs>
        <w:tab w:val="num" w:pos="360"/>
        <w:tab w:val="left" w:pos="720"/>
      </w:tabs>
      <w:spacing w:before="0" w:after="200" w:line="276" w:lineRule="auto"/>
      <w:ind w:left="0" w:firstLine="0"/>
    </w:pPr>
    <w:rPr>
      <w:rFonts w:ascii="Calibri" w:eastAsia="Calibri" w:hAnsi="Calibri" w:cs="Times New Roman"/>
    </w:rPr>
  </w:style>
  <w:style w:type="paragraph" w:customStyle="1" w:styleId="DoubleDot">
    <w:name w:val="Double Dot"/>
    <w:basedOn w:val="Normal"/>
    <w:rsid w:val="006A3F55"/>
    <w:pPr>
      <w:numPr>
        <w:ilvl w:val="2"/>
        <w:numId w:val="31"/>
      </w:numPr>
      <w:tabs>
        <w:tab w:val="num" w:pos="360"/>
        <w:tab w:val="left" w:pos="720"/>
      </w:tabs>
      <w:spacing w:before="0" w:after="200" w:line="276" w:lineRule="auto"/>
      <w:ind w:left="0" w:firstLine="0"/>
    </w:pPr>
    <w:rPr>
      <w:rFonts w:ascii="Calibri" w:eastAsia="Calibri" w:hAnsi="Calibri" w:cs="Times New Roman"/>
    </w:rPr>
  </w:style>
  <w:style w:type="table" w:customStyle="1" w:styleId="LightGrid-Accent21">
    <w:name w:val="Light Grid - Accent 21"/>
    <w:basedOn w:val="TableNormal"/>
    <w:next w:val="LightGrid-Accent2"/>
    <w:uiPriority w:val="62"/>
    <w:rsid w:val="006A3F55"/>
    <w:pPr>
      <w:spacing w:before="0"/>
    </w:pPr>
    <w:rPr>
      <w:rFonts w:ascii="Cambria" w:eastAsia="MS Mincho" w:hAnsi="Cambria" w:cs="Times New Roman"/>
      <w:sz w:val="24"/>
      <w:szCs w:val="24"/>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auto"/>
    </w:tcPr>
    <w:tblStylePr w:type="firstRow">
      <w:pPr>
        <w:spacing w:before="0" w:after="0" w:line="240" w:lineRule="auto"/>
      </w:pPr>
      <w:rPr>
        <w:rFonts w:ascii="Calibri" w:eastAsia="MS Gothic" w:hAnsi="Calibri" w:cs="Times New Roman"/>
        <w:b/>
        <w:bCs/>
      </w:rPr>
      <w:tblPr/>
      <w:tcPr>
        <w:shd w:val="clear" w:color="auto" w:fill="CD0920"/>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Revision">
    <w:name w:val="Revision"/>
    <w:hidden/>
    <w:uiPriority w:val="99"/>
    <w:semiHidden/>
    <w:rsid w:val="00E306F8"/>
    <w:pPr>
      <w:spacing w:before="0"/>
    </w:pPr>
    <w:rPr>
      <w:rFonts w:ascii="Arial" w:hAnsi="Arial"/>
    </w:rPr>
  </w:style>
  <w:style w:type="character" w:styleId="FollowedHyperlink">
    <w:name w:val="FollowedHyperlink"/>
    <w:basedOn w:val="DefaultParagraphFont"/>
    <w:uiPriority w:val="99"/>
    <w:semiHidden/>
    <w:unhideWhenUsed/>
    <w:rsid w:val="008A10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pPr>
  </w:style>
  <w:style w:type="paragraph" w:customStyle="1" w:styleId="Numbered11">
    <w:name w:val="Numbered 1.1"/>
    <w:basedOn w:val="Heading2"/>
    <w:next w:val="Normal"/>
    <w:qFormat/>
    <w:rsid w:val="00F61B84"/>
    <w:pPr>
      <w:numPr>
        <w:ilvl w:val="1"/>
        <w:numId w:val="12"/>
      </w:numPr>
      <w:tabs>
        <w:tab w:val="left" w:pos="1021"/>
      </w:tabs>
    </w:pPr>
    <w:rPr>
      <w:rFonts w:cs="Arial"/>
      <w:b w:val="0"/>
    </w:rPr>
  </w:style>
  <w:style w:type="paragraph" w:customStyle="1" w:styleId="Numbered111">
    <w:name w:val="Numbered 1.1.1"/>
    <w:basedOn w:val="Heading3"/>
    <w:next w:val="Normal"/>
    <w:qFormat/>
    <w:rsid w:val="00F61B84"/>
    <w:pPr>
      <w:numPr>
        <w:ilvl w:val="2"/>
        <w:numId w:val="12"/>
      </w:numPr>
      <w:tabs>
        <w:tab w:val="left" w:pos="1361"/>
      </w:tabs>
      <w:contextualSpacing/>
    </w:pPr>
  </w:style>
  <w:style w:type="paragraph" w:customStyle="1" w:styleId="Numbered1111">
    <w:name w:val="Numbered 1.1.1.1"/>
    <w:basedOn w:val="Heading4"/>
    <w:next w:val="Normal"/>
    <w:rsid w:val="00F61B84"/>
    <w:pPr>
      <w:numPr>
        <w:ilvl w:val="3"/>
        <w:numId w:val="12"/>
      </w:numPr>
      <w:tabs>
        <w:tab w:val="left" w:pos="1361"/>
      </w:tabs>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BF628A"/>
    <w:rPr>
      <w:sz w:val="16"/>
      <w:szCs w:val="16"/>
    </w:rPr>
  </w:style>
  <w:style w:type="paragraph" w:styleId="CommentText">
    <w:name w:val="annotation text"/>
    <w:basedOn w:val="Normal"/>
    <w:link w:val="CommentTextChar"/>
    <w:uiPriority w:val="99"/>
    <w:semiHidden/>
    <w:unhideWhenUsed/>
    <w:rsid w:val="00BF628A"/>
    <w:rPr>
      <w:sz w:val="20"/>
      <w:szCs w:val="20"/>
    </w:rPr>
  </w:style>
  <w:style w:type="character" w:customStyle="1" w:styleId="CommentTextChar">
    <w:name w:val="Comment Text Char"/>
    <w:basedOn w:val="DefaultParagraphFont"/>
    <w:link w:val="CommentText"/>
    <w:uiPriority w:val="99"/>
    <w:semiHidden/>
    <w:rsid w:val="00BF628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628A"/>
    <w:rPr>
      <w:b/>
      <w:bCs/>
    </w:rPr>
  </w:style>
  <w:style w:type="character" w:customStyle="1" w:styleId="CommentSubjectChar">
    <w:name w:val="Comment Subject Char"/>
    <w:basedOn w:val="CommentTextChar"/>
    <w:link w:val="CommentSubject"/>
    <w:uiPriority w:val="99"/>
    <w:semiHidden/>
    <w:rsid w:val="00BF628A"/>
    <w:rPr>
      <w:rFonts w:ascii="Arial" w:hAnsi="Arial"/>
      <w:b/>
      <w:bCs/>
      <w:sz w:val="20"/>
      <w:szCs w:val="20"/>
    </w:rPr>
  </w:style>
  <w:style w:type="paragraph" w:customStyle="1" w:styleId="Bullet">
    <w:name w:val="Bullet"/>
    <w:basedOn w:val="Normal"/>
    <w:link w:val="BulletChar"/>
    <w:rsid w:val="006A3F55"/>
    <w:pPr>
      <w:numPr>
        <w:numId w:val="31"/>
      </w:numPr>
      <w:tabs>
        <w:tab w:val="left" w:pos="720"/>
      </w:tabs>
      <w:spacing w:before="0" w:after="200" w:line="276" w:lineRule="auto"/>
    </w:pPr>
    <w:rPr>
      <w:rFonts w:ascii="Calibri" w:eastAsia="Calibri" w:hAnsi="Calibri" w:cs="Times New Roman"/>
    </w:rPr>
  </w:style>
  <w:style w:type="character" w:customStyle="1" w:styleId="BulletChar">
    <w:name w:val="Bullet Char"/>
    <w:link w:val="Bullet"/>
    <w:rsid w:val="006A3F55"/>
    <w:rPr>
      <w:rFonts w:ascii="Calibri" w:eastAsia="Calibri" w:hAnsi="Calibri" w:cs="Times New Roman"/>
    </w:rPr>
  </w:style>
  <w:style w:type="paragraph" w:customStyle="1" w:styleId="Dash">
    <w:name w:val="Dash"/>
    <w:basedOn w:val="Normal"/>
    <w:rsid w:val="006A3F55"/>
    <w:pPr>
      <w:numPr>
        <w:ilvl w:val="1"/>
        <w:numId w:val="31"/>
      </w:numPr>
      <w:tabs>
        <w:tab w:val="num" w:pos="360"/>
        <w:tab w:val="left" w:pos="720"/>
      </w:tabs>
      <w:spacing w:before="0" w:after="200" w:line="276" w:lineRule="auto"/>
      <w:ind w:left="0" w:firstLine="0"/>
    </w:pPr>
    <w:rPr>
      <w:rFonts w:ascii="Calibri" w:eastAsia="Calibri" w:hAnsi="Calibri" w:cs="Times New Roman"/>
    </w:rPr>
  </w:style>
  <w:style w:type="paragraph" w:customStyle="1" w:styleId="DoubleDot">
    <w:name w:val="Double Dot"/>
    <w:basedOn w:val="Normal"/>
    <w:rsid w:val="006A3F55"/>
    <w:pPr>
      <w:numPr>
        <w:ilvl w:val="2"/>
        <w:numId w:val="31"/>
      </w:numPr>
      <w:tabs>
        <w:tab w:val="num" w:pos="360"/>
        <w:tab w:val="left" w:pos="720"/>
      </w:tabs>
      <w:spacing w:before="0" w:after="200" w:line="276" w:lineRule="auto"/>
      <w:ind w:left="0" w:firstLine="0"/>
    </w:pPr>
    <w:rPr>
      <w:rFonts w:ascii="Calibri" w:eastAsia="Calibri" w:hAnsi="Calibri" w:cs="Times New Roman"/>
    </w:rPr>
  </w:style>
  <w:style w:type="table" w:customStyle="1" w:styleId="LightGrid-Accent21">
    <w:name w:val="Light Grid - Accent 21"/>
    <w:basedOn w:val="TableNormal"/>
    <w:next w:val="LightGrid-Accent2"/>
    <w:uiPriority w:val="62"/>
    <w:rsid w:val="006A3F55"/>
    <w:pPr>
      <w:spacing w:before="0"/>
    </w:pPr>
    <w:rPr>
      <w:rFonts w:ascii="Cambria" w:eastAsia="MS Mincho" w:hAnsi="Cambria" w:cs="Times New Roman"/>
      <w:sz w:val="24"/>
      <w:szCs w:val="24"/>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auto"/>
    </w:tcPr>
    <w:tblStylePr w:type="firstRow">
      <w:pPr>
        <w:spacing w:before="0" w:after="0" w:line="240" w:lineRule="auto"/>
      </w:pPr>
      <w:rPr>
        <w:rFonts w:ascii="Calibri" w:eastAsia="MS Gothic" w:hAnsi="Calibri" w:cs="Times New Roman"/>
        <w:b/>
        <w:bCs/>
      </w:rPr>
      <w:tblPr/>
      <w:tcPr>
        <w:shd w:val="clear" w:color="auto" w:fill="CD0920"/>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Revision">
    <w:name w:val="Revision"/>
    <w:hidden/>
    <w:uiPriority w:val="99"/>
    <w:semiHidden/>
    <w:rsid w:val="00E306F8"/>
    <w:pPr>
      <w:spacing w:before="0"/>
    </w:pPr>
    <w:rPr>
      <w:rFonts w:ascii="Arial" w:hAnsi="Arial"/>
    </w:rPr>
  </w:style>
  <w:style w:type="character" w:styleId="FollowedHyperlink">
    <w:name w:val="FollowedHyperlink"/>
    <w:basedOn w:val="DefaultParagraphFont"/>
    <w:uiPriority w:val="99"/>
    <w:semiHidden/>
    <w:unhideWhenUsed/>
    <w:rsid w:val="008A10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0694">
      <w:bodyDiv w:val="1"/>
      <w:marLeft w:val="0"/>
      <w:marRight w:val="0"/>
      <w:marTop w:val="0"/>
      <w:marBottom w:val="0"/>
      <w:divBdr>
        <w:top w:val="none" w:sz="0" w:space="0" w:color="auto"/>
        <w:left w:val="none" w:sz="0" w:space="0" w:color="auto"/>
        <w:bottom w:val="none" w:sz="0" w:space="0" w:color="auto"/>
        <w:right w:val="none" w:sz="0" w:space="0" w:color="auto"/>
      </w:divBdr>
    </w:div>
    <w:div w:id="668484683">
      <w:bodyDiv w:val="1"/>
      <w:marLeft w:val="0"/>
      <w:marRight w:val="0"/>
      <w:marTop w:val="0"/>
      <w:marBottom w:val="0"/>
      <w:divBdr>
        <w:top w:val="none" w:sz="0" w:space="0" w:color="auto"/>
        <w:left w:val="none" w:sz="0" w:space="0" w:color="auto"/>
        <w:bottom w:val="none" w:sz="0" w:space="0" w:color="auto"/>
        <w:right w:val="none" w:sz="0" w:space="0" w:color="auto"/>
      </w:divBdr>
      <w:divsChild>
        <w:div w:id="1831100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56988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797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264720">
      <w:bodyDiv w:val="1"/>
      <w:marLeft w:val="0"/>
      <w:marRight w:val="0"/>
      <w:marTop w:val="0"/>
      <w:marBottom w:val="0"/>
      <w:divBdr>
        <w:top w:val="none" w:sz="0" w:space="0" w:color="auto"/>
        <w:left w:val="none" w:sz="0" w:space="0" w:color="auto"/>
        <w:bottom w:val="none" w:sz="0" w:space="0" w:color="auto"/>
        <w:right w:val="none" w:sz="0" w:space="0" w:color="auto"/>
      </w:divBdr>
      <w:divsChild>
        <w:div w:id="1178885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7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8161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80392816">
      <w:bodyDiv w:val="1"/>
      <w:marLeft w:val="0"/>
      <w:marRight w:val="0"/>
      <w:marTop w:val="0"/>
      <w:marBottom w:val="0"/>
      <w:divBdr>
        <w:top w:val="none" w:sz="0" w:space="0" w:color="auto"/>
        <w:left w:val="none" w:sz="0" w:space="0" w:color="auto"/>
        <w:bottom w:val="none" w:sz="0" w:space="0" w:color="auto"/>
        <w:right w:val="none" w:sz="0" w:space="0" w:color="auto"/>
      </w:divBdr>
      <w:divsChild>
        <w:div w:id="772019130">
          <w:marLeft w:val="0"/>
          <w:marRight w:val="0"/>
          <w:marTop w:val="0"/>
          <w:marBottom w:val="0"/>
          <w:divBdr>
            <w:top w:val="none" w:sz="0" w:space="0" w:color="auto"/>
            <w:left w:val="none" w:sz="0" w:space="0" w:color="auto"/>
            <w:bottom w:val="none" w:sz="0" w:space="0" w:color="auto"/>
            <w:right w:val="none" w:sz="0" w:space="0" w:color="auto"/>
          </w:divBdr>
          <w:divsChild>
            <w:div w:id="800729192">
              <w:marLeft w:val="0"/>
              <w:marRight w:val="0"/>
              <w:marTop w:val="0"/>
              <w:marBottom w:val="0"/>
              <w:divBdr>
                <w:top w:val="none" w:sz="0" w:space="0" w:color="auto"/>
                <w:left w:val="none" w:sz="0" w:space="0" w:color="auto"/>
                <w:bottom w:val="none" w:sz="0" w:space="0" w:color="auto"/>
                <w:right w:val="none" w:sz="0" w:space="0" w:color="auto"/>
              </w:divBdr>
              <w:divsChild>
                <w:div w:id="425418143">
                  <w:marLeft w:val="0"/>
                  <w:marRight w:val="0"/>
                  <w:marTop w:val="0"/>
                  <w:marBottom w:val="0"/>
                  <w:divBdr>
                    <w:top w:val="none" w:sz="0" w:space="0" w:color="auto"/>
                    <w:left w:val="none" w:sz="0" w:space="0" w:color="auto"/>
                    <w:bottom w:val="none" w:sz="0" w:space="0" w:color="auto"/>
                    <w:right w:val="none" w:sz="0" w:space="0" w:color="auto"/>
                  </w:divBdr>
                  <w:divsChild>
                    <w:div w:id="2059477712">
                      <w:marLeft w:val="0"/>
                      <w:marRight w:val="0"/>
                      <w:marTop w:val="0"/>
                      <w:marBottom w:val="0"/>
                      <w:divBdr>
                        <w:top w:val="none" w:sz="0" w:space="0" w:color="auto"/>
                        <w:left w:val="none" w:sz="0" w:space="0" w:color="auto"/>
                        <w:bottom w:val="none" w:sz="0" w:space="0" w:color="auto"/>
                        <w:right w:val="none" w:sz="0" w:space="0" w:color="auto"/>
                      </w:divBdr>
                      <w:divsChild>
                        <w:div w:id="871726265">
                          <w:marLeft w:val="0"/>
                          <w:marRight w:val="0"/>
                          <w:marTop w:val="0"/>
                          <w:marBottom w:val="0"/>
                          <w:divBdr>
                            <w:top w:val="none" w:sz="0" w:space="0" w:color="auto"/>
                            <w:left w:val="none" w:sz="0" w:space="0" w:color="auto"/>
                            <w:bottom w:val="none" w:sz="0" w:space="0" w:color="auto"/>
                            <w:right w:val="none" w:sz="0" w:space="0" w:color="auto"/>
                          </w:divBdr>
                          <w:divsChild>
                            <w:div w:id="22486556">
                              <w:marLeft w:val="0"/>
                              <w:marRight w:val="0"/>
                              <w:marTop w:val="0"/>
                              <w:marBottom w:val="0"/>
                              <w:divBdr>
                                <w:top w:val="single" w:sz="6" w:space="0" w:color="828282"/>
                                <w:left w:val="single" w:sz="6" w:space="0" w:color="828282"/>
                                <w:bottom w:val="single" w:sz="6" w:space="0" w:color="828282"/>
                                <w:right w:val="single" w:sz="6" w:space="0" w:color="828282"/>
                              </w:divBdr>
                              <w:divsChild>
                                <w:div w:id="1361008352">
                                  <w:marLeft w:val="0"/>
                                  <w:marRight w:val="0"/>
                                  <w:marTop w:val="0"/>
                                  <w:marBottom w:val="0"/>
                                  <w:divBdr>
                                    <w:top w:val="none" w:sz="0" w:space="0" w:color="auto"/>
                                    <w:left w:val="none" w:sz="0" w:space="0" w:color="auto"/>
                                    <w:bottom w:val="none" w:sz="0" w:space="0" w:color="auto"/>
                                    <w:right w:val="none" w:sz="0" w:space="0" w:color="auto"/>
                                  </w:divBdr>
                                  <w:divsChild>
                                    <w:div w:id="349338027">
                                      <w:marLeft w:val="0"/>
                                      <w:marRight w:val="0"/>
                                      <w:marTop w:val="0"/>
                                      <w:marBottom w:val="0"/>
                                      <w:divBdr>
                                        <w:top w:val="none" w:sz="0" w:space="0" w:color="auto"/>
                                        <w:left w:val="none" w:sz="0" w:space="0" w:color="auto"/>
                                        <w:bottom w:val="none" w:sz="0" w:space="0" w:color="auto"/>
                                        <w:right w:val="none" w:sz="0" w:space="0" w:color="auto"/>
                                      </w:divBdr>
                                      <w:divsChild>
                                        <w:div w:id="936060402">
                                          <w:marLeft w:val="0"/>
                                          <w:marRight w:val="0"/>
                                          <w:marTop w:val="0"/>
                                          <w:marBottom w:val="0"/>
                                          <w:divBdr>
                                            <w:top w:val="none" w:sz="0" w:space="0" w:color="auto"/>
                                            <w:left w:val="none" w:sz="0" w:space="0" w:color="auto"/>
                                            <w:bottom w:val="none" w:sz="0" w:space="0" w:color="auto"/>
                                            <w:right w:val="none" w:sz="0" w:space="0" w:color="auto"/>
                                          </w:divBdr>
                                          <w:divsChild>
                                            <w:div w:id="875045979">
                                              <w:marLeft w:val="0"/>
                                              <w:marRight w:val="0"/>
                                              <w:marTop w:val="0"/>
                                              <w:marBottom w:val="0"/>
                                              <w:divBdr>
                                                <w:top w:val="none" w:sz="0" w:space="0" w:color="auto"/>
                                                <w:left w:val="none" w:sz="0" w:space="0" w:color="auto"/>
                                                <w:bottom w:val="none" w:sz="0" w:space="0" w:color="auto"/>
                                                <w:right w:val="none" w:sz="0" w:space="0" w:color="auto"/>
                                              </w:divBdr>
                                              <w:divsChild>
                                                <w:div w:id="660550427">
                                                  <w:marLeft w:val="0"/>
                                                  <w:marRight w:val="0"/>
                                                  <w:marTop w:val="0"/>
                                                  <w:marBottom w:val="0"/>
                                                  <w:divBdr>
                                                    <w:top w:val="none" w:sz="0" w:space="0" w:color="auto"/>
                                                    <w:left w:val="none" w:sz="0" w:space="0" w:color="auto"/>
                                                    <w:bottom w:val="none" w:sz="0" w:space="0" w:color="auto"/>
                                                    <w:right w:val="none" w:sz="0" w:space="0" w:color="auto"/>
                                                  </w:divBdr>
                                                  <w:divsChild>
                                                    <w:div w:id="9092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eativecommons.org.a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creativecommons.org.au/" TargetMode="External"/><Relationship Id="rId17" Type="http://schemas.openxmlformats.org/officeDocument/2006/relationships/hyperlink" Target="mailto:productsafety.regulation@accc.gov.au" TargetMode="External"/><Relationship Id="rId2" Type="http://schemas.openxmlformats.org/officeDocument/2006/relationships/customXml" Target="../customXml/item2.xml"/><Relationship Id="rId16" Type="http://schemas.openxmlformats.org/officeDocument/2006/relationships/hyperlink" Target="http://business.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http://productsafety.gov.au/"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tion.accc.gov.a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bikeoz.com.au/index.php/news/67-bicycle-sales-hits-new-high-as-children-get-left-behind" TargetMode="External"/><Relationship Id="rId3" Type="http://schemas.openxmlformats.org/officeDocument/2006/relationships/hyperlink" Target="http://www.carrsq.qut.edu.au/publications/corporate/bicycle_safety_fs.pdf" TargetMode="External"/><Relationship Id="rId7" Type="http://schemas.openxmlformats.org/officeDocument/2006/relationships/hyperlink" Target="http://www.pc.gov.au/inquiries/completed/retail-trade/submissions/submissions-test/submission-counter/sub008-retail-trade.pdf" TargetMode="External"/><Relationship Id="rId2" Type="http://schemas.openxmlformats.org/officeDocument/2006/relationships/hyperlink" Target="http://www.bitre.gov.au/publications/ongoing/files/RDA_Summary_2012_June.pdf" TargetMode="External"/><Relationship Id="rId1" Type="http://schemas.openxmlformats.org/officeDocument/2006/relationships/hyperlink" Target="http://www.onlinepublications.austroads.com.au/items/AP-C91-13" TargetMode="External"/><Relationship Id="rId6" Type="http://schemas.openxmlformats.org/officeDocument/2006/relationships/hyperlink" Target="https://www.comlaw.gov.au/Details/F2005B01053" TargetMode="External"/><Relationship Id="rId5" Type="http://schemas.openxmlformats.org/officeDocument/2006/relationships/hyperlink" Target="http://www.qisu.org.au/ModCoreFilesUploaded/Bulletin_86103.pdf" TargetMode="External"/><Relationship Id="rId10" Type="http://schemas.openxmlformats.org/officeDocument/2006/relationships/hyperlink" Target="http://www.productsafety.gov.au/content/index.phtml/itemId/1014180" TargetMode="External"/><Relationship Id="rId4" Type="http://schemas.openxmlformats.org/officeDocument/2006/relationships/hyperlink" Target="http://www.bitre.gov.au/statistics/safety/fatal_road_crash_database.aspx" TargetMode="External"/><Relationship Id="rId9" Type="http://schemas.openxmlformats.org/officeDocument/2006/relationships/hyperlink" Target="https://www.legislation.gov.au/Details/F2011L01702"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DA8D31-549A-418E-9455-1628D6F3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7270153E</Template>
  <TotalTime>1009</TotalTime>
  <Pages>23</Pages>
  <Words>7278</Words>
  <Characters>41489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48670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Khan, Ali</dc:creator>
  <cp:lastModifiedBy>Jamieson, John</cp:lastModifiedBy>
  <cp:revision>150</cp:revision>
  <cp:lastPrinted>2016-01-26T22:56:00Z</cp:lastPrinted>
  <dcterms:created xsi:type="dcterms:W3CDTF">2016-09-27T23:46:00Z</dcterms:created>
  <dcterms:modified xsi:type="dcterms:W3CDTF">2016-10-10T06:37:00Z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8774984</vt:lpwstr>
  </property>
  <property fmtid="{D5CDD505-2E9C-101B-9397-08002B2CF9AE}" pid="3" name="currfile">
    <vt:lpwstr>\\cdchnas-evs02\home$\jjami\cps - sp - pedal bicycle draft ris - final addressing obpr feedback (D2016-00132779).docx</vt:lpwstr>
  </property>
</Properties>
</file>