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485" w:rsidRDefault="00346485" w:rsidP="00346485">
      <w:r>
        <w:rPr>
          <w:noProof/>
          <w:lang w:eastAsia="en-AU"/>
        </w:rPr>
        <mc:AlternateContent>
          <mc:Choice Requires="wps">
            <w:drawing>
              <wp:anchor distT="0" distB="0" distL="114300" distR="114300" simplePos="0" relativeHeight="251659264" behindDoc="1" locked="0" layoutInCell="1" allowOverlap="1" wp14:anchorId="234ECCF0" wp14:editId="2118E40A">
                <wp:simplePos x="0" y="0"/>
                <wp:positionH relativeFrom="column">
                  <wp:posOffset>-657225</wp:posOffset>
                </wp:positionH>
                <wp:positionV relativeFrom="paragraph">
                  <wp:posOffset>-559435</wp:posOffset>
                </wp:positionV>
                <wp:extent cx="7058025" cy="101631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058025" cy="101631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51.75pt;margin-top:-44.05pt;width:555.75pt;height:80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" fillcolor="#d5d6d2 [3214]" stroked="f" strokeweight="2pt"/>
            </w:pict>
          </mc:Fallback>
        </mc:AlternateContent>
      </w:r>
      <w:r>
        <w:rPr>
          <w:noProof/>
          <w:lang w:eastAsia="en-AU"/>
        </w:rPr>
        <w:drawing>
          <wp:inline distT="0" distB="0" distL="0" distR="0" wp14:anchorId="52F106BC" wp14:editId="039C2F7F">
            <wp:extent cx="2725235" cy="609600"/>
            <wp:effectExtent l="0" t="0" r="0" b="0"/>
            <wp:docPr id="4" name="Picture 4" title="A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GovtCrest_PMS286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4028" cy="609330"/>
                    </a:xfrm>
                    <a:prstGeom prst="rect">
                      <a:avLst/>
                    </a:prstGeom>
                  </pic:spPr>
                </pic:pic>
              </a:graphicData>
            </a:graphic>
          </wp:inline>
        </w:drawing>
      </w:r>
    </w:p>
    <w:p w:rsidR="00346485" w:rsidRPr="005E6C0E" w:rsidRDefault="00346485" w:rsidP="00346485"/>
    <w:tbl>
      <w:tblPr>
        <w:tblStyle w:val="TableGrid"/>
        <w:tblW w:w="0" w:type="auto"/>
        <w:tblBorders>
          <w:top w:val="none" w:sz="0" w:space="0" w:color="auto"/>
          <w:bottom w:val="none" w:sz="0" w:space="0" w:color="auto"/>
        </w:tblBorders>
        <w:tblLook w:val="0400" w:firstRow="0" w:lastRow="0" w:firstColumn="0" w:lastColumn="0" w:noHBand="0" w:noVBand="1"/>
      </w:tblPr>
      <w:tblGrid>
        <w:gridCol w:w="9242"/>
      </w:tblGrid>
      <w:tr w:rsidR="00346485" w:rsidRPr="00C755AD" w:rsidTr="00D603D9">
        <w:trPr>
          <w:trHeight w:val="2192"/>
        </w:trPr>
        <w:tc>
          <w:tcPr>
            <w:tcW w:w="9242" w:type="dxa"/>
          </w:tcPr>
          <w:p w:rsidR="00346485" w:rsidRPr="00C755AD" w:rsidRDefault="00346485" w:rsidP="00D603D9">
            <w:pPr>
              <w:spacing w:before="720"/>
              <w:contextualSpacing/>
              <w:outlineLvl w:val="0"/>
              <w:rPr>
                <w:rFonts w:asciiTheme="majorHAnsi" w:eastAsiaTheme="majorEastAsia" w:hAnsiTheme="majorHAnsi" w:cstheme="majorBidi"/>
                <w:color w:val="4F2D7D" w:themeColor="accent2"/>
                <w:spacing w:val="5"/>
                <w:kern w:val="28"/>
                <w:sz w:val="72"/>
                <w:szCs w:val="52"/>
              </w:rPr>
            </w:pPr>
          </w:p>
        </w:tc>
      </w:tr>
      <w:tr w:rsidR="00346485" w:rsidRPr="00C755AD" w:rsidTr="00D603D9">
        <w:tc>
          <w:tcPr>
            <w:tcW w:w="9242" w:type="dxa"/>
          </w:tcPr>
          <w:p w:rsidR="00346485" w:rsidRPr="00110F83" w:rsidRDefault="00346485" w:rsidP="00346485">
            <w:pPr>
              <w:pStyle w:val="Subtitle"/>
              <w:rPr>
                <w:sz w:val="72"/>
                <w:szCs w:val="72"/>
              </w:rPr>
            </w:pPr>
            <w:bookmarkStart w:id="0" w:name="_Toc434239093"/>
            <w:bookmarkStart w:id="1" w:name="_Toc434940224"/>
            <w:bookmarkStart w:id="2" w:name="_Toc434940496"/>
            <w:r w:rsidRPr="00110F83">
              <w:rPr>
                <w:sz w:val="72"/>
                <w:szCs w:val="72"/>
              </w:rPr>
              <w:t xml:space="preserve">Review of </w:t>
            </w:r>
            <w:bookmarkEnd w:id="0"/>
            <w:bookmarkEnd w:id="1"/>
            <w:bookmarkEnd w:id="2"/>
            <w:r>
              <w:rPr>
                <w:sz w:val="72"/>
                <w:szCs w:val="72"/>
              </w:rPr>
              <w:t>the mandatory standard for prams and strollers</w:t>
            </w:r>
          </w:p>
        </w:tc>
      </w:tr>
      <w:tr w:rsidR="00346485" w:rsidRPr="00C755AD" w:rsidTr="00D603D9">
        <w:tc>
          <w:tcPr>
            <w:tcW w:w="9242" w:type="dxa"/>
          </w:tcPr>
          <w:p w:rsidR="00346485" w:rsidRPr="00C755AD" w:rsidRDefault="00346485" w:rsidP="00D603D9">
            <w:pPr>
              <w:pStyle w:val="Subtitle"/>
            </w:pPr>
            <w:r>
              <w:t>Consultation paper</w:t>
            </w:r>
          </w:p>
        </w:tc>
      </w:tr>
      <w:tr w:rsidR="00346485" w:rsidRPr="00C755AD" w:rsidTr="00D603D9">
        <w:tc>
          <w:tcPr>
            <w:tcW w:w="9242" w:type="dxa"/>
          </w:tcPr>
          <w:p w:rsidR="00346485" w:rsidRPr="00C755AD" w:rsidRDefault="00346485" w:rsidP="00D603D9"/>
          <w:p w:rsidR="00346485" w:rsidRPr="00B918CA" w:rsidRDefault="005F3FA6" w:rsidP="00D603D9">
            <w:pPr>
              <w:pStyle w:val="CoverDate"/>
              <w:rPr>
                <w:sz w:val="28"/>
                <w:szCs w:val="28"/>
              </w:rPr>
            </w:pPr>
            <w:r>
              <w:rPr>
                <w:sz w:val="28"/>
                <w:szCs w:val="28"/>
              </w:rPr>
              <w:t xml:space="preserve">January </w:t>
            </w:r>
            <w:r w:rsidRPr="00B918CA">
              <w:rPr>
                <w:sz w:val="28"/>
                <w:szCs w:val="28"/>
              </w:rPr>
              <w:t>201</w:t>
            </w:r>
            <w:r>
              <w:rPr>
                <w:sz w:val="28"/>
                <w:szCs w:val="28"/>
              </w:rPr>
              <w:t>7</w:t>
            </w:r>
          </w:p>
          <w:p w:rsidR="00346485" w:rsidRDefault="00346485" w:rsidP="00D603D9">
            <w:pPr>
              <w:pStyle w:val="CoverDate"/>
            </w:pPr>
          </w:p>
          <w:p w:rsidR="00346485" w:rsidRDefault="004B73A0" w:rsidP="00D603D9">
            <w:pPr>
              <w:pStyle w:val="CoverDate"/>
              <w:jc w:val="center"/>
              <w:rPr>
                <w:rFonts w:cs="Arial"/>
                <w:noProof/>
                <w:color w:val="333333"/>
                <w:sz w:val="18"/>
                <w:szCs w:val="18"/>
                <w:lang w:eastAsia="en-AU"/>
              </w:rPr>
            </w:pPr>
            <w:r>
              <w:rPr>
                <w:rFonts w:cs="Arial"/>
                <w:noProof/>
                <w:color w:val="333333"/>
                <w:sz w:val="18"/>
                <w:szCs w:val="18"/>
                <w:lang w:eastAsia="en-AU"/>
              </w:rPr>
              <w:drawing>
                <wp:inline distT="0" distB="0" distL="0" distR="0">
                  <wp:extent cx="1443487" cy="2165230"/>
                  <wp:effectExtent l="0" t="0" r="444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ima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2939" cy="2164408"/>
                          </a:xfrm>
                          <a:prstGeom prst="rect">
                            <a:avLst/>
                          </a:prstGeom>
                        </pic:spPr>
                      </pic:pic>
                    </a:graphicData>
                  </a:graphic>
                </wp:inline>
              </w:drawing>
            </w:r>
          </w:p>
          <w:p w:rsidR="00346485" w:rsidRPr="00316B27" w:rsidRDefault="00346485" w:rsidP="00D603D9">
            <w:pPr>
              <w:pStyle w:val="CoverDate"/>
              <w:jc w:val="center"/>
              <w:rPr>
                <w:rFonts w:cs="Arial"/>
                <w:noProof/>
                <w:color w:val="333333"/>
                <w:lang w:eastAsia="en-AU"/>
              </w:rPr>
            </w:pPr>
          </w:p>
          <w:p w:rsidR="00346485" w:rsidRDefault="00346485" w:rsidP="00D603D9">
            <w:pPr>
              <w:pStyle w:val="CoverDate"/>
            </w:pPr>
          </w:p>
          <w:p w:rsidR="00346485" w:rsidRDefault="00346485" w:rsidP="00D603D9">
            <w:pPr>
              <w:pStyle w:val="CoverDate"/>
              <w:rPr>
                <w:sz w:val="22"/>
                <w:szCs w:val="22"/>
              </w:rPr>
            </w:pPr>
          </w:p>
          <w:p w:rsidR="00346485" w:rsidRPr="00B918CA" w:rsidRDefault="00346485" w:rsidP="00D603D9">
            <w:pPr>
              <w:pStyle w:val="CoverDate"/>
            </w:pPr>
            <w:r w:rsidRPr="00B918CA">
              <w:rPr>
                <w:sz w:val="22"/>
                <w:szCs w:val="22"/>
              </w:rPr>
              <w:t>Office of Best Practice Regulation Reference Number—</w:t>
            </w:r>
            <w:r>
              <w:rPr>
                <w:sz w:val="22"/>
                <w:szCs w:val="22"/>
              </w:rPr>
              <w:t>18776</w:t>
            </w:r>
          </w:p>
        </w:tc>
      </w:tr>
    </w:tbl>
    <w:p w:rsidR="00346485" w:rsidRDefault="00346485" w:rsidP="00346485">
      <w:pPr>
        <w:pStyle w:val="TOCHeading"/>
      </w:pPr>
    </w:p>
    <w:p w:rsidR="00346485" w:rsidRDefault="00346485" w:rsidP="00346485">
      <w:pPr>
        <w:pStyle w:val="TOCHeading"/>
      </w:pPr>
    </w:p>
    <w:p w:rsidR="00346485" w:rsidRDefault="00346485" w:rsidP="00346485">
      <w:pPr>
        <w:pStyle w:val="TOCHeading"/>
      </w:pPr>
    </w:p>
    <w:p w:rsidR="00346485" w:rsidRDefault="00346485" w:rsidP="00346485">
      <w:pPr>
        <w:jc w:val="center"/>
        <w:rPr>
          <w:rFonts w:eastAsia="Calibri" w:cs="Arial"/>
          <w:u w:val="single"/>
          <w:lang w:val="en-GB"/>
        </w:rPr>
      </w:pPr>
    </w:p>
    <w:p w:rsidR="00346485" w:rsidRDefault="00346485" w:rsidP="00346485">
      <w:pPr>
        <w:jc w:val="center"/>
        <w:rPr>
          <w:rFonts w:eastAsia="Calibri" w:cs="Arial"/>
          <w:u w:val="single"/>
          <w:lang w:val="en-GB"/>
        </w:rPr>
      </w:pPr>
    </w:p>
    <w:p w:rsidR="00346485" w:rsidRDefault="00346485" w:rsidP="00346485">
      <w:pPr>
        <w:jc w:val="center"/>
        <w:rPr>
          <w:rFonts w:eastAsia="Calibri" w:cs="Arial"/>
          <w:u w:val="single"/>
          <w:lang w:val="en-GB"/>
        </w:rPr>
      </w:pPr>
    </w:p>
    <w:p w:rsidR="00346485" w:rsidRDefault="00346485" w:rsidP="00346485">
      <w:pPr>
        <w:jc w:val="center"/>
        <w:rPr>
          <w:rFonts w:eastAsia="Calibri" w:cs="Arial"/>
          <w:u w:val="single"/>
          <w:lang w:val="en-GB"/>
        </w:rPr>
      </w:pPr>
    </w:p>
    <w:p w:rsidR="00346485" w:rsidRDefault="00346485" w:rsidP="00346485">
      <w:pPr>
        <w:jc w:val="center"/>
        <w:rPr>
          <w:rFonts w:eastAsia="Calibri" w:cs="Arial"/>
          <w:u w:val="single"/>
          <w:lang w:val="en-GB"/>
        </w:rPr>
      </w:pPr>
    </w:p>
    <w:p w:rsidR="00346485" w:rsidRDefault="00346485" w:rsidP="00346485">
      <w:pPr>
        <w:jc w:val="center"/>
        <w:rPr>
          <w:rFonts w:eastAsia="Calibri" w:cs="Arial"/>
          <w:u w:val="single"/>
          <w:lang w:val="en-GB"/>
        </w:rPr>
      </w:pPr>
    </w:p>
    <w:p w:rsidR="003D5D2F" w:rsidRDefault="003D5D2F" w:rsidP="00346485">
      <w:pPr>
        <w:jc w:val="center"/>
        <w:rPr>
          <w:rFonts w:eastAsia="Calibri" w:cs="Arial"/>
          <w:u w:val="single"/>
          <w:lang w:val="en-GB"/>
        </w:rPr>
      </w:pPr>
    </w:p>
    <w:p w:rsidR="003D5D2F" w:rsidRDefault="003D5D2F" w:rsidP="00346485">
      <w:pPr>
        <w:jc w:val="center"/>
        <w:rPr>
          <w:rFonts w:eastAsia="Calibri" w:cs="Arial"/>
          <w:u w:val="single"/>
          <w:lang w:val="en-GB"/>
        </w:rPr>
      </w:pPr>
    </w:p>
    <w:p w:rsidR="003D5D2F" w:rsidRDefault="003D5D2F" w:rsidP="00346485">
      <w:pPr>
        <w:jc w:val="center"/>
        <w:rPr>
          <w:rFonts w:eastAsia="Calibri" w:cs="Arial"/>
          <w:u w:val="single"/>
          <w:lang w:val="en-GB"/>
        </w:rPr>
      </w:pPr>
    </w:p>
    <w:p w:rsidR="003D5D2F" w:rsidRDefault="003D5D2F" w:rsidP="00346485">
      <w:pPr>
        <w:jc w:val="center"/>
        <w:rPr>
          <w:rFonts w:eastAsia="Calibri" w:cs="Arial"/>
          <w:u w:val="single"/>
          <w:lang w:val="en-GB"/>
        </w:rPr>
      </w:pPr>
    </w:p>
    <w:p w:rsidR="003D5D2F" w:rsidRDefault="003D5D2F" w:rsidP="00346485">
      <w:pPr>
        <w:jc w:val="center"/>
        <w:rPr>
          <w:rFonts w:eastAsia="Calibri" w:cs="Arial"/>
          <w:u w:val="single"/>
          <w:lang w:val="en-GB"/>
        </w:rPr>
      </w:pPr>
    </w:p>
    <w:p w:rsidR="003D5D2F" w:rsidRDefault="003D5D2F" w:rsidP="00346485">
      <w:pPr>
        <w:jc w:val="center"/>
        <w:rPr>
          <w:rFonts w:eastAsia="Calibri" w:cs="Arial"/>
          <w:u w:val="single"/>
          <w:lang w:val="en-GB"/>
        </w:rPr>
      </w:pPr>
    </w:p>
    <w:p w:rsidR="003D5D2F" w:rsidRDefault="003D5D2F" w:rsidP="00346485">
      <w:pPr>
        <w:jc w:val="center"/>
        <w:rPr>
          <w:rFonts w:eastAsia="Calibri" w:cs="Arial"/>
          <w:u w:val="single"/>
          <w:lang w:val="en-GB"/>
        </w:rPr>
      </w:pPr>
    </w:p>
    <w:p w:rsidR="003D5D2F" w:rsidRDefault="003D5D2F" w:rsidP="00346485">
      <w:pPr>
        <w:jc w:val="center"/>
        <w:rPr>
          <w:rFonts w:eastAsia="Calibri" w:cs="Arial"/>
          <w:u w:val="single"/>
          <w:lang w:val="en-GB"/>
        </w:rPr>
      </w:pPr>
    </w:p>
    <w:p w:rsidR="003D5D2F" w:rsidRDefault="003D5D2F" w:rsidP="00346485">
      <w:pPr>
        <w:jc w:val="center"/>
        <w:rPr>
          <w:rFonts w:eastAsia="Calibri" w:cs="Arial"/>
          <w:u w:val="single"/>
          <w:lang w:val="en-GB"/>
        </w:rPr>
      </w:pPr>
    </w:p>
    <w:p w:rsidR="00346485" w:rsidRPr="00C36FF2" w:rsidRDefault="00346485" w:rsidP="00346485">
      <w:pPr>
        <w:jc w:val="center"/>
        <w:rPr>
          <w:rFonts w:eastAsia="Calibri" w:cs="Arial"/>
          <w:u w:val="single"/>
          <w:lang w:val="en-GB"/>
        </w:rPr>
      </w:pPr>
      <w:r w:rsidRPr="0022438B">
        <w:rPr>
          <w:rFonts w:eastAsia="Calibri" w:cs="Arial"/>
          <w:u w:val="single"/>
          <w:lang w:val="en-GB"/>
        </w:rPr>
        <w:t>Disclaimer</w:t>
      </w:r>
    </w:p>
    <w:p w:rsidR="00346485" w:rsidRDefault="00346485" w:rsidP="00346485">
      <w:pPr>
        <w:pStyle w:val="TOCHeading"/>
      </w:pPr>
      <w:r>
        <w:rPr>
          <w:noProof/>
          <w:lang w:val="en-AU" w:eastAsia="en-AU"/>
        </w:rPr>
        <mc:AlternateContent>
          <mc:Choice Requires="wps">
            <w:drawing>
              <wp:anchor distT="0" distB="0" distL="114300" distR="114300" simplePos="0" relativeHeight="251660288" behindDoc="0" locked="0" layoutInCell="1" allowOverlap="1" wp14:anchorId="1D1873A6" wp14:editId="4E196A84">
                <wp:simplePos x="0" y="0"/>
                <wp:positionH relativeFrom="column">
                  <wp:posOffset>145415</wp:posOffset>
                </wp:positionH>
                <wp:positionV relativeFrom="paragraph">
                  <wp:posOffset>160655</wp:posOffset>
                </wp:positionV>
                <wp:extent cx="1828800" cy="1828800"/>
                <wp:effectExtent l="0" t="0" r="12700"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427B67" w:rsidRPr="004F2078" w:rsidRDefault="00427B67" w:rsidP="00346485">
                            <w:pPr>
                              <w:spacing w:before="120" w:after="120"/>
                              <w:rPr>
                                <w:rFonts w:eastAsia="Calibri" w:cs="Arial"/>
                                <w:sz w:val="20"/>
                                <w:szCs w:val="20"/>
                                <w:lang w:val="en-GB"/>
                              </w:rPr>
                            </w:pPr>
                            <w:r w:rsidRPr="004F2078">
                              <w:rPr>
                                <w:rFonts w:eastAsia="Calibri" w:cs="Arial"/>
                                <w:sz w:val="20"/>
                                <w:szCs w:val="20"/>
                                <w:lang w:val="en-GB"/>
                              </w:rPr>
                              <w:t xml:space="preserve">The Australian Competition &amp; Consumer Commission (ACCC) has developed this consultation paper to seek the views of stakeholders about the mandatory safety standard for </w:t>
                            </w:r>
                            <w:r>
                              <w:rPr>
                                <w:rFonts w:eastAsia="Calibri" w:cs="Arial"/>
                                <w:sz w:val="20"/>
                                <w:szCs w:val="20"/>
                                <w:lang w:val="en-GB"/>
                              </w:rPr>
                              <w:t>prams and strollers.</w:t>
                            </w:r>
                          </w:p>
                          <w:p w:rsidR="00427B67" w:rsidRPr="004F2078" w:rsidRDefault="00427B67" w:rsidP="00346485">
                            <w:pPr>
                              <w:spacing w:before="120" w:after="120"/>
                              <w:rPr>
                                <w:rFonts w:eastAsia="Calibri" w:cs="Arial"/>
                                <w:sz w:val="20"/>
                                <w:szCs w:val="20"/>
                              </w:rPr>
                            </w:pPr>
                            <w:proofErr w:type="gramStart"/>
                            <w:r w:rsidRPr="004F2078">
                              <w:rPr>
                                <w:rFonts w:eastAsia="Calibri" w:cs="Arial"/>
                                <w:sz w:val="20"/>
                                <w:szCs w:val="20"/>
                              </w:rPr>
                              <w:t>© Commonwealth of Australia 2016.</w:t>
                            </w:r>
                            <w:proofErr w:type="gramEnd"/>
                            <w:r w:rsidRPr="004F2078">
                              <w:rPr>
                                <w:rFonts w:eastAsia="Calibri" w:cs="Arial"/>
                                <w:sz w:val="20"/>
                                <w:szCs w:val="20"/>
                              </w:rPr>
                              <w:t xml:space="preserve"> </w:t>
                            </w:r>
                            <w:r w:rsidRPr="004F2078">
                              <w:rPr>
                                <w:rFonts w:eastAsia="Calibri" w:cs="Arial"/>
                                <w:sz w:val="20"/>
                                <w:szCs w:val="20"/>
                                <w:lang w:val="en-GB"/>
                              </w:rPr>
                              <w:t>All material contained within this work is provided under a Creative Commons Attribution 3.0 Australia licence (</w:t>
                            </w:r>
                            <w:hyperlink r:id="rId12" w:history="1">
                              <w:r w:rsidRPr="004F2078">
                                <w:rPr>
                                  <w:rFonts w:eastAsia="Calibri" w:cs="Arial"/>
                                  <w:color w:val="0000FF"/>
                                  <w:sz w:val="20"/>
                                  <w:szCs w:val="20"/>
                                  <w:u w:val="single"/>
                                  <w:lang w:val="en-GB"/>
                                </w:rPr>
                                <w:t>creativecommons.org.au/</w:t>
                              </w:r>
                            </w:hyperlink>
                            <w:r w:rsidRPr="004F2078">
                              <w:rPr>
                                <w:rFonts w:eastAsia="Calibri" w:cs="Arial"/>
                                <w:sz w:val="20"/>
                                <w:szCs w:val="20"/>
                                <w:lang w:val="en-GB"/>
                              </w:rPr>
                              <w:t>), with the exception of any logos, illustrations or images. You may forward or otherwise distribute the paper. You may re-use the text in other formats, provided the ACCC is acknowledged as the source of the material and directions to access the full document are provided. You may not copy or reproduce any logos, illustrations or images. For more information, contact the Director Corporate Communications, ACCC, GPO Box 3131, Canberra ACT 2601</w:t>
                            </w:r>
                            <w:r>
                              <w:rPr>
                                <w:rFonts w:eastAsia="Calibri" w:cs="Arial"/>
                                <w:sz w:val="20"/>
                                <w:szCs w:val="20"/>
                                <w:lang w:val="en-GB"/>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45pt;margin-top:12.65pt;width:2in;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">
                <v:textbox style="mso-fit-shape-to-text:t">
                  <w:txbxContent>
                    <w:p w:rsidR="00427B67" w:rsidRPr="004F2078" w:rsidRDefault="00427B67" w:rsidP="00346485">
                      <w:pPr>
                        <w:spacing w:before="120" w:after="120"/>
                        <w:rPr>
                          <w:rFonts w:eastAsia="Calibri" w:cs="Arial"/>
                          <w:sz w:val="20"/>
                          <w:szCs w:val="20"/>
                          <w:lang w:val="en-GB"/>
                        </w:rPr>
                      </w:pPr>
                      <w:r w:rsidRPr="004F2078">
                        <w:rPr>
                          <w:rFonts w:eastAsia="Calibri" w:cs="Arial"/>
                          <w:sz w:val="20"/>
                          <w:szCs w:val="20"/>
                          <w:lang w:val="en-GB"/>
                        </w:rPr>
                        <w:t xml:space="preserve">The Australian Competition &amp; Consumer Commission (ACCC) has developed this consultation paper to seek the views of stakeholders about the mandatory safety standard for </w:t>
                      </w:r>
                      <w:r>
                        <w:rPr>
                          <w:rFonts w:eastAsia="Calibri" w:cs="Arial"/>
                          <w:sz w:val="20"/>
                          <w:szCs w:val="20"/>
                          <w:lang w:val="en-GB"/>
                        </w:rPr>
                        <w:t>prams and strollers.</w:t>
                      </w:r>
                    </w:p>
                    <w:p w:rsidR="00427B67" w:rsidRPr="004F2078" w:rsidRDefault="00427B67" w:rsidP="00346485">
                      <w:pPr>
                        <w:spacing w:before="120" w:after="120"/>
                        <w:rPr>
                          <w:rFonts w:eastAsia="Calibri" w:cs="Arial"/>
                          <w:sz w:val="20"/>
                          <w:szCs w:val="20"/>
                        </w:rPr>
                      </w:pPr>
                      <w:proofErr w:type="gramStart"/>
                      <w:r w:rsidRPr="004F2078">
                        <w:rPr>
                          <w:rFonts w:eastAsia="Calibri" w:cs="Arial"/>
                          <w:sz w:val="20"/>
                          <w:szCs w:val="20"/>
                        </w:rPr>
                        <w:t>© Commonwealth of Australia 2016.</w:t>
                      </w:r>
                      <w:proofErr w:type="gramEnd"/>
                      <w:r w:rsidRPr="004F2078">
                        <w:rPr>
                          <w:rFonts w:eastAsia="Calibri" w:cs="Arial"/>
                          <w:sz w:val="20"/>
                          <w:szCs w:val="20"/>
                        </w:rPr>
                        <w:t xml:space="preserve"> </w:t>
                      </w:r>
                      <w:r w:rsidRPr="004F2078">
                        <w:rPr>
                          <w:rFonts w:eastAsia="Calibri" w:cs="Arial"/>
                          <w:sz w:val="20"/>
                          <w:szCs w:val="20"/>
                          <w:lang w:val="en-GB"/>
                        </w:rPr>
                        <w:t>All material contained within this work is provided under a Creative Commons Attribution 3.0 Australia licence (</w:t>
                      </w:r>
                      <w:hyperlink r:id="rId13" w:history="1">
                        <w:r w:rsidRPr="004F2078">
                          <w:rPr>
                            <w:rFonts w:eastAsia="Calibri" w:cs="Arial"/>
                            <w:color w:val="0000FF"/>
                            <w:sz w:val="20"/>
                            <w:szCs w:val="20"/>
                            <w:u w:val="single"/>
                            <w:lang w:val="en-GB"/>
                          </w:rPr>
                          <w:t>creativecommons.org.au/</w:t>
                        </w:r>
                      </w:hyperlink>
                      <w:r w:rsidRPr="004F2078">
                        <w:rPr>
                          <w:rFonts w:eastAsia="Calibri" w:cs="Arial"/>
                          <w:sz w:val="20"/>
                          <w:szCs w:val="20"/>
                          <w:lang w:val="en-GB"/>
                        </w:rPr>
                        <w:t>), with the exception of any logos, illustrations or images. You may forward or otherwise distribute the paper. You may re-use the text in other formats, provided the ACCC is acknowledged as the source of the material and directions to access the full document are provided. You may not copy or reproduce any logos, illustrations or images. For more information, contact the Director Corporate Communications, ACCC, GPO Box 3131, Canberra ACT 2601</w:t>
                      </w:r>
                      <w:r>
                        <w:rPr>
                          <w:rFonts w:eastAsia="Calibri" w:cs="Arial"/>
                          <w:sz w:val="20"/>
                          <w:szCs w:val="20"/>
                          <w:lang w:val="en-GB"/>
                        </w:rPr>
                        <w:t>.</w:t>
                      </w:r>
                    </w:p>
                  </w:txbxContent>
                </v:textbox>
                <w10:wrap type="square"/>
              </v:shape>
            </w:pict>
          </mc:Fallback>
        </mc:AlternateContent>
      </w:r>
    </w:p>
    <w:p w:rsidR="00346485" w:rsidRDefault="00346485" w:rsidP="00E556FF">
      <w:pPr>
        <w:pStyle w:val="TOCHeading"/>
        <w:rPr>
          <w:rFonts w:ascii="Arial" w:hAnsi="Arial"/>
          <w:sz w:val="22"/>
          <w:szCs w:val="22"/>
        </w:rPr>
      </w:pPr>
    </w:p>
    <w:p w:rsidR="00E556FF" w:rsidRPr="006C1261" w:rsidRDefault="00346485" w:rsidP="00E556FF">
      <w:pPr>
        <w:pStyle w:val="TOCHeading"/>
        <w:rPr>
          <w:rFonts w:ascii="Arial" w:hAnsi="Arial"/>
          <w:b/>
          <w:sz w:val="36"/>
          <w:szCs w:val="36"/>
        </w:rPr>
      </w:pPr>
      <w:r w:rsidRPr="006C1261">
        <w:rPr>
          <w:rFonts w:ascii="Arial" w:hAnsi="Arial"/>
          <w:b/>
          <w:sz w:val="36"/>
          <w:szCs w:val="36"/>
        </w:rPr>
        <w:t>Ta</w:t>
      </w:r>
      <w:r w:rsidR="00E556FF" w:rsidRPr="006C1261">
        <w:rPr>
          <w:rFonts w:ascii="Arial" w:hAnsi="Arial"/>
          <w:b/>
          <w:sz w:val="36"/>
          <w:szCs w:val="36"/>
        </w:rPr>
        <w:t xml:space="preserve">ble of contents  </w:t>
      </w:r>
    </w:p>
    <w:sdt>
      <w:sdtPr>
        <w:id w:val="-300071191"/>
        <w:docPartObj>
          <w:docPartGallery w:val="Table of Contents"/>
          <w:docPartUnique/>
        </w:docPartObj>
      </w:sdtPr>
      <w:sdtEndPr/>
      <w:sdtContent>
        <w:p w:rsidR="0002006B" w:rsidRDefault="00DD07A2">
          <w:pPr>
            <w:pStyle w:val="TOC1"/>
            <w:rPr>
              <w:rFonts w:asciiTheme="minorHAnsi" w:eastAsiaTheme="minorEastAsia" w:hAnsiTheme="minorHAnsi"/>
              <w:lang w:val="en-AU" w:eastAsia="en-AU"/>
            </w:rPr>
          </w:pPr>
          <w:r>
            <w:fldChar w:fldCharType="begin"/>
          </w:r>
          <w:r>
            <w:instrText xml:space="preserve"> TOC \o \h \z \u </w:instrText>
          </w:r>
          <w:r>
            <w:fldChar w:fldCharType="separate"/>
          </w:r>
          <w:hyperlink w:anchor="_Toc471461252" w:history="1">
            <w:r w:rsidR="0002006B" w:rsidRPr="00650037">
              <w:rPr>
                <w:rStyle w:val="Hyperlink"/>
              </w:rPr>
              <w:t>1.</w:t>
            </w:r>
            <w:r w:rsidR="0002006B">
              <w:rPr>
                <w:rFonts w:asciiTheme="minorHAnsi" w:eastAsiaTheme="minorEastAsia" w:hAnsiTheme="minorHAnsi"/>
                <w:lang w:val="en-AU" w:eastAsia="en-AU"/>
              </w:rPr>
              <w:tab/>
            </w:r>
            <w:r w:rsidR="0002006B" w:rsidRPr="00650037">
              <w:rPr>
                <w:rStyle w:val="Hyperlink"/>
              </w:rPr>
              <w:t>Introduction</w:t>
            </w:r>
            <w:r w:rsidR="0002006B">
              <w:rPr>
                <w:webHidden/>
              </w:rPr>
              <w:tab/>
            </w:r>
            <w:r w:rsidR="0002006B">
              <w:rPr>
                <w:webHidden/>
              </w:rPr>
              <w:fldChar w:fldCharType="begin"/>
            </w:r>
            <w:r w:rsidR="0002006B">
              <w:rPr>
                <w:webHidden/>
              </w:rPr>
              <w:instrText xml:space="preserve"> PAGEREF _Toc471461252 \h </w:instrText>
            </w:r>
            <w:r w:rsidR="0002006B">
              <w:rPr>
                <w:webHidden/>
              </w:rPr>
            </w:r>
            <w:r w:rsidR="0002006B">
              <w:rPr>
                <w:webHidden/>
              </w:rPr>
              <w:fldChar w:fldCharType="separate"/>
            </w:r>
            <w:r w:rsidR="0002006B">
              <w:rPr>
                <w:webHidden/>
              </w:rPr>
              <w:t>4</w:t>
            </w:r>
            <w:r w:rsidR="0002006B">
              <w:rPr>
                <w:webHidden/>
              </w:rPr>
              <w:fldChar w:fldCharType="end"/>
            </w:r>
          </w:hyperlink>
        </w:p>
        <w:p w:rsidR="0002006B" w:rsidRDefault="00F44E41">
          <w:pPr>
            <w:pStyle w:val="TOC1"/>
            <w:rPr>
              <w:rFonts w:asciiTheme="minorHAnsi" w:eastAsiaTheme="minorEastAsia" w:hAnsiTheme="minorHAnsi"/>
              <w:lang w:val="en-AU" w:eastAsia="en-AU"/>
            </w:rPr>
          </w:pPr>
          <w:hyperlink w:anchor="_Toc471461253" w:history="1">
            <w:r w:rsidR="0002006B" w:rsidRPr="00650037">
              <w:rPr>
                <w:rStyle w:val="Hyperlink"/>
              </w:rPr>
              <w:t>2.</w:t>
            </w:r>
            <w:r w:rsidR="0002006B">
              <w:rPr>
                <w:rFonts w:asciiTheme="minorHAnsi" w:eastAsiaTheme="minorEastAsia" w:hAnsiTheme="minorHAnsi"/>
                <w:lang w:val="en-AU" w:eastAsia="en-AU"/>
              </w:rPr>
              <w:tab/>
            </w:r>
            <w:r w:rsidR="0002006B" w:rsidRPr="00650037">
              <w:rPr>
                <w:rStyle w:val="Hyperlink"/>
              </w:rPr>
              <w:t>The problem and the need for government action</w:t>
            </w:r>
            <w:r w:rsidR="0002006B">
              <w:rPr>
                <w:webHidden/>
              </w:rPr>
              <w:tab/>
            </w:r>
            <w:r w:rsidR="0002006B">
              <w:rPr>
                <w:webHidden/>
              </w:rPr>
              <w:fldChar w:fldCharType="begin"/>
            </w:r>
            <w:r w:rsidR="0002006B">
              <w:rPr>
                <w:webHidden/>
              </w:rPr>
              <w:instrText xml:space="preserve"> PAGEREF _Toc471461253 \h </w:instrText>
            </w:r>
            <w:r w:rsidR="0002006B">
              <w:rPr>
                <w:webHidden/>
              </w:rPr>
            </w:r>
            <w:r w:rsidR="0002006B">
              <w:rPr>
                <w:webHidden/>
              </w:rPr>
              <w:fldChar w:fldCharType="separate"/>
            </w:r>
            <w:r w:rsidR="0002006B">
              <w:rPr>
                <w:webHidden/>
              </w:rPr>
              <w:t>4</w:t>
            </w:r>
            <w:r w:rsidR="0002006B">
              <w:rPr>
                <w:webHidden/>
              </w:rPr>
              <w:fldChar w:fldCharType="end"/>
            </w:r>
          </w:hyperlink>
        </w:p>
        <w:p w:rsidR="0002006B" w:rsidRDefault="00F44E41">
          <w:pPr>
            <w:pStyle w:val="TOC1"/>
            <w:rPr>
              <w:rFonts w:asciiTheme="minorHAnsi" w:eastAsiaTheme="minorEastAsia" w:hAnsiTheme="minorHAnsi"/>
              <w:lang w:val="en-AU" w:eastAsia="en-AU"/>
            </w:rPr>
          </w:pPr>
          <w:hyperlink w:anchor="_Toc471461254" w:history="1">
            <w:r w:rsidR="0002006B" w:rsidRPr="00650037">
              <w:rPr>
                <w:rStyle w:val="Hyperlink"/>
              </w:rPr>
              <w:t>3.</w:t>
            </w:r>
            <w:r w:rsidR="0002006B">
              <w:rPr>
                <w:rFonts w:asciiTheme="minorHAnsi" w:eastAsiaTheme="minorEastAsia" w:hAnsiTheme="minorHAnsi"/>
                <w:lang w:val="en-AU" w:eastAsia="en-AU"/>
              </w:rPr>
              <w:tab/>
            </w:r>
            <w:r w:rsidR="0002006B" w:rsidRPr="00650037">
              <w:rPr>
                <w:rStyle w:val="Hyperlink"/>
              </w:rPr>
              <w:t>Background</w:t>
            </w:r>
            <w:r w:rsidR="0002006B">
              <w:rPr>
                <w:webHidden/>
              </w:rPr>
              <w:tab/>
            </w:r>
            <w:r w:rsidR="0002006B">
              <w:rPr>
                <w:webHidden/>
              </w:rPr>
              <w:fldChar w:fldCharType="begin"/>
            </w:r>
            <w:r w:rsidR="0002006B">
              <w:rPr>
                <w:webHidden/>
              </w:rPr>
              <w:instrText xml:space="preserve"> PAGEREF _Toc471461254 \h </w:instrText>
            </w:r>
            <w:r w:rsidR="0002006B">
              <w:rPr>
                <w:webHidden/>
              </w:rPr>
            </w:r>
            <w:r w:rsidR="0002006B">
              <w:rPr>
                <w:webHidden/>
              </w:rPr>
              <w:fldChar w:fldCharType="separate"/>
            </w:r>
            <w:r w:rsidR="0002006B">
              <w:rPr>
                <w:webHidden/>
              </w:rPr>
              <w:t>4</w:t>
            </w:r>
            <w:r w:rsidR="0002006B">
              <w:rPr>
                <w:webHidden/>
              </w:rPr>
              <w:fldChar w:fldCharType="end"/>
            </w:r>
          </w:hyperlink>
        </w:p>
        <w:p w:rsidR="0002006B" w:rsidRDefault="00F44E41">
          <w:pPr>
            <w:pStyle w:val="TOC2"/>
            <w:rPr>
              <w:rFonts w:asciiTheme="minorHAnsi" w:eastAsiaTheme="minorEastAsia" w:hAnsiTheme="minorHAnsi"/>
              <w:lang w:eastAsia="en-AU"/>
            </w:rPr>
          </w:pPr>
          <w:hyperlink w:anchor="_Toc471461255" w:history="1">
            <w:r w:rsidR="0002006B" w:rsidRPr="00650037">
              <w:rPr>
                <w:rStyle w:val="Hyperlink"/>
                <w:lang w:val="en-GB"/>
              </w:rPr>
              <w:t>3.1.</w:t>
            </w:r>
            <w:r w:rsidR="0002006B">
              <w:rPr>
                <w:rFonts w:asciiTheme="minorHAnsi" w:eastAsiaTheme="minorEastAsia" w:hAnsiTheme="minorHAnsi"/>
                <w:lang w:eastAsia="en-AU"/>
              </w:rPr>
              <w:tab/>
            </w:r>
            <w:r w:rsidR="0002006B" w:rsidRPr="00650037">
              <w:rPr>
                <w:rStyle w:val="Hyperlink"/>
                <w:lang w:val="en-GB"/>
              </w:rPr>
              <w:t>Prams and strollers in Australia</w:t>
            </w:r>
            <w:r w:rsidR="0002006B">
              <w:rPr>
                <w:webHidden/>
              </w:rPr>
              <w:tab/>
            </w:r>
            <w:r w:rsidR="0002006B">
              <w:rPr>
                <w:webHidden/>
              </w:rPr>
              <w:fldChar w:fldCharType="begin"/>
            </w:r>
            <w:r w:rsidR="0002006B">
              <w:rPr>
                <w:webHidden/>
              </w:rPr>
              <w:instrText xml:space="preserve"> PAGEREF _Toc471461255 \h </w:instrText>
            </w:r>
            <w:r w:rsidR="0002006B">
              <w:rPr>
                <w:webHidden/>
              </w:rPr>
            </w:r>
            <w:r w:rsidR="0002006B">
              <w:rPr>
                <w:webHidden/>
              </w:rPr>
              <w:fldChar w:fldCharType="separate"/>
            </w:r>
            <w:r w:rsidR="0002006B">
              <w:rPr>
                <w:webHidden/>
              </w:rPr>
              <w:t>4</w:t>
            </w:r>
            <w:r w:rsidR="0002006B">
              <w:rPr>
                <w:webHidden/>
              </w:rPr>
              <w:fldChar w:fldCharType="end"/>
            </w:r>
          </w:hyperlink>
        </w:p>
        <w:p w:rsidR="0002006B" w:rsidRDefault="00F44E41">
          <w:pPr>
            <w:pStyle w:val="TOC2"/>
            <w:rPr>
              <w:rFonts w:asciiTheme="minorHAnsi" w:eastAsiaTheme="minorEastAsia" w:hAnsiTheme="minorHAnsi"/>
              <w:lang w:eastAsia="en-AU"/>
            </w:rPr>
          </w:pPr>
          <w:hyperlink w:anchor="_Toc471461256" w:history="1">
            <w:r w:rsidR="0002006B" w:rsidRPr="00650037">
              <w:rPr>
                <w:rStyle w:val="Hyperlink"/>
              </w:rPr>
              <w:t>3.2.</w:t>
            </w:r>
            <w:r w:rsidR="0002006B">
              <w:rPr>
                <w:rFonts w:asciiTheme="minorHAnsi" w:eastAsiaTheme="minorEastAsia" w:hAnsiTheme="minorHAnsi"/>
                <w:lang w:eastAsia="en-AU"/>
              </w:rPr>
              <w:tab/>
            </w:r>
            <w:r w:rsidR="0002006B" w:rsidRPr="00650037">
              <w:rPr>
                <w:rStyle w:val="Hyperlink"/>
              </w:rPr>
              <w:t>Injuries and deaths in prams or strollers</w:t>
            </w:r>
            <w:r w:rsidR="0002006B">
              <w:rPr>
                <w:webHidden/>
              </w:rPr>
              <w:tab/>
            </w:r>
            <w:r w:rsidR="0002006B">
              <w:rPr>
                <w:webHidden/>
              </w:rPr>
              <w:fldChar w:fldCharType="begin"/>
            </w:r>
            <w:r w:rsidR="0002006B">
              <w:rPr>
                <w:webHidden/>
              </w:rPr>
              <w:instrText xml:space="preserve"> PAGEREF _Toc471461256 \h </w:instrText>
            </w:r>
            <w:r w:rsidR="0002006B">
              <w:rPr>
                <w:webHidden/>
              </w:rPr>
            </w:r>
            <w:r w:rsidR="0002006B">
              <w:rPr>
                <w:webHidden/>
              </w:rPr>
              <w:fldChar w:fldCharType="separate"/>
            </w:r>
            <w:r w:rsidR="0002006B">
              <w:rPr>
                <w:webHidden/>
              </w:rPr>
              <w:t>5</w:t>
            </w:r>
            <w:r w:rsidR="0002006B">
              <w:rPr>
                <w:webHidden/>
              </w:rPr>
              <w:fldChar w:fldCharType="end"/>
            </w:r>
          </w:hyperlink>
        </w:p>
        <w:p w:rsidR="0002006B" w:rsidRDefault="00F44E41">
          <w:pPr>
            <w:pStyle w:val="TOC2"/>
            <w:rPr>
              <w:rFonts w:asciiTheme="minorHAnsi" w:eastAsiaTheme="minorEastAsia" w:hAnsiTheme="minorHAnsi"/>
              <w:lang w:eastAsia="en-AU"/>
            </w:rPr>
          </w:pPr>
          <w:hyperlink w:anchor="_Toc471461259" w:history="1">
            <w:r w:rsidR="0002006B" w:rsidRPr="00650037">
              <w:rPr>
                <w:rStyle w:val="Hyperlink"/>
              </w:rPr>
              <w:t>3.3.</w:t>
            </w:r>
            <w:r w:rsidR="0002006B">
              <w:rPr>
                <w:rFonts w:asciiTheme="minorHAnsi" w:eastAsiaTheme="minorEastAsia" w:hAnsiTheme="minorHAnsi"/>
                <w:lang w:eastAsia="en-AU"/>
              </w:rPr>
              <w:tab/>
            </w:r>
            <w:r w:rsidR="0002006B" w:rsidRPr="00650037">
              <w:rPr>
                <w:rStyle w:val="Hyperlink"/>
              </w:rPr>
              <w:t>The mandatory safety standard</w:t>
            </w:r>
            <w:r w:rsidR="0002006B">
              <w:rPr>
                <w:webHidden/>
              </w:rPr>
              <w:tab/>
            </w:r>
            <w:r w:rsidR="0002006B">
              <w:rPr>
                <w:webHidden/>
              </w:rPr>
              <w:fldChar w:fldCharType="begin"/>
            </w:r>
            <w:r w:rsidR="0002006B">
              <w:rPr>
                <w:webHidden/>
              </w:rPr>
              <w:instrText xml:space="preserve"> PAGEREF _Toc471461259 \h </w:instrText>
            </w:r>
            <w:r w:rsidR="0002006B">
              <w:rPr>
                <w:webHidden/>
              </w:rPr>
            </w:r>
            <w:r w:rsidR="0002006B">
              <w:rPr>
                <w:webHidden/>
              </w:rPr>
              <w:fldChar w:fldCharType="separate"/>
            </w:r>
            <w:r w:rsidR="0002006B">
              <w:rPr>
                <w:webHidden/>
              </w:rPr>
              <w:t>6</w:t>
            </w:r>
            <w:r w:rsidR="0002006B">
              <w:rPr>
                <w:webHidden/>
              </w:rPr>
              <w:fldChar w:fldCharType="end"/>
            </w:r>
          </w:hyperlink>
        </w:p>
        <w:p w:rsidR="0002006B" w:rsidRDefault="00F44E41">
          <w:pPr>
            <w:pStyle w:val="TOC2"/>
            <w:rPr>
              <w:rFonts w:asciiTheme="minorHAnsi" w:eastAsiaTheme="minorEastAsia" w:hAnsiTheme="minorHAnsi"/>
              <w:lang w:eastAsia="en-AU"/>
            </w:rPr>
          </w:pPr>
          <w:hyperlink w:anchor="_Toc471461260" w:history="1">
            <w:r w:rsidR="0002006B" w:rsidRPr="00650037">
              <w:rPr>
                <w:rStyle w:val="Hyperlink"/>
                <w:lang w:val="en-GB"/>
              </w:rPr>
              <w:t>3.4.</w:t>
            </w:r>
            <w:r w:rsidR="0002006B">
              <w:rPr>
                <w:rFonts w:asciiTheme="minorHAnsi" w:eastAsiaTheme="minorEastAsia" w:hAnsiTheme="minorHAnsi"/>
                <w:lang w:eastAsia="en-AU"/>
              </w:rPr>
              <w:tab/>
            </w:r>
            <w:r w:rsidR="0002006B" w:rsidRPr="00650037">
              <w:rPr>
                <w:rStyle w:val="Hyperlink"/>
                <w:lang w:val="en-GB"/>
              </w:rPr>
              <w:t>Emerging issues</w:t>
            </w:r>
            <w:r w:rsidR="0002006B">
              <w:rPr>
                <w:webHidden/>
              </w:rPr>
              <w:tab/>
            </w:r>
            <w:r w:rsidR="0002006B">
              <w:rPr>
                <w:webHidden/>
              </w:rPr>
              <w:fldChar w:fldCharType="begin"/>
            </w:r>
            <w:r w:rsidR="0002006B">
              <w:rPr>
                <w:webHidden/>
              </w:rPr>
              <w:instrText xml:space="preserve"> PAGEREF _Toc471461260 \h </w:instrText>
            </w:r>
            <w:r w:rsidR="0002006B">
              <w:rPr>
                <w:webHidden/>
              </w:rPr>
            </w:r>
            <w:r w:rsidR="0002006B">
              <w:rPr>
                <w:webHidden/>
              </w:rPr>
              <w:fldChar w:fldCharType="separate"/>
            </w:r>
            <w:r w:rsidR="0002006B">
              <w:rPr>
                <w:webHidden/>
              </w:rPr>
              <w:t>7</w:t>
            </w:r>
            <w:r w:rsidR="0002006B">
              <w:rPr>
                <w:webHidden/>
              </w:rPr>
              <w:fldChar w:fldCharType="end"/>
            </w:r>
          </w:hyperlink>
        </w:p>
        <w:p w:rsidR="0002006B" w:rsidRDefault="00F44E41">
          <w:pPr>
            <w:pStyle w:val="TOC1"/>
            <w:rPr>
              <w:rFonts w:asciiTheme="minorHAnsi" w:eastAsiaTheme="minorEastAsia" w:hAnsiTheme="minorHAnsi"/>
              <w:lang w:val="en-AU" w:eastAsia="en-AU"/>
            </w:rPr>
          </w:pPr>
          <w:hyperlink w:anchor="_Toc471461266" w:history="1">
            <w:r w:rsidR="0002006B" w:rsidRPr="00650037">
              <w:rPr>
                <w:rStyle w:val="Hyperlink"/>
              </w:rPr>
              <w:t>4.</w:t>
            </w:r>
            <w:r w:rsidR="0002006B">
              <w:rPr>
                <w:rFonts w:asciiTheme="minorHAnsi" w:eastAsiaTheme="minorEastAsia" w:hAnsiTheme="minorHAnsi"/>
                <w:lang w:val="en-AU" w:eastAsia="en-AU"/>
              </w:rPr>
              <w:tab/>
            </w:r>
            <w:r w:rsidR="0002006B" w:rsidRPr="00650037">
              <w:rPr>
                <w:rStyle w:val="Hyperlink"/>
              </w:rPr>
              <w:t>Adopting international standards</w:t>
            </w:r>
            <w:r w:rsidR="0002006B">
              <w:rPr>
                <w:webHidden/>
              </w:rPr>
              <w:tab/>
            </w:r>
            <w:r w:rsidR="0002006B">
              <w:rPr>
                <w:webHidden/>
              </w:rPr>
              <w:fldChar w:fldCharType="begin"/>
            </w:r>
            <w:r w:rsidR="0002006B">
              <w:rPr>
                <w:webHidden/>
              </w:rPr>
              <w:instrText xml:space="preserve"> PAGEREF _Toc471461266 \h </w:instrText>
            </w:r>
            <w:r w:rsidR="0002006B">
              <w:rPr>
                <w:webHidden/>
              </w:rPr>
            </w:r>
            <w:r w:rsidR="0002006B">
              <w:rPr>
                <w:webHidden/>
              </w:rPr>
              <w:fldChar w:fldCharType="separate"/>
            </w:r>
            <w:r w:rsidR="0002006B">
              <w:rPr>
                <w:webHidden/>
              </w:rPr>
              <w:t>8</w:t>
            </w:r>
            <w:r w:rsidR="0002006B">
              <w:rPr>
                <w:webHidden/>
              </w:rPr>
              <w:fldChar w:fldCharType="end"/>
            </w:r>
          </w:hyperlink>
        </w:p>
        <w:p w:rsidR="0002006B" w:rsidRDefault="00F44E41">
          <w:pPr>
            <w:pStyle w:val="TOC2"/>
            <w:rPr>
              <w:rFonts w:asciiTheme="minorHAnsi" w:eastAsiaTheme="minorEastAsia" w:hAnsiTheme="minorHAnsi"/>
              <w:lang w:eastAsia="en-AU"/>
            </w:rPr>
          </w:pPr>
          <w:hyperlink w:anchor="_Toc471461267" w:history="1">
            <w:r w:rsidR="0002006B" w:rsidRPr="00650037">
              <w:rPr>
                <w:rStyle w:val="Hyperlink"/>
                <w:lang w:val="en-GB"/>
              </w:rPr>
              <w:t>4.1.</w:t>
            </w:r>
            <w:r w:rsidR="0002006B">
              <w:rPr>
                <w:rFonts w:asciiTheme="minorHAnsi" w:eastAsiaTheme="minorEastAsia" w:hAnsiTheme="minorHAnsi"/>
                <w:lang w:eastAsia="en-AU"/>
              </w:rPr>
              <w:tab/>
            </w:r>
            <w:r w:rsidR="0002006B" w:rsidRPr="00650037">
              <w:rPr>
                <w:rStyle w:val="Hyperlink"/>
                <w:lang w:val="en-GB"/>
              </w:rPr>
              <w:t>Summary</w:t>
            </w:r>
            <w:r w:rsidR="0002006B">
              <w:rPr>
                <w:webHidden/>
              </w:rPr>
              <w:tab/>
            </w:r>
            <w:r w:rsidR="0002006B">
              <w:rPr>
                <w:webHidden/>
              </w:rPr>
              <w:fldChar w:fldCharType="begin"/>
            </w:r>
            <w:r w:rsidR="0002006B">
              <w:rPr>
                <w:webHidden/>
              </w:rPr>
              <w:instrText xml:space="preserve"> PAGEREF _Toc471461267 \h </w:instrText>
            </w:r>
            <w:r w:rsidR="0002006B">
              <w:rPr>
                <w:webHidden/>
              </w:rPr>
            </w:r>
            <w:r w:rsidR="0002006B">
              <w:rPr>
                <w:webHidden/>
              </w:rPr>
              <w:fldChar w:fldCharType="separate"/>
            </w:r>
            <w:r w:rsidR="0002006B">
              <w:rPr>
                <w:webHidden/>
              </w:rPr>
              <w:t>9</w:t>
            </w:r>
            <w:r w:rsidR="0002006B">
              <w:rPr>
                <w:webHidden/>
              </w:rPr>
              <w:fldChar w:fldCharType="end"/>
            </w:r>
          </w:hyperlink>
        </w:p>
        <w:p w:rsidR="0002006B" w:rsidRDefault="00F44E41">
          <w:pPr>
            <w:pStyle w:val="TOC2"/>
            <w:rPr>
              <w:rFonts w:asciiTheme="minorHAnsi" w:eastAsiaTheme="minorEastAsia" w:hAnsiTheme="minorHAnsi"/>
              <w:lang w:eastAsia="en-AU"/>
            </w:rPr>
          </w:pPr>
          <w:hyperlink w:anchor="_Toc471461268" w:history="1">
            <w:r w:rsidR="0002006B" w:rsidRPr="00650037">
              <w:rPr>
                <w:rStyle w:val="Hyperlink"/>
                <w:lang w:val="en-GB"/>
              </w:rPr>
              <w:t>4.2.</w:t>
            </w:r>
            <w:r w:rsidR="0002006B">
              <w:rPr>
                <w:rFonts w:asciiTheme="minorHAnsi" w:eastAsiaTheme="minorEastAsia" w:hAnsiTheme="minorHAnsi"/>
                <w:lang w:eastAsia="en-AU"/>
              </w:rPr>
              <w:tab/>
            </w:r>
            <w:r w:rsidR="0002006B" w:rsidRPr="00650037">
              <w:rPr>
                <w:rStyle w:val="Hyperlink"/>
                <w:lang w:val="en-GB"/>
              </w:rPr>
              <w:t>ASTM standard</w:t>
            </w:r>
            <w:r w:rsidR="0002006B">
              <w:rPr>
                <w:webHidden/>
              </w:rPr>
              <w:tab/>
            </w:r>
            <w:r w:rsidR="0002006B">
              <w:rPr>
                <w:webHidden/>
              </w:rPr>
              <w:fldChar w:fldCharType="begin"/>
            </w:r>
            <w:r w:rsidR="0002006B">
              <w:rPr>
                <w:webHidden/>
              </w:rPr>
              <w:instrText xml:space="preserve"> PAGEREF _Toc471461268 \h </w:instrText>
            </w:r>
            <w:r w:rsidR="0002006B">
              <w:rPr>
                <w:webHidden/>
              </w:rPr>
            </w:r>
            <w:r w:rsidR="0002006B">
              <w:rPr>
                <w:webHidden/>
              </w:rPr>
              <w:fldChar w:fldCharType="separate"/>
            </w:r>
            <w:r w:rsidR="0002006B">
              <w:rPr>
                <w:webHidden/>
              </w:rPr>
              <w:t>9</w:t>
            </w:r>
            <w:r w:rsidR="0002006B">
              <w:rPr>
                <w:webHidden/>
              </w:rPr>
              <w:fldChar w:fldCharType="end"/>
            </w:r>
          </w:hyperlink>
        </w:p>
        <w:p w:rsidR="0002006B" w:rsidRDefault="00F44E41">
          <w:pPr>
            <w:pStyle w:val="TOC2"/>
            <w:rPr>
              <w:rFonts w:asciiTheme="minorHAnsi" w:eastAsiaTheme="minorEastAsia" w:hAnsiTheme="minorHAnsi"/>
              <w:lang w:eastAsia="en-AU"/>
            </w:rPr>
          </w:pPr>
          <w:hyperlink w:anchor="_Toc471461269" w:history="1">
            <w:r w:rsidR="0002006B" w:rsidRPr="00650037">
              <w:rPr>
                <w:rStyle w:val="Hyperlink"/>
                <w:lang w:val="en-GB"/>
              </w:rPr>
              <w:t>4.3.</w:t>
            </w:r>
            <w:r w:rsidR="0002006B">
              <w:rPr>
                <w:rFonts w:asciiTheme="minorHAnsi" w:eastAsiaTheme="minorEastAsia" w:hAnsiTheme="minorHAnsi"/>
                <w:lang w:eastAsia="en-AU"/>
              </w:rPr>
              <w:tab/>
            </w:r>
            <w:r w:rsidR="0002006B" w:rsidRPr="00650037">
              <w:rPr>
                <w:rStyle w:val="Hyperlink"/>
                <w:lang w:val="en-GB"/>
              </w:rPr>
              <w:t>European standard</w:t>
            </w:r>
            <w:r w:rsidR="0002006B">
              <w:rPr>
                <w:webHidden/>
              </w:rPr>
              <w:tab/>
            </w:r>
            <w:r w:rsidR="0002006B">
              <w:rPr>
                <w:webHidden/>
              </w:rPr>
              <w:fldChar w:fldCharType="begin"/>
            </w:r>
            <w:r w:rsidR="0002006B">
              <w:rPr>
                <w:webHidden/>
              </w:rPr>
              <w:instrText xml:space="preserve"> PAGEREF _Toc471461269 \h </w:instrText>
            </w:r>
            <w:r w:rsidR="0002006B">
              <w:rPr>
                <w:webHidden/>
              </w:rPr>
            </w:r>
            <w:r w:rsidR="0002006B">
              <w:rPr>
                <w:webHidden/>
              </w:rPr>
              <w:fldChar w:fldCharType="separate"/>
            </w:r>
            <w:r w:rsidR="0002006B">
              <w:rPr>
                <w:webHidden/>
              </w:rPr>
              <w:t>10</w:t>
            </w:r>
            <w:r w:rsidR="0002006B">
              <w:rPr>
                <w:webHidden/>
              </w:rPr>
              <w:fldChar w:fldCharType="end"/>
            </w:r>
          </w:hyperlink>
        </w:p>
        <w:p w:rsidR="0002006B" w:rsidRDefault="00F44E41">
          <w:pPr>
            <w:pStyle w:val="TOC1"/>
            <w:rPr>
              <w:rFonts w:asciiTheme="minorHAnsi" w:eastAsiaTheme="minorEastAsia" w:hAnsiTheme="minorHAnsi"/>
              <w:lang w:val="en-AU" w:eastAsia="en-AU"/>
            </w:rPr>
          </w:pPr>
          <w:hyperlink w:anchor="_Toc471461270" w:history="1">
            <w:r w:rsidR="0002006B" w:rsidRPr="00650037">
              <w:rPr>
                <w:rStyle w:val="Hyperlink"/>
              </w:rPr>
              <w:t>5.</w:t>
            </w:r>
            <w:r w:rsidR="0002006B">
              <w:rPr>
                <w:rFonts w:asciiTheme="minorHAnsi" w:eastAsiaTheme="minorEastAsia" w:hAnsiTheme="minorHAnsi"/>
                <w:lang w:val="en-AU" w:eastAsia="en-AU"/>
              </w:rPr>
              <w:tab/>
            </w:r>
            <w:r w:rsidR="0002006B" w:rsidRPr="00650037">
              <w:rPr>
                <w:rStyle w:val="Hyperlink"/>
              </w:rPr>
              <w:t>Policy options</w:t>
            </w:r>
            <w:r w:rsidR="0002006B">
              <w:rPr>
                <w:webHidden/>
              </w:rPr>
              <w:tab/>
            </w:r>
            <w:r w:rsidR="0002006B">
              <w:rPr>
                <w:webHidden/>
              </w:rPr>
              <w:fldChar w:fldCharType="begin"/>
            </w:r>
            <w:r w:rsidR="0002006B">
              <w:rPr>
                <w:webHidden/>
              </w:rPr>
              <w:instrText xml:space="preserve"> PAGEREF _Toc471461270 \h </w:instrText>
            </w:r>
            <w:r w:rsidR="0002006B">
              <w:rPr>
                <w:webHidden/>
              </w:rPr>
            </w:r>
            <w:r w:rsidR="0002006B">
              <w:rPr>
                <w:webHidden/>
              </w:rPr>
              <w:fldChar w:fldCharType="separate"/>
            </w:r>
            <w:r w:rsidR="0002006B">
              <w:rPr>
                <w:webHidden/>
              </w:rPr>
              <w:t>11</w:t>
            </w:r>
            <w:r w:rsidR="0002006B">
              <w:rPr>
                <w:webHidden/>
              </w:rPr>
              <w:fldChar w:fldCharType="end"/>
            </w:r>
          </w:hyperlink>
        </w:p>
        <w:p w:rsidR="0002006B" w:rsidRDefault="00F44E41">
          <w:pPr>
            <w:pStyle w:val="TOC2"/>
            <w:rPr>
              <w:rFonts w:asciiTheme="minorHAnsi" w:eastAsiaTheme="minorEastAsia" w:hAnsiTheme="minorHAnsi"/>
              <w:lang w:eastAsia="en-AU"/>
            </w:rPr>
          </w:pPr>
          <w:hyperlink w:anchor="_Toc471461271" w:history="1">
            <w:r w:rsidR="0002006B" w:rsidRPr="00650037">
              <w:rPr>
                <w:rStyle w:val="Hyperlink"/>
              </w:rPr>
              <w:t>Option 1: Retain the current mandatory safety standard (status quo)</w:t>
            </w:r>
            <w:r w:rsidR="0002006B">
              <w:rPr>
                <w:webHidden/>
              </w:rPr>
              <w:tab/>
            </w:r>
            <w:r w:rsidR="0002006B">
              <w:rPr>
                <w:webHidden/>
              </w:rPr>
              <w:fldChar w:fldCharType="begin"/>
            </w:r>
            <w:r w:rsidR="0002006B">
              <w:rPr>
                <w:webHidden/>
              </w:rPr>
              <w:instrText xml:space="preserve"> PAGEREF _Toc471461271 \h </w:instrText>
            </w:r>
            <w:r w:rsidR="0002006B">
              <w:rPr>
                <w:webHidden/>
              </w:rPr>
            </w:r>
            <w:r w:rsidR="0002006B">
              <w:rPr>
                <w:webHidden/>
              </w:rPr>
              <w:fldChar w:fldCharType="separate"/>
            </w:r>
            <w:r w:rsidR="0002006B">
              <w:rPr>
                <w:webHidden/>
              </w:rPr>
              <w:t>11</w:t>
            </w:r>
            <w:r w:rsidR="0002006B">
              <w:rPr>
                <w:webHidden/>
              </w:rPr>
              <w:fldChar w:fldCharType="end"/>
            </w:r>
          </w:hyperlink>
        </w:p>
        <w:p w:rsidR="0002006B" w:rsidRDefault="00F44E41">
          <w:pPr>
            <w:pStyle w:val="TOC2"/>
            <w:rPr>
              <w:rFonts w:asciiTheme="minorHAnsi" w:eastAsiaTheme="minorEastAsia" w:hAnsiTheme="minorHAnsi"/>
              <w:lang w:eastAsia="en-AU"/>
            </w:rPr>
          </w:pPr>
          <w:hyperlink w:anchor="_Toc471461275" w:history="1">
            <w:r w:rsidR="0002006B" w:rsidRPr="00650037">
              <w:rPr>
                <w:rStyle w:val="Hyperlink"/>
              </w:rPr>
              <w:t>Option 2: Adopt parts of the updated voluntary Australian standard</w:t>
            </w:r>
            <w:r w:rsidR="0002006B">
              <w:rPr>
                <w:webHidden/>
              </w:rPr>
              <w:tab/>
            </w:r>
            <w:r w:rsidR="0002006B">
              <w:rPr>
                <w:webHidden/>
              </w:rPr>
              <w:fldChar w:fldCharType="begin"/>
            </w:r>
            <w:r w:rsidR="0002006B">
              <w:rPr>
                <w:webHidden/>
              </w:rPr>
              <w:instrText xml:space="preserve"> PAGEREF _Toc471461275 \h </w:instrText>
            </w:r>
            <w:r w:rsidR="0002006B">
              <w:rPr>
                <w:webHidden/>
              </w:rPr>
            </w:r>
            <w:r w:rsidR="0002006B">
              <w:rPr>
                <w:webHidden/>
              </w:rPr>
              <w:fldChar w:fldCharType="separate"/>
            </w:r>
            <w:r w:rsidR="0002006B">
              <w:rPr>
                <w:webHidden/>
              </w:rPr>
              <w:t>11</w:t>
            </w:r>
            <w:r w:rsidR="0002006B">
              <w:rPr>
                <w:webHidden/>
              </w:rPr>
              <w:fldChar w:fldCharType="end"/>
            </w:r>
          </w:hyperlink>
        </w:p>
        <w:p w:rsidR="0002006B" w:rsidRDefault="00F44E41">
          <w:pPr>
            <w:pStyle w:val="TOC2"/>
            <w:rPr>
              <w:rFonts w:asciiTheme="minorHAnsi" w:eastAsiaTheme="minorEastAsia" w:hAnsiTheme="minorHAnsi"/>
              <w:lang w:eastAsia="en-AU"/>
            </w:rPr>
          </w:pPr>
          <w:hyperlink w:anchor="_Toc471461280" w:history="1">
            <w:r w:rsidR="0002006B" w:rsidRPr="00650037">
              <w:rPr>
                <w:rStyle w:val="Hyperlink"/>
              </w:rPr>
              <w:t>Option 3 – Allow compliance with the voluntary Australian or trusted international standards</w:t>
            </w:r>
            <w:r w:rsidR="0002006B">
              <w:rPr>
                <w:webHidden/>
              </w:rPr>
              <w:tab/>
            </w:r>
            <w:r w:rsidR="0002006B">
              <w:rPr>
                <w:webHidden/>
              </w:rPr>
              <w:fldChar w:fldCharType="begin"/>
            </w:r>
            <w:r w:rsidR="0002006B">
              <w:rPr>
                <w:webHidden/>
              </w:rPr>
              <w:instrText xml:space="preserve"> PAGEREF _Toc471461280 \h </w:instrText>
            </w:r>
            <w:r w:rsidR="0002006B">
              <w:rPr>
                <w:webHidden/>
              </w:rPr>
            </w:r>
            <w:r w:rsidR="0002006B">
              <w:rPr>
                <w:webHidden/>
              </w:rPr>
              <w:fldChar w:fldCharType="separate"/>
            </w:r>
            <w:r w:rsidR="0002006B">
              <w:rPr>
                <w:webHidden/>
              </w:rPr>
              <w:t>13</w:t>
            </w:r>
            <w:r w:rsidR="0002006B">
              <w:rPr>
                <w:webHidden/>
              </w:rPr>
              <w:fldChar w:fldCharType="end"/>
            </w:r>
          </w:hyperlink>
        </w:p>
        <w:p w:rsidR="0002006B" w:rsidRDefault="00F44E41">
          <w:pPr>
            <w:pStyle w:val="TOC2"/>
            <w:rPr>
              <w:rFonts w:asciiTheme="minorHAnsi" w:eastAsiaTheme="minorEastAsia" w:hAnsiTheme="minorHAnsi"/>
              <w:lang w:eastAsia="en-AU"/>
            </w:rPr>
          </w:pPr>
          <w:hyperlink w:anchor="_Toc471461285" w:history="1">
            <w:r w:rsidR="0002006B" w:rsidRPr="00650037">
              <w:rPr>
                <w:rStyle w:val="Hyperlink"/>
              </w:rPr>
              <w:t>Option 4: Revoke the mandatory safety standard</w:t>
            </w:r>
            <w:r w:rsidR="0002006B">
              <w:rPr>
                <w:webHidden/>
              </w:rPr>
              <w:tab/>
            </w:r>
            <w:r w:rsidR="0002006B">
              <w:rPr>
                <w:webHidden/>
              </w:rPr>
              <w:fldChar w:fldCharType="begin"/>
            </w:r>
            <w:r w:rsidR="0002006B">
              <w:rPr>
                <w:webHidden/>
              </w:rPr>
              <w:instrText xml:space="preserve"> PAGEREF _Toc471461285 \h </w:instrText>
            </w:r>
            <w:r w:rsidR="0002006B">
              <w:rPr>
                <w:webHidden/>
              </w:rPr>
            </w:r>
            <w:r w:rsidR="0002006B">
              <w:rPr>
                <w:webHidden/>
              </w:rPr>
              <w:fldChar w:fldCharType="separate"/>
            </w:r>
            <w:r w:rsidR="0002006B">
              <w:rPr>
                <w:webHidden/>
              </w:rPr>
              <w:t>14</w:t>
            </w:r>
            <w:r w:rsidR="0002006B">
              <w:rPr>
                <w:webHidden/>
              </w:rPr>
              <w:fldChar w:fldCharType="end"/>
            </w:r>
          </w:hyperlink>
        </w:p>
        <w:p w:rsidR="0002006B" w:rsidRDefault="00F44E41">
          <w:pPr>
            <w:pStyle w:val="TOC1"/>
            <w:rPr>
              <w:rFonts w:asciiTheme="minorHAnsi" w:eastAsiaTheme="minorEastAsia" w:hAnsiTheme="minorHAnsi"/>
              <w:lang w:val="en-AU" w:eastAsia="en-AU"/>
            </w:rPr>
          </w:pPr>
          <w:hyperlink w:anchor="_Toc471461289" w:history="1">
            <w:r w:rsidR="0002006B" w:rsidRPr="00650037">
              <w:rPr>
                <w:rStyle w:val="Hyperlink"/>
              </w:rPr>
              <w:t>6.</w:t>
            </w:r>
            <w:r w:rsidR="0002006B">
              <w:rPr>
                <w:rFonts w:asciiTheme="minorHAnsi" w:eastAsiaTheme="minorEastAsia" w:hAnsiTheme="minorHAnsi"/>
                <w:lang w:val="en-AU" w:eastAsia="en-AU"/>
              </w:rPr>
              <w:tab/>
            </w:r>
            <w:r w:rsidR="0002006B" w:rsidRPr="00650037">
              <w:rPr>
                <w:rStyle w:val="Hyperlink"/>
              </w:rPr>
              <w:t>Preliminary position</w:t>
            </w:r>
            <w:r w:rsidR="0002006B">
              <w:rPr>
                <w:webHidden/>
              </w:rPr>
              <w:tab/>
            </w:r>
            <w:r w:rsidR="0002006B">
              <w:rPr>
                <w:webHidden/>
              </w:rPr>
              <w:fldChar w:fldCharType="begin"/>
            </w:r>
            <w:r w:rsidR="0002006B">
              <w:rPr>
                <w:webHidden/>
              </w:rPr>
              <w:instrText xml:space="preserve"> PAGEREF _Toc471461289 \h </w:instrText>
            </w:r>
            <w:r w:rsidR="0002006B">
              <w:rPr>
                <w:webHidden/>
              </w:rPr>
            </w:r>
            <w:r w:rsidR="0002006B">
              <w:rPr>
                <w:webHidden/>
              </w:rPr>
              <w:fldChar w:fldCharType="separate"/>
            </w:r>
            <w:r w:rsidR="0002006B">
              <w:rPr>
                <w:webHidden/>
              </w:rPr>
              <w:t>15</w:t>
            </w:r>
            <w:r w:rsidR="0002006B">
              <w:rPr>
                <w:webHidden/>
              </w:rPr>
              <w:fldChar w:fldCharType="end"/>
            </w:r>
          </w:hyperlink>
        </w:p>
        <w:p w:rsidR="0002006B" w:rsidRDefault="00F44E41">
          <w:pPr>
            <w:pStyle w:val="TOC1"/>
            <w:rPr>
              <w:rFonts w:asciiTheme="minorHAnsi" w:eastAsiaTheme="minorEastAsia" w:hAnsiTheme="minorHAnsi"/>
              <w:lang w:val="en-AU" w:eastAsia="en-AU"/>
            </w:rPr>
          </w:pPr>
          <w:hyperlink w:anchor="_Toc471461290" w:history="1">
            <w:r w:rsidR="0002006B" w:rsidRPr="00650037">
              <w:rPr>
                <w:rStyle w:val="Hyperlink"/>
              </w:rPr>
              <w:t>7.</w:t>
            </w:r>
            <w:r w:rsidR="0002006B">
              <w:rPr>
                <w:rFonts w:asciiTheme="minorHAnsi" w:eastAsiaTheme="minorEastAsia" w:hAnsiTheme="minorHAnsi"/>
                <w:lang w:val="en-AU" w:eastAsia="en-AU"/>
              </w:rPr>
              <w:tab/>
            </w:r>
            <w:r w:rsidR="0002006B" w:rsidRPr="00650037">
              <w:rPr>
                <w:rStyle w:val="Hyperlink"/>
              </w:rPr>
              <w:t>Implementation and evaluation</w:t>
            </w:r>
            <w:r w:rsidR="0002006B">
              <w:rPr>
                <w:webHidden/>
              </w:rPr>
              <w:tab/>
            </w:r>
            <w:r w:rsidR="0002006B">
              <w:rPr>
                <w:webHidden/>
              </w:rPr>
              <w:fldChar w:fldCharType="begin"/>
            </w:r>
            <w:r w:rsidR="0002006B">
              <w:rPr>
                <w:webHidden/>
              </w:rPr>
              <w:instrText xml:space="preserve"> PAGEREF _Toc471461290 \h </w:instrText>
            </w:r>
            <w:r w:rsidR="0002006B">
              <w:rPr>
                <w:webHidden/>
              </w:rPr>
            </w:r>
            <w:r w:rsidR="0002006B">
              <w:rPr>
                <w:webHidden/>
              </w:rPr>
              <w:fldChar w:fldCharType="separate"/>
            </w:r>
            <w:r w:rsidR="0002006B">
              <w:rPr>
                <w:webHidden/>
              </w:rPr>
              <w:t>15</w:t>
            </w:r>
            <w:r w:rsidR="0002006B">
              <w:rPr>
                <w:webHidden/>
              </w:rPr>
              <w:fldChar w:fldCharType="end"/>
            </w:r>
          </w:hyperlink>
        </w:p>
        <w:p w:rsidR="0002006B" w:rsidRDefault="00F44E41">
          <w:pPr>
            <w:pStyle w:val="TOC1"/>
            <w:rPr>
              <w:rFonts w:asciiTheme="minorHAnsi" w:eastAsiaTheme="minorEastAsia" w:hAnsiTheme="minorHAnsi"/>
              <w:lang w:val="en-AU" w:eastAsia="en-AU"/>
            </w:rPr>
          </w:pPr>
          <w:hyperlink w:anchor="_Toc471461291" w:history="1">
            <w:r w:rsidR="0002006B" w:rsidRPr="00650037">
              <w:rPr>
                <w:rStyle w:val="Hyperlink"/>
              </w:rPr>
              <w:t>8.</w:t>
            </w:r>
            <w:r w:rsidR="0002006B">
              <w:rPr>
                <w:rFonts w:asciiTheme="minorHAnsi" w:eastAsiaTheme="minorEastAsia" w:hAnsiTheme="minorHAnsi"/>
                <w:lang w:val="en-AU" w:eastAsia="en-AU"/>
              </w:rPr>
              <w:tab/>
            </w:r>
            <w:r w:rsidR="0002006B" w:rsidRPr="00650037">
              <w:rPr>
                <w:rStyle w:val="Hyperlink"/>
              </w:rPr>
              <w:t>Summary of key questions</w:t>
            </w:r>
            <w:r w:rsidR="0002006B">
              <w:rPr>
                <w:webHidden/>
              </w:rPr>
              <w:tab/>
            </w:r>
            <w:r w:rsidR="0002006B">
              <w:rPr>
                <w:webHidden/>
              </w:rPr>
              <w:fldChar w:fldCharType="begin"/>
            </w:r>
            <w:r w:rsidR="0002006B">
              <w:rPr>
                <w:webHidden/>
              </w:rPr>
              <w:instrText xml:space="preserve"> PAGEREF _Toc471461291 \h </w:instrText>
            </w:r>
            <w:r w:rsidR="0002006B">
              <w:rPr>
                <w:webHidden/>
              </w:rPr>
            </w:r>
            <w:r w:rsidR="0002006B">
              <w:rPr>
                <w:webHidden/>
              </w:rPr>
              <w:fldChar w:fldCharType="separate"/>
            </w:r>
            <w:r w:rsidR="0002006B">
              <w:rPr>
                <w:webHidden/>
              </w:rPr>
              <w:t>15</w:t>
            </w:r>
            <w:r w:rsidR="0002006B">
              <w:rPr>
                <w:webHidden/>
              </w:rPr>
              <w:fldChar w:fldCharType="end"/>
            </w:r>
          </w:hyperlink>
        </w:p>
        <w:p w:rsidR="0002006B" w:rsidRDefault="00F44E41">
          <w:pPr>
            <w:pStyle w:val="TOC1"/>
            <w:rPr>
              <w:rFonts w:asciiTheme="minorHAnsi" w:eastAsiaTheme="minorEastAsia" w:hAnsiTheme="minorHAnsi"/>
              <w:lang w:val="en-AU" w:eastAsia="en-AU"/>
            </w:rPr>
          </w:pPr>
          <w:hyperlink w:anchor="_Toc471461292" w:history="1">
            <w:r w:rsidR="0002006B" w:rsidRPr="00650037">
              <w:rPr>
                <w:rStyle w:val="Hyperlink"/>
              </w:rPr>
              <w:t>9.</w:t>
            </w:r>
            <w:r w:rsidR="0002006B">
              <w:rPr>
                <w:rFonts w:asciiTheme="minorHAnsi" w:eastAsiaTheme="minorEastAsia" w:hAnsiTheme="minorHAnsi"/>
                <w:lang w:val="en-AU" w:eastAsia="en-AU"/>
              </w:rPr>
              <w:tab/>
            </w:r>
            <w:r w:rsidR="0002006B" w:rsidRPr="00650037">
              <w:rPr>
                <w:rStyle w:val="Hyperlink"/>
              </w:rPr>
              <w:t>Have your say</w:t>
            </w:r>
            <w:r w:rsidR="0002006B">
              <w:rPr>
                <w:webHidden/>
              </w:rPr>
              <w:tab/>
            </w:r>
            <w:r w:rsidR="0002006B">
              <w:rPr>
                <w:webHidden/>
              </w:rPr>
              <w:fldChar w:fldCharType="begin"/>
            </w:r>
            <w:r w:rsidR="0002006B">
              <w:rPr>
                <w:webHidden/>
              </w:rPr>
              <w:instrText xml:space="preserve"> PAGEREF _Toc471461292 \h </w:instrText>
            </w:r>
            <w:r w:rsidR="0002006B">
              <w:rPr>
                <w:webHidden/>
              </w:rPr>
            </w:r>
            <w:r w:rsidR="0002006B">
              <w:rPr>
                <w:webHidden/>
              </w:rPr>
              <w:fldChar w:fldCharType="separate"/>
            </w:r>
            <w:r w:rsidR="0002006B">
              <w:rPr>
                <w:webHidden/>
              </w:rPr>
              <w:t>16</w:t>
            </w:r>
            <w:r w:rsidR="0002006B">
              <w:rPr>
                <w:webHidden/>
              </w:rPr>
              <w:fldChar w:fldCharType="end"/>
            </w:r>
          </w:hyperlink>
        </w:p>
        <w:p w:rsidR="0002006B" w:rsidRDefault="00F44E41">
          <w:pPr>
            <w:pStyle w:val="TOC1"/>
            <w:rPr>
              <w:rFonts w:asciiTheme="minorHAnsi" w:eastAsiaTheme="minorEastAsia" w:hAnsiTheme="minorHAnsi"/>
              <w:lang w:val="en-AU" w:eastAsia="en-AU"/>
            </w:rPr>
          </w:pPr>
          <w:hyperlink w:anchor="_Toc471461293" w:history="1">
            <w:r w:rsidR="0002006B" w:rsidRPr="00650037">
              <w:rPr>
                <w:rStyle w:val="Hyperlink"/>
              </w:rPr>
              <w:t>Glossary</w:t>
            </w:r>
            <w:r w:rsidR="0002006B">
              <w:rPr>
                <w:webHidden/>
              </w:rPr>
              <w:tab/>
            </w:r>
            <w:r w:rsidR="0002006B">
              <w:rPr>
                <w:webHidden/>
              </w:rPr>
              <w:fldChar w:fldCharType="begin"/>
            </w:r>
            <w:r w:rsidR="0002006B">
              <w:rPr>
                <w:webHidden/>
              </w:rPr>
              <w:instrText xml:space="preserve"> PAGEREF _Toc471461293 \h </w:instrText>
            </w:r>
            <w:r w:rsidR="0002006B">
              <w:rPr>
                <w:webHidden/>
              </w:rPr>
            </w:r>
            <w:r w:rsidR="0002006B">
              <w:rPr>
                <w:webHidden/>
              </w:rPr>
              <w:fldChar w:fldCharType="separate"/>
            </w:r>
            <w:r w:rsidR="0002006B">
              <w:rPr>
                <w:webHidden/>
              </w:rPr>
              <w:t>17</w:t>
            </w:r>
            <w:r w:rsidR="0002006B">
              <w:rPr>
                <w:webHidden/>
              </w:rPr>
              <w:fldChar w:fldCharType="end"/>
            </w:r>
          </w:hyperlink>
        </w:p>
        <w:p w:rsidR="0002006B" w:rsidRDefault="00F44E41">
          <w:pPr>
            <w:pStyle w:val="TOC1"/>
            <w:rPr>
              <w:rFonts w:asciiTheme="minorHAnsi" w:eastAsiaTheme="minorEastAsia" w:hAnsiTheme="minorHAnsi"/>
              <w:lang w:val="en-AU" w:eastAsia="en-AU"/>
            </w:rPr>
          </w:pPr>
          <w:hyperlink w:anchor="_Toc471461294" w:history="1">
            <w:r w:rsidR="0002006B" w:rsidRPr="00650037">
              <w:rPr>
                <w:rStyle w:val="Hyperlink"/>
              </w:rPr>
              <w:t>Appendix A – Injuries and deaths</w:t>
            </w:r>
            <w:r w:rsidR="0002006B">
              <w:rPr>
                <w:webHidden/>
              </w:rPr>
              <w:tab/>
            </w:r>
            <w:r w:rsidR="0002006B">
              <w:rPr>
                <w:webHidden/>
              </w:rPr>
              <w:fldChar w:fldCharType="begin"/>
            </w:r>
            <w:r w:rsidR="0002006B">
              <w:rPr>
                <w:webHidden/>
              </w:rPr>
              <w:instrText xml:space="preserve"> PAGEREF _Toc471461294 \h </w:instrText>
            </w:r>
            <w:r w:rsidR="0002006B">
              <w:rPr>
                <w:webHidden/>
              </w:rPr>
            </w:r>
            <w:r w:rsidR="0002006B">
              <w:rPr>
                <w:webHidden/>
              </w:rPr>
              <w:fldChar w:fldCharType="separate"/>
            </w:r>
            <w:r w:rsidR="0002006B">
              <w:rPr>
                <w:webHidden/>
              </w:rPr>
              <w:t>18</w:t>
            </w:r>
            <w:r w:rsidR="0002006B">
              <w:rPr>
                <w:webHidden/>
              </w:rPr>
              <w:fldChar w:fldCharType="end"/>
            </w:r>
          </w:hyperlink>
        </w:p>
        <w:p w:rsidR="0002006B" w:rsidRDefault="00F44E41">
          <w:pPr>
            <w:pStyle w:val="TOC1"/>
            <w:rPr>
              <w:rFonts w:asciiTheme="minorHAnsi" w:eastAsiaTheme="minorEastAsia" w:hAnsiTheme="minorHAnsi"/>
              <w:lang w:val="en-AU" w:eastAsia="en-AU"/>
            </w:rPr>
          </w:pPr>
          <w:hyperlink w:anchor="_Toc471461299" w:history="1">
            <w:r w:rsidR="0002006B" w:rsidRPr="00650037">
              <w:rPr>
                <w:rStyle w:val="Hyperlink"/>
              </w:rPr>
              <w:t>Appendix B – Regulatory cost estimates</w:t>
            </w:r>
            <w:r w:rsidR="0002006B">
              <w:rPr>
                <w:webHidden/>
              </w:rPr>
              <w:tab/>
            </w:r>
            <w:r w:rsidR="0002006B">
              <w:rPr>
                <w:webHidden/>
              </w:rPr>
              <w:fldChar w:fldCharType="begin"/>
            </w:r>
            <w:r w:rsidR="0002006B">
              <w:rPr>
                <w:webHidden/>
              </w:rPr>
              <w:instrText xml:space="preserve"> PAGEREF _Toc471461299 \h </w:instrText>
            </w:r>
            <w:r w:rsidR="0002006B">
              <w:rPr>
                <w:webHidden/>
              </w:rPr>
            </w:r>
            <w:r w:rsidR="0002006B">
              <w:rPr>
                <w:webHidden/>
              </w:rPr>
              <w:fldChar w:fldCharType="separate"/>
            </w:r>
            <w:r w:rsidR="0002006B">
              <w:rPr>
                <w:webHidden/>
              </w:rPr>
              <w:t>20</w:t>
            </w:r>
            <w:r w:rsidR="0002006B">
              <w:rPr>
                <w:webHidden/>
              </w:rPr>
              <w:fldChar w:fldCharType="end"/>
            </w:r>
          </w:hyperlink>
        </w:p>
        <w:p w:rsidR="0002006B" w:rsidRDefault="00F44E41">
          <w:pPr>
            <w:pStyle w:val="TOC1"/>
            <w:rPr>
              <w:rFonts w:asciiTheme="minorHAnsi" w:eastAsiaTheme="minorEastAsia" w:hAnsiTheme="minorHAnsi"/>
              <w:lang w:val="en-AU" w:eastAsia="en-AU"/>
            </w:rPr>
          </w:pPr>
          <w:hyperlink w:anchor="_Toc471461300" w:history="1">
            <w:r w:rsidR="0002006B" w:rsidRPr="00650037">
              <w:rPr>
                <w:rStyle w:val="Hyperlink"/>
              </w:rPr>
              <w:t>Appendix C – Key requirements of pram and stroller standards</w:t>
            </w:r>
            <w:r w:rsidR="0002006B">
              <w:rPr>
                <w:webHidden/>
              </w:rPr>
              <w:tab/>
            </w:r>
            <w:r w:rsidR="0002006B">
              <w:rPr>
                <w:webHidden/>
              </w:rPr>
              <w:fldChar w:fldCharType="begin"/>
            </w:r>
            <w:r w:rsidR="0002006B">
              <w:rPr>
                <w:webHidden/>
              </w:rPr>
              <w:instrText xml:space="preserve"> PAGEREF _Toc471461300 \h </w:instrText>
            </w:r>
            <w:r w:rsidR="0002006B">
              <w:rPr>
                <w:webHidden/>
              </w:rPr>
            </w:r>
            <w:r w:rsidR="0002006B">
              <w:rPr>
                <w:webHidden/>
              </w:rPr>
              <w:fldChar w:fldCharType="separate"/>
            </w:r>
            <w:r w:rsidR="0002006B">
              <w:rPr>
                <w:webHidden/>
              </w:rPr>
              <w:t>22</w:t>
            </w:r>
            <w:r w:rsidR="0002006B">
              <w:rPr>
                <w:webHidden/>
              </w:rPr>
              <w:fldChar w:fldCharType="end"/>
            </w:r>
          </w:hyperlink>
        </w:p>
        <w:p w:rsidR="00DD07A2" w:rsidRDefault="00DD07A2" w:rsidP="00E556FF">
          <w:pPr>
            <w:pStyle w:val="TOC1"/>
          </w:pPr>
          <w:r>
            <w:fldChar w:fldCharType="end"/>
          </w:r>
        </w:p>
      </w:sdtContent>
    </w:sdt>
    <w:p w:rsidR="00E556FF" w:rsidRDefault="00E556FF" w:rsidP="00E556FF">
      <w:pPr>
        <w:pStyle w:val="TOC1"/>
      </w:pPr>
    </w:p>
    <w:p w:rsidR="000469A3" w:rsidRDefault="000469A3">
      <w:r>
        <w:br w:type="page"/>
      </w:r>
    </w:p>
    <w:p w:rsidR="002D3CAF" w:rsidRPr="007F634C" w:rsidRDefault="003C4D94" w:rsidP="007F634C">
      <w:pPr>
        <w:pStyle w:val="Numbered1"/>
      </w:pPr>
      <w:bookmarkStart w:id="3" w:name="_Toc440455028"/>
      <w:bookmarkStart w:id="4" w:name="_Toc457222695"/>
      <w:bookmarkStart w:id="5" w:name="_Toc471460721"/>
      <w:bookmarkStart w:id="6" w:name="_Toc471461252"/>
      <w:r w:rsidRPr="007F634C">
        <w:lastRenderedPageBreak/>
        <w:t>Introduction</w:t>
      </w:r>
      <w:bookmarkEnd w:id="3"/>
      <w:bookmarkEnd w:id="4"/>
      <w:bookmarkEnd w:id="5"/>
      <w:bookmarkEnd w:id="6"/>
      <w:r w:rsidRPr="007F634C">
        <w:t xml:space="preserve"> </w:t>
      </w:r>
    </w:p>
    <w:p w:rsidR="003C4D94" w:rsidRDefault="003C4D94" w:rsidP="003C4D94">
      <w:r>
        <w:t>The Australian Competition and Consumer Commission</w:t>
      </w:r>
      <w:r w:rsidR="0015737E">
        <w:t xml:space="preserve"> (ACCC)</w:t>
      </w:r>
      <w:r w:rsidR="00E235B8">
        <w:t xml:space="preserve"> </w:t>
      </w:r>
      <w:proofErr w:type="gramStart"/>
      <w:r w:rsidR="00E235B8">
        <w:t>has</w:t>
      </w:r>
      <w:proofErr w:type="gramEnd"/>
      <w:r w:rsidR="00292C8E">
        <w:t xml:space="preserve"> </w:t>
      </w:r>
      <w:r>
        <w:t xml:space="preserve">prepared this </w:t>
      </w:r>
      <w:r w:rsidR="00926961">
        <w:t xml:space="preserve">consultation paper </w:t>
      </w:r>
      <w:r>
        <w:t xml:space="preserve">as part of our review </w:t>
      </w:r>
      <w:r w:rsidR="00064A0F">
        <w:t xml:space="preserve">of the </w:t>
      </w:r>
      <w:r>
        <w:t xml:space="preserve">safety standard for </w:t>
      </w:r>
      <w:r w:rsidR="00346485">
        <w:t>prams and strollers</w:t>
      </w:r>
      <w:r w:rsidR="0065392B">
        <w:t>.</w:t>
      </w:r>
    </w:p>
    <w:p w:rsidR="003C4D94" w:rsidRDefault="00926961" w:rsidP="003C4D94">
      <w:r w:rsidRPr="00DB6C88">
        <w:t>Th</w:t>
      </w:r>
      <w:r>
        <w:t>is</w:t>
      </w:r>
      <w:r w:rsidRPr="00DB6C88">
        <w:t xml:space="preserve"> </w:t>
      </w:r>
      <w:r>
        <w:t xml:space="preserve">consultation paper is in the format of </w:t>
      </w:r>
      <w:r w:rsidRPr="00DB6C88">
        <w:t>a R</w:t>
      </w:r>
      <w:r>
        <w:t>egulation Impact Statement (R</w:t>
      </w:r>
      <w:r w:rsidRPr="00DB6C88">
        <w:t>IS</w:t>
      </w:r>
      <w:r>
        <w:t>).</w:t>
      </w:r>
      <w:r w:rsidRPr="00DB6C88">
        <w:t xml:space="preserve"> </w:t>
      </w:r>
      <w:r w:rsidR="003C4D94">
        <w:t xml:space="preserve">The Australian Government requires </w:t>
      </w:r>
      <w:r w:rsidR="00725F8B">
        <w:t xml:space="preserve">a RIS to inform </w:t>
      </w:r>
      <w:r w:rsidR="003C4D94">
        <w:t>e</w:t>
      </w:r>
      <w:r w:rsidR="00725F8B">
        <w:t>very regulatory policy proposal, unless it is a minor update to existing laws</w:t>
      </w:r>
      <w:r w:rsidR="003C4D94">
        <w:t>. The RIS process assesses the costs and benefits of policy options to ensure any regulation provides the greatest benefit to the Australian community.</w:t>
      </w:r>
    </w:p>
    <w:p w:rsidR="008E28E5" w:rsidRDefault="00FE22BC" w:rsidP="003C4D94">
      <w:r>
        <w:rPr>
          <w:color w:val="000000"/>
        </w:rPr>
        <w:t xml:space="preserve">This </w:t>
      </w:r>
      <w:r w:rsidR="00926961">
        <w:rPr>
          <w:color w:val="000000"/>
        </w:rPr>
        <w:t>consultation paper</w:t>
      </w:r>
      <w:r>
        <w:rPr>
          <w:color w:val="000000"/>
        </w:rPr>
        <w:t xml:space="preserve"> invites stakeholders to comment on a number of issues and options. </w:t>
      </w:r>
      <w:r w:rsidR="00A070FB">
        <w:rPr>
          <w:color w:val="000000"/>
        </w:rPr>
        <w:t>A summary of key</w:t>
      </w:r>
      <w:r w:rsidR="0065392B">
        <w:rPr>
          <w:color w:val="000000"/>
        </w:rPr>
        <w:t xml:space="preserve"> q</w:t>
      </w:r>
      <w:r>
        <w:rPr>
          <w:color w:val="000000"/>
        </w:rPr>
        <w:t>uestions is at</w:t>
      </w:r>
      <w:r w:rsidR="00B52DD5">
        <w:rPr>
          <w:color w:val="000000"/>
        </w:rPr>
        <w:t xml:space="preserve"> section </w:t>
      </w:r>
      <w:r w:rsidR="00346485">
        <w:rPr>
          <w:color w:val="000000"/>
        </w:rPr>
        <w:t>9.</w:t>
      </w:r>
      <w:r w:rsidRPr="00E01E07">
        <w:t xml:space="preserve"> </w:t>
      </w:r>
    </w:p>
    <w:p w:rsidR="008E28E5" w:rsidRDefault="008E28E5" w:rsidP="007175F3">
      <w:pPr>
        <w:pStyle w:val="Numbered1"/>
        <w:ind w:left="357" w:hanging="357"/>
      </w:pPr>
      <w:bookmarkStart w:id="7" w:name="_Toc457222934"/>
      <w:bookmarkStart w:id="8" w:name="_Toc471460722"/>
      <w:bookmarkStart w:id="9" w:name="_Toc471461253"/>
      <w:r>
        <w:t>The problem and the need for government action</w:t>
      </w:r>
      <w:bookmarkEnd w:id="7"/>
      <w:bookmarkEnd w:id="8"/>
      <w:bookmarkEnd w:id="9"/>
    </w:p>
    <w:p w:rsidR="00E556FF" w:rsidRDefault="00191C9B" w:rsidP="00E556FF">
      <w:r>
        <w:rPr>
          <w:bCs/>
        </w:rPr>
        <w:t xml:space="preserve">The </w:t>
      </w:r>
      <w:r w:rsidR="00725F8B">
        <w:t>ACCC</w:t>
      </w:r>
      <w:r w:rsidR="00E556FF" w:rsidRPr="00C13216">
        <w:t xml:space="preserve"> </w:t>
      </w:r>
      <w:r w:rsidR="00E556FF" w:rsidRPr="00C13216">
        <w:rPr>
          <w:bCs/>
        </w:rPr>
        <w:t xml:space="preserve">is reviewing </w:t>
      </w:r>
      <w:r w:rsidR="00C0176D">
        <w:rPr>
          <w:bCs/>
        </w:rPr>
        <w:t>t</w:t>
      </w:r>
      <w:r w:rsidR="00C0176D" w:rsidRPr="00C13216">
        <w:rPr>
          <w:bCs/>
        </w:rPr>
        <w:t xml:space="preserve">he </w:t>
      </w:r>
      <w:r w:rsidR="00C0176D">
        <w:rPr>
          <w:bCs/>
        </w:rPr>
        <w:t xml:space="preserve">mandatory safety standard for prams and strollers </w:t>
      </w:r>
      <w:r w:rsidR="00E556FF" w:rsidRPr="00C13216">
        <w:t>because:</w:t>
      </w:r>
    </w:p>
    <w:p w:rsidR="00C0176D" w:rsidRDefault="00C0176D" w:rsidP="00C0176D">
      <w:pPr>
        <w:pStyle w:val="ListBullet"/>
        <w:ind w:left="360"/>
      </w:pPr>
      <w:bookmarkStart w:id="10" w:name="_GoBack"/>
      <w:r>
        <w:t>we want to see if the safety standard is still effective (it started in 2008)</w:t>
      </w:r>
      <w:r w:rsidR="00DF4289">
        <w:t xml:space="preserve"> </w:t>
      </w:r>
      <w:r>
        <w:t>in reducing serious injuries and deaths of children using these products</w:t>
      </w:r>
    </w:p>
    <w:p w:rsidR="00444040" w:rsidRPr="00C13216" w:rsidRDefault="00444040" w:rsidP="00E556FF">
      <w:pPr>
        <w:pStyle w:val="ListBullet"/>
        <w:ind w:left="360"/>
      </w:pPr>
      <w:r>
        <w:t xml:space="preserve">the market and products have </w:t>
      </w:r>
      <w:r w:rsidR="00DF4289">
        <w:t xml:space="preserve">changed </w:t>
      </w:r>
      <w:r>
        <w:t>since the previous review of the mandatory safety standard</w:t>
      </w:r>
    </w:p>
    <w:p w:rsidR="00E556FF" w:rsidRPr="00C13216" w:rsidRDefault="00DF4289" w:rsidP="009C42F9">
      <w:pPr>
        <w:pStyle w:val="ListParagraph"/>
        <w:numPr>
          <w:ilvl w:val="0"/>
          <w:numId w:val="29"/>
        </w:numPr>
      </w:pPr>
      <w:r>
        <w:t xml:space="preserve">we are considering </w:t>
      </w:r>
      <w:r w:rsidR="00725F8B">
        <w:t>h</w:t>
      </w:r>
      <w:r w:rsidR="00E556FF">
        <w:t>azards</w:t>
      </w:r>
      <w:r w:rsidR="00725F8B">
        <w:t xml:space="preserve"> </w:t>
      </w:r>
      <w:r>
        <w:t>associated</w:t>
      </w:r>
      <w:r w:rsidR="00E74D53">
        <w:t xml:space="preserve"> </w:t>
      </w:r>
      <w:r w:rsidR="00E556FF">
        <w:t xml:space="preserve">with </w:t>
      </w:r>
      <w:r>
        <w:t xml:space="preserve">pram and </w:t>
      </w:r>
      <w:r w:rsidR="00444040">
        <w:t xml:space="preserve">stroller </w:t>
      </w:r>
      <w:r w:rsidR="00E556FF">
        <w:t xml:space="preserve">folding mechanisms and with the </w:t>
      </w:r>
      <w:r w:rsidR="001D5AFA">
        <w:t>stability</w:t>
      </w:r>
      <w:r w:rsidR="00E556FF">
        <w:t xml:space="preserve"> of </w:t>
      </w:r>
      <w:r w:rsidR="00E74D53">
        <w:t xml:space="preserve">some </w:t>
      </w:r>
      <w:r>
        <w:t xml:space="preserve">prams and </w:t>
      </w:r>
      <w:r w:rsidR="00E556FF">
        <w:t>strollers with added features</w:t>
      </w:r>
    </w:p>
    <w:p w:rsidR="00607E42" w:rsidRDefault="00DF4289" w:rsidP="009C42F9">
      <w:pPr>
        <w:numPr>
          <w:ilvl w:val="0"/>
          <w:numId w:val="29"/>
        </w:numPr>
      </w:pPr>
      <w:r>
        <w:t>we are considering the latest Australian voluntary</w:t>
      </w:r>
      <w:r w:rsidRPr="00C13216">
        <w:t xml:space="preserve"> standard</w:t>
      </w:r>
      <w:r>
        <w:t xml:space="preserve"> for prams and strollers</w:t>
      </w:r>
      <w:r w:rsidDel="00DF4289">
        <w:t xml:space="preserve"> </w:t>
      </w:r>
    </w:p>
    <w:p w:rsidR="00571DFE" w:rsidRPr="00C13216" w:rsidRDefault="00444040" w:rsidP="009C42F9">
      <w:pPr>
        <w:numPr>
          <w:ilvl w:val="0"/>
          <w:numId w:val="29"/>
        </w:numPr>
      </w:pPr>
      <w:proofErr w:type="gramStart"/>
      <w:r>
        <w:t>we</w:t>
      </w:r>
      <w:proofErr w:type="gramEnd"/>
      <w:r>
        <w:t xml:space="preserve"> are considering</w:t>
      </w:r>
      <w:r w:rsidR="00191C9B">
        <w:t xml:space="preserve"> </w:t>
      </w:r>
      <w:r w:rsidR="00E556FF" w:rsidRPr="00C13216">
        <w:t>trusted international standards</w:t>
      </w:r>
      <w:r>
        <w:t xml:space="preserve"> for prams and strollers</w:t>
      </w:r>
      <w:r w:rsidR="00E556FF" w:rsidRPr="00C13216">
        <w:t xml:space="preserve">. </w:t>
      </w:r>
    </w:p>
    <w:p w:rsidR="00BC7022" w:rsidRPr="00BC7022" w:rsidRDefault="00BC7022" w:rsidP="00BC7022">
      <w:pPr>
        <w:rPr>
          <w:bCs/>
        </w:rPr>
      </w:pPr>
      <w:bookmarkStart w:id="11" w:name="_Toc457998409"/>
      <w:bookmarkStart w:id="12" w:name="_Toc457998540"/>
      <w:bookmarkEnd w:id="10"/>
      <w:r w:rsidRPr="00BC7022">
        <w:rPr>
          <w:bCs/>
        </w:rPr>
        <w:t>The ACCC is considering four policy options for the mandatory safety standard:</w:t>
      </w:r>
    </w:p>
    <w:tbl>
      <w:tblPr>
        <w:tblW w:w="9365" w:type="dxa"/>
        <w:tblLook w:val="04A0" w:firstRow="1" w:lastRow="0" w:firstColumn="1" w:lastColumn="0" w:noHBand="0" w:noVBand="1"/>
      </w:tblPr>
      <w:tblGrid>
        <w:gridCol w:w="1084"/>
        <w:gridCol w:w="8281"/>
      </w:tblGrid>
      <w:tr w:rsidR="00BC7022" w:rsidRPr="00DB6C88" w:rsidTr="00346E61">
        <w:tc>
          <w:tcPr>
            <w:tcW w:w="1084" w:type="dxa"/>
          </w:tcPr>
          <w:p w:rsidR="00BC7022" w:rsidRPr="002E07CA" w:rsidRDefault="00BC7022" w:rsidP="00346E61">
            <w:r w:rsidRPr="002E07CA">
              <w:t>Option 1</w:t>
            </w:r>
          </w:p>
        </w:tc>
        <w:tc>
          <w:tcPr>
            <w:tcW w:w="0" w:type="auto"/>
          </w:tcPr>
          <w:p w:rsidR="00BC7022" w:rsidRPr="002E07CA" w:rsidRDefault="00BC7022" w:rsidP="00346E61">
            <w:r>
              <w:t>Retain</w:t>
            </w:r>
            <w:r w:rsidRPr="002E07CA">
              <w:t xml:space="preserve"> the current mandatory safety standard (status quo).</w:t>
            </w:r>
          </w:p>
        </w:tc>
      </w:tr>
      <w:tr w:rsidR="00BC7022" w:rsidRPr="00DB6C88" w:rsidTr="00346E61">
        <w:tc>
          <w:tcPr>
            <w:tcW w:w="1084" w:type="dxa"/>
          </w:tcPr>
          <w:p w:rsidR="00BC7022" w:rsidRPr="002E07CA" w:rsidRDefault="00BC7022" w:rsidP="00346E61">
            <w:r w:rsidRPr="002E07CA">
              <w:t>Option 2</w:t>
            </w:r>
          </w:p>
        </w:tc>
        <w:tc>
          <w:tcPr>
            <w:tcW w:w="0" w:type="auto"/>
          </w:tcPr>
          <w:p w:rsidR="00BC7022" w:rsidRPr="002E07CA" w:rsidRDefault="00BC7022" w:rsidP="00346E61">
            <w:r>
              <w:t>Adopt parts of the updated voluntary Australian standard</w:t>
            </w:r>
            <w:r w:rsidR="0007232B">
              <w:t>.</w:t>
            </w:r>
          </w:p>
        </w:tc>
      </w:tr>
      <w:tr w:rsidR="00BC7022" w:rsidRPr="00DB6C88" w:rsidTr="00346E61">
        <w:tc>
          <w:tcPr>
            <w:tcW w:w="1084" w:type="dxa"/>
          </w:tcPr>
          <w:p w:rsidR="00BC7022" w:rsidRPr="002E07CA" w:rsidRDefault="00BC7022" w:rsidP="00346E61">
            <w:r w:rsidRPr="002E07CA">
              <w:t>Option 3</w:t>
            </w:r>
          </w:p>
        </w:tc>
        <w:tc>
          <w:tcPr>
            <w:tcW w:w="0" w:type="auto"/>
          </w:tcPr>
          <w:p w:rsidR="00BC7022" w:rsidRPr="002E07CA" w:rsidRDefault="00BC7022" w:rsidP="00346E61">
            <w:r>
              <w:t>Allow compliance with the voluntary Australian or trusted international standards</w:t>
            </w:r>
            <w:r w:rsidRPr="002E07CA">
              <w:t>.</w:t>
            </w:r>
          </w:p>
        </w:tc>
      </w:tr>
      <w:tr w:rsidR="00BC7022" w:rsidRPr="00DB6C88" w:rsidTr="00346E61">
        <w:tc>
          <w:tcPr>
            <w:tcW w:w="1084" w:type="dxa"/>
          </w:tcPr>
          <w:p w:rsidR="00BC7022" w:rsidRPr="002E07CA" w:rsidRDefault="00BC7022" w:rsidP="00346E61">
            <w:r w:rsidRPr="002E07CA">
              <w:t>Option 4</w:t>
            </w:r>
          </w:p>
        </w:tc>
        <w:tc>
          <w:tcPr>
            <w:tcW w:w="0" w:type="auto"/>
          </w:tcPr>
          <w:p w:rsidR="00BC7022" w:rsidRPr="002E07CA" w:rsidRDefault="00BC7022" w:rsidP="00346E61">
            <w:r>
              <w:t>Revoke the mandatory safety standard.</w:t>
            </w:r>
          </w:p>
        </w:tc>
      </w:tr>
    </w:tbl>
    <w:p w:rsidR="00571DFE" w:rsidRDefault="002D4D20" w:rsidP="00A01DA9">
      <w:pPr>
        <w:pStyle w:val="Bulletpoint"/>
        <w:numPr>
          <w:ilvl w:val="0"/>
          <w:numId w:val="0"/>
        </w:numPr>
        <w:rPr>
          <w:rFonts w:cs="Arial"/>
        </w:rPr>
      </w:pPr>
      <w:r>
        <w:rPr>
          <w:rFonts w:cs="Arial"/>
        </w:rPr>
        <w:t>We published a</w:t>
      </w:r>
      <w:r w:rsidR="00571DFE">
        <w:rPr>
          <w:rFonts w:cs="Arial"/>
        </w:rPr>
        <w:t xml:space="preserve"> consultation paper in late 2014 </w:t>
      </w:r>
      <w:r>
        <w:rPr>
          <w:rFonts w:cs="Arial"/>
        </w:rPr>
        <w:t>seeking</w:t>
      </w:r>
      <w:r w:rsidR="00571DFE">
        <w:rPr>
          <w:rFonts w:cs="Arial"/>
        </w:rPr>
        <w:t xml:space="preserve"> feedback on possible changes to the mandatory safety standard</w:t>
      </w:r>
      <w:r w:rsidRPr="002D4D20">
        <w:rPr>
          <w:rFonts w:cs="Arial"/>
        </w:rPr>
        <w:t xml:space="preserve"> </w:t>
      </w:r>
      <w:r>
        <w:rPr>
          <w:rFonts w:cs="Arial"/>
        </w:rPr>
        <w:t>consistent with Option 2 in this paper</w:t>
      </w:r>
      <w:r w:rsidR="00571DFE">
        <w:rPr>
          <w:rFonts w:cs="Arial"/>
        </w:rPr>
        <w:t xml:space="preserve">. </w:t>
      </w:r>
      <w:r>
        <w:rPr>
          <w:rFonts w:cs="Arial"/>
        </w:rPr>
        <w:t xml:space="preserve">The responses </w:t>
      </w:r>
      <w:r w:rsidR="00571DFE">
        <w:rPr>
          <w:rFonts w:cs="Arial"/>
        </w:rPr>
        <w:t>support</w:t>
      </w:r>
      <w:r>
        <w:rPr>
          <w:rFonts w:cs="Arial"/>
        </w:rPr>
        <w:t>ed</w:t>
      </w:r>
      <w:r w:rsidR="00571DFE">
        <w:rPr>
          <w:rFonts w:cs="Arial"/>
        </w:rPr>
        <w:t xml:space="preserve"> </w:t>
      </w:r>
      <w:r>
        <w:rPr>
          <w:rFonts w:cs="Arial"/>
        </w:rPr>
        <w:t>those</w:t>
      </w:r>
      <w:r w:rsidR="00571DFE">
        <w:rPr>
          <w:rFonts w:cs="Arial"/>
        </w:rPr>
        <w:t xml:space="preserve"> changes </w:t>
      </w:r>
      <w:r>
        <w:rPr>
          <w:rFonts w:cs="Arial"/>
        </w:rPr>
        <w:t>but</w:t>
      </w:r>
      <w:r w:rsidR="00571DFE">
        <w:rPr>
          <w:rFonts w:cs="Arial"/>
        </w:rPr>
        <w:t xml:space="preserve"> also indicated a </w:t>
      </w:r>
      <w:r w:rsidR="00B63251">
        <w:rPr>
          <w:rFonts w:cs="Arial"/>
        </w:rPr>
        <w:t>preference</w:t>
      </w:r>
      <w:r w:rsidR="00571DFE">
        <w:rPr>
          <w:rFonts w:cs="Arial"/>
        </w:rPr>
        <w:t xml:space="preserve"> for </w:t>
      </w:r>
      <w:r>
        <w:rPr>
          <w:rFonts w:cs="Arial"/>
        </w:rPr>
        <w:t>suppliers</w:t>
      </w:r>
      <w:r w:rsidDel="002D4D20">
        <w:rPr>
          <w:rFonts w:cs="Arial"/>
        </w:rPr>
        <w:t xml:space="preserve"> </w:t>
      </w:r>
      <w:r>
        <w:rPr>
          <w:rFonts w:cs="Arial"/>
        </w:rPr>
        <w:t>to be able to comply with</w:t>
      </w:r>
      <w:r w:rsidR="00B63251">
        <w:rPr>
          <w:rFonts w:cs="Arial"/>
        </w:rPr>
        <w:t xml:space="preserve"> </w:t>
      </w:r>
      <w:r w:rsidR="00BC7022">
        <w:rPr>
          <w:rFonts w:cs="Arial"/>
        </w:rPr>
        <w:t xml:space="preserve">trusted </w:t>
      </w:r>
      <w:r w:rsidR="00571DFE">
        <w:rPr>
          <w:rFonts w:cs="Arial"/>
        </w:rPr>
        <w:t>international standards.</w:t>
      </w:r>
    </w:p>
    <w:p w:rsidR="00E556FF" w:rsidRDefault="00DE143E" w:rsidP="005F2EB6">
      <w:pPr>
        <w:pStyle w:val="Numbered1"/>
      </w:pPr>
      <w:bookmarkStart w:id="13" w:name="_Toc440455029"/>
      <w:bookmarkStart w:id="14" w:name="_Toc457222697"/>
      <w:bookmarkStart w:id="15" w:name="_Toc471460723"/>
      <w:bookmarkStart w:id="16" w:name="_Toc471461254"/>
      <w:bookmarkEnd w:id="11"/>
      <w:bookmarkEnd w:id="12"/>
      <w:r w:rsidRPr="00867D1B">
        <w:t>Background</w:t>
      </w:r>
      <w:bookmarkEnd w:id="13"/>
      <w:bookmarkEnd w:id="14"/>
      <w:bookmarkEnd w:id="15"/>
      <w:bookmarkEnd w:id="16"/>
    </w:p>
    <w:p w:rsidR="003D5D2F" w:rsidRPr="003D5D2F" w:rsidRDefault="00982FCC" w:rsidP="003D5D2F">
      <w:pPr>
        <w:pStyle w:val="Numbered11"/>
        <w:tabs>
          <w:tab w:val="clear" w:pos="1021"/>
        </w:tabs>
        <w:ind w:left="1021" w:hanging="1021"/>
        <w:rPr>
          <w:lang w:val="en-GB"/>
        </w:rPr>
      </w:pPr>
      <w:bookmarkStart w:id="17" w:name="_Toc440454594"/>
      <w:bookmarkStart w:id="18" w:name="_Toc440454690"/>
      <w:bookmarkStart w:id="19" w:name="_Toc440454814"/>
      <w:bookmarkStart w:id="20" w:name="_Toc440454844"/>
      <w:bookmarkStart w:id="21" w:name="_Toc440454874"/>
      <w:bookmarkStart w:id="22" w:name="_Toc440454904"/>
      <w:bookmarkStart w:id="23" w:name="_Toc440454949"/>
      <w:bookmarkStart w:id="24" w:name="_Toc440454980"/>
      <w:bookmarkStart w:id="25" w:name="_Toc440455010"/>
      <w:bookmarkStart w:id="26" w:name="_Toc440455039"/>
      <w:bookmarkStart w:id="27" w:name="_Toc440455150"/>
      <w:bookmarkStart w:id="28" w:name="_Toc440455178"/>
      <w:bookmarkStart w:id="29" w:name="_Toc440455208"/>
      <w:bookmarkStart w:id="30" w:name="_Toc440461111"/>
      <w:bookmarkStart w:id="31" w:name="_Toc440454595"/>
      <w:bookmarkStart w:id="32" w:name="_Toc440454691"/>
      <w:bookmarkStart w:id="33" w:name="_Toc440454815"/>
      <w:bookmarkStart w:id="34" w:name="_Toc440454845"/>
      <w:bookmarkStart w:id="35" w:name="_Toc440454875"/>
      <w:bookmarkStart w:id="36" w:name="_Toc440454905"/>
      <w:bookmarkStart w:id="37" w:name="_Toc440454950"/>
      <w:bookmarkStart w:id="38" w:name="_Toc440454981"/>
      <w:bookmarkStart w:id="39" w:name="_Toc440455011"/>
      <w:bookmarkStart w:id="40" w:name="_Toc440455040"/>
      <w:bookmarkStart w:id="41" w:name="_Toc440455151"/>
      <w:bookmarkStart w:id="42" w:name="_Toc440455179"/>
      <w:bookmarkStart w:id="43" w:name="_Toc440455209"/>
      <w:bookmarkStart w:id="44" w:name="_Toc440461112"/>
      <w:bookmarkStart w:id="45" w:name="_Toc440454596"/>
      <w:bookmarkStart w:id="46" w:name="_Toc440454692"/>
      <w:bookmarkStart w:id="47" w:name="_Toc440454816"/>
      <w:bookmarkStart w:id="48" w:name="_Toc440454846"/>
      <w:bookmarkStart w:id="49" w:name="_Toc440454876"/>
      <w:bookmarkStart w:id="50" w:name="_Toc440454906"/>
      <w:bookmarkStart w:id="51" w:name="_Toc440454951"/>
      <w:bookmarkStart w:id="52" w:name="_Toc440454982"/>
      <w:bookmarkStart w:id="53" w:name="_Toc440455012"/>
      <w:bookmarkStart w:id="54" w:name="_Toc440455041"/>
      <w:bookmarkStart w:id="55" w:name="_Toc440455152"/>
      <w:bookmarkStart w:id="56" w:name="_Toc440455180"/>
      <w:bookmarkStart w:id="57" w:name="_Toc440455210"/>
      <w:bookmarkStart w:id="58" w:name="_Toc440461113"/>
      <w:bookmarkStart w:id="59" w:name="_Toc47146125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lang w:val="en-GB"/>
        </w:rPr>
        <w:t xml:space="preserve">Prams and strollers </w:t>
      </w:r>
      <w:r w:rsidR="00E556FF" w:rsidRPr="00217C3A">
        <w:rPr>
          <w:lang w:val="en-GB"/>
        </w:rPr>
        <w:t>in Australia</w:t>
      </w:r>
      <w:bookmarkEnd w:id="59"/>
    </w:p>
    <w:p w:rsidR="00021ACC" w:rsidRPr="003C4433" w:rsidRDefault="00021ACC" w:rsidP="00162553">
      <w:pPr>
        <w:autoSpaceDE w:val="0"/>
        <w:autoSpaceDN w:val="0"/>
        <w:adjustRightInd w:val="0"/>
      </w:pPr>
      <w:r w:rsidRPr="003C4433">
        <w:t>Prams and strollers are similar products. Prams transport very young children primarily in a fully reclined position whereas strollers transport children in a seated position (often with capacity to adjust to a reclined position).</w:t>
      </w:r>
    </w:p>
    <w:p w:rsidR="00F201D8" w:rsidRDefault="00DA2113" w:rsidP="00964259">
      <w:pPr>
        <w:autoSpaceDE w:val="0"/>
        <w:autoSpaceDN w:val="0"/>
        <w:adjustRightInd w:val="0"/>
      </w:pPr>
      <w:r>
        <w:t>A</w:t>
      </w:r>
      <w:r w:rsidR="00964259">
        <w:t>ustralians buy a</w:t>
      </w:r>
      <w:r>
        <w:t>bout</w:t>
      </w:r>
      <w:r w:rsidR="00B605B8">
        <w:t xml:space="preserve"> 750</w:t>
      </w:r>
      <w:r>
        <w:t xml:space="preserve"> </w:t>
      </w:r>
      <w:r w:rsidR="00B605B8">
        <w:t xml:space="preserve">000 </w:t>
      </w:r>
      <w:r w:rsidR="00644427">
        <w:t xml:space="preserve">new </w:t>
      </w:r>
      <w:r w:rsidR="00B605B8">
        <w:t>prams and strollers each year</w:t>
      </w:r>
      <w:r w:rsidR="00644427">
        <w:rPr>
          <w:rStyle w:val="FootnoteReference"/>
        </w:rPr>
        <w:footnoteReference w:id="1"/>
      </w:r>
      <w:r w:rsidR="00B605B8">
        <w:t>.</w:t>
      </w:r>
      <w:r>
        <w:t xml:space="preserve"> This is about two and a half products for each of the 300 000 children born each year. </w:t>
      </w:r>
      <w:r w:rsidR="003B17F3">
        <w:t xml:space="preserve">There is an increasing trend for parents and other care givers to buy multiple prams or strollers. The mandatory safety </w:t>
      </w:r>
      <w:r w:rsidR="003B17F3">
        <w:lastRenderedPageBreak/>
        <w:t>standard does not address the safety of prams or strollers that families and other care givers</w:t>
      </w:r>
      <w:r>
        <w:t xml:space="preserve"> (such as grandparents) reuse</w:t>
      </w:r>
      <w:r w:rsidR="003B17F3">
        <w:t xml:space="preserve"> </w:t>
      </w:r>
      <w:r>
        <w:t>for later children, or gift or sell second-hand</w:t>
      </w:r>
      <w:r w:rsidR="003B17F3">
        <w:t>.</w:t>
      </w:r>
      <w:r>
        <w:t xml:space="preserve"> </w:t>
      </w:r>
    </w:p>
    <w:p w:rsidR="00964259" w:rsidRDefault="00964259" w:rsidP="00964259">
      <w:pPr>
        <w:autoSpaceDE w:val="0"/>
        <w:autoSpaceDN w:val="0"/>
        <w:adjustRightInd w:val="0"/>
      </w:pPr>
      <w:r w:rsidRPr="00B22A05">
        <w:t xml:space="preserve">Cheaper </w:t>
      </w:r>
      <w:r>
        <w:t>prams and s</w:t>
      </w:r>
      <w:r w:rsidRPr="00B22A05">
        <w:t xml:space="preserve">trollers </w:t>
      </w:r>
      <w:r w:rsidR="00F201D8">
        <w:t>($30-$50)</w:t>
      </w:r>
      <w:r w:rsidR="00BB6A6F">
        <w:t xml:space="preserve"> may</w:t>
      </w:r>
      <w:r w:rsidR="00F201D8">
        <w:t xml:space="preserve"> </w:t>
      </w:r>
      <w:r>
        <w:t>last for</w:t>
      </w:r>
      <w:r w:rsidRPr="00B22A05">
        <w:t xml:space="preserve"> 2-5 years </w:t>
      </w:r>
      <w:r>
        <w:t>and</w:t>
      </w:r>
      <w:r w:rsidRPr="00B22A05">
        <w:t xml:space="preserve"> models that are more expensive</w:t>
      </w:r>
      <w:r w:rsidR="00F201D8">
        <w:t xml:space="preserve"> ($200-$500)</w:t>
      </w:r>
      <w:r w:rsidRPr="00B22A05">
        <w:t xml:space="preserve"> </w:t>
      </w:r>
      <w:r w:rsidR="00BB6A6F">
        <w:t xml:space="preserve">may </w:t>
      </w:r>
      <w:r>
        <w:t>last for</w:t>
      </w:r>
      <w:r w:rsidRPr="00B22A05">
        <w:t xml:space="preserve"> 5-7 years.</w:t>
      </w:r>
      <w:r w:rsidR="00F201D8">
        <w:t xml:space="preserve"> There are also prestige products that sell for $1000 or more.</w:t>
      </w:r>
    </w:p>
    <w:p w:rsidR="00964259" w:rsidRDefault="00E556FF" w:rsidP="00964259">
      <w:pPr>
        <w:autoSpaceDE w:val="0"/>
        <w:autoSpaceDN w:val="0"/>
        <w:adjustRightInd w:val="0"/>
      </w:pPr>
      <w:r>
        <w:t xml:space="preserve">All </w:t>
      </w:r>
      <w:r w:rsidR="00964259">
        <w:t xml:space="preserve">of the prams and </w:t>
      </w:r>
      <w:r>
        <w:t xml:space="preserve">strollers supplied in Australia are </w:t>
      </w:r>
      <w:r w:rsidR="00F201D8">
        <w:t>manufactured overseas (mostly in China or Europe).</w:t>
      </w:r>
      <w:r w:rsidR="00232264">
        <w:t xml:space="preserve"> </w:t>
      </w:r>
      <w:r w:rsidR="00964259">
        <w:t xml:space="preserve">However, suppliers modify most of the products </w:t>
      </w:r>
      <w:r w:rsidR="00021ACC">
        <w:t>locally</w:t>
      </w:r>
      <w:r w:rsidR="001C0F6F">
        <w:t xml:space="preserve"> to satisfy specific</w:t>
      </w:r>
      <w:r w:rsidR="00964259">
        <w:t xml:space="preserve"> Australian requirements</w:t>
      </w:r>
      <w:r w:rsidR="004B22B0">
        <w:t xml:space="preserve"> (red brakes, tether straps and warnings)</w:t>
      </w:r>
      <w:r w:rsidR="00964259">
        <w:t xml:space="preserve">. Online trading has greatly increased the range of suppliers over recent years. </w:t>
      </w:r>
    </w:p>
    <w:p w:rsidR="00021ACC" w:rsidRDefault="00021ACC" w:rsidP="00E556FF">
      <w:pPr>
        <w:autoSpaceDE w:val="0"/>
        <w:autoSpaceDN w:val="0"/>
        <w:adjustRightInd w:val="0"/>
      </w:pPr>
      <w:r>
        <w:t>Prams and strollers have</w:t>
      </w:r>
      <w:r w:rsidR="00E556FF">
        <w:t xml:space="preserve"> change</w:t>
      </w:r>
      <w:r w:rsidR="00916FE9">
        <w:t>d</w:t>
      </w:r>
      <w:r w:rsidR="00E556FF">
        <w:t xml:space="preserve"> since the </w:t>
      </w:r>
      <w:r w:rsidR="00916FE9">
        <w:t xml:space="preserve">mandatory </w:t>
      </w:r>
      <w:r w:rsidR="00E556FF">
        <w:t xml:space="preserve">safety standard </w:t>
      </w:r>
      <w:r w:rsidR="00916FE9">
        <w:t>started in 2008</w:t>
      </w:r>
      <w:r>
        <w:t>:</w:t>
      </w:r>
    </w:p>
    <w:p w:rsidR="00021ACC" w:rsidRDefault="00E556FF" w:rsidP="009C42F9">
      <w:pPr>
        <w:pStyle w:val="ListParagraph"/>
        <w:numPr>
          <w:ilvl w:val="0"/>
          <w:numId w:val="32"/>
        </w:numPr>
        <w:autoSpaceDE w:val="0"/>
        <w:autoSpaceDN w:val="0"/>
        <w:adjustRightInd w:val="0"/>
      </w:pPr>
      <w:r>
        <w:t xml:space="preserve">combination products for </w:t>
      </w:r>
      <w:r w:rsidR="008D73F0">
        <w:t xml:space="preserve">both </w:t>
      </w:r>
      <w:r>
        <w:t xml:space="preserve">babies (in a reclined position) </w:t>
      </w:r>
      <w:r w:rsidR="00916FE9">
        <w:t>and</w:t>
      </w:r>
      <w:r>
        <w:t xml:space="preserve"> young infants (in a more upright position) have </w:t>
      </w:r>
      <w:r w:rsidR="00916FE9">
        <w:t>be</w:t>
      </w:r>
      <w:r>
        <w:t xml:space="preserve">come </w:t>
      </w:r>
      <w:r w:rsidR="00916FE9">
        <w:t>common</w:t>
      </w:r>
    </w:p>
    <w:p w:rsidR="00E556FF" w:rsidRDefault="00021ACC" w:rsidP="009C42F9">
      <w:pPr>
        <w:pStyle w:val="ListParagraph"/>
        <w:numPr>
          <w:ilvl w:val="0"/>
          <w:numId w:val="32"/>
        </w:numPr>
        <w:autoSpaceDE w:val="0"/>
        <w:autoSpaceDN w:val="0"/>
        <w:adjustRightInd w:val="0"/>
      </w:pPr>
      <w:r>
        <w:t>m</w:t>
      </w:r>
      <w:r w:rsidR="008D73F0">
        <w:t>any p</w:t>
      </w:r>
      <w:r w:rsidR="00E556FF">
        <w:t xml:space="preserve">roducts </w:t>
      </w:r>
      <w:r w:rsidR="008D73F0">
        <w:t>now have</w:t>
      </w:r>
      <w:r w:rsidR="00E556FF">
        <w:t xml:space="preserve"> multiple uses with integrated components to carry the child (in a removable bassinet or capsule) or to transport a child in a</w:t>
      </w:r>
      <w:r w:rsidR="00916FE9">
        <w:t xml:space="preserve"> motor</w:t>
      </w:r>
      <w:r w:rsidR="00E556FF">
        <w:t xml:space="preserve"> vehicle (child car restraint)</w:t>
      </w:r>
    </w:p>
    <w:p w:rsidR="00021ACC" w:rsidRDefault="003E374C" w:rsidP="009C42F9">
      <w:pPr>
        <w:pStyle w:val="ListParagraph"/>
        <w:numPr>
          <w:ilvl w:val="0"/>
          <w:numId w:val="32"/>
        </w:numPr>
        <w:autoSpaceDE w:val="0"/>
        <w:autoSpaceDN w:val="0"/>
        <w:adjustRightInd w:val="0"/>
      </w:pPr>
      <w:r>
        <w:t xml:space="preserve">prams and </w:t>
      </w:r>
      <w:r w:rsidR="00021ACC">
        <w:t>s</w:t>
      </w:r>
      <w:r w:rsidR="00E556FF">
        <w:t xml:space="preserve">trollers </w:t>
      </w:r>
      <w:r w:rsidR="00021ACC">
        <w:t>that</w:t>
      </w:r>
      <w:r w:rsidR="00E556FF">
        <w:t xml:space="preserve"> incorporate additional seats, platforms or other attachments to transport more than one child have become popular</w:t>
      </w:r>
    </w:p>
    <w:p w:rsidR="00E556FF" w:rsidRDefault="003E374C" w:rsidP="009C42F9">
      <w:pPr>
        <w:pStyle w:val="ListParagraph"/>
        <w:numPr>
          <w:ilvl w:val="0"/>
          <w:numId w:val="32"/>
        </w:numPr>
        <w:autoSpaceDE w:val="0"/>
        <w:autoSpaceDN w:val="0"/>
        <w:adjustRightInd w:val="0"/>
      </w:pPr>
      <w:proofErr w:type="gramStart"/>
      <w:r>
        <w:t>prams</w:t>
      </w:r>
      <w:proofErr w:type="gramEnd"/>
      <w:r>
        <w:t xml:space="preserve"> and </w:t>
      </w:r>
      <w:r w:rsidR="00021ACC">
        <w:t>s</w:t>
      </w:r>
      <w:r w:rsidR="00E556FF">
        <w:t xml:space="preserve">trollers </w:t>
      </w:r>
      <w:r w:rsidR="00B22A05">
        <w:t xml:space="preserve">for </w:t>
      </w:r>
      <w:r w:rsidR="00E556FF">
        <w:t xml:space="preserve">consumers </w:t>
      </w:r>
      <w:r w:rsidR="00021ACC">
        <w:t xml:space="preserve">to use </w:t>
      </w:r>
      <w:r w:rsidR="00E556FF">
        <w:t>wh</w:t>
      </w:r>
      <w:r w:rsidR="001D3D22">
        <w:t xml:space="preserve">ile jogging or cycling </w:t>
      </w:r>
      <w:r w:rsidR="00B22A05">
        <w:t>are now common</w:t>
      </w:r>
      <w:r w:rsidR="00E556FF">
        <w:t>.</w:t>
      </w:r>
    </w:p>
    <w:p w:rsidR="00E556FF" w:rsidRDefault="00E556FF" w:rsidP="00E556FF">
      <w:pPr>
        <w:pStyle w:val="Numbered11"/>
        <w:tabs>
          <w:tab w:val="clear" w:pos="1021"/>
        </w:tabs>
        <w:ind w:left="1021" w:hanging="1021"/>
      </w:pPr>
      <w:bookmarkStart w:id="60" w:name="_Toc471461256"/>
      <w:r w:rsidRPr="00217C3A">
        <w:t>Injur</w:t>
      </w:r>
      <w:r w:rsidR="003B17F3">
        <w:t>ies and deaths in prams or strollers</w:t>
      </w:r>
      <w:bookmarkEnd w:id="60"/>
    </w:p>
    <w:p w:rsidR="003F4F73" w:rsidRPr="00FE3771" w:rsidRDefault="003F4F73" w:rsidP="003F4F73">
      <w:pPr>
        <w:pStyle w:val="Numbered111"/>
        <w:keepNext/>
        <w:numPr>
          <w:ilvl w:val="0"/>
          <w:numId w:val="0"/>
        </w:numPr>
        <w:tabs>
          <w:tab w:val="clear" w:pos="1361"/>
        </w:tabs>
        <w:spacing w:before="200"/>
        <w:contextualSpacing w:val="0"/>
      </w:pPr>
      <w:bookmarkStart w:id="61" w:name="_Toc471460945"/>
      <w:bookmarkStart w:id="62" w:name="_Toc471461257"/>
      <w:r>
        <w:t>Roll-away incidents</w:t>
      </w:r>
      <w:bookmarkEnd w:id="61"/>
      <w:bookmarkEnd w:id="62"/>
    </w:p>
    <w:p w:rsidR="00562315" w:rsidRDefault="003B3281" w:rsidP="003F4F73">
      <w:r>
        <w:t>Children can be in great danger if the</w:t>
      </w:r>
      <w:r w:rsidR="00562315">
        <w:t xml:space="preserve"> parent or carer loses control of the</w:t>
      </w:r>
      <w:r>
        <w:t>ir</w:t>
      </w:r>
      <w:r w:rsidR="00562315">
        <w:t xml:space="preserve"> </w:t>
      </w:r>
      <w:r>
        <w:t>pram or stroller</w:t>
      </w:r>
      <w:r w:rsidR="00562315">
        <w:t>.</w:t>
      </w:r>
    </w:p>
    <w:p w:rsidR="00562315" w:rsidRDefault="004E6600" w:rsidP="003F4F73">
      <w:r>
        <w:t>Three</w:t>
      </w:r>
      <w:r w:rsidR="00E556FF" w:rsidRPr="003F4F73">
        <w:t xml:space="preserve"> high profile deaths </w:t>
      </w:r>
      <w:r w:rsidR="00C42743" w:rsidRPr="003F4F73">
        <w:t>of</w:t>
      </w:r>
      <w:r w:rsidR="00E556FF" w:rsidRPr="003F4F73">
        <w:t xml:space="preserve"> children in </w:t>
      </w:r>
      <w:r w:rsidR="003E374C" w:rsidRPr="003F4F73">
        <w:t xml:space="preserve">prams or </w:t>
      </w:r>
      <w:r w:rsidR="00E556FF" w:rsidRPr="003F4F73">
        <w:t xml:space="preserve">strollers </w:t>
      </w:r>
      <w:r w:rsidR="00C42743" w:rsidRPr="003F4F73">
        <w:t xml:space="preserve">occurred </w:t>
      </w:r>
      <w:r>
        <w:t xml:space="preserve">before 2008 </w:t>
      </w:r>
      <w:r w:rsidR="00E556FF" w:rsidRPr="003F4F73">
        <w:t xml:space="preserve">where the </w:t>
      </w:r>
      <w:r w:rsidR="00C42743" w:rsidRPr="003F4F73">
        <w:t xml:space="preserve">caregiver lost control </w:t>
      </w:r>
      <w:r w:rsidR="00E556FF" w:rsidRPr="003F4F73">
        <w:t xml:space="preserve">and </w:t>
      </w:r>
      <w:r w:rsidR="003E374C" w:rsidRPr="003F4F73">
        <w:t xml:space="preserve">the pram or stroller </w:t>
      </w:r>
      <w:r w:rsidR="00E556FF" w:rsidRPr="003F4F73">
        <w:t xml:space="preserve">rolled into </w:t>
      </w:r>
      <w:r w:rsidR="00C42743" w:rsidRPr="003F4F73">
        <w:t xml:space="preserve">a </w:t>
      </w:r>
      <w:r w:rsidR="00E556FF" w:rsidRPr="003F4F73">
        <w:t>bod</w:t>
      </w:r>
      <w:r w:rsidR="00C42743" w:rsidRPr="003F4F73">
        <w:t>y</w:t>
      </w:r>
      <w:r w:rsidR="00E556FF" w:rsidRPr="003F4F73">
        <w:t xml:space="preserve"> o</w:t>
      </w:r>
      <w:r w:rsidR="0056076F" w:rsidRPr="003F4F73">
        <w:t>f water</w:t>
      </w:r>
      <w:r w:rsidR="007144C7">
        <w:t xml:space="preserve"> – two in a South Australian river and one off a jetty into the sea</w:t>
      </w:r>
      <w:r w:rsidR="0056076F" w:rsidRPr="003F4F73">
        <w:t xml:space="preserve">. </w:t>
      </w:r>
      <w:r w:rsidR="005815AC" w:rsidRPr="003F4F73">
        <w:t xml:space="preserve">There were also </w:t>
      </w:r>
      <w:r w:rsidR="00562315">
        <w:t xml:space="preserve">several </w:t>
      </w:r>
      <w:r w:rsidR="0056076F" w:rsidRPr="003F4F73">
        <w:t xml:space="preserve">instances </w:t>
      </w:r>
      <w:r w:rsidR="00E556FF" w:rsidRPr="003F4F73">
        <w:t xml:space="preserve">where </w:t>
      </w:r>
      <w:r w:rsidR="003E374C" w:rsidRPr="003F4F73">
        <w:t xml:space="preserve">prams or </w:t>
      </w:r>
      <w:r w:rsidR="00E556FF" w:rsidRPr="003F4F73">
        <w:t xml:space="preserve">strollers rolled off train platforms and onto railway tracks. </w:t>
      </w:r>
    </w:p>
    <w:p w:rsidR="00562315" w:rsidRDefault="00562315" w:rsidP="003F4F73">
      <w:r>
        <w:t>E</w:t>
      </w:r>
      <w:r w:rsidR="00E556FF" w:rsidRPr="003F4F73">
        <w:t xml:space="preserve">vents </w:t>
      </w:r>
      <w:r>
        <w:t xml:space="preserve">like these </w:t>
      </w:r>
      <w:r w:rsidR="00E556FF" w:rsidRPr="003F4F73">
        <w:t xml:space="preserve">prompted </w:t>
      </w:r>
      <w:r w:rsidR="00A850C8" w:rsidRPr="003F4F73">
        <w:t xml:space="preserve">the introduction of </w:t>
      </w:r>
      <w:r w:rsidR="00C42743" w:rsidRPr="003F4F73">
        <w:t xml:space="preserve">the </w:t>
      </w:r>
      <w:r w:rsidR="005815AC" w:rsidRPr="003F4F73">
        <w:t>mandat</w:t>
      </w:r>
      <w:r w:rsidR="00C42743" w:rsidRPr="003F4F73">
        <w:t>ory</w:t>
      </w:r>
      <w:r w:rsidR="005815AC" w:rsidRPr="003F4F73">
        <w:t xml:space="preserve"> </w:t>
      </w:r>
      <w:r w:rsidR="0056076F" w:rsidRPr="003F4F73">
        <w:t xml:space="preserve">safety </w:t>
      </w:r>
      <w:r w:rsidR="00C42743" w:rsidRPr="003F4F73">
        <w:t>standard in 2008 that mandated</w:t>
      </w:r>
      <w:r w:rsidR="0056076F" w:rsidRPr="003F4F73">
        <w:t xml:space="preserve"> </w:t>
      </w:r>
      <w:r>
        <w:t xml:space="preserve">tether straps, </w:t>
      </w:r>
      <w:r w:rsidR="00C42743" w:rsidRPr="003F4F73">
        <w:t xml:space="preserve">to tether the </w:t>
      </w:r>
      <w:r w:rsidR="003E374C" w:rsidRPr="003F4F73">
        <w:t xml:space="preserve">pram or </w:t>
      </w:r>
      <w:r>
        <w:t>stroller to the caregiver,</w:t>
      </w:r>
      <w:r w:rsidR="00E556FF" w:rsidRPr="003F4F73">
        <w:t xml:space="preserve"> and </w:t>
      </w:r>
      <w:r w:rsidR="0056076F" w:rsidRPr="003F4F73">
        <w:t xml:space="preserve">red brake actuators to </w:t>
      </w:r>
      <w:r w:rsidR="00E556FF" w:rsidRPr="003F4F73">
        <w:t xml:space="preserve">highlight the location </w:t>
      </w:r>
      <w:r w:rsidR="008232B2">
        <w:t xml:space="preserve">of, </w:t>
      </w:r>
      <w:r w:rsidR="00E556FF" w:rsidRPr="003F4F73">
        <w:t xml:space="preserve">and </w:t>
      </w:r>
      <w:r>
        <w:t xml:space="preserve">visually remind the carer to </w:t>
      </w:r>
      <w:r w:rsidR="00E556FF" w:rsidRPr="003F4F73">
        <w:t>use</w:t>
      </w:r>
      <w:r w:rsidR="008232B2">
        <w:t>,</w:t>
      </w:r>
      <w:r w:rsidR="00E556FF" w:rsidRPr="003F4F73">
        <w:t xml:space="preserve"> </w:t>
      </w:r>
      <w:r>
        <w:t>the</w:t>
      </w:r>
      <w:r w:rsidR="00E556FF" w:rsidRPr="003F4F73">
        <w:t xml:space="preserve"> br</w:t>
      </w:r>
      <w:r w:rsidR="008232B2">
        <w:t>akes</w:t>
      </w:r>
      <w:r w:rsidR="00E556FF" w:rsidRPr="003F4F73">
        <w:t>.</w:t>
      </w:r>
      <w:r>
        <w:t xml:space="preserve"> </w:t>
      </w:r>
      <w:r w:rsidR="00427B67">
        <w:t>We believe both measures have contributed significantly to the reduction of these incidents.</w:t>
      </w:r>
      <w:r w:rsidR="00116FBB">
        <w:t xml:space="preserve"> (A question on this is included in the consultation paper).</w:t>
      </w:r>
    </w:p>
    <w:p w:rsidR="00E556FF" w:rsidRDefault="00562315" w:rsidP="003F4F73">
      <w:r>
        <w:t xml:space="preserve">The introduction of a tether strap provided the carer with an additional safety </w:t>
      </w:r>
      <w:r w:rsidR="000E6F22">
        <w:t>feature that</w:t>
      </w:r>
      <w:r>
        <w:t xml:space="preserve">, if used, would always maintain contact and control of the </w:t>
      </w:r>
      <w:r w:rsidR="000E6F22">
        <w:t xml:space="preserve">pram or </w:t>
      </w:r>
      <w:r>
        <w:t xml:space="preserve">stroller. </w:t>
      </w:r>
      <w:r w:rsidR="006E315E">
        <w:t xml:space="preserve">Suppliers must currently provide a tether strap </w:t>
      </w:r>
      <w:r w:rsidR="004C7062" w:rsidRPr="004C7062">
        <w:rPr>
          <w:u w:val="single"/>
        </w:rPr>
        <w:t>with</w:t>
      </w:r>
      <w:r w:rsidR="008232B2">
        <w:t xml:space="preserve"> the </w:t>
      </w:r>
      <w:r w:rsidR="000E6F22">
        <w:t xml:space="preserve">pram or </w:t>
      </w:r>
      <w:r w:rsidR="008232B2">
        <w:t xml:space="preserve">stroller. </w:t>
      </w:r>
      <w:r w:rsidR="006E315E">
        <w:t>They do not need to fix the tether strap</w:t>
      </w:r>
      <w:r w:rsidR="004C7062">
        <w:t xml:space="preserve"> </w:t>
      </w:r>
      <w:r w:rsidR="004C7062" w:rsidRPr="008232B2">
        <w:rPr>
          <w:u w:val="single"/>
        </w:rPr>
        <w:t>on</w:t>
      </w:r>
      <w:r w:rsidR="004C7062">
        <w:t xml:space="preserve"> the </w:t>
      </w:r>
      <w:r w:rsidR="000E6F22">
        <w:t xml:space="preserve">pram or </w:t>
      </w:r>
      <w:r w:rsidR="004C7062">
        <w:t xml:space="preserve">stroller. The </w:t>
      </w:r>
      <w:r w:rsidR="006E315E">
        <w:t xml:space="preserve">updated </w:t>
      </w:r>
      <w:r w:rsidR="004C7062">
        <w:t xml:space="preserve">voluntary </w:t>
      </w:r>
      <w:r w:rsidR="006E315E">
        <w:t xml:space="preserve">Australian </w:t>
      </w:r>
      <w:r w:rsidR="004C7062">
        <w:t>standard require</w:t>
      </w:r>
      <w:r w:rsidR="006E315E">
        <w:t>s suppliers</w:t>
      </w:r>
      <w:r w:rsidR="004C7062">
        <w:t xml:space="preserve"> </w:t>
      </w:r>
      <w:r w:rsidR="006E315E">
        <w:t>to fix a te</w:t>
      </w:r>
      <w:r w:rsidR="004C7062">
        <w:t>the</w:t>
      </w:r>
      <w:r w:rsidR="006E315E">
        <w:t>r</w:t>
      </w:r>
      <w:r w:rsidR="004C7062">
        <w:t xml:space="preserve"> strap </w:t>
      </w:r>
      <w:r w:rsidR="004C7062" w:rsidRPr="004C7062">
        <w:rPr>
          <w:u w:val="single"/>
        </w:rPr>
        <w:t>on</w:t>
      </w:r>
      <w:r w:rsidR="004C7062">
        <w:t xml:space="preserve"> the </w:t>
      </w:r>
      <w:r w:rsidR="006E315E">
        <w:t>pram or stroller</w:t>
      </w:r>
      <w:r w:rsidR="008232B2">
        <w:t>.</w:t>
      </w:r>
    </w:p>
    <w:p w:rsidR="003F4F73" w:rsidRPr="00FE3771" w:rsidRDefault="003F4F73" w:rsidP="003F4F73">
      <w:pPr>
        <w:pStyle w:val="Numbered111"/>
        <w:keepNext/>
        <w:numPr>
          <w:ilvl w:val="0"/>
          <w:numId w:val="0"/>
        </w:numPr>
        <w:tabs>
          <w:tab w:val="clear" w:pos="1361"/>
        </w:tabs>
        <w:spacing w:before="200"/>
        <w:contextualSpacing w:val="0"/>
      </w:pPr>
      <w:bookmarkStart w:id="63" w:name="_Toc471460946"/>
      <w:bookmarkStart w:id="64" w:name="_Toc471461258"/>
      <w:r>
        <w:t>Falls</w:t>
      </w:r>
      <w:bookmarkEnd w:id="63"/>
      <w:bookmarkEnd w:id="64"/>
    </w:p>
    <w:p w:rsidR="00CD7DC0" w:rsidRDefault="00910C26" w:rsidP="0065392B">
      <w:r>
        <w:t>C</w:t>
      </w:r>
      <w:r w:rsidR="00CD7DC0">
        <w:t xml:space="preserve">hildren </w:t>
      </w:r>
      <w:r w:rsidR="00AE390A">
        <w:t xml:space="preserve">in a </w:t>
      </w:r>
      <w:r w:rsidR="003B3281">
        <w:t xml:space="preserve">pram or </w:t>
      </w:r>
      <w:r w:rsidR="00AE390A">
        <w:t xml:space="preserve">stroller </w:t>
      </w:r>
      <w:r w:rsidR="00ED6267">
        <w:t xml:space="preserve">that are not harnessed properly </w:t>
      </w:r>
      <w:r w:rsidR="00CD7DC0">
        <w:t xml:space="preserve">are </w:t>
      </w:r>
      <w:r>
        <w:t>at risk of injury from falls</w:t>
      </w:r>
      <w:r w:rsidR="00CD7DC0">
        <w:t xml:space="preserve">. </w:t>
      </w:r>
    </w:p>
    <w:p w:rsidR="00543850" w:rsidRDefault="003E374C" w:rsidP="0065392B">
      <w:r>
        <w:t>Around 90 per cent</w:t>
      </w:r>
      <w:r w:rsidRPr="00C84B77">
        <w:t xml:space="preserve"> </w:t>
      </w:r>
      <w:r w:rsidR="00E556FF" w:rsidRPr="00C84B77">
        <w:t xml:space="preserve">of </w:t>
      </w:r>
      <w:r>
        <w:t xml:space="preserve">pram and stroller </w:t>
      </w:r>
      <w:r w:rsidR="00E556FF" w:rsidRPr="00C84B77">
        <w:t xml:space="preserve">injuries </w:t>
      </w:r>
      <w:r w:rsidR="00842BB1">
        <w:t>in Australia are</w:t>
      </w:r>
      <w:r w:rsidR="00E556FF" w:rsidRPr="00C84B77">
        <w:t xml:space="preserve"> </w:t>
      </w:r>
      <w:r w:rsidRPr="00C84B77">
        <w:t>because</w:t>
      </w:r>
      <w:r w:rsidR="00E556FF" w:rsidRPr="00C84B77">
        <w:t xml:space="preserve"> of falls</w:t>
      </w:r>
      <w:r>
        <w:t>.</w:t>
      </w:r>
      <w:r w:rsidR="005815AC">
        <w:t xml:space="preserve"> </w:t>
      </w:r>
      <w:r>
        <w:t>This occurs</w:t>
      </w:r>
      <w:r w:rsidR="00E556FF" w:rsidRPr="00CE24FE">
        <w:t xml:space="preserve"> </w:t>
      </w:r>
      <w:r w:rsidR="005815AC">
        <w:t>whe</w:t>
      </w:r>
      <w:r>
        <w:t>n</w:t>
      </w:r>
      <w:r w:rsidR="00E556FF" w:rsidRPr="00CE24FE">
        <w:t xml:space="preserve"> children </w:t>
      </w:r>
      <w:r>
        <w:t xml:space="preserve">are </w:t>
      </w:r>
      <w:r w:rsidR="00E556FF" w:rsidRPr="00CE24FE">
        <w:t xml:space="preserve">not harnessed securely </w:t>
      </w:r>
      <w:r w:rsidR="00CD7DC0">
        <w:t xml:space="preserve">or at all </w:t>
      </w:r>
      <w:r>
        <w:t xml:space="preserve">and </w:t>
      </w:r>
      <w:r w:rsidR="00842BB1">
        <w:t xml:space="preserve">then </w:t>
      </w:r>
      <w:r w:rsidR="00CD7DC0">
        <w:t xml:space="preserve">manage to </w:t>
      </w:r>
      <w:r w:rsidR="00E556FF" w:rsidRPr="00CE24FE">
        <w:t xml:space="preserve">stand up in the </w:t>
      </w:r>
      <w:r w:rsidR="00842BB1">
        <w:t xml:space="preserve">pram or </w:t>
      </w:r>
      <w:r w:rsidR="00E556FF" w:rsidRPr="00CE24FE">
        <w:t>stroller</w:t>
      </w:r>
      <w:r>
        <w:t>,</w:t>
      </w:r>
      <w:r w:rsidR="00E556FF" w:rsidRPr="00CE24FE">
        <w:t xml:space="preserve"> </w:t>
      </w:r>
      <w:r w:rsidR="00CD7DC0">
        <w:t xml:space="preserve">when the child is getting in or out of the stroller, </w:t>
      </w:r>
      <w:r w:rsidR="00E556FF" w:rsidRPr="00CE24FE">
        <w:t xml:space="preserve">or </w:t>
      </w:r>
      <w:r>
        <w:t xml:space="preserve">when </w:t>
      </w:r>
      <w:r w:rsidR="00CD7DC0">
        <w:t>the</w:t>
      </w:r>
      <w:r w:rsidR="00842BB1">
        <w:t xml:space="preserve"> </w:t>
      </w:r>
      <w:r w:rsidR="00E556FF" w:rsidRPr="00CE24FE">
        <w:t xml:space="preserve">stroller </w:t>
      </w:r>
      <w:r w:rsidR="005815AC">
        <w:t xml:space="preserve">becomes unstable </w:t>
      </w:r>
      <w:r w:rsidR="00E556FF" w:rsidRPr="00CE24FE">
        <w:t xml:space="preserve">going down stairs or inclines. </w:t>
      </w:r>
    </w:p>
    <w:p w:rsidR="00CD7DC0" w:rsidRDefault="00842BB1" w:rsidP="0065392B">
      <w:r>
        <w:lastRenderedPageBreak/>
        <w:t xml:space="preserve">Similarly, almost 80 per cent of an estimated </w:t>
      </w:r>
      <w:r w:rsidR="00E556FF">
        <w:t>261</w:t>
      </w:r>
      <w:r w:rsidR="003E374C">
        <w:t xml:space="preserve"> </w:t>
      </w:r>
      <w:r w:rsidR="00E556FF">
        <w:t xml:space="preserve">000 </w:t>
      </w:r>
      <w:r w:rsidR="008B7504">
        <w:t xml:space="preserve">pram or </w:t>
      </w:r>
      <w:r w:rsidR="00E556FF">
        <w:t xml:space="preserve">stroller related injuries </w:t>
      </w:r>
      <w:r>
        <w:t>to</w:t>
      </w:r>
      <w:r w:rsidR="00E556FF">
        <w:t xml:space="preserve"> </w:t>
      </w:r>
      <w:r>
        <w:t xml:space="preserve">US </w:t>
      </w:r>
      <w:r w:rsidR="00E556FF">
        <w:t xml:space="preserve">children under 5 </w:t>
      </w:r>
      <w:r w:rsidR="00364829">
        <w:t>between 1990 and 2010</w:t>
      </w:r>
      <w:r>
        <w:rPr>
          <w:rStyle w:val="FootnoteReference"/>
        </w:rPr>
        <w:footnoteReference w:id="2"/>
      </w:r>
      <w:r w:rsidR="00364829">
        <w:t xml:space="preserve"> </w:t>
      </w:r>
      <w:r w:rsidR="00811924">
        <w:t xml:space="preserve">were </w:t>
      </w:r>
      <w:r w:rsidR="003E374C">
        <w:t>because</w:t>
      </w:r>
      <w:r w:rsidR="00E556FF">
        <w:t xml:space="preserve"> of contact with the </w:t>
      </w:r>
      <w:r w:rsidR="003E374C">
        <w:t>ground, which</w:t>
      </w:r>
      <w:r w:rsidR="00364829">
        <w:t xml:space="preserve"> relates directly to the child </w:t>
      </w:r>
      <w:r w:rsidR="00CD7DC0">
        <w:t xml:space="preserve">not </w:t>
      </w:r>
      <w:r w:rsidR="00364829">
        <w:t>being secure</w:t>
      </w:r>
      <w:r w:rsidR="00360D08">
        <w:t>ly harnessed</w:t>
      </w:r>
      <w:r w:rsidR="00364829">
        <w:t xml:space="preserve"> </w:t>
      </w:r>
      <w:r w:rsidR="00E556FF">
        <w:t xml:space="preserve">in the </w:t>
      </w:r>
      <w:r w:rsidR="008B7504">
        <w:t xml:space="preserve">pram or </w:t>
      </w:r>
      <w:r w:rsidR="00E556FF">
        <w:t>stroller.</w:t>
      </w:r>
      <w:r w:rsidR="00360D08">
        <w:t xml:space="preserve"> </w:t>
      </w:r>
    </w:p>
    <w:p w:rsidR="0065392B" w:rsidRPr="00811924" w:rsidRDefault="00360D08" w:rsidP="0065392B">
      <w:r>
        <w:t>The mandatory safety standard requires prams and strollers to have a per</w:t>
      </w:r>
      <w:r w:rsidR="00543850">
        <w:t xml:space="preserve">manently affixed safety harness </w:t>
      </w:r>
      <w:r w:rsidR="00CD7DC0">
        <w:t>which effectively restrains the child</w:t>
      </w:r>
      <w:r w:rsidR="00AE390A">
        <w:t>,</w:t>
      </w:r>
      <w:r w:rsidR="00CD7DC0">
        <w:t xml:space="preserve"> as well as</w:t>
      </w:r>
      <w:r w:rsidR="0065392B" w:rsidRPr="00CE24FE">
        <w:rPr>
          <w:rFonts w:cs="Arial"/>
        </w:rPr>
        <w:t xml:space="preserve"> </w:t>
      </w:r>
      <w:r w:rsidR="0065392B">
        <w:rPr>
          <w:rFonts w:cs="Arial"/>
        </w:rPr>
        <w:t>safety</w:t>
      </w:r>
      <w:r w:rsidR="0065392B" w:rsidRPr="00CE24FE">
        <w:rPr>
          <w:rFonts w:cs="Arial"/>
        </w:rPr>
        <w:t xml:space="preserve"> warnings prominently</w:t>
      </w:r>
      <w:r w:rsidR="0065392B">
        <w:rPr>
          <w:rFonts w:cs="Arial"/>
        </w:rPr>
        <w:t xml:space="preserve"> </w:t>
      </w:r>
      <w:r w:rsidR="0065392B" w:rsidRPr="00CE24FE">
        <w:rPr>
          <w:rFonts w:cs="Arial"/>
        </w:rPr>
        <w:t xml:space="preserve">displayed on the </w:t>
      </w:r>
      <w:r w:rsidR="0065392B">
        <w:rPr>
          <w:rFonts w:cs="Arial"/>
        </w:rPr>
        <w:t>pram or stroller, including</w:t>
      </w:r>
      <w:r w:rsidR="0065392B" w:rsidRPr="00CE24FE">
        <w:rPr>
          <w:rFonts w:cs="Arial"/>
        </w:rPr>
        <w:t xml:space="preserve"> on the </w:t>
      </w:r>
      <w:r w:rsidR="0065392B">
        <w:rPr>
          <w:rFonts w:cs="Arial"/>
        </w:rPr>
        <w:t>harness and tether strap</w:t>
      </w:r>
      <w:r w:rsidR="00CD7DC0">
        <w:rPr>
          <w:rFonts w:cs="Arial"/>
        </w:rPr>
        <w:t>, about the use of these features</w:t>
      </w:r>
      <w:r w:rsidR="0065392B">
        <w:rPr>
          <w:rFonts w:cs="Arial"/>
        </w:rPr>
        <w:t>.</w:t>
      </w:r>
    </w:p>
    <w:p w:rsidR="003B3281" w:rsidRDefault="00910C26" w:rsidP="00ED6267">
      <w:r>
        <w:t xml:space="preserve">The warnings </w:t>
      </w:r>
      <w:r w:rsidR="003B3281">
        <w:t>aim</w:t>
      </w:r>
      <w:r>
        <w:t xml:space="preserve"> to influence parents and carers to use the harness </w:t>
      </w:r>
      <w:r w:rsidR="003B3281">
        <w:t>to protect the child in the pram or stroller. However, many fall injuries occur because the harness in the pram or stroller was not used.</w:t>
      </w:r>
    </w:p>
    <w:p w:rsidR="00C4269F" w:rsidRPr="00ED6267" w:rsidRDefault="005B6AF3" w:rsidP="00ED6267">
      <w:r w:rsidRPr="000E6F22">
        <w:t>More d</w:t>
      </w:r>
      <w:r w:rsidR="00E556FF" w:rsidRPr="00ED6267">
        <w:t xml:space="preserve">etailed </w:t>
      </w:r>
      <w:r w:rsidR="00C4269F" w:rsidRPr="00ED6267">
        <w:t xml:space="preserve">historical </w:t>
      </w:r>
      <w:r w:rsidR="00E556FF" w:rsidRPr="00ED6267">
        <w:t xml:space="preserve">injury data </w:t>
      </w:r>
      <w:r w:rsidR="00543850" w:rsidRPr="00ED6267">
        <w:t>is included</w:t>
      </w:r>
      <w:r w:rsidR="00607E42" w:rsidRPr="00ED6267">
        <w:t xml:space="preserve"> </w:t>
      </w:r>
      <w:r w:rsidR="00E556FF" w:rsidRPr="00ED6267">
        <w:t>in Appendix A</w:t>
      </w:r>
      <w:r w:rsidR="00E82892" w:rsidRPr="00ED6267">
        <w:t>.</w:t>
      </w:r>
    </w:p>
    <w:p w:rsidR="00E556FF" w:rsidRPr="00532E3F" w:rsidRDefault="00E556FF" w:rsidP="00E556FF">
      <w:pPr>
        <w:pStyle w:val="Numbered11"/>
        <w:tabs>
          <w:tab w:val="clear" w:pos="1021"/>
        </w:tabs>
        <w:ind w:left="1021" w:hanging="1021"/>
      </w:pPr>
      <w:bookmarkStart w:id="65" w:name="_Toc471461259"/>
      <w:r w:rsidRPr="00532E3F">
        <w:t>The mandatory safety standard</w:t>
      </w:r>
      <w:bookmarkEnd w:id="65"/>
    </w:p>
    <w:p w:rsidR="00E556FF" w:rsidRDefault="003B17F3" w:rsidP="00E556FF">
      <w:r>
        <w:t>T</w:t>
      </w:r>
      <w:r w:rsidR="00E556FF" w:rsidRPr="008F4E00">
        <w:t xml:space="preserve">he </w:t>
      </w:r>
      <w:r>
        <w:t xml:space="preserve">mandatory </w:t>
      </w:r>
      <w:r w:rsidR="00E556FF" w:rsidRPr="008F4E00">
        <w:t xml:space="preserve">safety standard for </w:t>
      </w:r>
      <w:r>
        <w:t xml:space="preserve">prams and </w:t>
      </w:r>
      <w:r w:rsidR="00444040">
        <w:t xml:space="preserve">strollers </w:t>
      </w:r>
      <w:r>
        <w:t>started in 2008</w:t>
      </w:r>
      <w:r w:rsidR="00444040">
        <w:t xml:space="preserve"> </w:t>
      </w:r>
      <w:r w:rsidR="00E556FF" w:rsidRPr="008F4E00">
        <w:t xml:space="preserve">under the </w:t>
      </w:r>
      <w:r w:rsidR="00E556FF" w:rsidRPr="00A8643D">
        <w:rPr>
          <w:i/>
        </w:rPr>
        <w:t>Trade Practices Act 1974</w:t>
      </w:r>
      <w:r w:rsidR="00E556FF" w:rsidRPr="008F4E00">
        <w:t xml:space="preserve"> </w:t>
      </w:r>
      <w:r>
        <w:t xml:space="preserve">and </w:t>
      </w:r>
      <w:r w:rsidR="00015A33">
        <w:t xml:space="preserve">it </w:t>
      </w:r>
      <w:r w:rsidR="00E556FF" w:rsidRPr="008F4E00">
        <w:t>continues under the A</w:t>
      </w:r>
      <w:r w:rsidR="00E556FF">
        <w:t xml:space="preserve">ustralian </w:t>
      </w:r>
      <w:r w:rsidR="00E556FF" w:rsidRPr="008F4E00">
        <w:t>C</w:t>
      </w:r>
      <w:r w:rsidR="00E556FF">
        <w:t xml:space="preserve">onsumer </w:t>
      </w:r>
      <w:r w:rsidR="00E556FF" w:rsidRPr="008F4E00">
        <w:t>L</w:t>
      </w:r>
      <w:r w:rsidR="00E556FF">
        <w:t>aw (ACL)</w:t>
      </w:r>
      <w:r w:rsidR="00E556FF" w:rsidRPr="008F4E00">
        <w:t xml:space="preserve">. </w:t>
      </w:r>
    </w:p>
    <w:p w:rsidR="00E556FF" w:rsidRDefault="00E556FF" w:rsidP="00571DFE">
      <w:r w:rsidRPr="000D0BF5">
        <w:t xml:space="preserve">The key </w:t>
      </w:r>
      <w:r w:rsidR="002727A2">
        <w:t>p</w:t>
      </w:r>
      <w:r>
        <w:t>ram and stroller</w:t>
      </w:r>
      <w:r w:rsidR="002727A2">
        <w:t xml:space="preserve"> hazard</w:t>
      </w:r>
      <w:r>
        <w:t>s</w:t>
      </w:r>
      <w:r w:rsidRPr="000D0BF5">
        <w:t xml:space="preserve"> </w:t>
      </w:r>
      <w:r>
        <w:t xml:space="preserve">addressed by the safety standard </w:t>
      </w:r>
      <w:r w:rsidR="002727A2">
        <w:t>are</w:t>
      </w:r>
      <w:r>
        <w:t>:</w:t>
      </w:r>
    </w:p>
    <w:p w:rsidR="00E556FF" w:rsidRDefault="00E556FF" w:rsidP="00E556FF">
      <w:pPr>
        <w:pStyle w:val="Bulletpoint"/>
        <w:tabs>
          <w:tab w:val="clear" w:pos="340"/>
        </w:tabs>
        <w:spacing w:after="120"/>
      </w:pPr>
      <w:r w:rsidRPr="00C84B77">
        <w:t xml:space="preserve">falls from </w:t>
      </w:r>
      <w:r>
        <w:t>the stroller</w:t>
      </w:r>
      <w:r w:rsidRPr="00C84B77">
        <w:t xml:space="preserve"> as a result of </w:t>
      </w:r>
      <w:r>
        <w:t>the child</w:t>
      </w:r>
      <w:r w:rsidRPr="00C84B77">
        <w:t xml:space="preserve"> being unrestrained </w:t>
      </w:r>
      <w:r>
        <w:t xml:space="preserve">or </w:t>
      </w:r>
      <w:r w:rsidR="00E74D53">
        <w:t xml:space="preserve">ineffectively </w:t>
      </w:r>
      <w:r>
        <w:t xml:space="preserve">restrained </w:t>
      </w:r>
      <w:r w:rsidR="00AE390A">
        <w:t>–</w:t>
      </w:r>
      <w:r>
        <w:t xml:space="preserve"> </w:t>
      </w:r>
      <w:r w:rsidRPr="00C84B77">
        <w:t>addressed</w:t>
      </w:r>
      <w:r w:rsidR="00AE390A">
        <w:t xml:space="preserve"> </w:t>
      </w:r>
      <w:r w:rsidRPr="00C84B77">
        <w:t>by requirements for harnesses</w:t>
      </w:r>
    </w:p>
    <w:p w:rsidR="00E556FF" w:rsidRPr="00C84B77" w:rsidRDefault="00E556FF" w:rsidP="00E556FF">
      <w:pPr>
        <w:pStyle w:val="Bulletpoint"/>
        <w:tabs>
          <w:tab w:val="clear" w:pos="340"/>
        </w:tabs>
        <w:spacing w:after="120"/>
      </w:pPr>
      <w:r w:rsidRPr="00C84B77">
        <w:t xml:space="preserve">roll away incidents which put children in danger </w:t>
      </w:r>
      <w:r w:rsidR="00AE390A">
        <w:t>–</w:t>
      </w:r>
      <w:r w:rsidR="00AB37E2">
        <w:t xml:space="preserve"> </w:t>
      </w:r>
      <w:r w:rsidRPr="00C84B77">
        <w:t>addressed</w:t>
      </w:r>
      <w:r w:rsidR="00AE390A">
        <w:t xml:space="preserve"> </w:t>
      </w:r>
      <w:r w:rsidRPr="00C84B77">
        <w:t>by requirements for brakes and tether straps</w:t>
      </w:r>
    </w:p>
    <w:p w:rsidR="00E556FF" w:rsidRPr="00C84B77" w:rsidRDefault="00E556FF" w:rsidP="00E556FF">
      <w:pPr>
        <w:pStyle w:val="Bulletpoint"/>
        <w:tabs>
          <w:tab w:val="clear" w:pos="340"/>
        </w:tabs>
        <w:spacing w:after="120"/>
      </w:pPr>
      <w:r>
        <w:t xml:space="preserve">body entrapment </w:t>
      </w:r>
      <w:r w:rsidR="00AE390A">
        <w:t>–</w:t>
      </w:r>
      <w:r w:rsidR="00AB37E2">
        <w:t xml:space="preserve"> </w:t>
      </w:r>
      <w:r w:rsidRPr="00C84B77">
        <w:t>addressed</w:t>
      </w:r>
      <w:r w:rsidR="00AE390A">
        <w:t xml:space="preserve"> </w:t>
      </w:r>
      <w:r w:rsidRPr="00C84B77">
        <w:t>by requirements for head barriers and foot enclosures</w:t>
      </w:r>
    </w:p>
    <w:p w:rsidR="00E556FF" w:rsidRDefault="00E556FF" w:rsidP="00E556FF">
      <w:pPr>
        <w:pStyle w:val="Bulletpoint"/>
        <w:tabs>
          <w:tab w:val="clear" w:pos="340"/>
        </w:tabs>
        <w:spacing w:after="120"/>
      </w:pPr>
      <w:proofErr w:type="gramStart"/>
      <w:r w:rsidRPr="00C84B77">
        <w:t>finger</w:t>
      </w:r>
      <w:proofErr w:type="gramEnd"/>
      <w:r>
        <w:t xml:space="preserve"> entrapment</w:t>
      </w:r>
      <w:r w:rsidR="00E74D53">
        <w:t xml:space="preserve"> </w:t>
      </w:r>
      <w:r w:rsidR="00AE390A">
        <w:t>–</w:t>
      </w:r>
      <w:r w:rsidR="00AB37E2">
        <w:t xml:space="preserve"> </w:t>
      </w:r>
      <w:r w:rsidRPr="00C84B77">
        <w:t>addressed</w:t>
      </w:r>
      <w:r w:rsidR="00AE390A">
        <w:t xml:space="preserve"> </w:t>
      </w:r>
      <w:r w:rsidRPr="00C84B77">
        <w:t xml:space="preserve">by requirements </w:t>
      </w:r>
      <w:r w:rsidR="00E74D53">
        <w:t>to</w:t>
      </w:r>
      <w:r w:rsidRPr="00C84B77">
        <w:t xml:space="preserve"> </w:t>
      </w:r>
      <w:r>
        <w:t>minimis</w:t>
      </w:r>
      <w:r w:rsidR="00E74D53">
        <w:t>e</w:t>
      </w:r>
      <w:r>
        <w:t xml:space="preserve"> </w:t>
      </w:r>
      <w:r w:rsidRPr="00C84B77">
        <w:t>hazardous gaps.</w:t>
      </w:r>
    </w:p>
    <w:p w:rsidR="00AB37E2" w:rsidRPr="00571DFE" w:rsidRDefault="00AB37E2" w:rsidP="00571DFE">
      <w:r w:rsidRPr="008F4E00">
        <w:t xml:space="preserve">The </w:t>
      </w:r>
      <w:r>
        <w:t xml:space="preserve">mandatory </w:t>
      </w:r>
      <w:r w:rsidRPr="008F4E00">
        <w:t xml:space="preserve">safety standard </w:t>
      </w:r>
      <w:r>
        <w:t xml:space="preserve">is based on the voluntary Australian standard </w:t>
      </w:r>
      <w:r w:rsidRPr="00BC7022">
        <w:rPr>
          <w:i/>
        </w:rPr>
        <w:t>AS/NZS 2088:2000 Prams and strollers-safety requirements</w:t>
      </w:r>
      <w:r>
        <w:t xml:space="preserve">.  </w:t>
      </w:r>
      <w:r w:rsidRPr="00571DFE">
        <w:t xml:space="preserve">The mandatory safety standard only specifies those sections of the voluntary Australian standard considered reasonably necessary to prevent injury. </w:t>
      </w:r>
    </w:p>
    <w:p w:rsidR="00AB37E2" w:rsidRPr="00571DFE" w:rsidRDefault="00AB37E2" w:rsidP="00571DFE">
      <w:r w:rsidRPr="00571DFE">
        <w:t xml:space="preserve">The ACCC funded Standards Australia to </w:t>
      </w:r>
      <w:r w:rsidR="00CF543E">
        <w:t>review</w:t>
      </w:r>
      <w:r w:rsidR="00CF543E" w:rsidRPr="00571DFE">
        <w:t xml:space="preserve"> </w:t>
      </w:r>
      <w:r w:rsidRPr="00571DFE">
        <w:t xml:space="preserve">the voluntary Australian standard in 2013. The 2013 version includes safety requirements for vehicle stability, to avoid finger entrapment in folding mechanisms and to reduce inadvertent release of locking mechanisms. It also clarifies </w:t>
      </w:r>
      <w:r w:rsidR="00346E61">
        <w:t>harness</w:t>
      </w:r>
      <w:r w:rsidRPr="00571DFE">
        <w:t xml:space="preserve"> attachment and permanence </w:t>
      </w:r>
      <w:r w:rsidR="00346E61">
        <w:t>requirements</w:t>
      </w:r>
      <w:r w:rsidR="00AE390A">
        <w:t>,</w:t>
      </w:r>
      <w:r w:rsidR="00346E61">
        <w:t xml:space="preserve"> </w:t>
      </w:r>
      <w:r w:rsidRPr="00571DFE">
        <w:t xml:space="preserve">and the structure of the standard is clearer. The improvements in the standard appear to have wide industry acceptance. </w:t>
      </w:r>
    </w:p>
    <w:p w:rsidR="00E556FF" w:rsidRPr="000924F8" w:rsidRDefault="009A1F2B" w:rsidP="00571DFE">
      <w:r>
        <w:t>N</w:t>
      </w:r>
      <w:r w:rsidR="00E556FF" w:rsidRPr="00EB6193">
        <w:t>on-compliance</w:t>
      </w:r>
      <w:r w:rsidR="00E556FF">
        <w:t xml:space="preserve"> </w:t>
      </w:r>
      <w:r w:rsidR="002727A2">
        <w:t xml:space="preserve">identified by the </w:t>
      </w:r>
      <w:r w:rsidR="00E82892">
        <w:t xml:space="preserve">ACCC </w:t>
      </w:r>
      <w:r>
        <w:t xml:space="preserve">has </w:t>
      </w:r>
      <w:r w:rsidR="002727A2">
        <w:t xml:space="preserve">mainly </w:t>
      </w:r>
      <w:r w:rsidR="00E556FF">
        <w:t xml:space="preserve">related to marking and warning </w:t>
      </w:r>
      <w:r>
        <w:t>problems</w:t>
      </w:r>
      <w:r w:rsidR="00E556FF">
        <w:t>.</w:t>
      </w:r>
      <w:r>
        <w:t xml:space="preserve"> In 2013 the </w:t>
      </w:r>
      <w:r w:rsidR="00E556FF" w:rsidRPr="00571DFE">
        <w:t xml:space="preserve">ACCC </w:t>
      </w:r>
      <w:r w:rsidR="00E556FF">
        <w:t xml:space="preserve">surveyed </w:t>
      </w:r>
      <w:r>
        <w:t xml:space="preserve">109 products </w:t>
      </w:r>
      <w:r w:rsidR="00346E61">
        <w:t xml:space="preserve">and </w:t>
      </w:r>
      <w:r>
        <w:t xml:space="preserve">20 of </w:t>
      </w:r>
      <w:r w:rsidR="00E556FF">
        <w:t>28 non-</w:t>
      </w:r>
      <w:r>
        <w:t xml:space="preserve">compliances </w:t>
      </w:r>
      <w:r w:rsidR="00E556FF">
        <w:t>relat</w:t>
      </w:r>
      <w:r>
        <w:t>ed</w:t>
      </w:r>
      <w:r w:rsidR="00E556FF">
        <w:t xml:space="preserve"> to the mandatory warning</w:t>
      </w:r>
      <w:r>
        <w:t>.</w:t>
      </w:r>
    </w:p>
    <w:p w:rsidR="00E82892" w:rsidRPr="00571DFE" w:rsidRDefault="009A1F2B" w:rsidP="00571DFE">
      <w:r>
        <w:t>T</w:t>
      </w:r>
      <w:r w:rsidR="00E556FF" w:rsidRPr="000924F8">
        <w:t xml:space="preserve">here have been </w:t>
      </w:r>
      <w:r w:rsidR="00E556FF">
        <w:t>2</w:t>
      </w:r>
      <w:r w:rsidR="00B63251">
        <w:t>7</w:t>
      </w:r>
      <w:r w:rsidR="00E556FF">
        <w:t xml:space="preserve"> </w:t>
      </w:r>
      <w:r>
        <w:t xml:space="preserve">pram or stroller </w:t>
      </w:r>
      <w:r w:rsidR="00E556FF">
        <w:t>r</w:t>
      </w:r>
      <w:r w:rsidR="00E556FF" w:rsidRPr="000924F8">
        <w:t xml:space="preserve">ecalls </w:t>
      </w:r>
      <w:r>
        <w:t>since the mandatory safety standard started:</w:t>
      </w:r>
      <w:r w:rsidRPr="000924F8">
        <w:t xml:space="preserve">  </w:t>
      </w:r>
      <w:r w:rsidR="00E556FF" w:rsidRPr="000924F8">
        <w:t xml:space="preserve">four in 2009, </w:t>
      </w:r>
      <w:r w:rsidR="00E556FF">
        <w:t xml:space="preserve">nine in 2011, three in 2012, </w:t>
      </w:r>
      <w:r w:rsidR="00E556FF" w:rsidRPr="000924F8">
        <w:t>four in 2013</w:t>
      </w:r>
      <w:r w:rsidR="00E556FF">
        <w:t xml:space="preserve">, two in 2014, </w:t>
      </w:r>
      <w:r>
        <w:t xml:space="preserve">two </w:t>
      </w:r>
      <w:r w:rsidR="00E556FF">
        <w:t>in 2015</w:t>
      </w:r>
      <w:r w:rsidR="00AE390A">
        <w:t>,</w:t>
      </w:r>
      <w:r w:rsidR="00E556FF">
        <w:t xml:space="preserve"> and </w:t>
      </w:r>
      <w:r w:rsidR="00B63251">
        <w:t xml:space="preserve">three </w:t>
      </w:r>
      <w:r w:rsidR="00E556FF">
        <w:t>to date in 2016</w:t>
      </w:r>
      <w:r w:rsidR="00E556FF" w:rsidRPr="000924F8">
        <w:t>.</w:t>
      </w:r>
      <w:r w:rsidR="00E556FF">
        <w:t xml:space="preserve"> </w:t>
      </w:r>
      <w:r w:rsidR="004809A0">
        <w:t>These r</w:t>
      </w:r>
      <w:r w:rsidR="00E556FF" w:rsidRPr="000924F8">
        <w:t xml:space="preserve">ecalls </w:t>
      </w:r>
      <w:r w:rsidR="004809A0">
        <w:t xml:space="preserve">were about </w:t>
      </w:r>
      <w:r w:rsidR="004809A0" w:rsidRPr="000924F8">
        <w:t xml:space="preserve">warning and information marking </w:t>
      </w:r>
      <w:r w:rsidR="004809A0">
        <w:t>provisions</w:t>
      </w:r>
      <w:r w:rsidR="004809A0" w:rsidRPr="000924F8">
        <w:t xml:space="preserve"> </w:t>
      </w:r>
      <w:r w:rsidR="004809A0">
        <w:t xml:space="preserve">of the mandatory safety standard and about </w:t>
      </w:r>
      <w:r w:rsidR="00AB37E2">
        <w:t>issues that are not addressed by the mandatory safety standard</w:t>
      </w:r>
      <w:r w:rsidR="00AE390A">
        <w:t>,</w:t>
      </w:r>
      <w:r w:rsidR="00E556FF" w:rsidRPr="000924F8">
        <w:t xml:space="preserve"> </w:t>
      </w:r>
      <w:r w:rsidR="00E556FF">
        <w:t xml:space="preserve">like </w:t>
      </w:r>
      <w:r w:rsidR="00E556FF" w:rsidRPr="000924F8">
        <w:t xml:space="preserve">brake failures, </w:t>
      </w:r>
      <w:r w:rsidR="00AB37E2">
        <w:t>problems</w:t>
      </w:r>
      <w:r w:rsidR="00AB37E2" w:rsidRPr="000924F8">
        <w:t xml:space="preserve"> </w:t>
      </w:r>
      <w:r w:rsidR="00E556FF" w:rsidRPr="000924F8">
        <w:t xml:space="preserve">with stability and security of attachments </w:t>
      </w:r>
      <w:r w:rsidR="00AB37E2" w:rsidRPr="000924F8">
        <w:t xml:space="preserve">and </w:t>
      </w:r>
      <w:r w:rsidR="00E556FF" w:rsidRPr="000924F8">
        <w:t>entrapments in hinge folding mechanisms.</w:t>
      </w:r>
      <w:r w:rsidR="00E556FF" w:rsidRPr="00571DFE">
        <w:t xml:space="preserve"> </w:t>
      </w:r>
    </w:p>
    <w:p w:rsidR="003D5D2F" w:rsidRPr="00982FCC" w:rsidRDefault="005D1FF8" w:rsidP="003D5D2F">
      <w:pPr>
        <w:pStyle w:val="Numbered11"/>
        <w:tabs>
          <w:tab w:val="clear" w:pos="1021"/>
        </w:tabs>
        <w:spacing w:line="240" w:lineRule="auto"/>
        <w:ind w:left="1021" w:hanging="1021"/>
        <w:rPr>
          <w:lang w:val="en-GB"/>
        </w:rPr>
      </w:pPr>
      <w:bookmarkStart w:id="66" w:name="_Toc471461260"/>
      <w:r>
        <w:rPr>
          <w:lang w:val="en-GB"/>
        </w:rPr>
        <w:lastRenderedPageBreak/>
        <w:t xml:space="preserve">Emerging </w:t>
      </w:r>
      <w:r w:rsidR="002D21D8">
        <w:rPr>
          <w:lang w:val="en-GB"/>
        </w:rPr>
        <w:t>issues</w:t>
      </w:r>
      <w:bookmarkEnd w:id="66"/>
    </w:p>
    <w:p w:rsidR="005D1FF8" w:rsidRPr="00FE3771" w:rsidRDefault="005D1FF8" w:rsidP="00571DFE">
      <w:pPr>
        <w:pStyle w:val="Numbered111"/>
        <w:keepNext/>
        <w:numPr>
          <w:ilvl w:val="0"/>
          <w:numId w:val="0"/>
        </w:numPr>
        <w:tabs>
          <w:tab w:val="clear" w:pos="1361"/>
        </w:tabs>
        <w:spacing w:before="200"/>
        <w:contextualSpacing w:val="0"/>
      </w:pPr>
      <w:bookmarkStart w:id="67" w:name="_Toc471460949"/>
      <w:bookmarkStart w:id="68" w:name="_Toc471461261"/>
      <w:r w:rsidRPr="00FE3771">
        <w:t>Folding actions</w:t>
      </w:r>
      <w:bookmarkEnd w:id="67"/>
      <w:bookmarkEnd w:id="68"/>
    </w:p>
    <w:p w:rsidR="00031A8C" w:rsidRDefault="00BC7022" w:rsidP="00B63251">
      <w:pPr>
        <w:spacing w:line="220" w:lineRule="atLeast"/>
      </w:pPr>
      <w:r>
        <w:t xml:space="preserve">About </w:t>
      </w:r>
      <w:r w:rsidRPr="002D21D8">
        <w:t xml:space="preserve">half </w:t>
      </w:r>
      <w:r>
        <w:t xml:space="preserve">of the pram or stroller injuries reported to the ACCC in recent years (Appendix A) </w:t>
      </w:r>
      <w:r w:rsidR="002D21D8" w:rsidRPr="002D21D8">
        <w:t>were</w:t>
      </w:r>
      <w:r w:rsidR="00127122">
        <w:t xml:space="preserve"> </w:t>
      </w:r>
      <w:r w:rsidR="002D21D8" w:rsidRPr="002D21D8">
        <w:t xml:space="preserve">caregivers’ fingers </w:t>
      </w:r>
      <w:r>
        <w:t>injured</w:t>
      </w:r>
      <w:r w:rsidR="002D21D8" w:rsidRPr="002D21D8">
        <w:t xml:space="preserve"> in the scissor-like action of the pram or stroller folding or unfolding mechanism. </w:t>
      </w:r>
      <w:r w:rsidR="00031A8C">
        <w:t xml:space="preserve">This is an emerging hazard.  </w:t>
      </w:r>
    </w:p>
    <w:p w:rsidR="002D21D8" w:rsidRPr="002D21D8" w:rsidRDefault="002D21D8" w:rsidP="00B63251">
      <w:pPr>
        <w:spacing w:line="220" w:lineRule="atLeast"/>
      </w:pPr>
      <w:r w:rsidRPr="002D21D8">
        <w:t xml:space="preserve">The mandatory safety standard </w:t>
      </w:r>
      <w:r w:rsidR="00031A8C">
        <w:t xml:space="preserve">sets requirements to protect the fingers of children passengers of prams or strollers but </w:t>
      </w:r>
      <w:r w:rsidRPr="002D21D8">
        <w:t xml:space="preserve">does not address </w:t>
      </w:r>
      <w:r w:rsidR="00031A8C" w:rsidRPr="002D21D8">
        <w:t>th</w:t>
      </w:r>
      <w:r w:rsidR="00031A8C">
        <w:t>e</w:t>
      </w:r>
      <w:r w:rsidR="00031A8C" w:rsidRPr="002D21D8">
        <w:t xml:space="preserve"> </w:t>
      </w:r>
      <w:r w:rsidRPr="002D21D8">
        <w:t>hazard</w:t>
      </w:r>
      <w:r w:rsidR="00031A8C">
        <w:t xml:space="preserve"> to caregivers or children outside the pram or stroller</w:t>
      </w:r>
      <w:r w:rsidRPr="002D21D8">
        <w:t>.</w:t>
      </w:r>
    </w:p>
    <w:p w:rsidR="00031A8C" w:rsidRDefault="00031A8C" w:rsidP="00031A8C">
      <w:pPr>
        <w:spacing w:line="220" w:lineRule="atLeast"/>
      </w:pPr>
      <w:r>
        <w:t>Folding or unfolding a stroller can result in entrapped, crushed and scissored fingers</w:t>
      </w:r>
      <w:r w:rsidR="003D49D1">
        <w:t xml:space="preserve"> of caregivers or children</w:t>
      </w:r>
      <w:r>
        <w:t xml:space="preserve">. This has occurred when the pram or stroller inadvertently unfolded while </w:t>
      </w:r>
      <w:r w:rsidR="004D6399">
        <w:t>a caregiver</w:t>
      </w:r>
      <w:r>
        <w:t xml:space="preserve"> carried </w:t>
      </w:r>
      <w:r w:rsidR="004D6399">
        <w:t xml:space="preserve">it or </w:t>
      </w:r>
      <w:r>
        <w:t xml:space="preserve">when it </w:t>
      </w:r>
      <w:r w:rsidR="003D49D1">
        <w:t xml:space="preserve">was </w:t>
      </w:r>
      <w:r>
        <w:t>being set up for use. The hazard is associated with a scissoring action, sharp edges on opposing components and the mechanisms that lock the stroller in a folded state.</w:t>
      </w:r>
    </w:p>
    <w:p w:rsidR="005D1FF8" w:rsidRPr="00FE3771" w:rsidRDefault="005D1FF8" w:rsidP="00571DFE">
      <w:pPr>
        <w:pStyle w:val="Numbered111"/>
        <w:keepNext/>
        <w:numPr>
          <w:ilvl w:val="0"/>
          <w:numId w:val="0"/>
        </w:numPr>
        <w:tabs>
          <w:tab w:val="clear" w:pos="1361"/>
        </w:tabs>
        <w:spacing w:before="200"/>
        <w:contextualSpacing w:val="0"/>
      </w:pPr>
      <w:bookmarkStart w:id="69" w:name="_Toc471460950"/>
      <w:bookmarkStart w:id="70" w:name="_Toc471461262"/>
      <w:r w:rsidRPr="00FE3771">
        <w:t>Stability</w:t>
      </w:r>
      <w:r w:rsidR="000F17EF">
        <w:t xml:space="preserve"> and</w:t>
      </w:r>
      <w:r w:rsidR="000F17EF" w:rsidRPr="00FE3771">
        <w:t xml:space="preserve"> </w:t>
      </w:r>
      <w:r w:rsidRPr="00FE3771">
        <w:t>security of attachments</w:t>
      </w:r>
      <w:bookmarkEnd w:id="69"/>
      <w:bookmarkEnd w:id="70"/>
    </w:p>
    <w:p w:rsidR="00122C53" w:rsidRDefault="004D6399" w:rsidP="004D6399">
      <w:pPr>
        <w:spacing w:line="220" w:lineRule="atLeast"/>
      </w:pPr>
      <w:r w:rsidRPr="004D6399">
        <w:t xml:space="preserve">Suppliers now offer various attachments for the basic pram or stroller, often promoting them as suitable for, or interchangeable with, different brands and models. These attachments can sometimes create stability, security and performance issues </w:t>
      </w:r>
      <w:r w:rsidR="00122C53">
        <w:t>if they:</w:t>
      </w:r>
    </w:p>
    <w:p w:rsidR="004D6399" w:rsidRDefault="00122C53" w:rsidP="009C42F9">
      <w:pPr>
        <w:pStyle w:val="ListParagraph"/>
        <w:numPr>
          <w:ilvl w:val="0"/>
          <w:numId w:val="34"/>
        </w:numPr>
        <w:spacing w:line="220" w:lineRule="atLeast"/>
      </w:pPr>
      <w:r>
        <w:t>are not sufficiently secured or locked into place on to the pram or stroller</w:t>
      </w:r>
    </w:p>
    <w:p w:rsidR="00122C53" w:rsidRPr="004D6399" w:rsidRDefault="00122C53" w:rsidP="009C42F9">
      <w:pPr>
        <w:pStyle w:val="ListParagraph"/>
        <w:numPr>
          <w:ilvl w:val="0"/>
          <w:numId w:val="34"/>
        </w:numPr>
        <w:spacing w:line="220" w:lineRule="atLeast"/>
      </w:pPr>
      <w:proofErr w:type="gramStart"/>
      <w:r>
        <w:t>create</w:t>
      </w:r>
      <w:proofErr w:type="gramEnd"/>
      <w:r>
        <w:t xml:space="preserve"> instability, especially when the pram or stroller is loaded.</w:t>
      </w:r>
    </w:p>
    <w:p w:rsidR="005D1FF8" w:rsidRDefault="00122C53" w:rsidP="005D1FF8">
      <w:pPr>
        <w:spacing w:line="220" w:lineRule="atLeast"/>
      </w:pPr>
      <w:r>
        <w:t xml:space="preserve">Children have </w:t>
      </w:r>
      <w:r w:rsidR="009C0BFD">
        <w:t xml:space="preserve">fallen from the pram or stroller and suffered injuries from these kinds of problems with </w:t>
      </w:r>
      <w:r w:rsidR="002706D3">
        <w:t xml:space="preserve">the security of </w:t>
      </w:r>
      <w:r w:rsidR="009C0BFD">
        <w:t>attachments.</w:t>
      </w:r>
    </w:p>
    <w:p w:rsidR="005D1FF8" w:rsidRDefault="00811924" w:rsidP="005D1FF8">
      <w:pPr>
        <w:spacing w:line="220" w:lineRule="atLeast"/>
      </w:pPr>
      <w:r>
        <w:t>The</w:t>
      </w:r>
      <w:r w:rsidR="005D1FF8">
        <w:t xml:space="preserve"> </w:t>
      </w:r>
      <w:r w:rsidR="00122C53">
        <w:t>voluntary standards have not always clearly specified</w:t>
      </w:r>
      <w:r w:rsidR="004D6399">
        <w:t xml:space="preserve"> </w:t>
      </w:r>
      <w:r w:rsidR="00122C53">
        <w:t>stability tests for attachments or for the prams or strollers that use them</w:t>
      </w:r>
      <w:r w:rsidR="005D1FF8">
        <w:t>.</w:t>
      </w:r>
      <w:r w:rsidR="00122C53">
        <w:t xml:space="preserve"> The mandatory safety standard does not </w:t>
      </w:r>
      <w:r w:rsidR="007861F7">
        <w:t xml:space="preserve">currently </w:t>
      </w:r>
      <w:r w:rsidR="00122C53">
        <w:t>address this issue.</w:t>
      </w:r>
    </w:p>
    <w:p w:rsidR="005D1FF8" w:rsidRDefault="00502325" w:rsidP="00571DFE">
      <w:pPr>
        <w:pStyle w:val="Numbered111"/>
        <w:keepNext/>
        <w:numPr>
          <w:ilvl w:val="0"/>
          <w:numId w:val="0"/>
        </w:numPr>
        <w:tabs>
          <w:tab w:val="clear" w:pos="1361"/>
        </w:tabs>
        <w:spacing w:before="200"/>
        <w:contextualSpacing w:val="0"/>
      </w:pPr>
      <w:bookmarkStart w:id="71" w:name="_Toc471460951"/>
      <w:bookmarkStart w:id="72" w:name="_Toc471461263"/>
      <w:r>
        <w:t xml:space="preserve">Harness </w:t>
      </w:r>
      <w:r w:rsidR="005D1FF8">
        <w:t>definitions</w:t>
      </w:r>
      <w:bookmarkEnd w:id="71"/>
      <w:bookmarkEnd w:id="72"/>
    </w:p>
    <w:p w:rsidR="005D1FF8" w:rsidRDefault="00DC1A77" w:rsidP="005D1FF8">
      <w:pPr>
        <w:spacing w:line="220" w:lineRule="atLeast"/>
      </w:pPr>
      <w:r>
        <w:t xml:space="preserve">Suppliers, test houses and regulators have expressed confusion </w:t>
      </w:r>
      <w:r w:rsidR="00D67400">
        <w:t>about</w:t>
      </w:r>
      <w:r>
        <w:t xml:space="preserve"> </w:t>
      </w:r>
      <w:r w:rsidR="005D1FF8">
        <w:t xml:space="preserve">the </w:t>
      </w:r>
      <w:r w:rsidR="00D67400">
        <w:t xml:space="preserve">requirements for </w:t>
      </w:r>
      <w:r w:rsidR="0052319A">
        <w:t xml:space="preserve">pram and </w:t>
      </w:r>
      <w:r w:rsidR="005D1FF8">
        <w:t xml:space="preserve">stroller </w:t>
      </w:r>
      <w:r w:rsidR="0052319A">
        <w:t>harnesses, particularly the requirements</w:t>
      </w:r>
      <w:r>
        <w:t xml:space="preserve"> </w:t>
      </w:r>
      <w:r w:rsidR="0052319A">
        <w:t>for</w:t>
      </w:r>
      <w:r w:rsidR="005D1FF8">
        <w:t xml:space="preserve"> </w:t>
      </w:r>
      <w:r w:rsidR="0052319A">
        <w:t xml:space="preserve">permanent fixation </w:t>
      </w:r>
      <w:r>
        <w:t xml:space="preserve">and </w:t>
      </w:r>
      <w:r w:rsidR="0052319A">
        <w:t>adjustability</w:t>
      </w:r>
      <w:r w:rsidR="00A13C9B">
        <w:t xml:space="preserve">. </w:t>
      </w:r>
      <w:r w:rsidR="0052319A">
        <w:t>The</w:t>
      </w:r>
      <w:r w:rsidR="005D1FF8">
        <w:t xml:space="preserve"> </w:t>
      </w:r>
      <w:r w:rsidR="00D67400">
        <w:t>updated voluntary Australian standard</w:t>
      </w:r>
      <w:r w:rsidR="005D1FF8">
        <w:t xml:space="preserve"> </w:t>
      </w:r>
      <w:r w:rsidR="000A0076">
        <w:t xml:space="preserve">resolves the confusion </w:t>
      </w:r>
      <w:r w:rsidR="0052319A">
        <w:t>and clarifie</w:t>
      </w:r>
      <w:r w:rsidR="00D67400">
        <w:t xml:space="preserve">s </w:t>
      </w:r>
      <w:r w:rsidR="005D1FF8">
        <w:t xml:space="preserve">what </w:t>
      </w:r>
      <w:r w:rsidR="0052319A">
        <w:t>the terms</w:t>
      </w:r>
      <w:r w:rsidR="005D1FF8">
        <w:t xml:space="preserve"> ‘securely attached’ and ‘permanently fixed’ </w:t>
      </w:r>
      <w:r w:rsidR="0052319A">
        <w:t>mean, in line with the child (car) restraint standard</w:t>
      </w:r>
      <w:r w:rsidR="005D1FF8">
        <w:t xml:space="preserve">. </w:t>
      </w:r>
      <w:r w:rsidR="000A0076">
        <w:t>These definitions allow</w:t>
      </w:r>
      <w:r w:rsidR="004C0B41">
        <w:t xml:space="preserve"> a</w:t>
      </w:r>
      <w:r w:rsidR="005D1FF8">
        <w:t xml:space="preserve"> harness </w:t>
      </w:r>
      <w:r w:rsidR="004C0B41">
        <w:t xml:space="preserve">that caregivers </w:t>
      </w:r>
      <w:r w:rsidR="000A0076">
        <w:t xml:space="preserve">can </w:t>
      </w:r>
      <w:r w:rsidR="005D1FF8">
        <w:t xml:space="preserve">adjust, </w:t>
      </w:r>
      <w:r w:rsidR="0052319A">
        <w:t>whilst preventing</w:t>
      </w:r>
      <w:r w:rsidR="005D1FF8">
        <w:t xml:space="preserve"> </w:t>
      </w:r>
      <w:r w:rsidR="009F3E1E">
        <w:t xml:space="preserve">inadvertent </w:t>
      </w:r>
      <w:r w:rsidR="005D1FF8">
        <w:t>adjustment by the child.</w:t>
      </w:r>
      <w:r w:rsidR="004C0B41">
        <w:t xml:space="preserve"> </w:t>
      </w:r>
    </w:p>
    <w:p w:rsidR="003D7CF3" w:rsidRPr="000F019F" w:rsidRDefault="003D7CF3" w:rsidP="003D7CF3">
      <w:pPr>
        <w:pStyle w:val="Numbered111"/>
        <w:keepNext/>
        <w:numPr>
          <w:ilvl w:val="0"/>
          <w:numId w:val="0"/>
        </w:numPr>
        <w:tabs>
          <w:tab w:val="clear" w:pos="1361"/>
        </w:tabs>
        <w:spacing w:before="200"/>
        <w:contextualSpacing w:val="0"/>
      </w:pPr>
      <w:bookmarkStart w:id="73" w:name="_Toc471460952"/>
      <w:bookmarkStart w:id="74" w:name="_Toc471461264"/>
      <w:r>
        <w:t>Automatic brakes</w:t>
      </w:r>
      <w:bookmarkEnd w:id="73"/>
      <w:bookmarkEnd w:id="74"/>
    </w:p>
    <w:p w:rsidR="003D7CF3" w:rsidRDefault="003D7CF3" w:rsidP="003D7CF3">
      <w:pPr>
        <w:spacing w:line="220" w:lineRule="atLeast"/>
      </w:pPr>
      <w:r>
        <w:t>Automatic braking systems on some pram and stroller models may provide an additional level of safety.</w:t>
      </w:r>
    </w:p>
    <w:p w:rsidR="003D7CF3" w:rsidRDefault="003D7CF3" w:rsidP="003D7CF3">
      <w:pPr>
        <w:spacing w:line="220" w:lineRule="atLeast"/>
      </w:pPr>
      <w:r>
        <w:t>The 2014 consultation sought views about mandating automatic brakes on prams and strollers. Respondents indicated that some prams and strollers had automatic brakes, but most said that the high cost of mandating automatic brakes on all prams and strollers was not justified, particularly for lower cost prams and strollers.</w:t>
      </w:r>
    </w:p>
    <w:p w:rsidR="003D7CF3" w:rsidRDefault="003D7CF3" w:rsidP="003D7CF3">
      <w:pPr>
        <w:spacing w:line="220" w:lineRule="atLeast"/>
      </w:pPr>
      <w:r w:rsidRPr="00F3327C">
        <w:t xml:space="preserve">There </w:t>
      </w:r>
      <w:r>
        <w:t>have been</w:t>
      </w:r>
      <w:r w:rsidRPr="00F3327C">
        <w:t xml:space="preserve"> </w:t>
      </w:r>
      <w:r>
        <w:t xml:space="preserve">no deaths and </w:t>
      </w:r>
      <w:r w:rsidRPr="00F3327C">
        <w:t xml:space="preserve">few reported injuries </w:t>
      </w:r>
      <w:r>
        <w:t>from</w:t>
      </w:r>
      <w:r w:rsidRPr="00F3327C">
        <w:t xml:space="preserve"> </w:t>
      </w:r>
      <w:r>
        <w:t>prams or strollers</w:t>
      </w:r>
      <w:r w:rsidRPr="00F3327C">
        <w:t xml:space="preserve"> rolling away from carers since the </w:t>
      </w:r>
      <w:r>
        <w:t>mandatory safety standard started in 2008</w:t>
      </w:r>
      <w:r w:rsidRPr="00F3327C">
        <w:t>. This could be because of the requirements for tether straps and red brakes and heightened awareness of the potential hazards involved in losing control</w:t>
      </w:r>
      <w:r>
        <w:t xml:space="preserve"> of a pram or stroller</w:t>
      </w:r>
      <w:r w:rsidRPr="00F3327C">
        <w:t xml:space="preserve">. </w:t>
      </w:r>
      <w:r>
        <w:t xml:space="preserve">Infrastructure improvements to </w:t>
      </w:r>
      <w:r>
        <w:lastRenderedPageBreak/>
        <w:t xml:space="preserve">enhance safe access for people with disabilities (e.g. at train platforms and near waterways) may also have helped. </w:t>
      </w:r>
    </w:p>
    <w:p w:rsidR="003D7CF3" w:rsidRPr="00D15554" w:rsidRDefault="003D7CF3" w:rsidP="003D7CF3">
      <w:pPr>
        <w:spacing w:line="220" w:lineRule="atLeast"/>
      </w:pPr>
      <w:r>
        <w:t xml:space="preserve">However, anecdotal observations also suggest that many carers rarely use the tether strap or, if they do use it, tether other children to the vehicle in order to maintain some control over them. As these potentially serious accidents have been rare, it is not possible to attribute cause with any confidence. </w:t>
      </w:r>
    </w:p>
    <w:p w:rsidR="003D7CF3" w:rsidRPr="003F4F73" w:rsidRDefault="003D7CF3" w:rsidP="003D7CF3">
      <w:pPr>
        <w:spacing w:line="220" w:lineRule="atLeast"/>
      </w:pPr>
      <w:r>
        <w:t>The updated voluntary Australian standard includes requirements for automatic brakes if they are supplied as part of the pram or stroller. Automatic brakes could provide an optional alternative to the currently mandatory Australian-specific requirement for a tether strap. We therefore seek stakeholder views about exempting prams and strollers with automatic brakes that conform to the updated voluntary Australian standard from the requirement for a tether strap.</w:t>
      </w:r>
    </w:p>
    <w:p w:rsidR="002507D1" w:rsidRDefault="002507D1" w:rsidP="008C7628">
      <w:pPr>
        <w:pStyle w:val="Numbered111"/>
        <w:keepNext/>
        <w:numPr>
          <w:ilvl w:val="0"/>
          <w:numId w:val="0"/>
        </w:numPr>
        <w:tabs>
          <w:tab w:val="clear" w:pos="1361"/>
        </w:tabs>
        <w:spacing w:before="200"/>
        <w:contextualSpacing w:val="0"/>
      </w:pPr>
      <w:bookmarkStart w:id="75" w:name="_Toc471460953"/>
      <w:bookmarkStart w:id="76" w:name="_Toc471461265"/>
      <w:r>
        <w:t>Strollers and chairs for disabled children</w:t>
      </w:r>
      <w:bookmarkEnd w:id="75"/>
      <w:bookmarkEnd w:id="76"/>
      <w:r>
        <w:t xml:space="preserve"> </w:t>
      </w:r>
    </w:p>
    <w:p w:rsidR="00D67400" w:rsidRDefault="00DC1A77" w:rsidP="005D1FF8">
      <w:pPr>
        <w:spacing w:line="220" w:lineRule="atLeast"/>
      </w:pPr>
      <w:r>
        <w:t>S</w:t>
      </w:r>
      <w:r w:rsidR="005D1FF8">
        <w:t xml:space="preserve">trollers and </w:t>
      </w:r>
      <w:r w:rsidR="00D67400">
        <w:t>chairs for disabled children</w:t>
      </w:r>
      <w:r>
        <w:t xml:space="preserve"> </w:t>
      </w:r>
      <w:r w:rsidR="005D1FF8">
        <w:t>are purpose</w:t>
      </w:r>
      <w:r w:rsidR="00AE390A">
        <w:t>-</w:t>
      </w:r>
      <w:r w:rsidR="005D1FF8">
        <w:t xml:space="preserve">built devices </w:t>
      </w:r>
      <w:r w:rsidR="00D67400">
        <w:t>that the Therapeutic Goods Administration (TGA)</w:t>
      </w:r>
      <w:r w:rsidR="005D1FF8">
        <w:t xml:space="preserve"> </w:t>
      </w:r>
      <w:r w:rsidR="00D67400">
        <w:t xml:space="preserve">recognises </w:t>
      </w:r>
      <w:r w:rsidR="005D1FF8">
        <w:t xml:space="preserve">and </w:t>
      </w:r>
      <w:r w:rsidR="00D67400">
        <w:t>regulates as medical devices</w:t>
      </w:r>
      <w:r w:rsidR="005D1FF8">
        <w:t>.</w:t>
      </w:r>
      <w:r>
        <w:t xml:space="preserve"> </w:t>
      </w:r>
      <w:r w:rsidR="00D67400">
        <w:t xml:space="preserve">Governments did not intend the mandatory safety standard to capture these products. The mandatory safety standard requirements may be inappropriate for these products, and the medical devices regulatory framework suits strollers and chairs for disabled children better. </w:t>
      </w:r>
    </w:p>
    <w:p w:rsidR="005D1FF8" w:rsidRDefault="00D67400" w:rsidP="008C7628">
      <w:pPr>
        <w:spacing w:line="220" w:lineRule="atLeast"/>
      </w:pPr>
      <w:r>
        <w:t xml:space="preserve">However, some stakeholders have </w:t>
      </w:r>
      <w:r w:rsidR="002507D1">
        <w:t xml:space="preserve">expressed confusion and </w:t>
      </w:r>
      <w:r>
        <w:t>asked for clarity</w:t>
      </w:r>
      <w:r w:rsidR="002507D1">
        <w:t>. We therefore propose to</w:t>
      </w:r>
      <w:r w:rsidR="002E0ABE">
        <w:t xml:space="preserve"> </w:t>
      </w:r>
      <w:r w:rsidR="002507D1">
        <w:t xml:space="preserve">explicitly </w:t>
      </w:r>
      <w:r w:rsidR="005D1FF8">
        <w:t xml:space="preserve">exempt these products from the </w:t>
      </w:r>
      <w:r w:rsidR="002507D1">
        <w:t xml:space="preserve">mandatory </w:t>
      </w:r>
      <w:r w:rsidR="002E0ABE">
        <w:t xml:space="preserve">safety </w:t>
      </w:r>
      <w:r w:rsidR="005D1FF8">
        <w:t>standard.</w:t>
      </w:r>
    </w:p>
    <w:p w:rsidR="000F17EF" w:rsidRPr="00DB6C88" w:rsidRDefault="000F17EF" w:rsidP="000F17EF">
      <w:pPr>
        <w:spacing w:before="0" w:line="220" w:lineRule="atLeast"/>
      </w:pPr>
    </w:p>
    <w:tbl>
      <w:tblPr>
        <w:tblStyle w:val="TableGrid"/>
        <w:tblW w:w="0" w:type="auto"/>
        <w:jc w:val="center"/>
        <w:tblBorders>
          <w:top w:val="none" w:sz="0" w:space="0" w:color="auto"/>
          <w:bottom w:val="none" w:sz="0" w:space="0" w:color="auto"/>
        </w:tblBorders>
        <w:tblLook w:val="04A0" w:firstRow="1" w:lastRow="0" w:firstColumn="1" w:lastColumn="0" w:noHBand="0" w:noVBand="1"/>
      </w:tblPr>
      <w:tblGrid>
        <w:gridCol w:w="9242"/>
      </w:tblGrid>
      <w:tr w:rsidR="005D1FF8" w:rsidRPr="0079326A" w:rsidTr="007259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42"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rsidR="005D1FF8" w:rsidRPr="007528B4" w:rsidRDefault="005D1FF8" w:rsidP="0089085B">
            <w:pPr>
              <w:rPr>
                <w:b w:val="0"/>
                <w:sz w:val="22"/>
              </w:rPr>
            </w:pPr>
            <w:r w:rsidRPr="007528B4">
              <w:rPr>
                <w:sz w:val="22"/>
              </w:rPr>
              <w:t xml:space="preserve">Emerging </w:t>
            </w:r>
            <w:r w:rsidR="00962E34">
              <w:rPr>
                <w:sz w:val="22"/>
              </w:rPr>
              <w:t>issues</w:t>
            </w:r>
            <w:r w:rsidRPr="007528B4">
              <w:rPr>
                <w:sz w:val="22"/>
              </w:rPr>
              <w:t xml:space="preserve"> – questions</w:t>
            </w:r>
          </w:p>
          <w:p w:rsidR="000F17EF" w:rsidRPr="009C42F9" w:rsidRDefault="000F17EF" w:rsidP="006206FC">
            <w:pPr>
              <w:pStyle w:val="ListParagraph"/>
              <w:numPr>
                <w:ilvl w:val="0"/>
                <w:numId w:val="36"/>
              </w:numPr>
              <w:ind w:left="340" w:hanging="340"/>
            </w:pPr>
            <w:r w:rsidRPr="009C42F9">
              <w:t xml:space="preserve">Should we address finger entrapment hazards </w:t>
            </w:r>
            <w:r w:rsidR="008A4648">
              <w:t>in</w:t>
            </w:r>
            <w:r w:rsidRPr="009C42F9">
              <w:t xml:space="preserve"> folding prams and strollers? Why/why not?</w:t>
            </w:r>
          </w:p>
          <w:p w:rsidR="000F17EF" w:rsidRPr="009C42F9" w:rsidRDefault="000F17EF" w:rsidP="006206FC">
            <w:pPr>
              <w:pStyle w:val="ListParagraph"/>
              <w:numPr>
                <w:ilvl w:val="0"/>
                <w:numId w:val="36"/>
              </w:numPr>
              <w:ind w:left="340" w:hanging="340"/>
            </w:pPr>
            <w:r w:rsidRPr="009C42F9">
              <w:t>Should we address the stability and security of pram and stroller attachments? Why/why not?</w:t>
            </w:r>
          </w:p>
          <w:p w:rsidR="000F17EF" w:rsidRPr="009C42F9" w:rsidRDefault="000F17EF" w:rsidP="006206FC">
            <w:pPr>
              <w:pStyle w:val="ListParagraph"/>
              <w:numPr>
                <w:ilvl w:val="0"/>
                <w:numId w:val="36"/>
              </w:numPr>
              <w:ind w:left="340" w:hanging="340"/>
            </w:pPr>
            <w:r w:rsidRPr="009C42F9">
              <w:t>Should we adopt the definitions for ‘securely attached’ and ‘permanently affixed’ harnesses from the updated voluntary Australian standard? Why/why not?</w:t>
            </w:r>
          </w:p>
          <w:p w:rsidR="000F17EF" w:rsidRPr="009C42F9" w:rsidRDefault="000F17EF" w:rsidP="006206FC">
            <w:pPr>
              <w:pStyle w:val="ListParagraph"/>
              <w:numPr>
                <w:ilvl w:val="0"/>
                <w:numId w:val="36"/>
              </w:numPr>
              <w:ind w:left="340" w:hanging="340"/>
              <w:rPr>
                <w:b w:val="0"/>
              </w:rPr>
            </w:pPr>
            <w:r w:rsidRPr="009C42F9">
              <w:t>Should we exempt strollers and chairs for disabled children from the mandatory safety standard? Why/why not?</w:t>
            </w:r>
          </w:p>
          <w:p w:rsidR="000F17EF" w:rsidRPr="009C42F9" w:rsidRDefault="00CA47CB" w:rsidP="006206FC">
            <w:pPr>
              <w:pStyle w:val="ListParagraph"/>
              <w:numPr>
                <w:ilvl w:val="0"/>
                <w:numId w:val="36"/>
              </w:numPr>
              <w:ind w:left="340" w:hanging="340"/>
              <w:rPr>
                <w:b w:val="0"/>
              </w:rPr>
            </w:pPr>
            <w:r w:rsidRPr="009C42F9">
              <w:t xml:space="preserve">Should </w:t>
            </w:r>
            <w:r w:rsidR="000F17EF" w:rsidRPr="009C42F9">
              <w:t>we exempt prams and strollers with automatic brakes that conform to the updated voluntary Australian standard from the requirement for a tether strap? Why/why not?</w:t>
            </w:r>
          </w:p>
          <w:p w:rsidR="005D1FF8" w:rsidRPr="009C42F9" w:rsidRDefault="000F17EF" w:rsidP="00CA13A4">
            <w:pPr>
              <w:pStyle w:val="ListParagraph"/>
              <w:numPr>
                <w:ilvl w:val="0"/>
                <w:numId w:val="36"/>
              </w:numPr>
              <w:ind w:hanging="720"/>
              <w:rPr>
                <w:b w:val="0"/>
              </w:rPr>
            </w:pPr>
            <w:r w:rsidRPr="009C42F9">
              <w:t xml:space="preserve">Should we address </w:t>
            </w:r>
            <w:r w:rsidR="005D1FF8" w:rsidRPr="009C42F9">
              <w:t xml:space="preserve">any other emerging </w:t>
            </w:r>
            <w:r w:rsidR="00962E34" w:rsidRPr="009C42F9">
              <w:t>issues</w:t>
            </w:r>
            <w:r w:rsidR="00CA47CB" w:rsidRPr="009C42F9">
              <w:t>?</w:t>
            </w:r>
            <w:r w:rsidR="005D1FF8" w:rsidRPr="009C42F9">
              <w:t xml:space="preserve"> </w:t>
            </w:r>
            <w:r w:rsidRPr="009C42F9">
              <w:t>If so, p</w:t>
            </w:r>
            <w:r w:rsidR="005D1FF8" w:rsidRPr="009C42F9">
              <w:t xml:space="preserve">lease </w:t>
            </w:r>
            <w:r w:rsidRPr="009C42F9">
              <w:t>explain why</w:t>
            </w:r>
            <w:r w:rsidR="005D1FF8" w:rsidRPr="009C42F9">
              <w:t>.</w:t>
            </w:r>
          </w:p>
        </w:tc>
      </w:tr>
    </w:tbl>
    <w:p w:rsidR="00BF0877" w:rsidRDefault="00FF41E6" w:rsidP="007175F3">
      <w:pPr>
        <w:pStyle w:val="Numbered1"/>
        <w:ind w:left="357" w:hanging="357"/>
      </w:pPr>
      <w:bookmarkStart w:id="77" w:name="_Toc464833824"/>
      <w:bookmarkStart w:id="78" w:name="_Toc464833856"/>
      <w:bookmarkStart w:id="79" w:name="_Toc464833825"/>
      <w:bookmarkStart w:id="80" w:name="_Toc464833857"/>
      <w:bookmarkStart w:id="81" w:name="_Toc455066801"/>
      <w:bookmarkStart w:id="82" w:name="_Toc455066836"/>
      <w:bookmarkStart w:id="83" w:name="_Toc455499192"/>
      <w:bookmarkStart w:id="84" w:name="_Toc455756327"/>
      <w:bookmarkStart w:id="85" w:name="_Toc456098882"/>
      <w:bookmarkStart w:id="86" w:name="_Toc456623858"/>
      <w:bookmarkStart w:id="87" w:name="_Toc457222705"/>
      <w:bookmarkStart w:id="88" w:name="_Toc471460724"/>
      <w:bookmarkStart w:id="89" w:name="_Toc471461266"/>
      <w:bookmarkEnd w:id="77"/>
      <w:bookmarkEnd w:id="78"/>
      <w:bookmarkEnd w:id="79"/>
      <w:bookmarkEnd w:id="80"/>
      <w:r>
        <w:t>Adopting i</w:t>
      </w:r>
      <w:r w:rsidR="005F2EB6" w:rsidRPr="00844B87">
        <w:t>nternational standards</w:t>
      </w:r>
      <w:bookmarkEnd w:id="81"/>
      <w:bookmarkEnd w:id="82"/>
      <w:bookmarkEnd w:id="83"/>
      <w:bookmarkEnd w:id="84"/>
      <w:bookmarkEnd w:id="85"/>
      <w:bookmarkEnd w:id="86"/>
      <w:bookmarkEnd w:id="87"/>
      <w:bookmarkEnd w:id="88"/>
      <w:bookmarkEnd w:id="89"/>
    </w:p>
    <w:p w:rsidR="005F2EB6" w:rsidRPr="00DB6C88" w:rsidRDefault="005F2EB6" w:rsidP="005F2EB6">
      <w:r w:rsidRPr="00DB6C88">
        <w:t>The ACCC uses the following criteria when assessing whether international standards are appropriate for use in product safety standards in Australia:</w:t>
      </w:r>
      <w:r w:rsidRPr="00DB6C88">
        <w:rPr>
          <w:vertAlign w:val="superscript"/>
        </w:rPr>
        <w:footnoteReference w:id="3"/>
      </w:r>
      <w:r w:rsidRPr="00DB6C88">
        <w:t xml:space="preserve"> </w:t>
      </w:r>
    </w:p>
    <w:p w:rsidR="005F2EB6" w:rsidRPr="00DB6C88" w:rsidRDefault="005F2EB6" w:rsidP="005F2EB6">
      <w:pPr>
        <w:pStyle w:val="Bulletpoint"/>
      </w:pPr>
      <w:r w:rsidRPr="00DB6C88">
        <w:t>Addressing safety concerns: Is there evidence that the international standard provides an acceptable level of consumer safety?</w:t>
      </w:r>
    </w:p>
    <w:p w:rsidR="005F2EB6" w:rsidRDefault="005F2EB6" w:rsidP="005F2EB6">
      <w:pPr>
        <w:pStyle w:val="Bulletpoint"/>
      </w:pPr>
      <w:r w:rsidRPr="00EE5651">
        <w:t xml:space="preserve">Comparable jurisdiction to Australia: </w:t>
      </w:r>
      <w:r w:rsidRPr="00DB6C88">
        <w:t>Is the international standard published or developed by a legitimate standards body or government agency from an economy or nation with comparable economic and regulatory processes to Australia?</w:t>
      </w:r>
    </w:p>
    <w:p w:rsidR="009F3E1E" w:rsidRDefault="005F2EB6" w:rsidP="00E82892">
      <w:pPr>
        <w:pStyle w:val="Bulletpoint"/>
      </w:pPr>
      <w:r w:rsidRPr="00EE5651">
        <w:lastRenderedPageBreak/>
        <w:t>Applicability to the Australian context:</w:t>
      </w:r>
      <w:r w:rsidRPr="009256BA">
        <w:rPr>
          <w:bCs/>
        </w:rPr>
        <w:t xml:space="preserve"> </w:t>
      </w:r>
      <w:r w:rsidRPr="00DB6C88">
        <w:t>Is the international standard applicable and sufficient in the Australian context?</w:t>
      </w:r>
    </w:p>
    <w:p w:rsidR="00B7303D" w:rsidRDefault="00B7303D" w:rsidP="00B7303D">
      <w:pPr>
        <w:pStyle w:val="Bulletpoint"/>
        <w:numPr>
          <w:ilvl w:val="0"/>
          <w:numId w:val="0"/>
        </w:numPr>
      </w:pPr>
      <w:r>
        <w:t>We have assessed the following standards for prams and strollers:</w:t>
      </w:r>
    </w:p>
    <w:p w:rsidR="00B7303D" w:rsidRDefault="007E3437" w:rsidP="009C42F9">
      <w:pPr>
        <w:pStyle w:val="Bulletpoint"/>
        <w:numPr>
          <w:ilvl w:val="0"/>
          <w:numId w:val="33"/>
        </w:numPr>
      </w:pPr>
      <w:r w:rsidRPr="00571DFE">
        <w:rPr>
          <w:u w:val="single"/>
        </w:rPr>
        <w:t>ASTM standard</w:t>
      </w:r>
      <w:r>
        <w:t>:</w:t>
      </w:r>
      <w:r w:rsidR="00B7303D">
        <w:t xml:space="preserve"> </w:t>
      </w:r>
      <w:r w:rsidRPr="00571DFE">
        <w:rPr>
          <w:i/>
        </w:rPr>
        <w:t>ASTM F833-15 Standard consumer safety performance specification for carriages and strollers</w:t>
      </w:r>
      <w:r w:rsidRPr="007E3437">
        <w:t xml:space="preserve"> </w:t>
      </w:r>
      <w:r w:rsidR="00B7303D">
        <w:t>mandated in the US Code of Federal Regulations Part 1227</w:t>
      </w:r>
    </w:p>
    <w:p w:rsidR="00B7303D" w:rsidRDefault="007E3437" w:rsidP="009C42F9">
      <w:pPr>
        <w:pStyle w:val="Bulletpoint"/>
        <w:numPr>
          <w:ilvl w:val="0"/>
          <w:numId w:val="33"/>
        </w:numPr>
        <w:tabs>
          <w:tab w:val="clear" w:pos="340"/>
        </w:tabs>
        <w:spacing w:after="120"/>
      </w:pPr>
      <w:r w:rsidRPr="00571DFE">
        <w:rPr>
          <w:u w:val="single"/>
        </w:rPr>
        <w:t>European standard</w:t>
      </w:r>
      <w:r>
        <w:t xml:space="preserve">: </w:t>
      </w:r>
      <w:r w:rsidRPr="00571DFE">
        <w:rPr>
          <w:i/>
        </w:rPr>
        <w:t>EN 1888:2012 Child care articles - Wheeled child conveyances - Safety requirements and test methods</w:t>
      </w:r>
      <w:r w:rsidR="00B7303D">
        <w:t>.</w:t>
      </w:r>
    </w:p>
    <w:p w:rsidR="001F0F86" w:rsidRPr="0002006B" w:rsidRDefault="001F0F86" w:rsidP="0002006B">
      <w:pPr>
        <w:pStyle w:val="Numbered11"/>
        <w:tabs>
          <w:tab w:val="clear" w:pos="1021"/>
        </w:tabs>
        <w:spacing w:line="240" w:lineRule="auto"/>
        <w:ind w:left="1021" w:hanging="1021"/>
        <w:rPr>
          <w:lang w:val="en-GB"/>
        </w:rPr>
      </w:pPr>
      <w:bookmarkStart w:id="90" w:name="_Toc471461267"/>
      <w:r w:rsidRPr="0002006B">
        <w:rPr>
          <w:lang w:val="en-GB"/>
        </w:rPr>
        <w:t>Summary</w:t>
      </w:r>
      <w:bookmarkEnd w:id="90"/>
    </w:p>
    <w:p w:rsidR="00EF5989" w:rsidRDefault="007424B6" w:rsidP="00EF5989">
      <w:r>
        <w:t>T</w:t>
      </w:r>
      <w:r w:rsidR="00270BFB">
        <w:t>hese t</w:t>
      </w:r>
      <w:r>
        <w:t>wo</w:t>
      </w:r>
      <w:r w:rsidR="001F0F86">
        <w:t xml:space="preserve"> international standards </w:t>
      </w:r>
      <w:r w:rsidR="00E82892">
        <w:t xml:space="preserve">address similar </w:t>
      </w:r>
      <w:r w:rsidR="00025387">
        <w:t xml:space="preserve">hazards </w:t>
      </w:r>
      <w:r w:rsidR="005A26B1">
        <w:t xml:space="preserve">in prams and strollers </w:t>
      </w:r>
      <w:r w:rsidR="001F0F86">
        <w:t xml:space="preserve">as the </w:t>
      </w:r>
      <w:r w:rsidR="000634E1">
        <w:t xml:space="preserve">Australian </w:t>
      </w:r>
      <w:r w:rsidR="001F0F86">
        <w:t>standard.</w:t>
      </w:r>
      <w:r w:rsidR="00E82892">
        <w:t xml:space="preserve"> </w:t>
      </w:r>
      <w:r w:rsidR="00DF55E8">
        <w:t>The three standards treat the design and performance of k</w:t>
      </w:r>
      <w:r w:rsidR="00A56B2F">
        <w:t>ey safety features such as harness</w:t>
      </w:r>
      <w:r w:rsidR="00DF55E8">
        <w:t>es</w:t>
      </w:r>
      <w:r w:rsidR="00A56B2F">
        <w:t xml:space="preserve"> and parking brakes similarly. </w:t>
      </w:r>
      <w:r w:rsidR="00DF55E8">
        <w:t>P</w:t>
      </w:r>
      <w:r w:rsidR="00A56B2F">
        <w:t>otential entrapment hazards, stroller stability</w:t>
      </w:r>
      <w:r w:rsidR="00DF55E8">
        <w:t>,</w:t>
      </w:r>
      <w:r w:rsidR="00A56B2F">
        <w:t xml:space="preserve"> and locking and latching mechanisms for folding actions also have common requirements across the three standards. </w:t>
      </w:r>
      <w:r w:rsidR="00EF5989">
        <w:t>Appendix C compares the standards in more detail.</w:t>
      </w:r>
    </w:p>
    <w:p w:rsidR="00A21B24" w:rsidRDefault="00A56B2F" w:rsidP="001F0F86">
      <w:r>
        <w:t xml:space="preserve">Marking and warning requirements are </w:t>
      </w:r>
      <w:r w:rsidR="00DF55E8">
        <w:t>different for</w:t>
      </w:r>
      <w:r>
        <w:t xml:space="preserve"> each of the three standards but have the same focus </w:t>
      </w:r>
      <w:r w:rsidR="00DF55E8">
        <w:t>on</w:t>
      </w:r>
      <w:r>
        <w:t xml:space="preserve"> </w:t>
      </w:r>
      <w:r w:rsidR="00DF55E8">
        <w:t xml:space="preserve">informing users about </w:t>
      </w:r>
      <w:r>
        <w:t>safe use of the product.</w:t>
      </w:r>
      <w:r w:rsidR="00DF55E8" w:rsidRPr="00DF55E8">
        <w:t xml:space="preserve"> </w:t>
      </w:r>
    </w:p>
    <w:p w:rsidR="00A56B2F" w:rsidRDefault="00A21B24" w:rsidP="001F0F86">
      <w:r>
        <w:t>T</w:t>
      </w:r>
      <w:r w:rsidR="00DF55E8">
        <w:t xml:space="preserve">he Australian standard </w:t>
      </w:r>
      <w:r>
        <w:t xml:space="preserve">is the only one of the three standards that includes in its general </w:t>
      </w:r>
      <w:r w:rsidR="00026867">
        <w:t xml:space="preserve">design </w:t>
      </w:r>
      <w:r>
        <w:t>requirements for a restraint system,</w:t>
      </w:r>
      <w:r w:rsidR="000A39D9">
        <w:t xml:space="preserve"> specific</w:t>
      </w:r>
      <w:r>
        <w:t xml:space="preserve"> wording</w:t>
      </w:r>
      <w:r w:rsidR="00DF55E8">
        <w:t xml:space="preserve"> for harness ‘permanency’</w:t>
      </w:r>
      <w:r w:rsidR="00026867">
        <w:t>. The ASTM and the EN standards require</w:t>
      </w:r>
      <w:r>
        <w:t xml:space="preserve"> harnesses and restraints to effectively protect the occupant and so </w:t>
      </w:r>
      <w:r w:rsidR="00026867">
        <w:t xml:space="preserve">are considered to </w:t>
      </w:r>
      <w:r>
        <w:t>address</w:t>
      </w:r>
      <w:r w:rsidR="008B7504">
        <w:t xml:space="preserve"> this </w:t>
      </w:r>
      <w:r w:rsidR="000A39D9">
        <w:t xml:space="preserve">critical safety </w:t>
      </w:r>
      <w:r w:rsidR="008B7504">
        <w:t>issue appropriately</w:t>
      </w:r>
      <w:r w:rsidR="00DF55E8">
        <w:t>.</w:t>
      </w:r>
      <w:r>
        <w:t xml:space="preserve"> </w:t>
      </w:r>
    </w:p>
    <w:p w:rsidR="0067288C" w:rsidRDefault="00A56B2F" w:rsidP="001F0F86">
      <w:r>
        <w:t xml:space="preserve">In some cases </w:t>
      </w:r>
      <w:r w:rsidR="00270BFB">
        <w:t>the standards address</w:t>
      </w:r>
      <w:r w:rsidR="00E82892">
        <w:t xml:space="preserve"> </w:t>
      </w:r>
      <w:r w:rsidR="00270BFB">
        <w:t>hazards</w:t>
      </w:r>
      <w:r w:rsidR="00E82892">
        <w:t xml:space="preserve"> </w:t>
      </w:r>
      <w:r w:rsidR="00270BFB">
        <w:t>slightly differently</w:t>
      </w:r>
      <w:r w:rsidR="003812D0">
        <w:t xml:space="preserve"> </w:t>
      </w:r>
      <w:r>
        <w:t>(</w:t>
      </w:r>
      <w:r w:rsidR="00DF55E8">
        <w:t>different</w:t>
      </w:r>
      <w:r>
        <w:t xml:space="preserve"> </w:t>
      </w:r>
      <w:r w:rsidR="008C7628">
        <w:t>definitions</w:t>
      </w:r>
      <w:r>
        <w:t xml:space="preserve"> or test procedures) </w:t>
      </w:r>
      <w:r w:rsidR="00270BFB">
        <w:t>but</w:t>
      </w:r>
      <w:r w:rsidR="00AE390A">
        <w:t>,</w:t>
      </w:r>
      <w:r w:rsidR="00270BFB">
        <w:t xml:space="preserve"> in general,</w:t>
      </w:r>
      <w:r w:rsidR="00E82892">
        <w:t xml:space="preserve"> </w:t>
      </w:r>
      <w:r>
        <w:t xml:space="preserve">these </w:t>
      </w:r>
      <w:r w:rsidR="00222ACD">
        <w:t>difference</w:t>
      </w:r>
      <w:r w:rsidR="00270BFB">
        <w:t>s</w:t>
      </w:r>
      <w:r w:rsidR="001F0F86">
        <w:t xml:space="preserve"> </w:t>
      </w:r>
      <w:r w:rsidR="00270BFB">
        <w:t xml:space="preserve">are </w:t>
      </w:r>
      <w:r w:rsidR="001F0F86">
        <w:t xml:space="preserve">marginal and do not </w:t>
      </w:r>
      <w:r w:rsidR="00C5718F">
        <w:t>affect the</w:t>
      </w:r>
      <w:r w:rsidR="005A26B1">
        <w:t xml:space="preserve"> overall</w:t>
      </w:r>
      <w:r w:rsidR="00C5718F">
        <w:t xml:space="preserve"> level of safety</w:t>
      </w:r>
      <w:r w:rsidR="001F0F86">
        <w:t>.</w:t>
      </w:r>
      <w:r w:rsidR="00C4269F">
        <w:t xml:space="preserve"> </w:t>
      </w:r>
    </w:p>
    <w:p w:rsidR="00EF5989" w:rsidRPr="00B434A0" w:rsidRDefault="00EF5989" w:rsidP="00EF5989">
      <w:r>
        <w:t>We propose that p</w:t>
      </w:r>
      <w:r w:rsidRPr="00EF5989">
        <w:t xml:space="preserve">rams and strollers that meet the ASTM or European standards are safe for Australia provided they have red brakes and tether straps. </w:t>
      </w:r>
      <w:r w:rsidR="000A0076">
        <w:t>T</w:t>
      </w:r>
      <w:r w:rsidR="00A43FEA">
        <w:t xml:space="preserve">hese </w:t>
      </w:r>
      <w:r w:rsidR="00D16DCD">
        <w:t xml:space="preserve">safety features </w:t>
      </w:r>
      <w:r w:rsidR="00BD144A">
        <w:t xml:space="preserve">became mandatory in Australia </w:t>
      </w:r>
      <w:r w:rsidR="00D16DCD">
        <w:t>after several high profile roll-away incidents including three child deaths.</w:t>
      </w:r>
      <w:r w:rsidR="000A0076">
        <w:t xml:space="preserve"> </w:t>
      </w:r>
      <w:r w:rsidR="00D16DCD">
        <w:t>Red brakes and tether straps</w:t>
      </w:r>
      <w:r w:rsidR="00A43FEA">
        <w:t xml:space="preserve"> </w:t>
      </w:r>
      <w:r w:rsidR="00BD144A">
        <w:t>are</w:t>
      </w:r>
      <w:r w:rsidR="00A43FEA">
        <w:t xml:space="preserve"> a</w:t>
      </w:r>
      <w:r w:rsidR="00D16DCD">
        <w:t>n accepted</w:t>
      </w:r>
      <w:r w:rsidR="00A43FEA">
        <w:t xml:space="preserve"> part of the Australian safety regime for </w:t>
      </w:r>
      <w:r w:rsidR="00D16DCD">
        <w:t>prams and strollers</w:t>
      </w:r>
      <w:r w:rsidR="00A43FEA">
        <w:t xml:space="preserve">. No incidents have occurred since </w:t>
      </w:r>
      <w:r w:rsidR="00D16DCD">
        <w:t>these safety features were mandated</w:t>
      </w:r>
      <w:r w:rsidR="00A43FEA">
        <w:t xml:space="preserve">. </w:t>
      </w:r>
      <w:r w:rsidR="00BD144A">
        <w:t xml:space="preserve">The </w:t>
      </w:r>
      <w:r w:rsidR="00A43FEA">
        <w:t xml:space="preserve">ACCC </w:t>
      </w:r>
      <w:r w:rsidR="00BD144A">
        <w:t xml:space="preserve">proposes to maintain </w:t>
      </w:r>
      <w:r w:rsidR="00A43FEA">
        <w:t xml:space="preserve">these </w:t>
      </w:r>
      <w:r w:rsidR="00BD144A">
        <w:t>safety features</w:t>
      </w:r>
      <w:r w:rsidRPr="00EF5989">
        <w:t>. The ASTM and European standards do not have these requirements. The cost to provide these features is minimal and this ensures the current level of safety to Australian consumers.</w:t>
      </w:r>
    </w:p>
    <w:p w:rsidR="001F0F86" w:rsidRPr="0002006B" w:rsidRDefault="001F0F86" w:rsidP="0002006B">
      <w:pPr>
        <w:pStyle w:val="Numbered11"/>
        <w:tabs>
          <w:tab w:val="clear" w:pos="1021"/>
        </w:tabs>
        <w:spacing w:line="240" w:lineRule="auto"/>
        <w:ind w:left="1021" w:hanging="1021"/>
        <w:rPr>
          <w:lang w:val="en-GB"/>
        </w:rPr>
      </w:pPr>
      <w:bookmarkStart w:id="91" w:name="_Toc471461268"/>
      <w:r w:rsidRPr="0002006B">
        <w:rPr>
          <w:lang w:val="en-GB"/>
        </w:rPr>
        <w:t>ASTM standard</w:t>
      </w:r>
      <w:bookmarkEnd w:id="91"/>
    </w:p>
    <w:p w:rsidR="005D1810" w:rsidRDefault="005D1810" w:rsidP="005D1810">
      <w:r w:rsidRPr="00DB6C88">
        <w:t xml:space="preserve">ASTM International, formerly known as the American Society for Testing and Materials (ASTM), is </w:t>
      </w:r>
      <w:r>
        <w:t>a</w:t>
      </w:r>
      <w:r w:rsidRPr="00DB6C88">
        <w:t xml:space="preserve"> </w:t>
      </w:r>
      <w:r>
        <w:t>reputable US organisation that produces</w:t>
      </w:r>
      <w:r w:rsidRPr="00DB6C88">
        <w:t xml:space="preserve"> standards</w:t>
      </w:r>
      <w:r w:rsidR="00060E9A">
        <w:t xml:space="preserve"> used internationally</w:t>
      </w:r>
      <w:r w:rsidRPr="00DB6C88">
        <w:t>.</w:t>
      </w:r>
      <w:r>
        <w:t xml:space="preserve"> The </w:t>
      </w:r>
      <w:r w:rsidRPr="004F4EE4">
        <w:t xml:space="preserve">US Consumer Product Safety Commission (CPSC) </w:t>
      </w:r>
      <w:r>
        <w:t>administers US product safety regulations and has a similar role to the ACCC Consumer Product Safety function. US economic and regulatory processes are comparable to those in Australia.</w:t>
      </w:r>
    </w:p>
    <w:p w:rsidR="003D5D2F" w:rsidRDefault="00C65AAE" w:rsidP="001F0F86">
      <w:r>
        <w:t>T</w:t>
      </w:r>
      <w:r w:rsidR="001F0F86" w:rsidRPr="004F4EE4">
        <w:t xml:space="preserve">he </w:t>
      </w:r>
      <w:r w:rsidR="005D1810">
        <w:t>CPSC</w:t>
      </w:r>
      <w:r w:rsidR="005D1810" w:rsidRPr="004F4EE4">
        <w:t xml:space="preserve"> </w:t>
      </w:r>
      <w:r w:rsidR="004D0DF5">
        <w:t xml:space="preserve">last </w:t>
      </w:r>
      <w:r w:rsidR="00060E9A">
        <w:t>revised</w:t>
      </w:r>
      <w:r w:rsidR="00060E9A" w:rsidRPr="004F4EE4">
        <w:t xml:space="preserve"> </w:t>
      </w:r>
      <w:r w:rsidR="008C7628">
        <w:t xml:space="preserve">its </w:t>
      </w:r>
      <w:r w:rsidR="001F0F86" w:rsidRPr="004F4EE4">
        <w:t xml:space="preserve">mandatory standard for strollers and carriages </w:t>
      </w:r>
      <w:r>
        <w:t xml:space="preserve">in </w:t>
      </w:r>
      <w:r w:rsidR="004D0DF5">
        <w:t>2016</w:t>
      </w:r>
      <w:r>
        <w:t xml:space="preserve"> </w:t>
      </w:r>
      <w:r w:rsidR="001F0F86" w:rsidRPr="004F4EE4">
        <w:t>based on</w:t>
      </w:r>
      <w:r w:rsidR="001F0F86">
        <w:t xml:space="preserve"> </w:t>
      </w:r>
      <w:r w:rsidR="004D0DF5">
        <w:t>the 2015</w:t>
      </w:r>
      <w:r w:rsidR="005D1810">
        <w:t xml:space="preserve"> version of the </w:t>
      </w:r>
      <w:r w:rsidR="001F0F86" w:rsidRPr="004F4EE4">
        <w:t>ASTM Standard F833</w:t>
      </w:r>
      <w:r w:rsidR="002407B2">
        <w:t>.</w:t>
      </w:r>
      <w:r w:rsidR="001F0F86" w:rsidRPr="004F4EE4">
        <w:t xml:space="preserve"> </w:t>
      </w:r>
      <w:r w:rsidR="009A267E">
        <w:t>Specific i</w:t>
      </w:r>
      <w:r w:rsidR="005D1810">
        <w:t xml:space="preserve">njuries </w:t>
      </w:r>
      <w:r w:rsidR="008C7628">
        <w:t xml:space="preserve">that </w:t>
      </w:r>
      <w:r w:rsidR="005D1810">
        <w:t xml:space="preserve">triggered the </w:t>
      </w:r>
      <w:r>
        <w:t xml:space="preserve">update </w:t>
      </w:r>
      <w:r w:rsidR="009A267E">
        <w:t>were</w:t>
      </w:r>
      <w:r w:rsidR="001F0F86">
        <w:t xml:space="preserve"> hazards </w:t>
      </w:r>
      <w:r>
        <w:t xml:space="preserve">associated with </w:t>
      </w:r>
      <w:r w:rsidR="00726AA6">
        <w:t>stability, brakes, restraint systems, latches and folding mechanisms, structural integrity, wheel detachment and entrapment</w:t>
      </w:r>
      <w:r w:rsidR="001F0F86">
        <w:t>.</w:t>
      </w:r>
    </w:p>
    <w:p w:rsidR="00B434A0" w:rsidRPr="00C201ED" w:rsidRDefault="001F0F86" w:rsidP="00C201ED">
      <w:pPr>
        <w:rPr>
          <w:bCs/>
          <w:iCs/>
          <w:lang w:val="en"/>
        </w:rPr>
      </w:pPr>
      <w:r w:rsidRPr="00C201ED">
        <w:rPr>
          <w:bCs/>
          <w:iCs/>
          <w:lang w:val="en"/>
        </w:rPr>
        <w:t xml:space="preserve">The ASTM standard </w:t>
      </w:r>
      <w:r w:rsidR="00875C40" w:rsidRPr="00C201ED">
        <w:rPr>
          <w:bCs/>
          <w:iCs/>
          <w:lang w:val="en"/>
        </w:rPr>
        <w:t xml:space="preserve">addresses the same </w:t>
      </w:r>
      <w:r w:rsidR="009A267E" w:rsidRPr="00C201ED">
        <w:rPr>
          <w:bCs/>
          <w:iCs/>
          <w:lang w:val="en"/>
        </w:rPr>
        <w:t xml:space="preserve">key </w:t>
      </w:r>
      <w:r w:rsidR="00875C40" w:rsidRPr="00C201ED">
        <w:rPr>
          <w:bCs/>
          <w:iCs/>
          <w:lang w:val="en"/>
        </w:rPr>
        <w:t xml:space="preserve">hazards as </w:t>
      </w:r>
      <w:r w:rsidRPr="00C201ED">
        <w:rPr>
          <w:bCs/>
          <w:iCs/>
          <w:lang w:val="en"/>
        </w:rPr>
        <w:t xml:space="preserve">the </w:t>
      </w:r>
      <w:r w:rsidR="00B434A0" w:rsidRPr="00C201ED">
        <w:rPr>
          <w:bCs/>
          <w:iCs/>
          <w:lang w:val="en"/>
        </w:rPr>
        <w:t>updated</w:t>
      </w:r>
      <w:r w:rsidRPr="00C201ED">
        <w:rPr>
          <w:bCs/>
          <w:iCs/>
          <w:lang w:val="en"/>
        </w:rPr>
        <w:t xml:space="preserve"> Australian voluntary standard</w:t>
      </w:r>
      <w:r w:rsidR="00E37C96" w:rsidRPr="00C201ED">
        <w:rPr>
          <w:bCs/>
          <w:iCs/>
          <w:lang w:val="en"/>
        </w:rPr>
        <w:t>:</w:t>
      </w:r>
      <w:r w:rsidR="009A267E" w:rsidRPr="00C201ED">
        <w:rPr>
          <w:bCs/>
          <w:iCs/>
          <w:lang w:val="en"/>
        </w:rPr>
        <w:t xml:space="preserve"> </w:t>
      </w:r>
    </w:p>
    <w:p w:rsidR="00B434A0" w:rsidRDefault="009A267E" w:rsidP="009C42F9">
      <w:pPr>
        <w:numPr>
          <w:ilvl w:val="0"/>
          <w:numId w:val="30"/>
        </w:numPr>
        <w:spacing w:before="120" w:after="120"/>
      </w:pPr>
      <w:r>
        <w:lastRenderedPageBreak/>
        <w:t xml:space="preserve">latching mechanisms to prevent </w:t>
      </w:r>
      <w:r w:rsidR="00B434A0">
        <w:t xml:space="preserve">injury from scissoring, shearing or pinching from </w:t>
      </w:r>
      <w:r>
        <w:t xml:space="preserve">unintentional folding of the </w:t>
      </w:r>
      <w:r w:rsidR="00B434A0">
        <w:t xml:space="preserve">pram or </w:t>
      </w:r>
      <w:r>
        <w:t>stroller</w:t>
      </w:r>
    </w:p>
    <w:p w:rsidR="00B434A0" w:rsidRDefault="009A267E" w:rsidP="009C42F9">
      <w:pPr>
        <w:numPr>
          <w:ilvl w:val="0"/>
          <w:numId w:val="30"/>
        </w:numPr>
        <w:spacing w:before="120" w:after="120"/>
      </w:pPr>
      <w:r>
        <w:t>effective braking systems</w:t>
      </w:r>
    </w:p>
    <w:p w:rsidR="00B434A0" w:rsidRDefault="009A267E" w:rsidP="009C42F9">
      <w:pPr>
        <w:numPr>
          <w:ilvl w:val="0"/>
          <w:numId w:val="30"/>
        </w:numPr>
        <w:spacing w:before="120" w:after="120"/>
      </w:pPr>
      <w:r>
        <w:t>stability when tested under load</w:t>
      </w:r>
    </w:p>
    <w:p w:rsidR="00B434A0" w:rsidRDefault="009A267E" w:rsidP="009C42F9">
      <w:pPr>
        <w:numPr>
          <w:ilvl w:val="0"/>
          <w:numId w:val="30"/>
        </w:numPr>
        <w:spacing w:before="120" w:after="120"/>
      </w:pPr>
      <w:r>
        <w:t xml:space="preserve">child restraint systems </w:t>
      </w:r>
      <w:r w:rsidR="00B434A0">
        <w:t xml:space="preserve">that </w:t>
      </w:r>
      <w:r>
        <w:t>remain attached when in normal use</w:t>
      </w:r>
      <w:r w:rsidR="00036BC8">
        <w:t xml:space="preserve"> </w:t>
      </w:r>
      <w:r w:rsidR="00DE4335">
        <w:t xml:space="preserve">(the ASTM standard does not </w:t>
      </w:r>
      <w:r w:rsidR="00DE4335">
        <w:rPr>
          <w:lang w:val="en"/>
        </w:rPr>
        <w:t>refer to ‘permanence’ of the child restraint but this is acceptable since the standard has similar requirements for the effectiveness of the restraint system)</w:t>
      </w:r>
    </w:p>
    <w:p w:rsidR="00036BC8" w:rsidRDefault="00036BC8" w:rsidP="009C42F9">
      <w:pPr>
        <w:numPr>
          <w:ilvl w:val="0"/>
          <w:numId w:val="30"/>
        </w:numPr>
        <w:spacing w:before="120" w:after="120"/>
      </w:pPr>
      <w:proofErr w:type="gramStart"/>
      <w:r>
        <w:t>permanent</w:t>
      </w:r>
      <w:proofErr w:type="gramEnd"/>
      <w:r>
        <w:t xml:space="preserve"> warnings and markings</w:t>
      </w:r>
      <w:r w:rsidR="00C201ED" w:rsidRPr="00C201ED">
        <w:t xml:space="preserve"> differ but have the same focus on informing users about safe use of the product.</w:t>
      </w:r>
    </w:p>
    <w:p w:rsidR="006B20CD" w:rsidRDefault="005D1810" w:rsidP="001F0F86">
      <w:pPr>
        <w:spacing w:after="240"/>
        <w:rPr>
          <w:lang w:val="en"/>
        </w:rPr>
      </w:pPr>
      <w:r>
        <w:rPr>
          <w:lang w:val="en"/>
        </w:rPr>
        <w:t xml:space="preserve">However, the </w:t>
      </w:r>
      <w:r w:rsidR="006B20CD">
        <w:rPr>
          <w:lang w:val="en"/>
        </w:rPr>
        <w:t xml:space="preserve">ASTM </w:t>
      </w:r>
      <w:r w:rsidR="00004AC6">
        <w:rPr>
          <w:lang w:val="en"/>
        </w:rPr>
        <w:t xml:space="preserve">standard does not require </w:t>
      </w:r>
      <w:r w:rsidR="001F0F86">
        <w:rPr>
          <w:lang w:val="en"/>
        </w:rPr>
        <w:t xml:space="preserve">red brake levers </w:t>
      </w:r>
      <w:r w:rsidR="007F6555">
        <w:rPr>
          <w:lang w:val="en"/>
        </w:rPr>
        <w:t>or</w:t>
      </w:r>
      <w:r w:rsidR="001F0F86">
        <w:rPr>
          <w:lang w:val="en"/>
        </w:rPr>
        <w:t xml:space="preserve"> tether straps, which are </w:t>
      </w:r>
      <w:r>
        <w:rPr>
          <w:lang w:val="en"/>
        </w:rPr>
        <w:t>specified in the mandatory safety standard</w:t>
      </w:r>
      <w:r w:rsidR="001F0F86">
        <w:rPr>
          <w:lang w:val="en"/>
        </w:rPr>
        <w:t>.</w:t>
      </w:r>
      <w:r w:rsidR="002407B2">
        <w:rPr>
          <w:lang w:val="en"/>
        </w:rPr>
        <w:t xml:space="preserve"> </w:t>
      </w:r>
    </w:p>
    <w:p w:rsidR="001F0F86" w:rsidRPr="0002006B" w:rsidRDefault="001F0F86" w:rsidP="0002006B">
      <w:pPr>
        <w:pStyle w:val="Numbered11"/>
        <w:tabs>
          <w:tab w:val="clear" w:pos="1021"/>
        </w:tabs>
        <w:spacing w:line="240" w:lineRule="auto"/>
        <w:ind w:left="1021" w:hanging="1021"/>
        <w:rPr>
          <w:lang w:val="en-GB"/>
        </w:rPr>
      </w:pPr>
      <w:bookmarkStart w:id="92" w:name="_Toc471461269"/>
      <w:r w:rsidRPr="0002006B">
        <w:rPr>
          <w:lang w:val="en-GB"/>
        </w:rPr>
        <w:t>European standard</w:t>
      </w:r>
      <w:bookmarkEnd w:id="92"/>
    </w:p>
    <w:p w:rsidR="000901D0" w:rsidRPr="00B44A82" w:rsidRDefault="000901D0" w:rsidP="000901D0">
      <w:pPr>
        <w:rPr>
          <w:bCs/>
          <w:iCs/>
          <w:lang w:val="en"/>
        </w:rPr>
      </w:pPr>
      <w:r w:rsidRPr="00B44A82">
        <w:rPr>
          <w:bCs/>
          <w:iCs/>
          <w:lang w:val="en"/>
        </w:rPr>
        <w:t xml:space="preserve">The European Committee for Standardization (CEN) developed the European standard. CEN is a not for profit standards </w:t>
      </w:r>
      <w:proofErr w:type="spellStart"/>
      <w:r w:rsidRPr="00B44A82">
        <w:rPr>
          <w:bCs/>
          <w:iCs/>
          <w:lang w:val="en"/>
        </w:rPr>
        <w:t>organisation</w:t>
      </w:r>
      <w:proofErr w:type="spellEnd"/>
      <w:r w:rsidRPr="00B44A82">
        <w:rPr>
          <w:bCs/>
          <w:iCs/>
          <w:lang w:val="en"/>
        </w:rPr>
        <w:t xml:space="preserve"> which develops standards for use in Europe.</w:t>
      </w:r>
      <w:r>
        <w:rPr>
          <w:bCs/>
          <w:iCs/>
          <w:lang w:val="en"/>
        </w:rPr>
        <w:t xml:space="preserve"> </w:t>
      </w:r>
      <w:r w:rsidRPr="00B44A82">
        <w:rPr>
          <w:bCs/>
          <w:iCs/>
          <w:lang w:val="en"/>
        </w:rPr>
        <w:t xml:space="preserve">CEN covers a jurisdiction with economic and regulatory processes similar to those in Australia. </w:t>
      </w:r>
    </w:p>
    <w:p w:rsidR="00DE4335" w:rsidRDefault="000901D0" w:rsidP="00DE4335">
      <w:pPr>
        <w:rPr>
          <w:bCs/>
          <w:iCs/>
          <w:lang w:val="en"/>
        </w:rPr>
      </w:pPr>
      <w:r>
        <w:t>The European Commission has not recognised the European standard as a harmonised standard under the European Union General Product Safety Directive.</w:t>
      </w:r>
      <w:r w:rsidR="00DE4335">
        <w:t xml:space="preserve"> </w:t>
      </w:r>
      <w:r w:rsidR="001F0F86" w:rsidRPr="00DA177F">
        <w:rPr>
          <w:bCs/>
          <w:iCs/>
          <w:lang w:val="en"/>
        </w:rPr>
        <w:t xml:space="preserve">The European standard was last revised in 2012. </w:t>
      </w:r>
    </w:p>
    <w:p w:rsidR="00DE4335" w:rsidRDefault="00ED61D9" w:rsidP="00DE4335">
      <w:pPr>
        <w:rPr>
          <w:bCs/>
          <w:iCs/>
          <w:lang w:val="en"/>
        </w:rPr>
      </w:pPr>
      <w:r>
        <w:rPr>
          <w:bCs/>
          <w:iCs/>
          <w:lang w:val="en"/>
        </w:rPr>
        <w:t xml:space="preserve">Although some test procedures and measurements differ, the European standard </w:t>
      </w:r>
      <w:r w:rsidR="001F0F86">
        <w:rPr>
          <w:bCs/>
          <w:iCs/>
          <w:lang w:val="en"/>
        </w:rPr>
        <w:t>addresses</w:t>
      </w:r>
      <w:r w:rsidR="00C4269F">
        <w:rPr>
          <w:bCs/>
          <w:iCs/>
          <w:lang w:val="en"/>
        </w:rPr>
        <w:t xml:space="preserve"> a</w:t>
      </w:r>
      <w:r w:rsidR="001F0F86">
        <w:rPr>
          <w:bCs/>
          <w:iCs/>
          <w:lang w:val="en"/>
        </w:rPr>
        <w:t xml:space="preserve"> similar </w:t>
      </w:r>
      <w:r w:rsidR="00036BC8">
        <w:rPr>
          <w:bCs/>
          <w:iCs/>
          <w:lang w:val="en"/>
        </w:rPr>
        <w:t xml:space="preserve">critical </w:t>
      </w:r>
      <w:r w:rsidR="00C4269F">
        <w:rPr>
          <w:bCs/>
          <w:iCs/>
          <w:lang w:val="en"/>
        </w:rPr>
        <w:t xml:space="preserve">set of </w:t>
      </w:r>
      <w:r w:rsidR="001F0F86">
        <w:rPr>
          <w:bCs/>
          <w:iCs/>
          <w:lang w:val="en"/>
        </w:rPr>
        <w:t xml:space="preserve">safety issues as the </w:t>
      </w:r>
      <w:r w:rsidR="000901D0">
        <w:rPr>
          <w:bCs/>
          <w:iCs/>
          <w:lang w:val="en"/>
        </w:rPr>
        <w:t xml:space="preserve">mandatory safety </w:t>
      </w:r>
      <w:r w:rsidR="001F0F86">
        <w:rPr>
          <w:bCs/>
          <w:iCs/>
          <w:lang w:val="en"/>
        </w:rPr>
        <w:t>standard</w:t>
      </w:r>
      <w:r w:rsidR="001F4AE6">
        <w:rPr>
          <w:bCs/>
          <w:iCs/>
          <w:lang w:val="en"/>
        </w:rPr>
        <w:t xml:space="preserve">: </w:t>
      </w:r>
    </w:p>
    <w:p w:rsidR="00DE4335" w:rsidRPr="00DE4335" w:rsidRDefault="00DE4335" w:rsidP="009C42F9">
      <w:pPr>
        <w:numPr>
          <w:ilvl w:val="0"/>
          <w:numId w:val="30"/>
        </w:numPr>
        <w:spacing w:before="120" w:after="120"/>
      </w:pPr>
      <w:r w:rsidRPr="00DE4335">
        <w:t>restraint systems (‘permanence’ is not required but it must be effective in normal use)</w:t>
      </w:r>
    </w:p>
    <w:p w:rsidR="00DE4335" w:rsidRPr="00DE4335" w:rsidRDefault="00DE4335" w:rsidP="009C42F9">
      <w:pPr>
        <w:numPr>
          <w:ilvl w:val="0"/>
          <w:numId w:val="30"/>
        </w:numPr>
        <w:spacing w:before="120" w:after="120"/>
      </w:pPr>
      <w:r w:rsidRPr="00DE4335">
        <w:t>entrapment hazards from holes and openings and between the handle and body of the pram or stroller</w:t>
      </w:r>
    </w:p>
    <w:p w:rsidR="00DE4335" w:rsidRPr="00DE4335" w:rsidRDefault="00DE4335" w:rsidP="009C42F9">
      <w:pPr>
        <w:numPr>
          <w:ilvl w:val="0"/>
          <w:numId w:val="30"/>
        </w:numPr>
        <w:spacing w:before="120" w:after="120"/>
      </w:pPr>
      <w:r w:rsidRPr="00DE4335">
        <w:t>hazards from moving parts</w:t>
      </w:r>
    </w:p>
    <w:p w:rsidR="00DE4335" w:rsidRPr="00DE4335" w:rsidRDefault="00DE4335" w:rsidP="009C42F9">
      <w:pPr>
        <w:numPr>
          <w:ilvl w:val="0"/>
          <w:numId w:val="30"/>
        </w:numPr>
        <w:spacing w:before="120" w:after="120"/>
      </w:pPr>
      <w:r w:rsidRPr="00DE4335">
        <w:t>locking mechanisms for storage or transport of prams or strollers with folding mechanisms, and to prevent unintentional release</w:t>
      </w:r>
    </w:p>
    <w:p w:rsidR="00DE4335" w:rsidRPr="00DE4335" w:rsidRDefault="00DE4335" w:rsidP="009C42F9">
      <w:pPr>
        <w:numPr>
          <w:ilvl w:val="0"/>
          <w:numId w:val="30"/>
        </w:numPr>
        <w:spacing w:before="120" w:after="120"/>
      </w:pPr>
      <w:r w:rsidRPr="00DE4335">
        <w:t>parking and braking devices</w:t>
      </w:r>
    </w:p>
    <w:p w:rsidR="00DE4335" w:rsidRPr="00DE4335" w:rsidRDefault="00DE4335" w:rsidP="009C42F9">
      <w:pPr>
        <w:numPr>
          <w:ilvl w:val="0"/>
          <w:numId w:val="30"/>
        </w:numPr>
        <w:spacing w:before="120" w:after="120"/>
      </w:pPr>
      <w:r w:rsidRPr="00DE4335">
        <w:t>stability and structural integrity</w:t>
      </w:r>
    </w:p>
    <w:p w:rsidR="001F4AE6" w:rsidRDefault="00DE4335" w:rsidP="009C42F9">
      <w:pPr>
        <w:numPr>
          <w:ilvl w:val="0"/>
          <w:numId w:val="30"/>
        </w:numPr>
        <w:spacing w:before="120" w:after="120"/>
      </w:pPr>
      <w:proofErr w:type="gramStart"/>
      <w:r w:rsidRPr="00DE4335">
        <w:t>marking</w:t>
      </w:r>
      <w:proofErr w:type="gramEnd"/>
      <w:r w:rsidRPr="00DE4335">
        <w:t xml:space="preserve"> and warning requirements are </w:t>
      </w:r>
      <w:r w:rsidR="001F4AE6" w:rsidRPr="001F4AE6">
        <w:rPr>
          <w:lang w:val="en"/>
        </w:rPr>
        <w:t xml:space="preserve">worded differently </w:t>
      </w:r>
      <w:r w:rsidR="001F4AE6">
        <w:rPr>
          <w:lang w:val="en"/>
        </w:rPr>
        <w:t xml:space="preserve">to the updated voluntary Australian standard </w:t>
      </w:r>
      <w:r w:rsidR="001F4AE6" w:rsidRPr="001F4AE6">
        <w:rPr>
          <w:lang w:val="en"/>
        </w:rPr>
        <w:t xml:space="preserve">but </w:t>
      </w:r>
      <w:r w:rsidR="001F4AE6" w:rsidRPr="00C201ED">
        <w:t>focus on informing users about safe use of the product.</w:t>
      </w:r>
    </w:p>
    <w:p w:rsidR="001F4AE6" w:rsidRPr="001F4AE6" w:rsidRDefault="00ED61D9" w:rsidP="001F4AE6">
      <w:pPr>
        <w:spacing w:before="120" w:after="240"/>
        <w:rPr>
          <w:lang w:val="en"/>
        </w:rPr>
      </w:pPr>
      <w:r w:rsidRPr="001F4AE6">
        <w:rPr>
          <w:bCs/>
          <w:iCs/>
          <w:lang w:val="en"/>
        </w:rPr>
        <w:t xml:space="preserve">However, </w:t>
      </w:r>
      <w:r w:rsidRPr="001F4AE6">
        <w:rPr>
          <w:lang w:val="en"/>
        </w:rPr>
        <w:t>t</w:t>
      </w:r>
      <w:r w:rsidR="00972B3C" w:rsidRPr="001F4AE6">
        <w:rPr>
          <w:lang w:val="en"/>
        </w:rPr>
        <w:t xml:space="preserve">he </w:t>
      </w:r>
      <w:r w:rsidR="000901D0" w:rsidRPr="001F4AE6">
        <w:rPr>
          <w:lang w:val="en"/>
        </w:rPr>
        <w:t xml:space="preserve">European </w:t>
      </w:r>
      <w:r w:rsidR="00972B3C" w:rsidRPr="001F4AE6">
        <w:rPr>
          <w:lang w:val="en"/>
        </w:rPr>
        <w:t xml:space="preserve">standard does not require red brake levers and tether straps, which are </w:t>
      </w:r>
      <w:r w:rsidR="000901D0" w:rsidRPr="001F4AE6">
        <w:rPr>
          <w:lang w:val="en"/>
        </w:rPr>
        <w:t>specified in the mandatory safety standard</w:t>
      </w:r>
      <w:r w:rsidR="00F55945" w:rsidRPr="001F4AE6">
        <w:rPr>
          <w:lang w:val="en"/>
        </w:rPr>
        <w:t>.</w:t>
      </w:r>
    </w:p>
    <w:p w:rsidR="001F0F86" w:rsidRDefault="001F0F86" w:rsidP="00CA13A4">
      <w:pPr>
        <w:pBdr>
          <w:top w:val="single" w:sz="4" w:space="1" w:color="auto"/>
          <w:left w:val="single" w:sz="4" w:space="4" w:color="auto"/>
          <w:bottom w:val="single" w:sz="4" w:space="1" w:color="auto"/>
          <w:right w:val="single" w:sz="4" w:space="4" w:color="auto"/>
        </w:pBdr>
        <w:rPr>
          <w:b/>
        </w:rPr>
      </w:pPr>
      <w:r w:rsidRPr="00832CD2">
        <w:rPr>
          <w:b/>
        </w:rPr>
        <w:t>International standards – question</w:t>
      </w:r>
    </w:p>
    <w:p w:rsidR="00197222" w:rsidRDefault="001F0F86" w:rsidP="00CA13A4">
      <w:pPr>
        <w:pStyle w:val="ListParagraph"/>
        <w:numPr>
          <w:ilvl w:val="0"/>
          <w:numId w:val="36"/>
        </w:numPr>
        <w:pBdr>
          <w:top w:val="single" w:sz="4" w:space="1" w:color="auto"/>
          <w:left w:val="single" w:sz="4" w:space="4" w:color="auto"/>
          <w:bottom w:val="single" w:sz="4" w:space="1" w:color="auto"/>
          <w:right w:val="single" w:sz="4" w:space="4" w:color="auto"/>
        </w:pBdr>
        <w:ind w:hanging="720"/>
        <w:rPr>
          <w:b/>
        </w:rPr>
      </w:pPr>
      <w:r w:rsidRPr="009C42F9">
        <w:rPr>
          <w:b/>
        </w:rPr>
        <w:t>Do you agree with the ACCC assessment of international standards for strollers?</w:t>
      </w:r>
      <w:bookmarkStart w:id="93" w:name="_Toc392234331"/>
    </w:p>
    <w:p w:rsidR="00F96DD5" w:rsidRPr="009C42F9" w:rsidRDefault="00F96DD5" w:rsidP="00CA13A4">
      <w:pPr>
        <w:pStyle w:val="ListParagraph"/>
        <w:numPr>
          <w:ilvl w:val="0"/>
          <w:numId w:val="36"/>
        </w:numPr>
        <w:pBdr>
          <w:top w:val="single" w:sz="4" w:space="1" w:color="auto"/>
          <w:left w:val="single" w:sz="4" w:space="4" w:color="auto"/>
          <w:bottom w:val="single" w:sz="4" w:space="1" w:color="auto"/>
          <w:right w:val="single" w:sz="4" w:space="4" w:color="auto"/>
        </w:pBdr>
        <w:ind w:hanging="720"/>
        <w:rPr>
          <w:b/>
        </w:rPr>
      </w:pPr>
      <w:r>
        <w:rPr>
          <w:b/>
        </w:rPr>
        <w:t>Do you believe that the maintenance of the local requirements for tether straps and red brake actuators is warranted? Has the inclusion of these provisions contributed to the safety of products supplied in Australia?</w:t>
      </w:r>
    </w:p>
    <w:p w:rsidR="000715E7" w:rsidRDefault="000715E7" w:rsidP="000715E7">
      <w:pPr>
        <w:pStyle w:val="Numbered1"/>
        <w:numPr>
          <w:ilvl w:val="0"/>
          <w:numId w:val="0"/>
        </w:numPr>
        <w:ind w:left="360"/>
      </w:pPr>
      <w:bookmarkStart w:id="94" w:name="_Toc440455045"/>
      <w:bookmarkStart w:id="95" w:name="_Toc457222706"/>
    </w:p>
    <w:p w:rsidR="009168BE" w:rsidRPr="009168BE" w:rsidRDefault="00197222" w:rsidP="009168BE">
      <w:pPr>
        <w:pStyle w:val="Numbered1"/>
      </w:pPr>
      <w:bookmarkStart w:id="96" w:name="_Toc471460725"/>
      <w:bookmarkStart w:id="97" w:name="_Toc471461270"/>
      <w:r>
        <w:lastRenderedPageBreak/>
        <w:t>Policy options</w:t>
      </w:r>
      <w:bookmarkEnd w:id="94"/>
      <w:bookmarkEnd w:id="95"/>
      <w:bookmarkEnd w:id="96"/>
      <w:bookmarkEnd w:id="97"/>
    </w:p>
    <w:p w:rsidR="00197222" w:rsidRPr="00197222" w:rsidRDefault="000715E7" w:rsidP="00197222">
      <w:pPr>
        <w:pStyle w:val="Heading2"/>
        <w:rPr>
          <w:b w:val="0"/>
          <w:i/>
        </w:rPr>
      </w:pPr>
      <w:bookmarkStart w:id="98" w:name="_Toc471461271"/>
      <w:r>
        <w:rPr>
          <w:b w:val="0"/>
        </w:rPr>
        <w:t xml:space="preserve">Option 1: </w:t>
      </w:r>
      <w:r w:rsidR="00197222">
        <w:rPr>
          <w:b w:val="0"/>
        </w:rPr>
        <w:t>Retain</w:t>
      </w:r>
      <w:r w:rsidR="00197222" w:rsidRPr="004556AA">
        <w:rPr>
          <w:b w:val="0"/>
        </w:rPr>
        <w:t xml:space="preserve"> the current mandatory safety standard (status quo)</w:t>
      </w:r>
      <w:bookmarkEnd w:id="98"/>
    </w:p>
    <w:p w:rsidR="001F0F86" w:rsidRDefault="001F0F86" w:rsidP="001F0F86">
      <w:pPr>
        <w:pStyle w:val="Heading3"/>
      </w:pPr>
      <w:bookmarkStart w:id="99" w:name="_Toc471460960"/>
      <w:bookmarkStart w:id="100" w:name="_Toc471461272"/>
      <w:r>
        <w:t>Description</w:t>
      </w:r>
      <w:bookmarkEnd w:id="99"/>
      <w:bookmarkEnd w:id="100"/>
    </w:p>
    <w:p w:rsidR="00972B3C" w:rsidRDefault="00F55945" w:rsidP="003D5D2F">
      <w:r>
        <w:t>T</w:t>
      </w:r>
      <w:r w:rsidR="001F0F86">
        <w:t xml:space="preserve">he mandatory safety standard </w:t>
      </w:r>
      <w:r>
        <w:t>would remain unchanged</w:t>
      </w:r>
      <w:r w:rsidR="003F5D00">
        <w:t>, referencing an outdated voluntary Australian standard</w:t>
      </w:r>
      <w:r w:rsidR="001F0F86">
        <w:t xml:space="preserve">. </w:t>
      </w:r>
      <w:r w:rsidR="00726AA6">
        <w:t xml:space="preserve">This option is the status quo against which the </w:t>
      </w:r>
      <w:r w:rsidR="00190D07">
        <w:t>benefits and costs of the other options are measured</w:t>
      </w:r>
      <w:r w:rsidR="001F0F86">
        <w:t xml:space="preserve">. </w:t>
      </w:r>
    </w:p>
    <w:p w:rsidR="001F0F86" w:rsidRDefault="001F0F86" w:rsidP="001F0F86">
      <w:pPr>
        <w:pStyle w:val="Heading3"/>
      </w:pPr>
      <w:bookmarkStart w:id="101" w:name="_Toc471460961"/>
      <w:bookmarkStart w:id="102" w:name="_Toc471461273"/>
      <w:r w:rsidRPr="006B0699">
        <w:t>Benefits</w:t>
      </w:r>
      <w:bookmarkEnd w:id="101"/>
      <w:bookmarkEnd w:id="102"/>
    </w:p>
    <w:p w:rsidR="00726AA6" w:rsidRDefault="001F0F86" w:rsidP="001F0F86">
      <w:r>
        <w:t xml:space="preserve">Consumers would </w:t>
      </w:r>
      <w:r w:rsidR="00726AA6">
        <w:t xml:space="preserve">have </w:t>
      </w:r>
      <w:r>
        <w:t xml:space="preserve">the same level of </w:t>
      </w:r>
      <w:r w:rsidR="00726AA6">
        <w:t xml:space="preserve">safety </w:t>
      </w:r>
      <w:r>
        <w:t>they have now.</w:t>
      </w:r>
      <w:r w:rsidR="00F55945" w:rsidRPr="00F55945">
        <w:t xml:space="preserve"> </w:t>
      </w:r>
      <w:r w:rsidR="00726AA6">
        <w:t>There would be no increase in costs to business.</w:t>
      </w:r>
    </w:p>
    <w:p w:rsidR="001F0F86" w:rsidRDefault="00F55945" w:rsidP="001F0F86">
      <w:pPr>
        <w:pStyle w:val="Heading3"/>
      </w:pPr>
      <w:bookmarkStart w:id="103" w:name="_Toc471460962"/>
      <w:bookmarkStart w:id="104" w:name="_Toc471461274"/>
      <w:r>
        <w:t>Limitations</w:t>
      </w:r>
      <w:bookmarkEnd w:id="103"/>
      <w:bookmarkEnd w:id="104"/>
    </w:p>
    <w:p w:rsidR="00726AA6" w:rsidRDefault="00F55945" w:rsidP="00F55945">
      <w:r>
        <w:t xml:space="preserve">Maintaining the status quo would </w:t>
      </w:r>
      <w:r w:rsidR="00726AA6">
        <w:t>mean that the mandatory safety standard would continue to reference an outdated voluntary Australian standard. It is likely to become increasingly difficult for suppliers to arrange testing to an outdated voluntary Australian standard.</w:t>
      </w:r>
    </w:p>
    <w:p w:rsidR="00F55945" w:rsidRDefault="00726AA6" w:rsidP="00F55945">
      <w:r>
        <w:t xml:space="preserve">The improved safety requirements in the updated voluntary standards would remain voluntary for suppliers. This would </w:t>
      </w:r>
      <w:r w:rsidR="0075661A">
        <w:t>not address the</w:t>
      </w:r>
      <w:r w:rsidR="00F55945">
        <w:t xml:space="preserve"> </w:t>
      </w:r>
      <w:r w:rsidR="001F0F86">
        <w:t xml:space="preserve">emerging safety hazards </w:t>
      </w:r>
      <w:r w:rsidR="00972B3C">
        <w:t xml:space="preserve">associated </w:t>
      </w:r>
      <w:r w:rsidR="001F0F86">
        <w:t>with finger entrapment and stability</w:t>
      </w:r>
      <w:r>
        <w:t>,</w:t>
      </w:r>
      <w:r w:rsidR="00972B3C">
        <w:t xml:space="preserve"> and f</w:t>
      </w:r>
      <w:r w:rsidR="001F0F86">
        <w:t xml:space="preserve">urther injuries </w:t>
      </w:r>
      <w:r w:rsidR="0075661A">
        <w:t xml:space="preserve">might </w:t>
      </w:r>
      <w:r w:rsidR="001F0F86">
        <w:t>occur.</w:t>
      </w:r>
    </w:p>
    <w:p w:rsidR="001F0F86" w:rsidRDefault="001F0F86" w:rsidP="001F0F86">
      <w:pPr>
        <w:rPr>
          <w:b/>
        </w:rPr>
      </w:pPr>
      <w:r w:rsidRPr="00B9799F">
        <w:rPr>
          <w:b/>
        </w:rPr>
        <w:t>Net benefit</w:t>
      </w:r>
    </w:p>
    <w:p w:rsidR="00EB558C" w:rsidRPr="006D2A1A" w:rsidRDefault="001F0F86" w:rsidP="001F0F86">
      <w:r>
        <w:t xml:space="preserve">We will assess the net benefits </w:t>
      </w:r>
      <w:r w:rsidRPr="00DB6C88">
        <w:t xml:space="preserve">of the other policy options against the status quo of </w:t>
      </w:r>
      <w:r w:rsidR="0075661A">
        <w:t>retaining</w:t>
      </w:r>
      <w:r w:rsidR="0075661A" w:rsidRPr="00DB6C88">
        <w:t xml:space="preserve"> </w:t>
      </w:r>
      <w:r w:rsidRPr="00DB6C88">
        <w:t xml:space="preserve">the </w:t>
      </w:r>
      <w:r>
        <w:t xml:space="preserve">current </w:t>
      </w:r>
      <w:r w:rsidRPr="00DB6C88">
        <w:t>mandatory safety standard.</w:t>
      </w:r>
      <w:bookmarkEnd w:id="93"/>
    </w:p>
    <w:p w:rsidR="000715E7" w:rsidRDefault="000715E7" w:rsidP="000715E7">
      <w:pPr>
        <w:pStyle w:val="Heading2"/>
        <w:spacing w:before="0"/>
        <w:rPr>
          <w:b w:val="0"/>
        </w:rPr>
      </w:pPr>
      <w:bookmarkStart w:id="105" w:name="_Toc392234334"/>
    </w:p>
    <w:p w:rsidR="001F0F86" w:rsidRPr="001F0F86" w:rsidRDefault="00E82565" w:rsidP="001F0F86">
      <w:pPr>
        <w:pStyle w:val="Heading2"/>
        <w:rPr>
          <w:b w:val="0"/>
        </w:rPr>
      </w:pPr>
      <w:bookmarkStart w:id="106" w:name="_Toc471461275"/>
      <w:r>
        <w:rPr>
          <w:b w:val="0"/>
        </w:rPr>
        <w:t>Option 2</w:t>
      </w:r>
      <w:r w:rsidR="001F0F86" w:rsidRPr="006D2A1A">
        <w:rPr>
          <w:b w:val="0"/>
        </w:rPr>
        <w:t xml:space="preserve">: </w:t>
      </w:r>
      <w:bookmarkEnd w:id="105"/>
      <w:r w:rsidR="00CD6A37">
        <w:rPr>
          <w:b w:val="0"/>
        </w:rPr>
        <w:t>Adopt</w:t>
      </w:r>
      <w:r w:rsidR="001F0F86" w:rsidRPr="006D2A1A">
        <w:rPr>
          <w:b w:val="0"/>
        </w:rPr>
        <w:t xml:space="preserve"> </w:t>
      </w:r>
      <w:r w:rsidR="00CD6A37">
        <w:rPr>
          <w:b w:val="0"/>
        </w:rPr>
        <w:t>parts</w:t>
      </w:r>
      <w:r w:rsidR="001F0F86" w:rsidRPr="006D2A1A">
        <w:rPr>
          <w:b w:val="0"/>
        </w:rPr>
        <w:t xml:space="preserve"> of the updated voluntary Australian standard</w:t>
      </w:r>
      <w:bookmarkEnd w:id="106"/>
    </w:p>
    <w:p w:rsidR="001F0F86" w:rsidRPr="00531CCF" w:rsidRDefault="001F0F86" w:rsidP="001F0F86">
      <w:pPr>
        <w:pStyle w:val="Heading3"/>
      </w:pPr>
      <w:bookmarkStart w:id="107" w:name="_Toc471460964"/>
      <w:bookmarkStart w:id="108" w:name="_Toc471461276"/>
      <w:r>
        <w:t>Description</w:t>
      </w:r>
      <w:bookmarkEnd w:id="107"/>
      <w:bookmarkEnd w:id="108"/>
    </w:p>
    <w:p w:rsidR="001F0F86" w:rsidRPr="00DB6C88" w:rsidRDefault="00EC0FD6" w:rsidP="001F0F86">
      <w:r>
        <w:t xml:space="preserve">Under this option, we would update the mandatory safety standard </w:t>
      </w:r>
      <w:r w:rsidR="00C326BC">
        <w:t>by mandating</w:t>
      </w:r>
      <w:r>
        <w:t xml:space="preserve"> the following parts of the </w:t>
      </w:r>
      <w:r w:rsidR="00C326BC">
        <w:t>2013</w:t>
      </w:r>
      <w:r>
        <w:t xml:space="preserve"> voluntary Australian standard</w:t>
      </w:r>
      <w:r w:rsidR="0075661A">
        <w:t>:</w:t>
      </w:r>
    </w:p>
    <w:p w:rsidR="001F0F86" w:rsidRDefault="000715E7" w:rsidP="006C0F76">
      <w:pPr>
        <w:numPr>
          <w:ilvl w:val="0"/>
          <w:numId w:val="30"/>
        </w:numPr>
        <w:pBdr>
          <w:top w:val="single" w:sz="4" w:space="1" w:color="auto"/>
          <w:left w:val="single" w:sz="4" w:space="4" w:color="auto"/>
          <w:bottom w:val="single" w:sz="4" w:space="1" w:color="auto"/>
          <w:right w:val="single" w:sz="4" w:space="4" w:color="auto"/>
        </w:pBdr>
        <w:spacing w:before="120" w:after="120"/>
      </w:pPr>
      <w:r>
        <w:t>n</w:t>
      </w:r>
      <w:r w:rsidR="00F9098D">
        <w:t xml:space="preserve">ew </w:t>
      </w:r>
      <w:r w:rsidR="0075661A" w:rsidRPr="00272364">
        <w:t>d</w:t>
      </w:r>
      <w:r w:rsidR="00B82F7F" w:rsidRPr="00571DFE">
        <w:t xml:space="preserve">efinitions </w:t>
      </w:r>
      <w:r w:rsidR="0075661A" w:rsidRPr="00272364">
        <w:t>for</w:t>
      </w:r>
      <w:r w:rsidR="001F0F86" w:rsidRPr="00272364">
        <w:t xml:space="preserve"> </w:t>
      </w:r>
      <w:r w:rsidR="00C326BC">
        <w:t xml:space="preserve">the </w:t>
      </w:r>
      <w:r w:rsidR="0075661A" w:rsidRPr="00272364">
        <w:t>terms</w:t>
      </w:r>
      <w:r w:rsidR="0075661A">
        <w:t xml:space="preserve">: </w:t>
      </w:r>
      <w:r w:rsidR="001F0F86">
        <w:t>securely attached, permanently fixed</w:t>
      </w:r>
      <w:r w:rsidR="0075661A">
        <w:t xml:space="preserve">, </w:t>
      </w:r>
      <w:r w:rsidR="001F0F86">
        <w:t xml:space="preserve">accessory, toddler </w:t>
      </w:r>
      <w:r w:rsidR="000A39D9">
        <w:t xml:space="preserve">platform and toddler </w:t>
      </w:r>
      <w:r w:rsidR="001F0F86">
        <w:t>seat</w:t>
      </w:r>
      <w:r w:rsidR="000A39D9">
        <w:t xml:space="preserve"> (clauses 4.7, 4.8, 4.1, 4.16 and 4.17)</w:t>
      </w:r>
    </w:p>
    <w:p w:rsidR="006C0F76" w:rsidRDefault="006C0F76" w:rsidP="006C0F76">
      <w:pPr>
        <w:numPr>
          <w:ilvl w:val="0"/>
          <w:numId w:val="30"/>
        </w:numPr>
        <w:pBdr>
          <w:top w:val="single" w:sz="4" w:space="1" w:color="auto"/>
          <w:left w:val="single" w:sz="4" w:space="4" w:color="auto"/>
          <w:bottom w:val="single" w:sz="4" w:space="1" w:color="auto"/>
          <w:right w:val="single" w:sz="4" w:space="4" w:color="auto"/>
        </w:pBdr>
        <w:spacing w:before="120" w:after="120"/>
      </w:pPr>
      <w:r>
        <w:t>revised parking brake clauses 8.6 and 9.6</w:t>
      </w:r>
    </w:p>
    <w:p w:rsidR="006C0F76" w:rsidRDefault="006C0F76" w:rsidP="006C0F76">
      <w:pPr>
        <w:numPr>
          <w:ilvl w:val="0"/>
          <w:numId w:val="30"/>
        </w:numPr>
        <w:pBdr>
          <w:top w:val="single" w:sz="4" w:space="1" w:color="auto"/>
          <w:left w:val="single" w:sz="4" w:space="4" w:color="auto"/>
          <w:bottom w:val="single" w:sz="4" w:space="1" w:color="auto"/>
          <w:right w:val="single" w:sz="4" w:space="4" w:color="auto"/>
        </w:pBdr>
        <w:spacing w:before="120" w:after="120"/>
      </w:pPr>
      <w:r>
        <w:t>revised occupant retention clause 8.8</w:t>
      </w:r>
    </w:p>
    <w:p w:rsidR="006C0F76" w:rsidRDefault="006C0F76" w:rsidP="006C0F76">
      <w:pPr>
        <w:numPr>
          <w:ilvl w:val="0"/>
          <w:numId w:val="30"/>
        </w:numPr>
        <w:pBdr>
          <w:top w:val="single" w:sz="4" w:space="1" w:color="auto"/>
          <w:left w:val="single" w:sz="4" w:space="4" w:color="auto"/>
          <w:bottom w:val="single" w:sz="4" w:space="1" w:color="auto"/>
          <w:right w:val="single" w:sz="4" w:space="4" w:color="auto"/>
        </w:pBdr>
        <w:spacing w:before="120" w:after="120"/>
      </w:pPr>
      <w:r>
        <w:t>revised head barrier clauses 8.9 and 9.7.2</w:t>
      </w:r>
    </w:p>
    <w:p w:rsidR="006C0F76" w:rsidRDefault="006C0F76" w:rsidP="006C0F76">
      <w:pPr>
        <w:numPr>
          <w:ilvl w:val="0"/>
          <w:numId w:val="30"/>
        </w:numPr>
        <w:pBdr>
          <w:top w:val="single" w:sz="4" w:space="1" w:color="auto"/>
          <w:left w:val="single" w:sz="4" w:space="4" w:color="auto"/>
          <w:bottom w:val="single" w:sz="4" w:space="1" w:color="auto"/>
          <w:right w:val="single" w:sz="4" w:space="4" w:color="auto"/>
        </w:pBdr>
        <w:spacing w:before="120" w:after="120"/>
      </w:pPr>
      <w:r>
        <w:t>revised foot end opening clauses 8.10 and 9.7.3</w:t>
      </w:r>
    </w:p>
    <w:p w:rsidR="00272364" w:rsidRDefault="00CC7E48" w:rsidP="006C0F76">
      <w:pPr>
        <w:numPr>
          <w:ilvl w:val="0"/>
          <w:numId w:val="30"/>
        </w:numPr>
        <w:pBdr>
          <w:top w:val="single" w:sz="4" w:space="1" w:color="auto"/>
          <w:left w:val="single" w:sz="4" w:space="4" w:color="auto"/>
          <w:bottom w:val="single" w:sz="4" w:space="1" w:color="auto"/>
          <w:right w:val="single" w:sz="4" w:space="4" w:color="auto"/>
        </w:pBdr>
        <w:spacing w:before="120" w:after="120"/>
      </w:pPr>
      <w:r>
        <w:t xml:space="preserve">revised </w:t>
      </w:r>
      <w:r w:rsidR="001F0F86">
        <w:t xml:space="preserve">tether strap </w:t>
      </w:r>
      <w:r w:rsidR="00272364">
        <w:t xml:space="preserve">requirements </w:t>
      </w:r>
      <w:r w:rsidR="000A39D9">
        <w:t>(clause 8.13)</w:t>
      </w:r>
    </w:p>
    <w:p w:rsidR="001F0F86" w:rsidRDefault="00F9098D" w:rsidP="006C0F76">
      <w:pPr>
        <w:numPr>
          <w:ilvl w:val="0"/>
          <w:numId w:val="30"/>
        </w:numPr>
        <w:pBdr>
          <w:top w:val="single" w:sz="4" w:space="1" w:color="auto"/>
          <w:left w:val="single" w:sz="4" w:space="4" w:color="auto"/>
          <w:bottom w:val="single" w:sz="4" w:space="1" w:color="auto"/>
          <w:right w:val="single" w:sz="4" w:space="4" w:color="auto"/>
        </w:pBdr>
        <w:spacing w:before="120" w:after="120"/>
      </w:pPr>
      <w:r>
        <w:t xml:space="preserve">new </w:t>
      </w:r>
      <w:r w:rsidR="00272364">
        <w:t xml:space="preserve">finger entrapment </w:t>
      </w:r>
      <w:r w:rsidR="001F0F86">
        <w:t>requirement</w:t>
      </w:r>
      <w:r w:rsidR="00272364">
        <w:t>s</w:t>
      </w:r>
      <w:r w:rsidR="001F0F86">
        <w:t xml:space="preserve"> </w:t>
      </w:r>
      <w:r w:rsidR="00272364">
        <w:t xml:space="preserve">about </w:t>
      </w:r>
      <w:r w:rsidR="001F0F86">
        <w:t>hazardous gaps and opening</w:t>
      </w:r>
      <w:r w:rsidR="0075661A">
        <w:t>s</w:t>
      </w:r>
      <w:r w:rsidR="001F0F86">
        <w:t xml:space="preserve"> including for a secure storage latch when the </w:t>
      </w:r>
      <w:r w:rsidR="0075661A">
        <w:t xml:space="preserve">pram or </w:t>
      </w:r>
      <w:r w:rsidR="001F0F86">
        <w:t>stroller is folded</w:t>
      </w:r>
      <w:r w:rsidR="000A39D9">
        <w:t xml:space="preserve"> (clauses 8.14, 9.11)</w:t>
      </w:r>
    </w:p>
    <w:p w:rsidR="006C0F76" w:rsidRDefault="006C0F76" w:rsidP="006C0F76">
      <w:pPr>
        <w:numPr>
          <w:ilvl w:val="0"/>
          <w:numId w:val="30"/>
        </w:numPr>
        <w:pBdr>
          <w:top w:val="single" w:sz="4" w:space="1" w:color="auto"/>
          <w:left w:val="single" w:sz="4" w:space="4" w:color="auto"/>
          <w:bottom w:val="single" w:sz="4" w:space="1" w:color="auto"/>
          <w:right w:val="single" w:sz="4" w:space="4" w:color="auto"/>
        </w:pBdr>
        <w:spacing w:before="120" w:after="120"/>
      </w:pPr>
      <w:r>
        <w:t>revised hazardous gaps clause 9.5</w:t>
      </w:r>
    </w:p>
    <w:p w:rsidR="001F0F86" w:rsidRDefault="00CC7E48" w:rsidP="006C0F76">
      <w:pPr>
        <w:numPr>
          <w:ilvl w:val="0"/>
          <w:numId w:val="30"/>
        </w:numPr>
        <w:pBdr>
          <w:top w:val="single" w:sz="4" w:space="1" w:color="auto"/>
          <w:left w:val="single" w:sz="4" w:space="4" w:color="auto"/>
          <w:bottom w:val="single" w:sz="4" w:space="1" w:color="auto"/>
          <w:right w:val="single" w:sz="4" w:space="4" w:color="auto"/>
        </w:pBdr>
        <w:spacing w:before="120" w:after="120"/>
      </w:pPr>
      <w:r>
        <w:t xml:space="preserve">revised </w:t>
      </w:r>
      <w:r w:rsidR="00272364">
        <w:t>stability</w:t>
      </w:r>
      <w:r w:rsidR="00272364" w:rsidDel="00272364">
        <w:t xml:space="preserve"> </w:t>
      </w:r>
      <w:r w:rsidR="00272364">
        <w:t>performance and testing</w:t>
      </w:r>
      <w:r w:rsidR="00272364" w:rsidDel="0075661A">
        <w:t xml:space="preserve"> </w:t>
      </w:r>
      <w:r w:rsidR="00272364">
        <w:t>requirements</w:t>
      </w:r>
      <w:r w:rsidR="004C7062">
        <w:t xml:space="preserve"> (clause 9.8)</w:t>
      </w:r>
    </w:p>
    <w:p w:rsidR="00CC7E48" w:rsidRDefault="00F9098D" w:rsidP="006C0F76">
      <w:pPr>
        <w:numPr>
          <w:ilvl w:val="0"/>
          <w:numId w:val="30"/>
        </w:numPr>
        <w:pBdr>
          <w:top w:val="single" w:sz="4" w:space="1" w:color="auto"/>
          <w:left w:val="single" w:sz="4" w:space="4" w:color="auto"/>
          <w:bottom w:val="single" w:sz="4" w:space="1" w:color="auto"/>
          <w:right w:val="single" w:sz="4" w:space="4" w:color="auto"/>
        </w:pBdr>
        <w:spacing w:before="120" w:after="120"/>
      </w:pPr>
      <w:r>
        <w:lastRenderedPageBreak/>
        <w:t xml:space="preserve">new </w:t>
      </w:r>
      <w:r w:rsidR="00CC7E48">
        <w:t>locking and latching device requirements for folding strollers and accessories</w:t>
      </w:r>
      <w:r w:rsidR="004C7062">
        <w:t xml:space="preserve"> (clauses 9.12, 9.13, 9.14 and 9.15)</w:t>
      </w:r>
    </w:p>
    <w:p w:rsidR="00982FCC" w:rsidRDefault="00CC7E48" w:rsidP="006C0F76">
      <w:pPr>
        <w:numPr>
          <w:ilvl w:val="0"/>
          <w:numId w:val="30"/>
        </w:numPr>
        <w:pBdr>
          <w:top w:val="single" w:sz="4" w:space="1" w:color="auto"/>
          <w:left w:val="single" w:sz="4" w:space="4" w:color="auto"/>
          <w:bottom w:val="single" w:sz="4" w:space="1" w:color="auto"/>
          <w:right w:val="single" w:sz="4" w:space="4" w:color="auto"/>
        </w:pBdr>
        <w:spacing w:before="120" w:after="120"/>
      </w:pPr>
      <w:proofErr w:type="gramStart"/>
      <w:r>
        <w:t>amended</w:t>
      </w:r>
      <w:proofErr w:type="gramEnd"/>
      <w:r>
        <w:t xml:space="preserve"> </w:t>
      </w:r>
      <w:r w:rsidR="001F0F86">
        <w:t>warning and marking requirements</w:t>
      </w:r>
      <w:r w:rsidR="004C7062">
        <w:t xml:space="preserve"> (clause 12)</w:t>
      </w:r>
      <w:r w:rsidR="00EC0FD6">
        <w:t>.</w:t>
      </w:r>
    </w:p>
    <w:p w:rsidR="001F0F86" w:rsidRDefault="001F0F86" w:rsidP="001F0F86">
      <w:pPr>
        <w:pStyle w:val="Heading3"/>
      </w:pPr>
      <w:bookmarkStart w:id="109" w:name="_Toc471460965"/>
      <w:bookmarkStart w:id="110" w:name="_Toc471461277"/>
      <w:r w:rsidRPr="00531CCF">
        <w:t>Benefits</w:t>
      </w:r>
      <w:bookmarkEnd w:id="109"/>
      <w:bookmarkEnd w:id="110"/>
    </w:p>
    <w:p w:rsidR="00C114C3" w:rsidRDefault="00C326BC" w:rsidP="00C114C3">
      <w:r>
        <w:t>Adopting sections of the</w:t>
      </w:r>
      <w:r w:rsidR="001F0F86" w:rsidRPr="00DB6C88">
        <w:t xml:space="preserve"> updated voluntary Australian standard </w:t>
      </w:r>
      <w:r w:rsidR="00A83E70">
        <w:t xml:space="preserve">would improve safety since it </w:t>
      </w:r>
      <w:r w:rsidR="001F0F86" w:rsidRPr="00DB6C88">
        <w:t>address</w:t>
      </w:r>
      <w:r w:rsidR="001F0F86">
        <w:t>es</w:t>
      </w:r>
      <w:r w:rsidR="001F0F86" w:rsidRPr="00DB6C88">
        <w:t xml:space="preserve"> the emerging </w:t>
      </w:r>
      <w:r w:rsidR="00A83E70">
        <w:t>issues</w:t>
      </w:r>
      <w:r w:rsidR="001F0F86" w:rsidRPr="00DB6C88">
        <w:t xml:space="preserve"> out</w:t>
      </w:r>
      <w:r w:rsidR="001F0F86">
        <w:t>lined earlier in this consultation paper</w:t>
      </w:r>
      <w:r w:rsidR="002A25C0">
        <w:t>.</w:t>
      </w:r>
      <w:r w:rsidR="00BD144A">
        <w:t xml:space="preserve"> </w:t>
      </w:r>
      <w:r w:rsidR="00A83E70">
        <w:t xml:space="preserve">It is impossible to predict the extent of deaths and injuries that the safety improvements of this option might prevent. </w:t>
      </w:r>
      <w:r w:rsidR="003200ED">
        <w:t>However, t</w:t>
      </w:r>
      <w:r w:rsidR="00C114C3">
        <w:t xml:space="preserve">here are clear economic costs associated with </w:t>
      </w:r>
      <w:r w:rsidR="003200ED">
        <w:t>death or</w:t>
      </w:r>
      <w:r w:rsidR="00C114C3">
        <w:t xml:space="preserve"> injury to children (see Appendix B).</w:t>
      </w:r>
    </w:p>
    <w:p w:rsidR="001F0F86" w:rsidRDefault="00BD144A" w:rsidP="001F0F86">
      <w:r>
        <w:t>T</w:t>
      </w:r>
      <w:r w:rsidR="006A037F" w:rsidRPr="00DB6C88">
        <w:t>h</w:t>
      </w:r>
      <w:r w:rsidR="006A037F">
        <w:t xml:space="preserve">is </w:t>
      </w:r>
      <w:r w:rsidR="00336475">
        <w:t xml:space="preserve">option </w:t>
      </w:r>
      <w:r w:rsidR="006A037F">
        <w:t xml:space="preserve">would reduce confusion amongst suppliers </w:t>
      </w:r>
      <w:r>
        <w:t xml:space="preserve">about which version of the Australian standard to comply with, </w:t>
      </w:r>
      <w:r w:rsidR="00C326BC">
        <w:t>by aligning</w:t>
      </w:r>
      <w:r w:rsidR="006A037F">
        <w:t xml:space="preserve"> the</w:t>
      </w:r>
      <w:r w:rsidR="006A037F" w:rsidRPr="00DB6C88">
        <w:t xml:space="preserve"> </w:t>
      </w:r>
      <w:r w:rsidR="001F0F86" w:rsidRPr="00DB6C88">
        <w:t xml:space="preserve">voluntary </w:t>
      </w:r>
      <w:r w:rsidR="001F0F86">
        <w:t xml:space="preserve">Australian </w:t>
      </w:r>
      <w:r w:rsidR="001F0F86" w:rsidRPr="00DB6C88">
        <w:t>standard and mandatory safety standard</w:t>
      </w:r>
      <w:r w:rsidR="003200ED">
        <w:t>.</w:t>
      </w:r>
      <w:r w:rsidR="003200ED" w:rsidRPr="00DB6C88">
        <w:t xml:space="preserve"> </w:t>
      </w:r>
      <w:r w:rsidR="003200ED">
        <w:t xml:space="preserve">This would make </w:t>
      </w:r>
      <w:r w:rsidR="001F0F86" w:rsidRPr="00DB6C88">
        <w:t>compliance for business easier.</w:t>
      </w:r>
    </w:p>
    <w:p w:rsidR="00A83E70" w:rsidRDefault="00A83E70" w:rsidP="001F0F86">
      <w:r>
        <w:t xml:space="preserve">The industry is familiar with the structure of the voluntary Australian standard so </w:t>
      </w:r>
      <w:r w:rsidR="00C326BC">
        <w:t xml:space="preserve">it is unlikely that there would be </w:t>
      </w:r>
      <w:r>
        <w:t>any significant change in the cost of administratio</w:t>
      </w:r>
      <w:r w:rsidR="00C326BC">
        <w:t>n and testing.</w:t>
      </w:r>
    </w:p>
    <w:p w:rsidR="00A83E70" w:rsidRDefault="00A83E70" w:rsidP="001F0F86">
      <w:r>
        <w:t xml:space="preserve">The significant penalties associated with breaching a mandatory safety standard would </w:t>
      </w:r>
      <w:r w:rsidR="00C326BC">
        <w:t>still</w:t>
      </w:r>
      <w:r>
        <w:t xml:space="preserve"> remain accessible to regulators.</w:t>
      </w:r>
    </w:p>
    <w:p w:rsidR="001F0F86" w:rsidRDefault="00CD6A37" w:rsidP="001F0F86">
      <w:pPr>
        <w:pStyle w:val="Heading3"/>
      </w:pPr>
      <w:bookmarkStart w:id="111" w:name="_Toc471460966"/>
      <w:bookmarkStart w:id="112" w:name="_Toc471461278"/>
      <w:r>
        <w:t>Limitations</w:t>
      </w:r>
      <w:bookmarkEnd w:id="111"/>
      <w:bookmarkEnd w:id="112"/>
    </w:p>
    <w:p w:rsidR="003B588F" w:rsidRPr="00816FB5" w:rsidRDefault="003B588F" w:rsidP="003B588F">
      <w:r w:rsidRPr="00816FB5">
        <w:t xml:space="preserve">Only adopting the </w:t>
      </w:r>
      <w:r>
        <w:t>updated</w:t>
      </w:r>
      <w:r w:rsidRPr="00816FB5">
        <w:t xml:space="preserve"> voluntary Australian standard would mean that importers could not rely on trusted international standards. This is at odds with fostering competition amongst </w:t>
      </w:r>
      <w:r w:rsidR="00DF0D12">
        <w:t>pram and stroller</w:t>
      </w:r>
      <w:r w:rsidRPr="00816FB5">
        <w:t xml:space="preserve"> suppliers and increasing product choice for consumers in a global marketplace</w:t>
      </w:r>
      <w:r w:rsidR="00B24C7B">
        <w:t xml:space="preserve"> without unnecessary restrictions on trade</w:t>
      </w:r>
      <w:r w:rsidRPr="00816FB5">
        <w:t>.</w:t>
      </w:r>
    </w:p>
    <w:p w:rsidR="003B588F" w:rsidRPr="00816FB5" w:rsidRDefault="003B588F" w:rsidP="003B588F">
      <w:r>
        <w:t>The v</w:t>
      </w:r>
      <w:r w:rsidRPr="00816FB5">
        <w:t xml:space="preserve">oluntary Australian standard will continue to </w:t>
      </w:r>
      <w:r>
        <w:t xml:space="preserve">change and may again become misaligned with the </w:t>
      </w:r>
      <w:r w:rsidRPr="00816FB5">
        <w:t>mandatory safety standard.</w:t>
      </w:r>
    </w:p>
    <w:p w:rsidR="004D0DF5" w:rsidRDefault="001F0F86" w:rsidP="001F0F86">
      <w:r w:rsidRPr="00DB6C88">
        <w:t xml:space="preserve">The testing costs </w:t>
      </w:r>
      <w:r w:rsidR="00DF0D12">
        <w:t xml:space="preserve">for this option </w:t>
      </w:r>
      <w:r w:rsidR="008D630F">
        <w:t>would</w:t>
      </w:r>
      <w:r w:rsidR="00DF0D12">
        <w:t xml:space="preserve"> </w:t>
      </w:r>
      <w:r>
        <w:t>be</w:t>
      </w:r>
      <w:r w:rsidRPr="00DB6C88">
        <w:t xml:space="preserve"> </w:t>
      </w:r>
      <w:r w:rsidR="008D630F">
        <w:t xml:space="preserve">similar as </w:t>
      </w:r>
      <w:r>
        <w:t>for</w:t>
      </w:r>
      <w:r w:rsidRPr="00DB6C88">
        <w:t xml:space="preserve"> the </w:t>
      </w:r>
      <w:r>
        <w:t xml:space="preserve">current </w:t>
      </w:r>
      <w:r w:rsidRPr="00DB6C88">
        <w:t>mandatory safety standard</w:t>
      </w:r>
      <w:r w:rsidR="008D630F">
        <w:t xml:space="preserve"> as </w:t>
      </w:r>
      <w:r w:rsidR="009168BE">
        <w:t xml:space="preserve">many </w:t>
      </w:r>
      <w:r w:rsidR="008D630F">
        <w:t xml:space="preserve">suppliers already have products assessed against </w:t>
      </w:r>
      <w:r w:rsidR="009168BE">
        <w:t>the requirements of the whole l</w:t>
      </w:r>
      <w:r w:rsidR="008D630F">
        <w:t>ocal standard</w:t>
      </w:r>
      <w:r w:rsidR="009168BE">
        <w:t>. T</w:t>
      </w:r>
      <w:r w:rsidRPr="00DB6C88">
        <w:t xml:space="preserve">hese </w:t>
      </w:r>
      <w:r w:rsidR="00012C20">
        <w:t xml:space="preserve">costs </w:t>
      </w:r>
      <w:r w:rsidR="00BF59FB">
        <w:t>could</w:t>
      </w:r>
      <w:r w:rsidR="00BF59FB" w:rsidRPr="00DB6C88">
        <w:t xml:space="preserve"> </w:t>
      </w:r>
      <w:r w:rsidRPr="00DB6C88">
        <w:t xml:space="preserve">decrease over time </w:t>
      </w:r>
      <w:r w:rsidR="00272364">
        <w:t>as</w:t>
      </w:r>
      <w:r w:rsidR="00272364" w:rsidRPr="00DB6C88">
        <w:t xml:space="preserve"> </w:t>
      </w:r>
      <w:r w:rsidRPr="00DB6C88">
        <w:t xml:space="preserve">the volume of the product tested </w:t>
      </w:r>
      <w:r w:rsidR="00BF59FB" w:rsidRPr="00DB6C88">
        <w:t>increase</w:t>
      </w:r>
      <w:r w:rsidR="00BF59FB">
        <w:t>d</w:t>
      </w:r>
      <w:r w:rsidRPr="00DB6C88">
        <w:t>.</w:t>
      </w:r>
    </w:p>
    <w:p w:rsidR="001F0F86" w:rsidRDefault="001F0F86" w:rsidP="001F0F86">
      <w:pPr>
        <w:pStyle w:val="Heading3"/>
      </w:pPr>
      <w:bookmarkStart w:id="113" w:name="_Toc471460967"/>
      <w:bookmarkStart w:id="114" w:name="_Toc471461279"/>
      <w:r>
        <w:t>Net benefit</w:t>
      </w:r>
      <w:bookmarkEnd w:id="113"/>
      <w:bookmarkEnd w:id="114"/>
    </w:p>
    <w:p w:rsidR="000A642F" w:rsidRDefault="00BF59FB" w:rsidP="00BF59FB">
      <w:pPr>
        <w:rPr>
          <w:rFonts w:eastAsia="Arial" w:cs="Times New Roman"/>
        </w:rPr>
      </w:pPr>
      <w:r>
        <w:rPr>
          <w:rFonts w:eastAsia="Arial" w:cs="Times New Roman"/>
        </w:rPr>
        <w:t>We</w:t>
      </w:r>
      <w:r w:rsidR="001F0F86" w:rsidRPr="003E795A">
        <w:rPr>
          <w:rFonts w:eastAsia="Arial" w:cs="Times New Roman"/>
        </w:rPr>
        <w:t xml:space="preserve"> estimate </w:t>
      </w:r>
      <w:r w:rsidRPr="003E795A">
        <w:rPr>
          <w:rFonts w:eastAsia="Arial" w:cs="Times New Roman"/>
        </w:rPr>
        <w:t>th</w:t>
      </w:r>
      <w:r>
        <w:rPr>
          <w:rFonts w:eastAsia="Arial" w:cs="Times New Roman"/>
        </w:rPr>
        <w:t>is</w:t>
      </w:r>
      <w:r w:rsidRPr="003E795A">
        <w:rPr>
          <w:rFonts w:eastAsia="Arial" w:cs="Times New Roman"/>
        </w:rPr>
        <w:t xml:space="preserve"> </w:t>
      </w:r>
      <w:r>
        <w:rPr>
          <w:rFonts w:eastAsia="Arial" w:cs="Times New Roman"/>
        </w:rPr>
        <w:t>o</w:t>
      </w:r>
      <w:r w:rsidRPr="003E795A">
        <w:rPr>
          <w:rFonts w:eastAsia="Arial" w:cs="Times New Roman"/>
        </w:rPr>
        <w:t xml:space="preserve">ption </w:t>
      </w:r>
      <w:r>
        <w:rPr>
          <w:rFonts w:eastAsia="Arial" w:cs="Times New Roman"/>
        </w:rPr>
        <w:t xml:space="preserve">would </w:t>
      </w:r>
      <w:r w:rsidR="008D630F">
        <w:rPr>
          <w:rFonts w:eastAsia="Arial" w:cs="Times New Roman"/>
        </w:rPr>
        <w:t>be largely cost neutral</w:t>
      </w:r>
      <w:r w:rsidR="009168BE">
        <w:rPr>
          <w:rFonts w:eastAsia="Arial" w:cs="Times New Roman"/>
        </w:rPr>
        <w:t xml:space="preserve"> but may result in some additional costs in terms of testing against the revised requirements in the updated standard.</w:t>
      </w:r>
      <w:r w:rsidR="005A7F94">
        <w:rPr>
          <w:rFonts w:eastAsia="Arial" w:cs="Times New Roman"/>
        </w:rPr>
        <w:t xml:space="preserve"> (See assumptions made in Appendix B).</w:t>
      </w:r>
    </w:p>
    <w:p w:rsidR="000A642F" w:rsidRPr="000A642F" w:rsidRDefault="000A642F" w:rsidP="00BF59FB">
      <w:pPr>
        <w:rPr>
          <w:rFonts w:eastAsia="Arial" w:cs="Times New Roman"/>
        </w:rPr>
      </w:pPr>
    </w:p>
    <w:p w:rsidR="00BF59FB" w:rsidRPr="00287340" w:rsidRDefault="00BF59FB" w:rsidP="00BF59FB">
      <w:pPr>
        <w:spacing w:before="120" w:after="120"/>
        <w:rPr>
          <w:b/>
        </w:rPr>
      </w:pPr>
      <w:r w:rsidRPr="00287340">
        <w:rPr>
          <w:b/>
        </w:rPr>
        <w:t xml:space="preserve">Table </w:t>
      </w:r>
      <w:r w:rsidR="00A43FEA">
        <w:rPr>
          <w:b/>
        </w:rPr>
        <w:t>1</w:t>
      </w:r>
      <w:r w:rsidRPr="00287340">
        <w:rPr>
          <w:b/>
        </w:rPr>
        <w:t xml:space="preserve">: Option </w:t>
      </w:r>
      <w:r>
        <w:rPr>
          <w:b/>
        </w:rPr>
        <w:t>2</w:t>
      </w:r>
      <w:r w:rsidRPr="00287340">
        <w:rPr>
          <w:b/>
        </w:rPr>
        <w:t xml:space="preserve"> – Regulatory burden and cost offset estimate table</w:t>
      </w:r>
    </w:p>
    <w:tbl>
      <w:tblPr>
        <w:tblStyle w:val="LightGrid-Accent2"/>
        <w:tblW w:w="9356" w:type="dxa"/>
        <w:tblLayout w:type="fixed"/>
        <w:tblLook w:val="04A0" w:firstRow="1" w:lastRow="0" w:firstColumn="1" w:lastColumn="0" w:noHBand="0" w:noVBand="1"/>
      </w:tblPr>
      <w:tblGrid>
        <w:gridCol w:w="1871"/>
        <w:gridCol w:w="1871"/>
        <w:gridCol w:w="1871"/>
        <w:gridCol w:w="1871"/>
        <w:gridCol w:w="1872"/>
      </w:tblGrid>
      <w:tr w:rsidR="001F0F86" w:rsidRPr="00DB6C88" w:rsidTr="00D603D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gridSpan w:val="5"/>
            <w:noWrap/>
          </w:tcPr>
          <w:p w:rsidR="001F0F86" w:rsidRPr="000420C2" w:rsidRDefault="001F0F86" w:rsidP="00D603D9">
            <w:pPr>
              <w:spacing w:before="200"/>
              <w:rPr>
                <w:rFonts w:eastAsia="Calibri" w:cs="Times New Roman"/>
              </w:rPr>
            </w:pPr>
            <w:r w:rsidRPr="000420C2">
              <w:rPr>
                <w:rFonts w:eastAsia="Calibri" w:cs="Times New Roman"/>
              </w:rPr>
              <w:t xml:space="preserve">Average annual regulatory costs (from business as usual) </w:t>
            </w:r>
          </w:p>
        </w:tc>
      </w:tr>
      <w:tr w:rsidR="001F0F86" w:rsidRPr="00DB6C88" w:rsidTr="00D603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noWrap/>
          </w:tcPr>
          <w:p w:rsidR="001F0F86" w:rsidRPr="000420C2" w:rsidRDefault="001F0F86" w:rsidP="00D603D9">
            <w:pPr>
              <w:spacing w:before="200"/>
              <w:rPr>
                <w:rFonts w:eastAsia="Calibri" w:cs="Times New Roman"/>
                <w:b w:val="0"/>
                <w:bCs w:val="0"/>
              </w:rPr>
            </w:pPr>
            <w:r w:rsidRPr="000420C2">
              <w:rPr>
                <w:rFonts w:eastAsia="Calibri" w:cs="Times New Roman"/>
                <w:b w:val="0"/>
                <w:bCs w:val="0"/>
              </w:rPr>
              <w:t>Change in costs ($ million)</w:t>
            </w:r>
          </w:p>
        </w:tc>
        <w:tc>
          <w:tcPr>
            <w:tcW w:w="1871" w:type="dxa"/>
            <w:noWrap/>
          </w:tcPr>
          <w:p w:rsidR="001F0F86" w:rsidRPr="00DB6C88" w:rsidRDefault="001F0F86" w:rsidP="00D603D9">
            <w:pPr>
              <w:spacing w:before="200"/>
              <w:cnfStyle w:val="000000100000" w:firstRow="0" w:lastRow="0" w:firstColumn="0" w:lastColumn="0" w:oddVBand="0" w:evenVBand="0" w:oddHBand="1" w:evenHBand="0" w:firstRowFirstColumn="0" w:firstRowLastColumn="0" w:lastRowFirstColumn="0" w:lastRowLastColumn="0"/>
              <w:rPr>
                <w:bCs/>
              </w:rPr>
            </w:pPr>
            <w:r w:rsidRPr="00DB6C88">
              <w:rPr>
                <w:bCs/>
              </w:rPr>
              <w:t>Business</w:t>
            </w:r>
          </w:p>
        </w:tc>
        <w:tc>
          <w:tcPr>
            <w:tcW w:w="1871" w:type="dxa"/>
            <w:noWrap/>
          </w:tcPr>
          <w:p w:rsidR="001F0F86" w:rsidRPr="00DB6C88" w:rsidRDefault="001F0F86" w:rsidP="00D603D9">
            <w:pPr>
              <w:spacing w:before="200"/>
              <w:cnfStyle w:val="000000100000" w:firstRow="0" w:lastRow="0" w:firstColumn="0" w:lastColumn="0" w:oddVBand="0" w:evenVBand="0" w:oddHBand="1" w:evenHBand="0" w:firstRowFirstColumn="0" w:firstRowLastColumn="0" w:lastRowFirstColumn="0" w:lastRowLastColumn="0"/>
            </w:pPr>
            <w:r w:rsidRPr="00DB6C88">
              <w:t>Community organisations</w:t>
            </w:r>
          </w:p>
        </w:tc>
        <w:tc>
          <w:tcPr>
            <w:tcW w:w="1871" w:type="dxa"/>
            <w:noWrap/>
          </w:tcPr>
          <w:p w:rsidR="001F0F86" w:rsidRPr="00DB6C88" w:rsidRDefault="001F0F86" w:rsidP="00D603D9">
            <w:pPr>
              <w:spacing w:before="200"/>
              <w:cnfStyle w:val="000000100000" w:firstRow="0" w:lastRow="0" w:firstColumn="0" w:lastColumn="0" w:oddVBand="0" w:evenVBand="0" w:oddHBand="1" w:evenHBand="0" w:firstRowFirstColumn="0" w:firstRowLastColumn="0" w:lastRowFirstColumn="0" w:lastRowLastColumn="0"/>
            </w:pPr>
            <w:r w:rsidRPr="00DB6C88">
              <w:t>Individuals</w:t>
            </w:r>
          </w:p>
        </w:tc>
        <w:tc>
          <w:tcPr>
            <w:tcW w:w="1872" w:type="dxa"/>
            <w:noWrap/>
          </w:tcPr>
          <w:p w:rsidR="001F0F86" w:rsidRPr="00DB6C88" w:rsidRDefault="001F0F86" w:rsidP="00D603D9">
            <w:pPr>
              <w:spacing w:before="200"/>
              <w:cnfStyle w:val="000000100000" w:firstRow="0" w:lastRow="0" w:firstColumn="0" w:lastColumn="0" w:oddVBand="0" w:evenVBand="0" w:oddHBand="1" w:evenHBand="0" w:firstRowFirstColumn="0" w:firstRowLastColumn="0" w:lastRowFirstColumn="0" w:lastRowLastColumn="0"/>
            </w:pPr>
            <w:r w:rsidRPr="00DB6C88">
              <w:t>Total change in costs</w:t>
            </w:r>
          </w:p>
        </w:tc>
      </w:tr>
      <w:tr w:rsidR="001F0F86" w:rsidRPr="00DB6C88" w:rsidTr="00D603D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noWrap/>
          </w:tcPr>
          <w:p w:rsidR="001F0F86" w:rsidRPr="000420C2" w:rsidRDefault="001F0F86" w:rsidP="00D603D9">
            <w:pPr>
              <w:spacing w:before="200"/>
              <w:rPr>
                <w:rFonts w:eastAsia="Calibri" w:cs="Times New Roman"/>
                <w:b w:val="0"/>
              </w:rPr>
            </w:pPr>
            <w:r w:rsidRPr="000420C2">
              <w:rPr>
                <w:rFonts w:eastAsia="Calibri" w:cs="Times New Roman"/>
                <w:b w:val="0"/>
              </w:rPr>
              <w:t>Total, by sector</w:t>
            </w:r>
          </w:p>
        </w:tc>
        <w:tc>
          <w:tcPr>
            <w:tcW w:w="1871" w:type="dxa"/>
            <w:noWrap/>
          </w:tcPr>
          <w:p w:rsidR="001F0F86" w:rsidRPr="00DB6C88" w:rsidRDefault="001F0F86" w:rsidP="00D603D9">
            <w:pPr>
              <w:spacing w:before="200"/>
              <w:cnfStyle w:val="000000010000" w:firstRow="0" w:lastRow="0" w:firstColumn="0" w:lastColumn="0" w:oddVBand="0" w:evenVBand="0" w:oddHBand="0" w:evenHBand="1" w:firstRowFirstColumn="0" w:firstRowLastColumn="0" w:lastRowFirstColumn="0" w:lastRowLastColumn="0"/>
            </w:pPr>
            <w:r w:rsidRPr="00DB6C88">
              <w:t xml:space="preserve">$ </w:t>
            </w:r>
            <w:r>
              <w:t>0</w:t>
            </w:r>
            <w:r w:rsidRPr="00DB6C88">
              <w:t>.</w:t>
            </w:r>
            <w:r>
              <w:t>1</w:t>
            </w:r>
            <w:r w:rsidR="00BF59FB">
              <w:t>m</w:t>
            </w:r>
          </w:p>
        </w:tc>
        <w:tc>
          <w:tcPr>
            <w:tcW w:w="1871" w:type="dxa"/>
            <w:noWrap/>
          </w:tcPr>
          <w:p w:rsidR="001F0F86" w:rsidRPr="00DB6C88" w:rsidRDefault="001F0F86" w:rsidP="00D603D9">
            <w:pPr>
              <w:spacing w:before="200"/>
              <w:cnfStyle w:val="000000010000" w:firstRow="0" w:lastRow="0" w:firstColumn="0" w:lastColumn="0" w:oddVBand="0" w:evenVBand="0" w:oddHBand="0" w:evenHBand="1" w:firstRowFirstColumn="0" w:firstRowLastColumn="0" w:lastRowFirstColumn="0" w:lastRowLastColumn="0"/>
            </w:pPr>
            <w:r w:rsidRPr="00DB6C88">
              <w:t>$ 0</w:t>
            </w:r>
          </w:p>
        </w:tc>
        <w:tc>
          <w:tcPr>
            <w:tcW w:w="1871" w:type="dxa"/>
            <w:noWrap/>
          </w:tcPr>
          <w:p w:rsidR="001F0F86" w:rsidRPr="00DB6C88" w:rsidRDefault="001F0F86" w:rsidP="00D603D9">
            <w:pPr>
              <w:spacing w:before="200"/>
              <w:cnfStyle w:val="000000010000" w:firstRow="0" w:lastRow="0" w:firstColumn="0" w:lastColumn="0" w:oddVBand="0" w:evenVBand="0" w:oddHBand="0" w:evenHBand="1" w:firstRowFirstColumn="0" w:firstRowLastColumn="0" w:lastRowFirstColumn="0" w:lastRowLastColumn="0"/>
            </w:pPr>
            <w:r w:rsidRPr="00DB6C88">
              <w:t>$ 0</w:t>
            </w:r>
          </w:p>
        </w:tc>
        <w:tc>
          <w:tcPr>
            <w:tcW w:w="1872" w:type="dxa"/>
            <w:noWrap/>
          </w:tcPr>
          <w:p w:rsidR="001F0F86" w:rsidRPr="00DB6C88" w:rsidRDefault="001F0F86" w:rsidP="00D603D9">
            <w:pPr>
              <w:spacing w:before="200"/>
              <w:cnfStyle w:val="000000010000" w:firstRow="0" w:lastRow="0" w:firstColumn="0" w:lastColumn="0" w:oddVBand="0" w:evenVBand="0" w:oddHBand="0" w:evenHBand="1" w:firstRowFirstColumn="0" w:firstRowLastColumn="0" w:lastRowFirstColumn="0" w:lastRowLastColumn="0"/>
            </w:pPr>
            <w:r w:rsidRPr="00DB6C88">
              <w:t xml:space="preserve">$ </w:t>
            </w:r>
            <w:r>
              <w:t>0</w:t>
            </w:r>
            <w:r w:rsidRPr="00DB6C88">
              <w:t>.</w:t>
            </w:r>
            <w:r>
              <w:t>1</w:t>
            </w:r>
            <w:r w:rsidR="00BF59FB">
              <w:t>m</w:t>
            </w:r>
          </w:p>
        </w:tc>
      </w:tr>
    </w:tbl>
    <w:p w:rsidR="000715E7" w:rsidRDefault="000715E7" w:rsidP="000715E7">
      <w:pPr>
        <w:pStyle w:val="Heading2"/>
        <w:spacing w:before="0"/>
        <w:rPr>
          <w:b w:val="0"/>
        </w:rPr>
      </w:pPr>
    </w:p>
    <w:p w:rsidR="001F0F86" w:rsidRPr="00982FCC" w:rsidRDefault="00E82565" w:rsidP="00982FCC">
      <w:pPr>
        <w:pStyle w:val="Heading2"/>
        <w:rPr>
          <w:b w:val="0"/>
        </w:rPr>
      </w:pPr>
      <w:bookmarkStart w:id="115" w:name="_Toc471461280"/>
      <w:r>
        <w:rPr>
          <w:b w:val="0"/>
        </w:rPr>
        <w:lastRenderedPageBreak/>
        <w:t>Option 3</w:t>
      </w:r>
      <w:r w:rsidR="00CD6A37">
        <w:rPr>
          <w:b w:val="0"/>
        </w:rPr>
        <w:t xml:space="preserve"> – Allow compliance with the </w:t>
      </w:r>
      <w:r w:rsidR="001F0F86" w:rsidRPr="000420C2">
        <w:rPr>
          <w:b w:val="0"/>
        </w:rPr>
        <w:t xml:space="preserve">voluntary Australian </w:t>
      </w:r>
      <w:r w:rsidR="00CD6A37">
        <w:rPr>
          <w:b w:val="0"/>
        </w:rPr>
        <w:t xml:space="preserve">or trusted </w:t>
      </w:r>
      <w:r w:rsidR="001F0F86" w:rsidRPr="000420C2">
        <w:rPr>
          <w:b w:val="0"/>
        </w:rPr>
        <w:t>international standards</w:t>
      </w:r>
      <w:bookmarkEnd w:id="115"/>
    </w:p>
    <w:p w:rsidR="001F0F86" w:rsidRDefault="001F0F86" w:rsidP="001F0F86">
      <w:pPr>
        <w:pStyle w:val="Heading3"/>
      </w:pPr>
      <w:bookmarkStart w:id="116" w:name="_Toc471460969"/>
      <w:bookmarkStart w:id="117" w:name="_Toc471461281"/>
      <w:r>
        <w:t>Description</w:t>
      </w:r>
      <w:bookmarkEnd w:id="116"/>
      <w:bookmarkEnd w:id="117"/>
    </w:p>
    <w:p w:rsidR="00AF5314" w:rsidRDefault="00C51A64" w:rsidP="007E0BC2">
      <w:r w:rsidRPr="000C7576">
        <w:t>Th</w:t>
      </w:r>
      <w:r>
        <w:t xml:space="preserve">is option </w:t>
      </w:r>
      <w:r w:rsidR="001F0F86" w:rsidRPr="00453EB9">
        <w:t xml:space="preserve">would </w:t>
      </w:r>
      <w:r w:rsidR="001F0F86">
        <w:t>allow</w:t>
      </w:r>
      <w:r w:rsidR="001F0F86" w:rsidRPr="00453EB9">
        <w:t xml:space="preserve"> </w:t>
      </w:r>
      <w:r w:rsidR="002A25C0">
        <w:t>suppliers</w:t>
      </w:r>
      <w:r w:rsidR="001F0F86" w:rsidRPr="00453EB9">
        <w:t xml:space="preserve"> </w:t>
      </w:r>
      <w:r w:rsidR="001F0F86">
        <w:t>to</w:t>
      </w:r>
      <w:r w:rsidR="001F0F86" w:rsidRPr="00453EB9">
        <w:t xml:space="preserve"> comply with </w:t>
      </w:r>
      <w:r w:rsidR="002A25C0">
        <w:t xml:space="preserve">either </w:t>
      </w:r>
      <w:r w:rsidR="001F0F86" w:rsidRPr="00453EB9">
        <w:t xml:space="preserve">the </w:t>
      </w:r>
      <w:r w:rsidR="006A4F07">
        <w:t>parts</w:t>
      </w:r>
      <w:r w:rsidR="001F0F86">
        <w:t xml:space="preserve"> of </w:t>
      </w:r>
      <w:r w:rsidR="006A4F07">
        <w:t xml:space="preserve">the voluntary </w:t>
      </w:r>
      <w:r w:rsidR="001F0F86" w:rsidRPr="00453EB9">
        <w:t xml:space="preserve">Australian standard </w:t>
      </w:r>
      <w:r w:rsidR="001F0F86">
        <w:t xml:space="preserve">outlined in Option </w:t>
      </w:r>
      <w:r w:rsidR="00292B4F">
        <w:t>2</w:t>
      </w:r>
      <w:r w:rsidR="001F0F86">
        <w:t xml:space="preserve">, </w:t>
      </w:r>
      <w:r w:rsidR="001F0F86" w:rsidRPr="00453EB9">
        <w:t xml:space="preserve">or the </w:t>
      </w:r>
      <w:r w:rsidR="001F0F86">
        <w:t xml:space="preserve">equivalent sections of the </w:t>
      </w:r>
      <w:r w:rsidR="001F0F86" w:rsidRPr="00453EB9">
        <w:t>ASTM</w:t>
      </w:r>
      <w:r w:rsidR="001F0F86">
        <w:t xml:space="preserve"> or European </w:t>
      </w:r>
      <w:r w:rsidR="001F0F86" w:rsidRPr="00453EB9">
        <w:t>standards</w:t>
      </w:r>
      <w:r w:rsidR="003520E8">
        <w:t xml:space="preserve">, </w:t>
      </w:r>
      <w:r>
        <w:t>if</w:t>
      </w:r>
      <w:r w:rsidR="003520E8">
        <w:t xml:space="preserve"> the </w:t>
      </w:r>
      <w:r w:rsidR="006E343F">
        <w:t>p</w:t>
      </w:r>
      <w:r w:rsidR="003520E8">
        <w:t>roduct also met safety requirements for tether straps and red brake</w:t>
      </w:r>
      <w:r w:rsidR="00287340">
        <w:t>s</w:t>
      </w:r>
      <w:r w:rsidR="009C42F9">
        <w:t>. (Refer to Appendix C for details)</w:t>
      </w:r>
      <w:r w:rsidR="00AF5314">
        <w:t>.</w:t>
      </w:r>
    </w:p>
    <w:p w:rsidR="001F0F86" w:rsidRDefault="001F0F86" w:rsidP="001F0F86">
      <w:pPr>
        <w:pStyle w:val="Heading3"/>
      </w:pPr>
      <w:bookmarkStart w:id="118" w:name="_Toc471460970"/>
      <w:bookmarkStart w:id="119" w:name="_Toc471461282"/>
      <w:r w:rsidRPr="003E29CE">
        <w:t>Benefits</w:t>
      </w:r>
      <w:bookmarkEnd w:id="118"/>
      <w:bookmarkEnd w:id="119"/>
    </w:p>
    <w:p w:rsidR="000B3A30" w:rsidRDefault="000B3A30" w:rsidP="004E73DD">
      <w:r>
        <w:t>The safety improvements of Option 2 are also benefits of Option 3.</w:t>
      </w:r>
    </w:p>
    <w:p w:rsidR="004E73DD" w:rsidRDefault="004E73DD" w:rsidP="004E73DD">
      <w:r>
        <w:t>The option to test products for compliance with trusted international standards would likely reduce compliance costs for suppliers.</w:t>
      </w:r>
    </w:p>
    <w:p w:rsidR="004E73DD" w:rsidRDefault="004E73DD" w:rsidP="004E73DD">
      <w:r>
        <w:t>This option could reduce barriers to market entry and increase competition in the industry. Suppliers import most prams and strollers into Australia, so allowing them to source and sell products that comply with trusted international standards could give consumers a greater choice of products and could reduce prices.</w:t>
      </w:r>
    </w:p>
    <w:p w:rsidR="004E73DD" w:rsidRDefault="004E73DD" w:rsidP="004E73DD">
      <w:r>
        <w:t>As with Option 2, the significant penalties for a breach of a mandatory safety standard would also remain.</w:t>
      </w:r>
    </w:p>
    <w:p w:rsidR="001F0F86" w:rsidRDefault="00CD6A37" w:rsidP="001F0F86">
      <w:pPr>
        <w:pStyle w:val="Heading3"/>
      </w:pPr>
      <w:bookmarkStart w:id="120" w:name="_Toc471460971"/>
      <w:bookmarkStart w:id="121" w:name="_Toc471461283"/>
      <w:r>
        <w:t>Limitations</w:t>
      </w:r>
      <w:bookmarkEnd w:id="120"/>
      <w:bookmarkEnd w:id="121"/>
    </w:p>
    <w:p w:rsidR="004E73DD" w:rsidRPr="00EC0FD6" w:rsidRDefault="004E73DD" w:rsidP="00EC0FD6">
      <w:r w:rsidRPr="00EC0FD6">
        <w:t xml:space="preserve">Allowing </w:t>
      </w:r>
      <w:r w:rsidR="001F0F86" w:rsidRPr="00EC0FD6">
        <w:t xml:space="preserve">compliance </w:t>
      </w:r>
      <w:r w:rsidR="008559F1" w:rsidRPr="00EC0FD6">
        <w:t xml:space="preserve">with </w:t>
      </w:r>
      <w:r w:rsidRPr="00EC0FD6">
        <w:t xml:space="preserve">multiple voluntary </w:t>
      </w:r>
      <w:r w:rsidR="001F0F86" w:rsidRPr="00EC0FD6">
        <w:t xml:space="preserve">standards </w:t>
      </w:r>
      <w:r w:rsidRPr="00EC0FD6">
        <w:t xml:space="preserve">could </w:t>
      </w:r>
      <w:r w:rsidR="002D4D20" w:rsidRPr="00EC0FD6">
        <w:t>make</w:t>
      </w:r>
      <w:r w:rsidR="001F0F86" w:rsidRPr="00EC0FD6">
        <w:t xml:space="preserve"> enforcement </w:t>
      </w:r>
      <w:r w:rsidRPr="00EC0FD6">
        <w:t>of the mandatory safety standards slightly more difficult for regulators.</w:t>
      </w:r>
    </w:p>
    <w:p w:rsidR="001F0F86" w:rsidRDefault="001F0F86" w:rsidP="001F0F86">
      <w:pPr>
        <w:pStyle w:val="Heading3"/>
      </w:pPr>
      <w:bookmarkStart w:id="122" w:name="_Toc471460972"/>
      <w:bookmarkStart w:id="123" w:name="_Toc471461284"/>
      <w:r>
        <w:t>Net benefit</w:t>
      </w:r>
      <w:bookmarkEnd w:id="122"/>
      <w:bookmarkEnd w:id="123"/>
    </w:p>
    <w:p w:rsidR="00287340" w:rsidRDefault="00287340" w:rsidP="00287340">
      <w:r>
        <w:t>We</w:t>
      </w:r>
      <w:r w:rsidR="001F0F86">
        <w:t xml:space="preserve"> estimate</w:t>
      </w:r>
      <w:r>
        <w:t xml:space="preserve"> this option would be c</w:t>
      </w:r>
      <w:r w:rsidR="008E5AD6">
        <w:t>ost neutral for industry</w:t>
      </w:r>
      <w:r w:rsidR="001F0F86">
        <w:t xml:space="preserve">. </w:t>
      </w:r>
      <w:r>
        <w:t>Increased testing costs for suppliers that test to the updated voluntary Australian standard (same as Option 2) would offset reduced testing costs for those suppliers who test to international standards. A</w:t>
      </w:r>
      <w:r w:rsidR="009C42F9">
        <w:t xml:space="preserve">ppendix B provides an </w:t>
      </w:r>
      <w:r w:rsidR="008E5AD6">
        <w:t>outline of assumptions made as part</w:t>
      </w:r>
      <w:r>
        <w:t xml:space="preserve"> of the</w:t>
      </w:r>
      <w:r w:rsidR="008E5AD6">
        <w:t>se cost estimates</w:t>
      </w:r>
      <w:r>
        <w:t>.</w:t>
      </w:r>
    </w:p>
    <w:p w:rsidR="000715E7" w:rsidRDefault="000715E7" w:rsidP="00287340">
      <w:pPr>
        <w:spacing w:before="120" w:after="120"/>
        <w:rPr>
          <w:b/>
        </w:rPr>
      </w:pPr>
    </w:p>
    <w:p w:rsidR="00287340" w:rsidRPr="00287340" w:rsidRDefault="00287340" w:rsidP="00287340">
      <w:pPr>
        <w:spacing w:before="120" w:after="120"/>
        <w:rPr>
          <w:b/>
        </w:rPr>
      </w:pPr>
      <w:r w:rsidRPr="00287340">
        <w:rPr>
          <w:b/>
        </w:rPr>
        <w:t xml:space="preserve">Table </w:t>
      </w:r>
      <w:r w:rsidR="00A43FEA">
        <w:rPr>
          <w:b/>
        </w:rPr>
        <w:t>2</w:t>
      </w:r>
      <w:r w:rsidRPr="00287340">
        <w:rPr>
          <w:b/>
        </w:rPr>
        <w:t xml:space="preserve">: Option </w:t>
      </w:r>
      <w:r>
        <w:rPr>
          <w:b/>
        </w:rPr>
        <w:t>3</w:t>
      </w:r>
      <w:r w:rsidRPr="00287340">
        <w:rPr>
          <w:b/>
        </w:rPr>
        <w:t xml:space="preserve"> – Regulatory burden and cost offset estimate table</w:t>
      </w:r>
    </w:p>
    <w:tbl>
      <w:tblPr>
        <w:tblStyle w:val="LightGrid-Accent2"/>
        <w:tblW w:w="9356" w:type="dxa"/>
        <w:tblInd w:w="108" w:type="dxa"/>
        <w:tblLayout w:type="fixed"/>
        <w:tblLook w:val="04A0" w:firstRow="1" w:lastRow="0" w:firstColumn="1" w:lastColumn="0" w:noHBand="0" w:noVBand="1"/>
      </w:tblPr>
      <w:tblGrid>
        <w:gridCol w:w="1871"/>
        <w:gridCol w:w="1871"/>
        <w:gridCol w:w="1871"/>
        <w:gridCol w:w="1871"/>
        <w:gridCol w:w="1872"/>
      </w:tblGrid>
      <w:tr w:rsidR="001F0F86" w:rsidRPr="003435C6" w:rsidTr="00D603D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356" w:type="dxa"/>
            <w:gridSpan w:val="5"/>
            <w:noWrap/>
          </w:tcPr>
          <w:p w:rsidR="001F0F86" w:rsidRPr="00952AC7" w:rsidRDefault="001F0F86" w:rsidP="00D603D9">
            <w:pPr>
              <w:rPr>
                <w:sz w:val="20"/>
                <w:szCs w:val="20"/>
              </w:rPr>
            </w:pPr>
            <w:r w:rsidRPr="00952AC7">
              <w:rPr>
                <w:sz w:val="20"/>
                <w:szCs w:val="20"/>
              </w:rPr>
              <w:t>Average annual regulatory costs (from business as usual)</w:t>
            </w:r>
          </w:p>
        </w:tc>
      </w:tr>
      <w:tr w:rsidR="001F0F86" w:rsidRPr="003435C6" w:rsidTr="00D603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noWrap/>
          </w:tcPr>
          <w:p w:rsidR="001F0F86" w:rsidRPr="003435C6" w:rsidRDefault="001F0F86" w:rsidP="00D603D9">
            <w:pPr>
              <w:pStyle w:val="TableText0"/>
              <w:rPr>
                <w:b w:val="0"/>
              </w:rPr>
            </w:pPr>
            <w:r w:rsidRPr="003435C6">
              <w:rPr>
                <w:b w:val="0"/>
              </w:rPr>
              <w:t>Change in costs ($</w:t>
            </w:r>
            <w:r>
              <w:rPr>
                <w:b w:val="0"/>
              </w:rPr>
              <w:t> </w:t>
            </w:r>
            <w:r w:rsidRPr="003435C6">
              <w:rPr>
                <w:b w:val="0"/>
              </w:rPr>
              <w:t>million)</w:t>
            </w:r>
          </w:p>
        </w:tc>
        <w:tc>
          <w:tcPr>
            <w:tcW w:w="1871" w:type="dxa"/>
            <w:noWrap/>
          </w:tcPr>
          <w:p w:rsidR="001F0F86" w:rsidRPr="003435C6" w:rsidRDefault="001F0F86" w:rsidP="00D603D9">
            <w:pPr>
              <w:pStyle w:val="TableText0"/>
              <w:cnfStyle w:val="000000100000" w:firstRow="0" w:lastRow="0" w:firstColumn="0" w:lastColumn="0" w:oddVBand="0" w:evenVBand="0" w:oddHBand="1" w:evenHBand="0" w:firstRowFirstColumn="0" w:firstRowLastColumn="0" w:lastRowFirstColumn="0" w:lastRowLastColumn="0"/>
            </w:pPr>
            <w:r w:rsidRPr="003435C6">
              <w:t>Business</w:t>
            </w:r>
          </w:p>
        </w:tc>
        <w:tc>
          <w:tcPr>
            <w:tcW w:w="1871" w:type="dxa"/>
            <w:noWrap/>
          </w:tcPr>
          <w:p w:rsidR="001F0F86" w:rsidRPr="003435C6" w:rsidRDefault="001F0F86" w:rsidP="00D603D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Community o</w:t>
            </w:r>
            <w:r w:rsidRPr="003435C6">
              <w:rPr>
                <w:sz w:val="20"/>
                <w:szCs w:val="20"/>
              </w:rPr>
              <w:t>rganisations</w:t>
            </w:r>
          </w:p>
        </w:tc>
        <w:tc>
          <w:tcPr>
            <w:tcW w:w="1871" w:type="dxa"/>
            <w:noWrap/>
          </w:tcPr>
          <w:p w:rsidR="001F0F86" w:rsidRPr="003435C6" w:rsidRDefault="001F0F86" w:rsidP="00D603D9">
            <w:pPr>
              <w:cnfStyle w:val="000000100000" w:firstRow="0" w:lastRow="0" w:firstColumn="0" w:lastColumn="0" w:oddVBand="0" w:evenVBand="0" w:oddHBand="1" w:evenHBand="0" w:firstRowFirstColumn="0" w:firstRowLastColumn="0" w:lastRowFirstColumn="0" w:lastRowLastColumn="0"/>
              <w:rPr>
                <w:sz w:val="20"/>
                <w:szCs w:val="20"/>
              </w:rPr>
            </w:pPr>
            <w:r w:rsidRPr="003435C6">
              <w:rPr>
                <w:sz w:val="20"/>
                <w:szCs w:val="20"/>
              </w:rPr>
              <w:t>Individuals</w:t>
            </w:r>
          </w:p>
        </w:tc>
        <w:tc>
          <w:tcPr>
            <w:tcW w:w="1872" w:type="dxa"/>
            <w:noWrap/>
          </w:tcPr>
          <w:p w:rsidR="001F0F86" w:rsidRPr="003435C6" w:rsidRDefault="001F0F86" w:rsidP="00D603D9">
            <w:pPr>
              <w:cnfStyle w:val="000000100000" w:firstRow="0" w:lastRow="0" w:firstColumn="0" w:lastColumn="0" w:oddVBand="0" w:evenVBand="0" w:oddHBand="1" w:evenHBand="0" w:firstRowFirstColumn="0" w:firstRowLastColumn="0" w:lastRowFirstColumn="0" w:lastRowLastColumn="0"/>
              <w:rPr>
                <w:sz w:val="20"/>
                <w:szCs w:val="20"/>
              </w:rPr>
            </w:pPr>
            <w:r w:rsidRPr="003435C6">
              <w:rPr>
                <w:sz w:val="20"/>
                <w:szCs w:val="20"/>
              </w:rPr>
              <w:t>Total change in cost</w:t>
            </w:r>
            <w:r>
              <w:rPr>
                <w:sz w:val="20"/>
                <w:szCs w:val="20"/>
              </w:rPr>
              <w:t>s</w:t>
            </w:r>
          </w:p>
        </w:tc>
      </w:tr>
      <w:tr w:rsidR="001F0F86" w:rsidRPr="003435C6" w:rsidTr="00D603D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noWrap/>
          </w:tcPr>
          <w:p w:rsidR="001F0F86" w:rsidRPr="003435C6" w:rsidRDefault="001F0F86" w:rsidP="00D603D9">
            <w:pPr>
              <w:rPr>
                <w:b w:val="0"/>
                <w:sz w:val="20"/>
                <w:szCs w:val="20"/>
              </w:rPr>
            </w:pPr>
            <w:r>
              <w:rPr>
                <w:b w:val="0"/>
                <w:sz w:val="20"/>
                <w:szCs w:val="20"/>
              </w:rPr>
              <w:t>Total, by s</w:t>
            </w:r>
            <w:r w:rsidRPr="003435C6">
              <w:rPr>
                <w:b w:val="0"/>
                <w:sz w:val="20"/>
                <w:szCs w:val="20"/>
              </w:rPr>
              <w:t>ector</w:t>
            </w:r>
          </w:p>
        </w:tc>
        <w:tc>
          <w:tcPr>
            <w:tcW w:w="1871" w:type="dxa"/>
            <w:noWrap/>
          </w:tcPr>
          <w:p w:rsidR="001F0F86" w:rsidRPr="003435C6" w:rsidRDefault="00BC608C" w:rsidP="00D603D9">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($ 0</w:t>
            </w:r>
            <w:r w:rsidR="001F0F86">
              <w:rPr>
                <w:sz w:val="20"/>
                <w:szCs w:val="20"/>
              </w:rPr>
              <w:t>)</w:t>
            </w:r>
          </w:p>
        </w:tc>
        <w:tc>
          <w:tcPr>
            <w:tcW w:w="1871" w:type="dxa"/>
            <w:noWrap/>
          </w:tcPr>
          <w:p w:rsidR="001F0F86" w:rsidRPr="003435C6" w:rsidRDefault="001F0F86" w:rsidP="00D603D9">
            <w:pPr>
              <w:cnfStyle w:val="000000010000" w:firstRow="0" w:lastRow="0" w:firstColumn="0" w:lastColumn="0" w:oddVBand="0" w:evenVBand="0" w:oddHBand="0" w:evenHBand="1" w:firstRowFirstColumn="0" w:firstRowLastColumn="0" w:lastRowFirstColumn="0" w:lastRowLastColumn="0"/>
              <w:rPr>
                <w:sz w:val="20"/>
                <w:szCs w:val="20"/>
              </w:rPr>
            </w:pPr>
            <w:r w:rsidRPr="003435C6">
              <w:rPr>
                <w:sz w:val="20"/>
                <w:szCs w:val="20"/>
              </w:rPr>
              <w:t>$</w:t>
            </w:r>
            <w:r>
              <w:rPr>
                <w:sz w:val="20"/>
                <w:szCs w:val="20"/>
              </w:rPr>
              <w:t xml:space="preserve"> 0</w:t>
            </w:r>
          </w:p>
        </w:tc>
        <w:tc>
          <w:tcPr>
            <w:tcW w:w="1871" w:type="dxa"/>
            <w:noWrap/>
          </w:tcPr>
          <w:p w:rsidR="001F0F86" w:rsidRPr="003435C6" w:rsidRDefault="001F0F86" w:rsidP="00D603D9">
            <w:pPr>
              <w:cnfStyle w:val="000000010000" w:firstRow="0" w:lastRow="0" w:firstColumn="0" w:lastColumn="0" w:oddVBand="0" w:evenVBand="0" w:oddHBand="0" w:evenHBand="1" w:firstRowFirstColumn="0" w:firstRowLastColumn="0" w:lastRowFirstColumn="0" w:lastRowLastColumn="0"/>
              <w:rPr>
                <w:sz w:val="20"/>
                <w:szCs w:val="20"/>
              </w:rPr>
            </w:pPr>
            <w:r w:rsidRPr="003435C6">
              <w:rPr>
                <w:sz w:val="20"/>
                <w:szCs w:val="20"/>
              </w:rPr>
              <w:t>$</w:t>
            </w:r>
            <w:r>
              <w:rPr>
                <w:sz w:val="20"/>
                <w:szCs w:val="20"/>
              </w:rPr>
              <w:t xml:space="preserve"> 0</w:t>
            </w:r>
          </w:p>
        </w:tc>
        <w:tc>
          <w:tcPr>
            <w:tcW w:w="1872" w:type="dxa"/>
            <w:noWrap/>
          </w:tcPr>
          <w:p w:rsidR="001F0F86" w:rsidRPr="003435C6" w:rsidRDefault="00BC608C" w:rsidP="00D603D9">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($ 0</w:t>
            </w:r>
            <w:r w:rsidR="001F0F86">
              <w:rPr>
                <w:sz w:val="20"/>
                <w:szCs w:val="20"/>
              </w:rPr>
              <w:t>)</w:t>
            </w:r>
          </w:p>
        </w:tc>
      </w:tr>
    </w:tbl>
    <w:p w:rsidR="000715E7" w:rsidRDefault="000715E7" w:rsidP="000715E7">
      <w:pPr>
        <w:pStyle w:val="Heading2"/>
        <w:spacing w:before="0"/>
        <w:rPr>
          <w:b w:val="0"/>
        </w:rPr>
      </w:pPr>
    </w:p>
    <w:p w:rsidR="003200ED" w:rsidRDefault="003200ED">
      <w:pPr>
        <w:rPr>
          <w:rFonts w:eastAsiaTheme="majorEastAsia" w:cstheme="majorBidi"/>
          <w:bCs/>
          <w:color w:val="51626F"/>
          <w:sz w:val="28"/>
          <w:szCs w:val="26"/>
        </w:rPr>
      </w:pPr>
      <w:r>
        <w:rPr>
          <w:b/>
        </w:rPr>
        <w:br w:type="page"/>
      </w:r>
    </w:p>
    <w:p w:rsidR="00E82565" w:rsidRPr="00B9799F" w:rsidRDefault="00E82565" w:rsidP="00E82565">
      <w:pPr>
        <w:pStyle w:val="Heading2"/>
        <w:rPr>
          <w:b w:val="0"/>
          <w:i/>
        </w:rPr>
      </w:pPr>
      <w:bookmarkStart w:id="124" w:name="_Toc471461285"/>
      <w:r w:rsidRPr="00BE7B50">
        <w:rPr>
          <w:b w:val="0"/>
        </w:rPr>
        <w:lastRenderedPageBreak/>
        <w:t xml:space="preserve">Option </w:t>
      </w:r>
      <w:r>
        <w:rPr>
          <w:b w:val="0"/>
        </w:rPr>
        <w:t>4</w:t>
      </w:r>
      <w:r w:rsidRPr="00BE7B50">
        <w:rPr>
          <w:b w:val="0"/>
        </w:rPr>
        <w:t xml:space="preserve">: </w:t>
      </w:r>
      <w:r>
        <w:rPr>
          <w:b w:val="0"/>
        </w:rPr>
        <w:t>Revok</w:t>
      </w:r>
      <w:r w:rsidRPr="00BE7B50">
        <w:rPr>
          <w:b w:val="0"/>
        </w:rPr>
        <w:t>e the mandatory safety standard</w:t>
      </w:r>
      <w:bookmarkEnd w:id="124"/>
      <w:r w:rsidRPr="00BE7B50">
        <w:rPr>
          <w:b w:val="0"/>
        </w:rPr>
        <w:t xml:space="preserve"> </w:t>
      </w:r>
    </w:p>
    <w:p w:rsidR="00E82565" w:rsidRPr="00B9799F" w:rsidRDefault="00E82565" w:rsidP="00E82565">
      <w:pPr>
        <w:rPr>
          <w:b/>
          <w:sz w:val="24"/>
          <w:szCs w:val="24"/>
        </w:rPr>
      </w:pPr>
      <w:r w:rsidRPr="00B9799F">
        <w:rPr>
          <w:b/>
          <w:sz w:val="24"/>
          <w:szCs w:val="24"/>
        </w:rPr>
        <w:t>Description</w:t>
      </w:r>
    </w:p>
    <w:p w:rsidR="00E82565" w:rsidRDefault="00AA04F7" w:rsidP="00E82565">
      <w:r>
        <w:t xml:space="preserve">Revoking </w:t>
      </w:r>
      <w:r w:rsidR="00E82565">
        <w:t>the safety</w:t>
      </w:r>
      <w:r w:rsidR="00E82565" w:rsidRPr="005B5DFC">
        <w:t xml:space="preserve"> standard for </w:t>
      </w:r>
      <w:r w:rsidR="00E82565">
        <w:t>prams and strollers</w:t>
      </w:r>
      <w:r>
        <w:t xml:space="preserve"> would allow industry to self-regulate</w:t>
      </w:r>
      <w:r w:rsidR="00E82565" w:rsidRPr="005B5DFC">
        <w:t>.</w:t>
      </w:r>
      <w:r>
        <w:t xml:space="preserve"> Self-regulation would allow businesses to import prams or strollers to Australia from overseas without</w:t>
      </w:r>
      <w:r w:rsidR="00E82565" w:rsidRPr="005B5DFC">
        <w:t xml:space="preserve"> </w:t>
      </w:r>
      <w:r>
        <w:t>needing to meet a specific standard.</w:t>
      </w:r>
      <w:r w:rsidR="00E82565" w:rsidRPr="005B5DFC">
        <w:t xml:space="preserve"> </w:t>
      </w:r>
    </w:p>
    <w:p w:rsidR="00755785" w:rsidRDefault="00AA04F7" w:rsidP="00A913F2">
      <w:r>
        <w:t>S</w:t>
      </w:r>
      <w:r w:rsidR="00E82565">
        <w:t xml:space="preserve">uppliers would still need to have regard to the consumer protection provisions of the Australian Consumer Law (ACL). The ACL provides consumers with specific protections for consumer transactions called statutory consumer guarantees every time they purchase goods or services. One of those guarantees is that goods will be of acceptable quality, meaning they are safe and fit for purpose. </w:t>
      </w:r>
    </w:p>
    <w:p w:rsidR="00E82565" w:rsidRPr="003E70DA" w:rsidRDefault="00E82565" w:rsidP="00E82565">
      <w:pPr>
        <w:pStyle w:val="Heading3"/>
        <w:rPr>
          <w:b w:val="0"/>
        </w:rPr>
      </w:pPr>
      <w:bookmarkStart w:id="125" w:name="_Toc471460974"/>
      <w:bookmarkStart w:id="126" w:name="_Toc471461286"/>
      <w:r w:rsidRPr="006B0699">
        <w:t>Benefits</w:t>
      </w:r>
      <w:bookmarkEnd w:id="125"/>
      <w:bookmarkEnd w:id="126"/>
      <w:r w:rsidRPr="001D1B09">
        <w:rPr>
          <w:i/>
          <w:color w:val="51626F"/>
          <w:szCs w:val="24"/>
        </w:rPr>
        <w:t xml:space="preserve"> </w:t>
      </w:r>
    </w:p>
    <w:p w:rsidR="0072594E" w:rsidRDefault="00AA04F7" w:rsidP="00755785">
      <w:r>
        <w:t>There would be no direct compliance costs for industry under this option. This would remove any barriers to trade resulting from the current mandatory safety standard, making it easier for businesses to import products to Australia. This may result in lower priced prams and strollers, and greater product choice fo</w:t>
      </w:r>
      <w:r w:rsidR="00755785">
        <w:t>r Australian consumers.</w:t>
      </w:r>
    </w:p>
    <w:p w:rsidR="00E82565" w:rsidRDefault="00E82565" w:rsidP="00E82565">
      <w:pPr>
        <w:pStyle w:val="Heading3"/>
      </w:pPr>
      <w:bookmarkStart w:id="127" w:name="_Toc471460975"/>
      <w:bookmarkStart w:id="128" w:name="_Toc471461287"/>
      <w:r>
        <w:t>Limitations</w:t>
      </w:r>
      <w:bookmarkEnd w:id="127"/>
      <w:bookmarkEnd w:id="128"/>
    </w:p>
    <w:p w:rsidR="00E82565" w:rsidRDefault="007B1888" w:rsidP="00E82565">
      <w:r>
        <w:t xml:space="preserve">There is a </w:t>
      </w:r>
      <w:r w:rsidR="00FF5C56">
        <w:t>diverse and constantly developing</w:t>
      </w:r>
      <w:r>
        <w:t xml:space="preserve"> range of prams and strollers available in the Australian marketplace. Revoking the mandatory safety standard would remove</w:t>
      </w:r>
      <w:r w:rsidR="00FF5C56">
        <w:t xml:space="preserve"> important</w:t>
      </w:r>
      <w:r>
        <w:t xml:space="preserve"> mandatory safety requirements to reduce the risk of roll-away incidents, falls, and body and finger entrapments. This could reduce consumer and retailer confidence in the pram and stroller industry.</w:t>
      </w:r>
    </w:p>
    <w:p w:rsidR="007B1888" w:rsidRDefault="007B1888" w:rsidP="00E82565">
      <w:r>
        <w:t>Without the mandatory safety standard, suppliers would determine the safety requirements for their products. Some manufacturers may circumvent safety design features and testing to reduce production costs. This could result in a significant increase in serious injuries to young children.</w:t>
      </w:r>
      <w:r w:rsidR="008B7504" w:rsidRPr="008B7504">
        <w:t xml:space="preserve"> </w:t>
      </w:r>
      <w:r w:rsidR="008B7504">
        <w:t xml:space="preserve">The </w:t>
      </w:r>
      <w:r w:rsidR="003F5D00">
        <w:t xml:space="preserve">economic </w:t>
      </w:r>
      <w:r w:rsidR="008B7504">
        <w:t xml:space="preserve">cost of potential injuries </w:t>
      </w:r>
      <w:r w:rsidR="003F5D00">
        <w:t xml:space="preserve">is impossible to estimate but the costs discussed </w:t>
      </w:r>
      <w:r w:rsidR="008B7504">
        <w:t xml:space="preserve">under Option 2 </w:t>
      </w:r>
      <w:r w:rsidR="003F5D00">
        <w:t xml:space="preserve">are </w:t>
      </w:r>
      <w:r w:rsidR="00FF5C56">
        <w:t xml:space="preserve">particularly </w:t>
      </w:r>
      <w:r w:rsidR="003F5D00">
        <w:t>indicative</w:t>
      </w:r>
      <w:r w:rsidR="00FF5C56">
        <w:t xml:space="preserve"> and relevant here</w:t>
      </w:r>
      <w:r w:rsidR="008B7504">
        <w:t>.</w:t>
      </w:r>
    </w:p>
    <w:p w:rsidR="00E82565" w:rsidRDefault="00E82565" w:rsidP="00E82565">
      <w:pPr>
        <w:pStyle w:val="Heading3"/>
      </w:pPr>
      <w:bookmarkStart w:id="129" w:name="_Toc471460976"/>
      <w:bookmarkStart w:id="130" w:name="_Toc471461288"/>
      <w:r>
        <w:t>Net benefit</w:t>
      </w:r>
      <w:bookmarkEnd w:id="129"/>
      <w:bookmarkEnd w:id="130"/>
    </w:p>
    <w:p w:rsidR="00E82565" w:rsidRDefault="008B7504" w:rsidP="00E82565">
      <w:r>
        <w:t>We</w:t>
      </w:r>
      <w:r w:rsidR="00E82565">
        <w:t xml:space="preserve"> estimate </w:t>
      </w:r>
      <w:r>
        <w:t>this option would save industry</w:t>
      </w:r>
      <w:r w:rsidR="00E82565" w:rsidRPr="00025B21">
        <w:t xml:space="preserve"> $</w:t>
      </w:r>
      <w:r w:rsidR="00E82565">
        <w:t>1.1</w:t>
      </w:r>
      <w:r w:rsidR="007B47D7">
        <w:t>7</w:t>
      </w:r>
      <w:r w:rsidR="00E82565">
        <w:t>m</w:t>
      </w:r>
      <w:r w:rsidR="002706D3">
        <w:t xml:space="preserve"> annually. </w:t>
      </w:r>
      <w:r>
        <w:t>Appendix B provides a detailed explanation of the costings.</w:t>
      </w:r>
    </w:p>
    <w:p w:rsidR="008B7504" w:rsidRPr="00287340" w:rsidRDefault="00287340" w:rsidP="00287340">
      <w:pPr>
        <w:spacing w:before="120" w:after="120"/>
        <w:rPr>
          <w:b/>
        </w:rPr>
      </w:pPr>
      <w:r w:rsidRPr="00287340">
        <w:rPr>
          <w:b/>
        </w:rPr>
        <w:t xml:space="preserve">Table </w:t>
      </w:r>
      <w:r w:rsidR="00A43FEA">
        <w:rPr>
          <w:b/>
        </w:rPr>
        <w:t>3</w:t>
      </w:r>
      <w:r w:rsidRPr="00287340">
        <w:rPr>
          <w:b/>
        </w:rPr>
        <w:t>: Option 4 – Regulatory burden and cost offset estimate table</w:t>
      </w:r>
    </w:p>
    <w:tbl>
      <w:tblPr>
        <w:tblStyle w:val="LightGrid-Accent2"/>
        <w:tblW w:w="9356" w:type="dxa"/>
        <w:tblLayout w:type="fixed"/>
        <w:tblLook w:val="04A0" w:firstRow="1" w:lastRow="0" w:firstColumn="1" w:lastColumn="0" w:noHBand="0" w:noVBand="1"/>
      </w:tblPr>
      <w:tblGrid>
        <w:gridCol w:w="1871"/>
        <w:gridCol w:w="1871"/>
        <w:gridCol w:w="1871"/>
        <w:gridCol w:w="1871"/>
        <w:gridCol w:w="1872"/>
      </w:tblGrid>
      <w:tr w:rsidR="00E82565" w:rsidRPr="00DB6C88" w:rsidTr="00C4274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6" w:type="dxa"/>
            <w:gridSpan w:val="5"/>
            <w:noWrap/>
          </w:tcPr>
          <w:p w:rsidR="00E82565" w:rsidRPr="006D2A1A" w:rsidRDefault="00E82565" w:rsidP="00C42743">
            <w:pPr>
              <w:spacing w:before="200"/>
              <w:rPr>
                <w:rFonts w:eastAsia="Calibri" w:cs="Times New Roman"/>
              </w:rPr>
            </w:pPr>
            <w:r w:rsidRPr="006D2A1A">
              <w:rPr>
                <w:rFonts w:eastAsia="Calibri" w:cs="Times New Roman"/>
              </w:rPr>
              <w:t>Average annual regulatory costs (from business as usual)</w:t>
            </w:r>
          </w:p>
        </w:tc>
      </w:tr>
      <w:tr w:rsidR="00E82565" w:rsidRPr="00DB6C88" w:rsidTr="00C427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noWrap/>
          </w:tcPr>
          <w:p w:rsidR="00E82565" w:rsidRPr="006D2A1A" w:rsidRDefault="00E82565" w:rsidP="00C42743">
            <w:pPr>
              <w:spacing w:before="200"/>
              <w:rPr>
                <w:rFonts w:eastAsia="Calibri" w:cs="Times New Roman"/>
                <w:b w:val="0"/>
                <w:bCs w:val="0"/>
              </w:rPr>
            </w:pPr>
            <w:r w:rsidRPr="006D2A1A">
              <w:rPr>
                <w:rFonts w:eastAsia="Calibri" w:cs="Times New Roman"/>
                <w:b w:val="0"/>
                <w:bCs w:val="0"/>
              </w:rPr>
              <w:t>Change in costs ($ million)</w:t>
            </w:r>
          </w:p>
        </w:tc>
        <w:tc>
          <w:tcPr>
            <w:tcW w:w="1871" w:type="dxa"/>
            <w:noWrap/>
          </w:tcPr>
          <w:p w:rsidR="00E82565" w:rsidRPr="00DB6C88" w:rsidRDefault="00E82565" w:rsidP="00C42743">
            <w:pPr>
              <w:spacing w:before="200"/>
              <w:cnfStyle w:val="000000100000" w:firstRow="0" w:lastRow="0" w:firstColumn="0" w:lastColumn="0" w:oddVBand="0" w:evenVBand="0" w:oddHBand="1" w:evenHBand="0" w:firstRowFirstColumn="0" w:firstRowLastColumn="0" w:lastRowFirstColumn="0" w:lastRowLastColumn="0"/>
              <w:rPr>
                <w:bCs/>
              </w:rPr>
            </w:pPr>
            <w:r w:rsidRPr="00DB6C88">
              <w:rPr>
                <w:bCs/>
              </w:rPr>
              <w:t>Business</w:t>
            </w:r>
          </w:p>
        </w:tc>
        <w:tc>
          <w:tcPr>
            <w:tcW w:w="1871" w:type="dxa"/>
            <w:noWrap/>
          </w:tcPr>
          <w:p w:rsidR="00E82565" w:rsidRPr="00DB6C88" w:rsidRDefault="00E82565" w:rsidP="00C42743">
            <w:pPr>
              <w:spacing w:before="200"/>
              <w:cnfStyle w:val="000000100000" w:firstRow="0" w:lastRow="0" w:firstColumn="0" w:lastColumn="0" w:oddVBand="0" w:evenVBand="0" w:oddHBand="1" w:evenHBand="0" w:firstRowFirstColumn="0" w:firstRowLastColumn="0" w:lastRowFirstColumn="0" w:lastRowLastColumn="0"/>
            </w:pPr>
            <w:r w:rsidRPr="00DB6C88">
              <w:t>Community organisations</w:t>
            </w:r>
          </w:p>
        </w:tc>
        <w:tc>
          <w:tcPr>
            <w:tcW w:w="1871" w:type="dxa"/>
            <w:noWrap/>
          </w:tcPr>
          <w:p w:rsidR="00E82565" w:rsidRPr="00DB6C88" w:rsidRDefault="00E82565" w:rsidP="00C42743">
            <w:pPr>
              <w:spacing w:before="200"/>
              <w:cnfStyle w:val="000000100000" w:firstRow="0" w:lastRow="0" w:firstColumn="0" w:lastColumn="0" w:oddVBand="0" w:evenVBand="0" w:oddHBand="1" w:evenHBand="0" w:firstRowFirstColumn="0" w:firstRowLastColumn="0" w:lastRowFirstColumn="0" w:lastRowLastColumn="0"/>
            </w:pPr>
            <w:r w:rsidRPr="00DB6C88">
              <w:t>Individuals</w:t>
            </w:r>
          </w:p>
        </w:tc>
        <w:tc>
          <w:tcPr>
            <w:tcW w:w="1872" w:type="dxa"/>
            <w:noWrap/>
          </w:tcPr>
          <w:p w:rsidR="00E82565" w:rsidRPr="00DB6C88" w:rsidRDefault="00E82565" w:rsidP="00C42743">
            <w:pPr>
              <w:spacing w:before="200"/>
              <w:cnfStyle w:val="000000100000" w:firstRow="0" w:lastRow="0" w:firstColumn="0" w:lastColumn="0" w:oddVBand="0" w:evenVBand="0" w:oddHBand="1" w:evenHBand="0" w:firstRowFirstColumn="0" w:firstRowLastColumn="0" w:lastRowFirstColumn="0" w:lastRowLastColumn="0"/>
            </w:pPr>
            <w:r w:rsidRPr="00DB6C88">
              <w:t>Total change in costs</w:t>
            </w:r>
          </w:p>
        </w:tc>
      </w:tr>
      <w:tr w:rsidR="00E82565" w:rsidRPr="00DB6C88" w:rsidTr="00C4274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noWrap/>
          </w:tcPr>
          <w:p w:rsidR="00E82565" w:rsidRPr="006D2A1A" w:rsidRDefault="00E82565" w:rsidP="00C42743">
            <w:pPr>
              <w:spacing w:before="200"/>
              <w:rPr>
                <w:rFonts w:eastAsia="Calibri" w:cs="Times New Roman"/>
                <w:b w:val="0"/>
              </w:rPr>
            </w:pPr>
            <w:r w:rsidRPr="006D2A1A">
              <w:rPr>
                <w:rFonts w:eastAsia="Calibri" w:cs="Times New Roman"/>
                <w:b w:val="0"/>
              </w:rPr>
              <w:t>Total, by sector</w:t>
            </w:r>
          </w:p>
        </w:tc>
        <w:tc>
          <w:tcPr>
            <w:tcW w:w="1871" w:type="dxa"/>
            <w:noWrap/>
          </w:tcPr>
          <w:p w:rsidR="00E82565" w:rsidRPr="00DB6C88" w:rsidRDefault="00E82565" w:rsidP="008B7504">
            <w:pPr>
              <w:spacing w:before="200"/>
              <w:cnfStyle w:val="000000010000" w:firstRow="0" w:lastRow="0" w:firstColumn="0" w:lastColumn="0" w:oddVBand="0" w:evenVBand="0" w:oddHBand="0" w:evenHBand="1" w:firstRowFirstColumn="0" w:firstRowLastColumn="0" w:lastRowFirstColumn="0" w:lastRowLastColumn="0"/>
            </w:pPr>
            <w:r>
              <w:t>- ($ 1.</w:t>
            </w:r>
            <w:r w:rsidR="008B7504">
              <w:t>1</w:t>
            </w:r>
            <w:r w:rsidR="007B47D7">
              <w:t>7</w:t>
            </w:r>
            <w:r w:rsidR="008B7504">
              <w:t>m</w:t>
            </w:r>
            <w:r>
              <w:t>)</w:t>
            </w:r>
            <w:r w:rsidRPr="00DB6C88">
              <w:t xml:space="preserve"> </w:t>
            </w:r>
          </w:p>
        </w:tc>
        <w:tc>
          <w:tcPr>
            <w:tcW w:w="1871" w:type="dxa"/>
            <w:noWrap/>
          </w:tcPr>
          <w:p w:rsidR="00E82565" w:rsidRPr="00DB6C88" w:rsidRDefault="00E82565" w:rsidP="00C42743">
            <w:pPr>
              <w:spacing w:before="200"/>
              <w:cnfStyle w:val="000000010000" w:firstRow="0" w:lastRow="0" w:firstColumn="0" w:lastColumn="0" w:oddVBand="0" w:evenVBand="0" w:oddHBand="0" w:evenHBand="1" w:firstRowFirstColumn="0" w:firstRowLastColumn="0" w:lastRowFirstColumn="0" w:lastRowLastColumn="0"/>
            </w:pPr>
            <w:r w:rsidRPr="00DB6C88">
              <w:t>$ 0</w:t>
            </w:r>
          </w:p>
        </w:tc>
        <w:tc>
          <w:tcPr>
            <w:tcW w:w="1871" w:type="dxa"/>
            <w:noWrap/>
          </w:tcPr>
          <w:p w:rsidR="00E82565" w:rsidRPr="00DB6C88" w:rsidRDefault="00E82565" w:rsidP="00C42743">
            <w:pPr>
              <w:spacing w:before="200"/>
              <w:cnfStyle w:val="000000010000" w:firstRow="0" w:lastRow="0" w:firstColumn="0" w:lastColumn="0" w:oddVBand="0" w:evenVBand="0" w:oddHBand="0" w:evenHBand="1" w:firstRowFirstColumn="0" w:firstRowLastColumn="0" w:lastRowFirstColumn="0" w:lastRowLastColumn="0"/>
            </w:pPr>
            <w:r w:rsidRPr="00DB6C88">
              <w:t>$ 0</w:t>
            </w:r>
          </w:p>
        </w:tc>
        <w:tc>
          <w:tcPr>
            <w:tcW w:w="1872" w:type="dxa"/>
            <w:noWrap/>
          </w:tcPr>
          <w:p w:rsidR="00E82565" w:rsidRPr="00DB6C88" w:rsidRDefault="00E82565" w:rsidP="007B47D7">
            <w:pPr>
              <w:spacing w:before="200"/>
              <w:cnfStyle w:val="000000010000" w:firstRow="0" w:lastRow="0" w:firstColumn="0" w:lastColumn="0" w:oddVBand="0" w:evenVBand="0" w:oddHBand="0" w:evenHBand="1" w:firstRowFirstColumn="0" w:firstRowLastColumn="0" w:lastRowFirstColumn="0" w:lastRowLastColumn="0"/>
            </w:pPr>
            <w:r>
              <w:t>- ($</w:t>
            </w:r>
            <w:r w:rsidR="007B47D7">
              <w:t>2.3</w:t>
            </w:r>
            <w:r>
              <w:t>m)</w:t>
            </w:r>
            <w:r w:rsidRPr="00DB6C88">
              <w:t xml:space="preserve"> </w:t>
            </w:r>
          </w:p>
        </w:tc>
      </w:tr>
    </w:tbl>
    <w:p w:rsidR="001F0F86" w:rsidRPr="007528B4" w:rsidRDefault="001F0F86" w:rsidP="006206FC">
      <w:pPr>
        <w:pBdr>
          <w:top w:val="single" w:sz="4" w:space="1" w:color="auto"/>
          <w:left w:val="single" w:sz="4" w:space="4" w:color="auto"/>
          <w:bottom w:val="single" w:sz="4" w:space="1" w:color="auto"/>
          <w:right w:val="single" w:sz="4" w:space="4" w:color="auto"/>
        </w:pBdr>
        <w:spacing w:before="360"/>
        <w:rPr>
          <w:b/>
        </w:rPr>
      </w:pPr>
      <w:r w:rsidRPr="007528B4">
        <w:rPr>
          <w:b/>
        </w:rPr>
        <w:t>Policy options – questions</w:t>
      </w:r>
    </w:p>
    <w:p w:rsidR="001F0F86" w:rsidRPr="009C42F9" w:rsidRDefault="001F0F86" w:rsidP="00CA13A4">
      <w:pPr>
        <w:pStyle w:val="ListParagraph"/>
        <w:numPr>
          <w:ilvl w:val="0"/>
          <w:numId w:val="36"/>
        </w:numPr>
        <w:pBdr>
          <w:top w:val="single" w:sz="4" w:space="1" w:color="auto"/>
          <w:left w:val="single" w:sz="4" w:space="4" w:color="auto"/>
          <w:bottom w:val="single" w:sz="4" w:space="1" w:color="auto"/>
          <w:right w:val="single" w:sz="4" w:space="4" w:color="auto"/>
        </w:pBdr>
        <w:ind w:hanging="720"/>
        <w:rPr>
          <w:b/>
        </w:rPr>
      </w:pPr>
      <w:r w:rsidRPr="009C42F9">
        <w:rPr>
          <w:b/>
        </w:rPr>
        <w:t>Which policy option do you support?</w:t>
      </w:r>
    </w:p>
    <w:p w:rsidR="001F0F86" w:rsidRPr="009C42F9" w:rsidRDefault="001F0F86" w:rsidP="00CA13A4">
      <w:pPr>
        <w:pStyle w:val="ListParagraph"/>
        <w:numPr>
          <w:ilvl w:val="0"/>
          <w:numId w:val="36"/>
        </w:numPr>
        <w:pBdr>
          <w:top w:val="single" w:sz="4" w:space="1" w:color="auto"/>
          <w:left w:val="single" w:sz="4" w:space="4" w:color="auto"/>
          <w:bottom w:val="single" w:sz="4" w:space="1" w:color="auto"/>
          <w:right w:val="single" w:sz="4" w:space="4" w:color="auto"/>
        </w:pBdr>
        <w:ind w:hanging="720"/>
        <w:rPr>
          <w:b/>
        </w:rPr>
      </w:pPr>
      <w:r w:rsidRPr="009C42F9">
        <w:rPr>
          <w:b/>
        </w:rPr>
        <w:t>Are there any other policy options that the ACCC should consider?</w:t>
      </w:r>
    </w:p>
    <w:p w:rsidR="00C32FC8" w:rsidRPr="009C42F9" w:rsidRDefault="001F0F86" w:rsidP="006206FC">
      <w:pPr>
        <w:pStyle w:val="ListParagraph"/>
        <w:numPr>
          <w:ilvl w:val="0"/>
          <w:numId w:val="36"/>
        </w:numPr>
        <w:pBdr>
          <w:top w:val="single" w:sz="4" w:space="1" w:color="auto"/>
          <w:left w:val="single" w:sz="4" w:space="4" w:color="auto"/>
          <w:bottom w:val="single" w:sz="4" w:space="1" w:color="auto"/>
          <w:right w:val="single" w:sz="4" w:space="4" w:color="auto"/>
        </w:pBdr>
        <w:spacing w:after="120"/>
        <w:ind w:left="340" w:hanging="340"/>
        <w:rPr>
          <w:b/>
        </w:rPr>
      </w:pPr>
      <w:r w:rsidRPr="009C42F9">
        <w:rPr>
          <w:b/>
        </w:rPr>
        <w:t xml:space="preserve">Do you agree with the ACCC estimates of costs set out in Appendix </w:t>
      </w:r>
      <w:r w:rsidR="00287340" w:rsidRPr="009C42F9">
        <w:rPr>
          <w:b/>
        </w:rPr>
        <w:t>B</w:t>
      </w:r>
      <w:r w:rsidRPr="009C42F9">
        <w:rPr>
          <w:b/>
        </w:rPr>
        <w:t>? Are there additional costs for your business that have not been included?</w:t>
      </w:r>
      <w:bookmarkStart w:id="131" w:name="_Toc434497034"/>
      <w:bookmarkStart w:id="132" w:name="_Toc440455051"/>
      <w:bookmarkStart w:id="133" w:name="_Toc457222711"/>
    </w:p>
    <w:p w:rsidR="00C32FC8" w:rsidRDefault="00C32FC8" w:rsidP="006206FC">
      <w:pPr>
        <w:pStyle w:val="Numbered1"/>
        <w:tabs>
          <w:tab w:val="clear" w:pos="680"/>
        </w:tabs>
        <w:spacing w:before="480"/>
        <w:ind w:left="357" w:hanging="357"/>
      </w:pPr>
      <w:bookmarkStart w:id="134" w:name="_Toc471460726"/>
      <w:bookmarkStart w:id="135" w:name="_Toc471461289"/>
      <w:r>
        <w:lastRenderedPageBreak/>
        <w:t>Preliminary position</w:t>
      </w:r>
      <w:bookmarkEnd w:id="134"/>
      <w:bookmarkEnd w:id="135"/>
    </w:p>
    <w:p w:rsidR="001F0F86" w:rsidRPr="00B61545" w:rsidRDefault="001F0F86" w:rsidP="001F0F86">
      <w:pPr>
        <w:rPr>
          <w:rFonts w:ascii="Lucida Fax" w:hAnsi="Lucida Fax"/>
        </w:rPr>
      </w:pPr>
      <w:r w:rsidRPr="00B61545">
        <w:t xml:space="preserve">The ACCC will consider submissions on this </w:t>
      </w:r>
      <w:r w:rsidR="001378C8">
        <w:t>consultation paper</w:t>
      </w:r>
      <w:r w:rsidRPr="00B61545">
        <w:t xml:space="preserve"> before it settles on a </w:t>
      </w:r>
      <w:r>
        <w:t>final</w:t>
      </w:r>
      <w:r w:rsidRPr="00B61545">
        <w:t xml:space="preserve"> option to recommend to the Minister, who is the </w:t>
      </w:r>
      <w:r>
        <w:t xml:space="preserve">final </w:t>
      </w:r>
      <w:r w:rsidRPr="00B61545">
        <w:t>decision maker.</w:t>
      </w:r>
      <w:r>
        <w:t xml:space="preserve"> This</w:t>
      </w:r>
      <w:r w:rsidRPr="00B61545">
        <w:t xml:space="preserve"> consultation will </w:t>
      </w:r>
      <w:r>
        <w:t>help us</w:t>
      </w:r>
      <w:r w:rsidRPr="00B61545">
        <w:t xml:space="preserve"> </w:t>
      </w:r>
      <w:r>
        <w:t>refine</w:t>
      </w:r>
      <w:r w:rsidRPr="00B61545">
        <w:t xml:space="preserve"> </w:t>
      </w:r>
      <w:r>
        <w:t xml:space="preserve">the estimated </w:t>
      </w:r>
      <w:r w:rsidRPr="00B61545">
        <w:t>cost</w:t>
      </w:r>
      <w:r>
        <w:t>s</w:t>
      </w:r>
      <w:r w:rsidRPr="00B61545">
        <w:t xml:space="preserve"> </w:t>
      </w:r>
      <w:r w:rsidR="00AA04F7">
        <w:t xml:space="preserve">and </w:t>
      </w:r>
      <w:r w:rsidRPr="00B61545">
        <w:t>benefit</w:t>
      </w:r>
      <w:r>
        <w:t xml:space="preserve">s </w:t>
      </w:r>
      <w:r w:rsidR="00AA04F7">
        <w:t xml:space="preserve">of </w:t>
      </w:r>
      <w:r>
        <w:t xml:space="preserve">each option, </w:t>
      </w:r>
      <w:r w:rsidR="00061709">
        <w:t xml:space="preserve">to understand the </w:t>
      </w:r>
      <w:r w:rsidR="009737C3">
        <w:t xml:space="preserve">effect </w:t>
      </w:r>
      <w:r w:rsidR="00061709">
        <w:t xml:space="preserve">on </w:t>
      </w:r>
      <w:r w:rsidR="001378C8">
        <w:t>safety</w:t>
      </w:r>
      <w:r w:rsidR="009737C3">
        <w:t>,</w:t>
      </w:r>
      <w:r w:rsidR="001378C8">
        <w:t xml:space="preserve"> </w:t>
      </w:r>
      <w:r w:rsidR="009737C3">
        <w:t xml:space="preserve">impact </w:t>
      </w:r>
      <w:r w:rsidR="001378C8">
        <w:t xml:space="preserve">on </w:t>
      </w:r>
      <w:r w:rsidR="00061709">
        <w:t xml:space="preserve">suppliers </w:t>
      </w:r>
      <w:r>
        <w:t>and to recommend the most appropriate option.</w:t>
      </w:r>
    </w:p>
    <w:p w:rsidR="001F0F86" w:rsidRDefault="001F0F86" w:rsidP="001F0F86">
      <w:r>
        <w:t xml:space="preserve">At this stage the ACCC prefers </w:t>
      </w:r>
      <w:r w:rsidR="00D91B08" w:rsidRPr="001378C8">
        <w:t>Option 3</w:t>
      </w:r>
      <w:r w:rsidR="001378C8">
        <w:t xml:space="preserve"> (allow compliance with the updated voluntary Australian or international standards)</w:t>
      </w:r>
      <w:r w:rsidR="008F3290" w:rsidRPr="001378C8">
        <w:t>.</w:t>
      </w:r>
      <w:r w:rsidR="008F3290">
        <w:t xml:space="preserve"> This </w:t>
      </w:r>
      <w:r w:rsidR="00061709">
        <w:t xml:space="preserve">would allow </w:t>
      </w:r>
      <w:r w:rsidR="008F3290">
        <w:t xml:space="preserve">suppliers to </w:t>
      </w:r>
      <w:r w:rsidR="00061709">
        <w:t xml:space="preserve">comply with </w:t>
      </w:r>
      <w:r w:rsidR="001378C8">
        <w:t xml:space="preserve">the updated voluntary Australian standard or with the European or ASTM standards, provided the prams and strollers were fitted with </w:t>
      </w:r>
      <w:r w:rsidR="008F3290">
        <w:t>tether straps and red brakes.</w:t>
      </w:r>
      <w:r>
        <w:t xml:space="preserve"> </w:t>
      </w:r>
      <w:r w:rsidR="007528B4">
        <w:t>This</w:t>
      </w:r>
      <w:r w:rsidR="00467732">
        <w:t xml:space="preserve"> </w:t>
      </w:r>
      <w:r w:rsidR="00AA04F7">
        <w:t xml:space="preserve">option </w:t>
      </w:r>
      <w:r w:rsidR="005A1648">
        <w:t xml:space="preserve">would </w:t>
      </w:r>
      <w:r w:rsidR="009737C3">
        <w:t>improve</w:t>
      </w:r>
      <w:r w:rsidR="005A1648">
        <w:t xml:space="preserve"> safety, increase </w:t>
      </w:r>
      <w:r>
        <w:t>comp</w:t>
      </w:r>
      <w:r w:rsidR="008F3290">
        <w:t>etition in the market and reduc</w:t>
      </w:r>
      <w:r w:rsidR="005A1648">
        <w:t>e</w:t>
      </w:r>
      <w:r w:rsidR="008F3290">
        <w:t xml:space="preserve"> compliance costs for businesses.</w:t>
      </w:r>
    </w:p>
    <w:p w:rsidR="009C42F9" w:rsidRDefault="001F0F86" w:rsidP="001F0F86">
      <w:r w:rsidRPr="00B32C4A">
        <w:t xml:space="preserve">The safety standard </w:t>
      </w:r>
      <w:r>
        <w:t xml:space="preserve">for prams and strollers </w:t>
      </w:r>
      <w:r w:rsidRPr="00B32C4A">
        <w:t>aims to prevent</w:t>
      </w:r>
      <w:r>
        <w:t xml:space="preserve"> the</w:t>
      </w:r>
      <w:r w:rsidRPr="00B32C4A">
        <w:t xml:space="preserve"> injury </w:t>
      </w:r>
      <w:r>
        <w:t>and</w:t>
      </w:r>
      <w:r w:rsidRPr="00B32C4A">
        <w:t xml:space="preserve"> </w:t>
      </w:r>
      <w:r>
        <w:t xml:space="preserve">death of children in these products. </w:t>
      </w:r>
      <w:r w:rsidRPr="00B32C4A">
        <w:t xml:space="preserve">Any </w:t>
      </w:r>
      <w:r w:rsidR="00467732">
        <w:t xml:space="preserve">regulatory </w:t>
      </w:r>
      <w:r w:rsidRPr="00B32C4A">
        <w:t xml:space="preserve">changes </w:t>
      </w:r>
      <w:r w:rsidR="008F3290">
        <w:t xml:space="preserve">finally </w:t>
      </w:r>
      <w:r w:rsidR="00467732">
        <w:t>agreed upon</w:t>
      </w:r>
      <w:r w:rsidR="008F3290">
        <w:t xml:space="preserve"> need to</w:t>
      </w:r>
      <w:r>
        <w:t xml:space="preserve"> </w:t>
      </w:r>
      <w:r w:rsidRPr="00B32C4A">
        <w:t xml:space="preserve">be consistent with this </w:t>
      </w:r>
      <w:r>
        <w:t>aim,</w:t>
      </w:r>
      <w:r w:rsidRPr="00B32C4A">
        <w:t xml:space="preserve"> </w:t>
      </w:r>
      <w:r>
        <w:t>without limiting</w:t>
      </w:r>
      <w:r w:rsidRPr="00B32C4A">
        <w:t xml:space="preserve"> competition</w:t>
      </w:r>
      <w:r w:rsidR="00467732">
        <w:t xml:space="preserve">, or </w:t>
      </w:r>
      <w:r w:rsidR="008F3290">
        <w:t xml:space="preserve">reducing </w:t>
      </w:r>
      <w:r>
        <w:t>consumer choice</w:t>
      </w:r>
      <w:r w:rsidR="00467732">
        <w:t>,</w:t>
      </w:r>
      <w:r>
        <w:t xml:space="preserve"> or </w:t>
      </w:r>
      <w:r w:rsidR="008F3290">
        <w:t xml:space="preserve">imposing </w:t>
      </w:r>
      <w:r>
        <w:t>unnecessary compliance costs for the industry</w:t>
      </w:r>
      <w:r w:rsidR="00D41BD5">
        <w:t xml:space="preserve"> supplying prams and strollers</w:t>
      </w:r>
      <w:r w:rsidRPr="00B32C4A">
        <w:t>.</w:t>
      </w:r>
    </w:p>
    <w:p w:rsidR="00DE3221" w:rsidRDefault="00DE3221" w:rsidP="006206FC">
      <w:pPr>
        <w:pStyle w:val="Numbered1"/>
        <w:tabs>
          <w:tab w:val="clear" w:pos="680"/>
        </w:tabs>
        <w:spacing w:before="480"/>
        <w:ind w:left="357" w:hanging="357"/>
      </w:pPr>
      <w:bookmarkStart w:id="136" w:name="_Toc471460727"/>
      <w:bookmarkStart w:id="137" w:name="_Toc471461290"/>
      <w:r>
        <w:t>Implementation and evaluation</w:t>
      </w:r>
      <w:bookmarkEnd w:id="131"/>
      <w:bookmarkEnd w:id="132"/>
      <w:bookmarkEnd w:id="133"/>
      <w:bookmarkEnd w:id="136"/>
      <w:bookmarkEnd w:id="137"/>
    </w:p>
    <w:p w:rsidR="001F0F86" w:rsidRDefault="001F0F86" w:rsidP="001F0F86">
      <w:r>
        <w:t xml:space="preserve">The ACCC will continue to engage with suppliers and collect information about the risks of injury or death to children in prams and strollers. Stroller </w:t>
      </w:r>
      <w:r w:rsidRPr="00690F06">
        <w:t xml:space="preserve">suppliers </w:t>
      </w:r>
      <w:r>
        <w:t>are likely to</w:t>
      </w:r>
      <w:r w:rsidRPr="00690F06">
        <w:t xml:space="preserve"> </w:t>
      </w:r>
      <w:r>
        <w:t>need</w:t>
      </w:r>
      <w:r w:rsidRPr="00690F06">
        <w:t xml:space="preserve"> time to compl</w:t>
      </w:r>
      <w:r>
        <w:t>y with any new requirements</w:t>
      </w:r>
      <w:r w:rsidRPr="00690F06">
        <w:t xml:space="preserve">. </w:t>
      </w:r>
      <w:r>
        <w:t>A 12-</w:t>
      </w:r>
      <w:r w:rsidR="00645057">
        <w:t xml:space="preserve">24 </w:t>
      </w:r>
      <w:r>
        <w:t>month</w:t>
      </w:r>
      <w:r w:rsidRPr="00690F06">
        <w:t xml:space="preserve"> </w:t>
      </w:r>
      <w:r>
        <w:t xml:space="preserve">transition period typically </w:t>
      </w:r>
      <w:r w:rsidR="00645057">
        <w:t>applies</w:t>
      </w:r>
      <w:r w:rsidR="00467732">
        <w:t xml:space="preserve"> before a new regulation </w:t>
      </w:r>
      <w:r w:rsidR="00645057">
        <w:t>starts</w:t>
      </w:r>
      <w:r>
        <w:t>.</w:t>
      </w:r>
    </w:p>
    <w:p w:rsidR="00FA067D" w:rsidRDefault="001F0F86" w:rsidP="001F0F86">
      <w:r>
        <w:t xml:space="preserve">Once a revised safety standard is </w:t>
      </w:r>
      <w:r w:rsidR="00467732">
        <w:t>in place</w:t>
      </w:r>
      <w:r>
        <w:t xml:space="preserve">, </w:t>
      </w:r>
      <w:r w:rsidR="00645057">
        <w:t xml:space="preserve">the ACCC will continue to monitor industry compliance levels with </w:t>
      </w:r>
      <w:r>
        <w:t>regular market surveillance and intelligence gathering activities.</w:t>
      </w:r>
    </w:p>
    <w:p w:rsidR="008A4648" w:rsidRDefault="009C42F9" w:rsidP="00CA13A4">
      <w:pPr>
        <w:pBdr>
          <w:top w:val="single" w:sz="4" w:space="1" w:color="auto"/>
          <w:left w:val="single" w:sz="4" w:space="4" w:color="auto"/>
          <w:bottom w:val="single" w:sz="4" w:space="1" w:color="auto"/>
          <w:right w:val="single" w:sz="4" w:space="4" w:color="auto"/>
        </w:pBdr>
        <w:rPr>
          <w:b/>
        </w:rPr>
      </w:pPr>
      <w:r w:rsidRPr="00EE4260">
        <w:rPr>
          <w:b/>
        </w:rPr>
        <w:t>Transition Question</w:t>
      </w:r>
      <w:r w:rsidR="008A4648">
        <w:rPr>
          <w:b/>
        </w:rPr>
        <w:t xml:space="preserve"> </w:t>
      </w:r>
    </w:p>
    <w:p w:rsidR="009C42F9" w:rsidRPr="00684560" w:rsidRDefault="00684560" w:rsidP="00684560">
      <w:pPr>
        <w:pBdr>
          <w:top w:val="single" w:sz="4" w:space="1" w:color="auto"/>
          <w:left w:val="single" w:sz="4" w:space="4" w:color="auto"/>
          <w:bottom w:val="single" w:sz="4" w:space="1" w:color="auto"/>
          <w:right w:val="single" w:sz="4" w:space="4" w:color="auto"/>
        </w:pBdr>
        <w:ind w:left="340" w:hanging="340"/>
        <w:rPr>
          <w:b/>
        </w:rPr>
      </w:pPr>
      <w:r>
        <w:rPr>
          <w:b/>
        </w:rPr>
        <w:t xml:space="preserve">12. </w:t>
      </w:r>
      <w:proofErr w:type="gramStart"/>
      <w:r w:rsidR="009C42F9" w:rsidRPr="00684560">
        <w:rPr>
          <w:b/>
        </w:rPr>
        <w:t>Is</w:t>
      </w:r>
      <w:proofErr w:type="gramEnd"/>
      <w:r w:rsidR="009C42F9" w:rsidRPr="00684560">
        <w:rPr>
          <w:b/>
        </w:rPr>
        <w:t xml:space="preserve"> a period of 12,</w:t>
      </w:r>
      <w:r w:rsidR="00A913F2" w:rsidRPr="00684560">
        <w:rPr>
          <w:b/>
        </w:rPr>
        <w:t xml:space="preserve"> </w:t>
      </w:r>
      <w:r w:rsidR="009C42F9" w:rsidRPr="00684560">
        <w:rPr>
          <w:b/>
        </w:rPr>
        <w:t>18 or 24 months required for transition to the new requirements?</w:t>
      </w:r>
    </w:p>
    <w:p w:rsidR="003200ED" w:rsidRDefault="003200ED">
      <w:pPr>
        <w:rPr>
          <w:rFonts w:ascii="Lucida Fax" w:eastAsiaTheme="majorEastAsia" w:hAnsi="Lucida Fax" w:cstheme="majorBidi"/>
          <w:bCs/>
          <w:color w:val="51626F"/>
          <w:sz w:val="32"/>
          <w:szCs w:val="28"/>
        </w:rPr>
      </w:pPr>
      <w:bookmarkStart w:id="138" w:name="_Toc453749371"/>
      <w:bookmarkStart w:id="139" w:name="_Toc456279023"/>
      <w:bookmarkStart w:id="140" w:name="_Toc419731389"/>
      <w:bookmarkStart w:id="141" w:name="_Toc434497035"/>
      <w:bookmarkStart w:id="142" w:name="_Toc440455052"/>
    </w:p>
    <w:p w:rsidR="00133727" w:rsidRDefault="00FC07B2" w:rsidP="00133727">
      <w:pPr>
        <w:pStyle w:val="Numbered1"/>
        <w:tabs>
          <w:tab w:val="clear" w:pos="680"/>
        </w:tabs>
      </w:pPr>
      <w:bookmarkStart w:id="143" w:name="_Toc471460728"/>
      <w:bookmarkStart w:id="144" w:name="_Toc471461291"/>
      <w:r>
        <w:t xml:space="preserve">Summary of </w:t>
      </w:r>
      <w:r w:rsidR="007C5B44">
        <w:t>key</w:t>
      </w:r>
      <w:r>
        <w:t xml:space="preserve"> questions</w:t>
      </w:r>
      <w:bookmarkEnd w:id="138"/>
      <w:bookmarkEnd w:id="139"/>
      <w:bookmarkEnd w:id="143"/>
      <w:bookmarkEnd w:id="144"/>
      <w:r w:rsidRPr="009E5FC7">
        <w:t xml:space="preserve"> </w:t>
      </w:r>
    </w:p>
    <w:p w:rsidR="001F0F86" w:rsidRDefault="001F0F86" w:rsidP="00F56DB9">
      <w:pPr>
        <w:rPr>
          <w:rStyle w:val="Strong"/>
          <w:sz w:val="24"/>
          <w:szCs w:val="24"/>
        </w:rPr>
      </w:pPr>
      <w:r w:rsidRPr="00C90AE7">
        <w:rPr>
          <w:rStyle w:val="Strong"/>
          <w:sz w:val="24"/>
          <w:szCs w:val="24"/>
        </w:rPr>
        <w:t xml:space="preserve">Emerging </w:t>
      </w:r>
      <w:r w:rsidR="001A6068">
        <w:rPr>
          <w:rStyle w:val="Strong"/>
          <w:sz w:val="24"/>
          <w:szCs w:val="24"/>
        </w:rPr>
        <w:t>issues</w:t>
      </w:r>
    </w:p>
    <w:p w:rsidR="00BF0BEB" w:rsidRDefault="00BF0BEB" w:rsidP="00F56DB9">
      <w:pPr>
        <w:pStyle w:val="ListParagraph"/>
        <w:numPr>
          <w:ilvl w:val="0"/>
          <w:numId w:val="38"/>
        </w:numPr>
      </w:pPr>
      <w:r>
        <w:t xml:space="preserve">Should we address finger entrapment hazards </w:t>
      </w:r>
      <w:r w:rsidR="008A4648">
        <w:t>in</w:t>
      </w:r>
      <w:r>
        <w:t xml:space="preserve"> folding prams and strollers? Why/why not?</w:t>
      </w:r>
    </w:p>
    <w:p w:rsidR="00BF0BEB" w:rsidRDefault="00BF0BEB" w:rsidP="00F56DB9">
      <w:pPr>
        <w:pStyle w:val="ListParagraph"/>
        <w:numPr>
          <w:ilvl w:val="0"/>
          <w:numId w:val="38"/>
        </w:numPr>
      </w:pPr>
      <w:r>
        <w:t>Should we address the stability and security of pram and stroller attachments? Why/why not?</w:t>
      </w:r>
    </w:p>
    <w:p w:rsidR="00BF0BEB" w:rsidRPr="000F17EF" w:rsidRDefault="00BF0BEB" w:rsidP="00F56DB9">
      <w:pPr>
        <w:pStyle w:val="ListParagraph"/>
        <w:numPr>
          <w:ilvl w:val="0"/>
          <w:numId w:val="38"/>
        </w:numPr>
      </w:pPr>
      <w:r w:rsidRPr="000F17EF">
        <w:t>Should we adopt the definitions for ‘securely attached’ and ‘permanently affixed’ harnesses from the updated voluntary Australian standard? Why/why not?</w:t>
      </w:r>
    </w:p>
    <w:p w:rsidR="00BF0BEB" w:rsidRPr="009C42F9" w:rsidRDefault="00BF0BEB" w:rsidP="00F56DB9">
      <w:pPr>
        <w:pStyle w:val="ListParagraph"/>
        <w:numPr>
          <w:ilvl w:val="0"/>
          <w:numId w:val="38"/>
        </w:numPr>
        <w:rPr>
          <w:b/>
        </w:rPr>
      </w:pPr>
      <w:r>
        <w:t>Should we exempt strollers and chairs for disabled children from the mandatory safety standard? Why/why not?</w:t>
      </w:r>
    </w:p>
    <w:p w:rsidR="00BF0BEB" w:rsidRPr="009C42F9" w:rsidRDefault="00BF0BEB" w:rsidP="00F56DB9">
      <w:pPr>
        <w:pStyle w:val="ListParagraph"/>
        <w:numPr>
          <w:ilvl w:val="0"/>
          <w:numId w:val="38"/>
        </w:numPr>
        <w:rPr>
          <w:b/>
        </w:rPr>
      </w:pPr>
      <w:r>
        <w:t>Should we exempt prams and strollers with automatic brakes that conform to the updated voluntary Australian standard from the requirement for a tether strap? Why/why not?</w:t>
      </w:r>
    </w:p>
    <w:p w:rsidR="00BF0BEB" w:rsidRPr="009C42F9" w:rsidRDefault="00BF0BEB" w:rsidP="00F56DB9">
      <w:pPr>
        <w:pStyle w:val="ListParagraph"/>
        <w:numPr>
          <w:ilvl w:val="0"/>
          <w:numId w:val="38"/>
        </w:numPr>
        <w:rPr>
          <w:rStyle w:val="Strong"/>
          <w:sz w:val="24"/>
          <w:szCs w:val="24"/>
        </w:rPr>
      </w:pPr>
      <w:r>
        <w:t>S</w:t>
      </w:r>
      <w:r w:rsidRPr="007528B4">
        <w:t xml:space="preserve">hould </w:t>
      </w:r>
      <w:r>
        <w:t>we address</w:t>
      </w:r>
      <w:r w:rsidRPr="007528B4">
        <w:t xml:space="preserve"> any other emerging </w:t>
      </w:r>
      <w:r>
        <w:t>issues?</w:t>
      </w:r>
      <w:r w:rsidRPr="007528B4">
        <w:t xml:space="preserve"> </w:t>
      </w:r>
      <w:r>
        <w:t>If so, p</w:t>
      </w:r>
      <w:r w:rsidRPr="007528B4">
        <w:t xml:space="preserve">lease </w:t>
      </w:r>
      <w:r>
        <w:t>explain why</w:t>
      </w:r>
      <w:r w:rsidRPr="007528B4">
        <w:t>.</w:t>
      </w:r>
    </w:p>
    <w:p w:rsidR="00E76DB5" w:rsidRDefault="00E76DB5" w:rsidP="00F56DB9">
      <w:pPr>
        <w:rPr>
          <w:rStyle w:val="Strong"/>
          <w:sz w:val="24"/>
          <w:szCs w:val="24"/>
        </w:rPr>
      </w:pPr>
    </w:p>
    <w:p w:rsidR="001F0F86" w:rsidRPr="002E07CA" w:rsidRDefault="001F0F86" w:rsidP="00F56DB9">
      <w:pPr>
        <w:rPr>
          <w:rStyle w:val="Strong"/>
          <w:sz w:val="24"/>
          <w:szCs w:val="24"/>
        </w:rPr>
      </w:pPr>
      <w:r w:rsidRPr="002E07CA">
        <w:rPr>
          <w:rStyle w:val="Strong"/>
          <w:sz w:val="24"/>
          <w:szCs w:val="24"/>
        </w:rPr>
        <w:lastRenderedPageBreak/>
        <w:t>International standards</w:t>
      </w:r>
    </w:p>
    <w:p w:rsidR="001F0F86" w:rsidRDefault="001F0F86" w:rsidP="00F56DB9">
      <w:pPr>
        <w:pStyle w:val="ListNumber"/>
        <w:numPr>
          <w:ilvl w:val="0"/>
          <w:numId w:val="38"/>
        </w:numPr>
      </w:pPr>
      <w:r w:rsidRPr="00DB6C88">
        <w:t>Do you agree with the ACCC’s assessment of internationa</w:t>
      </w:r>
      <w:r>
        <w:t>l standards relating to prams and strollers</w:t>
      </w:r>
      <w:r w:rsidRPr="00DB6C88">
        <w:t>?</w:t>
      </w:r>
    </w:p>
    <w:p w:rsidR="00F96DD5" w:rsidRPr="00DB6C88" w:rsidRDefault="00F96DD5" w:rsidP="00F96DD5">
      <w:pPr>
        <w:pStyle w:val="ListParagraph"/>
        <w:numPr>
          <w:ilvl w:val="0"/>
          <w:numId w:val="38"/>
        </w:numPr>
      </w:pPr>
      <w:r w:rsidRPr="00F96DD5">
        <w:t>Do you believe that the maintenance of the local requirements for tether straps and red brake actuators is warranted? Has the inclusion of these provisions contributed to the safety of products supplied in Australia?</w:t>
      </w:r>
    </w:p>
    <w:p w:rsidR="001F0F86" w:rsidRPr="002E07CA" w:rsidRDefault="001F0F86" w:rsidP="00F56DB9">
      <w:pPr>
        <w:rPr>
          <w:rStyle w:val="Strong"/>
          <w:sz w:val="24"/>
          <w:szCs w:val="24"/>
        </w:rPr>
      </w:pPr>
      <w:r w:rsidRPr="002E07CA">
        <w:rPr>
          <w:rStyle w:val="Strong"/>
          <w:sz w:val="24"/>
          <w:szCs w:val="24"/>
        </w:rPr>
        <w:t>Policy options</w:t>
      </w:r>
      <w:r w:rsidR="008A4648">
        <w:rPr>
          <w:rStyle w:val="Strong"/>
          <w:sz w:val="24"/>
          <w:szCs w:val="24"/>
        </w:rPr>
        <w:t xml:space="preserve"> and transition</w:t>
      </w:r>
    </w:p>
    <w:p w:rsidR="001F0F86" w:rsidRPr="00DB6C88" w:rsidRDefault="001F0F86" w:rsidP="00F56DB9">
      <w:pPr>
        <w:pStyle w:val="ListNumber"/>
        <w:numPr>
          <w:ilvl w:val="0"/>
          <w:numId w:val="38"/>
        </w:numPr>
      </w:pPr>
      <w:r w:rsidRPr="00DB6C88">
        <w:t>Which policy option do you support?</w:t>
      </w:r>
    </w:p>
    <w:p w:rsidR="001F0F86" w:rsidRPr="00DB6C88" w:rsidRDefault="001F0F86" w:rsidP="00F56DB9">
      <w:pPr>
        <w:pStyle w:val="ListNumber"/>
        <w:numPr>
          <w:ilvl w:val="0"/>
          <w:numId w:val="38"/>
        </w:numPr>
      </w:pPr>
      <w:r w:rsidRPr="00DB6C88">
        <w:t>Are there any other policy options that the ACCC should consider?</w:t>
      </w:r>
    </w:p>
    <w:p w:rsidR="001F0F86" w:rsidRDefault="001F0F86" w:rsidP="00F56DB9">
      <w:pPr>
        <w:pStyle w:val="ListNumber"/>
        <w:numPr>
          <w:ilvl w:val="0"/>
          <w:numId w:val="38"/>
        </w:numPr>
      </w:pPr>
      <w:r w:rsidRPr="00DB6C88">
        <w:t xml:space="preserve">Do you agree with the ACCC estimates of costs set out in Appendix </w:t>
      </w:r>
      <w:r>
        <w:t>C</w:t>
      </w:r>
      <w:r w:rsidRPr="00DB6C88">
        <w:t>? Are there additional costs for your business that have not been included?</w:t>
      </w:r>
    </w:p>
    <w:p w:rsidR="00CA13A4" w:rsidRDefault="00BF0BEB" w:rsidP="00F56DB9">
      <w:pPr>
        <w:pStyle w:val="ListNumber"/>
        <w:numPr>
          <w:ilvl w:val="0"/>
          <w:numId w:val="38"/>
        </w:numPr>
      </w:pPr>
      <w:r>
        <w:t>Is a period of 12,</w:t>
      </w:r>
      <w:r w:rsidR="008A4648">
        <w:t xml:space="preserve"> </w:t>
      </w:r>
      <w:r>
        <w:t>18 or 24 months required for transition to the new requirements?</w:t>
      </w:r>
    </w:p>
    <w:p w:rsidR="001F0F86" w:rsidRPr="002E07CA" w:rsidRDefault="001F0F86" w:rsidP="00F56DB9">
      <w:pPr>
        <w:rPr>
          <w:rStyle w:val="Strong"/>
          <w:sz w:val="24"/>
          <w:szCs w:val="24"/>
        </w:rPr>
      </w:pPr>
      <w:r w:rsidRPr="002E07CA">
        <w:rPr>
          <w:rStyle w:val="Strong"/>
          <w:sz w:val="24"/>
          <w:szCs w:val="24"/>
        </w:rPr>
        <w:t>General</w:t>
      </w:r>
    </w:p>
    <w:p w:rsidR="003200ED" w:rsidRPr="00F96DD5" w:rsidRDefault="001F0F86" w:rsidP="00F96DD5">
      <w:pPr>
        <w:pStyle w:val="ListNumber"/>
        <w:numPr>
          <w:ilvl w:val="0"/>
          <w:numId w:val="38"/>
        </w:numPr>
      </w:pPr>
      <w:r w:rsidRPr="00DB6C88">
        <w:t>Do you have any other comments?</w:t>
      </w:r>
      <w:bookmarkStart w:id="145" w:name="_Toc457222713"/>
      <w:bookmarkStart w:id="146" w:name="_Toc440455054"/>
      <w:bookmarkEnd w:id="140"/>
      <w:bookmarkEnd w:id="141"/>
      <w:bookmarkEnd w:id="142"/>
    </w:p>
    <w:p w:rsidR="00AF5314" w:rsidRDefault="00AF5314" w:rsidP="007A03C1">
      <w:pPr>
        <w:pStyle w:val="Numbered1"/>
        <w:tabs>
          <w:tab w:val="clear" w:pos="680"/>
        </w:tabs>
      </w:pPr>
      <w:bookmarkStart w:id="147" w:name="_Toc471460729"/>
      <w:bookmarkStart w:id="148" w:name="_Toc471461292"/>
      <w:r>
        <w:t>Have your say</w:t>
      </w:r>
      <w:bookmarkEnd w:id="145"/>
      <w:bookmarkEnd w:id="147"/>
      <w:bookmarkEnd w:id="148"/>
    </w:p>
    <w:p w:rsidR="007A03C1" w:rsidRDefault="007A03C1" w:rsidP="007A03C1">
      <w:r w:rsidRPr="002B2F74">
        <w:t>The ACCC invites</w:t>
      </w:r>
      <w:r>
        <w:t xml:space="preserve"> stakeholders and</w:t>
      </w:r>
      <w:r w:rsidRPr="002B2F74">
        <w:t xml:space="preserve"> interested parties to</w:t>
      </w:r>
      <w:r>
        <w:t xml:space="preserve"> comment on these policy options.</w:t>
      </w:r>
    </w:p>
    <w:p w:rsidR="0005009A" w:rsidRDefault="0005009A" w:rsidP="007A03C1">
      <w:r>
        <w:t xml:space="preserve">The ACCC </w:t>
      </w:r>
      <w:r w:rsidR="001A6068">
        <w:t xml:space="preserve">released </w:t>
      </w:r>
      <w:r w:rsidR="003812D0">
        <w:t xml:space="preserve">a </w:t>
      </w:r>
      <w:r w:rsidR="001A6068">
        <w:t xml:space="preserve">consultation </w:t>
      </w:r>
      <w:r w:rsidR="003812D0">
        <w:t xml:space="preserve">paper </w:t>
      </w:r>
      <w:r>
        <w:t>in 2014</w:t>
      </w:r>
      <w:r w:rsidR="001A6068">
        <w:t xml:space="preserve"> that</w:t>
      </w:r>
      <w:r w:rsidR="003812D0">
        <w:t xml:space="preserve"> proposed </w:t>
      </w:r>
      <w:r w:rsidR="001A6068">
        <w:t xml:space="preserve">adopting parts of </w:t>
      </w:r>
      <w:r>
        <w:t xml:space="preserve">the </w:t>
      </w:r>
      <w:r w:rsidR="001A6068">
        <w:t xml:space="preserve">updated voluntary </w:t>
      </w:r>
      <w:r>
        <w:t xml:space="preserve">Australian standard. Most responses supported </w:t>
      </w:r>
      <w:r w:rsidR="001A6068">
        <w:t xml:space="preserve">that </w:t>
      </w:r>
      <w:r w:rsidR="003812D0">
        <w:t>proposal</w:t>
      </w:r>
      <w:r w:rsidR="001A6068">
        <w:t xml:space="preserve"> but we did not include the other </w:t>
      </w:r>
      <w:r w:rsidR="003812D0">
        <w:t xml:space="preserve">Options </w:t>
      </w:r>
      <w:r w:rsidR="001A6068">
        <w:t>detailed</w:t>
      </w:r>
      <w:r w:rsidR="003812D0">
        <w:t xml:space="preserve"> in </w:t>
      </w:r>
      <w:r w:rsidR="001A6068">
        <w:t xml:space="preserve">this consultation </w:t>
      </w:r>
      <w:r w:rsidR="003812D0">
        <w:t>paper.</w:t>
      </w:r>
      <w:r>
        <w:t xml:space="preserve"> If you responded to the 2014 consultation we will consider that feedback. We invite you to give us </w:t>
      </w:r>
      <w:r w:rsidR="001A6068">
        <w:t xml:space="preserve">updated or </w:t>
      </w:r>
      <w:r>
        <w:t>additional comments that we should consider.</w:t>
      </w:r>
    </w:p>
    <w:p w:rsidR="007A03C1" w:rsidRDefault="007A03C1" w:rsidP="007A03C1">
      <w:r>
        <w:t>Consultation is open fro</w:t>
      </w:r>
      <w:r w:rsidRPr="007F68F7">
        <w:t xml:space="preserve">m </w:t>
      </w:r>
      <w:r w:rsidR="00DF7C41">
        <w:t>8 February</w:t>
      </w:r>
      <w:r w:rsidRPr="007F68F7">
        <w:t xml:space="preserve"> to </w:t>
      </w:r>
      <w:r w:rsidR="00DF7C41">
        <w:t>22 March 2017</w:t>
      </w:r>
      <w:r w:rsidRPr="007F68F7">
        <w:t>.</w:t>
      </w:r>
      <w:r>
        <w:t xml:space="preserve"> </w:t>
      </w:r>
    </w:p>
    <w:p w:rsidR="006A4B89" w:rsidRDefault="007A03C1" w:rsidP="007A03C1">
      <w:r>
        <w:t xml:space="preserve">The ACCC prefers submissions via the </w:t>
      </w:r>
      <w:r w:rsidRPr="0039574F">
        <w:t>ACCC consultation hub</w:t>
      </w:r>
      <w:r>
        <w:t xml:space="preserve"> at </w:t>
      </w:r>
      <w:hyperlink r:id="rId14" w:history="1">
        <w:r w:rsidRPr="00020736">
          <w:rPr>
            <w:rStyle w:val="Hyperlink"/>
          </w:rPr>
          <w:t>consultation.accc.gov.au</w:t>
        </w:r>
      </w:hyperlink>
      <w:r>
        <w:t xml:space="preserve">. </w:t>
      </w:r>
    </w:p>
    <w:p w:rsidR="007A03C1" w:rsidRDefault="007A03C1" w:rsidP="007A03C1">
      <w:r>
        <w:t xml:space="preserve">The ACCC will </w:t>
      </w:r>
      <w:r w:rsidRPr="007A03C1">
        <w:t xml:space="preserve">alert stakeholders and interested parties to the consultation through the Product Safety Australia website </w:t>
      </w:r>
      <w:hyperlink r:id="rId15" w:history="1">
        <w:r w:rsidRPr="007A03C1">
          <w:rPr>
            <w:rStyle w:val="Hyperlink"/>
          </w:rPr>
          <w:t>www.productsafety.gov.au</w:t>
        </w:r>
      </w:hyperlink>
      <w:r w:rsidRPr="007A03C1">
        <w:t xml:space="preserve"> and </w:t>
      </w:r>
      <w:hyperlink r:id="rId16" w:history="1">
        <w:r w:rsidRPr="007A03C1">
          <w:rPr>
            <w:rStyle w:val="Hyperlink"/>
          </w:rPr>
          <w:t>www.business.gov.au</w:t>
        </w:r>
      </w:hyperlink>
      <w:r w:rsidRPr="007A03C1">
        <w:t>.</w:t>
      </w:r>
      <w:r>
        <w:t xml:space="preserve"> </w:t>
      </w:r>
    </w:p>
    <w:p w:rsidR="007A03C1" w:rsidRDefault="007A03C1" w:rsidP="007A03C1">
      <w:r>
        <w:t xml:space="preserve">Alternatively, email submissions to </w:t>
      </w:r>
      <w:hyperlink r:id="rId17" w:history="1">
        <w:r w:rsidRPr="007556AB">
          <w:rPr>
            <w:rStyle w:val="Hyperlink"/>
          </w:rPr>
          <w:t>productsafety.regulation@accc.gov.au</w:t>
        </w:r>
      </w:hyperlink>
      <w:r>
        <w:t xml:space="preserve"> or via post:</w:t>
      </w:r>
    </w:p>
    <w:p w:rsidR="007A03C1" w:rsidRDefault="007A03C1" w:rsidP="007A03C1">
      <w:pPr>
        <w:ind w:left="340"/>
      </w:pPr>
      <w:r>
        <w:t>Director</w:t>
      </w:r>
      <w:r>
        <w:br/>
      </w:r>
      <w:r w:rsidRPr="00A07FB8">
        <w:t>Standards</w:t>
      </w:r>
      <w:r>
        <w:t xml:space="preserve"> and Policy</w:t>
      </w:r>
      <w:r>
        <w:br/>
        <w:t>Consumer Product Safety Branch</w:t>
      </w:r>
      <w:r>
        <w:br/>
        <w:t>Australian Competition and Consumer Commission</w:t>
      </w:r>
      <w:r>
        <w:br/>
        <w:t>GPO Box 3131</w:t>
      </w:r>
      <w:r>
        <w:br/>
        <w:t>CANBERRA ACT 2601</w:t>
      </w:r>
    </w:p>
    <w:p w:rsidR="00CA053D" w:rsidRDefault="00CA053D" w:rsidP="004E7D14">
      <w:r>
        <w:t xml:space="preserve">Submissions will be published on the ACCC website at the end of the consultation period. </w:t>
      </w:r>
    </w:p>
    <w:p w:rsidR="004E7D14" w:rsidRDefault="004E7D14" w:rsidP="004E7D14">
      <w:pPr>
        <w:rPr>
          <w:rFonts w:cs="Arial"/>
          <w:szCs w:val="24"/>
        </w:rPr>
      </w:pPr>
      <w:r>
        <w:rPr>
          <w:rFonts w:cs="Arial"/>
          <w:szCs w:val="24"/>
        </w:rPr>
        <w:t>Please note any</w:t>
      </w:r>
      <w:r w:rsidRPr="00530AFB">
        <w:rPr>
          <w:rFonts w:cs="Arial"/>
          <w:szCs w:val="24"/>
        </w:rPr>
        <w:t xml:space="preserve"> information that you believe to be of a confidential nature should be clearly marked or identified as confidential</w:t>
      </w:r>
      <w:r>
        <w:rPr>
          <w:rFonts w:cs="Arial"/>
          <w:szCs w:val="24"/>
        </w:rPr>
        <w:t>. T</w:t>
      </w:r>
      <w:r w:rsidRPr="00530AFB">
        <w:rPr>
          <w:rFonts w:cs="Arial"/>
          <w:szCs w:val="24"/>
        </w:rPr>
        <w:t>he ACCC will not disclose the confidential information to third parties, other than advisors or consultants engaged directly by the ACCC, without first providing you with notice of its intention to do so, such as where it is compelled to do so by law.</w:t>
      </w:r>
    </w:p>
    <w:p w:rsidR="0089085B" w:rsidRDefault="0089085B" w:rsidP="004E7D14">
      <w:pPr>
        <w:rPr>
          <w:rFonts w:cs="Arial"/>
          <w:szCs w:val="24"/>
        </w:rPr>
      </w:pPr>
    </w:p>
    <w:p w:rsidR="0089085B" w:rsidRDefault="0089085B" w:rsidP="004E7D14">
      <w:pPr>
        <w:rPr>
          <w:rFonts w:cs="Arial"/>
          <w:szCs w:val="24"/>
        </w:rPr>
      </w:pPr>
    </w:p>
    <w:p w:rsidR="00E556FF" w:rsidRPr="004D3CC4" w:rsidRDefault="00E556FF" w:rsidP="004D3CC4">
      <w:pPr>
        <w:pStyle w:val="Heading1"/>
      </w:pPr>
      <w:bookmarkStart w:id="149" w:name="_Toc471460730"/>
      <w:bookmarkStart w:id="150" w:name="_Toc471461293"/>
      <w:r w:rsidRPr="004D3CC4">
        <w:t>Glossary</w:t>
      </w:r>
      <w:bookmarkEnd w:id="149"/>
      <w:bookmarkEnd w:id="150"/>
    </w:p>
    <w:tbl>
      <w:tblPr>
        <w:tblStyle w:val="LightShading"/>
        <w:tblW w:w="0" w:type="auto"/>
        <w:tblLook w:val="04A0" w:firstRow="1" w:lastRow="0" w:firstColumn="1" w:lastColumn="0" w:noHBand="0" w:noVBand="1"/>
      </w:tblPr>
      <w:tblGrid>
        <w:gridCol w:w="2376"/>
        <w:gridCol w:w="6866"/>
      </w:tblGrid>
      <w:tr w:rsidR="00E556FF" w:rsidRPr="00353968" w:rsidTr="00D603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E556FF" w:rsidRPr="00353968" w:rsidRDefault="00E556FF" w:rsidP="00D603D9">
            <w:r w:rsidRPr="00353968">
              <w:t>Term</w:t>
            </w:r>
          </w:p>
        </w:tc>
        <w:tc>
          <w:tcPr>
            <w:tcW w:w="6866" w:type="dxa"/>
          </w:tcPr>
          <w:p w:rsidR="00E556FF" w:rsidRPr="00353968" w:rsidRDefault="00E556FF" w:rsidP="00D603D9">
            <w:pPr>
              <w:cnfStyle w:val="100000000000" w:firstRow="1" w:lastRow="0" w:firstColumn="0" w:lastColumn="0" w:oddVBand="0" w:evenVBand="0" w:oddHBand="0" w:evenHBand="0" w:firstRowFirstColumn="0" w:firstRowLastColumn="0" w:lastRowFirstColumn="0" w:lastRowLastColumn="0"/>
            </w:pPr>
            <w:r w:rsidRPr="00353968">
              <w:t>Definition</w:t>
            </w:r>
          </w:p>
        </w:tc>
      </w:tr>
      <w:tr w:rsidR="00E556FF" w:rsidRPr="00353968" w:rsidTr="00D603D9">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E556FF" w:rsidRPr="00353968" w:rsidRDefault="00E556FF" w:rsidP="00D603D9">
            <w:r w:rsidRPr="00353968">
              <w:t>ASTM standard</w:t>
            </w:r>
          </w:p>
        </w:tc>
        <w:tc>
          <w:tcPr>
            <w:tcW w:w="6866" w:type="dxa"/>
            <w:shd w:val="clear" w:color="auto" w:fill="FFFFFF" w:themeFill="background1"/>
          </w:tcPr>
          <w:p w:rsidR="00E556FF" w:rsidRPr="00183235" w:rsidRDefault="00411AB6" w:rsidP="0071775C">
            <w:pPr>
              <w:cnfStyle w:val="000000000000" w:firstRow="0" w:lastRow="0" w:firstColumn="0" w:lastColumn="0" w:oddVBand="0" w:evenVBand="0" w:oddHBand="0" w:evenHBand="0" w:firstRowFirstColumn="0" w:firstRowLastColumn="0" w:lastRowFirstColumn="0" w:lastRowLastColumn="0"/>
            </w:pPr>
            <w:r>
              <w:t>ASTM F833-1</w:t>
            </w:r>
            <w:r w:rsidR="00E77899">
              <w:t>5</w:t>
            </w:r>
            <w:r w:rsidR="0071775C">
              <w:t xml:space="preserve"> </w:t>
            </w:r>
            <w:r w:rsidR="0071775C" w:rsidRPr="0071775C">
              <w:t xml:space="preserve">Standard </w:t>
            </w:r>
            <w:r w:rsidR="0071775C">
              <w:t>c</w:t>
            </w:r>
            <w:r w:rsidR="0071775C" w:rsidRPr="0071775C">
              <w:t xml:space="preserve">onsumer </w:t>
            </w:r>
            <w:r w:rsidR="0071775C">
              <w:t>s</w:t>
            </w:r>
            <w:r w:rsidR="0071775C" w:rsidRPr="0071775C">
              <w:t xml:space="preserve">afety </w:t>
            </w:r>
            <w:r w:rsidR="0071775C">
              <w:t>p</w:t>
            </w:r>
            <w:r w:rsidR="0071775C" w:rsidRPr="0071775C">
              <w:t xml:space="preserve">erformance </w:t>
            </w:r>
            <w:r w:rsidR="0071775C">
              <w:t>s</w:t>
            </w:r>
            <w:r w:rsidR="0071775C" w:rsidRPr="0071775C">
              <w:t xml:space="preserve">pecification for </w:t>
            </w:r>
            <w:r w:rsidR="0071775C">
              <w:t>c</w:t>
            </w:r>
            <w:r w:rsidR="0071775C" w:rsidRPr="0071775C">
              <w:t xml:space="preserve">arriages and </w:t>
            </w:r>
            <w:r w:rsidR="0071775C">
              <w:t>s</w:t>
            </w:r>
            <w:r w:rsidR="0071775C" w:rsidRPr="0071775C">
              <w:t>trollers</w:t>
            </w:r>
          </w:p>
        </w:tc>
      </w:tr>
      <w:tr w:rsidR="00E556FF" w:rsidRPr="00353968" w:rsidTr="00D603D9">
        <w:tc>
          <w:tcPr>
            <w:cnfStyle w:val="001000000000" w:firstRow="0" w:lastRow="0" w:firstColumn="1" w:lastColumn="0" w:oddVBand="0" w:evenVBand="0" w:oddHBand="0" w:evenHBand="0" w:firstRowFirstColumn="0" w:firstRowLastColumn="0" w:lastRowFirstColumn="0" w:lastRowLastColumn="0"/>
            <w:tcW w:w="2376" w:type="dxa"/>
          </w:tcPr>
          <w:p w:rsidR="00E556FF" w:rsidRDefault="00E556FF" w:rsidP="00D603D9">
            <w:r w:rsidRPr="00353968">
              <w:t>European standard</w:t>
            </w:r>
          </w:p>
        </w:tc>
        <w:tc>
          <w:tcPr>
            <w:tcW w:w="6866" w:type="dxa"/>
          </w:tcPr>
          <w:p w:rsidR="00E556FF" w:rsidRPr="00353968" w:rsidRDefault="00E556FF" w:rsidP="00B7303D">
            <w:pPr>
              <w:cnfStyle w:val="000000000000" w:firstRow="0" w:lastRow="0" w:firstColumn="0" w:lastColumn="0" w:oddVBand="0" w:evenVBand="0" w:oddHBand="0" w:evenHBand="0" w:firstRowFirstColumn="0" w:firstRowLastColumn="0" w:lastRowFirstColumn="0" w:lastRowLastColumn="0"/>
            </w:pPr>
            <w:r w:rsidRPr="00353968">
              <w:t xml:space="preserve">EN </w:t>
            </w:r>
            <w:r>
              <w:t>1888:2012</w:t>
            </w:r>
            <w:r w:rsidR="00B7303D">
              <w:t xml:space="preserve"> </w:t>
            </w:r>
            <w:r w:rsidR="00B7303D" w:rsidRPr="00B7303D">
              <w:t xml:space="preserve">Child </w:t>
            </w:r>
            <w:r w:rsidR="00B7303D">
              <w:t>c</w:t>
            </w:r>
            <w:r w:rsidR="00B7303D" w:rsidRPr="00B7303D">
              <w:t xml:space="preserve">are </w:t>
            </w:r>
            <w:r w:rsidR="00B7303D">
              <w:t>a</w:t>
            </w:r>
            <w:r w:rsidR="00B7303D" w:rsidRPr="00B7303D">
              <w:t xml:space="preserve">rticles - Wheeled </w:t>
            </w:r>
            <w:r w:rsidR="00B7303D">
              <w:t>c</w:t>
            </w:r>
            <w:r w:rsidR="00B7303D" w:rsidRPr="00B7303D">
              <w:t xml:space="preserve">hild </w:t>
            </w:r>
            <w:r w:rsidR="00B7303D">
              <w:t>c</w:t>
            </w:r>
            <w:r w:rsidR="00B7303D" w:rsidRPr="00B7303D">
              <w:t xml:space="preserve">onveyances - Safety </w:t>
            </w:r>
            <w:r w:rsidR="00B7303D">
              <w:t>r</w:t>
            </w:r>
            <w:r w:rsidR="00B7303D" w:rsidRPr="00B7303D">
              <w:t xml:space="preserve">equirements and </w:t>
            </w:r>
            <w:r w:rsidR="00B7303D">
              <w:t>t</w:t>
            </w:r>
            <w:r w:rsidR="00B7303D" w:rsidRPr="00B7303D">
              <w:t xml:space="preserve">est </w:t>
            </w:r>
            <w:r w:rsidR="00B7303D">
              <w:t>m</w:t>
            </w:r>
            <w:r w:rsidR="00B7303D" w:rsidRPr="00B7303D">
              <w:t>ethods</w:t>
            </w:r>
          </w:p>
        </w:tc>
      </w:tr>
      <w:tr w:rsidR="00233594" w:rsidRPr="00353968" w:rsidTr="00B22AAC">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233594" w:rsidRPr="00353968" w:rsidRDefault="00233594" w:rsidP="00D603D9">
            <w:r w:rsidRPr="00353968">
              <w:t>Mandatory safety standard</w:t>
            </w:r>
          </w:p>
        </w:tc>
        <w:tc>
          <w:tcPr>
            <w:tcW w:w="6866" w:type="dxa"/>
            <w:shd w:val="clear" w:color="auto" w:fill="FFFFFF" w:themeFill="background1"/>
          </w:tcPr>
          <w:p w:rsidR="00233594" w:rsidRPr="00353968" w:rsidRDefault="00233594" w:rsidP="004D3CC4">
            <w:pPr>
              <w:cnfStyle w:val="000000000000" w:firstRow="0" w:lastRow="0" w:firstColumn="0" w:lastColumn="0" w:oddVBand="0" w:evenVBand="0" w:oddHBand="0" w:evenHBand="0" w:firstRowFirstColumn="0" w:firstRowLastColumn="0" w:lastRowFirstColumn="0" w:lastRowLastColumn="0"/>
            </w:pPr>
            <w:r w:rsidRPr="00353968">
              <w:t xml:space="preserve">The Australian mandatory safety standard for </w:t>
            </w:r>
            <w:r>
              <w:t>prams and strollers</w:t>
            </w:r>
            <w:r w:rsidRPr="00353968">
              <w:t xml:space="preserve"> (</w:t>
            </w:r>
            <w:r w:rsidRPr="00D44C6D">
              <w:t xml:space="preserve">Consumer Protection Notice No. 8 of 2007 - Consumer Product Safety Standard for </w:t>
            </w:r>
            <w:r>
              <w:t>Prams and Strollers</w:t>
            </w:r>
            <w:r w:rsidRPr="00353968">
              <w:t>)</w:t>
            </w:r>
            <w:r w:rsidR="0005009A">
              <w:t xml:space="preserve"> which references </w:t>
            </w:r>
            <w:r w:rsidR="004D3CC4">
              <w:t xml:space="preserve">parts </w:t>
            </w:r>
            <w:r w:rsidR="0005009A">
              <w:t xml:space="preserve">of </w:t>
            </w:r>
            <w:r w:rsidR="004D3CC4">
              <w:br/>
            </w:r>
            <w:r w:rsidR="0005009A">
              <w:t>AS/NZS 2088:2000</w:t>
            </w:r>
            <w:r w:rsidR="008F6553">
              <w:t xml:space="preserve"> Prams and strollers- Safety requirements</w:t>
            </w:r>
          </w:p>
        </w:tc>
      </w:tr>
      <w:tr w:rsidR="009B6978" w:rsidRPr="00353968" w:rsidTr="00D94EDF">
        <w:tc>
          <w:tcPr>
            <w:cnfStyle w:val="001000000000" w:firstRow="0" w:lastRow="0" w:firstColumn="1" w:lastColumn="0" w:oddVBand="0" w:evenVBand="0" w:oddHBand="0" w:evenHBand="0" w:firstRowFirstColumn="0" w:firstRowLastColumn="0" w:lastRowFirstColumn="0" w:lastRowLastColumn="0"/>
            <w:tcW w:w="2376" w:type="dxa"/>
          </w:tcPr>
          <w:p w:rsidR="009B6978" w:rsidRDefault="009B6978" w:rsidP="009B6978">
            <w:r>
              <w:t>Pram</w:t>
            </w:r>
          </w:p>
        </w:tc>
        <w:tc>
          <w:tcPr>
            <w:tcW w:w="6866" w:type="dxa"/>
          </w:tcPr>
          <w:p w:rsidR="009B6978" w:rsidRPr="00353968" w:rsidRDefault="009B6978" w:rsidP="009B6978">
            <w:pPr>
              <w:cnfStyle w:val="000000000000" w:firstRow="0" w:lastRow="0" w:firstColumn="0" w:lastColumn="0" w:oddVBand="0" w:evenVBand="0" w:oddHBand="0" w:evenHBand="0" w:firstRowFirstColumn="0" w:firstRowLastColumn="0" w:lastRowFirstColumn="0" w:lastRowLastColumn="0"/>
            </w:pPr>
            <w:r w:rsidRPr="00353968">
              <w:t xml:space="preserve">The mandatory safety standard defines </w:t>
            </w:r>
            <w:r>
              <w:t>a pram as a wheeled vehicle with a body of box like or boat like shape designed to transport a baby or child weighing up to and including 9 kg primarily in a fully reclined position.</w:t>
            </w:r>
          </w:p>
        </w:tc>
      </w:tr>
      <w:tr w:rsidR="009B6978" w:rsidRPr="00353968" w:rsidTr="00B22AAC">
        <w:tc>
          <w:tcPr>
            <w:cnfStyle w:val="001000000000" w:firstRow="0" w:lastRow="0" w:firstColumn="1" w:lastColumn="0" w:oddVBand="0" w:evenVBand="0" w:oddHBand="0" w:evenHBand="0" w:firstRowFirstColumn="0" w:firstRowLastColumn="0" w:lastRowFirstColumn="0" w:lastRowLastColumn="0"/>
            <w:tcW w:w="2376" w:type="dxa"/>
          </w:tcPr>
          <w:p w:rsidR="009B6978" w:rsidRPr="00353968" w:rsidRDefault="009B6978" w:rsidP="009B6978">
            <w:r>
              <w:t>Stroller</w:t>
            </w:r>
          </w:p>
        </w:tc>
        <w:tc>
          <w:tcPr>
            <w:tcW w:w="6866" w:type="dxa"/>
          </w:tcPr>
          <w:p w:rsidR="009B6978" w:rsidRPr="00353968" w:rsidRDefault="009B6978" w:rsidP="00D603D9">
            <w:pPr>
              <w:cnfStyle w:val="000000000000" w:firstRow="0" w:lastRow="0" w:firstColumn="0" w:lastColumn="0" w:oddVBand="0" w:evenVBand="0" w:oddHBand="0" w:evenHBand="0" w:firstRowFirstColumn="0" w:firstRowLastColumn="0" w:lastRowFirstColumn="0" w:lastRowLastColumn="0"/>
            </w:pPr>
            <w:r w:rsidRPr="00353968">
              <w:t xml:space="preserve">The mandatory safety standard defines </w:t>
            </w:r>
            <w:r>
              <w:t>a stroller as a wheeled vehicle designed to transport a child in a seated position which may also be adjusted to a semi reclined or fully reclined position</w:t>
            </w:r>
          </w:p>
        </w:tc>
      </w:tr>
      <w:tr w:rsidR="00233594" w:rsidRPr="00353968" w:rsidTr="00B22AAC">
        <w:tc>
          <w:tcPr>
            <w:cnfStyle w:val="001000000000" w:firstRow="0" w:lastRow="0" w:firstColumn="1" w:lastColumn="0" w:oddVBand="0" w:evenVBand="0" w:oddHBand="0" w:evenHBand="0" w:firstRowFirstColumn="0" w:firstRowLastColumn="0" w:lastRowFirstColumn="0" w:lastRowLastColumn="0"/>
            <w:tcW w:w="2376" w:type="dxa"/>
          </w:tcPr>
          <w:p w:rsidR="00233594" w:rsidRPr="00353968" w:rsidRDefault="00233594" w:rsidP="00D603D9">
            <w:r w:rsidRPr="00353968">
              <w:t>Updated voluntary Australian standard</w:t>
            </w:r>
          </w:p>
        </w:tc>
        <w:tc>
          <w:tcPr>
            <w:tcW w:w="6866" w:type="dxa"/>
          </w:tcPr>
          <w:p w:rsidR="00233594" w:rsidRPr="00353968" w:rsidRDefault="00233594" w:rsidP="00D603D9">
            <w:pPr>
              <w:cnfStyle w:val="000000000000" w:firstRow="0" w:lastRow="0" w:firstColumn="0" w:lastColumn="0" w:oddVBand="0" w:evenVBand="0" w:oddHBand="0" w:evenHBand="0" w:firstRowFirstColumn="0" w:firstRowLastColumn="0" w:lastRowFirstColumn="0" w:lastRowLastColumn="0"/>
            </w:pPr>
            <w:r>
              <w:t>AS/NZS 2088:2013</w:t>
            </w:r>
            <w:r w:rsidR="0071775C">
              <w:t xml:space="preserve"> </w:t>
            </w:r>
            <w:r w:rsidR="0071775C" w:rsidRPr="0071775C">
              <w:t>Prams and strollers - Safety requirements</w:t>
            </w:r>
          </w:p>
        </w:tc>
      </w:tr>
      <w:bookmarkEnd w:id="146"/>
    </w:tbl>
    <w:p w:rsidR="00C32FC8" w:rsidRDefault="00C32FC8" w:rsidP="00346485">
      <w:pPr>
        <w:pStyle w:val="Heading1"/>
      </w:pPr>
    </w:p>
    <w:p w:rsidR="00C32FC8" w:rsidRDefault="00C32FC8" w:rsidP="00346485">
      <w:pPr>
        <w:pStyle w:val="Heading1"/>
      </w:pPr>
    </w:p>
    <w:p w:rsidR="001378C8" w:rsidRDefault="001378C8">
      <w:pPr>
        <w:rPr>
          <w:rFonts w:ascii="Lucida Fax" w:eastAsiaTheme="majorEastAsia" w:hAnsi="Lucida Fax" w:cstheme="majorBidi"/>
          <w:bCs/>
          <w:color w:val="51626F"/>
          <w:sz w:val="32"/>
          <w:szCs w:val="28"/>
        </w:rPr>
      </w:pPr>
      <w:r>
        <w:br w:type="page"/>
      </w:r>
    </w:p>
    <w:p w:rsidR="00346485" w:rsidRPr="00346485" w:rsidRDefault="00346485" w:rsidP="00346485">
      <w:pPr>
        <w:pStyle w:val="Heading1"/>
      </w:pPr>
      <w:bookmarkStart w:id="151" w:name="_Toc471460731"/>
      <w:bookmarkStart w:id="152" w:name="_Toc471461294"/>
      <w:r>
        <w:lastRenderedPageBreak/>
        <w:t>Appendix A – Injuries and deaths</w:t>
      </w:r>
      <w:bookmarkEnd w:id="151"/>
      <w:bookmarkEnd w:id="152"/>
    </w:p>
    <w:p w:rsidR="00346485" w:rsidRPr="00CE24FE" w:rsidRDefault="00346485" w:rsidP="00346485">
      <w:pPr>
        <w:pStyle w:val="Numbered111"/>
        <w:numPr>
          <w:ilvl w:val="0"/>
          <w:numId w:val="0"/>
        </w:numPr>
        <w:ind w:left="1247" w:hanging="1247"/>
      </w:pPr>
      <w:bookmarkStart w:id="153" w:name="_Toc471460983"/>
      <w:bookmarkStart w:id="154" w:name="_Toc471461295"/>
      <w:r w:rsidRPr="00CE24FE">
        <w:t>Victorian injury data</w:t>
      </w:r>
      <w:bookmarkEnd w:id="153"/>
      <w:bookmarkEnd w:id="154"/>
    </w:p>
    <w:p w:rsidR="00346485" w:rsidRPr="00CE24FE" w:rsidRDefault="00346485" w:rsidP="00E201B3">
      <w:pPr>
        <w:spacing w:after="120" w:line="220" w:lineRule="atLeast"/>
      </w:pPr>
      <w:r w:rsidRPr="00CE24FE">
        <w:t xml:space="preserve">Victorian Injury Surveillance Unit </w:t>
      </w:r>
      <w:r w:rsidR="003C4433">
        <w:t xml:space="preserve">(VISU) data </w:t>
      </w:r>
      <w:r w:rsidRPr="00CE24FE">
        <w:t>for 1996</w:t>
      </w:r>
      <w:r w:rsidR="003C4433">
        <w:t>-</w:t>
      </w:r>
      <w:r w:rsidRPr="00CE24FE">
        <w:t>2010 indicate:</w:t>
      </w:r>
    </w:p>
    <w:p w:rsidR="00346485" w:rsidRDefault="004F3EC8" w:rsidP="00346485">
      <w:pPr>
        <w:pStyle w:val="Bulletpoint"/>
        <w:tabs>
          <w:tab w:val="clear" w:pos="340"/>
        </w:tabs>
        <w:spacing w:after="120"/>
      </w:pPr>
      <w:r>
        <w:t>there were 2</w:t>
      </w:r>
      <w:r w:rsidR="00346485" w:rsidRPr="00CE24FE">
        <w:t xml:space="preserve">250 presentations to Emergency Departments (EDs) in Victoria for pram and stroller related injury (an average of 150 per </w:t>
      </w:r>
      <w:r w:rsidR="005C33DC">
        <w:t>year</w:t>
      </w:r>
      <w:r w:rsidR="00346485" w:rsidRPr="00CE24FE">
        <w:t>)</w:t>
      </w:r>
    </w:p>
    <w:p w:rsidR="00346485" w:rsidRPr="00CE24FE" w:rsidRDefault="004F3EC8" w:rsidP="00346485">
      <w:pPr>
        <w:pStyle w:val="Bulletpoint"/>
        <w:tabs>
          <w:tab w:val="clear" w:pos="340"/>
        </w:tabs>
        <w:spacing w:after="120"/>
      </w:pPr>
      <w:r>
        <w:t>of these, 79 per cent</w:t>
      </w:r>
      <w:r w:rsidR="00346485" w:rsidRPr="00CE24FE">
        <w:t xml:space="preserve"> (1778) occurred to children aged one year or less </w:t>
      </w:r>
    </w:p>
    <w:p w:rsidR="00346485" w:rsidRPr="00CE24FE" w:rsidRDefault="00346485" w:rsidP="00346485">
      <w:pPr>
        <w:pStyle w:val="Bulletpoint"/>
        <w:tabs>
          <w:tab w:val="clear" w:pos="340"/>
        </w:tabs>
        <w:spacing w:after="120"/>
      </w:pPr>
      <w:r w:rsidRPr="00CE24FE">
        <w:t>falls acco</w:t>
      </w:r>
      <w:r w:rsidR="004F3EC8">
        <w:t>unted for 88 per cent</w:t>
      </w:r>
      <w:r w:rsidRPr="00CE24FE">
        <w:t xml:space="preserve"> (1980) of these cases </w:t>
      </w:r>
    </w:p>
    <w:p w:rsidR="00346485" w:rsidRPr="00CE24FE" w:rsidRDefault="00346485" w:rsidP="00346485">
      <w:pPr>
        <w:pStyle w:val="Bulletpoint"/>
        <w:tabs>
          <w:tab w:val="clear" w:pos="340"/>
        </w:tabs>
        <w:spacing w:after="120"/>
      </w:pPr>
      <w:r w:rsidRPr="00CE24FE">
        <w:t xml:space="preserve">the next most common cause was injury from a cutting/piercing object (being caught or </w:t>
      </w:r>
      <w:r w:rsidR="004F3EC8">
        <w:t>pinched in part of the pram</w:t>
      </w:r>
      <w:r w:rsidR="00D94EDF">
        <w:t xml:space="preserve"> or stroller</w:t>
      </w:r>
      <w:r w:rsidR="004F3EC8">
        <w:t>)</w:t>
      </w:r>
      <w:r w:rsidR="00D94EDF">
        <w:t xml:space="preserve"> </w:t>
      </w:r>
      <w:r w:rsidR="006206FC">
        <w:t>–</w:t>
      </w:r>
      <w:r w:rsidR="004F3EC8">
        <w:t xml:space="preserve"> </w:t>
      </w:r>
      <w:r w:rsidR="005C33DC">
        <w:t>four</w:t>
      </w:r>
      <w:r w:rsidR="006206FC">
        <w:t xml:space="preserve"> </w:t>
      </w:r>
      <w:r w:rsidR="004F3EC8">
        <w:t>per cent</w:t>
      </w:r>
      <w:r w:rsidRPr="00CE24FE">
        <w:t xml:space="preserve"> of cases (98)</w:t>
      </w:r>
    </w:p>
    <w:p w:rsidR="00346485" w:rsidRPr="00BE7B50" w:rsidRDefault="004F3EC8" w:rsidP="00346485">
      <w:pPr>
        <w:pStyle w:val="Bulletpoint"/>
        <w:tabs>
          <w:tab w:val="clear" w:pos="340"/>
        </w:tabs>
        <w:spacing w:after="120"/>
      </w:pPr>
      <w:r>
        <w:t>91 per cent of cases (2</w:t>
      </w:r>
      <w:r w:rsidR="00346485" w:rsidRPr="00CE24FE">
        <w:t>049) were treated i</w:t>
      </w:r>
      <w:r>
        <w:t xml:space="preserve">n the ED and discharged, with </w:t>
      </w:r>
      <w:r w:rsidR="005C33DC">
        <w:t xml:space="preserve">eight </w:t>
      </w:r>
      <w:r>
        <w:t>per cent</w:t>
      </w:r>
      <w:r w:rsidR="00346485" w:rsidRPr="00CE24FE">
        <w:t xml:space="preserve"> (171) ad</w:t>
      </w:r>
      <w:r w:rsidR="00346485">
        <w:t xml:space="preserve">mitted </w:t>
      </w:r>
      <w:r w:rsidR="00D94EDF">
        <w:t xml:space="preserve">to </w:t>
      </w:r>
      <w:r w:rsidR="00346485">
        <w:t>hospital.</w:t>
      </w:r>
    </w:p>
    <w:p w:rsidR="00346485" w:rsidRPr="00CE24FE" w:rsidRDefault="00346485" w:rsidP="00346485">
      <w:pPr>
        <w:pStyle w:val="Numbered111"/>
        <w:numPr>
          <w:ilvl w:val="0"/>
          <w:numId w:val="0"/>
        </w:numPr>
        <w:ind w:left="1247" w:hanging="1247"/>
      </w:pPr>
      <w:bookmarkStart w:id="155" w:name="_Toc471460984"/>
      <w:bookmarkStart w:id="156" w:name="_Toc471461296"/>
      <w:r w:rsidRPr="00CE24FE">
        <w:t>Queensland injury data</w:t>
      </w:r>
      <w:bookmarkEnd w:id="155"/>
      <w:bookmarkEnd w:id="156"/>
    </w:p>
    <w:p w:rsidR="00346485" w:rsidRPr="00CE24FE" w:rsidRDefault="00346485" w:rsidP="00E201B3">
      <w:pPr>
        <w:spacing w:after="120" w:line="220" w:lineRule="atLeast"/>
      </w:pPr>
      <w:r w:rsidRPr="00CE24FE">
        <w:t xml:space="preserve">Queensland Injury Surveillance Unit </w:t>
      </w:r>
      <w:r w:rsidR="003C4433">
        <w:t xml:space="preserve">(QISU) data </w:t>
      </w:r>
      <w:r w:rsidRPr="00CE24FE">
        <w:t>for 2004</w:t>
      </w:r>
      <w:r w:rsidR="003C4433">
        <w:t>-</w:t>
      </w:r>
      <w:r w:rsidRPr="00CE24FE">
        <w:t>2011 indicate:</w:t>
      </w:r>
    </w:p>
    <w:p w:rsidR="00346485" w:rsidRPr="00CE24FE" w:rsidRDefault="00346485" w:rsidP="00346485">
      <w:pPr>
        <w:pStyle w:val="Bulletpoint"/>
        <w:tabs>
          <w:tab w:val="clear" w:pos="340"/>
        </w:tabs>
        <w:spacing w:after="120"/>
      </w:pPr>
      <w:r w:rsidRPr="00CE24FE">
        <w:t xml:space="preserve">there were 717 presentations to EDs in Queensland for pram and stroller related injury (averaging </w:t>
      </w:r>
      <w:r w:rsidR="005C33DC">
        <w:t xml:space="preserve">90 per year but increasing to about </w:t>
      </w:r>
      <w:r w:rsidRPr="00CE24FE">
        <w:t xml:space="preserve">150 per </w:t>
      </w:r>
      <w:r w:rsidR="005C33DC">
        <w:t xml:space="preserve">year </w:t>
      </w:r>
      <w:r w:rsidRPr="00CE24FE">
        <w:t xml:space="preserve">in </w:t>
      </w:r>
      <w:r w:rsidR="005C33DC">
        <w:t>later</w:t>
      </w:r>
      <w:r w:rsidR="005C33DC" w:rsidRPr="00CE24FE">
        <w:t xml:space="preserve"> </w:t>
      </w:r>
      <w:r w:rsidRPr="00CE24FE">
        <w:t>years)</w:t>
      </w:r>
    </w:p>
    <w:p w:rsidR="00346485" w:rsidRPr="00CE24FE" w:rsidRDefault="004F3EC8" w:rsidP="00346485">
      <w:pPr>
        <w:pStyle w:val="Bulletpoint"/>
        <w:tabs>
          <w:tab w:val="clear" w:pos="340"/>
        </w:tabs>
        <w:spacing w:after="120"/>
      </w:pPr>
      <w:r>
        <w:t>of these</w:t>
      </w:r>
      <w:r w:rsidR="005C33DC">
        <w:t>,</w:t>
      </w:r>
      <w:r>
        <w:t xml:space="preserve"> 79 per cent</w:t>
      </w:r>
      <w:r w:rsidR="00346485" w:rsidRPr="00CE24FE">
        <w:t xml:space="preserve"> (566) occurred to children aged one year or less </w:t>
      </w:r>
    </w:p>
    <w:p w:rsidR="00346485" w:rsidRPr="00CE24FE" w:rsidRDefault="004F3EC8" w:rsidP="00346485">
      <w:pPr>
        <w:pStyle w:val="Bulletpoint"/>
        <w:tabs>
          <w:tab w:val="clear" w:pos="340"/>
        </w:tabs>
        <w:spacing w:after="120"/>
      </w:pPr>
      <w:r>
        <w:t>falls accounted for 90 per cent</w:t>
      </w:r>
      <w:r w:rsidR="00346485" w:rsidRPr="00CE24FE">
        <w:t xml:space="preserve"> (645) of these cases</w:t>
      </w:r>
    </w:p>
    <w:p w:rsidR="00346485" w:rsidRPr="00CE24FE" w:rsidRDefault="00346485" w:rsidP="00346485">
      <w:pPr>
        <w:pStyle w:val="Bulletpoint"/>
        <w:tabs>
          <w:tab w:val="clear" w:pos="340"/>
        </w:tabs>
        <w:spacing w:after="120"/>
      </w:pPr>
      <w:r w:rsidRPr="00CE24FE">
        <w:t>the next most common cause of injury was a child trapping part of the</w:t>
      </w:r>
      <w:r w:rsidR="005C33DC">
        <w:t>ir</w:t>
      </w:r>
      <w:r w:rsidRPr="00CE24FE">
        <w:t xml:space="preserve"> body (usually fingers) in </w:t>
      </w:r>
      <w:r w:rsidR="004F3EC8">
        <w:t xml:space="preserve">a section of the </w:t>
      </w:r>
      <w:r w:rsidR="00D94EDF">
        <w:t xml:space="preserve">pram or </w:t>
      </w:r>
      <w:r w:rsidR="004F3EC8">
        <w:t>stroller</w:t>
      </w:r>
      <w:r w:rsidR="00D94EDF">
        <w:t xml:space="preserve"> </w:t>
      </w:r>
      <w:r w:rsidR="005C33DC">
        <w:t>–</w:t>
      </w:r>
      <w:r w:rsidR="004F3EC8">
        <w:t xml:space="preserve"> </w:t>
      </w:r>
      <w:r w:rsidR="005C33DC">
        <w:t>four</w:t>
      </w:r>
      <w:r w:rsidR="004F3EC8">
        <w:t xml:space="preserve"> per cent </w:t>
      </w:r>
      <w:r w:rsidRPr="00CE24FE">
        <w:t>(32)</w:t>
      </w:r>
    </w:p>
    <w:p w:rsidR="00346485" w:rsidRPr="00CE24FE" w:rsidRDefault="00346485" w:rsidP="00346485">
      <w:pPr>
        <w:pStyle w:val="Bulletpoint"/>
        <w:tabs>
          <w:tab w:val="clear" w:pos="340"/>
        </w:tabs>
        <w:spacing w:after="120"/>
      </w:pPr>
      <w:proofErr w:type="gramStart"/>
      <w:r w:rsidRPr="00CE24FE">
        <w:t>there</w:t>
      </w:r>
      <w:proofErr w:type="gramEnd"/>
      <w:r w:rsidRPr="00CE24FE">
        <w:t xml:space="preserve"> were 174 admissions to hospitals (for the 5.5 year period from July 2006, when </w:t>
      </w:r>
      <w:r w:rsidR="005C33DC">
        <w:t>this data</w:t>
      </w:r>
      <w:r w:rsidR="005C33DC" w:rsidRPr="00CE24FE">
        <w:t xml:space="preserve"> categor</w:t>
      </w:r>
      <w:r w:rsidR="005C33DC">
        <w:t>y</w:t>
      </w:r>
      <w:r w:rsidR="005C33DC" w:rsidRPr="00CE24FE">
        <w:t xml:space="preserve"> </w:t>
      </w:r>
      <w:r w:rsidRPr="00CE24FE">
        <w:t xml:space="preserve">was first </w:t>
      </w:r>
      <w:r w:rsidR="005C33DC">
        <w:t>recorded</w:t>
      </w:r>
      <w:r w:rsidRPr="00CE24FE">
        <w:t>, to December 2011)</w:t>
      </w:r>
      <w:r w:rsidR="005C33DC">
        <w:t xml:space="preserve"> – this is an average of 32 hospital admissions per year</w:t>
      </w:r>
      <w:r w:rsidRPr="00CE24FE">
        <w:t>.</w:t>
      </w:r>
    </w:p>
    <w:p w:rsidR="00346485" w:rsidRDefault="00346485" w:rsidP="00346485">
      <w:pPr>
        <w:spacing w:after="240" w:line="220" w:lineRule="atLeast"/>
      </w:pPr>
      <w:r w:rsidRPr="00CE24FE">
        <w:t xml:space="preserve">A 2013 </w:t>
      </w:r>
      <w:r w:rsidR="005C33DC" w:rsidRPr="00CE24FE">
        <w:t>assess</w:t>
      </w:r>
      <w:r w:rsidR="005C33DC">
        <w:t>ment</w:t>
      </w:r>
      <w:r w:rsidR="005C33DC" w:rsidRPr="00CE24FE">
        <w:t xml:space="preserve"> </w:t>
      </w:r>
      <w:r w:rsidR="005C33DC">
        <w:t xml:space="preserve">of </w:t>
      </w:r>
      <w:r w:rsidRPr="00CE24FE">
        <w:t xml:space="preserve">these </w:t>
      </w:r>
      <w:r w:rsidR="005C33DC">
        <w:t>data</w:t>
      </w:r>
      <w:r w:rsidR="005C33DC" w:rsidRPr="00CE24FE">
        <w:t xml:space="preserve"> </w:t>
      </w:r>
      <w:r w:rsidR="00BA7E0E">
        <w:t xml:space="preserve">published </w:t>
      </w:r>
      <w:r w:rsidRPr="00CE24FE">
        <w:t xml:space="preserve">by the </w:t>
      </w:r>
      <w:r w:rsidR="00BA7E0E">
        <w:t xml:space="preserve">Queensland </w:t>
      </w:r>
      <w:r w:rsidRPr="00CE24FE">
        <w:t>Centre for Accident Research and Road Safety</w:t>
      </w:r>
      <w:r w:rsidR="005C33DC">
        <w:rPr>
          <w:rStyle w:val="FootnoteReference"/>
        </w:rPr>
        <w:footnoteReference w:id="4"/>
      </w:r>
      <w:r w:rsidRPr="00CE24FE">
        <w:t xml:space="preserve"> </w:t>
      </w:r>
      <w:r w:rsidR="00BA7E0E">
        <w:t>concluded</w:t>
      </w:r>
      <w:r w:rsidRPr="00CE24FE">
        <w:t xml:space="preserve"> that:</w:t>
      </w:r>
    </w:p>
    <w:p w:rsidR="00BA7E0E" w:rsidRDefault="0023239F" w:rsidP="00543E42">
      <w:pPr>
        <w:autoSpaceDE w:val="0"/>
        <w:autoSpaceDN w:val="0"/>
        <w:adjustRightInd w:val="0"/>
        <w:spacing w:before="0"/>
        <w:rPr>
          <w:i/>
        </w:rPr>
      </w:pPr>
      <w:r w:rsidRPr="0023239F">
        <w:rPr>
          <w:i/>
        </w:rPr>
        <w:t>“</w:t>
      </w:r>
      <w:r w:rsidR="00BA7E0E" w:rsidRPr="0023239F">
        <w:rPr>
          <w:i/>
        </w:rPr>
        <w:t>Safety guidance and design standards for prams address the main causes of injuries</w:t>
      </w:r>
      <w:r w:rsidRPr="0023239F">
        <w:rPr>
          <w:i/>
        </w:rPr>
        <w:t xml:space="preserve"> </w:t>
      </w:r>
      <w:r w:rsidR="00BA7E0E" w:rsidRPr="0023239F">
        <w:rPr>
          <w:i/>
        </w:rPr>
        <w:t>associated with prams. Pram design, construction, loading and stability address issues</w:t>
      </w:r>
      <w:r w:rsidRPr="0023239F">
        <w:rPr>
          <w:i/>
        </w:rPr>
        <w:t xml:space="preserve"> </w:t>
      </w:r>
      <w:r w:rsidR="00BA7E0E" w:rsidRPr="0023239F">
        <w:rPr>
          <w:i/>
        </w:rPr>
        <w:t>associated with fall, rollaway, and entrapment-related injuries.</w:t>
      </w:r>
      <w:r w:rsidRPr="0023239F">
        <w:rPr>
          <w:i/>
        </w:rPr>
        <w:t xml:space="preserve"> </w:t>
      </w:r>
      <w:r w:rsidR="00BA7E0E" w:rsidRPr="0023239F">
        <w:rPr>
          <w:i/>
        </w:rPr>
        <w:t>Behavioural components are</w:t>
      </w:r>
      <w:r w:rsidRPr="0023239F">
        <w:rPr>
          <w:i/>
        </w:rPr>
        <w:t xml:space="preserve"> </w:t>
      </w:r>
      <w:r w:rsidR="00BA7E0E" w:rsidRPr="0023239F">
        <w:rPr>
          <w:i/>
        </w:rPr>
        <w:t>likely to explain the majority of injuries associated with prams, given the pattern of injuries</w:t>
      </w:r>
      <w:r w:rsidRPr="0023239F">
        <w:rPr>
          <w:i/>
        </w:rPr>
        <w:t xml:space="preserve"> </w:t>
      </w:r>
      <w:r w:rsidR="00BA7E0E" w:rsidRPr="0023239F">
        <w:rPr>
          <w:i/>
        </w:rPr>
        <w:t>evidenced. With a peak age of head injuries due to falling out of the pram being 6 months,</w:t>
      </w:r>
      <w:r w:rsidRPr="0023239F">
        <w:rPr>
          <w:i/>
        </w:rPr>
        <w:t xml:space="preserve"> </w:t>
      </w:r>
      <w:r w:rsidR="00BA7E0E" w:rsidRPr="0023239F">
        <w:rPr>
          <w:i/>
        </w:rPr>
        <w:t>an age at which children are</w:t>
      </w:r>
      <w:r w:rsidRPr="0023239F">
        <w:rPr>
          <w:i/>
        </w:rPr>
        <w:t xml:space="preserve"> </w:t>
      </w:r>
      <w:r w:rsidR="00BA7E0E" w:rsidRPr="0023239F">
        <w:rPr>
          <w:i/>
        </w:rPr>
        <w:t>unlikely to be developmentally capable of climbing out of a pram if appropriately restrained, it is likely that compliance</w:t>
      </w:r>
      <w:r w:rsidRPr="0023239F">
        <w:rPr>
          <w:i/>
        </w:rPr>
        <w:t xml:space="preserve"> </w:t>
      </w:r>
      <w:r w:rsidR="00BA7E0E" w:rsidRPr="0023239F">
        <w:rPr>
          <w:i/>
        </w:rPr>
        <w:t>with restraint use is limited in such incidents. Further investigation of behavioural components affecting compliance</w:t>
      </w:r>
      <w:r w:rsidRPr="0023239F">
        <w:rPr>
          <w:i/>
        </w:rPr>
        <w:t xml:space="preserve"> </w:t>
      </w:r>
      <w:r w:rsidR="00BA7E0E" w:rsidRPr="0023239F">
        <w:rPr>
          <w:i/>
        </w:rPr>
        <w:t>with restraint use and overloading of prams (with objects or other children) is needed to identify potential preventative</w:t>
      </w:r>
      <w:r w:rsidRPr="0023239F">
        <w:rPr>
          <w:i/>
        </w:rPr>
        <w:t xml:space="preserve"> </w:t>
      </w:r>
      <w:r w:rsidR="00BA7E0E" w:rsidRPr="0023239F">
        <w:rPr>
          <w:i/>
        </w:rPr>
        <w:t>approaches to address falls from prams in young babies. Other design opportunities may include such things as an</w:t>
      </w:r>
      <w:r w:rsidRPr="0023239F">
        <w:rPr>
          <w:i/>
        </w:rPr>
        <w:t xml:space="preserve"> </w:t>
      </w:r>
      <w:r w:rsidR="00BA7E0E" w:rsidRPr="0023239F">
        <w:rPr>
          <w:i/>
        </w:rPr>
        <w:t>automatic braking system to stop the pram or stroller inadvertently rolling away when stationary</w:t>
      </w:r>
      <w:r w:rsidRPr="0023239F">
        <w:rPr>
          <w:i/>
        </w:rPr>
        <w:t>.”</w:t>
      </w:r>
    </w:p>
    <w:p w:rsidR="00543E42" w:rsidRDefault="00543E42" w:rsidP="00346485">
      <w:pPr>
        <w:pStyle w:val="Numbered111"/>
        <w:numPr>
          <w:ilvl w:val="0"/>
          <w:numId w:val="0"/>
        </w:numPr>
        <w:ind w:left="1247" w:hanging="1247"/>
      </w:pPr>
    </w:p>
    <w:p w:rsidR="00543E42" w:rsidRDefault="00543E42" w:rsidP="00346485">
      <w:pPr>
        <w:pStyle w:val="Numbered111"/>
        <w:numPr>
          <w:ilvl w:val="0"/>
          <w:numId w:val="0"/>
        </w:numPr>
        <w:ind w:left="1247" w:hanging="1247"/>
      </w:pPr>
    </w:p>
    <w:p w:rsidR="00543E42" w:rsidRDefault="00543E42" w:rsidP="00346485">
      <w:pPr>
        <w:pStyle w:val="Numbered111"/>
        <w:numPr>
          <w:ilvl w:val="0"/>
          <w:numId w:val="0"/>
        </w:numPr>
        <w:ind w:left="1247" w:hanging="1247"/>
      </w:pPr>
    </w:p>
    <w:p w:rsidR="00346485" w:rsidRPr="00CE24FE" w:rsidRDefault="00346485" w:rsidP="00346485">
      <w:pPr>
        <w:pStyle w:val="Numbered111"/>
        <w:numPr>
          <w:ilvl w:val="0"/>
          <w:numId w:val="0"/>
        </w:numPr>
        <w:ind w:left="1247" w:hanging="1247"/>
      </w:pPr>
      <w:bookmarkStart w:id="157" w:name="_Toc471460985"/>
      <w:bookmarkStart w:id="158" w:name="_Toc471461297"/>
      <w:r w:rsidRPr="00CE24FE">
        <w:lastRenderedPageBreak/>
        <w:t xml:space="preserve">ACCC </w:t>
      </w:r>
      <w:r w:rsidR="004F2E0C">
        <w:t xml:space="preserve">injury </w:t>
      </w:r>
      <w:r w:rsidRPr="00CE24FE">
        <w:t>report</w:t>
      </w:r>
      <w:r w:rsidR="004F2E0C">
        <w:t>s</w:t>
      </w:r>
      <w:bookmarkEnd w:id="157"/>
      <w:bookmarkEnd w:id="158"/>
    </w:p>
    <w:p w:rsidR="00346485" w:rsidRPr="00CE24FE" w:rsidRDefault="002A1A5B" w:rsidP="00346485">
      <w:pPr>
        <w:spacing w:after="240" w:line="220" w:lineRule="atLeast"/>
      </w:pPr>
      <w:r>
        <w:t>The latest data set indicates that f</w:t>
      </w:r>
      <w:r w:rsidR="00127122" w:rsidRPr="002D21D8">
        <w:t xml:space="preserve">rom 2012 to the end of June 2016, suppliers </w:t>
      </w:r>
      <w:r>
        <w:t xml:space="preserve">had </w:t>
      </w:r>
      <w:r w:rsidR="00127122" w:rsidRPr="002D21D8">
        <w:t>reported 65 injuries associated with prams or strollers to the ACCC. A</w:t>
      </w:r>
      <w:r>
        <w:t xml:space="preserve">bout </w:t>
      </w:r>
      <w:r w:rsidR="00127122" w:rsidRPr="002D21D8">
        <w:t xml:space="preserve">half (32) </w:t>
      </w:r>
      <w:r>
        <w:t xml:space="preserve">of these </w:t>
      </w:r>
      <w:r w:rsidR="00127122" w:rsidRPr="002D21D8">
        <w:t>were finger injuries</w:t>
      </w:r>
      <w:r w:rsidR="00F27456">
        <w:t>.</w:t>
      </w:r>
      <w:r>
        <w:t xml:space="preserve"> Earlier reports from 2010 to 2012 indicated a similar ratio of finger injuries.</w:t>
      </w:r>
    </w:p>
    <w:p w:rsidR="00346485" w:rsidRPr="00CE24FE" w:rsidRDefault="00F12284" w:rsidP="00346485">
      <w:pPr>
        <w:pStyle w:val="Numbered111"/>
        <w:numPr>
          <w:ilvl w:val="0"/>
          <w:numId w:val="0"/>
        </w:numPr>
        <w:ind w:left="1247" w:hanging="1247"/>
      </w:pPr>
      <w:bookmarkStart w:id="159" w:name="_Toc471460986"/>
      <w:bookmarkStart w:id="160" w:name="_Toc471461298"/>
      <w:r>
        <w:t>US</w:t>
      </w:r>
      <w:r w:rsidR="00346485" w:rsidRPr="00CE24FE">
        <w:t xml:space="preserve"> injury data</w:t>
      </w:r>
      <w:bookmarkEnd w:id="159"/>
      <w:bookmarkEnd w:id="160"/>
    </w:p>
    <w:p w:rsidR="00657C07" w:rsidRDefault="004F2E0C" w:rsidP="00346485">
      <w:pPr>
        <w:autoSpaceDE w:val="0"/>
        <w:autoSpaceDN w:val="0"/>
        <w:adjustRightInd w:val="0"/>
      </w:pPr>
      <w:r>
        <w:t>US</w:t>
      </w:r>
      <w:r w:rsidR="00346485" w:rsidRPr="00CE24FE">
        <w:t xml:space="preserve"> Consumer Product Safety Commission (CPSC) data </w:t>
      </w:r>
      <w:r w:rsidR="00657C07">
        <w:t xml:space="preserve">for </w:t>
      </w:r>
      <w:r w:rsidR="00657C07" w:rsidRPr="00CE24FE">
        <w:t>2008</w:t>
      </w:r>
      <w:r w:rsidR="00657C07">
        <w:t>-</w:t>
      </w:r>
      <w:r w:rsidR="00657C07" w:rsidRPr="00CE24FE">
        <w:t>2012</w:t>
      </w:r>
      <w:r w:rsidR="00657C07">
        <w:t xml:space="preserve"> </w:t>
      </w:r>
      <w:r w:rsidR="00346485" w:rsidRPr="00CE24FE">
        <w:t>indicate</w:t>
      </w:r>
      <w:r w:rsidR="00657C07">
        <w:t>:</w:t>
      </w:r>
    </w:p>
    <w:p w:rsidR="00657C07" w:rsidRDefault="00657C07" w:rsidP="00E201B3">
      <w:pPr>
        <w:pStyle w:val="Bulletpoint"/>
      </w:pPr>
      <w:r>
        <w:t>a</w:t>
      </w:r>
      <w:r w:rsidR="00346485" w:rsidRPr="00CE24FE">
        <w:t xml:space="preserve"> variety of injuries </w:t>
      </w:r>
      <w:r w:rsidRPr="00CE24FE">
        <w:t>relating to prams and strollers</w:t>
      </w:r>
      <w:r w:rsidRPr="00CE24FE" w:rsidDel="00657C07">
        <w:t xml:space="preserve"> </w:t>
      </w:r>
    </w:p>
    <w:p w:rsidR="00346485" w:rsidRPr="00CE24FE" w:rsidRDefault="00657C07" w:rsidP="00E201B3">
      <w:pPr>
        <w:pStyle w:val="Bulletpoint"/>
      </w:pPr>
      <w:r>
        <w:t>a</w:t>
      </w:r>
      <w:r w:rsidR="00346485" w:rsidRPr="00CE24FE">
        <w:t xml:space="preserve"> high incidence of finger injuries to children and ad</w:t>
      </w:r>
      <w:r w:rsidR="00346485">
        <w:t>ults using prams and strollers</w:t>
      </w:r>
    </w:p>
    <w:p w:rsidR="00346485" w:rsidRPr="00CE24FE" w:rsidRDefault="004F3EC8" w:rsidP="00657C07">
      <w:pPr>
        <w:pStyle w:val="Bulletpoint"/>
        <w:tabs>
          <w:tab w:val="clear" w:pos="340"/>
        </w:tabs>
        <w:spacing w:after="120"/>
      </w:pPr>
      <w:r>
        <w:t>1</w:t>
      </w:r>
      <w:r w:rsidR="00346485" w:rsidRPr="00CE24FE">
        <w:t>203 non-fatal incidents</w:t>
      </w:r>
      <w:r w:rsidR="00657C07">
        <w:t>,</w:t>
      </w:r>
      <w:r w:rsidR="00346485" w:rsidRPr="00CE24FE">
        <w:t xml:space="preserve"> of which</w:t>
      </w:r>
      <w:r w:rsidR="00657C07">
        <w:t xml:space="preserve"> </w:t>
      </w:r>
      <w:r w:rsidR="00346485" w:rsidRPr="00CE24FE">
        <w:t>359 generated injury records.</w:t>
      </w:r>
    </w:p>
    <w:p w:rsidR="00346485" w:rsidRPr="00CE24FE" w:rsidRDefault="00F12284" w:rsidP="00346485">
      <w:pPr>
        <w:autoSpaceDE w:val="0"/>
        <w:autoSpaceDN w:val="0"/>
        <w:adjustRightInd w:val="0"/>
      </w:pPr>
      <w:r>
        <w:t>O</w:t>
      </w:r>
      <w:r w:rsidR="00346485" w:rsidRPr="00CE24FE">
        <w:t>f the 1203 incidents, there were:</w:t>
      </w:r>
    </w:p>
    <w:p w:rsidR="00346485" w:rsidRPr="00CE24FE" w:rsidRDefault="00346485" w:rsidP="00346485">
      <w:pPr>
        <w:pStyle w:val="Bulletpoint"/>
        <w:tabs>
          <w:tab w:val="clear" w:pos="340"/>
        </w:tabs>
        <w:spacing w:after="120"/>
      </w:pPr>
      <w:r w:rsidRPr="00CE24FE">
        <w:t>429 incidents with wheel issues, producing 52 injuries</w:t>
      </w:r>
    </w:p>
    <w:p w:rsidR="00346485" w:rsidRPr="00CE24FE" w:rsidRDefault="00346485" w:rsidP="00346485">
      <w:pPr>
        <w:pStyle w:val="Bulletpoint"/>
        <w:tabs>
          <w:tab w:val="clear" w:pos="340"/>
        </w:tabs>
        <w:spacing w:after="120"/>
      </w:pPr>
      <w:r w:rsidRPr="00CE24FE">
        <w:t>132 incidents with parking brake problems, producing 8 injuries</w:t>
      </w:r>
    </w:p>
    <w:p w:rsidR="00346485" w:rsidRPr="00CE24FE" w:rsidRDefault="00346485" w:rsidP="00346485">
      <w:pPr>
        <w:pStyle w:val="Bulletpoint"/>
        <w:tabs>
          <w:tab w:val="clear" w:pos="340"/>
        </w:tabs>
        <w:spacing w:after="120"/>
      </w:pPr>
      <w:r w:rsidRPr="00CE24FE">
        <w:t>121 incidents with locking mechanisms</w:t>
      </w:r>
      <w:r w:rsidR="00292B4F">
        <w:t>, where the vehicle may have unfolded unintentionally</w:t>
      </w:r>
      <w:r w:rsidRPr="00CE24FE">
        <w:t>, producing 42 injuries</w:t>
      </w:r>
    </w:p>
    <w:p w:rsidR="00346485" w:rsidRPr="00CE24FE" w:rsidRDefault="00346485" w:rsidP="00346485">
      <w:pPr>
        <w:pStyle w:val="Bulletpoint"/>
        <w:tabs>
          <w:tab w:val="clear" w:pos="340"/>
        </w:tabs>
        <w:spacing w:after="120"/>
      </w:pPr>
      <w:r w:rsidRPr="00CE24FE">
        <w:t>83 incidents with restraints, producing 29 injuries</w:t>
      </w:r>
    </w:p>
    <w:p w:rsidR="007F7F80" w:rsidRPr="00CE24FE" w:rsidRDefault="00346485" w:rsidP="007F7F80">
      <w:pPr>
        <w:pStyle w:val="Bulletpoint"/>
        <w:tabs>
          <w:tab w:val="clear" w:pos="340"/>
        </w:tabs>
        <w:spacing w:after="120"/>
      </w:pPr>
      <w:r w:rsidRPr="00CE24FE">
        <w:t>75 incidents with stroller hinges, producing 72 injuries</w:t>
      </w:r>
    </w:p>
    <w:p w:rsidR="00346485" w:rsidRPr="00CE24FE" w:rsidRDefault="00E22EBF" w:rsidP="00E201B3">
      <w:pPr>
        <w:pStyle w:val="Bulletpoint"/>
      </w:pPr>
      <w:proofErr w:type="gramStart"/>
      <w:r>
        <w:t>a</w:t>
      </w:r>
      <w:proofErr w:type="gramEnd"/>
      <w:r w:rsidR="00346485" w:rsidRPr="00CE24FE">
        <w:t xml:space="preserve"> further 78 incidents involved children older than 4 years and adults, </w:t>
      </w:r>
      <w:r w:rsidR="007F7F80">
        <w:t>produc</w:t>
      </w:r>
      <w:r w:rsidR="00AF2FAE">
        <w:t>ing</w:t>
      </w:r>
      <w:r w:rsidR="007F7F80" w:rsidRPr="00CE24FE">
        <w:t xml:space="preserve"> </w:t>
      </w:r>
      <w:r w:rsidR="00AF2FAE" w:rsidRPr="00CE24FE">
        <w:t xml:space="preserve">74 </w:t>
      </w:r>
      <w:r w:rsidR="00346485" w:rsidRPr="00CE24FE">
        <w:t>injuries, mostly to the fingers.</w:t>
      </w:r>
    </w:p>
    <w:p w:rsidR="00346485" w:rsidRPr="00CE24FE" w:rsidRDefault="00346485" w:rsidP="00346485">
      <w:pPr>
        <w:autoSpaceDE w:val="0"/>
        <w:autoSpaceDN w:val="0"/>
        <w:adjustRightInd w:val="0"/>
      </w:pPr>
      <w:r w:rsidRPr="00CE24FE">
        <w:t>Hospital data collected by the US National Electronic Injury Surveillance System (NEISS) for 2008</w:t>
      </w:r>
      <w:r w:rsidR="00F12284">
        <w:t>-</w:t>
      </w:r>
      <w:r w:rsidRPr="00CE24FE">
        <w:t>2011 indicates:</w:t>
      </w:r>
    </w:p>
    <w:p w:rsidR="00346485" w:rsidRPr="00CE24FE" w:rsidRDefault="004F3EC8" w:rsidP="00346485">
      <w:pPr>
        <w:pStyle w:val="Bulletpoint"/>
        <w:tabs>
          <w:tab w:val="clear" w:pos="340"/>
        </w:tabs>
        <w:spacing w:after="120"/>
      </w:pPr>
      <w:r>
        <w:t xml:space="preserve">46 </w:t>
      </w:r>
      <w:r w:rsidR="00346485" w:rsidRPr="00CE24FE">
        <w:t>200 stroller related injuries treated in US hospital emergency departments</w:t>
      </w:r>
    </w:p>
    <w:p w:rsidR="00F12284" w:rsidRDefault="004F3EC8" w:rsidP="00346485">
      <w:pPr>
        <w:pStyle w:val="Bulletpoint"/>
        <w:tabs>
          <w:tab w:val="clear" w:pos="340"/>
        </w:tabs>
        <w:spacing w:after="120"/>
      </w:pPr>
      <w:r>
        <w:t xml:space="preserve">94 per cent </w:t>
      </w:r>
      <w:r w:rsidR="00F12284">
        <w:t xml:space="preserve">of these </w:t>
      </w:r>
      <w:r>
        <w:t xml:space="preserve">(43 </w:t>
      </w:r>
      <w:r w:rsidR="00346485" w:rsidRPr="00CE24FE">
        <w:t>428) were treated and released</w:t>
      </w:r>
    </w:p>
    <w:p w:rsidR="00F12284" w:rsidRDefault="00F12284" w:rsidP="00346485">
      <w:pPr>
        <w:pStyle w:val="Bulletpoint"/>
        <w:tabs>
          <w:tab w:val="clear" w:pos="340"/>
        </w:tabs>
        <w:spacing w:after="120"/>
      </w:pPr>
      <w:r>
        <w:t>m</w:t>
      </w:r>
      <w:r w:rsidRPr="00CE24FE">
        <w:t>ost of these incidents related to falls on or off the stroller</w:t>
      </w:r>
    </w:p>
    <w:p w:rsidR="00346485" w:rsidRPr="00CE24FE" w:rsidRDefault="00F12284" w:rsidP="00346485">
      <w:pPr>
        <w:pStyle w:val="Bulletpoint"/>
        <w:tabs>
          <w:tab w:val="clear" w:pos="340"/>
        </w:tabs>
        <w:spacing w:after="120"/>
      </w:pPr>
      <w:proofErr w:type="gramStart"/>
      <w:r w:rsidRPr="00CE24FE">
        <w:t>finger</w:t>
      </w:r>
      <w:proofErr w:type="gramEnd"/>
      <w:r w:rsidRPr="00CE24FE">
        <w:t xml:space="preserve"> entrapment injuries were </w:t>
      </w:r>
      <w:r>
        <w:t>prominent,</w:t>
      </w:r>
      <w:r w:rsidRPr="00CE24FE">
        <w:t xml:space="preserve"> </w:t>
      </w:r>
      <w:r>
        <w:t>particularly</w:t>
      </w:r>
      <w:r w:rsidRPr="00CE24FE">
        <w:t xml:space="preserve"> with locking mechanisms, hinges, canopies, handlebars, trays and other areas of the stroller where children or adults may place fingers</w:t>
      </w:r>
      <w:r>
        <w:t>.</w:t>
      </w:r>
    </w:p>
    <w:p w:rsidR="003C4433" w:rsidRDefault="003C4433">
      <w:pPr>
        <w:rPr>
          <w:rFonts w:ascii="Lucida Fax" w:eastAsiaTheme="majorEastAsia" w:hAnsi="Lucida Fax" w:cstheme="majorBidi"/>
          <w:bCs/>
          <w:color w:val="51626F"/>
          <w:sz w:val="32"/>
          <w:szCs w:val="28"/>
        </w:rPr>
      </w:pPr>
      <w:bookmarkStart w:id="161" w:name="_Toc453677559"/>
      <w:r>
        <w:br w:type="page"/>
      </w:r>
    </w:p>
    <w:p w:rsidR="00F752E0" w:rsidRDefault="00F752E0" w:rsidP="00D54C95">
      <w:pPr>
        <w:pStyle w:val="Heading1"/>
      </w:pPr>
      <w:bookmarkStart w:id="162" w:name="_Toc440455055"/>
      <w:bookmarkStart w:id="163" w:name="_Toc457222715"/>
      <w:bookmarkStart w:id="164" w:name="_Toc471460732"/>
      <w:bookmarkStart w:id="165" w:name="_Toc471461299"/>
      <w:bookmarkEnd w:id="161"/>
      <w:r>
        <w:lastRenderedPageBreak/>
        <w:t>Appendix</w:t>
      </w:r>
      <w:r w:rsidRPr="007030B2" w:rsidDel="0036769A">
        <w:t xml:space="preserve"> </w:t>
      </w:r>
      <w:r w:rsidR="00E82565">
        <w:t>B</w:t>
      </w:r>
      <w:r w:rsidR="005971F2">
        <w:t xml:space="preserve"> – </w:t>
      </w:r>
      <w:r>
        <w:t>Regulatory cost estimates</w:t>
      </w:r>
      <w:bookmarkEnd w:id="162"/>
      <w:bookmarkEnd w:id="163"/>
      <w:bookmarkEnd w:id="164"/>
      <w:bookmarkEnd w:id="165"/>
    </w:p>
    <w:p w:rsidR="00BB12C0" w:rsidRDefault="00A23955" w:rsidP="00BB12C0">
      <w:r>
        <w:t xml:space="preserve">We have assessed the regulatory costs for each policy option </w:t>
      </w:r>
      <w:r w:rsidR="00063BB0">
        <w:t xml:space="preserve">in this paper </w:t>
      </w:r>
      <w:r>
        <w:t>against the status quo</w:t>
      </w:r>
      <w:r w:rsidR="00063BB0">
        <w:t xml:space="preserve"> or </w:t>
      </w:r>
      <w:r w:rsidR="00C26BBE">
        <w:t>business-as-</w:t>
      </w:r>
      <w:r w:rsidR="00063BB0">
        <w:t>usual (BAU)</w:t>
      </w:r>
      <w:r>
        <w:t xml:space="preserve">. </w:t>
      </w:r>
      <w:r w:rsidR="00DA032C">
        <w:t xml:space="preserve">This is difficult </w:t>
      </w:r>
      <w:r w:rsidR="00BB12C0">
        <w:t>since</w:t>
      </w:r>
      <w:r w:rsidR="00DA032C">
        <w:t xml:space="preserve"> suppliers </w:t>
      </w:r>
      <w:r w:rsidR="00DA0795">
        <w:t>of prams and strollers</w:t>
      </w:r>
      <w:r w:rsidR="00BB12C0">
        <w:t>:</w:t>
      </w:r>
    </w:p>
    <w:p w:rsidR="00BB12C0" w:rsidRDefault="00BB12C0" w:rsidP="009C42F9">
      <w:pPr>
        <w:pStyle w:val="ListParagraph"/>
        <w:numPr>
          <w:ilvl w:val="0"/>
          <w:numId w:val="35"/>
        </w:numPr>
      </w:pPr>
      <w:r>
        <w:t xml:space="preserve">are usually </w:t>
      </w:r>
      <w:r w:rsidR="00DA032C">
        <w:t xml:space="preserve">overseas (with </w:t>
      </w:r>
      <w:r>
        <w:t xml:space="preserve">local </w:t>
      </w:r>
      <w:r w:rsidR="00DA032C">
        <w:t>distribution channels)</w:t>
      </w:r>
      <w:r>
        <w:t xml:space="preserve"> </w:t>
      </w:r>
    </w:p>
    <w:p w:rsidR="00BB12C0" w:rsidRDefault="00C26BBE" w:rsidP="009C42F9">
      <w:pPr>
        <w:pStyle w:val="ListParagraph"/>
        <w:numPr>
          <w:ilvl w:val="0"/>
          <w:numId w:val="35"/>
        </w:numPr>
      </w:pPr>
      <w:r>
        <w:t>need</w:t>
      </w:r>
      <w:r w:rsidR="00DA032C">
        <w:t xml:space="preserve"> to comply with </w:t>
      </w:r>
      <w:r>
        <w:t xml:space="preserve">multiple international </w:t>
      </w:r>
      <w:r w:rsidR="00DA032C">
        <w:t>product safety standards</w:t>
      </w:r>
    </w:p>
    <w:p w:rsidR="00DA032C" w:rsidRDefault="00BB12C0" w:rsidP="009C42F9">
      <w:pPr>
        <w:pStyle w:val="ListParagraph"/>
        <w:numPr>
          <w:ilvl w:val="0"/>
          <w:numId w:val="35"/>
        </w:numPr>
      </w:pPr>
      <w:r>
        <w:t>are part of a safety focussed industry (</w:t>
      </w:r>
      <w:r w:rsidR="00847765">
        <w:t xml:space="preserve">consumers are safety-conscious) so </w:t>
      </w:r>
      <w:r w:rsidR="00DA0795">
        <w:t xml:space="preserve">safety </w:t>
      </w:r>
      <w:r w:rsidR="00847765">
        <w:t xml:space="preserve">requirements </w:t>
      </w:r>
      <w:r w:rsidR="00DA0795">
        <w:t xml:space="preserve">are </w:t>
      </w:r>
      <w:r w:rsidR="00847765">
        <w:t>often</w:t>
      </w:r>
      <w:r w:rsidR="00DA0795">
        <w:t xml:space="preserve"> </w:t>
      </w:r>
      <w:r w:rsidR="00847765">
        <w:t xml:space="preserve">part of </w:t>
      </w:r>
      <w:r w:rsidR="00DA0795">
        <w:t xml:space="preserve">design and production </w:t>
      </w:r>
      <w:r w:rsidR="00847765">
        <w:t xml:space="preserve">costs that are difficult to separate from overall </w:t>
      </w:r>
      <w:r w:rsidR="00DA032C">
        <w:t>cost</w:t>
      </w:r>
      <w:r w:rsidR="00847765">
        <w:t>s</w:t>
      </w:r>
      <w:r w:rsidR="00DA032C">
        <w:t xml:space="preserve"> of doing business.</w:t>
      </w:r>
    </w:p>
    <w:p w:rsidR="00A23955" w:rsidRDefault="00847765" w:rsidP="00A23955">
      <w:r>
        <w:t xml:space="preserve">We have used information available to the ACCC and from preliminary industry consultation. We needed to make some assumptions to estimate the effect of each option on pram and stroller suppliers. We explain our key </w:t>
      </w:r>
      <w:r w:rsidR="00A23955">
        <w:t>assumptions below</w:t>
      </w:r>
      <w:r>
        <w:t>.</w:t>
      </w:r>
      <w:r w:rsidR="00063BB0">
        <w:t xml:space="preserve"> </w:t>
      </w:r>
      <w:r w:rsidRPr="00D774E3">
        <w:rPr>
          <w:u w:val="single"/>
        </w:rPr>
        <w:t xml:space="preserve">We </w:t>
      </w:r>
      <w:r w:rsidR="00A23955" w:rsidRPr="00D774E3">
        <w:rPr>
          <w:u w:val="single"/>
        </w:rPr>
        <w:t xml:space="preserve">will review and adjust </w:t>
      </w:r>
      <w:r w:rsidRPr="00D774E3">
        <w:rPr>
          <w:u w:val="single"/>
        </w:rPr>
        <w:t xml:space="preserve">these assumptions </w:t>
      </w:r>
      <w:r w:rsidR="00A23955" w:rsidRPr="00D774E3">
        <w:rPr>
          <w:u w:val="single"/>
        </w:rPr>
        <w:t xml:space="preserve">based on any information </w:t>
      </w:r>
      <w:r w:rsidRPr="00D774E3">
        <w:rPr>
          <w:u w:val="single"/>
        </w:rPr>
        <w:t xml:space="preserve">we </w:t>
      </w:r>
      <w:r w:rsidR="00A23955" w:rsidRPr="00D774E3">
        <w:rPr>
          <w:u w:val="single"/>
        </w:rPr>
        <w:t xml:space="preserve">receive </w:t>
      </w:r>
      <w:r w:rsidRPr="00D774E3">
        <w:rPr>
          <w:u w:val="single"/>
        </w:rPr>
        <w:t xml:space="preserve">during </w:t>
      </w:r>
      <w:r w:rsidR="00A23955" w:rsidRPr="00D774E3">
        <w:rPr>
          <w:u w:val="single"/>
        </w:rPr>
        <w:t>consultation</w:t>
      </w:r>
      <w:r w:rsidR="00A23955">
        <w:t>.</w:t>
      </w:r>
      <w:r w:rsidR="00063BB0">
        <w:t xml:space="preserve"> </w:t>
      </w:r>
    </w:p>
    <w:p w:rsidR="00A23955" w:rsidRPr="00063BB0" w:rsidRDefault="00A23955" w:rsidP="00A23955">
      <w:pPr>
        <w:rPr>
          <w:b/>
        </w:rPr>
      </w:pPr>
      <w:r w:rsidRPr="00063BB0">
        <w:rPr>
          <w:b/>
        </w:rPr>
        <w:t>Assumptions</w:t>
      </w:r>
    </w:p>
    <w:p w:rsidR="00A23955" w:rsidRDefault="007C7548" w:rsidP="009C42F9">
      <w:pPr>
        <w:pStyle w:val="ListParagraph"/>
        <w:numPr>
          <w:ilvl w:val="0"/>
          <w:numId w:val="31"/>
        </w:numPr>
      </w:pPr>
      <w:r>
        <w:t xml:space="preserve">We </w:t>
      </w:r>
      <w:r w:rsidR="00A6170A">
        <w:t xml:space="preserve">have used an </w:t>
      </w:r>
      <w:r w:rsidR="004F3EC8">
        <w:t xml:space="preserve">estimate </w:t>
      </w:r>
      <w:r w:rsidR="00A6170A">
        <w:t xml:space="preserve">of </w:t>
      </w:r>
      <w:r w:rsidR="004F3EC8">
        <w:t xml:space="preserve">750 </w:t>
      </w:r>
      <w:r w:rsidR="00063BB0">
        <w:t xml:space="preserve">000 new </w:t>
      </w:r>
      <w:r w:rsidR="00F847F4">
        <w:t xml:space="preserve">prams and </w:t>
      </w:r>
      <w:r w:rsidR="00063BB0">
        <w:t xml:space="preserve">strollers supplied into Australia </w:t>
      </w:r>
      <w:r w:rsidR="00F847F4">
        <w:t>each year</w:t>
      </w:r>
      <w:r w:rsidR="00063BB0">
        <w:t xml:space="preserve"> based on </w:t>
      </w:r>
      <w:proofErr w:type="gramStart"/>
      <w:r w:rsidR="00063BB0">
        <w:t xml:space="preserve">a </w:t>
      </w:r>
      <w:r>
        <w:t>2007</w:t>
      </w:r>
      <w:proofErr w:type="gramEnd"/>
      <w:r>
        <w:t xml:space="preserve"> industry survey</w:t>
      </w:r>
      <w:r w:rsidR="00A6170A">
        <w:t xml:space="preserve"> and market information</w:t>
      </w:r>
      <w:r w:rsidR="00F847F4">
        <w:t>.</w:t>
      </w:r>
    </w:p>
    <w:p w:rsidR="00063BB0" w:rsidRDefault="00F847F4" w:rsidP="009C42F9">
      <w:pPr>
        <w:pStyle w:val="ListParagraph"/>
        <w:numPr>
          <w:ilvl w:val="0"/>
          <w:numId w:val="31"/>
        </w:numPr>
      </w:pPr>
      <w:r>
        <w:t>We</w:t>
      </w:r>
      <w:r w:rsidR="00063BB0">
        <w:t xml:space="preserve"> estimate </w:t>
      </w:r>
      <w:r w:rsidR="00A6170A">
        <w:t xml:space="preserve">around </w:t>
      </w:r>
      <w:r w:rsidR="00063BB0">
        <w:t>15 suppliers (</w:t>
      </w:r>
      <w:r w:rsidR="00A6170A">
        <w:t xml:space="preserve">a mixture of </w:t>
      </w:r>
      <w:r w:rsidR="00063BB0">
        <w:t>manufacturers, wholesalers</w:t>
      </w:r>
      <w:r w:rsidR="00A6170A">
        <w:t>,</w:t>
      </w:r>
      <w:r w:rsidR="00C129A3">
        <w:t xml:space="preserve"> </w:t>
      </w:r>
      <w:r w:rsidR="00063BB0">
        <w:t>importers</w:t>
      </w:r>
      <w:r w:rsidR="00A6170A">
        <w:t xml:space="preserve"> and retailers including online traders</w:t>
      </w:r>
      <w:r w:rsidR="00063BB0">
        <w:t>)</w:t>
      </w:r>
      <w:r w:rsidR="00903E7A">
        <w:t xml:space="preserve"> </w:t>
      </w:r>
      <w:r w:rsidR="00A6170A">
        <w:t xml:space="preserve">supply </w:t>
      </w:r>
      <w:r>
        <w:t xml:space="preserve">prams and </w:t>
      </w:r>
      <w:r w:rsidR="00903E7A">
        <w:t>strollers into Australia</w:t>
      </w:r>
      <w:r w:rsidR="00A6170A">
        <w:t>.</w:t>
      </w:r>
      <w:r w:rsidR="00C129A3">
        <w:t xml:space="preserve"> The relative complexity of prams and stroller products makes it difficult for suppliers to readily enter the market.</w:t>
      </w:r>
    </w:p>
    <w:p w:rsidR="00063BB0" w:rsidRDefault="00D363FD" w:rsidP="009C42F9">
      <w:pPr>
        <w:pStyle w:val="ListParagraph"/>
        <w:numPr>
          <w:ilvl w:val="0"/>
          <w:numId w:val="31"/>
        </w:numPr>
      </w:pPr>
      <w:r>
        <w:t>For illustrative purposes</w:t>
      </w:r>
      <w:r w:rsidR="0065392B">
        <w:t>,</w:t>
      </w:r>
      <w:r w:rsidR="004A1FAE">
        <w:t xml:space="preserve"> </w:t>
      </w:r>
      <w:r w:rsidR="00A6170A">
        <w:t xml:space="preserve">we have suggested that </w:t>
      </w:r>
      <w:r w:rsidR="004A1FAE">
        <w:t xml:space="preserve">each supplier </w:t>
      </w:r>
      <w:r>
        <w:t xml:space="preserve">on average </w:t>
      </w:r>
      <w:r w:rsidR="004A1FAE">
        <w:t xml:space="preserve">supplies </w:t>
      </w:r>
      <w:r w:rsidR="00F847F4">
        <w:t>five</w:t>
      </w:r>
      <w:r w:rsidR="004A1FAE">
        <w:t xml:space="preserve"> models and sells </w:t>
      </w:r>
      <w:r w:rsidR="00F847F4">
        <w:t xml:space="preserve">50 000 prams and </w:t>
      </w:r>
      <w:r w:rsidR="004A1FAE">
        <w:t>strolle</w:t>
      </w:r>
      <w:r w:rsidR="004F3EC8">
        <w:t xml:space="preserve">rs </w:t>
      </w:r>
      <w:r w:rsidR="00F847F4">
        <w:t>each year.</w:t>
      </w:r>
      <w:r w:rsidR="00903E7A">
        <w:t xml:space="preserve"> </w:t>
      </w:r>
    </w:p>
    <w:p w:rsidR="004A1FAE" w:rsidRDefault="00F847F4" w:rsidP="009C42F9">
      <w:pPr>
        <w:pStyle w:val="ListParagraph"/>
        <w:numPr>
          <w:ilvl w:val="0"/>
          <w:numId w:val="31"/>
        </w:numPr>
      </w:pPr>
      <w:r>
        <w:t xml:space="preserve">Suppliers test each </w:t>
      </w:r>
      <w:r w:rsidR="004A1FAE">
        <w:t xml:space="preserve">model once per year at a cost </w:t>
      </w:r>
      <w:r w:rsidR="0065392B">
        <w:t xml:space="preserve">of </w:t>
      </w:r>
      <w:r w:rsidR="00903E7A">
        <w:t>$500</w:t>
      </w:r>
      <w:r w:rsidR="0065392B">
        <w:t>-$</w:t>
      </w:r>
      <w:r w:rsidR="00903E7A">
        <w:t>3500</w:t>
      </w:r>
      <w:r w:rsidR="007C7548">
        <w:t xml:space="preserve"> depending on</w:t>
      </w:r>
      <w:r w:rsidR="00903E7A">
        <w:t xml:space="preserve"> whether it </w:t>
      </w:r>
      <w:r>
        <w:t xml:space="preserve">is tested </w:t>
      </w:r>
      <w:r w:rsidR="0065392B">
        <w:t xml:space="preserve">in Australia </w:t>
      </w:r>
      <w:r w:rsidR="00903E7A">
        <w:t xml:space="preserve">or overseas. </w:t>
      </w:r>
      <w:r w:rsidR="00A6170A">
        <w:t>Manufacturers who s</w:t>
      </w:r>
      <w:r>
        <w:t>uppl</w:t>
      </w:r>
      <w:r w:rsidR="00A6170A">
        <w:t>y</w:t>
      </w:r>
      <w:r>
        <w:t xml:space="preserve"> to international markets</w:t>
      </w:r>
      <w:r w:rsidR="00A6170A">
        <w:t xml:space="preserve"> as well as Australia will</w:t>
      </w:r>
      <w:r>
        <w:t xml:space="preserve"> conduct the majority of </w:t>
      </w:r>
      <w:r w:rsidR="00A6170A">
        <w:t xml:space="preserve">their </w:t>
      </w:r>
      <w:r>
        <w:t>testing overseas</w:t>
      </w:r>
      <w:r w:rsidR="00903E7A">
        <w:t>.</w:t>
      </w:r>
      <w:r w:rsidR="00B86231">
        <w:t xml:space="preserve"> </w:t>
      </w:r>
      <w:r w:rsidR="00A6170A">
        <w:t>Testing costs by recognised laboratories vary substantially</w:t>
      </w:r>
      <w:r w:rsidR="00ED6267">
        <w:t>:</w:t>
      </w:r>
      <w:r w:rsidR="00A6170A">
        <w:t xml:space="preserve"> </w:t>
      </w:r>
      <w:r w:rsidR="00ED6267">
        <w:t xml:space="preserve">$500-$3200 </w:t>
      </w:r>
      <w:r w:rsidR="00D363FD">
        <w:t xml:space="preserve">for the </w:t>
      </w:r>
      <w:r w:rsidR="00ED6267">
        <w:t>mandatory safety standard</w:t>
      </w:r>
      <w:r w:rsidR="00D363FD">
        <w:t xml:space="preserve">; </w:t>
      </w:r>
      <w:r w:rsidR="00ED6267">
        <w:t xml:space="preserve">$1200- $4200 </w:t>
      </w:r>
      <w:r w:rsidR="00D363FD">
        <w:t xml:space="preserve">for the complete </w:t>
      </w:r>
      <w:r w:rsidR="00ED6267">
        <w:t xml:space="preserve">voluntary Australian standard; </w:t>
      </w:r>
      <w:r w:rsidR="00D363FD">
        <w:t xml:space="preserve">and </w:t>
      </w:r>
      <w:r w:rsidR="00ED6267">
        <w:t xml:space="preserve">$1300-$3000 </w:t>
      </w:r>
      <w:r w:rsidR="00D363FD">
        <w:t xml:space="preserve">for the </w:t>
      </w:r>
      <w:r w:rsidR="00ED6267">
        <w:t xml:space="preserve">European </w:t>
      </w:r>
      <w:r w:rsidR="00D363FD">
        <w:t xml:space="preserve">and ASTM </w:t>
      </w:r>
      <w:r w:rsidR="00ED6267">
        <w:t>standards</w:t>
      </w:r>
      <w:r w:rsidR="00D363FD">
        <w:t xml:space="preserve">. </w:t>
      </w:r>
      <w:r>
        <w:t xml:space="preserve">We </w:t>
      </w:r>
      <w:r w:rsidR="00D363FD">
        <w:t xml:space="preserve">have used an </w:t>
      </w:r>
      <w:r>
        <w:t xml:space="preserve">estimate </w:t>
      </w:r>
      <w:r w:rsidR="00D363FD">
        <w:t xml:space="preserve">for </w:t>
      </w:r>
      <w:r>
        <w:t xml:space="preserve">an </w:t>
      </w:r>
      <w:r w:rsidR="00B86231">
        <w:t xml:space="preserve">average </w:t>
      </w:r>
      <w:r>
        <w:t xml:space="preserve">testing </w:t>
      </w:r>
      <w:r w:rsidR="00B86231">
        <w:t>cost of $1</w:t>
      </w:r>
      <w:r w:rsidR="00D363FD">
        <w:t>5</w:t>
      </w:r>
      <w:r w:rsidR="00B86231">
        <w:t>00</w:t>
      </w:r>
      <w:r>
        <w:t>.</w:t>
      </w:r>
    </w:p>
    <w:p w:rsidR="00903E7A" w:rsidRDefault="0065392B" w:rsidP="009C42F9">
      <w:pPr>
        <w:pStyle w:val="ListParagraph"/>
        <w:numPr>
          <w:ilvl w:val="0"/>
          <w:numId w:val="31"/>
        </w:numPr>
      </w:pPr>
      <w:r>
        <w:t>O</w:t>
      </w:r>
      <w:r w:rsidR="00903E7A">
        <w:t xml:space="preserve">n </w:t>
      </w:r>
      <w:r w:rsidR="00C26BBE">
        <w:t>average,</w:t>
      </w:r>
      <w:r w:rsidR="00903E7A">
        <w:t xml:space="preserve"> </w:t>
      </w:r>
      <w:r w:rsidR="00C26BBE">
        <w:t xml:space="preserve">suppliers </w:t>
      </w:r>
      <w:r w:rsidR="00D363FD">
        <w:t xml:space="preserve">require around </w:t>
      </w:r>
      <w:r w:rsidR="00E22EBF">
        <w:t>two</w:t>
      </w:r>
      <w:r w:rsidR="00903E7A">
        <w:t xml:space="preserve"> hours to </w:t>
      </w:r>
      <w:r w:rsidR="00B86231">
        <w:t>check</w:t>
      </w:r>
      <w:r w:rsidR="00903E7A">
        <w:t xml:space="preserve"> </w:t>
      </w:r>
      <w:r w:rsidR="00F847F4">
        <w:t xml:space="preserve">compliance for each pram or </w:t>
      </w:r>
      <w:r w:rsidR="00903E7A">
        <w:t>stroller</w:t>
      </w:r>
      <w:r w:rsidR="00FD68EB" w:rsidRPr="00FD68EB">
        <w:t xml:space="preserve"> </w:t>
      </w:r>
      <w:r w:rsidR="00FD68EB">
        <w:t>model</w:t>
      </w:r>
      <w:r w:rsidR="00F847F4">
        <w:t>.</w:t>
      </w:r>
      <w:r w:rsidR="00D363FD">
        <w:t xml:space="preserve"> This may include some element of checking compliance against the (benchmark) Australian voluntary standard in addition to the mandatory standard (CPN).</w:t>
      </w:r>
    </w:p>
    <w:p w:rsidR="007545D7" w:rsidRDefault="007545D7" w:rsidP="009C42F9">
      <w:pPr>
        <w:pStyle w:val="ListParagraph"/>
        <w:numPr>
          <w:ilvl w:val="0"/>
          <w:numId w:val="31"/>
        </w:numPr>
      </w:pPr>
      <w:r>
        <w:t>Substantive costs include</w:t>
      </w:r>
      <w:r w:rsidR="00596B2F">
        <w:t xml:space="preserve"> </w:t>
      </w:r>
      <w:r w:rsidR="00D363FD">
        <w:t xml:space="preserve">those </w:t>
      </w:r>
      <w:r w:rsidR="00596B2F">
        <w:t>costs to</w:t>
      </w:r>
      <w:r>
        <w:t xml:space="preserve"> </w:t>
      </w:r>
      <w:r w:rsidR="00596B2F">
        <w:t xml:space="preserve">satisfy Australian </w:t>
      </w:r>
      <w:r w:rsidR="00D363FD">
        <w:t xml:space="preserve">only </w:t>
      </w:r>
      <w:r w:rsidR="00596B2F">
        <w:t xml:space="preserve">specific requirements: </w:t>
      </w:r>
      <w:r>
        <w:t>local warnings, tether straps and red brake</w:t>
      </w:r>
      <w:r w:rsidR="005362EB">
        <w:t>s</w:t>
      </w:r>
      <w:r>
        <w:t xml:space="preserve">. </w:t>
      </w:r>
      <w:r w:rsidR="00264992">
        <w:t>An Australian supplier</w:t>
      </w:r>
      <w:r w:rsidR="00E76C2D">
        <w:t xml:space="preserve"> has</w:t>
      </w:r>
      <w:r w:rsidR="00264992">
        <w:t xml:space="preserve"> advised the ACCC that </w:t>
      </w:r>
      <w:r w:rsidR="00E76C2D">
        <w:t>an</w:t>
      </w:r>
      <w:r w:rsidR="00264992">
        <w:t xml:space="preserve"> estimate</w:t>
      </w:r>
      <w:r>
        <w:t xml:space="preserve"> </w:t>
      </w:r>
      <w:r w:rsidR="00E76C2D">
        <w:t xml:space="preserve">of </w:t>
      </w:r>
      <w:r>
        <w:t xml:space="preserve">the substantive cost is </w:t>
      </w:r>
      <w:r w:rsidR="00C706D9">
        <w:t>approx</w:t>
      </w:r>
      <w:r w:rsidR="00264992">
        <w:t>imately</w:t>
      </w:r>
      <w:r w:rsidR="00C706D9">
        <w:t xml:space="preserve"> </w:t>
      </w:r>
      <w:r w:rsidR="005B19D9">
        <w:t>$3</w:t>
      </w:r>
      <w:r w:rsidR="00264992" w:rsidRPr="00264992">
        <w:t xml:space="preserve"> </w:t>
      </w:r>
      <w:r w:rsidR="00264992">
        <w:t xml:space="preserve">per </w:t>
      </w:r>
      <w:r w:rsidR="00D363FD">
        <w:t xml:space="preserve">individual </w:t>
      </w:r>
      <w:r w:rsidR="00264992">
        <w:t>pram or stroller</w:t>
      </w:r>
      <w:r w:rsidR="00D363FD">
        <w:t xml:space="preserve"> unit</w:t>
      </w:r>
      <w:r w:rsidR="00264992">
        <w:t>.</w:t>
      </w:r>
      <w:r w:rsidR="00D75B0F">
        <w:t xml:space="preserve"> </w:t>
      </w:r>
    </w:p>
    <w:p w:rsidR="008711DD" w:rsidRDefault="00FD68EB" w:rsidP="009C42F9">
      <w:pPr>
        <w:pStyle w:val="ListParagraph"/>
        <w:numPr>
          <w:ilvl w:val="0"/>
          <w:numId w:val="31"/>
        </w:numPr>
        <w:spacing w:after="120"/>
        <w:ind w:left="357" w:hanging="357"/>
      </w:pPr>
      <w:r>
        <w:t xml:space="preserve">We estimate the </w:t>
      </w:r>
      <w:r w:rsidR="00B86231">
        <w:t>cost</w:t>
      </w:r>
      <w:r>
        <w:t>s</w:t>
      </w:r>
      <w:r w:rsidR="00B86231">
        <w:t xml:space="preserve"> of compliance under </w:t>
      </w:r>
      <w:r w:rsidR="004369E2">
        <w:t>Option 1 (retain the current mandatory safety standard)</w:t>
      </w:r>
      <w:r w:rsidR="00B86231">
        <w:t xml:space="preserve"> </w:t>
      </w:r>
      <w:r w:rsidR="007545D7">
        <w:t>as follows:</w:t>
      </w:r>
    </w:p>
    <w:tbl>
      <w:tblPr>
        <w:tblStyle w:val="TableGrid"/>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095"/>
        <w:gridCol w:w="1701"/>
      </w:tblGrid>
      <w:tr w:rsidR="00810080" w:rsidTr="00C42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10080" w:rsidRPr="00750EA4" w:rsidRDefault="00810080" w:rsidP="00C42743">
            <w:pPr>
              <w:spacing w:before="60" w:after="60"/>
              <w:jc w:val="center"/>
              <w:rPr>
                <w:rFonts w:cs="Arial"/>
              </w:rPr>
            </w:pPr>
            <w:r w:rsidRPr="00750EA4">
              <w:rPr>
                <w:rFonts w:cs="Arial"/>
              </w:rPr>
              <w:t>A</w:t>
            </w:r>
          </w:p>
        </w:tc>
        <w:tc>
          <w:tcPr>
            <w:tcW w:w="6095" w:type="dxa"/>
            <w:tcBorders>
              <w:top w:val="single" w:sz="4" w:space="0" w:color="auto"/>
              <w:left w:val="single" w:sz="4" w:space="0" w:color="auto"/>
              <w:bottom w:val="single" w:sz="4" w:space="0" w:color="auto"/>
              <w:right w:val="single" w:sz="4" w:space="0" w:color="auto"/>
            </w:tcBorders>
          </w:tcPr>
          <w:p w:rsidR="00810080" w:rsidRPr="003F308A" w:rsidRDefault="00810080" w:rsidP="00C42743">
            <w:pPr>
              <w:spacing w:before="60" w:after="60"/>
              <w:cnfStyle w:val="100000000000" w:firstRow="1" w:lastRow="0" w:firstColumn="0" w:lastColumn="0" w:oddVBand="0" w:evenVBand="0" w:oddHBand="0" w:evenHBand="0" w:firstRowFirstColumn="0" w:firstRowLastColumn="0" w:lastRowFirstColumn="0" w:lastRowLastColumn="0"/>
              <w:rPr>
                <w:rFonts w:cs="Arial"/>
                <w:b w:val="0"/>
              </w:rPr>
            </w:pPr>
            <w:r w:rsidRPr="00AA22B7">
              <w:rPr>
                <w:rFonts w:cs="Arial"/>
              </w:rPr>
              <w:t>Total suppliers (manufacturers, importers and wholesalers)</w:t>
            </w:r>
          </w:p>
        </w:tc>
        <w:tc>
          <w:tcPr>
            <w:tcW w:w="1701" w:type="dxa"/>
            <w:tcBorders>
              <w:top w:val="single" w:sz="4" w:space="0" w:color="auto"/>
              <w:left w:val="single" w:sz="4" w:space="0" w:color="auto"/>
              <w:bottom w:val="single" w:sz="4" w:space="0" w:color="auto"/>
              <w:right w:val="single" w:sz="4" w:space="0" w:color="auto"/>
            </w:tcBorders>
          </w:tcPr>
          <w:p w:rsidR="00810080" w:rsidRPr="003F308A" w:rsidRDefault="00810080" w:rsidP="00C42743">
            <w:pPr>
              <w:spacing w:before="60" w:after="60"/>
              <w:cnfStyle w:val="100000000000" w:firstRow="1" w:lastRow="0" w:firstColumn="0" w:lastColumn="0" w:oddVBand="0" w:evenVBand="0" w:oddHBand="0" w:evenHBand="0" w:firstRowFirstColumn="0" w:firstRowLastColumn="0" w:lastRowFirstColumn="0" w:lastRowLastColumn="0"/>
              <w:rPr>
                <w:rFonts w:cs="Arial"/>
                <w:b w:val="0"/>
              </w:rPr>
            </w:pPr>
            <w:r>
              <w:rPr>
                <w:rFonts w:cs="Arial"/>
              </w:rPr>
              <w:t>15</w:t>
            </w:r>
          </w:p>
        </w:tc>
      </w:tr>
      <w:tr w:rsidR="00810080" w:rsidTr="00C42743">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tcBorders>
            <w:shd w:val="clear" w:color="auto" w:fill="D9D9D9" w:themeFill="background1" w:themeFillShade="D9"/>
          </w:tcPr>
          <w:p w:rsidR="00810080" w:rsidRPr="00750EA4" w:rsidRDefault="00810080" w:rsidP="00C42743">
            <w:pPr>
              <w:jc w:val="center"/>
              <w:rPr>
                <w:rFonts w:cs="Arial"/>
              </w:rPr>
            </w:pPr>
            <w:r w:rsidRPr="00750EA4">
              <w:rPr>
                <w:rFonts w:cs="Arial"/>
              </w:rPr>
              <w:t>B</w:t>
            </w:r>
          </w:p>
        </w:tc>
        <w:tc>
          <w:tcPr>
            <w:tcW w:w="6095" w:type="dxa"/>
            <w:tcBorders>
              <w:top w:val="single" w:sz="4" w:space="0" w:color="auto"/>
            </w:tcBorders>
          </w:tcPr>
          <w:p w:rsidR="00810080" w:rsidRDefault="00810080" w:rsidP="00C42743">
            <w:pPr>
              <w:cnfStyle w:val="000000000000" w:firstRow="0" w:lastRow="0" w:firstColumn="0" w:lastColumn="0" w:oddVBand="0" w:evenVBand="0" w:oddHBand="0" w:evenHBand="0" w:firstRowFirstColumn="0" w:firstRowLastColumn="0" w:lastRowFirstColumn="0" w:lastRowLastColumn="0"/>
              <w:rPr>
                <w:rFonts w:cs="Arial"/>
              </w:rPr>
            </w:pPr>
            <w:r>
              <w:rPr>
                <w:rFonts w:cs="Arial"/>
              </w:rPr>
              <w:t>Number of models per business</w:t>
            </w:r>
          </w:p>
        </w:tc>
        <w:tc>
          <w:tcPr>
            <w:tcW w:w="1701" w:type="dxa"/>
            <w:tcBorders>
              <w:top w:val="single" w:sz="4" w:space="0" w:color="auto"/>
            </w:tcBorders>
          </w:tcPr>
          <w:p w:rsidR="00810080" w:rsidRDefault="00810080" w:rsidP="00C42743">
            <w:pPr>
              <w:cnfStyle w:val="000000000000" w:firstRow="0" w:lastRow="0" w:firstColumn="0" w:lastColumn="0" w:oddVBand="0" w:evenVBand="0" w:oddHBand="0" w:evenHBand="0" w:firstRowFirstColumn="0" w:firstRowLastColumn="0" w:lastRowFirstColumn="0" w:lastRowLastColumn="0"/>
              <w:rPr>
                <w:rFonts w:cs="Arial"/>
              </w:rPr>
            </w:pPr>
            <w:r>
              <w:rPr>
                <w:rFonts w:cs="Arial"/>
              </w:rPr>
              <w:t>5</w:t>
            </w:r>
          </w:p>
        </w:tc>
      </w:tr>
      <w:tr w:rsidR="00810080" w:rsidTr="00C42743">
        <w:tc>
          <w:tcPr>
            <w:cnfStyle w:val="001000000000" w:firstRow="0" w:lastRow="0" w:firstColumn="1" w:lastColumn="0" w:oddVBand="0" w:evenVBand="0" w:oddHBand="0" w:evenHBand="0" w:firstRowFirstColumn="0" w:firstRowLastColumn="0" w:lastRowFirstColumn="0" w:lastRowLastColumn="0"/>
            <w:tcW w:w="850" w:type="dxa"/>
            <w:shd w:val="clear" w:color="auto" w:fill="D9D9D9" w:themeFill="background1" w:themeFillShade="D9"/>
          </w:tcPr>
          <w:p w:rsidR="00810080" w:rsidRPr="00750EA4" w:rsidRDefault="00810080" w:rsidP="00C42743">
            <w:pPr>
              <w:jc w:val="center"/>
              <w:rPr>
                <w:rFonts w:cs="Arial"/>
              </w:rPr>
            </w:pPr>
            <w:r w:rsidRPr="00750EA4">
              <w:rPr>
                <w:rFonts w:cs="Arial"/>
              </w:rPr>
              <w:t>C</w:t>
            </w:r>
          </w:p>
        </w:tc>
        <w:tc>
          <w:tcPr>
            <w:tcW w:w="6095" w:type="dxa"/>
          </w:tcPr>
          <w:p w:rsidR="00810080" w:rsidRDefault="00810080" w:rsidP="00C42743">
            <w:pPr>
              <w:cnfStyle w:val="000000000000" w:firstRow="0" w:lastRow="0" w:firstColumn="0" w:lastColumn="0" w:oddVBand="0" w:evenVBand="0" w:oddHBand="0" w:evenHBand="0" w:firstRowFirstColumn="0" w:firstRowLastColumn="0" w:lastRowFirstColumn="0" w:lastRowLastColumn="0"/>
              <w:rPr>
                <w:rFonts w:cs="Arial"/>
              </w:rPr>
            </w:pPr>
            <w:r>
              <w:rPr>
                <w:rFonts w:cs="Arial"/>
              </w:rPr>
              <w:t>Cost of testing</w:t>
            </w:r>
            <w:r w:rsidR="00D363FD">
              <w:rPr>
                <w:rFonts w:cs="Arial"/>
              </w:rPr>
              <w:t xml:space="preserve"> (on average)</w:t>
            </w:r>
          </w:p>
        </w:tc>
        <w:tc>
          <w:tcPr>
            <w:tcW w:w="1701" w:type="dxa"/>
          </w:tcPr>
          <w:p w:rsidR="00810080" w:rsidRDefault="00810080" w:rsidP="00C42743">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$1 </w:t>
            </w:r>
            <w:r w:rsidR="00D363FD">
              <w:rPr>
                <w:rFonts w:cs="Arial"/>
              </w:rPr>
              <w:t>5</w:t>
            </w:r>
            <w:r>
              <w:rPr>
                <w:rFonts w:cs="Arial"/>
              </w:rPr>
              <w:t>00</w:t>
            </w:r>
          </w:p>
        </w:tc>
      </w:tr>
      <w:tr w:rsidR="00810080" w:rsidTr="00C42743">
        <w:tc>
          <w:tcPr>
            <w:cnfStyle w:val="001000000000" w:firstRow="0" w:lastRow="0" w:firstColumn="1" w:lastColumn="0" w:oddVBand="0" w:evenVBand="0" w:oddHBand="0" w:evenHBand="0" w:firstRowFirstColumn="0" w:firstRowLastColumn="0" w:lastRowFirstColumn="0" w:lastRowLastColumn="0"/>
            <w:tcW w:w="850" w:type="dxa"/>
            <w:shd w:val="clear" w:color="auto" w:fill="D9D9D9" w:themeFill="background1" w:themeFillShade="D9"/>
          </w:tcPr>
          <w:p w:rsidR="00810080" w:rsidRPr="00750EA4" w:rsidRDefault="00810080" w:rsidP="00C42743">
            <w:pPr>
              <w:jc w:val="center"/>
              <w:rPr>
                <w:rFonts w:cs="Arial"/>
              </w:rPr>
            </w:pPr>
            <w:r w:rsidRPr="00750EA4">
              <w:rPr>
                <w:rFonts w:cs="Arial"/>
              </w:rPr>
              <w:t>D</w:t>
            </w:r>
          </w:p>
        </w:tc>
        <w:tc>
          <w:tcPr>
            <w:tcW w:w="6095" w:type="dxa"/>
          </w:tcPr>
          <w:p w:rsidR="00810080" w:rsidRDefault="00810080" w:rsidP="00C26BBE">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Total cost of testing per business per </w:t>
            </w:r>
            <w:r w:rsidR="00C26BBE">
              <w:rPr>
                <w:rFonts w:cs="Arial"/>
              </w:rPr>
              <w:t>year</w:t>
            </w:r>
          </w:p>
        </w:tc>
        <w:tc>
          <w:tcPr>
            <w:tcW w:w="1701" w:type="dxa"/>
          </w:tcPr>
          <w:p w:rsidR="00810080" w:rsidRDefault="00810080" w:rsidP="00C42743">
            <w:pPr>
              <w:cnfStyle w:val="000000000000" w:firstRow="0" w:lastRow="0" w:firstColumn="0" w:lastColumn="0" w:oddVBand="0" w:evenVBand="0" w:oddHBand="0" w:evenHBand="0" w:firstRowFirstColumn="0" w:firstRowLastColumn="0" w:lastRowFirstColumn="0" w:lastRowLastColumn="0"/>
              <w:rPr>
                <w:rFonts w:cs="Arial"/>
              </w:rPr>
            </w:pPr>
            <w:r>
              <w:rPr>
                <w:rFonts w:cs="Arial"/>
              </w:rPr>
              <w:t>$</w:t>
            </w:r>
            <w:r w:rsidR="00D363FD">
              <w:rPr>
                <w:rFonts w:cs="Arial"/>
              </w:rPr>
              <w:t>7</w:t>
            </w:r>
            <w:r>
              <w:rPr>
                <w:rFonts w:cs="Arial"/>
              </w:rPr>
              <w:t xml:space="preserve"> </w:t>
            </w:r>
            <w:r w:rsidR="00D363FD">
              <w:rPr>
                <w:rFonts w:cs="Arial"/>
              </w:rPr>
              <w:t>5</w:t>
            </w:r>
            <w:r>
              <w:rPr>
                <w:rFonts w:cs="Arial"/>
              </w:rPr>
              <w:t>00</w:t>
            </w:r>
          </w:p>
        </w:tc>
      </w:tr>
      <w:tr w:rsidR="00810080" w:rsidTr="00C42743">
        <w:tc>
          <w:tcPr>
            <w:cnfStyle w:val="001000000000" w:firstRow="0" w:lastRow="0" w:firstColumn="1" w:lastColumn="0" w:oddVBand="0" w:evenVBand="0" w:oddHBand="0" w:evenHBand="0" w:firstRowFirstColumn="0" w:firstRowLastColumn="0" w:lastRowFirstColumn="0" w:lastRowLastColumn="0"/>
            <w:tcW w:w="850" w:type="dxa"/>
            <w:shd w:val="clear" w:color="auto" w:fill="D9D9D9" w:themeFill="background1" w:themeFillShade="D9"/>
          </w:tcPr>
          <w:p w:rsidR="00810080" w:rsidRPr="003F308A" w:rsidRDefault="00810080" w:rsidP="00C42743">
            <w:pPr>
              <w:jc w:val="center"/>
              <w:rPr>
                <w:rFonts w:cs="Arial"/>
              </w:rPr>
            </w:pPr>
            <w:r w:rsidRPr="003F308A">
              <w:rPr>
                <w:rFonts w:cs="Arial"/>
              </w:rPr>
              <w:t>E</w:t>
            </w:r>
          </w:p>
        </w:tc>
        <w:tc>
          <w:tcPr>
            <w:tcW w:w="6095" w:type="dxa"/>
          </w:tcPr>
          <w:p w:rsidR="00810080" w:rsidRPr="003F308A" w:rsidRDefault="00810080" w:rsidP="00C26BBE">
            <w:pPr>
              <w:cnfStyle w:val="000000000000" w:firstRow="0" w:lastRow="0" w:firstColumn="0" w:lastColumn="0" w:oddVBand="0" w:evenVBand="0" w:oddHBand="0" w:evenHBand="0" w:firstRowFirstColumn="0" w:firstRowLastColumn="0" w:lastRowFirstColumn="0" w:lastRowLastColumn="0"/>
              <w:rPr>
                <w:rFonts w:cs="Arial"/>
                <w:b/>
                <w:u w:val="single"/>
              </w:rPr>
            </w:pPr>
            <w:r w:rsidRPr="003F308A">
              <w:rPr>
                <w:rFonts w:cs="Arial"/>
                <w:b/>
                <w:u w:val="single"/>
              </w:rPr>
              <w:t xml:space="preserve">Total </w:t>
            </w:r>
            <w:r>
              <w:rPr>
                <w:rFonts w:cs="Arial"/>
                <w:b/>
                <w:u w:val="single"/>
              </w:rPr>
              <w:t xml:space="preserve">testing </w:t>
            </w:r>
            <w:r w:rsidRPr="003F308A">
              <w:rPr>
                <w:rFonts w:cs="Arial"/>
                <w:b/>
                <w:u w:val="single"/>
              </w:rPr>
              <w:t xml:space="preserve">cost to industry per </w:t>
            </w:r>
            <w:r w:rsidR="00C26BBE">
              <w:rPr>
                <w:rFonts w:cs="Arial"/>
                <w:b/>
                <w:u w:val="single"/>
              </w:rPr>
              <w:t>year</w:t>
            </w:r>
          </w:p>
        </w:tc>
        <w:tc>
          <w:tcPr>
            <w:tcW w:w="1701" w:type="dxa"/>
          </w:tcPr>
          <w:p w:rsidR="00810080" w:rsidRPr="003F308A" w:rsidRDefault="00810080" w:rsidP="00C42743">
            <w:pPr>
              <w:cnfStyle w:val="000000000000" w:firstRow="0" w:lastRow="0" w:firstColumn="0" w:lastColumn="0" w:oddVBand="0" w:evenVBand="0" w:oddHBand="0" w:evenHBand="0" w:firstRowFirstColumn="0" w:firstRowLastColumn="0" w:lastRowFirstColumn="0" w:lastRowLastColumn="0"/>
              <w:rPr>
                <w:rFonts w:cs="Arial"/>
                <w:b/>
                <w:u w:val="single"/>
              </w:rPr>
            </w:pPr>
            <w:r w:rsidRPr="003F308A">
              <w:rPr>
                <w:rFonts w:cs="Arial"/>
                <w:b/>
                <w:u w:val="single"/>
              </w:rPr>
              <w:t>$</w:t>
            </w:r>
            <w:r w:rsidR="00D363FD">
              <w:rPr>
                <w:rFonts w:cs="Arial"/>
                <w:b/>
                <w:u w:val="single"/>
              </w:rPr>
              <w:t>112 500</w:t>
            </w:r>
          </w:p>
        </w:tc>
      </w:tr>
      <w:tr w:rsidR="00810080" w:rsidTr="00C42743">
        <w:tc>
          <w:tcPr>
            <w:cnfStyle w:val="001000000000" w:firstRow="0" w:lastRow="0" w:firstColumn="1" w:lastColumn="0" w:oddVBand="0" w:evenVBand="0" w:oddHBand="0" w:evenHBand="0" w:firstRowFirstColumn="0" w:firstRowLastColumn="0" w:lastRowFirstColumn="0" w:lastRowLastColumn="0"/>
            <w:tcW w:w="850" w:type="dxa"/>
            <w:shd w:val="clear" w:color="auto" w:fill="D9D9D9" w:themeFill="background1" w:themeFillShade="D9"/>
          </w:tcPr>
          <w:p w:rsidR="00810080" w:rsidRPr="00750EA4" w:rsidRDefault="00810080" w:rsidP="00C42743">
            <w:pPr>
              <w:jc w:val="center"/>
              <w:rPr>
                <w:rFonts w:cs="Arial"/>
              </w:rPr>
            </w:pPr>
            <w:r w:rsidRPr="00750EA4">
              <w:rPr>
                <w:rFonts w:cs="Arial"/>
              </w:rPr>
              <w:t>F</w:t>
            </w:r>
          </w:p>
        </w:tc>
        <w:tc>
          <w:tcPr>
            <w:tcW w:w="6095" w:type="dxa"/>
          </w:tcPr>
          <w:p w:rsidR="00810080" w:rsidRDefault="00810080" w:rsidP="00C42743">
            <w:pPr>
              <w:cnfStyle w:val="000000000000" w:firstRow="0" w:lastRow="0" w:firstColumn="0" w:lastColumn="0" w:oddVBand="0" w:evenVBand="0" w:oddHBand="0" w:evenHBand="0" w:firstRowFirstColumn="0" w:firstRowLastColumn="0" w:lastRowFirstColumn="0" w:lastRowLastColumn="0"/>
              <w:rPr>
                <w:rFonts w:cs="Arial"/>
              </w:rPr>
            </w:pPr>
            <w:r>
              <w:rPr>
                <w:rFonts w:cs="Arial"/>
              </w:rPr>
              <w:t>Labour costs</w:t>
            </w:r>
          </w:p>
        </w:tc>
        <w:tc>
          <w:tcPr>
            <w:tcW w:w="1701" w:type="dxa"/>
          </w:tcPr>
          <w:p w:rsidR="00810080" w:rsidRDefault="00810080" w:rsidP="00C42743">
            <w:pPr>
              <w:cnfStyle w:val="000000000000" w:firstRow="0" w:lastRow="0" w:firstColumn="0" w:lastColumn="0" w:oddVBand="0" w:evenVBand="0" w:oddHBand="0" w:evenHBand="0" w:firstRowFirstColumn="0" w:firstRowLastColumn="0" w:lastRowFirstColumn="0" w:lastRowLastColumn="0"/>
              <w:rPr>
                <w:rFonts w:cs="Arial"/>
              </w:rPr>
            </w:pPr>
            <w:r>
              <w:rPr>
                <w:rFonts w:cs="Arial"/>
              </w:rPr>
              <w:t>$65.45</w:t>
            </w:r>
          </w:p>
        </w:tc>
      </w:tr>
      <w:tr w:rsidR="00810080" w:rsidTr="00C42743">
        <w:tc>
          <w:tcPr>
            <w:cnfStyle w:val="001000000000" w:firstRow="0" w:lastRow="0" w:firstColumn="1" w:lastColumn="0" w:oddVBand="0" w:evenVBand="0" w:oddHBand="0" w:evenHBand="0" w:firstRowFirstColumn="0" w:firstRowLastColumn="0" w:lastRowFirstColumn="0" w:lastRowLastColumn="0"/>
            <w:tcW w:w="850" w:type="dxa"/>
            <w:shd w:val="clear" w:color="auto" w:fill="D9D9D9" w:themeFill="background1" w:themeFillShade="D9"/>
          </w:tcPr>
          <w:p w:rsidR="00810080" w:rsidRPr="00750EA4" w:rsidRDefault="00810080" w:rsidP="00C42743">
            <w:pPr>
              <w:jc w:val="center"/>
              <w:rPr>
                <w:rFonts w:cs="Arial"/>
              </w:rPr>
            </w:pPr>
            <w:r w:rsidRPr="00750EA4">
              <w:rPr>
                <w:rFonts w:cs="Arial"/>
              </w:rPr>
              <w:lastRenderedPageBreak/>
              <w:t>G</w:t>
            </w:r>
          </w:p>
        </w:tc>
        <w:tc>
          <w:tcPr>
            <w:tcW w:w="6095" w:type="dxa"/>
          </w:tcPr>
          <w:p w:rsidR="00810080" w:rsidRDefault="00810080" w:rsidP="00C42743">
            <w:pPr>
              <w:cnfStyle w:val="000000000000" w:firstRow="0" w:lastRow="0" w:firstColumn="0" w:lastColumn="0" w:oddVBand="0" w:evenVBand="0" w:oddHBand="0" w:evenHBand="0" w:firstRowFirstColumn="0" w:firstRowLastColumn="0" w:lastRowFirstColumn="0" w:lastRowLastColumn="0"/>
              <w:rPr>
                <w:rFonts w:cs="Arial"/>
              </w:rPr>
            </w:pPr>
            <w:r>
              <w:rPr>
                <w:rFonts w:cs="Arial"/>
              </w:rPr>
              <w:t>Administrative hours required per model</w:t>
            </w:r>
          </w:p>
        </w:tc>
        <w:tc>
          <w:tcPr>
            <w:tcW w:w="1701" w:type="dxa"/>
          </w:tcPr>
          <w:p w:rsidR="00810080" w:rsidRDefault="00810080" w:rsidP="00C42743">
            <w:pPr>
              <w:cnfStyle w:val="000000000000" w:firstRow="0" w:lastRow="0" w:firstColumn="0" w:lastColumn="0" w:oddVBand="0" w:evenVBand="0" w:oddHBand="0" w:evenHBand="0" w:firstRowFirstColumn="0" w:firstRowLastColumn="0" w:lastRowFirstColumn="0" w:lastRowLastColumn="0"/>
              <w:rPr>
                <w:rFonts w:cs="Arial"/>
              </w:rPr>
            </w:pPr>
            <w:r>
              <w:rPr>
                <w:rFonts w:cs="Arial"/>
              </w:rPr>
              <w:t>2</w:t>
            </w:r>
          </w:p>
        </w:tc>
      </w:tr>
      <w:tr w:rsidR="00810080" w:rsidTr="00C42743">
        <w:tc>
          <w:tcPr>
            <w:cnfStyle w:val="001000000000" w:firstRow="0" w:lastRow="0" w:firstColumn="1" w:lastColumn="0" w:oddVBand="0" w:evenVBand="0" w:oddHBand="0" w:evenHBand="0" w:firstRowFirstColumn="0" w:firstRowLastColumn="0" w:lastRowFirstColumn="0" w:lastRowLastColumn="0"/>
            <w:tcW w:w="850" w:type="dxa"/>
            <w:shd w:val="clear" w:color="auto" w:fill="D9D9D9" w:themeFill="background1" w:themeFillShade="D9"/>
          </w:tcPr>
          <w:p w:rsidR="00810080" w:rsidRPr="00750EA4" w:rsidRDefault="00810080" w:rsidP="00C42743">
            <w:pPr>
              <w:jc w:val="center"/>
              <w:rPr>
                <w:rFonts w:cs="Arial"/>
              </w:rPr>
            </w:pPr>
            <w:r w:rsidRPr="00750EA4">
              <w:rPr>
                <w:rFonts w:cs="Arial"/>
              </w:rPr>
              <w:t>H</w:t>
            </w:r>
          </w:p>
        </w:tc>
        <w:tc>
          <w:tcPr>
            <w:tcW w:w="6095" w:type="dxa"/>
          </w:tcPr>
          <w:p w:rsidR="00810080" w:rsidRDefault="00810080" w:rsidP="00C42743">
            <w:pPr>
              <w:cnfStyle w:val="000000000000" w:firstRow="0" w:lastRow="0" w:firstColumn="0" w:lastColumn="0" w:oddVBand="0" w:evenVBand="0" w:oddHBand="0" w:evenHBand="0" w:firstRowFirstColumn="0" w:firstRowLastColumn="0" w:lastRowFirstColumn="0" w:lastRowLastColumn="0"/>
              <w:rPr>
                <w:rFonts w:cs="Arial"/>
              </w:rPr>
            </w:pPr>
            <w:r>
              <w:rPr>
                <w:rFonts w:cs="Arial"/>
              </w:rPr>
              <w:t>Total admin hours cost per business</w:t>
            </w:r>
          </w:p>
        </w:tc>
        <w:tc>
          <w:tcPr>
            <w:tcW w:w="1701" w:type="dxa"/>
          </w:tcPr>
          <w:p w:rsidR="00810080" w:rsidRDefault="00810080" w:rsidP="00C42743">
            <w:pPr>
              <w:cnfStyle w:val="000000000000" w:firstRow="0" w:lastRow="0" w:firstColumn="0" w:lastColumn="0" w:oddVBand="0" w:evenVBand="0" w:oddHBand="0" w:evenHBand="0" w:firstRowFirstColumn="0" w:firstRowLastColumn="0" w:lastRowFirstColumn="0" w:lastRowLastColumn="0"/>
              <w:rPr>
                <w:rFonts w:cs="Arial"/>
              </w:rPr>
            </w:pPr>
            <w:r>
              <w:rPr>
                <w:rFonts w:cs="Arial"/>
              </w:rPr>
              <w:t>$654.50</w:t>
            </w:r>
          </w:p>
        </w:tc>
      </w:tr>
      <w:tr w:rsidR="00810080" w:rsidTr="00C42743">
        <w:tc>
          <w:tcPr>
            <w:cnfStyle w:val="001000000000" w:firstRow="0" w:lastRow="0" w:firstColumn="1" w:lastColumn="0" w:oddVBand="0" w:evenVBand="0" w:oddHBand="0" w:evenHBand="0" w:firstRowFirstColumn="0" w:firstRowLastColumn="0" w:lastRowFirstColumn="0" w:lastRowLastColumn="0"/>
            <w:tcW w:w="850" w:type="dxa"/>
            <w:shd w:val="clear" w:color="auto" w:fill="D9D9D9" w:themeFill="background1" w:themeFillShade="D9"/>
          </w:tcPr>
          <w:p w:rsidR="00810080" w:rsidRPr="003F308A" w:rsidRDefault="00810080" w:rsidP="00C42743">
            <w:pPr>
              <w:jc w:val="center"/>
              <w:rPr>
                <w:rFonts w:cs="Arial"/>
              </w:rPr>
            </w:pPr>
            <w:r w:rsidRPr="003F308A">
              <w:rPr>
                <w:rFonts w:cs="Arial"/>
              </w:rPr>
              <w:t>I</w:t>
            </w:r>
          </w:p>
        </w:tc>
        <w:tc>
          <w:tcPr>
            <w:tcW w:w="6095" w:type="dxa"/>
          </w:tcPr>
          <w:p w:rsidR="00810080" w:rsidRPr="003F308A" w:rsidRDefault="00810080" w:rsidP="00C26BBE">
            <w:pPr>
              <w:cnfStyle w:val="000000000000" w:firstRow="0" w:lastRow="0" w:firstColumn="0" w:lastColumn="0" w:oddVBand="0" w:evenVBand="0" w:oddHBand="0" w:evenHBand="0" w:firstRowFirstColumn="0" w:firstRowLastColumn="0" w:lastRowFirstColumn="0" w:lastRowLastColumn="0"/>
              <w:rPr>
                <w:rFonts w:cs="Arial"/>
                <w:b/>
                <w:u w:val="single"/>
              </w:rPr>
            </w:pPr>
            <w:r w:rsidRPr="003F308A">
              <w:rPr>
                <w:rFonts w:cs="Arial"/>
                <w:b/>
                <w:u w:val="single"/>
              </w:rPr>
              <w:t xml:space="preserve">Total admin cost to industry per </w:t>
            </w:r>
            <w:r w:rsidR="00C26BBE">
              <w:rPr>
                <w:rFonts w:cs="Arial"/>
                <w:b/>
                <w:u w:val="single"/>
              </w:rPr>
              <w:t>year</w:t>
            </w:r>
          </w:p>
        </w:tc>
        <w:tc>
          <w:tcPr>
            <w:tcW w:w="1701" w:type="dxa"/>
          </w:tcPr>
          <w:p w:rsidR="00810080" w:rsidRPr="003F308A" w:rsidRDefault="00810080" w:rsidP="00C42743">
            <w:pPr>
              <w:cnfStyle w:val="000000000000" w:firstRow="0" w:lastRow="0" w:firstColumn="0" w:lastColumn="0" w:oddVBand="0" w:evenVBand="0" w:oddHBand="0" w:evenHBand="0" w:firstRowFirstColumn="0" w:firstRowLastColumn="0" w:lastRowFirstColumn="0" w:lastRowLastColumn="0"/>
              <w:rPr>
                <w:rFonts w:cs="Arial"/>
                <w:b/>
                <w:u w:val="single"/>
              </w:rPr>
            </w:pPr>
            <w:r w:rsidRPr="003F308A">
              <w:rPr>
                <w:rFonts w:cs="Arial"/>
                <w:b/>
                <w:u w:val="single"/>
              </w:rPr>
              <w:t>$</w:t>
            </w:r>
            <w:r>
              <w:rPr>
                <w:rFonts w:cs="Arial"/>
                <w:b/>
                <w:u w:val="single"/>
              </w:rPr>
              <w:t>9 817.50</w:t>
            </w:r>
          </w:p>
        </w:tc>
      </w:tr>
      <w:tr w:rsidR="00810080" w:rsidTr="00C42743">
        <w:tc>
          <w:tcPr>
            <w:cnfStyle w:val="001000000000" w:firstRow="0" w:lastRow="0" w:firstColumn="1" w:lastColumn="0" w:oddVBand="0" w:evenVBand="0" w:oddHBand="0" w:evenHBand="0" w:firstRowFirstColumn="0" w:firstRowLastColumn="0" w:lastRowFirstColumn="0" w:lastRowLastColumn="0"/>
            <w:tcW w:w="850" w:type="dxa"/>
            <w:shd w:val="clear" w:color="auto" w:fill="D9D9D9" w:themeFill="background1" w:themeFillShade="D9"/>
          </w:tcPr>
          <w:p w:rsidR="00810080" w:rsidRPr="00750EA4" w:rsidRDefault="00810080" w:rsidP="00C42743">
            <w:pPr>
              <w:jc w:val="center"/>
              <w:rPr>
                <w:rFonts w:cs="Arial"/>
              </w:rPr>
            </w:pPr>
            <w:r w:rsidRPr="00750EA4">
              <w:rPr>
                <w:rFonts w:cs="Arial"/>
              </w:rPr>
              <w:t>J</w:t>
            </w:r>
          </w:p>
        </w:tc>
        <w:tc>
          <w:tcPr>
            <w:tcW w:w="6095" w:type="dxa"/>
          </w:tcPr>
          <w:p w:rsidR="00810080" w:rsidRDefault="00810080" w:rsidP="00C42743">
            <w:pPr>
              <w:cnfStyle w:val="000000000000" w:firstRow="0" w:lastRow="0" w:firstColumn="0" w:lastColumn="0" w:oddVBand="0" w:evenVBand="0" w:oddHBand="0" w:evenHBand="0" w:firstRowFirstColumn="0" w:firstRowLastColumn="0" w:lastRowFirstColumn="0" w:lastRowLastColumn="0"/>
              <w:rPr>
                <w:rFonts w:cs="Arial"/>
              </w:rPr>
            </w:pPr>
            <w:r>
              <w:rPr>
                <w:rFonts w:cs="Arial"/>
              </w:rPr>
              <w:t>Substantive costs of standard</w:t>
            </w:r>
          </w:p>
        </w:tc>
        <w:tc>
          <w:tcPr>
            <w:tcW w:w="1701" w:type="dxa"/>
          </w:tcPr>
          <w:p w:rsidR="00810080" w:rsidRDefault="00810080" w:rsidP="00C42743">
            <w:pPr>
              <w:cnfStyle w:val="000000000000" w:firstRow="0" w:lastRow="0" w:firstColumn="0" w:lastColumn="0" w:oddVBand="0" w:evenVBand="0" w:oddHBand="0" w:evenHBand="0" w:firstRowFirstColumn="0" w:firstRowLastColumn="0" w:lastRowFirstColumn="0" w:lastRowLastColumn="0"/>
              <w:rPr>
                <w:rFonts w:cs="Arial"/>
              </w:rPr>
            </w:pPr>
            <w:r>
              <w:rPr>
                <w:rFonts w:cs="Arial"/>
              </w:rPr>
              <w:t>$3</w:t>
            </w:r>
          </w:p>
        </w:tc>
      </w:tr>
      <w:tr w:rsidR="00810080" w:rsidTr="00C42743">
        <w:tc>
          <w:tcPr>
            <w:cnfStyle w:val="001000000000" w:firstRow="0" w:lastRow="0" w:firstColumn="1" w:lastColumn="0" w:oddVBand="0" w:evenVBand="0" w:oddHBand="0" w:evenHBand="0" w:firstRowFirstColumn="0" w:firstRowLastColumn="0" w:lastRowFirstColumn="0" w:lastRowLastColumn="0"/>
            <w:tcW w:w="850" w:type="dxa"/>
            <w:shd w:val="clear" w:color="auto" w:fill="D9D9D9" w:themeFill="background1" w:themeFillShade="D9"/>
          </w:tcPr>
          <w:p w:rsidR="00810080" w:rsidRPr="00750EA4" w:rsidRDefault="00810080" w:rsidP="00C42743">
            <w:pPr>
              <w:jc w:val="center"/>
              <w:rPr>
                <w:rFonts w:cs="Arial"/>
              </w:rPr>
            </w:pPr>
            <w:r w:rsidRPr="00750EA4">
              <w:rPr>
                <w:rFonts w:cs="Arial"/>
              </w:rPr>
              <w:t>K</w:t>
            </w:r>
          </w:p>
        </w:tc>
        <w:tc>
          <w:tcPr>
            <w:tcW w:w="6095" w:type="dxa"/>
          </w:tcPr>
          <w:p w:rsidR="00810080" w:rsidRDefault="00810080" w:rsidP="006D737A">
            <w:pPr>
              <w:cnfStyle w:val="000000000000" w:firstRow="0" w:lastRow="0" w:firstColumn="0" w:lastColumn="0" w:oddVBand="0" w:evenVBand="0" w:oddHBand="0" w:evenHBand="0" w:firstRowFirstColumn="0" w:firstRowLastColumn="0" w:lastRowFirstColumn="0" w:lastRowLastColumn="0"/>
              <w:rPr>
                <w:rFonts w:cs="Arial"/>
              </w:rPr>
            </w:pPr>
            <w:r>
              <w:rPr>
                <w:rFonts w:cs="Arial"/>
              </w:rPr>
              <w:t>Total</w:t>
            </w:r>
            <w:r w:rsidR="006D737A">
              <w:rPr>
                <w:rFonts w:cs="Arial"/>
              </w:rPr>
              <w:t xml:space="preserve"> strollers</w:t>
            </w:r>
            <w:r w:rsidR="00FF5C56">
              <w:rPr>
                <w:rFonts w:cs="Arial"/>
              </w:rPr>
              <w:t xml:space="preserve"> s</w:t>
            </w:r>
            <w:r>
              <w:rPr>
                <w:rFonts w:cs="Arial"/>
              </w:rPr>
              <w:t xml:space="preserve">upplied in Australia per </w:t>
            </w:r>
            <w:r w:rsidR="00C26BBE">
              <w:rPr>
                <w:rFonts w:cs="Arial"/>
              </w:rPr>
              <w:t>year</w:t>
            </w:r>
          </w:p>
        </w:tc>
        <w:tc>
          <w:tcPr>
            <w:tcW w:w="1701" w:type="dxa"/>
          </w:tcPr>
          <w:p w:rsidR="00810080" w:rsidRDefault="00810080" w:rsidP="00C42743">
            <w:pPr>
              <w:cnfStyle w:val="000000000000" w:firstRow="0" w:lastRow="0" w:firstColumn="0" w:lastColumn="0" w:oddVBand="0" w:evenVBand="0" w:oddHBand="0" w:evenHBand="0" w:firstRowFirstColumn="0" w:firstRowLastColumn="0" w:lastRowFirstColumn="0" w:lastRowLastColumn="0"/>
              <w:rPr>
                <w:rFonts w:cs="Arial"/>
              </w:rPr>
            </w:pPr>
            <w:r>
              <w:rPr>
                <w:rFonts w:cs="Arial"/>
              </w:rPr>
              <w:t>750  000</w:t>
            </w:r>
          </w:p>
        </w:tc>
      </w:tr>
      <w:tr w:rsidR="00810080" w:rsidTr="00C42743">
        <w:tc>
          <w:tcPr>
            <w:cnfStyle w:val="001000000000" w:firstRow="0" w:lastRow="0" w:firstColumn="1" w:lastColumn="0" w:oddVBand="0" w:evenVBand="0" w:oddHBand="0" w:evenHBand="0" w:firstRowFirstColumn="0" w:firstRowLastColumn="0" w:lastRowFirstColumn="0" w:lastRowLastColumn="0"/>
            <w:tcW w:w="850" w:type="dxa"/>
            <w:shd w:val="clear" w:color="auto" w:fill="D9D9D9" w:themeFill="background1" w:themeFillShade="D9"/>
          </w:tcPr>
          <w:p w:rsidR="00810080" w:rsidRPr="003F308A" w:rsidRDefault="00810080" w:rsidP="00C42743">
            <w:pPr>
              <w:jc w:val="center"/>
              <w:rPr>
                <w:rFonts w:cs="Arial"/>
              </w:rPr>
            </w:pPr>
            <w:r w:rsidRPr="003F308A">
              <w:rPr>
                <w:rFonts w:cs="Arial"/>
              </w:rPr>
              <w:t>L</w:t>
            </w:r>
          </w:p>
        </w:tc>
        <w:tc>
          <w:tcPr>
            <w:tcW w:w="6095" w:type="dxa"/>
          </w:tcPr>
          <w:p w:rsidR="00810080" w:rsidRPr="003F308A" w:rsidRDefault="00810080" w:rsidP="00C26BBE">
            <w:pPr>
              <w:cnfStyle w:val="000000000000" w:firstRow="0" w:lastRow="0" w:firstColumn="0" w:lastColumn="0" w:oddVBand="0" w:evenVBand="0" w:oddHBand="0" w:evenHBand="0" w:firstRowFirstColumn="0" w:firstRowLastColumn="0" w:lastRowFirstColumn="0" w:lastRowLastColumn="0"/>
              <w:rPr>
                <w:rFonts w:cs="Arial"/>
                <w:b/>
                <w:u w:val="single"/>
              </w:rPr>
            </w:pPr>
            <w:r w:rsidRPr="003F308A">
              <w:rPr>
                <w:rFonts w:cs="Arial"/>
                <w:b/>
                <w:u w:val="single"/>
              </w:rPr>
              <w:t xml:space="preserve">Total cost per </w:t>
            </w:r>
            <w:r w:rsidR="00C26BBE">
              <w:rPr>
                <w:rFonts w:cs="Arial"/>
                <w:b/>
                <w:u w:val="single"/>
              </w:rPr>
              <w:t>year</w:t>
            </w:r>
          </w:p>
        </w:tc>
        <w:tc>
          <w:tcPr>
            <w:tcW w:w="1701" w:type="dxa"/>
          </w:tcPr>
          <w:p w:rsidR="00810080" w:rsidRPr="003F308A" w:rsidRDefault="00810080" w:rsidP="00C42743">
            <w:pPr>
              <w:cnfStyle w:val="000000000000" w:firstRow="0" w:lastRow="0" w:firstColumn="0" w:lastColumn="0" w:oddVBand="0" w:evenVBand="0" w:oddHBand="0" w:evenHBand="0" w:firstRowFirstColumn="0" w:firstRowLastColumn="0" w:lastRowFirstColumn="0" w:lastRowLastColumn="0"/>
              <w:rPr>
                <w:rFonts w:cs="Arial"/>
                <w:b/>
                <w:u w:val="single"/>
              </w:rPr>
            </w:pPr>
            <w:r w:rsidRPr="003F308A">
              <w:rPr>
                <w:rFonts w:cs="Arial"/>
                <w:b/>
                <w:u w:val="single"/>
              </w:rPr>
              <w:t xml:space="preserve">$2 </w:t>
            </w:r>
            <w:r>
              <w:rPr>
                <w:rFonts w:cs="Arial"/>
                <w:b/>
                <w:u w:val="single"/>
              </w:rPr>
              <w:t>250 000</w:t>
            </w:r>
          </w:p>
        </w:tc>
      </w:tr>
      <w:tr w:rsidR="00810080" w:rsidTr="00C42743">
        <w:tc>
          <w:tcPr>
            <w:cnfStyle w:val="001000000000" w:firstRow="0" w:lastRow="0" w:firstColumn="1" w:lastColumn="0" w:oddVBand="0" w:evenVBand="0" w:oddHBand="0" w:evenHBand="0" w:firstRowFirstColumn="0" w:firstRowLastColumn="0" w:lastRowFirstColumn="0" w:lastRowLastColumn="0"/>
            <w:tcW w:w="850" w:type="dxa"/>
            <w:shd w:val="clear" w:color="auto" w:fill="D9D9D9" w:themeFill="background1" w:themeFillShade="D9"/>
          </w:tcPr>
          <w:p w:rsidR="00810080" w:rsidRPr="003F308A" w:rsidRDefault="00810080" w:rsidP="00C42743">
            <w:pPr>
              <w:jc w:val="center"/>
              <w:rPr>
                <w:rFonts w:cs="Arial"/>
              </w:rPr>
            </w:pPr>
            <w:r w:rsidRPr="003F308A">
              <w:rPr>
                <w:rFonts w:cs="Arial"/>
              </w:rPr>
              <w:t>M</w:t>
            </w:r>
          </w:p>
        </w:tc>
        <w:tc>
          <w:tcPr>
            <w:tcW w:w="6095" w:type="dxa"/>
          </w:tcPr>
          <w:p w:rsidR="00810080" w:rsidRPr="003F308A" w:rsidRDefault="00810080" w:rsidP="00C26BBE">
            <w:pPr>
              <w:cnfStyle w:val="000000000000" w:firstRow="0" w:lastRow="0" w:firstColumn="0" w:lastColumn="0" w:oddVBand="0" w:evenVBand="0" w:oddHBand="0" w:evenHBand="0" w:firstRowFirstColumn="0" w:firstRowLastColumn="0" w:lastRowFirstColumn="0" w:lastRowLastColumn="0"/>
              <w:rPr>
                <w:rFonts w:cs="Arial"/>
                <w:b/>
                <w:u w:val="single"/>
              </w:rPr>
            </w:pPr>
            <w:r w:rsidRPr="003F308A">
              <w:rPr>
                <w:rFonts w:cs="Arial"/>
                <w:b/>
                <w:u w:val="single"/>
              </w:rPr>
              <w:t xml:space="preserve">Total industry BAU costs per </w:t>
            </w:r>
            <w:r w:rsidR="00C26BBE">
              <w:rPr>
                <w:rFonts w:cs="Arial"/>
                <w:b/>
                <w:u w:val="single"/>
              </w:rPr>
              <w:t>year</w:t>
            </w:r>
            <w:r w:rsidR="00C26BBE" w:rsidRPr="003F308A">
              <w:rPr>
                <w:rFonts w:cs="Arial"/>
                <w:b/>
                <w:u w:val="single"/>
              </w:rPr>
              <w:t xml:space="preserve"> </w:t>
            </w:r>
            <w:r w:rsidRPr="003F308A">
              <w:rPr>
                <w:rFonts w:cs="Arial"/>
                <w:b/>
                <w:u w:val="single"/>
              </w:rPr>
              <w:t>(testing costs + admin cost + substantive cost)</w:t>
            </w:r>
          </w:p>
        </w:tc>
        <w:tc>
          <w:tcPr>
            <w:tcW w:w="1701" w:type="dxa"/>
          </w:tcPr>
          <w:p w:rsidR="00810080" w:rsidRPr="003F308A" w:rsidRDefault="00810080" w:rsidP="00C42743">
            <w:pPr>
              <w:cnfStyle w:val="000000000000" w:firstRow="0" w:lastRow="0" w:firstColumn="0" w:lastColumn="0" w:oddVBand="0" w:evenVBand="0" w:oddHBand="0" w:evenHBand="0" w:firstRowFirstColumn="0" w:firstRowLastColumn="0" w:lastRowFirstColumn="0" w:lastRowLastColumn="0"/>
              <w:rPr>
                <w:rFonts w:cs="Arial"/>
                <w:b/>
                <w:u w:val="single"/>
              </w:rPr>
            </w:pPr>
            <w:r w:rsidRPr="003F308A">
              <w:rPr>
                <w:rFonts w:cs="Arial"/>
                <w:b/>
                <w:u w:val="single"/>
              </w:rPr>
              <w:t>$</w:t>
            </w:r>
            <w:r>
              <w:rPr>
                <w:rFonts w:cs="Arial"/>
                <w:b/>
                <w:u w:val="single"/>
              </w:rPr>
              <w:t xml:space="preserve">2 </w:t>
            </w:r>
            <w:r w:rsidR="007B47D7">
              <w:rPr>
                <w:rFonts w:cs="Arial"/>
                <w:b/>
                <w:u w:val="single"/>
              </w:rPr>
              <w:t>34</w:t>
            </w:r>
            <w:r>
              <w:rPr>
                <w:rFonts w:cs="Arial"/>
                <w:b/>
                <w:u w:val="single"/>
              </w:rPr>
              <w:t>9 817.50</w:t>
            </w:r>
          </w:p>
        </w:tc>
      </w:tr>
    </w:tbl>
    <w:p w:rsidR="00EB558C" w:rsidRDefault="007C7548" w:rsidP="009C42F9">
      <w:pPr>
        <w:pStyle w:val="ListParagraph"/>
        <w:numPr>
          <w:ilvl w:val="0"/>
          <w:numId w:val="31"/>
        </w:numPr>
      </w:pPr>
      <w:r>
        <w:t>For</w:t>
      </w:r>
      <w:r w:rsidR="00EB558C">
        <w:t xml:space="preserve"> Option </w:t>
      </w:r>
      <w:r w:rsidR="00292B4F">
        <w:t xml:space="preserve">2 </w:t>
      </w:r>
      <w:r w:rsidR="00EB558C">
        <w:t>(</w:t>
      </w:r>
      <w:r w:rsidR="00521AB7">
        <w:t>adopt parts of the updated voluntary Australian standard</w:t>
      </w:r>
      <w:r w:rsidR="00EB558C">
        <w:t xml:space="preserve">) we assume that all suppliers would continue to test to the mandatory requirements.  </w:t>
      </w:r>
      <w:r>
        <w:t xml:space="preserve">The </w:t>
      </w:r>
      <w:r w:rsidR="00EB558C">
        <w:t xml:space="preserve">testing processes </w:t>
      </w:r>
      <w:r w:rsidR="007B47D7">
        <w:t xml:space="preserve">and costs associated with these </w:t>
      </w:r>
      <w:r>
        <w:t>would</w:t>
      </w:r>
      <w:r w:rsidR="00EB558C">
        <w:t xml:space="preserve"> not </w:t>
      </w:r>
      <w:r>
        <w:t xml:space="preserve">change </w:t>
      </w:r>
      <w:r w:rsidR="00EB558C">
        <w:t>substantial</w:t>
      </w:r>
      <w:r>
        <w:t>ly.</w:t>
      </w:r>
      <w:r w:rsidR="00EB558C">
        <w:t xml:space="preserve"> </w:t>
      </w:r>
      <w:r w:rsidR="000E6F22">
        <w:t xml:space="preserve">Costs </w:t>
      </w:r>
      <w:r w:rsidR="00D5471F">
        <w:t>may</w:t>
      </w:r>
      <w:r w:rsidR="00EB558C">
        <w:t xml:space="preserve"> increase </w:t>
      </w:r>
      <w:r w:rsidR="000E6F22">
        <w:t>marginally</w:t>
      </w:r>
      <w:r w:rsidR="00EB558C">
        <w:t xml:space="preserve"> </w:t>
      </w:r>
      <w:r w:rsidR="00D774E3">
        <w:t xml:space="preserve">as test houses </w:t>
      </w:r>
      <w:r w:rsidR="000E6F22">
        <w:t>charge more</w:t>
      </w:r>
      <w:r w:rsidR="00D774E3">
        <w:t xml:space="preserve"> </w:t>
      </w:r>
      <w:r w:rsidR="000E6F22">
        <w:t>to test</w:t>
      </w:r>
      <w:r w:rsidR="007B47D7">
        <w:t xml:space="preserve"> new requirements for gaps, stability and security of locking mechanisms.</w:t>
      </w:r>
      <w:r w:rsidR="00D5471F">
        <w:t xml:space="preserve"> </w:t>
      </w:r>
      <w:r w:rsidR="00EE2596">
        <w:t xml:space="preserve">Test houses estimate this increases test costs by $500 to $1000. Using an average increase of $750, this would translate to an industry wide testing cost increase of $56 250 in excess of the estimate suggested for Option 1.  </w:t>
      </w:r>
      <w:r w:rsidR="007B47D7">
        <w:t>H</w:t>
      </w:r>
      <w:r w:rsidR="00D5471F">
        <w:t>owever</w:t>
      </w:r>
      <w:r w:rsidR="000E6F22">
        <w:t>,</w:t>
      </w:r>
      <w:r w:rsidR="00D5471F">
        <w:t xml:space="preserve"> </w:t>
      </w:r>
      <w:r w:rsidR="000E6F22">
        <w:t xml:space="preserve">total </w:t>
      </w:r>
      <w:r w:rsidR="00D5471F">
        <w:t xml:space="preserve">costs may decline as </w:t>
      </w:r>
      <w:r w:rsidR="007B47D7">
        <w:t xml:space="preserve">suppliers and </w:t>
      </w:r>
      <w:r w:rsidR="00D5471F">
        <w:t xml:space="preserve">test houses only need to use the </w:t>
      </w:r>
      <w:r w:rsidR="000E6F22">
        <w:t xml:space="preserve">updated voluntary Australian </w:t>
      </w:r>
      <w:r w:rsidR="00D5471F">
        <w:t xml:space="preserve">standard </w:t>
      </w:r>
      <w:r w:rsidR="00EE2596">
        <w:t xml:space="preserve">instead of also </w:t>
      </w:r>
      <w:r w:rsidR="00D5471F">
        <w:t>check</w:t>
      </w:r>
      <w:r w:rsidR="00EE2596">
        <w:t>ing</w:t>
      </w:r>
      <w:r w:rsidR="00D5471F">
        <w:t xml:space="preserve"> against the </w:t>
      </w:r>
      <w:r w:rsidR="00EE2596">
        <w:t>outdated</w:t>
      </w:r>
      <w:r w:rsidR="00D5471F">
        <w:t xml:space="preserve"> version </w:t>
      </w:r>
      <w:r w:rsidR="00EE2596">
        <w:t>of the</w:t>
      </w:r>
      <w:r w:rsidR="00D5471F">
        <w:t xml:space="preserve"> standard</w:t>
      </w:r>
      <w:r w:rsidR="00AD1E94">
        <w:t xml:space="preserve">. </w:t>
      </w:r>
      <w:r w:rsidR="00EB558C">
        <w:t xml:space="preserve">We </w:t>
      </w:r>
      <w:r w:rsidR="00D774E3">
        <w:t>anticipate this would</w:t>
      </w:r>
      <w:r w:rsidR="00BC608C">
        <w:t xml:space="preserve"> be </w:t>
      </w:r>
      <w:r w:rsidR="00EE2596">
        <w:t xml:space="preserve">cost </w:t>
      </w:r>
      <w:r w:rsidR="00D5471F">
        <w:t>neutral</w:t>
      </w:r>
      <w:r>
        <w:t xml:space="preserve"> across the industry</w:t>
      </w:r>
      <w:r w:rsidR="009168BE">
        <w:t xml:space="preserve"> but have allowed for an industry cost increase of </w:t>
      </w:r>
      <w:r w:rsidR="00EB1571">
        <w:t>under</w:t>
      </w:r>
      <w:r w:rsidR="009168BE">
        <w:t xml:space="preserve"> $100</w:t>
      </w:r>
      <w:r w:rsidR="000E6F22">
        <w:t xml:space="preserve"> </w:t>
      </w:r>
      <w:r w:rsidR="009168BE">
        <w:t>000</w:t>
      </w:r>
      <w:r w:rsidR="00EE2596">
        <w:t>.</w:t>
      </w:r>
      <w:r w:rsidR="00C129A3">
        <w:t xml:space="preserve"> </w:t>
      </w:r>
    </w:p>
    <w:p w:rsidR="00EB558C" w:rsidRDefault="00C03D5E" w:rsidP="009C42F9">
      <w:pPr>
        <w:pStyle w:val="ListParagraph"/>
        <w:numPr>
          <w:ilvl w:val="0"/>
          <w:numId w:val="31"/>
        </w:numPr>
      </w:pPr>
      <w:r>
        <w:t>For</w:t>
      </w:r>
      <w:r w:rsidR="00EB558C">
        <w:t xml:space="preserve"> Option </w:t>
      </w:r>
      <w:r w:rsidR="00292B4F">
        <w:t xml:space="preserve">3 </w:t>
      </w:r>
      <w:r w:rsidR="00EB558C">
        <w:t>(</w:t>
      </w:r>
      <w:r w:rsidR="00521AB7">
        <w:t>allow compliance with the updated voluntary Australian or international standards</w:t>
      </w:r>
      <w:r w:rsidR="00EB558C">
        <w:t xml:space="preserve">) we assume </w:t>
      </w:r>
      <w:r w:rsidR="00D5471F">
        <w:t xml:space="preserve">either </w:t>
      </w:r>
      <w:r>
        <w:t xml:space="preserve">a small increase in testing costs for suppliers that test to the </w:t>
      </w:r>
      <w:r w:rsidR="00521AB7">
        <w:t xml:space="preserve">updated voluntary </w:t>
      </w:r>
      <w:r>
        <w:t xml:space="preserve">Australian </w:t>
      </w:r>
      <w:r w:rsidR="00596B2F">
        <w:t>standard</w:t>
      </w:r>
      <w:r w:rsidR="009168BE">
        <w:t xml:space="preserve"> </w:t>
      </w:r>
      <w:r w:rsidR="00EB558C">
        <w:t xml:space="preserve">as </w:t>
      </w:r>
      <w:r w:rsidR="00596B2F">
        <w:t>for</w:t>
      </w:r>
      <w:r w:rsidR="00EB558C">
        <w:t xml:space="preserve"> Option </w:t>
      </w:r>
      <w:r w:rsidR="00521AB7">
        <w:t xml:space="preserve">2 </w:t>
      </w:r>
      <w:r w:rsidR="00EB558C">
        <w:t>above</w:t>
      </w:r>
      <w:r w:rsidR="00596B2F">
        <w:t xml:space="preserve">. </w:t>
      </w:r>
      <w:r w:rsidR="00D5471F">
        <w:t>Any</w:t>
      </w:r>
      <w:r w:rsidR="00596B2F">
        <w:t xml:space="preserve"> increase</w:t>
      </w:r>
      <w:r w:rsidR="00EB558C">
        <w:t xml:space="preserve"> is likely</w:t>
      </w:r>
      <w:r w:rsidR="00FC7EEC">
        <w:t xml:space="preserve"> to be</w:t>
      </w:r>
      <w:r w:rsidR="00EB558C">
        <w:t xml:space="preserve"> </w:t>
      </w:r>
      <w:r w:rsidR="00D5471F">
        <w:t xml:space="preserve">further </w:t>
      </w:r>
      <w:r w:rsidR="00EB558C">
        <w:t xml:space="preserve">offset by </w:t>
      </w:r>
      <w:r w:rsidR="00596B2F">
        <w:t>reduced testing</w:t>
      </w:r>
      <w:r w:rsidR="00EB558C">
        <w:t xml:space="preserve"> costs </w:t>
      </w:r>
      <w:r w:rsidR="00596B2F">
        <w:t>for</w:t>
      </w:r>
      <w:r w:rsidR="00EB558C">
        <w:t xml:space="preserve"> those </w:t>
      </w:r>
      <w:r w:rsidR="00BC608C">
        <w:t xml:space="preserve">suppliers who </w:t>
      </w:r>
      <w:r w:rsidR="00476556">
        <w:t xml:space="preserve">already </w:t>
      </w:r>
      <w:r w:rsidR="00BC608C">
        <w:t>test to international standard</w:t>
      </w:r>
      <w:r w:rsidR="00596B2F">
        <w:t>s</w:t>
      </w:r>
      <w:r w:rsidR="00D5471F">
        <w:t xml:space="preserve"> and no longer need to assess compliance with all local requirements (apart from red brake actuators and tether straps</w:t>
      </w:r>
      <w:r w:rsidR="00C129A3">
        <w:t xml:space="preserve">, which are already </w:t>
      </w:r>
      <w:r w:rsidR="005A7F94">
        <w:t xml:space="preserve">being </w:t>
      </w:r>
      <w:r w:rsidR="00C129A3">
        <w:t>provided for by the existing supplier base</w:t>
      </w:r>
      <w:r w:rsidR="00D5471F">
        <w:t>)</w:t>
      </w:r>
      <w:r w:rsidR="00BC608C">
        <w:t xml:space="preserve">. </w:t>
      </w:r>
      <w:r w:rsidR="00EA260F">
        <w:t>Testing cost estimates from five test laboratories</w:t>
      </w:r>
      <w:r w:rsidR="00D5471F">
        <w:t>,</w:t>
      </w:r>
      <w:r w:rsidR="00EA260F">
        <w:t xml:space="preserve"> in </w:t>
      </w:r>
      <w:r w:rsidR="00D5471F">
        <w:t>Australia and overseas, indicates</w:t>
      </w:r>
      <w:r w:rsidR="00EA260F">
        <w:t xml:space="preserve"> that overseas laboratories are cheaper, </w:t>
      </w:r>
      <w:r w:rsidR="00D5471F">
        <w:t>mainly</w:t>
      </w:r>
      <w:r w:rsidR="00EA260F">
        <w:t xml:space="preserve"> </w:t>
      </w:r>
      <w:r w:rsidR="00D5471F">
        <w:t>as a result</w:t>
      </w:r>
      <w:r w:rsidR="00EA260F">
        <w:t xml:space="preserve"> of higher testing volumes and competition. </w:t>
      </w:r>
      <w:r w:rsidR="00BC608C">
        <w:t xml:space="preserve">We estimate </w:t>
      </w:r>
      <w:r w:rsidR="00596B2F">
        <w:t>a</w:t>
      </w:r>
      <w:r w:rsidR="00D5471F">
        <w:t>n overall</w:t>
      </w:r>
      <w:r w:rsidR="00596B2F">
        <w:t xml:space="preserve"> cost neutral net </w:t>
      </w:r>
      <w:r w:rsidR="00BC608C">
        <w:t>effect to industry.</w:t>
      </w:r>
    </w:p>
    <w:p w:rsidR="00292B4F" w:rsidRDefault="00292B4F" w:rsidP="009C42F9">
      <w:pPr>
        <w:pStyle w:val="ListParagraph"/>
        <w:numPr>
          <w:ilvl w:val="0"/>
          <w:numId w:val="31"/>
        </w:numPr>
      </w:pPr>
      <w:r>
        <w:t xml:space="preserve">For Option 4 (revoking the mandatory standard) we assume that </w:t>
      </w:r>
      <w:r w:rsidR="00521AB7">
        <w:t>half</w:t>
      </w:r>
      <w:r>
        <w:t xml:space="preserve"> of suppliers would no longer modify or test to local requirements and </w:t>
      </w:r>
      <w:r w:rsidR="00521AB7">
        <w:t>half</w:t>
      </w:r>
      <w:r>
        <w:t xml:space="preserve"> would continue to do so – halving the total industry cost to approx</w:t>
      </w:r>
      <w:r w:rsidR="00521AB7">
        <w:t>imately</w:t>
      </w:r>
      <w:r>
        <w:t xml:space="preserve"> $1.1</w:t>
      </w:r>
      <w:r w:rsidR="00C129A3">
        <w:t>7</w:t>
      </w:r>
      <w:r>
        <w:t>m</w:t>
      </w:r>
      <w:r w:rsidR="00FC7EEC">
        <w:t>.</w:t>
      </w:r>
    </w:p>
    <w:p w:rsidR="00C114C3" w:rsidRDefault="00C114C3" w:rsidP="00E76DB5">
      <w:pPr>
        <w:ind w:left="340"/>
      </w:pPr>
      <w:r>
        <w:t>NOTE: The economic cost of the loss of a life of a child is at least $4.2m</w:t>
      </w:r>
      <w:r>
        <w:rPr>
          <w:rStyle w:val="FootnoteReference"/>
        </w:rPr>
        <w:footnoteReference w:id="5"/>
      </w:r>
      <w:r>
        <w:t xml:space="preserve">. </w:t>
      </w:r>
    </w:p>
    <w:p w:rsidR="00C114C3" w:rsidRPr="00DB6C88" w:rsidRDefault="00C114C3" w:rsidP="00E76DB5">
      <w:pPr>
        <w:ind w:left="340"/>
      </w:pPr>
      <w:r>
        <w:t>The economic costs of typical injuries that children suffer in prams or strollers include:</w:t>
      </w:r>
    </w:p>
    <w:p w:rsidR="00C114C3" w:rsidRDefault="00C114C3" w:rsidP="00E76DB5">
      <w:pPr>
        <w:numPr>
          <w:ilvl w:val="0"/>
          <w:numId w:val="30"/>
        </w:numPr>
        <w:spacing w:before="120" w:after="120"/>
        <w:ind w:left="700"/>
      </w:pPr>
      <w:r>
        <w:t xml:space="preserve">finger amputation             </w:t>
      </w:r>
      <w:r>
        <w:tab/>
        <w:t>$545 401</w:t>
      </w:r>
    </w:p>
    <w:p w:rsidR="00C114C3" w:rsidRDefault="00C114C3" w:rsidP="00E76DB5">
      <w:pPr>
        <w:numPr>
          <w:ilvl w:val="0"/>
          <w:numId w:val="30"/>
        </w:numPr>
        <w:spacing w:before="120" w:after="120"/>
        <w:ind w:left="700"/>
      </w:pPr>
      <w:r>
        <w:t xml:space="preserve">skull fracture                      </w:t>
      </w:r>
      <w:r>
        <w:tab/>
        <w:t>$10 137</w:t>
      </w:r>
    </w:p>
    <w:p w:rsidR="00C114C3" w:rsidRDefault="00C114C3" w:rsidP="00E76DB5">
      <w:pPr>
        <w:numPr>
          <w:ilvl w:val="0"/>
          <w:numId w:val="30"/>
        </w:numPr>
        <w:spacing w:before="120" w:after="120"/>
        <w:ind w:left="700"/>
      </w:pPr>
      <w:r>
        <w:t xml:space="preserve">intracranial injury                </w:t>
      </w:r>
      <w:r>
        <w:tab/>
        <w:t>$6792</w:t>
      </w:r>
    </w:p>
    <w:p w:rsidR="00C114C3" w:rsidRDefault="00C114C3" w:rsidP="00E76DB5">
      <w:pPr>
        <w:numPr>
          <w:ilvl w:val="0"/>
          <w:numId w:val="30"/>
        </w:numPr>
        <w:spacing w:before="120" w:after="120"/>
        <w:ind w:left="700"/>
      </w:pPr>
      <w:r>
        <w:t xml:space="preserve">open wound                        </w:t>
      </w:r>
      <w:r>
        <w:tab/>
        <w:t>$1988</w:t>
      </w:r>
    </w:p>
    <w:p w:rsidR="00C114C3" w:rsidRDefault="00C114C3" w:rsidP="00E76DB5">
      <w:pPr>
        <w:numPr>
          <w:ilvl w:val="0"/>
          <w:numId w:val="30"/>
        </w:numPr>
        <w:spacing w:before="120" w:after="120"/>
        <w:ind w:left="700"/>
      </w:pPr>
      <w:r>
        <w:t xml:space="preserve">crush injury                         </w:t>
      </w:r>
      <w:r>
        <w:tab/>
        <w:t>$1226</w:t>
      </w:r>
    </w:p>
    <w:p w:rsidR="00C114C3" w:rsidRDefault="00C114C3" w:rsidP="00E76DB5">
      <w:pPr>
        <w:numPr>
          <w:ilvl w:val="0"/>
          <w:numId w:val="30"/>
        </w:numPr>
        <w:spacing w:before="120" w:after="120"/>
        <w:ind w:left="700"/>
      </w:pPr>
      <w:proofErr w:type="gramStart"/>
      <w:r>
        <w:t>sprain</w:t>
      </w:r>
      <w:proofErr w:type="gramEnd"/>
      <w:r>
        <w:t xml:space="preserve">                                 </w:t>
      </w:r>
      <w:r>
        <w:tab/>
        <w:t>$589.</w:t>
      </w:r>
    </w:p>
    <w:p w:rsidR="00C114C3" w:rsidRDefault="00C114C3" w:rsidP="00E76DB5">
      <w:pPr>
        <w:ind w:left="340"/>
      </w:pPr>
      <w:r>
        <w:t>Each injury prevented represents a saving of these economic costs, and this is part of the benefits of this option.</w:t>
      </w:r>
    </w:p>
    <w:p w:rsidR="005C39DB" w:rsidRDefault="005C39DB" w:rsidP="00306A14">
      <w:pPr>
        <w:pStyle w:val="Heading1"/>
      </w:pPr>
      <w:bookmarkStart w:id="166" w:name="_Toc471460733"/>
      <w:bookmarkStart w:id="167" w:name="_Toc471461300"/>
      <w:r>
        <w:lastRenderedPageBreak/>
        <w:t>Appendix C</w:t>
      </w:r>
      <w:r w:rsidR="005971F2">
        <w:t xml:space="preserve"> </w:t>
      </w:r>
      <w:r w:rsidR="00B33610">
        <w:t>–</w:t>
      </w:r>
      <w:r>
        <w:t xml:space="preserve"> </w:t>
      </w:r>
      <w:r w:rsidR="00077BB3">
        <w:t xml:space="preserve">Key </w:t>
      </w:r>
      <w:r w:rsidR="005971F2">
        <w:t xml:space="preserve">requirements </w:t>
      </w:r>
      <w:r>
        <w:t xml:space="preserve">of </w:t>
      </w:r>
      <w:r w:rsidR="00077BB3">
        <w:t xml:space="preserve">pram and stroller </w:t>
      </w:r>
      <w:r>
        <w:t>standards</w:t>
      </w:r>
      <w:bookmarkEnd w:id="166"/>
      <w:bookmarkEnd w:id="167"/>
    </w:p>
    <w:tbl>
      <w:tblPr>
        <w:tblStyle w:val="LightLi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1678"/>
        <w:gridCol w:w="1486"/>
        <w:gridCol w:w="1542"/>
        <w:gridCol w:w="1692"/>
      </w:tblGrid>
      <w:tr w:rsidR="00976F2A" w:rsidRPr="00C41BBF" w:rsidTr="003D3E09">
        <w:trPr>
          <w:cnfStyle w:val="100000000000" w:firstRow="1" w:lastRow="0" w:firstColumn="0" w:lastColumn="0" w:oddVBand="0" w:evenVBand="0" w:oddHBand="0"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2844" w:type="dxa"/>
            <w:shd w:val="clear" w:color="auto" w:fill="7030A0"/>
            <w:hideMark/>
          </w:tcPr>
          <w:p w:rsidR="00CE3DE6" w:rsidRPr="00C41BBF" w:rsidRDefault="00CE3DE6" w:rsidP="001609B1">
            <w:pPr>
              <w:rPr>
                <w:rFonts w:ascii="Calibri" w:hAnsi="Calibri"/>
              </w:rPr>
            </w:pPr>
            <w:r>
              <w:rPr>
                <w:rFonts w:ascii="Calibri" w:hAnsi="Calibri"/>
              </w:rPr>
              <w:t>Key r</w:t>
            </w:r>
            <w:r w:rsidRPr="00C41BBF">
              <w:rPr>
                <w:rFonts w:ascii="Calibri" w:hAnsi="Calibri"/>
              </w:rPr>
              <w:t>equirement</w:t>
            </w:r>
          </w:p>
        </w:tc>
        <w:tc>
          <w:tcPr>
            <w:tcW w:w="1678" w:type="dxa"/>
            <w:shd w:val="clear" w:color="auto" w:fill="7030A0"/>
            <w:hideMark/>
          </w:tcPr>
          <w:p w:rsidR="00CE3DE6" w:rsidRPr="00C41BBF" w:rsidRDefault="00EF5989" w:rsidP="00EF5989">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Updated voluntary </w:t>
            </w:r>
            <w:r w:rsidR="00CE3DE6" w:rsidRPr="00C41BBF">
              <w:rPr>
                <w:rFonts w:ascii="Calibri" w:hAnsi="Calibri"/>
              </w:rPr>
              <w:t>Australian standard</w:t>
            </w:r>
          </w:p>
        </w:tc>
        <w:tc>
          <w:tcPr>
            <w:tcW w:w="1486" w:type="dxa"/>
            <w:shd w:val="clear" w:color="auto" w:fill="7030A0"/>
            <w:hideMark/>
          </w:tcPr>
          <w:p w:rsidR="00CE3DE6" w:rsidRPr="00C41BBF" w:rsidRDefault="00FA4AA2" w:rsidP="001609B1">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European standard</w:t>
            </w:r>
          </w:p>
        </w:tc>
        <w:tc>
          <w:tcPr>
            <w:tcW w:w="1542" w:type="dxa"/>
            <w:shd w:val="clear" w:color="auto" w:fill="7030A0"/>
          </w:tcPr>
          <w:p w:rsidR="00FA4AA2" w:rsidRPr="00C41BBF" w:rsidRDefault="00CE3DE6" w:rsidP="00FA4AA2">
            <w:pPr>
              <w:ind w:left="33"/>
              <w:cnfStyle w:val="100000000000" w:firstRow="1" w:lastRow="0" w:firstColumn="0" w:lastColumn="0" w:oddVBand="0" w:evenVBand="0" w:oddHBand="0" w:evenHBand="0" w:firstRowFirstColumn="0" w:firstRowLastColumn="0" w:lastRowFirstColumn="0" w:lastRowLastColumn="0"/>
              <w:rPr>
                <w:rFonts w:ascii="Calibri" w:hAnsi="Calibri"/>
                <w:b w:val="0"/>
                <w:bCs w:val="0"/>
              </w:rPr>
            </w:pPr>
            <w:r w:rsidRPr="00C41BBF">
              <w:rPr>
                <w:rFonts w:ascii="Calibri" w:hAnsi="Calibri"/>
              </w:rPr>
              <w:t>AS</w:t>
            </w:r>
            <w:r w:rsidR="00FA4AA2">
              <w:rPr>
                <w:rFonts w:ascii="Calibri" w:hAnsi="Calibri"/>
              </w:rPr>
              <w:t>TM standard</w:t>
            </w:r>
          </w:p>
          <w:p w:rsidR="00CE3DE6" w:rsidRPr="00C41BBF" w:rsidRDefault="00CE3DE6" w:rsidP="001609B1">
            <w:pPr>
              <w:ind w:left="33"/>
              <w:cnfStyle w:val="100000000000" w:firstRow="1" w:lastRow="0" w:firstColumn="0" w:lastColumn="0" w:oddVBand="0" w:evenVBand="0" w:oddHBand="0" w:evenHBand="0" w:firstRowFirstColumn="0" w:firstRowLastColumn="0" w:lastRowFirstColumn="0" w:lastRowLastColumn="0"/>
              <w:rPr>
                <w:rFonts w:ascii="Calibri" w:hAnsi="Calibri"/>
              </w:rPr>
            </w:pPr>
          </w:p>
        </w:tc>
        <w:tc>
          <w:tcPr>
            <w:tcW w:w="1692" w:type="dxa"/>
            <w:shd w:val="clear" w:color="auto" w:fill="7030A0"/>
          </w:tcPr>
          <w:p w:rsidR="00CE3DE6" w:rsidRPr="00C41BBF" w:rsidRDefault="00FA4AA2" w:rsidP="001609B1">
            <w:pPr>
              <w:ind w:left="16"/>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NOTES</w:t>
            </w:r>
          </w:p>
        </w:tc>
      </w:tr>
      <w:tr w:rsidR="001D1694" w:rsidRPr="00C41BBF" w:rsidTr="003D3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4" w:type="dxa"/>
          </w:tcPr>
          <w:p w:rsidR="00CE3DE6" w:rsidRPr="00C41BBF" w:rsidRDefault="00FA4AA2" w:rsidP="001609B1">
            <w:pPr>
              <w:rPr>
                <w:rFonts w:ascii="Calibri" w:hAnsi="Calibri"/>
              </w:rPr>
            </w:pPr>
            <w:r>
              <w:rPr>
                <w:rFonts w:ascii="Calibri" w:hAnsi="Calibri"/>
              </w:rPr>
              <w:t>Definitions</w:t>
            </w:r>
          </w:p>
        </w:tc>
        <w:tc>
          <w:tcPr>
            <w:tcW w:w="1678" w:type="dxa"/>
            <w:hideMark/>
          </w:tcPr>
          <w:p w:rsidR="00CE3DE6" w:rsidRPr="00C41BBF" w:rsidRDefault="00CE3DE6" w:rsidP="001609B1">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r w:rsidR="00DE0FD5">
              <w:rPr>
                <w:rFonts w:ascii="Calibri" w:hAnsi="Calibri"/>
              </w:rPr>
              <w:t>*</w:t>
            </w:r>
            <w:r w:rsidR="006C0F76">
              <w:rPr>
                <w:rFonts w:ascii="Calibri" w:hAnsi="Calibri"/>
              </w:rPr>
              <w:t xml:space="preserve"> - clauses 4.1,4.7,4.8,4.16, 4.17</w:t>
            </w:r>
          </w:p>
        </w:tc>
        <w:tc>
          <w:tcPr>
            <w:tcW w:w="1486" w:type="dxa"/>
            <w:hideMark/>
          </w:tcPr>
          <w:p w:rsidR="00CE3DE6" w:rsidRPr="00C41BBF" w:rsidRDefault="00CE3DE6" w:rsidP="00CE5838">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r w:rsidR="00DE0FD5">
              <w:rPr>
                <w:rFonts w:ascii="Calibri" w:hAnsi="Calibri"/>
              </w:rPr>
              <w:t xml:space="preserve">- Terms and definitions </w:t>
            </w:r>
          </w:p>
        </w:tc>
        <w:tc>
          <w:tcPr>
            <w:tcW w:w="1542" w:type="dxa"/>
          </w:tcPr>
          <w:p w:rsidR="00CE3DE6" w:rsidRPr="00C41BBF" w:rsidRDefault="00CE3DE6" w:rsidP="00CE5838">
            <w:pPr>
              <w:ind w:left="33"/>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r w:rsidR="00DE0FD5">
              <w:rPr>
                <w:rFonts w:ascii="Calibri" w:hAnsi="Calibri"/>
              </w:rPr>
              <w:t>- Terminology and discussion points</w:t>
            </w:r>
          </w:p>
        </w:tc>
        <w:tc>
          <w:tcPr>
            <w:tcW w:w="1692" w:type="dxa"/>
          </w:tcPr>
          <w:p w:rsidR="00CE3DE6" w:rsidRPr="00C41BBF" w:rsidRDefault="00DE0FD5" w:rsidP="00CE5838">
            <w:pPr>
              <w:ind w:left="16"/>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t>
            </w:r>
            <w:r w:rsidR="00CE5838">
              <w:rPr>
                <w:rFonts w:ascii="Calibri" w:hAnsi="Calibri"/>
              </w:rPr>
              <w:t xml:space="preserve">Australian standard defines </w:t>
            </w:r>
            <w:r w:rsidR="0081451E">
              <w:rPr>
                <w:rFonts w:ascii="Calibri" w:hAnsi="Calibri"/>
              </w:rPr>
              <w:t>‘</w:t>
            </w:r>
            <w:r w:rsidR="00976F2A">
              <w:rPr>
                <w:rFonts w:ascii="Calibri" w:hAnsi="Calibri"/>
              </w:rPr>
              <w:t>permanently fixed</w:t>
            </w:r>
            <w:r w:rsidR="0081451E">
              <w:rPr>
                <w:rFonts w:ascii="Calibri" w:hAnsi="Calibri"/>
              </w:rPr>
              <w:t>’</w:t>
            </w:r>
            <w:r w:rsidR="00976F2A">
              <w:rPr>
                <w:rFonts w:ascii="Calibri" w:hAnsi="Calibri"/>
              </w:rPr>
              <w:t xml:space="preserve"> and </w:t>
            </w:r>
            <w:r w:rsidR="0081451E">
              <w:rPr>
                <w:rFonts w:ascii="Calibri" w:hAnsi="Calibri"/>
              </w:rPr>
              <w:t>‘</w:t>
            </w:r>
            <w:r w:rsidR="00976F2A">
              <w:rPr>
                <w:rFonts w:ascii="Calibri" w:hAnsi="Calibri"/>
              </w:rPr>
              <w:t>securely attached</w:t>
            </w:r>
            <w:r w:rsidR="0081451E">
              <w:rPr>
                <w:rFonts w:ascii="Calibri" w:hAnsi="Calibri"/>
              </w:rPr>
              <w:t>’</w:t>
            </w:r>
          </w:p>
        </w:tc>
      </w:tr>
      <w:tr w:rsidR="00DE0FD5" w:rsidRPr="00C41BBF" w:rsidTr="003D3E09">
        <w:tc>
          <w:tcPr>
            <w:cnfStyle w:val="001000000000" w:firstRow="0" w:lastRow="0" w:firstColumn="1" w:lastColumn="0" w:oddVBand="0" w:evenVBand="0" w:oddHBand="0" w:evenHBand="0" w:firstRowFirstColumn="0" w:firstRowLastColumn="0" w:lastRowFirstColumn="0" w:lastRowLastColumn="0"/>
            <w:tcW w:w="2844" w:type="dxa"/>
            <w:shd w:val="clear" w:color="auto" w:fill="DACDED" w:themeFill="accent2" w:themeFillTint="33"/>
          </w:tcPr>
          <w:p w:rsidR="00DE0FD5" w:rsidRDefault="00DE0FD5" w:rsidP="00060E9A">
            <w:pPr>
              <w:rPr>
                <w:rFonts w:ascii="Calibri" w:hAnsi="Calibri"/>
              </w:rPr>
            </w:pPr>
            <w:r>
              <w:rPr>
                <w:rFonts w:ascii="Calibri" w:hAnsi="Calibri"/>
              </w:rPr>
              <w:t>Design and construction</w:t>
            </w:r>
          </w:p>
        </w:tc>
        <w:tc>
          <w:tcPr>
            <w:tcW w:w="1678" w:type="dxa"/>
            <w:shd w:val="clear" w:color="auto" w:fill="DACDED" w:themeFill="accent2" w:themeFillTint="33"/>
          </w:tcPr>
          <w:p w:rsidR="00DE0FD5" w:rsidRPr="00C41BBF" w:rsidRDefault="00DE0FD5" w:rsidP="00060E9A">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486" w:type="dxa"/>
            <w:shd w:val="clear" w:color="auto" w:fill="DACDED" w:themeFill="accent2" w:themeFillTint="33"/>
          </w:tcPr>
          <w:p w:rsidR="00DE0FD5" w:rsidRPr="00C41BBF" w:rsidRDefault="00DE0FD5" w:rsidP="00060E9A">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542" w:type="dxa"/>
            <w:shd w:val="clear" w:color="auto" w:fill="DACDED" w:themeFill="accent2" w:themeFillTint="33"/>
          </w:tcPr>
          <w:p w:rsidR="00DE0FD5" w:rsidRPr="00C41BBF" w:rsidRDefault="00DE0FD5" w:rsidP="00060E9A">
            <w:pPr>
              <w:ind w:left="33"/>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692" w:type="dxa"/>
            <w:shd w:val="clear" w:color="auto" w:fill="DACDED" w:themeFill="accent2" w:themeFillTint="33"/>
          </w:tcPr>
          <w:p w:rsidR="00DE0FD5" w:rsidRPr="00C41BBF" w:rsidRDefault="00DE0FD5" w:rsidP="00060E9A">
            <w:pPr>
              <w:ind w:left="16"/>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1D1694" w:rsidRPr="00C41BBF" w:rsidTr="003D3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4" w:type="dxa"/>
          </w:tcPr>
          <w:p w:rsidR="00CE3DE6" w:rsidRPr="00C41BBF" w:rsidRDefault="00FA4AA2" w:rsidP="001609B1">
            <w:pPr>
              <w:rPr>
                <w:rFonts w:ascii="Calibri" w:hAnsi="Calibri"/>
              </w:rPr>
            </w:pPr>
            <w:r>
              <w:rPr>
                <w:rFonts w:ascii="Calibri" w:hAnsi="Calibri"/>
              </w:rPr>
              <w:t>Parking brakes</w:t>
            </w:r>
          </w:p>
        </w:tc>
        <w:tc>
          <w:tcPr>
            <w:tcW w:w="1678" w:type="dxa"/>
          </w:tcPr>
          <w:p w:rsidR="00CE3DE6" w:rsidRPr="00C41BBF" w:rsidRDefault="00CE3DE6" w:rsidP="001609B1">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r w:rsidR="0081451E">
              <w:rPr>
                <w:rFonts w:ascii="Calibri" w:hAnsi="Calibri"/>
              </w:rPr>
              <w:t>*</w:t>
            </w:r>
            <w:r w:rsidR="009D5FC9">
              <w:rPr>
                <w:rFonts w:ascii="Calibri" w:hAnsi="Calibri"/>
              </w:rPr>
              <w:t>- clauses 8.6; 9.6 (efficiency)</w:t>
            </w:r>
          </w:p>
        </w:tc>
        <w:tc>
          <w:tcPr>
            <w:tcW w:w="1486" w:type="dxa"/>
          </w:tcPr>
          <w:p w:rsidR="00CE3DE6" w:rsidRPr="00C41BBF" w:rsidRDefault="00CE3DE6" w:rsidP="001609B1">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r w:rsidR="0081451E">
              <w:rPr>
                <w:rFonts w:ascii="Calibri" w:hAnsi="Calibri"/>
              </w:rPr>
              <w:t>- clause 8.8</w:t>
            </w:r>
          </w:p>
        </w:tc>
        <w:tc>
          <w:tcPr>
            <w:tcW w:w="1542" w:type="dxa"/>
          </w:tcPr>
          <w:p w:rsidR="00CE3DE6" w:rsidRPr="00C41BBF" w:rsidRDefault="00CE3DE6" w:rsidP="001609B1">
            <w:pPr>
              <w:ind w:left="33"/>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r w:rsidR="00F63D4A">
              <w:rPr>
                <w:rFonts w:ascii="Calibri" w:hAnsi="Calibri"/>
              </w:rPr>
              <w:t>- clause 6.1</w:t>
            </w:r>
          </w:p>
        </w:tc>
        <w:tc>
          <w:tcPr>
            <w:tcW w:w="1692" w:type="dxa"/>
          </w:tcPr>
          <w:p w:rsidR="00CE3DE6" w:rsidRPr="00C41BBF" w:rsidRDefault="0081451E" w:rsidP="00CE5838">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t>
            </w:r>
            <w:r w:rsidR="00CE5838">
              <w:rPr>
                <w:rFonts w:ascii="Calibri" w:hAnsi="Calibri"/>
              </w:rPr>
              <w:t xml:space="preserve">Australian standard </w:t>
            </w:r>
            <w:r w:rsidR="00976F2A">
              <w:rPr>
                <w:rFonts w:ascii="Calibri" w:hAnsi="Calibri"/>
              </w:rPr>
              <w:t>req</w:t>
            </w:r>
            <w:r w:rsidR="00CE5838">
              <w:rPr>
                <w:rFonts w:ascii="Calibri" w:hAnsi="Calibri"/>
              </w:rPr>
              <w:t xml:space="preserve">uires </w:t>
            </w:r>
            <w:r w:rsidR="00976F2A">
              <w:rPr>
                <w:rFonts w:ascii="Calibri" w:hAnsi="Calibri"/>
              </w:rPr>
              <w:t>red brake actuator</w:t>
            </w:r>
          </w:p>
        </w:tc>
      </w:tr>
      <w:tr w:rsidR="00306A14" w:rsidRPr="00C41BBF" w:rsidTr="003D3E09">
        <w:tc>
          <w:tcPr>
            <w:cnfStyle w:val="001000000000" w:firstRow="0" w:lastRow="0" w:firstColumn="1" w:lastColumn="0" w:oddVBand="0" w:evenVBand="0" w:oddHBand="0" w:evenHBand="0" w:firstRowFirstColumn="0" w:firstRowLastColumn="0" w:lastRowFirstColumn="0" w:lastRowLastColumn="0"/>
            <w:tcW w:w="2844" w:type="dxa"/>
          </w:tcPr>
          <w:p w:rsidR="00306A14" w:rsidRDefault="00306A14" w:rsidP="001609B1">
            <w:pPr>
              <w:rPr>
                <w:rFonts w:ascii="Calibri" w:hAnsi="Calibri"/>
              </w:rPr>
            </w:pPr>
            <w:r>
              <w:rPr>
                <w:rFonts w:ascii="Calibri" w:hAnsi="Calibri"/>
              </w:rPr>
              <w:t>Red brake actuator</w:t>
            </w:r>
          </w:p>
        </w:tc>
        <w:tc>
          <w:tcPr>
            <w:tcW w:w="1678" w:type="dxa"/>
          </w:tcPr>
          <w:p w:rsidR="00306A14" w:rsidRDefault="00306A14" w:rsidP="001609B1">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 clause 8.6.2</w:t>
            </w:r>
          </w:p>
        </w:tc>
        <w:tc>
          <w:tcPr>
            <w:tcW w:w="1486" w:type="dxa"/>
          </w:tcPr>
          <w:p w:rsidR="00306A14" w:rsidRDefault="00306A14" w:rsidP="001609B1">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No</w:t>
            </w:r>
          </w:p>
        </w:tc>
        <w:tc>
          <w:tcPr>
            <w:tcW w:w="1542" w:type="dxa"/>
          </w:tcPr>
          <w:p w:rsidR="00306A14" w:rsidRDefault="00306A14" w:rsidP="001609B1">
            <w:pPr>
              <w:ind w:left="33"/>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No</w:t>
            </w:r>
          </w:p>
        </w:tc>
        <w:tc>
          <w:tcPr>
            <w:tcW w:w="1692" w:type="dxa"/>
          </w:tcPr>
          <w:p w:rsidR="00306A14" w:rsidRDefault="00306A14" w:rsidP="00FA4AA2">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1D1694" w:rsidRPr="00C41BBF" w:rsidTr="003D3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4" w:type="dxa"/>
          </w:tcPr>
          <w:p w:rsidR="00CE3DE6" w:rsidRPr="00C41BBF" w:rsidRDefault="00FA4AA2" w:rsidP="001609B1">
            <w:pPr>
              <w:rPr>
                <w:rFonts w:ascii="Calibri" w:hAnsi="Calibri"/>
              </w:rPr>
            </w:pPr>
            <w:r>
              <w:rPr>
                <w:rFonts w:ascii="Calibri" w:hAnsi="Calibri"/>
              </w:rPr>
              <w:t>Occupant retention</w:t>
            </w:r>
            <w:r w:rsidR="0081451E">
              <w:rPr>
                <w:rFonts w:ascii="Calibri" w:hAnsi="Calibri"/>
              </w:rPr>
              <w:t>/child restraint/harness</w:t>
            </w:r>
          </w:p>
        </w:tc>
        <w:tc>
          <w:tcPr>
            <w:tcW w:w="1678" w:type="dxa"/>
            <w:hideMark/>
          </w:tcPr>
          <w:p w:rsidR="00CE3DE6" w:rsidRPr="00C41BBF" w:rsidRDefault="00CE3DE6" w:rsidP="001609B1">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r w:rsidR="0081451E">
              <w:rPr>
                <w:rFonts w:ascii="Calibri" w:hAnsi="Calibri"/>
              </w:rPr>
              <w:t>*</w:t>
            </w:r>
            <w:r w:rsidR="009D5FC9">
              <w:rPr>
                <w:rFonts w:ascii="Calibri" w:hAnsi="Calibri"/>
              </w:rPr>
              <w:t>- clause 8.8</w:t>
            </w:r>
          </w:p>
        </w:tc>
        <w:tc>
          <w:tcPr>
            <w:tcW w:w="1486" w:type="dxa"/>
          </w:tcPr>
          <w:p w:rsidR="00CE3DE6" w:rsidRPr="00C41BBF" w:rsidRDefault="00CE3DE6" w:rsidP="001609B1">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r w:rsidR="0081451E">
              <w:rPr>
                <w:rFonts w:ascii="Calibri" w:hAnsi="Calibri"/>
              </w:rPr>
              <w:t>- clause 8.1.3</w:t>
            </w:r>
          </w:p>
        </w:tc>
        <w:tc>
          <w:tcPr>
            <w:tcW w:w="1542" w:type="dxa"/>
          </w:tcPr>
          <w:p w:rsidR="00CE3DE6" w:rsidRPr="00C41BBF" w:rsidRDefault="00CE3DE6" w:rsidP="001609B1">
            <w:pPr>
              <w:ind w:left="33"/>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r w:rsidR="00F63D4A">
              <w:rPr>
                <w:rFonts w:ascii="Calibri" w:hAnsi="Calibri"/>
              </w:rPr>
              <w:t>- clause 6.4</w:t>
            </w:r>
          </w:p>
        </w:tc>
        <w:tc>
          <w:tcPr>
            <w:tcW w:w="1692" w:type="dxa"/>
          </w:tcPr>
          <w:p w:rsidR="00CE3DE6" w:rsidRPr="00C41BBF" w:rsidRDefault="0081451E" w:rsidP="00CE5838">
            <w:pPr>
              <w:ind w:left="16"/>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t>
            </w:r>
            <w:r w:rsidR="00CE5838">
              <w:rPr>
                <w:rFonts w:ascii="Calibri" w:hAnsi="Calibri"/>
              </w:rPr>
              <w:t xml:space="preserve">Australian standard requires </w:t>
            </w:r>
            <w:r w:rsidR="00976F2A">
              <w:rPr>
                <w:rFonts w:ascii="Calibri" w:hAnsi="Calibri"/>
              </w:rPr>
              <w:t>no loops in harness</w:t>
            </w:r>
          </w:p>
        </w:tc>
      </w:tr>
      <w:tr w:rsidR="001D1694" w:rsidRPr="00C41BBF" w:rsidTr="003D3E09">
        <w:tc>
          <w:tcPr>
            <w:cnfStyle w:val="001000000000" w:firstRow="0" w:lastRow="0" w:firstColumn="1" w:lastColumn="0" w:oddVBand="0" w:evenVBand="0" w:oddHBand="0" w:evenHBand="0" w:firstRowFirstColumn="0" w:firstRowLastColumn="0" w:lastRowFirstColumn="0" w:lastRowLastColumn="0"/>
            <w:tcW w:w="2844" w:type="dxa"/>
          </w:tcPr>
          <w:p w:rsidR="00CE3DE6" w:rsidRPr="00C41BBF" w:rsidRDefault="00FA4AA2" w:rsidP="001609B1">
            <w:pPr>
              <w:rPr>
                <w:rFonts w:ascii="Calibri" w:hAnsi="Calibri"/>
              </w:rPr>
            </w:pPr>
            <w:r>
              <w:rPr>
                <w:rFonts w:ascii="Calibri" w:hAnsi="Calibri"/>
              </w:rPr>
              <w:t>Head barrier</w:t>
            </w:r>
          </w:p>
        </w:tc>
        <w:tc>
          <w:tcPr>
            <w:tcW w:w="1678" w:type="dxa"/>
            <w:hideMark/>
          </w:tcPr>
          <w:p w:rsidR="00CE3DE6" w:rsidRPr="00C41BBF" w:rsidRDefault="00CE3DE6" w:rsidP="001609B1">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r w:rsidR="009D5FC9">
              <w:rPr>
                <w:rFonts w:ascii="Calibri" w:hAnsi="Calibri"/>
              </w:rPr>
              <w:t>- clause 8.9</w:t>
            </w:r>
          </w:p>
        </w:tc>
        <w:tc>
          <w:tcPr>
            <w:tcW w:w="1486" w:type="dxa"/>
            <w:hideMark/>
          </w:tcPr>
          <w:p w:rsidR="00CE3DE6" w:rsidRPr="00C41BBF" w:rsidRDefault="00CE3DE6" w:rsidP="001609B1">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r w:rsidR="0081451E">
              <w:rPr>
                <w:rFonts w:ascii="Calibri" w:hAnsi="Calibri"/>
              </w:rPr>
              <w:t>- clause 8.1.1.2.2</w:t>
            </w:r>
          </w:p>
        </w:tc>
        <w:tc>
          <w:tcPr>
            <w:tcW w:w="1542" w:type="dxa"/>
            <w:shd w:val="clear" w:color="auto" w:fill="auto"/>
          </w:tcPr>
          <w:p w:rsidR="00CE3DE6" w:rsidRPr="00C41BBF" w:rsidRDefault="00036BC8" w:rsidP="001609B1">
            <w:pPr>
              <w:ind w:left="33"/>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r w:rsidR="0081451E">
              <w:rPr>
                <w:rFonts w:ascii="Calibri" w:hAnsi="Calibri"/>
              </w:rPr>
              <w:t>*</w:t>
            </w:r>
            <w:r w:rsidR="00F63D4A">
              <w:rPr>
                <w:rFonts w:ascii="Calibri" w:hAnsi="Calibri"/>
              </w:rPr>
              <w:t>- clause 6.5</w:t>
            </w:r>
          </w:p>
        </w:tc>
        <w:tc>
          <w:tcPr>
            <w:tcW w:w="1692" w:type="dxa"/>
            <w:shd w:val="clear" w:color="auto" w:fill="auto"/>
          </w:tcPr>
          <w:p w:rsidR="00CE3DE6" w:rsidRPr="00C41BBF" w:rsidRDefault="003D3E09" w:rsidP="007B2454">
            <w:pPr>
              <w:ind w:left="16"/>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t>
            </w:r>
            <w:r w:rsidR="00036BC8">
              <w:rPr>
                <w:rFonts w:ascii="Calibri" w:hAnsi="Calibri"/>
              </w:rPr>
              <w:t xml:space="preserve">ASTM </w:t>
            </w:r>
            <w:r>
              <w:rPr>
                <w:rFonts w:ascii="Calibri" w:hAnsi="Calibri"/>
              </w:rPr>
              <w:t xml:space="preserve">standard </w:t>
            </w:r>
            <w:r w:rsidR="007B2454">
              <w:rPr>
                <w:rFonts w:ascii="Calibri" w:hAnsi="Calibri"/>
              </w:rPr>
              <w:t>regulates</w:t>
            </w:r>
            <w:r w:rsidR="00036BC8">
              <w:rPr>
                <w:rFonts w:ascii="Calibri" w:hAnsi="Calibri"/>
              </w:rPr>
              <w:t xml:space="preserve"> ‘occupant retention space’</w:t>
            </w:r>
          </w:p>
        </w:tc>
      </w:tr>
      <w:tr w:rsidR="001D1694" w:rsidRPr="00C41BBF" w:rsidTr="003D3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4" w:type="dxa"/>
          </w:tcPr>
          <w:p w:rsidR="00FA4AA2" w:rsidRDefault="00FA4AA2" w:rsidP="001609B1">
            <w:pPr>
              <w:rPr>
                <w:rFonts w:ascii="Calibri" w:hAnsi="Calibri"/>
              </w:rPr>
            </w:pPr>
            <w:r>
              <w:rPr>
                <w:rFonts w:ascii="Calibri" w:hAnsi="Calibri"/>
              </w:rPr>
              <w:t>Foot end opening</w:t>
            </w:r>
          </w:p>
        </w:tc>
        <w:tc>
          <w:tcPr>
            <w:tcW w:w="1678" w:type="dxa"/>
          </w:tcPr>
          <w:p w:rsidR="00FA4AA2" w:rsidRDefault="00976F2A" w:rsidP="001609B1">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r w:rsidR="009D5FC9">
              <w:rPr>
                <w:rFonts w:ascii="Calibri" w:hAnsi="Calibri"/>
              </w:rPr>
              <w:t xml:space="preserve">-clauses 8.10; 9.7.3 </w:t>
            </w:r>
          </w:p>
        </w:tc>
        <w:tc>
          <w:tcPr>
            <w:tcW w:w="1486" w:type="dxa"/>
          </w:tcPr>
          <w:p w:rsidR="00FA4AA2" w:rsidRDefault="00976F2A" w:rsidP="001609B1">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No</w:t>
            </w:r>
            <w:r w:rsidR="0081451E">
              <w:rPr>
                <w:rFonts w:ascii="Calibri" w:hAnsi="Calibri"/>
              </w:rPr>
              <w:t>*</w:t>
            </w:r>
          </w:p>
        </w:tc>
        <w:tc>
          <w:tcPr>
            <w:tcW w:w="1542" w:type="dxa"/>
            <w:shd w:val="clear" w:color="auto" w:fill="auto"/>
          </w:tcPr>
          <w:p w:rsidR="00FA4AA2" w:rsidRDefault="00976F2A" w:rsidP="001609B1">
            <w:pPr>
              <w:ind w:left="33"/>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r w:rsidR="00F63D4A">
              <w:rPr>
                <w:rFonts w:ascii="Calibri" w:hAnsi="Calibri"/>
              </w:rPr>
              <w:t>- clause 6.8</w:t>
            </w:r>
          </w:p>
        </w:tc>
        <w:tc>
          <w:tcPr>
            <w:tcW w:w="1692" w:type="dxa"/>
            <w:shd w:val="clear" w:color="auto" w:fill="auto"/>
          </w:tcPr>
          <w:p w:rsidR="00FA4AA2" w:rsidRDefault="0081451E" w:rsidP="00CE5838">
            <w:pPr>
              <w:ind w:left="16"/>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t>
            </w:r>
            <w:r w:rsidR="00CE5838">
              <w:rPr>
                <w:rFonts w:ascii="Calibri" w:hAnsi="Calibri"/>
              </w:rPr>
              <w:t>European standard addresses</w:t>
            </w:r>
            <w:r>
              <w:rPr>
                <w:rFonts w:ascii="Calibri" w:hAnsi="Calibri"/>
              </w:rPr>
              <w:t xml:space="preserve"> entrapment between pram and handle</w:t>
            </w:r>
          </w:p>
        </w:tc>
      </w:tr>
      <w:tr w:rsidR="001D1694" w:rsidRPr="00C41BBF" w:rsidTr="003D3E09">
        <w:tc>
          <w:tcPr>
            <w:cnfStyle w:val="001000000000" w:firstRow="0" w:lastRow="0" w:firstColumn="1" w:lastColumn="0" w:oddVBand="0" w:evenVBand="0" w:oddHBand="0" w:evenHBand="0" w:firstRowFirstColumn="0" w:firstRowLastColumn="0" w:lastRowFirstColumn="0" w:lastRowLastColumn="0"/>
            <w:tcW w:w="2844" w:type="dxa"/>
          </w:tcPr>
          <w:p w:rsidR="00FA4AA2" w:rsidRDefault="00FA4AA2" w:rsidP="001609B1">
            <w:pPr>
              <w:rPr>
                <w:rFonts w:ascii="Calibri" w:hAnsi="Calibri"/>
              </w:rPr>
            </w:pPr>
            <w:r>
              <w:rPr>
                <w:rFonts w:ascii="Calibri" w:hAnsi="Calibri"/>
              </w:rPr>
              <w:t>Tether strap</w:t>
            </w:r>
          </w:p>
        </w:tc>
        <w:tc>
          <w:tcPr>
            <w:tcW w:w="1678" w:type="dxa"/>
          </w:tcPr>
          <w:p w:rsidR="00FA4AA2" w:rsidRDefault="00976F2A" w:rsidP="001609B1">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r w:rsidR="009D5FC9">
              <w:rPr>
                <w:rFonts w:ascii="Calibri" w:hAnsi="Calibri"/>
              </w:rPr>
              <w:t>-clause 8.13</w:t>
            </w:r>
          </w:p>
        </w:tc>
        <w:tc>
          <w:tcPr>
            <w:tcW w:w="1486" w:type="dxa"/>
          </w:tcPr>
          <w:p w:rsidR="00FA4AA2" w:rsidRDefault="00976F2A" w:rsidP="001609B1">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No</w:t>
            </w:r>
          </w:p>
        </w:tc>
        <w:tc>
          <w:tcPr>
            <w:tcW w:w="1542" w:type="dxa"/>
            <w:shd w:val="clear" w:color="auto" w:fill="auto"/>
          </w:tcPr>
          <w:p w:rsidR="00FA4AA2" w:rsidRDefault="00976F2A" w:rsidP="001609B1">
            <w:pPr>
              <w:ind w:left="33"/>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No</w:t>
            </w:r>
          </w:p>
        </w:tc>
        <w:tc>
          <w:tcPr>
            <w:tcW w:w="1692" w:type="dxa"/>
            <w:shd w:val="clear" w:color="auto" w:fill="auto"/>
          </w:tcPr>
          <w:p w:rsidR="00FA4AA2" w:rsidRDefault="00FA4AA2" w:rsidP="001609B1">
            <w:pPr>
              <w:ind w:left="16"/>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1D1694" w:rsidRPr="00C41BBF" w:rsidTr="003D3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4" w:type="dxa"/>
          </w:tcPr>
          <w:p w:rsidR="00FA4AA2" w:rsidRDefault="00FA4AA2" w:rsidP="00E22EBF">
            <w:pPr>
              <w:rPr>
                <w:rFonts w:ascii="Calibri" w:hAnsi="Calibri"/>
              </w:rPr>
            </w:pPr>
            <w:r>
              <w:rPr>
                <w:rFonts w:ascii="Calibri" w:hAnsi="Calibri"/>
              </w:rPr>
              <w:t>Gaps</w:t>
            </w:r>
            <w:r w:rsidR="00E22EBF">
              <w:rPr>
                <w:rFonts w:ascii="Calibri" w:hAnsi="Calibri"/>
              </w:rPr>
              <w:t xml:space="preserve"> – </w:t>
            </w:r>
            <w:r>
              <w:rPr>
                <w:rFonts w:ascii="Calibri" w:hAnsi="Calibri"/>
              </w:rPr>
              <w:t>non</w:t>
            </w:r>
            <w:r w:rsidR="00E22EBF">
              <w:rPr>
                <w:rFonts w:ascii="Calibri" w:hAnsi="Calibri"/>
              </w:rPr>
              <w:t xml:space="preserve"> </w:t>
            </w:r>
            <w:r>
              <w:rPr>
                <w:rFonts w:ascii="Calibri" w:hAnsi="Calibri"/>
              </w:rPr>
              <w:t>occupant</w:t>
            </w:r>
            <w:r w:rsidR="00E22EBF">
              <w:rPr>
                <w:rFonts w:ascii="Calibri" w:hAnsi="Calibri"/>
              </w:rPr>
              <w:t xml:space="preserve">: </w:t>
            </w:r>
            <w:r w:rsidR="006A6B2E">
              <w:rPr>
                <w:rFonts w:ascii="Calibri" w:hAnsi="Calibri"/>
              </w:rPr>
              <w:t>scissoring/shearing/pinching</w:t>
            </w:r>
            <w:r w:rsidR="002B0E8D">
              <w:rPr>
                <w:rFonts w:ascii="Calibri" w:hAnsi="Calibri"/>
              </w:rPr>
              <w:t xml:space="preserve"> in folding and unfolding</w:t>
            </w:r>
          </w:p>
        </w:tc>
        <w:tc>
          <w:tcPr>
            <w:tcW w:w="1678" w:type="dxa"/>
          </w:tcPr>
          <w:p w:rsidR="00FA4AA2" w:rsidRDefault="00976F2A" w:rsidP="001609B1">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r w:rsidR="009D5FC9">
              <w:rPr>
                <w:rFonts w:ascii="Calibri" w:hAnsi="Calibri"/>
              </w:rPr>
              <w:t>-clause 8.14</w:t>
            </w:r>
            <w:r w:rsidR="002B0E8D">
              <w:rPr>
                <w:rFonts w:ascii="Calibri" w:hAnsi="Calibri"/>
              </w:rPr>
              <w:t xml:space="preserve"> although no test is referenced and is design requirement only to ‘minimise hazard’ during this process</w:t>
            </w:r>
          </w:p>
        </w:tc>
        <w:tc>
          <w:tcPr>
            <w:tcW w:w="1486" w:type="dxa"/>
          </w:tcPr>
          <w:p w:rsidR="00FA4AA2" w:rsidRDefault="00C32FC8" w:rsidP="001609B1">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No</w:t>
            </w:r>
            <w:r w:rsidR="00306A14">
              <w:rPr>
                <w:rFonts w:ascii="Calibri" w:hAnsi="Calibri"/>
              </w:rPr>
              <w:t>*</w:t>
            </w:r>
            <w:r>
              <w:rPr>
                <w:rFonts w:ascii="Calibri" w:hAnsi="Calibri"/>
              </w:rPr>
              <w:t xml:space="preserve"> </w:t>
            </w:r>
          </w:p>
        </w:tc>
        <w:tc>
          <w:tcPr>
            <w:tcW w:w="1542" w:type="dxa"/>
            <w:shd w:val="clear" w:color="auto" w:fill="auto"/>
          </w:tcPr>
          <w:p w:rsidR="00FA4AA2" w:rsidRDefault="00C32FC8" w:rsidP="001609B1">
            <w:pPr>
              <w:ind w:left="33"/>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No</w:t>
            </w:r>
            <w:r w:rsidR="00306A14">
              <w:rPr>
                <w:rFonts w:ascii="Calibri" w:hAnsi="Calibri"/>
              </w:rPr>
              <w:t>*</w:t>
            </w:r>
          </w:p>
        </w:tc>
        <w:tc>
          <w:tcPr>
            <w:tcW w:w="1692" w:type="dxa"/>
            <w:shd w:val="clear" w:color="auto" w:fill="auto"/>
          </w:tcPr>
          <w:p w:rsidR="002B0E8D" w:rsidRPr="00306A14" w:rsidRDefault="003D3E09" w:rsidP="003D3E09">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t>
            </w:r>
            <w:r w:rsidR="006A6B2E">
              <w:rPr>
                <w:rFonts w:ascii="Calibri" w:hAnsi="Calibri"/>
              </w:rPr>
              <w:t xml:space="preserve">addressed in ASTM </w:t>
            </w:r>
            <w:r>
              <w:rPr>
                <w:rFonts w:ascii="Calibri" w:hAnsi="Calibri"/>
              </w:rPr>
              <w:t xml:space="preserve">standard </w:t>
            </w:r>
            <w:r w:rsidR="006A6B2E">
              <w:rPr>
                <w:rFonts w:ascii="Calibri" w:hAnsi="Calibri"/>
              </w:rPr>
              <w:t xml:space="preserve">as </w:t>
            </w:r>
            <w:r>
              <w:rPr>
                <w:rFonts w:ascii="Calibri" w:hAnsi="Calibri"/>
              </w:rPr>
              <w:t xml:space="preserve">an </w:t>
            </w:r>
            <w:r w:rsidR="002B0E8D">
              <w:rPr>
                <w:rFonts w:ascii="Calibri" w:hAnsi="Calibri"/>
              </w:rPr>
              <w:t>unintentional folding</w:t>
            </w:r>
            <w:r w:rsidR="006A6B2E">
              <w:rPr>
                <w:rFonts w:ascii="Calibri" w:hAnsi="Calibri"/>
              </w:rPr>
              <w:t xml:space="preserve"> issue</w:t>
            </w:r>
            <w:r w:rsidR="002B0E8D">
              <w:rPr>
                <w:rFonts w:ascii="Calibri" w:hAnsi="Calibri"/>
              </w:rPr>
              <w:t xml:space="preserve"> and </w:t>
            </w:r>
            <w:r>
              <w:rPr>
                <w:rFonts w:ascii="Calibri" w:hAnsi="Calibri"/>
              </w:rPr>
              <w:t xml:space="preserve">in the European standard </w:t>
            </w:r>
            <w:r w:rsidR="002B0E8D">
              <w:rPr>
                <w:rFonts w:ascii="Calibri" w:hAnsi="Calibri"/>
              </w:rPr>
              <w:t>as</w:t>
            </w:r>
            <w:r>
              <w:rPr>
                <w:rFonts w:ascii="Calibri" w:hAnsi="Calibri"/>
              </w:rPr>
              <w:t xml:space="preserve"> a</w:t>
            </w:r>
            <w:r w:rsidR="002B0E8D">
              <w:rPr>
                <w:rFonts w:ascii="Calibri" w:hAnsi="Calibri"/>
              </w:rPr>
              <w:t xml:space="preserve"> locking mechanism issue (see below)</w:t>
            </w:r>
          </w:p>
        </w:tc>
      </w:tr>
      <w:tr w:rsidR="003D3E09" w:rsidRPr="003D3E09" w:rsidTr="00DD07A2">
        <w:trPr>
          <w:trHeight w:val="899"/>
        </w:trPr>
        <w:tc>
          <w:tcPr>
            <w:cnfStyle w:val="001000000000" w:firstRow="0" w:lastRow="0" w:firstColumn="1" w:lastColumn="0" w:oddVBand="0" w:evenVBand="0" w:oddHBand="0" w:evenHBand="0" w:firstRowFirstColumn="0" w:firstRowLastColumn="0" w:lastRowFirstColumn="0" w:lastRowLastColumn="0"/>
            <w:tcW w:w="2844" w:type="dxa"/>
            <w:shd w:val="clear" w:color="auto" w:fill="7030A0"/>
            <w:hideMark/>
          </w:tcPr>
          <w:p w:rsidR="003D3E09" w:rsidRPr="00C41BBF" w:rsidRDefault="003D3E09" w:rsidP="00DD07A2">
            <w:pPr>
              <w:rPr>
                <w:rFonts w:ascii="Calibri" w:hAnsi="Calibri"/>
              </w:rPr>
            </w:pPr>
            <w:r w:rsidRPr="003D3E09">
              <w:rPr>
                <w:rFonts w:ascii="Calibri" w:hAnsi="Calibri"/>
                <w:color w:val="FFFFFF" w:themeColor="background1"/>
              </w:rPr>
              <w:lastRenderedPageBreak/>
              <w:t>Key requirement</w:t>
            </w:r>
          </w:p>
        </w:tc>
        <w:tc>
          <w:tcPr>
            <w:tcW w:w="1678" w:type="dxa"/>
            <w:shd w:val="clear" w:color="auto" w:fill="7030A0"/>
            <w:hideMark/>
          </w:tcPr>
          <w:p w:rsidR="003D3E09" w:rsidRPr="003D3E09" w:rsidRDefault="003D3E09" w:rsidP="00DD07A2">
            <w:pP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rPr>
            </w:pPr>
            <w:r w:rsidRPr="003D3E09">
              <w:rPr>
                <w:rFonts w:ascii="Calibri" w:hAnsi="Calibri"/>
                <w:color w:val="FFFFFF" w:themeColor="background1"/>
              </w:rPr>
              <w:t>Updated voluntary Australian standard</w:t>
            </w:r>
          </w:p>
        </w:tc>
        <w:tc>
          <w:tcPr>
            <w:tcW w:w="1486" w:type="dxa"/>
            <w:shd w:val="clear" w:color="auto" w:fill="7030A0"/>
            <w:hideMark/>
          </w:tcPr>
          <w:p w:rsidR="003D3E09" w:rsidRPr="00C41BBF" w:rsidRDefault="003D3E09" w:rsidP="00DD07A2">
            <w:pPr>
              <w:cnfStyle w:val="000000000000" w:firstRow="0" w:lastRow="0" w:firstColumn="0" w:lastColumn="0" w:oddVBand="0" w:evenVBand="0" w:oddHBand="0" w:evenHBand="0" w:firstRowFirstColumn="0" w:firstRowLastColumn="0" w:lastRowFirstColumn="0" w:lastRowLastColumn="0"/>
              <w:rPr>
                <w:rFonts w:ascii="Calibri" w:hAnsi="Calibri"/>
              </w:rPr>
            </w:pPr>
            <w:r w:rsidRPr="003D3E09">
              <w:rPr>
                <w:rFonts w:ascii="Calibri" w:hAnsi="Calibri"/>
                <w:color w:val="FFFFFF" w:themeColor="background1"/>
              </w:rPr>
              <w:t>European standard</w:t>
            </w:r>
          </w:p>
        </w:tc>
        <w:tc>
          <w:tcPr>
            <w:tcW w:w="1542" w:type="dxa"/>
            <w:shd w:val="clear" w:color="auto" w:fill="7030A0"/>
          </w:tcPr>
          <w:p w:rsidR="003D3E09" w:rsidRPr="003D3E09" w:rsidRDefault="003D3E09" w:rsidP="003D3E09">
            <w:pP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rPr>
            </w:pPr>
            <w:r w:rsidRPr="003D3E09">
              <w:rPr>
                <w:rFonts w:ascii="Calibri" w:hAnsi="Calibri"/>
                <w:color w:val="FFFFFF" w:themeColor="background1"/>
              </w:rPr>
              <w:t>ASTM standard</w:t>
            </w:r>
          </w:p>
          <w:p w:rsidR="003D3E09" w:rsidRPr="00C41BBF" w:rsidRDefault="003D3E09" w:rsidP="00DD07A2">
            <w:pPr>
              <w:ind w:left="33"/>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692" w:type="dxa"/>
            <w:shd w:val="clear" w:color="auto" w:fill="7030A0"/>
          </w:tcPr>
          <w:p w:rsidR="003D3E09" w:rsidRPr="003D3E09" w:rsidRDefault="003D3E09" w:rsidP="003D3E09">
            <w:pP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rPr>
            </w:pPr>
            <w:r w:rsidRPr="003D3E09">
              <w:rPr>
                <w:rFonts w:ascii="Calibri" w:hAnsi="Calibri"/>
                <w:color w:val="FFFFFF" w:themeColor="background1"/>
              </w:rPr>
              <w:t>NOTES</w:t>
            </w:r>
          </w:p>
        </w:tc>
      </w:tr>
      <w:tr w:rsidR="00976F2A" w:rsidRPr="00C41BBF" w:rsidTr="003D3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4" w:type="dxa"/>
            <w:shd w:val="clear" w:color="auto" w:fill="DACDED" w:themeFill="accent2" w:themeFillTint="33"/>
          </w:tcPr>
          <w:p w:rsidR="00CE3DE6" w:rsidRPr="003D3E09" w:rsidRDefault="00CE3DE6" w:rsidP="001609B1">
            <w:pPr>
              <w:rPr>
                <w:rFonts w:ascii="Calibri" w:hAnsi="Calibri"/>
              </w:rPr>
            </w:pPr>
            <w:r w:rsidRPr="003D3E09">
              <w:rPr>
                <w:rFonts w:ascii="Calibri" w:hAnsi="Calibri"/>
              </w:rPr>
              <w:t>Performance</w:t>
            </w:r>
          </w:p>
        </w:tc>
        <w:tc>
          <w:tcPr>
            <w:tcW w:w="1678" w:type="dxa"/>
            <w:shd w:val="clear" w:color="auto" w:fill="DACDED" w:themeFill="accent2" w:themeFillTint="33"/>
          </w:tcPr>
          <w:p w:rsidR="00CE3DE6" w:rsidRPr="00C41BBF" w:rsidRDefault="00CE3DE6" w:rsidP="001609B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486" w:type="dxa"/>
            <w:shd w:val="clear" w:color="auto" w:fill="DACDED" w:themeFill="accent2" w:themeFillTint="33"/>
          </w:tcPr>
          <w:p w:rsidR="00CE3DE6" w:rsidRPr="00C41BBF" w:rsidRDefault="00CE3DE6" w:rsidP="001609B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542" w:type="dxa"/>
            <w:shd w:val="clear" w:color="auto" w:fill="DACDED" w:themeFill="accent2" w:themeFillTint="33"/>
          </w:tcPr>
          <w:p w:rsidR="00CE3DE6" w:rsidRPr="00C41BBF" w:rsidRDefault="00CE3DE6" w:rsidP="001609B1">
            <w:pPr>
              <w:ind w:left="33"/>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692" w:type="dxa"/>
            <w:shd w:val="clear" w:color="auto" w:fill="DACDED" w:themeFill="accent2" w:themeFillTint="33"/>
          </w:tcPr>
          <w:p w:rsidR="00CE3DE6" w:rsidRPr="00C41BBF" w:rsidRDefault="00CE3DE6" w:rsidP="001609B1">
            <w:pPr>
              <w:ind w:left="16"/>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1D1694" w:rsidRPr="00C41BBF" w:rsidTr="003D3E09">
        <w:tc>
          <w:tcPr>
            <w:cnfStyle w:val="001000000000" w:firstRow="0" w:lastRow="0" w:firstColumn="1" w:lastColumn="0" w:oddVBand="0" w:evenVBand="0" w:oddHBand="0" w:evenHBand="0" w:firstRowFirstColumn="0" w:firstRowLastColumn="0" w:lastRowFirstColumn="0" w:lastRowLastColumn="0"/>
            <w:tcW w:w="2844" w:type="dxa"/>
          </w:tcPr>
          <w:p w:rsidR="00CE3DE6" w:rsidRDefault="00FA4AA2" w:rsidP="001609B1">
            <w:pPr>
              <w:rPr>
                <w:rFonts w:ascii="Calibri" w:hAnsi="Calibri"/>
              </w:rPr>
            </w:pPr>
            <w:r>
              <w:rPr>
                <w:rFonts w:ascii="Calibri" w:hAnsi="Calibri"/>
              </w:rPr>
              <w:t xml:space="preserve">Gaps </w:t>
            </w:r>
            <w:r w:rsidR="00976F2A">
              <w:rPr>
                <w:rFonts w:ascii="Calibri" w:hAnsi="Calibri"/>
              </w:rPr>
              <w:t>–</w:t>
            </w:r>
            <w:r>
              <w:rPr>
                <w:rFonts w:ascii="Calibri" w:hAnsi="Calibri"/>
              </w:rPr>
              <w:t xml:space="preserve"> occupant</w:t>
            </w:r>
            <w:r w:rsidR="00976F2A">
              <w:rPr>
                <w:rFonts w:ascii="Calibri" w:hAnsi="Calibri"/>
              </w:rPr>
              <w:t>: scissoring shearing pinching</w:t>
            </w:r>
          </w:p>
        </w:tc>
        <w:tc>
          <w:tcPr>
            <w:tcW w:w="1678" w:type="dxa"/>
          </w:tcPr>
          <w:p w:rsidR="00CE3DE6" w:rsidRPr="00C41BBF" w:rsidRDefault="00CE3DE6" w:rsidP="001609B1">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r w:rsidR="009D5FC9">
              <w:rPr>
                <w:rFonts w:ascii="Calibri" w:hAnsi="Calibri"/>
              </w:rPr>
              <w:t>-clause 9.5</w:t>
            </w:r>
          </w:p>
        </w:tc>
        <w:tc>
          <w:tcPr>
            <w:tcW w:w="1486" w:type="dxa"/>
          </w:tcPr>
          <w:p w:rsidR="00CE3DE6" w:rsidRPr="00C41BBF" w:rsidRDefault="00C32FC8" w:rsidP="001609B1">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r w:rsidR="0081451E">
              <w:rPr>
                <w:rFonts w:ascii="Calibri" w:hAnsi="Calibri"/>
              </w:rPr>
              <w:t>- clauses 8.3; 8.2.3 (wheels)</w:t>
            </w:r>
          </w:p>
        </w:tc>
        <w:tc>
          <w:tcPr>
            <w:tcW w:w="1542" w:type="dxa"/>
          </w:tcPr>
          <w:p w:rsidR="00CE3DE6" w:rsidRPr="00C41BBF" w:rsidRDefault="00CE3DE6" w:rsidP="001609B1">
            <w:pPr>
              <w:ind w:left="33"/>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r w:rsidR="00F63D4A">
              <w:rPr>
                <w:rFonts w:ascii="Calibri" w:hAnsi="Calibri"/>
              </w:rPr>
              <w:t>- clauses</w:t>
            </w:r>
            <w:r w:rsidR="002B0E8D">
              <w:rPr>
                <w:rFonts w:ascii="Calibri" w:hAnsi="Calibri"/>
              </w:rPr>
              <w:t xml:space="preserve"> </w:t>
            </w:r>
            <w:r w:rsidR="00F63D4A">
              <w:rPr>
                <w:rFonts w:ascii="Calibri" w:hAnsi="Calibri"/>
              </w:rPr>
              <w:t>5.7; 7.15</w:t>
            </w:r>
          </w:p>
        </w:tc>
        <w:tc>
          <w:tcPr>
            <w:tcW w:w="1692" w:type="dxa"/>
          </w:tcPr>
          <w:p w:rsidR="00CE3DE6" w:rsidRPr="00C41BBF" w:rsidRDefault="00CE3DE6" w:rsidP="001609B1">
            <w:pPr>
              <w:ind w:left="16"/>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1D1694" w:rsidRPr="00C41BBF" w:rsidTr="003D3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4" w:type="dxa"/>
          </w:tcPr>
          <w:p w:rsidR="00CE3DE6" w:rsidRDefault="00FA4AA2" w:rsidP="001609B1">
            <w:pPr>
              <w:rPr>
                <w:rFonts w:ascii="Calibri" w:hAnsi="Calibri"/>
              </w:rPr>
            </w:pPr>
            <w:r>
              <w:rPr>
                <w:rFonts w:ascii="Calibri" w:hAnsi="Calibri"/>
              </w:rPr>
              <w:t>Head barrier efficacy</w:t>
            </w:r>
          </w:p>
        </w:tc>
        <w:tc>
          <w:tcPr>
            <w:tcW w:w="1678" w:type="dxa"/>
          </w:tcPr>
          <w:p w:rsidR="00CE3DE6" w:rsidRPr="00C41BBF" w:rsidRDefault="00CE3DE6" w:rsidP="001609B1">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r w:rsidR="009D5FC9">
              <w:rPr>
                <w:rFonts w:ascii="Calibri" w:hAnsi="Calibri"/>
              </w:rPr>
              <w:t>-clause 9.7.2</w:t>
            </w:r>
          </w:p>
        </w:tc>
        <w:tc>
          <w:tcPr>
            <w:tcW w:w="1486" w:type="dxa"/>
          </w:tcPr>
          <w:p w:rsidR="00CE3DE6" w:rsidRPr="00C41BBF" w:rsidRDefault="00CE3DE6" w:rsidP="001609B1">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r w:rsidR="0081451E">
              <w:rPr>
                <w:rFonts w:ascii="Calibri" w:hAnsi="Calibri"/>
              </w:rPr>
              <w:t>- clause 8.1.1.2.2</w:t>
            </w:r>
          </w:p>
        </w:tc>
        <w:tc>
          <w:tcPr>
            <w:tcW w:w="1542" w:type="dxa"/>
          </w:tcPr>
          <w:p w:rsidR="00CE3DE6" w:rsidRPr="00C41BBF" w:rsidRDefault="00DE0FD5" w:rsidP="001609B1">
            <w:pPr>
              <w:ind w:left="33"/>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No*</w:t>
            </w:r>
          </w:p>
        </w:tc>
        <w:tc>
          <w:tcPr>
            <w:tcW w:w="1692" w:type="dxa"/>
          </w:tcPr>
          <w:p w:rsidR="00CE3DE6" w:rsidRPr="00C41BBF" w:rsidRDefault="00DE0FD5" w:rsidP="001609B1">
            <w:pPr>
              <w:ind w:left="16"/>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*Occupant retention space regulated</w:t>
            </w:r>
          </w:p>
        </w:tc>
      </w:tr>
      <w:tr w:rsidR="001D1694" w:rsidRPr="00C41BBF" w:rsidTr="003D3E09">
        <w:tc>
          <w:tcPr>
            <w:cnfStyle w:val="001000000000" w:firstRow="0" w:lastRow="0" w:firstColumn="1" w:lastColumn="0" w:oddVBand="0" w:evenVBand="0" w:oddHBand="0" w:evenHBand="0" w:firstRowFirstColumn="0" w:firstRowLastColumn="0" w:lastRowFirstColumn="0" w:lastRowLastColumn="0"/>
            <w:tcW w:w="2844" w:type="dxa"/>
          </w:tcPr>
          <w:p w:rsidR="00CE3DE6" w:rsidRDefault="00FA4AA2" w:rsidP="001609B1">
            <w:pPr>
              <w:rPr>
                <w:rFonts w:ascii="Calibri" w:hAnsi="Calibri"/>
              </w:rPr>
            </w:pPr>
            <w:r>
              <w:rPr>
                <w:rFonts w:ascii="Calibri" w:hAnsi="Calibri"/>
              </w:rPr>
              <w:t>Stability</w:t>
            </w:r>
          </w:p>
        </w:tc>
        <w:tc>
          <w:tcPr>
            <w:tcW w:w="1678" w:type="dxa"/>
          </w:tcPr>
          <w:p w:rsidR="00CE3DE6" w:rsidRPr="00C41BBF" w:rsidRDefault="00CE3DE6" w:rsidP="001609B1">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r w:rsidR="009D5FC9">
              <w:rPr>
                <w:rFonts w:ascii="Calibri" w:hAnsi="Calibri"/>
              </w:rPr>
              <w:t>- clause 9.8</w:t>
            </w:r>
          </w:p>
        </w:tc>
        <w:tc>
          <w:tcPr>
            <w:tcW w:w="1486" w:type="dxa"/>
          </w:tcPr>
          <w:p w:rsidR="00CE3DE6" w:rsidRPr="00C41BBF" w:rsidRDefault="00C32FC8" w:rsidP="001609B1">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r w:rsidR="0081451E">
              <w:rPr>
                <w:rFonts w:ascii="Calibri" w:hAnsi="Calibri"/>
              </w:rPr>
              <w:t>- clause 8.9</w:t>
            </w:r>
          </w:p>
        </w:tc>
        <w:tc>
          <w:tcPr>
            <w:tcW w:w="1542" w:type="dxa"/>
          </w:tcPr>
          <w:p w:rsidR="00CE3DE6" w:rsidRPr="00C41BBF" w:rsidRDefault="00CE3DE6" w:rsidP="001609B1">
            <w:pPr>
              <w:ind w:left="33"/>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r w:rsidR="00F63D4A">
              <w:rPr>
                <w:rFonts w:ascii="Calibri" w:hAnsi="Calibri"/>
              </w:rPr>
              <w:t>- clause 6.3</w:t>
            </w:r>
          </w:p>
        </w:tc>
        <w:tc>
          <w:tcPr>
            <w:tcW w:w="1692" w:type="dxa"/>
          </w:tcPr>
          <w:p w:rsidR="00CE3DE6" w:rsidRPr="00C41BBF" w:rsidRDefault="00CE3DE6" w:rsidP="001609B1">
            <w:pPr>
              <w:ind w:left="16"/>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1D1694" w:rsidRPr="00C41BBF" w:rsidTr="003D3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4" w:type="dxa"/>
          </w:tcPr>
          <w:p w:rsidR="00CE3DE6" w:rsidRDefault="00FA4AA2" w:rsidP="001609B1">
            <w:pPr>
              <w:rPr>
                <w:rFonts w:ascii="Calibri" w:hAnsi="Calibri"/>
              </w:rPr>
            </w:pPr>
            <w:r>
              <w:rPr>
                <w:rFonts w:ascii="Calibri" w:hAnsi="Calibri"/>
              </w:rPr>
              <w:t>Security of latching/locking mechanisms</w:t>
            </w:r>
          </w:p>
        </w:tc>
        <w:tc>
          <w:tcPr>
            <w:tcW w:w="1678" w:type="dxa"/>
          </w:tcPr>
          <w:p w:rsidR="00CE3DE6" w:rsidRPr="00C41BBF" w:rsidRDefault="00CE3DE6" w:rsidP="001609B1">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r w:rsidR="009D5FC9">
              <w:rPr>
                <w:rFonts w:ascii="Calibri" w:hAnsi="Calibri"/>
              </w:rPr>
              <w:t>- clauses 9.11;  9.12</w:t>
            </w:r>
            <w:r w:rsidR="006C0F76">
              <w:rPr>
                <w:rFonts w:ascii="Calibri" w:hAnsi="Calibri"/>
              </w:rPr>
              <w:t>, 9.13, 9.14,9.15</w:t>
            </w:r>
          </w:p>
        </w:tc>
        <w:tc>
          <w:tcPr>
            <w:tcW w:w="1486" w:type="dxa"/>
          </w:tcPr>
          <w:p w:rsidR="00CE3DE6" w:rsidRPr="00C41BBF" w:rsidRDefault="00CE3DE6" w:rsidP="001609B1">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r w:rsidR="0081451E">
              <w:rPr>
                <w:rFonts w:ascii="Calibri" w:hAnsi="Calibri"/>
              </w:rPr>
              <w:t xml:space="preserve">- clauses </w:t>
            </w:r>
            <w:r w:rsidR="00F63D4A">
              <w:rPr>
                <w:rFonts w:ascii="Calibri" w:hAnsi="Calibri"/>
              </w:rPr>
              <w:t>8.10.4; 8.3.3.1.2</w:t>
            </w:r>
          </w:p>
        </w:tc>
        <w:tc>
          <w:tcPr>
            <w:tcW w:w="1542" w:type="dxa"/>
          </w:tcPr>
          <w:p w:rsidR="00CE3DE6" w:rsidRPr="00C41BBF" w:rsidRDefault="00CE3DE6" w:rsidP="001609B1">
            <w:pPr>
              <w:ind w:left="33"/>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r w:rsidR="00F63D4A">
              <w:rPr>
                <w:rFonts w:ascii="Calibri" w:hAnsi="Calibri"/>
              </w:rPr>
              <w:t>- clause 6.7; 7.2</w:t>
            </w:r>
          </w:p>
        </w:tc>
        <w:tc>
          <w:tcPr>
            <w:tcW w:w="1692" w:type="dxa"/>
          </w:tcPr>
          <w:p w:rsidR="00CE3DE6" w:rsidRPr="00C41BBF" w:rsidRDefault="00CE3DE6" w:rsidP="001609B1">
            <w:pPr>
              <w:ind w:left="16"/>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976F2A" w:rsidRPr="00C41BBF" w:rsidTr="003D3E09">
        <w:tc>
          <w:tcPr>
            <w:cnfStyle w:val="001000000000" w:firstRow="0" w:lastRow="0" w:firstColumn="1" w:lastColumn="0" w:oddVBand="0" w:evenVBand="0" w:oddHBand="0" w:evenHBand="0" w:firstRowFirstColumn="0" w:firstRowLastColumn="0" w:lastRowFirstColumn="0" w:lastRowLastColumn="0"/>
            <w:tcW w:w="2844" w:type="dxa"/>
            <w:shd w:val="clear" w:color="auto" w:fill="DACDED" w:themeFill="accent2" w:themeFillTint="33"/>
          </w:tcPr>
          <w:p w:rsidR="00CE3DE6" w:rsidRDefault="00B06817" w:rsidP="001609B1">
            <w:pPr>
              <w:rPr>
                <w:rFonts w:ascii="Calibri" w:hAnsi="Calibri"/>
              </w:rPr>
            </w:pPr>
            <w:r>
              <w:rPr>
                <w:rFonts w:ascii="Calibri" w:hAnsi="Calibri"/>
              </w:rPr>
              <w:t>Information</w:t>
            </w:r>
          </w:p>
        </w:tc>
        <w:tc>
          <w:tcPr>
            <w:tcW w:w="1678" w:type="dxa"/>
            <w:shd w:val="clear" w:color="auto" w:fill="DACDED" w:themeFill="accent2" w:themeFillTint="33"/>
          </w:tcPr>
          <w:p w:rsidR="00CE3DE6" w:rsidRPr="00C41BBF" w:rsidRDefault="00CE3DE6" w:rsidP="001609B1">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486" w:type="dxa"/>
            <w:shd w:val="clear" w:color="auto" w:fill="DACDED" w:themeFill="accent2" w:themeFillTint="33"/>
          </w:tcPr>
          <w:p w:rsidR="00CE3DE6" w:rsidRPr="00C41BBF" w:rsidRDefault="00CE3DE6" w:rsidP="001609B1">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542" w:type="dxa"/>
            <w:shd w:val="clear" w:color="auto" w:fill="DACDED" w:themeFill="accent2" w:themeFillTint="33"/>
          </w:tcPr>
          <w:p w:rsidR="00CE3DE6" w:rsidRPr="00C41BBF" w:rsidRDefault="00CE3DE6" w:rsidP="001609B1">
            <w:pPr>
              <w:ind w:left="33"/>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692" w:type="dxa"/>
            <w:shd w:val="clear" w:color="auto" w:fill="DACDED" w:themeFill="accent2" w:themeFillTint="33"/>
          </w:tcPr>
          <w:p w:rsidR="00CE3DE6" w:rsidRPr="00C41BBF" w:rsidRDefault="00CE3DE6" w:rsidP="001609B1">
            <w:pPr>
              <w:ind w:left="16"/>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1D1694" w:rsidRPr="00C41BBF" w:rsidTr="003D3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4" w:type="dxa"/>
            <w:shd w:val="clear" w:color="auto" w:fill="FFFFFF" w:themeFill="background1"/>
          </w:tcPr>
          <w:p w:rsidR="001D1694" w:rsidRDefault="00B06817" w:rsidP="001609B1">
            <w:pPr>
              <w:rPr>
                <w:rFonts w:ascii="Calibri" w:hAnsi="Calibri"/>
              </w:rPr>
            </w:pPr>
            <w:r>
              <w:rPr>
                <w:rFonts w:ascii="Calibri" w:hAnsi="Calibri"/>
              </w:rPr>
              <w:t>Markings</w:t>
            </w:r>
          </w:p>
        </w:tc>
        <w:tc>
          <w:tcPr>
            <w:tcW w:w="1678" w:type="dxa"/>
            <w:shd w:val="clear" w:color="auto" w:fill="FFFFFF" w:themeFill="background1"/>
          </w:tcPr>
          <w:p w:rsidR="001D1694" w:rsidRPr="00C41BBF" w:rsidRDefault="00B06817" w:rsidP="001609B1">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r w:rsidR="009D5FC9">
              <w:rPr>
                <w:rFonts w:ascii="Calibri" w:hAnsi="Calibri"/>
              </w:rPr>
              <w:t>- clause 12.1.1</w:t>
            </w:r>
          </w:p>
        </w:tc>
        <w:tc>
          <w:tcPr>
            <w:tcW w:w="1486" w:type="dxa"/>
            <w:shd w:val="clear" w:color="auto" w:fill="FFFFFF" w:themeFill="background1"/>
          </w:tcPr>
          <w:p w:rsidR="001D1694" w:rsidRPr="00C41BBF" w:rsidRDefault="00B06817" w:rsidP="001609B1">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r w:rsidR="00F63D4A">
              <w:rPr>
                <w:rFonts w:ascii="Calibri" w:hAnsi="Calibri"/>
              </w:rPr>
              <w:t>- clause 10.2</w:t>
            </w:r>
          </w:p>
        </w:tc>
        <w:tc>
          <w:tcPr>
            <w:tcW w:w="1542" w:type="dxa"/>
            <w:shd w:val="clear" w:color="auto" w:fill="FFFFFF" w:themeFill="background1"/>
          </w:tcPr>
          <w:p w:rsidR="001D1694" w:rsidRPr="00C41BBF" w:rsidRDefault="00B06817" w:rsidP="001609B1">
            <w:pPr>
              <w:ind w:left="33"/>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Yes</w:t>
            </w:r>
            <w:r w:rsidR="00F63D4A">
              <w:rPr>
                <w:rFonts w:ascii="Calibri" w:hAnsi="Calibri"/>
              </w:rPr>
              <w:t>-clause 8</w:t>
            </w:r>
          </w:p>
        </w:tc>
        <w:tc>
          <w:tcPr>
            <w:tcW w:w="1692" w:type="dxa"/>
            <w:shd w:val="clear" w:color="auto" w:fill="FFFFFF" w:themeFill="background1"/>
          </w:tcPr>
          <w:p w:rsidR="001D1694" w:rsidRPr="00C41BBF" w:rsidRDefault="00B06817" w:rsidP="003D3E09">
            <w:pPr>
              <w:ind w:left="16"/>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Wording differs</w:t>
            </w:r>
            <w:r w:rsidR="002706D3">
              <w:rPr>
                <w:rFonts w:ascii="Calibri" w:hAnsi="Calibri"/>
              </w:rPr>
              <w:t xml:space="preserve"> </w:t>
            </w:r>
          </w:p>
        </w:tc>
      </w:tr>
      <w:tr w:rsidR="001D1694" w:rsidRPr="00C41BBF" w:rsidTr="003D3E09">
        <w:tc>
          <w:tcPr>
            <w:cnfStyle w:val="001000000000" w:firstRow="0" w:lastRow="0" w:firstColumn="1" w:lastColumn="0" w:oddVBand="0" w:evenVBand="0" w:oddHBand="0" w:evenHBand="0" w:firstRowFirstColumn="0" w:firstRowLastColumn="0" w:lastRowFirstColumn="0" w:lastRowLastColumn="0"/>
            <w:tcW w:w="2844" w:type="dxa"/>
            <w:shd w:val="clear" w:color="auto" w:fill="FFFFFF" w:themeFill="background1"/>
          </w:tcPr>
          <w:p w:rsidR="001D1694" w:rsidRDefault="00B06817" w:rsidP="003D3E09">
            <w:pPr>
              <w:rPr>
                <w:rFonts w:ascii="Calibri" w:hAnsi="Calibri"/>
              </w:rPr>
            </w:pPr>
            <w:r>
              <w:rPr>
                <w:rFonts w:ascii="Calibri" w:hAnsi="Calibri"/>
              </w:rPr>
              <w:t>Warnings</w:t>
            </w:r>
            <w:r w:rsidR="000C33ED">
              <w:rPr>
                <w:rFonts w:ascii="Calibri" w:hAnsi="Calibri"/>
              </w:rPr>
              <w:t xml:space="preserve"> </w:t>
            </w:r>
          </w:p>
        </w:tc>
        <w:tc>
          <w:tcPr>
            <w:tcW w:w="1678" w:type="dxa"/>
            <w:shd w:val="clear" w:color="auto" w:fill="FFFFFF" w:themeFill="background1"/>
          </w:tcPr>
          <w:p w:rsidR="001D1694" w:rsidRPr="00C41BBF" w:rsidRDefault="00B06817" w:rsidP="001609B1">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r w:rsidR="001609B1">
              <w:rPr>
                <w:rFonts w:ascii="Calibri" w:hAnsi="Calibri"/>
              </w:rPr>
              <w:t xml:space="preserve">- clauses </w:t>
            </w:r>
            <w:r w:rsidR="009D5FC9">
              <w:rPr>
                <w:rFonts w:ascii="Calibri" w:hAnsi="Calibri"/>
              </w:rPr>
              <w:t>12.1.2</w:t>
            </w:r>
            <w:r w:rsidR="001609B1">
              <w:rPr>
                <w:rFonts w:ascii="Calibri" w:hAnsi="Calibri"/>
              </w:rPr>
              <w:t>; 12.1.3</w:t>
            </w:r>
          </w:p>
        </w:tc>
        <w:tc>
          <w:tcPr>
            <w:tcW w:w="1486" w:type="dxa"/>
            <w:shd w:val="clear" w:color="auto" w:fill="FFFFFF" w:themeFill="background1"/>
          </w:tcPr>
          <w:p w:rsidR="001D1694" w:rsidRPr="00C41BBF" w:rsidRDefault="00B06817" w:rsidP="001609B1">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r w:rsidR="00F63D4A">
              <w:rPr>
                <w:rFonts w:ascii="Calibri" w:hAnsi="Calibri"/>
              </w:rPr>
              <w:t>- clause 10.2.3</w:t>
            </w:r>
          </w:p>
        </w:tc>
        <w:tc>
          <w:tcPr>
            <w:tcW w:w="1542" w:type="dxa"/>
            <w:shd w:val="clear" w:color="auto" w:fill="FFFFFF" w:themeFill="background1"/>
          </w:tcPr>
          <w:p w:rsidR="001D1694" w:rsidRPr="00C41BBF" w:rsidRDefault="00B06817" w:rsidP="001609B1">
            <w:pPr>
              <w:ind w:left="33"/>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Yes</w:t>
            </w:r>
            <w:r w:rsidR="00F63D4A">
              <w:rPr>
                <w:rFonts w:ascii="Calibri" w:hAnsi="Calibri"/>
              </w:rPr>
              <w:t>- clause 8</w:t>
            </w:r>
          </w:p>
        </w:tc>
        <w:tc>
          <w:tcPr>
            <w:tcW w:w="1692" w:type="dxa"/>
            <w:shd w:val="clear" w:color="auto" w:fill="FFFFFF" w:themeFill="background1"/>
          </w:tcPr>
          <w:p w:rsidR="001D1694" w:rsidRPr="00C41BBF" w:rsidRDefault="00B06817" w:rsidP="003D3E09">
            <w:pPr>
              <w:ind w:left="16"/>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Wording differs</w:t>
            </w:r>
            <w:r w:rsidR="003D3E09">
              <w:rPr>
                <w:rFonts w:ascii="Calibri" w:hAnsi="Calibri"/>
              </w:rPr>
              <w:t xml:space="preserve"> (see below)</w:t>
            </w:r>
            <w:r w:rsidR="002706D3">
              <w:rPr>
                <w:rFonts w:ascii="Calibri" w:hAnsi="Calibri"/>
              </w:rPr>
              <w:t xml:space="preserve"> </w:t>
            </w:r>
          </w:p>
        </w:tc>
      </w:tr>
    </w:tbl>
    <w:p w:rsidR="00AF5314" w:rsidRPr="000C33ED" w:rsidRDefault="00C114C3" w:rsidP="004E0445">
      <w:pPr>
        <w:rPr>
          <w:b/>
        </w:rPr>
      </w:pPr>
      <w:r w:rsidRPr="000C33ED">
        <w:rPr>
          <w:b/>
        </w:rPr>
        <w:t>Warnings</w:t>
      </w:r>
    </w:p>
    <w:p w:rsidR="000C33ED" w:rsidRDefault="00C114C3" w:rsidP="004E0445">
      <w:r>
        <w:t>A</w:t>
      </w:r>
      <w:r w:rsidR="009D34A5">
        <w:t xml:space="preserve">ll </w:t>
      </w:r>
      <w:r w:rsidR="00E76DB5">
        <w:t xml:space="preserve">of the </w:t>
      </w:r>
      <w:r w:rsidR="009D34A5">
        <w:t>standards require</w:t>
      </w:r>
      <w:r w:rsidR="000C33ED">
        <w:t xml:space="preserve"> a</w:t>
      </w:r>
      <w:r w:rsidR="009D34A5">
        <w:t xml:space="preserve"> model number</w:t>
      </w:r>
      <w:r w:rsidR="000C33ED">
        <w:t>,</w:t>
      </w:r>
      <w:r w:rsidR="009D34A5">
        <w:t xml:space="preserve"> </w:t>
      </w:r>
      <w:r w:rsidR="00E76DB5">
        <w:t>date-of-</w:t>
      </w:r>
      <w:r w:rsidR="009D34A5">
        <w:t xml:space="preserve">manufacture </w:t>
      </w:r>
      <w:r w:rsidR="000C33ED">
        <w:t xml:space="preserve">and a supplier </w:t>
      </w:r>
      <w:r w:rsidR="00E76DB5">
        <w:t>identified</w:t>
      </w:r>
      <w:r w:rsidR="009D34A5">
        <w:t xml:space="preserve"> </w:t>
      </w:r>
      <w:r w:rsidR="00E76DB5">
        <w:t>on the pram or stroller.</w:t>
      </w:r>
      <w:r w:rsidR="000C33ED">
        <w:t xml:space="preserve"> </w:t>
      </w:r>
    </w:p>
    <w:p w:rsidR="00C114C3" w:rsidRDefault="00E76DB5" w:rsidP="004E0445">
      <w:r>
        <w:t>The safety warnings</w:t>
      </w:r>
      <w:r w:rsidR="00C114C3">
        <w:t xml:space="preserve"> </w:t>
      </w:r>
      <w:r>
        <w:t>required under</w:t>
      </w:r>
      <w:r w:rsidR="00C114C3">
        <w:t xml:space="preserve"> the three standards</w:t>
      </w:r>
      <w:r>
        <w:t xml:space="preserve"> </w:t>
      </w:r>
      <w:r w:rsidR="000C33ED">
        <w:t>vary</w:t>
      </w:r>
      <w:r>
        <w:t>:</w:t>
      </w:r>
    </w:p>
    <w:p w:rsidR="009D34A5" w:rsidRDefault="009D34A5" w:rsidP="009D34A5">
      <w:r w:rsidRPr="00E76DB5">
        <w:rPr>
          <w:b/>
        </w:rPr>
        <w:t>The E</w:t>
      </w:r>
      <w:r w:rsidR="00E76DB5">
        <w:rPr>
          <w:b/>
        </w:rPr>
        <w:t>uropean standard</w:t>
      </w:r>
      <w:r w:rsidRPr="00E76DB5">
        <w:rPr>
          <w:b/>
        </w:rPr>
        <w:t xml:space="preserve"> requires</w:t>
      </w:r>
      <w:r>
        <w:t>:</w:t>
      </w:r>
    </w:p>
    <w:p w:rsidR="009D34A5" w:rsidRDefault="002E61B3" w:rsidP="009D34A5">
      <w:r>
        <w:t xml:space="preserve">WARNING </w:t>
      </w:r>
      <w:proofErr w:type="gramStart"/>
      <w:r>
        <w:t>Never</w:t>
      </w:r>
      <w:proofErr w:type="gramEnd"/>
      <w:r>
        <w:t xml:space="preserve"> leave your child unattended</w:t>
      </w:r>
    </w:p>
    <w:p w:rsidR="002E61B3" w:rsidRDefault="002E61B3" w:rsidP="009D34A5">
      <w:r>
        <w:t>WARNING Use a harness as soon as your child can sit unaided</w:t>
      </w:r>
    </w:p>
    <w:p w:rsidR="002E61B3" w:rsidRDefault="002E61B3" w:rsidP="009D34A5">
      <w:r>
        <w:t xml:space="preserve">WARNING </w:t>
      </w:r>
      <w:proofErr w:type="gramStart"/>
      <w:r>
        <w:t>This</w:t>
      </w:r>
      <w:proofErr w:type="gramEnd"/>
      <w:r>
        <w:t xml:space="preserve"> seat unit is not suitable for a child under 6 months</w:t>
      </w:r>
    </w:p>
    <w:p w:rsidR="002E61B3" w:rsidRDefault="002E61B3" w:rsidP="009D34A5">
      <w:r>
        <w:t xml:space="preserve">WARNING </w:t>
      </w:r>
      <w:proofErr w:type="gramStart"/>
      <w:r>
        <w:t>Always</w:t>
      </w:r>
      <w:proofErr w:type="gramEnd"/>
      <w:r>
        <w:t xml:space="preserve"> use the restraint system</w:t>
      </w:r>
    </w:p>
    <w:p w:rsidR="002E61B3" w:rsidRDefault="002E61B3" w:rsidP="009D34A5">
      <w:r>
        <w:t>The number and date of the European standard</w:t>
      </w:r>
    </w:p>
    <w:p w:rsidR="002E61B3" w:rsidRDefault="002E61B3" w:rsidP="009D34A5">
      <w:r w:rsidRPr="00E76DB5">
        <w:rPr>
          <w:b/>
        </w:rPr>
        <w:t xml:space="preserve">The ASTM </w:t>
      </w:r>
      <w:r w:rsidR="00E76DB5">
        <w:rPr>
          <w:b/>
        </w:rPr>
        <w:t xml:space="preserve">standard </w:t>
      </w:r>
      <w:r w:rsidRPr="00E76DB5">
        <w:rPr>
          <w:b/>
        </w:rPr>
        <w:t>requires</w:t>
      </w:r>
      <w:r>
        <w:t>:</w:t>
      </w:r>
    </w:p>
    <w:p w:rsidR="002E61B3" w:rsidRDefault="002E61B3" w:rsidP="009D34A5">
      <w:r>
        <w:t xml:space="preserve">WARNING </w:t>
      </w:r>
      <w:proofErr w:type="gramStart"/>
      <w:r>
        <w:t>Never</w:t>
      </w:r>
      <w:proofErr w:type="gramEnd"/>
      <w:r>
        <w:t xml:space="preserve"> leave child unattended</w:t>
      </w:r>
    </w:p>
    <w:p w:rsidR="002E61B3" w:rsidRDefault="002E61B3" w:rsidP="009D34A5">
      <w:proofErr w:type="gramStart"/>
      <w:r>
        <w:t>WARNING Avoid serious injury from falling or sliding out.</w:t>
      </w:r>
      <w:proofErr w:type="gramEnd"/>
      <w:r>
        <w:t xml:space="preserve"> Always use seat belt</w:t>
      </w:r>
    </w:p>
    <w:p w:rsidR="002E61B3" w:rsidRDefault="002E61B3" w:rsidP="009D34A5">
      <w:r>
        <w:t>WARNING Child may slip into leg openings and strangle. Never use in reclined carriage position unless (manufacturer to insert product specific instructions)</w:t>
      </w:r>
    </w:p>
    <w:p w:rsidR="002E61B3" w:rsidRDefault="002E61B3" w:rsidP="009D34A5">
      <w:r>
        <w:t>WARNING: FALL HAZARD. Wheel can detach and cause tip over. Pull on the wheel to assure it is securely attached</w:t>
      </w:r>
    </w:p>
    <w:p w:rsidR="002E61B3" w:rsidRDefault="002E61B3" w:rsidP="009D34A5">
      <w:r>
        <w:t>WARNING: FALL HAZARD from tip over. Before running, jogging or walking fast, LOCK the front wheel from swivelling.</w:t>
      </w:r>
    </w:p>
    <w:p w:rsidR="000C33ED" w:rsidRDefault="000C33ED" w:rsidP="000C33ED">
      <w:r w:rsidRPr="00E76DB5">
        <w:rPr>
          <w:b/>
        </w:rPr>
        <w:lastRenderedPageBreak/>
        <w:t xml:space="preserve">The </w:t>
      </w:r>
      <w:r>
        <w:rPr>
          <w:b/>
        </w:rPr>
        <w:t xml:space="preserve">updated voluntary </w:t>
      </w:r>
      <w:r w:rsidRPr="00E76DB5">
        <w:rPr>
          <w:b/>
        </w:rPr>
        <w:t>A</w:t>
      </w:r>
      <w:r>
        <w:rPr>
          <w:b/>
        </w:rPr>
        <w:t xml:space="preserve">ustralian </w:t>
      </w:r>
      <w:r w:rsidRPr="00E76DB5">
        <w:rPr>
          <w:b/>
        </w:rPr>
        <w:t>S</w:t>
      </w:r>
      <w:r>
        <w:rPr>
          <w:b/>
        </w:rPr>
        <w:t>tandard</w:t>
      </w:r>
      <w:r w:rsidRPr="00E76DB5">
        <w:rPr>
          <w:b/>
        </w:rPr>
        <w:t xml:space="preserve"> requires</w:t>
      </w:r>
      <w:r>
        <w:t>:</w:t>
      </w:r>
    </w:p>
    <w:p w:rsidR="000C33ED" w:rsidRDefault="000C33ED" w:rsidP="000C33ED">
      <w:r>
        <w:t>WARNING: TO AVOID INJURY OR DEATH:</w:t>
      </w:r>
    </w:p>
    <w:p w:rsidR="000C33ED" w:rsidRDefault="000C33ED" w:rsidP="000C33ED">
      <w:r>
        <w:t>ALWAYS APPLY THE BRAKES WHENEVER THE PRAM/STROLLER IS STATIONARY</w:t>
      </w:r>
    </w:p>
    <w:p w:rsidR="000C33ED" w:rsidRDefault="000C33ED" w:rsidP="000C33ED">
      <w:pPr>
        <w:pStyle w:val="ListParagraph"/>
        <w:numPr>
          <w:ilvl w:val="0"/>
          <w:numId w:val="41"/>
        </w:numPr>
      </w:pPr>
      <w:r>
        <w:t>DO NOT LEAVE CHILDREN UNATTENDED</w:t>
      </w:r>
    </w:p>
    <w:p w:rsidR="000C33ED" w:rsidRDefault="000C33ED" w:rsidP="000C33ED">
      <w:pPr>
        <w:pStyle w:val="ListParagraph"/>
        <w:numPr>
          <w:ilvl w:val="0"/>
          <w:numId w:val="41"/>
        </w:numPr>
      </w:pPr>
      <w:r>
        <w:t>SECURE THE CHILD IN THE HARNESS AT ALL TIMES</w:t>
      </w:r>
    </w:p>
    <w:p w:rsidR="000C33ED" w:rsidRDefault="000C33ED" w:rsidP="000C33ED">
      <w:pPr>
        <w:pStyle w:val="ListParagraph"/>
        <w:numPr>
          <w:ilvl w:val="0"/>
          <w:numId w:val="41"/>
        </w:numPr>
      </w:pPr>
      <w:r>
        <w:t>DO NOT CARRY EXTRA CHILDREN OR BAGS ON THIS PRAM/STROLLER</w:t>
      </w:r>
    </w:p>
    <w:p w:rsidR="000C33ED" w:rsidRDefault="000C33ED" w:rsidP="000C33ED">
      <w:pPr>
        <w:pStyle w:val="ListParagraph"/>
        <w:numPr>
          <w:ilvl w:val="0"/>
          <w:numId w:val="41"/>
        </w:numPr>
      </w:pPr>
      <w:r>
        <w:t>MAKE SURE CHILDREN ARE CLEAR OF ANY MOVING PARTS IF YOU ADJUST THE PRAM/STROLLER</w:t>
      </w:r>
    </w:p>
    <w:p w:rsidR="000C33ED" w:rsidRDefault="000C33ED" w:rsidP="000C33ED">
      <w:r>
        <w:t>NOT RECOMMENDED FOR A CHILD UNDERS 6 MONTHS OLD</w:t>
      </w:r>
    </w:p>
    <w:p w:rsidR="000C33ED" w:rsidRDefault="000C33ED" w:rsidP="000C33ED">
      <w:r>
        <w:t xml:space="preserve">WARNING: USE THIS HARNESS AT ALL TIMES </w:t>
      </w:r>
    </w:p>
    <w:p w:rsidR="000C33ED" w:rsidRDefault="000C33ED" w:rsidP="000C33ED">
      <w:r>
        <w:t>WARNING: USE THIS TETHER STRAP TO STOP THE PRAM/STROLLER ROLLING AWAY</w:t>
      </w:r>
    </w:p>
    <w:p w:rsidR="00EE0C37" w:rsidRPr="00AF5314" w:rsidRDefault="000C33ED" w:rsidP="009D34A5">
      <w:r>
        <w:t>T</w:t>
      </w:r>
      <w:r w:rsidR="00EE0C37">
        <w:t xml:space="preserve">he </w:t>
      </w:r>
      <w:r>
        <w:t>updated voluntary Australian standard</w:t>
      </w:r>
      <w:r w:rsidR="00EE0C37">
        <w:t xml:space="preserve"> is explicit </w:t>
      </w:r>
      <w:r>
        <w:t>about</w:t>
      </w:r>
      <w:r w:rsidR="00EE0C37">
        <w:t xml:space="preserve"> the rationale for warnings</w:t>
      </w:r>
      <w:r>
        <w:t xml:space="preserve"> </w:t>
      </w:r>
      <w:r w:rsidR="00EE0C37">
        <w:t>(‘</w:t>
      </w:r>
      <w:r>
        <w:t>t</w:t>
      </w:r>
      <w:r w:rsidR="00EE0C37">
        <w:t xml:space="preserve">o avoid injury or death’) and </w:t>
      </w:r>
      <w:r>
        <w:t xml:space="preserve">specifies </w:t>
      </w:r>
      <w:r w:rsidR="00EE0C37">
        <w:t>information about always using the brakes, not overweighting the stroller and keeping children clear when adjusting the stroller.</w:t>
      </w:r>
    </w:p>
    <w:sectPr w:rsidR="00EE0C37" w:rsidRPr="00AF5314" w:rsidSect="002D3CAF">
      <w:headerReference w:type="default" r:id="rId18"/>
      <w:footerReference w:type="default" r:id="rId19"/>
      <w:footerReference w:type="first" r:id="rId20"/>
      <w:pgSz w:w="11906" w:h="16838"/>
      <w:pgMar w:top="1276"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B67" w:rsidRDefault="00427B67" w:rsidP="004B4412">
      <w:pPr>
        <w:spacing w:before="0"/>
      </w:pPr>
      <w:r>
        <w:separator/>
      </w:r>
    </w:p>
  </w:endnote>
  <w:endnote w:type="continuationSeparator" w:id="0">
    <w:p w:rsidR="00427B67" w:rsidRDefault="00427B67"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Warnock Pro">
    <w:altName w:val="Warnock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573467"/>
      <w:docPartObj>
        <w:docPartGallery w:val="Page Numbers (Bottom of Page)"/>
        <w:docPartUnique/>
      </w:docPartObj>
    </w:sdtPr>
    <w:sdtEndPr>
      <w:rPr>
        <w:noProof/>
      </w:rPr>
    </w:sdtEndPr>
    <w:sdtContent>
      <w:p w:rsidR="00427B67" w:rsidRDefault="00427B67">
        <w:pPr>
          <w:pStyle w:val="Footer"/>
          <w:jc w:val="right"/>
        </w:pPr>
        <w:r>
          <w:fldChar w:fldCharType="begin"/>
        </w:r>
        <w:r>
          <w:instrText xml:space="preserve"> PAGE   \* MERGEFORMAT </w:instrText>
        </w:r>
        <w:r>
          <w:fldChar w:fldCharType="separate"/>
        </w:r>
        <w:r w:rsidR="00F44E41">
          <w:rPr>
            <w:noProof/>
          </w:rPr>
          <w:t>3</w:t>
        </w:r>
        <w:r>
          <w:rPr>
            <w:noProof/>
          </w:rPr>
          <w:fldChar w:fldCharType="end"/>
        </w:r>
      </w:p>
    </w:sdtContent>
  </w:sdt>
  <w:p w:rsidR="00427B67" w:rsidRDefault="00427B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427B67" w:rsidRDefault="00427B67">
        <w:pPr>
          <w:pStyle w:val="Footer"/>
        </w:pPr>
        <w:r>
          <w:fldChar w:fldCharType="begin"/>
        </w:r>
        <w:r>
          <w:instrText xml:space="preserve"> PAGE   \* MERGEFORMAT </w:instrText>
        </w:r>
        <w:r>
          <w:fldChar w:fldCharType="separate"/>
        </w:r>
        <w:r w:rsidR="00F44E41">
          <w:rPr>
            <w:noProof/>
          </w:rPr>
          <w:t>0</w:t>
        </w:r>
        <w:r>
          <w:rPr>
            <w:noProof/>
          </w:rPr>
          <w:fldChar w:fldCharType="end"/>
        </w:r>
      </w:p>
    </w:sdtContent>
  </w:sdt>
  <w:p w:rsidR="00427B67" w:rsidRDefault="00427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B67" w:rsidRDefault="00427B67" w:rsidP="004B4412">
      <w:pPr>
        <w:spacing w:before="0"/>
      </w:pPr>
      <w:r>
        <w:separator/>
      </w:r>
    </w:p>
  </w:footnote>
  <w:footnote w:type="continuationSeparator" w:id="0">
    <w:p w:rsidR="00427B67" w:rsidRDefault="00427B67" w:rsidP="004B4412">
      <w:pPr>
        <w:spacing w:before="0"/>
      </w:pPr>
      <w:r>
        <w:continuationSeparator/>
      </w:r>
    </w:p>
  </w:footnote>
  <w:footnote w:id="1">
    <w:p w:rsidR="00427B67" w:rsidRDefault="00427B67" w:rsidP="00644427">
      <w:pPr>
        <w:pStyle w:val="FootnoteText"/>
      </w:pPr>
      <w:r>
        <w:rPr>
          <w:rStyle w:val="FootnoteReference"/>
        </w:rPr>
        <w:footnoteRef/>
      </w:r>
      <w:r>
        <w:t xml:space="preserve"> A 2007 industry survey estimated 740 000 prams and strollers sold each year.</w:t>
      </w:r>
    </w:p>
  </w:footnote>
  <w:footnote w:id="2">
    <w:p w:rsidR="00427B67" w:rsidRDefault="00427B67" w:rsidP="00842BB1">
      <w:pPr>
        <w:pStyle w:val="FootnoteText"/>
      </w:pPr>
      <w:r>
        <w:rPr>
          <w:rStyle w:val="FootnoteReference"/>
        </w:rPr>
        <w:footnoteRef/>
      </w:r>
      <w:r>
        <w:t xml:space="preserve"> Injuries associated with strollers and carriages among children in the United States 1990-2010; Fowler E, Kobe C, Roberts KJ, Collins CL and McKenzie LB, in Academic </w:t>
      </w:r>
      <w:proofErr w:type="spellStart"/>
      <w:r>
        <w:t>Pediatrics</w:t>
      </w:r>
      <w:proofErr w:type="spellEnd"/>
      <w:r>
        <w:t xml:space="preserve"> (2016)</w:t>
      </w:r>
    </w:p>
  </w:footnote>
  <w:footnote w:id="3">
    <w:p w:rsidR="00427B67" w:rsidRDefault="00427B67" w:rsidP="005F2EB6">
      <w:pPr>
        <w:pStyle w:val="FootnoteText"/>
      </w:pPr>
      <w:r>
        <w:rPr>
          <w:rStyle w:val="FootnoteReference"/>
        </w:rPr>
        <w:footnoteRef/>
      </w:r>
      <w:r>
        <w:t xml:space="preserve"> ACCC, </w:t>
      </w:r>
      <w:r w:rsidRPr="000268CC">
        <w:rPr>
          <w:szCs w:val="16"/>
        </w:rPr>
        <w:t xml:space="preserve">International standards for the safety of consumer products - criteria for acceptance, ACCC policy principles, 22 July 2015, </w:t>
      </w:r>
      <w:hyperlink r:id="rId1" w:history="1">
        <w:r w:rsidRPr="000268CC">
          <w:rPr>
            <w:rStyle w:val="Hyperlink"/>
            <w:sz w:val="16"/>
            <w:szCs w:val="16"/>
          </w:rPr>
          <w:t>//www.productsafety.gov.au/content/index.phtml/itemId/1014180</w:t>
        </w:r>
      </w:hyperlink>
    </w:p>
  </w:footnote>
  <w:footnote w:id="4">
    <w:p w:rsidR="00427B67" w:rsidRDefault="00427B67">
      <w:pPr>
        <w:pStyle w:val="FootnoteText"/>
      </w:pPr>
      <w:r>
        <w:rPr>
          <w:rStyle w:val="FootnoteReference"/>
        </w:rPr>
        <w:footnoteRef/>
      </w:r>
      <w:r>
        <w:t xml:space="preserve"> </w:t>
      </w:r>
      <w:r w:rsidRPr="0023239F">
        <w:rPr>
          <w:lang w:val="en"/>
        </w:rPr>
        <w:t>McKenzie, K</w:t>
      </w:r>
      <w:r w:rsidRPr="00BA7E0E">
        <w:rPr>
          <w:lang w:val="en"/>
        </w:rPr>
        <w:t>, Michel, J, Barker, R, &amp; Strachan, D (2013)</w:t>
      </w:r>
      <w:r>
        <w:rPr>
          <w:lang w:val="en"/>
        </w:rPr>
        <w:t>,</w:t>
      </w:r>
      <w:r w:rsidRPr="00BA7E0E">
        <w:rPr>
          <w:lang w:val="en"/>
        </w:rPr>
        <w:t xml:space="preserve"> </w:t>
      </w:r>
      <w:r w:rsidRPr="005C33DC">
        <w:rPr>
          <w:i/>
        </w:rPr>
        <w:t>Consumer product-related injuries in Queensland children</w:t>
      </w:r>
      <w:r w:rsidRPr="00BA7E0E">
        <w:rPr>
          <w:i/>
          <w:lang w:val="en"/>
        </w:rPr>
        <w:t>: A snapshot of current problem areas for potential action</w:t>
      </w:r>
      <w:r>
        <w:rPr>
          <w:i/>
        </w:rPr>
        <w:t xml:space="preserve">, </w:t>
      </w:r>
      <w:r w:rsidRPr="00BA7E0E">
        <w:rPr>
          <w:lang w:val="en"/>
        </w:rPr>
        <w:t xml:space="preserve">Centre for Accident Research and Road Safety - Queensland, Brisbane, </w:t>
      </w:r>
      <w:r>
        <w:rPr>
          <w:lang w:val="en"/>
        </w:rPr>
        <w:t xml:space="preserve">Queensland. </w:t>
      </w:r>
      <w:hyperlink r:id="rId2" w:history="1">
        <w:r w:rsidRPr="008B431B">
          <w:rPr>
            <w:rStyle w:val="Hyperlink"/>
            <w:sz w:val="16"/>
            <w:lang w:val="en"/>
          </w:rPr>
          <w:t>eprints.qut.edu.au/58389/</w:t>
        </w:r>
      </w:hyperlink>
      <w:r>
        <w:rPr>
          <w:lang w:val="en"/>
        </w:rPr>
        <w:t xml:space="preserve"> </w:t>
      </w:r>
    </w:p>
  </w:footnote>
  <w:footnote w:id="5">
    <w:p w:rsidR="00427B67" w:rsidRDefault="00427B67" w:rsidP="00C114C3">
      <w:pPr>
        <w:pStyle w:val="FootnoteText"/>
      </w:pPr>
      <w:r>
        <w:rPr>
          <w:rStyle w:val="FootnoteReference"/>
        </w:rPr>
        <w:footnoteRef/>
      </w:r>
      <w:r>
        <w:t xml:space="preserve"> Estimate based on Value of a Statistical Life from Best Practice Regulation Guidance Note, Office of Best Practice Regulation, Australian Government, December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67" w:rsidRDefault="00427B67" w:rsidP="00E34AAD">
    <w:pPr>
      <w:pStyle w:val="Header"/>
      <w:tabs>
        <w:tab w:val="clear" w:pos="4513"/>
        <w:tab w:val="clear" w:pos="9026"/>
        <w:tab w:val="left" w:pos="19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FFFFFF89"/>
    <w:multiLevelType w:val="singleLevel"/>
    <w:tmpl w:val="CEFA03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F6CC1"/>
    <w:multiLevelType w:val="hybridMultilevel"/>
    <w:tmpl w:val="EB92E4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09401D6B"/>
    <w:multiLevelType w:val="hybridMultilevel"/>
    <w:tmpl w:val="B71080A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0A161693"/>
    <w:multiLevelType w:val="hybridMultilevel"/>
    <w:tmpl w:val="60C4C5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5">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6">
    <w:nsid w:val="1BA537F3"/>
    <w:multiLevelType w:val="hybridMultilevel"/>
    <w:tmpl w:val="11A099C2"/>
    <w:lvl w:ilvl="0" w:tplc="E638A518">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858" w:hanging="432"/>
      </w:pPr>
    </w:lvl>
    <w:lvl w:ilvl="2">
      <w:start w:val="1"/>
      <w:numFmt w:val="decimal"/>
      <w:pStyle w:val="Numbered111"/>
      <w:lvlText w:val="%1.%2.%3."/>
      <w:lvlJc w:val="left"/>
      <w:pPr>
        <w:ind w:left="788"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8">
    <w:nsid w:val="241C7911"/>
    <w:multiLevelType w:val="hybridMultilevel"/>
    <w:tmpl w:val="A86A9C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0">
    <w:nsid w:val="356657D4"/>
    <w:multiLevelType w:val="hybridMultilevel"/>
    <w:tmpl w:val="FB9A0A96"/>
    <w:lvl w:ilvl="0" w:tplc="5C54735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2">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4">
    <w:nsid w:val="40605DE6"/>
    <w:multiLevelType w:val="hybridMultilevel"/>
    <w:tmpl w:val="0AE68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4EC4DB5"/>
    <w:multiLevelType w:val="hybridMultilevel"/>
    <w:tmpl w:val="BBFE8DAC"/>
    <w:lvl w:ilvl="0" w:tplc="2A28B596">
      <w:start w:val="1"/>
      <w:numFmt w:val="decimal"/>
      <w:lvlText w:val="%1."/>
      <w:lvlJc w:val="left"/>
      <w:pPr>
        <w:ind w:left="1060" w:hanging="360"/>
      </w:pPr>
      <w:rPr>
        <w:rFonts w:hint="default"/>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6">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A6B3680"/>
    <w:multiLevelType w:val="multilevel"/>
    <w:tmpl w:val="22FC9686"/>
    <w:name w:val="StandardBulletedList"/>
    <w:lvl w:ilvl="0">
      <w:start w:val="1"/>
      <w:numFmt w:val="bullet"/>
      <w:pStyle w:val="Bullet"/>
      <w:lvlText w:val="•"/>
      <w:lvlJc w:val="left"/>
      <w:pPr>
        <w:tabs>
          <w:tab w:val="num" w:pos="877"/>
        </w:tabs>
        <w:ind w:left="877" w:hanging="520"/>
      </w:pPr>
      <w:rPr>
        <w:rFonts w:ascii="Times New Roman" w:hAnsi="Times New Roman" w:cs="Times New Roman"/>
      </w:rPr>
    </w:lvl>
    <w:lvl w:ilvl="1">
      <w:start w:val="1"/>
      <w:numFmt w:val="bullet"/>
      <w:pStyle w:val="Dash"/>
      <w:lvlText w:val="–"/>
      <w:lvlJc w:val="left"/>
      <w:pPr>
        <w:tabs>
          <w:tab w:val="num" w:pos="1397"/>
        </w:tabs>
        <w:ind w:left="1397" w:hanging="520"/>
      </w:pPr>
      <w:rPr>
        <w:rFonts w:ascii="Times New Roman" w:hAnsi="Times New Roman" w:cs="Times New Roman"/>
      </w:rPr>
    </w:lvl>
    <w:lvl w:ilvl="2">
      <w:start w:val="1"/>
      <w:numFmt w:val="bullet"/>
      <w:pStyle w:val="DoubleDot"/>
      <w:lvlText w:val=":"/>
      <w:lvlJc w:val="left"/>
      <w:pPr>
        <w:tabs>
          <w:tab w:val="num" w:pos="1917"/>
        </w:tabs>
        <w:ind w:left="1917" w:hanging="520"/>
      </w:pPr>
      <w:rPr>
        <w:rFonts w:ascii="Times New Roman" w:hAnsi="Times New Roman" w:cs="Times New Roman"/>
      </w:r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28">
    <w:nsid w:val="55D81413"/>
    <w:multiLevelType w:val="hybridMultilevel"/>
    <w:tmpl w:val="ABD6D6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30">
    <w:nsid w:val="609D2CCD"/>
    <w:multiLevelType w:val="hybridMultilevel"/>
    <w:tmpl w:val="E41493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34">
    <w:nsid w:val="6C01401B"/>
    <w:multiLevelType w:val="hybridMultilevel"/>
    <w:tmpl w:val="8EB2EABC"/>
    <w:lvl w:ilvl="0" w:tplc="C27492EA">
      <w:start w:val="1"/>
      <w:numFmt w:val="decimal"/>
      <w:lvlText w:val="%1."/>
      <w:lvlJc w:val="left"/>
      <w:pPr>
        <w:ind w:left="360" w:hanging="360"/>
      </w:pPr>
      <w:rPr>
        <w:rFonts w:hint="default"/>
        <w:b w:val="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36">
    <w:nsid w:val="721304BA"/>
    <w:multiLevelType w:val="hybridMultilevel"/>
    <w:tmpl w:val="15CCA1AC"/>
    <w:lvl w:ilvl="0" w:tplc="8456551E">
      <w:start w:val="11"/>
      <w:numFmt w:val="decimal"/>
      <w:lvlText w:val="%1."/>
      <w:lvlJc w:val="left"/>
      <w:pPr>
        <w:ind w:left="10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38">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39">
    <w:nsid w:val="76155416"/>
    <w:multiLevelType w:val="hybridMultilevel"/>
    <w:tmpl w:val="1E5286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41">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41"/>
  </w:num>
  <w:num w:numId="3">
    <w:abstractNumId w:val="7"/>
  </w:num>
  <w:num w:numId="4">
    <w:abstractNumId w:val="6"/>
  </w:num>
  <w:num w:numId="5">
    <w:abstractNumId w:val="5"/>
  </w:num>
  <w:num w:numId="6">
    <w:abstractNumId w:val="4"/>
  </w:num>
  <w:num w:numId="7">
    <w:abstractNumId w:val="1"/>
  </w:num>
  <w:num w:numId="8">
    <w:abstractNumId w:val="0"/>
  </w:num>
  <w:num w:numId="9">
    <w:abstractNumId w:val="33"/>
  </w:num>
  <w:num w:numId="10">
    <w:abstractNumId w:val="22"/>
  </w:num>
  <w:num w:numId="11">
    <w:abstractNumId w:val="13"/>
  </w:num>
  <w:num w:numId="12">
    <w:abstractNumId w:val="17"/>
  </w:num>
  <w:num w:numId="13">
    <w:abstractNumId w:val="21"/>
  </w:num>
  <w:num w:numId="14">
    <w:abstractNumId w:val="2"/>
  </w:num>
  <w:num w:numId="15">
    <w:abstractNumId w:val="35"/>
  </w:num>
  <w:num w:numId="16">
    <w:abstractNumId w:val="40"/>
  </w:num>
  <w:num w:numId="17">
    <w:abstractNumId w:val="38"/>
  </w:num>
  <w:num w:numId="18">
    <w:abstractNumId w:val="29"/>
  </w:num>
  <w:num w:numId="19">
    <w:abstractNumId w:val="19"/>
  </w:num>
  <w:num w:numId="20">
    <w:abstractNumId w:val="23"/>
  </w:num>
  <w:num w:numId="21">
    <w:abstractNumId w:val="37"/>
  </w:num>
  <w:num w:numId="22">
    <w:abstractNumId w:val="31"/>
  </w:num>
  <w:num w:numId="23">
    <w:abstractNumId w:val="8"/>
  </w:num>
  <w:num w:numId="24">
    <w:abstractNumId w:val="3"/>
  </w:num>
  <w:num w:numId="25">
    <w:abstractNumId w:val="26"/>
  </w:num>
  <w:num w:numId="26">
    <w:abstractNumId w:val="15"/>
  </w:num>
  <w:num w:numId="27">
    <w:abstractNumId w:val="32"/>
  </w:num>
  <w:num w:numId="28">
    <w:abstractNumId w:val="27"/>
  </w:num>
  <w:num w:numId="29">
    <w:abstractNumId w:val="30"/>
  </w:num>
  <w:num w:numId="30">
    <w:abstractNumId w:val="10"/>
  </w:num>
  <w:num w:numId="31">
    <w:abstractNumId w:val="11"/>
  </w:num>
  <w:num w:numId="32">
    <w:abstractNumId w:val="39"/>
  </w:num>
  <w:num w:numId="33">
    <w:abstractNumId w:val="24"/>
  </w:num>
  <w:num w:numId="34">
    <w:abstractNumId w:val="12"/>
  </w:num>
  <w:num w:numId="35">
    <w:abstractNumId w:val="28"/>
  </w:num>
  <w:num w:numId="36">
    <w:abstractNumId w:val="20"/>
  </w:num>
  <w:num w:numId="37">
    <w:abstractNumId w:val="16"/>
  </w:num>
  <w:num w:numId="38">
    <w:abstractNumId w:val="34"/>
  </w:num>
  <w:num w:numId="39">
    <w:abstractNumId w:val="25"/>
  </w:num>
  <w:num w:numId="40">
    <w:abstractNumId w:val="36"/>
  </w:num>
  <w:num w:numId="41">
    <w:abstractNumId w:val="18"/>
  </w:num>
  <w:num w:numId="42">
    <w:abstractNumId w:val="17"/>
  </w:num>
  <w:num w:numId="43">
    <w:abstractNumId w:val="17"/>
  </w:num>
  <w:num w:numId="44">
    <w:abstractNumId w:val="17"/>
  </w:num>
  <w:num w:numId="45">
    <w:abstractNumId w:val="17"/>
  </w:num>
  <w:num w:numId="46">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Users\chmars\AppData\Local\Microsoft\Windows\Temporary Internet Files\Content.Outlook\YXDHSB69\CPSB-SP- Consultation Paper - Review safety standard for Prams and Strollers.DOCX"/>
  </w:docVars>
  <w:rsids>
    <w:rsidRoot w:val="002D3CAF"/>
    <w:rsid w:val="00001163"/>
    <w:rsid w:val="00001A41"/>
    <w:rsid w:val="00003674"/>
    <w:rsid w:val="000036C7"/>
    <w:rsid w:val="00004AC6"/>
    <w:rsid w:val="0000733D"/>
    <w:rsid w:val="00012C20"/>
    <w:rsid w:val="00013331"/>
    <w:rsid w:val="000135D4"/>
    <w:rsid w:val="00015A33"/>
    <w:rsid w:val="0002006B"/>
    <w:rsid w:val="0002115F"/>
    <w:rsid w:val="00021202"/>
    <w:rsid w:val="00021ACC"/>
    <w:rsid w:val="000225C4"/>
    <w:rsid w:val="00025387"/>
    <w:rsid w:val="00026867"/>
    <w:rsid w:val="00030C4E"/>
    <w:rsid w:val="00031A8C"/>
    <w:rsid w:val="0003447B"/>
    <w:rsid w:val="0003522B"/>
    <w:rsid w:val="00035742"/>
    <w:rsid w:val="0003578C"/>
    <w:rsid w:val="00036BC8"/>
    <w:rsid w:val="00041889"/>
    <w:rsid w:val="0004241A"/>
    <w:rsid w:val="00043215"/>
    <w:rsid w:val="000454AE"/>
    <w:rsid w:val="000458E1"/>
    <w:rsid w:val="000469A3"/>
    <w:rsid w:val="0005009A"/>
    <w:rsid w:val="00052D85"/>
    <w:rsid w:val="00053C23"/>
    <w:rsid w:val="00060E9A"/>
    <w:rsid w:val="000613F4"/>
    <w:rsid w:val="0006153A"/>
    <w:rsid w:val="00061709"/>
    <w:rsid w:val="00062674"/>
    <w:rsid w:val="00063247"/>
    <w:rsid w:val="000634E1"/>
    <w:rsid w:val="00063BB0"/>
    <w:rsid w:val="00064A0F"/>
    <w:rsid w:val="00067F79"/>
    <w:rsid w:val="00070F9F"/>
    <w:rsid w:val="0007137B"/>
    <w:rsid w:val="000715E7"/>
    <w:rsid w:val="0007232B"/>
    <w:rsid w:val="00074141"/>
    <w:rsid w:val="000758C3"/>
    <w:rsid w:val="00077BB3"/>
    <w:rsid w:val="00084F31"/>
    <w:rsid w:val="00085663"/>
    <w:rsid w:val="00085EBF"/>
    <w:rsid w:val="00086811"/>
    <w:rsid w:val="0008725D"/>
    <w:rsid w:val="000901D0"/>
    <w:rsid w:val="000973A9"/>
    <w:rsid w:val="000A0076"/>
    <w:rsid w:val="000A0945"/>
    <w:rsid w:val="000A1363"/>
    <w:rsid w:val="000A192D"/>
    <w:rsid w:val="000A260F"/>
    <w:rsid w:val="000A39D9"/>
    <w:rsid w:val="000A642F"/>
    <w:rsid w:val="000A643B"/>
    <w:rsid w:val="000B0ECC"/>
    <w:rsid w:val="000B3A30"/>
    <w:rsid w:val="000B3CDA"/>
    <w:rsid w:val="000C33ED"/>
    <w:rsid w:val="000C6F6B"/>
    <w:rsid w:val="000D08E7"/>
    <w:rsid w:val="000D122C"/>
    <w:rsid w:val="000D1CDC"/>
    <w:rsid w:val="000D40A1"/>
    <w:rsid w:val="000D5BB1"/>
    <w:rsid w:val="000D706A"/>
    <w:rsid w:val="000E1819"/>
    <w:rsid w:val="000E312F"/>
    <w:rsid w:val="000E3787"/>
    <w:rsid w:val="000E6AFB"/>
    <w:rsid w:val="000E6C72"/>
    <w:rsid w:val="000E6F22"/>
    <w:rsid w:val="000F128D"/>
    <w:rsid w:val="000F17EF"/>
    <w:rsid w:val="000F2368"/>
    <w:rsid w:val="000F2611"/>
    <w:rsid w:val="000F375C"/>
    <w:rsid w:val="00106F6A"/>
    <w:rsid w:val="0011078E"/>
    <w:rsid w:val="00110F83"/>
    <w:rsid w:val="00112FB0"/>
    <w:rsid w:val="001154E3"/>
    <w:rsid w:val="00116BC2"/>
    <w:rsid w:val="00116EB2"/>
    <w:rsid w:val="00116FBB"/>
    <w:rsid w:val="00121427"/>
    <w:rsid w:val="00122C53"/>
    <w:rsid w:val="00124609"/>
    <w:rsid w:val="00127122"/>
    <w:rsid w:val="00131AAA"/>
    <w:rsid w:val="00133727"/>
    <w:rsid w:val="00133F89"/>
    <w:rsid w:val="001378C8"/>
    <w:rsid w:val="00141B53"/>
    <w:rsid w:val="0015737E"/>
    <w:rsid w:val="001573E4"/>
    <w:rsid w:val="001604E3"/>
    <w:rsid w:val="00160756"/>
    <w:rsid w:val="001609B1"/>
    <w:rsid w:val="00162553"/>
    <w:rsid w:val="00166514"/>
    <w:rsid w:val="00171075"/>
    <w:rsid w:val="0017232E"/>
    <w:rsid w:val="00174102"/>
    <w:rsid w:val="001742AC"/>
    <w:rsid w:val="00174A2D"/>
    <w:rsid w:val="00177E80"/>
    <w:rsid w:val="00180157"/>
    <w:rsid w:val="00181223"/>
    <w:rsid w:val="00181489"/>
    <w:rsid w:val="00186C54"/>
    <w:rsid w:val="00186F77"/>
    <w:rsid w:val="00190D07"/>
    <w:rsid w:val="00191794"/>
    <w:rsid w:val="00191C9B"/>
    <w:rsid w:val="001926A4"/>
    <w:rsid w:val="00193C54"/>
    <w:rsid w:val="001963A0"/>
    <w:rsid w:val="00197222"/>
    <w:rsid w:val="001A1042"/>
    <w:rsid w:val="001A3A19"/>
    <w:rsid w:val="001A5CD9"/>
    <w:rsid w:val="001A6068"/>
    <w:rsid w:val="001B246B"/>
    <w:rsid w:val="001B45A0"/>
    <w:rsid w:val="001C0E5D"/>
    <w:rsid w:val="001C0F6F"/>
    <w:rsid w:val="001C18EE"/>
    <w:rsid w:val="001D055E"/>
    <w:rsid w:val="001D1694"/>
    <w:rsid w:val="001D2BE6"/>
    <w:rsid w:val="001D3D22"/>
    <w:rsid w:val="001D415E"/>
    <w:rsid w:val="001D5AFA"/>
    <w:rsid w:val="001D6915"/>
    <w:rsid w:val="001D7BC4"/>
    <w:rsid w:val="001E1954"/>
    <w:rsid w:val="001E195F"/>
    <w:rsid w:val="001E1EF0"/>
    <w:rsid w:val="001E6A7A"/>
    <w:rsid w:val="001F09D3"/>
    <w:rsid w:val="001F0F86"/>
    <w:rsid w:val="001F492E"/>
    <w:rsid w:val="001F4AE6"/>
    <w:rsid w:val="001F6DA3"/>
    <w:rsid w:val="002006CE"/>
    <w:rsid w:val="00201703"/>
    <w:rsid w:val="0020238C"/>
    <w:rsid w:val="002047DE"/>
    <w:rsid w:val="0021018C"/>
    <w:rsid w:val="0021200D"/>
    <w:rsid w:val="00212737"/>
    <w:rsid w:val="002164F6"/>
    <w:rsid w:val="00216DFE"/>
    <w:rsid w:val="002207B1"/>
    <w:rsid w:val="00222ACD"/>
    <w:rsid w:val="00224DB9"/>
    <w:rsid w:val="00231465"/>
    <w:rsid w:val="00232264"/>
    <w:rsid w:val="0023239F"/>
    <w:rsid w:val="00233594"/>
    <w:rsid w:val="002407B2"/>
    <w:rsid w:val="00243CD4"/>
    <w:rsid w:val="00244177"/>
    <w:rsid w:val="00246CE3"/>
    <w:rsid w:val="00247712"/>
    <w:rsid w:val="002507D1"/>
    <w:rsid w:val="00251369"/>
    <w:rsid w:val="00251745"/>
    <w:rsid w:val="00256B71"/>
    <w:rsid w:val="0025761D"/>
    <w:rsid w:val="0025765C"/>
    <w:rsid w:val="00260BA7"/>
    <w:rsid w:val="00260F33"/>
    <w:rsid w:val="00263AC0"/>
    <w:rsid w:val="0026446C"/>
    <w:rsid w:val="00264992"/>
    <w:rsid w:val="0026772D"/>
    <w:rsid w:val="002706D3"/>
    <w:rsid w:val="00270BFB"/>
    <w:rsid w:val="00272364"/>
    <w:rsid w:val="00272417"/>
    <w:rsid w:val="002727A2"/>
    <w:rsid w:val="0028052C"/>
    <w:rsid w:val="00281C57"/>
    <w:rsid w:val="00286874"/>
    <w:rsid w:val="00287340"/>
    <w:rsid w:val="002874FC"/>
    <w:rsid w:val="00292B4F"/>
    <w:rsid w:val="00292C8E"/>
    <w:rsid w:val="00293F25"/>
    <w:rsid w:val="00296B65"/>
    <w:rsid w:val="00296D97"/>
    <w:rsid w:val="0029756C"/>
    <w:rsid w:val="002A1A5B"/>
    <w:rsid w:val="002A1AF7"/>
    <w:rsid w:val="002A25C0"/>
    <w:rsid w:val="002A608E"/>
    <w:rsid w:val="002A7DEF"/>
    <w:rsid w:val="002B0B89"/>
    <w:rsid w:val="002B0E8D"/>
    <w:rsid w:val="002B43C0"/>
    <w:rsid w:val="002B77EE"/>
    <w:rsid w:val="002B7960"/>
    <w:rsid w:val="002C33F0"/>
    <w:rsid w:val="002C5A24"/>
    <w:rsid w:val="002D0392"/>
    <w:rsid w:val="002D039E"/>
    <w:rsid w:val="002D21D8"/>
    <w:rsid w:val="002D380D"/>
    <w:rsid w:val="002D3CAF"/>
    <w:rsid w:val="002D4D20"/>
    <w:rsid w:val="002D6A07"/>
    <w:rsid w:val="002E0ABE"/>
    <w:rsid w:val="002E26FF"/>
    <w:rsid w:val="002E3136"/>
    <w:rsid w:val="002E61B3"/>
    <w:rsid w:val="002E7268"/>
    <w:rsid w:val="002E7B9B"/>
    <w:rsid w:val="002F2DE7"/>
    <w:rsid w:val="002F4F31"/>
    <w:rsid w:val="002F58D1"/>
    <w:rsid w:val="002F7986"/>
    <w:rsid w:val="003005AA"/>
    <w:rsid w:val="00302D09"/>
    <w:rsid w:val="00303C4A"/>
    <w:rsid w:val="003046B3"/>
    <w:rsid w:val="00306A14"/>
    <w:rsid w:val="00307577"/>
    <w:rsid w:val="00307F6D"/>
    <w:rsid w:val="00312789"/>
    <w:rsid w:val="00314AB1"/>
    <w:rsid w:val="00316B27"/>
    <w:rsid w:val="003177A2"/>
    <w:rsid w:val="003200ED"/>
    <w:rsid w:val="00322724"/>
    <w:rsid w:val="00326A26"/>
    <w:rsid w:val="003271B5"/>
    <w:rsid w:val="003301BA"/>
    <w:rsid w:val="00330CA0"/>
    <w:rsid w:val="00331264"/>
    <w:rsid w:val="00334C8D"/>
    <w:rsid w:val="00336475"/>
    <w:rsid w:val="00337C45"/>
    <w:rsid w:val="00340655"/>
    <w:rsid w:val="00342D79"/>
    <w:rsid w:val="003459E6"/>
    <w:rsid w:val="00345DB5"/>
    <w:rsid w:val="00346485"/>
    <w:rsid w:val="00346E61"/>
    <w:rsid w:val="00347958"/>
    <w:rsid w:val="003500E3"/>
    <w:rsid w:val="003518B3"/>
    <w:rsid w:val="003520E8"/>
    <w:rsid w:val="0035334D"/>
    <w:rsid w:val="0035703F"/>
    <w:rsid w:val="00360D08"/>
    <w:rsid w:val="00364829"/>
    <w:rsid w:val="00371641"/>
    <w:rsid w:val="0037551F"/>
    <w:rsid w:val="00376F6E"/>
    <w:rsid w:val="003812D0"/>
    <w:rsid w:val="00381437"/>
    <w:rsid w:val="003846F1"/>
    <w:rsid w:val="00385118"/>
    <w:rsid w:val="00387B24"/>
    <w:rsid w:val="00390431"/>
    <w:rsid w:val="00391A94"/>
    <w:rsid w:val="0039265B"/>
    <w:rsid w:val="00393502"/>
    <w:rsid w:val="003A673F"/>
    <w:rsid w:val="003A698F"/>
    <w:rsid w:val="003B15E6"/>
    <w:rsid w:val="003B17F3"/>
    <w:rsid w:val="003B3281"/>
    <w:rsid w:val="003B588F"/>
    <w:rsid w:val="003B5A70"/>
    <w:rsid w:val="003B6DBE"/>
    <w:rsid w:val="003C4433"/>
    <w:rsid w:val="003C4D94"/>
    <w:rsid w:val="003C6E81"/>
    <w:rsid w:val="003D0DF6"/>
    <w:rsid w:val="003D1A60"/>
    <w:rsid w:val="003D2182"/>
    <w:rsid w:val="003D3E09"/>
    <w:rsid w:val="003D49D1"/>
    <w:rsid w:val="003D5D2F"/>
    <w:rsid w:val="003D7CF3"/>
    <w:rsid w:val="003E374C"/>
    <w:rsid w:val="003E5614"/>
    <w:rsid w:val="003E6A7A"/>
    <w:rsid w:val="003F308A"/>
    <w:rsid w:val="003F4F73"/>
    <w:rsid w:val="003F59C5"/>
    <w:rsid w:val="003F5D00"/>
    <w:rsid w:val="004011E6"/>
    <w:rsid w:val="0040649A"/>
    <w:rsid w:val="00406C20"/>
    <w:rsid w:val="0040745C"/>
    <w:rsid w:val="00411AB6"/>
    <w:rsid w:val="004131B1"/>
    <w:rsid w:val="00413FBA"/>
    <w:rsid w:val="00414E0C"/>
    <w:rsid w:val="00422F13"/>
    <w:rsid w:val="0042489D"/>
    <w:rsid w:val="00425D63"/>
    <w:rsid w:val="00427B67"/>
    <w:rsid w:val="00430946"/>
    <w:rsid w:val="00431CDA"/>
    <w:rsid w:val="004321B0"/>
    <w:rsid w:val="004345A6"/>
    <w:rsid w:val="004369E2"/>
    <w:rsid w:val="00444040"/>
    <w:rsid w:val="00450DFE"/>
    <w:rsid w:val="0045226B"/>
    <w:rsid w:val="004530E1"/>
    <w:rsid w:val="00455F11"/>
    <w:rsid w:val="00467732"/>
    <w:rsid w:val="00467F6C"/>
    <w:rsid w:val="00475DDE"/>
    <w:rsid w:val="00476556"/>
    <w:rsid w:val="00477002"/>
    <w:rsid w:val="004809A0"/>
    <w:rsid w:val="00480B4B"/>
    <w:rsid w:val="00484513"/>
    <w:rsid w:val="00484E72"/>
    <w:rsid w:val="00485DC4"/>
    <w:rsid w:val="00486885"/>
    <w:rsid w:val="004911CD"/>
    <w:rsid w:val="004931EC"/>
    <w:rsid w:val="00494E49"/>
    <w:rsid w:val="00495517"/>
    <w:rsid w:val="00496560"/>
    <w:rsid w:val="00496895"/>
    <w:rsid w:val="004A1EC3"/>
    <w:rsid w:val="004A1FAE"/>
    <w:rsid w:val="004A4540"/>
    <w:rsid w:val="004A4D13"/>
    <w:rsid w:val="004B22B0"/>
    <w:rsid w:val="004B4412"/>
    <w:rsid w:val="004B48AD"/>
    <w:rsid w:val="004B73A0"/>
    <w:rsid w:val="004B76D3"/>
    <w:rsid w:val="004C0B41"/>
    <w:rsid w:val="004C348C"/>
    <w:rsid w:val="004C7062"/>
    <w:rsid w:val="004D0DF5"/>
    <w:rsid w:val="004D3CC4"/>
    <w:rsid w:val="004D55BA"/>
    <w:rsid w:val="004D59CE"/>
    <w:rsid w:val="004D6399"/>
    <w:rsid w:val="004E0445"/>
    <w:rsid w:val="004E59AA"/>
    <w:rsid w:val="004E6600"/>
    <w:rsid w:val="004E73DD"/>
    <w:rsid w:val="004E7D14"/>
    <w:rsid w:val="004F2E0C"/>
    <w:rsid w:val="004F35A5"/>
    <w:rsid w:val="004F3EC8"/>
    <w:rsid w:val="004F65A9"/>
    <w:rsid w:val="00502325"/>
    <w:rsid w:val="005038DB"/>
    <w:rsid w:val="00505806"/>
    <w:rsid w:val="00505A30"/>
    <w:rsid w:val="005066D6"/>
    <w:rsid w:val="00512954"/>
    <w:rsid w:val="00517881"/>
    <w:rsid w:val="00521AB7"/>
    <w:rsid w:val="0052319A"/>
    <w:rsid w:val="0052379B"/>
    <w:rsid w:val="00526924"/>
    <w:rsid w:val="00530128"/>
    <w:rsid w:val="00532467"/>
    <w:rsid w:val="0053384A"/>
    <w:rsid w:val="00535388"/>
    <w:rsid w:val="005362EB"/>
    <w:rsid w:val="00543850"/>
    <w:rsid w:val="00543E42"/>
    <w:rsid w:val="00546E1A"/>
    <w:rsid w:val="00547BA2"/>
    <w:rsid w:val="00547CCF"/>
    <w:rsid w:val="0056076F"/>
    <w:rsid w:val="005609D6"/>
    <w:rsid w:val="00562315"/>
    <w:rsid w:val="00562C87"/>
    <w:rsid w:val="0056313D"/>
    <w:rsid w:val="00564633"/>
    <w:rsid w:val="00564A4D"/>
    <w:rsid w:val="0056545C"/>
    <w:rsid w:val="00566B5E"/>
    <w:rsid w:val="00571B35"/>
    <w:rsid w:val="00571C9F"/>
    <w:rsid w:val="00571DFE"/>
    <w:rsid w:val="005741E5"/>
    <w:rsid w:val="00575267"/>
    <w:rsid w:val="00575CF2"/>
    <w:rsid w:val="0057727B"/>
    <w:rsid w:val="00577A09"/>
    <w:rsid w:val="00580B78"/>
    <w:rsid w:val="005814C4"/>
    <w:rsid w:val="005815AC"/>
    <w:rsid w:val="00583778"/>
    <w:rsid w:val="00584D8F"/>
    <w:rsid w:val="00584DEA"/>
    <w:rsid w:val="00592355"/>
    <w:rsid w:val="00594234"/>
    <w:rsid w:val="00595326"/>
    <w:rsid w:val="00595726"/>
    <w:rsid w:val="00595B49"/>
    <w:rsid w:val="00596B2F"/>
    <w:rsid w:val="00596D42"/>
    <w:rsid w:val="005971F2"/>
    <w:rsid w:val="005A0C04"/>
    <w:rsid w:val="005A1648"/>
    <w:rsid w:val="005A26B1"/>
    <w:rsid w:val="005A36B9"/>
    <w:rsid w:val="005A404D"/>
    <w:rsid w:val="005A4E49"/>
    <w:rsid w:val="005A66A3"/>
    <w:rsid w:val="005A7F94"/>
    <w:rsid w:val="005B19D9"/>
    <w:rsid w:val="005B1E3C"/>
    <w:rsid w:val="005B209E"/>
    <w:rsid w:val="005B6AF3"/>
    <w:rsid w:val="005B766F"/>
    <w:rsid w:val="005C2261"/>
    <w:rsid w:val="005C24AC"/>
    <w:rsid w:val="005C26CC"/>
    <w:rsid w:val="005C2D70"/>
    <w:rsid w:val="005C33DC"/>
    <w:rsid w:val="005C3673"/>
    <w:rsid w:val="005C39DB"/>
    <w:rsid w:val="005C46B3"/>
    <w:rsid w:val="005C4E04"/>
    <w:rsid w:val="005C7FB2"/>
    <w:rsid w:val="005D1810"/>
    <w:rsid w:val="005D1FF8"/>
    <w:rsid w:val="005D61B3"/>
    <w:rsid w:val="005E04CA"/>
    <w:rsid w:val="005E349B"/>
    <w:rsid w:val="005E6C0E"/>
    <w:rsid w:val="005F2EB6"/>
    <w:rsid w:val="005F3FA6"/>
    <w:rsid w:val="005F551F"/>
    <w:rsid w:val="00603202"/>
    <w:rsid w:val="006043AF"/>
    <w:rsid w:val="006046BD"/>
    <w:rsid w:val="00604863"/>
    <w:rsid w:val="00605AE2"/>
    <w:rsid w:val="00607157"/>
    <w:rsid w:val="006073AC"/>
    <w:rsid w:val="00607E42"/>
    <w:rsid w:val="00615C6B"/>
    <w:rsid w:val="00615DF6"/>
    <w:rsid w:val="00617761"/>
    <w:rsid w:val="00620313"/>
    <w:rsid w:val="006206FC"/>
    <w:rsid w:val="00623EF7"/>
    <w:rsid w:val="00624E5D"/>
    <w:rsid w:val="00630FC2"/>
    <w:rsid w:val="00632D6D"/>
    <w:rsid w:val="00633BDA"/>
    <w:rsid w:val="00642C3E"/>
    <w:rsid w:val="00644427"/>
    <w:rsid w:val="00644892"/>
    <w:rsid w:val="00645057"/>
    <w:rsid w:val="00646025"/>
    <w:rsid w:val="0064690D"/>
    <w:rsid w:val="006532AA"/>
    <w:rsid w:val="0065392B"/>
    <w:rsid w:val="0065777C"/>
    <w:rsid w:val="00657C07"/>
    <w:rsid w:val="00661D86"/>
    <w:rsid w:val="00663DAD"/>
    <w:rsid w:val="00666BC7"/>
    <w:rsid w:val="00667EBB"/>
    <w:rsid w:val="0067288C"/>
    <w:rsid w:val="00674A09"/>
    <w:rsid w:val="00676679"/>
    <w:rsid w:val="00683627"/>
    <w:rsid w:val="00684560"/>
    <w:rsid w:val="00687D75"/>
    <w:rsid w:val="00690155"/>
    <w:rsid w:val="00691616"/>
    <w:rsid w:val="00697285"/>
    <w:rsid w:val="006A037F"/>
    <w:rsid w:val="006A2908"/>
    <w:rsid w:val="006A3C4D"/>
    <w:rsid w:val="006A3F55"/>
    <w:rsid w:val="006A473B"/>
    <w:rsid w:val="006A4B89"/>
    <w:rsid w:val="006A4F07"/>
    <w:rsid w:val="006A6307"/>
    <w:rsid w:val="006A67D9"/>
    <w:rsid w:val="006A6B2E"/>
    <w:rsid w:val="006B086E"/>
    <w:rsid w:val="006B20CD"/>
    <w:rsid w:val="006B4CF9"/>
    <w:rsid w:val="006B5792"/>
    <w:rsid w:val="006B7177"/>
    <w:rsid w:val="006B7AC8"/>
    <w:rsid w:val="006B7EC2"/>
    <w:rsid w:val="006C0F76"/>
    <w:rsid w:val="006C1261"/>
    <w:rsid w:val="006C3C67"/>
    <w:rsid w:val="006C6923"/>
    <w:rsid w:val="006C78EC"/>
    <w:rsid w:val="006C7FE4"/>
    <w:rsid w:val="006D0C7D"/>
    <w:rsid w:val="006D11CA"/>
    <w:rsid w:val="006D550F"/>
    <w:rsid w:val="006D737A"/>
    <w:rsid w:val="006D77F3"/>
    <w:rsid w:val="006D79CA"/>
    <w:rsid w:val="006E0F51"/>
    <w:rsid w:val="006E315E"/>
    <w:rsid w:val="006E343F"/>
    <w:rsid w:val="006E3B46"/>
    <w:rsid w:val="006E6299"/>
    <w:rsid w:val="006F1F36"/>
    <w:rsid w:val="006F63F1"/>
    <w:rsid w:val="006F7880"/>
    <w:rsid w:val="00701CAB"/>
    <w:rsid w:val="00702111"/>
    <w:rsid w:val="00707563"/>
    <w:rsid w:val="00713670"/>
    <w:rsid w:val="007144C7"/>
    <w:rsid w:val="007175F3"/>
    <w:rsid w:val="0071775C"/>
    <w:rsid w:val="0072107C"/>
    <w:rsid w:val="007215B7"/>
    <w:rsid w:val="0072348C"/>
    <w:rsid w:val="00724175"/>
    <w:rsid w:val="00724A37"/>
    <w:rsid w:val="00724A5C"/>
    <w:rsid w:val="007252D2"/>
    <w:rsid w:val="0072594E"/>
    <w:rsid w:val="00725F8B"/>
    <w:rsid w:val="00726AA6"/>
    <w:rsid w:val="00727EF7"/>
    <w:rsid w:val="007303C3"/>
    <w:rsid w:val="00735ABF"/>
    <w:rsid w:val="00735D1F"/>
    <w:rsid w:val="00736927"/>
    <w:rsid w:val="007424B6"/>
    <w:rsid w:val="00743223"/>
    <w:rsid w:val="00746E01"/>
    <w:rsid w:val="00750EA4"/>
    <w:rsid w:val="007528B4"/>
    <w:rsid w:val="007545D7"/>
    <w:rsid w:val="00755785"/>
    <w:rsid w:val="0075661A"/>
    <w:rsid w:val="00761637"/>
    <w:rsid w:val="00762EBF"/>
    <w:rsid w:val="00763E5D"/>
    <w:rsid w:val="00767740"/>
    <w:rsid w:val="00772FD5"/>
    <w:rsid w:val="00776D93"/>
    <w:rsid w:val="00777EE6"/>
    <w:rsid w:val="0078119C"/>
    <w:rsid w:val="0078264F"/>
    <w:rsid w:val="00782EEA"/>
    <w:rsid w:val="007861F7"/>
    <w:rsid w:val="0078671C"/>
    <w:rsid w:val="007926CA"/>
    <w:rsid w:val="00795545"/>
    <w:rsid w:val="00795CBB"/>
    <w:rsid w:val="007A03C1"/>
    <w:rsid w:val="007A050F"/>
    <w:rsid w:val="007A680B"/>
    <w:rsid w:val="007B1888"/>
    <w:rsid w:val="007B2454"/>
    <w:rsid w:val="007B2C72"/>
    <w:rsid w:val="007B47D7"/>
    <w:rsid w:val="007B633E"/>
    <w:rsid w:val="007B64CC"/>
    <w:rsid w:val="007B695B"/>
    <w:rsid w:val="007C0FE4"/>
    <w:rsid w:val="007C1C53"/>
    <w:rsid w:val="007C2596"/>
    <w:rsid w:val="007C4948"/>
    <w:rsid w:val="007C5B44"/>
    <w:rsid w:val="007C7548"/>
    <w:rsid w:val="007C77D0"/>
    <w:rsid w:val="007D0F7D"/>
    <w:rsid w:val="007D1273"/>
    <w:rsid w:val="007D2587"/>
    <w:rsid w:val="007E0874"/>
    <w:rsid w:val="007E0BC2"/>
    <w:rsid w:val="007E26A9"/>
    <w:rsid w:val="007E2C91"/>
    <w:rsid w:val="007E3437"/>
    <w:rsid w:val="007E4904"/>
    <w:rsid w:val="007E4CB5"/>
    <w:rsid w:val="007E4EAA"/>
    <w:rsid w:val="007E5284"/>
    <w:rsid w:val="007F066B"/>
    <w:rsid w:val="007F1855"/>
    <w:rsid w:val="007F5020"/>
    <w:rsid w:val="007F634C"/>
    <w:rsid w:val="007F6555"/>
    <w:rsid w:val="007F7F80"/>
    <w:rsid w:val="008022BA"/>
    <w:rsid w:val="00802B61"/>
    <w:rsid w:val="008033C4"/>
    <w:rsid w:val="00806807"/>
    <w:rsid w:val="00806C88"/>
    <w:rsid w:val="00810080"/>
    <w:rsid w:val="008101C5"/>
    <w:rsid w:val="0081034E"/>
    <w:rsid w:val="00811924"/>
    <w:rsid w:val="0081451E"/>
    <w:rsid w:val="008227EC"/>
    <w:rsid w:val="0082281C"/>
    <w:rsid w:val="00823296"/>
    <w:rsid w:val="008232B2"/>
    <w:rsid w:val="00832100"/>
    <w:rsid w:val="00833236"/>
    <w:rsid w:val="0083359B"/>
    <w:rsid w:val="008344F6"/>
    <w:rsid w:val="0083510F"/>
    <w:rsid w:val="00842BB1"/>
    <w:rsid w:val="008430E9"/>
    <w:rsid w:val="00843B4E"/>
    <w:rsid w:val="00844C04"/>
    <w:rsid w:val="00847765"/>
    <w:rsid w:val="00851209"/>
    <w:rsid w:val="00851AED"/>
    <w:rsid w:val="008559F1"/>
    <w:rsid w:val="00855DAC"/>
    <w:rsid w:val="008606B4"/>
    <w:rsid w:val="00863D46"/>
    <w:rsid w:val="00864FB0"/>
    <w:rsid w:val="008660A6"/>
    <w:rsid w:val="00867D1B"/>
    <w:rsid w:val="008711DD"/>
    <w:rsid w:val="00875C40"/>
    <w:rsid w:val="00876CEE"/>
    <w:rsid w:val="0088007E"/>
    <w:rsid w:val="00880123"/>
    <w:rsid w:val="008837AC"/>
    <w:rsid w:val="008847F1"/>
    <w:rsid w:val="00885E07"/>
    <w:rsid w:val="00886759"/>
    <w:rsid w:val="00887FB5"/>
    <w:rsid w:val="0089085B"/>
    <w:rsid w:val="0089184E"/>
    <w:rsid w:val="008942ED"/>
    <w:rsid w:val="008945B4"/>
    <w:rsid w:val="00895951"/>
    <w:rsid w:val="0089607B"/>
    <w:rsid w:val="008A334D"/>
    <w:rsid w:val="008A3439"/>
    <w:rsid w:val="008A4648"/>
    <w:rsid w:val="008A503A"/>
    <w:rsid w:val="008A587D"/>
    <w:rsid w:val="008A65F0"/>
    <w:rsid w:val="008A72D1"/>
    <w:rsid w:val="008B3D2C"/>
    <w:rsid w:val="008B6618"/>
    <w:rsid w:val="008B7504"/>
    <w:rsid w:val="008C24C2"/>
    <w:rsid w:val="008C3FCF"/>
    <w:rsid w:val="008C5486"/>
    <w:rsid w:val="008C7628"/>
    <w:rsid w:val="008C7E27"/>
    <w:rsid w:val="008D409D"/>
    <w:rsid w:val="008D630F"/>
    <w:rsid w:val="008D73F0"/>
    <w:rsid w:val="008E28E5"/>
    <w:rsid w:val="008E3D6E"/>
    <w:rsid w:val="008E5325"/>
    <w:rsid w:val="008E5AD6"/>
    <w:rsid w:val="008E5D41"/>
    <w:rsid w:val="008E6D60"/>
    <w:rsid w:val="008E7031"/>
    <w:rsid w:val="008E7A02"/>
    <w:rsid w:val="008F3290"/>
    <w:rsid w:val="008F6553"/>
    <w:rsid w:val="00900153"/>
    <w:rsid w:val="00903922"/>
    <w:rsid w:val="00903E7A"/>
    <w:rsid w:val="00903F47"/>
    <w:rsid w:val="00904C40"/>
    <w:rsid w:val="00905DC7"/>
    <w:rsid w:val="00906445"/>
    <w:rsid w:val="00906B57"/>
    <w:rsid w:val="009072A1"/>
    <w:rsid w:val="00910C26"/>
    <w:rsid w:val="009168BE"/>
    <w:rsid w:val="00916FE9"/>
    <w:rsid w:val="00922C95"/>
    <w:rsid w:val="0092305C"/>
    <w:rsid w:val="009233EE"/>
    <w:rsid w:val="009256BA"/>
    <w:rsid w:val="00925A55"/>
    <w:rsid w:val="00926961"/>
    <w:rsid w:val="00933CBB"/>
    <w:rsid w:val="00943356"/>
    <w:rsid w:val="00951D6B"/>
    <w:rsid w:val="00952699"/>
    <w:rsid w:val="009607CB"/>
    <w:rsid w:val="0096114C"/>
    <w:rsid w:val="0096249A"/>
    <w:rsid w:val="0096264A"/>
    <w:rsid w:val="00962E34"/>
    <w:rsid w:val="00964259"/>
    <w:rsid w:val="009661DE"/>
    <w:rsid w:val="0096663F"/>
    <w:rsid w:val="00972B3C"/>
    <w:rsid w:val="009737C3"/>
    <w:rsid w:val="009741E7"/>
    <w:rsid w:val="00974A53"/>
    <w:rsid w:val="00974B6A"/>
    <w:rsid w:val="009755A8"/>
    <w:rsid w:val="0097606E"/>
    <w:rsid w:val="00976F2A"/>
    <w:rsid w:val="0098001C"/>
    <w:rsid w:val="00982FCC"/>
    <w:rsid w:val="00985418"/>
    <w:rsid w:val="009856B7"/>
    <w:rsid w:val="0098602B"/>
    <w:rsid w:val="0098697B"/>
    <w:rsid w:val="00991B3B"/>
    <w:rsid w:val="009962BA"/>
    <w:rsid w:val="009A1F2B"/>
    <w:rsid w:val="009A267E"/>
    <w:rsid w:val="009A7A8E"/>
    <w:rsid w:val="009B6978"/>
    <w:rsid w:val="009B6F93"/>
    <w:rsid w:val="009B74B0"/>
    <w:rsid w:val="009B7AC4"/>
    <w:rsid w:val="009C0BFD"/>
    <w:rsid w:val="009C42F9"/>
    <w:rsid w:val="009C47D0"/>
    <w:rsid w:val="009C5A6A"/>
    <w:rsid w:val="009D34A5"/>
    <w:rsid w:val="009D4414"/>
    <w:rsid w:val="009D5FC9"/>
    <w:rsid w:val="009D6B46"/>
    <w:rsid w:val="009E027C"/>
    <w:rsid w:val="009E36D1"/>
    <w:rsid w:val="009E5364"/>
    <w:rsid w:val="009E6FEE"/>
    <w:rsid w:val="009E7180"/>
    <w:rsid w:val="009F2F98"/>
    <w:rsid w:val="009F32D4"/>
    <w:rsid w:val="009F3E1E"/>
    <w:rsid w:val="009F4940"/>
    <w:rsid w:val="009F567D"/>
    <w:rsid w:val="009F73F5"/>
    <w:rsid w:val="00A01DA9"/>
    <w:rsid w:val="00A047B3"/>
    <w:rsid w:val="00A051CE"/>
    <w:rsid w:val="00A070FB"/>
    <w:rsid w:val="00A120BE"/>
    <w:rsid w:val="00A126AC"/>
    <w:rsid w:val="00A13522"/>
    <w:rsid w:val="00A13C9B"/>
    <w:rsid w:val="00A150FA"/>
    <w:rsid w:val="00A15BD2"/>
    <w:rsid w:val="00A1665B"/>
    <w:rsid w:val="00A206BB"/>
    <w:rsid w:val="00A21B24"/>
    <w:rsid w:val="00A23955"/>
    <w:rsid w:val="00A33969"/>
    <w:rsid w:val="00A340CF"/>
    <w:rsid w:val="00A42845"/>
    <w:rsid w:val="00A42DC9"/>
    <w:rsid w:val="00A42DDA"/>
    <w:rsid w:val="00A43042"/>
    <w:rsid w:val="00A43762"/>
    <w:rsid w:val="00A43FEA"/>
    <w:rsid w:val="00A4478A"/>
    <w:rsid w:val="00A44852"/>
    <w:rsid w:val="00A450A6"/>
    <w:rsid w:val="00A45228"/>
    <w:rsid w:val="00A45618"/>
    <w:rsid w:val="00A53C88"/>
    <w:rsid w:val="00A56B2F"/>
    <w:rsid w:val="00A56BEB"/>
    <w:rsid w:val="00A57B0B"/>
    <w:rsid w:val="00A57D04"/>
    <w:rsid w:val="00A60368"/>
    <w:rsid w:val="00A60895"/>
    <w:rsid w:val="00A60A26"/>
    <w:rsid w:val="00A61598"/>
    <w:rsid w:val="00A6170A"/>
    <w:rsid w:val="00A64422"/>
    <w:rsid w:val="00A74D97"/>
    <w:rsid w:val="00A7644B"/>
    <w:rsid w:val="00A77183"/>
    <w:rsid w:val="00A77ABA"/>
    <w:rsid w:val="00A8336D"/>
    <w:rsid w:val="00A83E70"/>
    <w:rsid w:val="00A84F46"/>
    <w:rsid w:val="00A850C8"/>
    <w:rsid w:val="00A85928"/>
    <w:rsid w:val="00A871F4"/>
    <w:rsid w:val="00A878C0"/>
    <w:rsid w:val="00A908E4"/>
    <w:rsid w:val="00A91307"/>
    <w:rsid w:val="00A913F2"/>
    <w:rsid w:val="00A97DD7"/>
    <w:rsid w:val="00AA04F7"/>
    <w:rsid w:val="00AA22B7"/>
    <w:rsid w:val="00AA3797"/>
    <w:rsid w:val="00AA443C"/>
    <w:rsid w:val="00AA62B0"/>
    <w:rsid w:val="00AA7EB4"/>
    <w:rsid w:val="00AB2628"/>
    <w:rsid w:val="00AB37E2"/>
    <w:rsid w:val="00AB4CFD"/>
    <w:rsid w:val="00AC0DC8"/>
    <w:rsid w:val="00AC1740"/>
    <w:rsid w:val="00AC1B2C"/>
    <w:rsid w:val="00AC291B"/>
    <w:rsid w:val="00AC3264"/>
    <w:rsid w:val="00AC456E"/>
    <w:rsid w:val="00AC6F01"/>
    <w:rsid w:val="00AD1E94"/>
    <w:rsid w:val="00AD253A"/>
    <w:rsid w:val="00AD68B6"/>
    <w:rsid w:val="00AD729A"/>
    <w:rsid w:val="00AE0FE2"/>
    <w:rsid w:val="00AE1BF1"/>
    <w:rsid w:val="00AE390A"/>
    <w:rsid w:val="00AE42A7"/>
    <w:rsid w:val="00AF0DD2"/>
    <w:rsid w:val="00AF2FAE"/>
    <w:rsid w:val="00AF5314"/>
    <w:rsid w:val="00AF7FD6"/>
    <w:rsid w:val="00B0478B"/>
    <w:rsid w:val="00B06817"/>
    <w:rsid w:val="00B06985"/>
    <w:rsid w:val="00B07176"/>
    <w:rsid w:val="00B10314"/>
    <w:rsid w:val="00B12457"/>
    <w:rsid w:val="00B13048"/>
    <w:rsid w:val="00B14070"/>
    <w:rsid w:val="00B15998"/>
    <w:rsid w:val="00B1716D"/>
    <w:rsid w:val="00B17A1D"/>
    <w:rsid w:val="00B207A0"/>
    <w:rsid w:val="00B22A05"/>
    <w:rsid w:val="00B22AAC"/>
    <w:rsid w:val="00B24C7B"/>
    <w:rsid w:val="00B33610"/>
    <w:rsid w:val="00B33E86"/>
    <w:rsid w:val="00B34D1F"/>
    <w:rsid w:val="00B40269"/>
    <w:rsid w:val="00B434A0"/>
    <w:rsid w:val="00B43D33"/>
    <w:rsid w:val="00B50C4D"/>
    <w:rsid w:val="00B52DD5"/>
    <w:rsid w:val="00B552EB"/>
    <w:rsid w:val="00B56E03"/>
    <w:rsid w:val="00B605B8"/>
    <w:rsid w:val="00B60F5D"/>
    <w:rsid w:val="00B62DAF"/>
    <w:rsid w:val="00B63251"/>
    <w:rsid w:val="00B632D0"/>
    <w:rsid w:val="00B67E91"/>
    <w:rsid w:val="00B710A9"/>
    <w:rsid w:val="00B71B61"/>
    <w:rsid w:val="00B724B1"/>
    <w:rsid w:val="00B7303D"/>
    <w:rsid w:val="00B75821"/>
    <w:rsid w:val="00B75C04"/>
    <w:rsid w:val="00B8080B"/>
    <w:rsid w:val="00B82F7F"/>
    <w:rsid w:val="00B86231"/>
    <w:rsid w:val="00B87C39"/>
    <w:rsid w:val="00B918CA"/>
    <w:rsid w:val="00B9584D"/>
    <w:rsid w:val="00B97C16"/>
    <w:rsid w:val="00BA1A82"/>
    <w:rsid w:val="00BA1BFC"/>
    <w:rsid w:val="00BA2369"/>
    <w:rsid w:val="00BA4665"/>
    <w:rsid w:val="00BA4A3B"/>
    <w:rsid w:val="00BA7E0E"/>
    <w:rsid w:val="00BB12C0"/>
    <w:rsid w:val="00BB2FB2"/>
    <w:rsid w:val="00BB3304"/>
    <w:rsid w:val="00BB43C2"/>
    <w:rsid w:val="00BB6A6F"/>
    <w:rsid w:val="00BC3DDD"/>
    <w:rsid w:val="00BC4DE2"/>
    <w:rsid w:val="00BC608C"/>
    <w:rsid w:val="00BC7022"/>
    <w:rsid w:val="00BC7E84"/>
    <w:rsid w:val="00BD144A"/>
    <w:rsid w:val="00BD261D"/>
    <w:rsid w:val="00BD3446"/>
    <w:rsid w:val="00BD4164"/>
    <w:rsid w:val="00BE1F1B"/>
    <w:rsid w:val="00BE2042"/>
    <w:rsid w:val="00BE47B5"/>
    <w:rsid w:val="00BE4C99"/>
    <w:rsid w:val="00BE6392"/>
    <w:rsid w:val="00BE75E4"/>
    <w:rsid w:val="00BF0877"/>
    <w:rsid w:val="00BF0BEB"/>
    <w:rsid w:val="00BF389F"/>
    <w:rsid w:val="00BF44F0"/>
    <w:rsid w:val="00BF518A"/>
    <w:rsid w:val="00BF59FB"/>
    <w:rsid w:val="00BF628A"/>
    <w:rsid w:val="00BF6BCC"/>
    <w:rsid w:val="00C0176D"/>
    <w:rsid w:val="00C03D5E"/>
    <w:rsid w:val="00C053DF"/>
    <w:rsid w:val="00C058AB"/>
    <w:rsid w:val="00C064CF"/>
    <w:rsid w:val="00C06739"/>
    <w:rsid w:val="00C102B9"/>
    <w:rsid w:val="00C114C3"/>
    <w:rsid w:val="00C129A3"/>
    <w:rsid w:val="00C1479D"/>
    <w:rsid w:val="00C201ED"/>
    <w:rsid w:val="00C21960"/>
    <w:rsid w:val="00C2340C"/>
    <w:rsid w:val="00C25096"/>
    <w:rsid w:val="00C26BBE"/>
    <w:rsid w:val="00C326BC"/>
    <w:rsid w:val="00C32FC8"/>
    <w:rsid w:val="00C36FF2"/>
    <w:rsid w:val="00C4269F"/>
    <w:rsid w:val="00C42743"/>
    <w:rsid w:val="00C432D2"/>
    <w:rsid w:val="00C46F5E"/>
    <w:rsid w:val="00C4727E"/>
    <w:rsid w:val="00C51A64"/>
    <w:rsid w:val="00C538A9"/>
    <w:rsid w:val="00C53B5A"/>
    <w:rsid w:val="00C54F5A"/>
    <w:rsid w:val="00C5718F"/>
    <w:rsid w:val="00C57CC3"/>
    <w:rsid w:val="00C60BA3"/>
    <w:rsid w:val="00C64F9A"/>
    <w:rsid w:val="00C65AAE"/>
    <w:rsid w:val="00C66E55"/>
    <w:rsid w:val="00C706D5"/>
    <w:rsid w:val="00C706D9"/>
    <w:rsid w:val="00C713B3"/>
    <w:rsid w:val="00C755AD"/>
    <w:rsid w:val="00C75C06"/>
    <w:rsid w:val="00C816C1"/>
    <w:rsid w:val="00C85A17"/>
    <w:rsid w:val="00C86679"/>
    <w:rsid w:val="00C92858"/>
    <w:rsid w:val="00C95344"/>
    <w:rsid w:val="00CA0516"/>
    <w:rsid w:val="00CA053D"/>
    <w:rsid w:val="00CA13A4"/>
    <w:rsid w:val="00CA47CB"/>
    <w:rsid w:val="00CA53AD"/>
    <w:rsid w:val="00CA75FD"/>
    <w:rsid w:val="00CB07E2"/>
    <w:rsid w:val="00CB1305"/>
    <w:rsid w:val="00CB15E0"/>
    <w:rsid w:val="00CB666B"/>
    <w:rsid w:val="00CB67AA"/>
    <w:rsid w:val="00CB694A"/>
    <w:rsid w:val="00CB6E84"/>
    <w:rsid w:val="00CB7263"/>
    <w:rsid w:val="00CC1172"/>
    <w:rsid w:val="00CC258F"/>
    <w:rsid w:val="00CC31FB"/>
    <w:rsid w:val="00CC4D14"/>
    <w:rsid w:val="00CC58CF"/>
    <w:rsid w:val="00CC6150"/>
    <w:rsid w:val="00CC6C39"/>
    <w:rsid w:val="00CC7E48"/>
    <w:rsid w:val="00CD4160"/>
    <w:rsid w:val="00CD6A37"/>
    <w:rsid w:val="00CD7DC0"/>
    <w:rsid w:val="00CE3DE6"/>
    <w:rsid w:val="00CE5838"/>
    <w:rsid w:val="00CE7A86"/>
    <w:rsid w:val="00CF1CA8"/>
    <w:rsid w:val="00CF22C3"/>
    <w:rsid w:val="00CF543E"/>
    <w:rsid w:val="00CF5D01"/>
    <w:rsid w:val="00CF72E7"/>
    <w:rsid w:val="00CF799E"/>
    <w:rsid w:val="00D0115B"/>
    <w:rsid w:val="00D01CF0"/>
    <w:rsid w:val="00D0442A"/>
    <w:rsid w:val="00D0473B"/>
    <w:rsid w:val="00D06214"/>
    <w:rsid w:val="00D0776B"/>
    <w:rsid w:val="00D07838"/>
    <w:rsid w:val="00D167F3"/>
    <w:rsid w:val="00D16DCD"/>
    <w:rsid w:val="00D16FF3"/>
    <w:rsid w:val="00D177E5"/>
    <w:rsid w:val="00D203E1"/>
    <w:rsid w:val="00D208F7"/>
    <w:rsid w:val="00D20BCC"/>
    <w:rsid w:val="00D3041A"/>
    <w:rsid w:val="00D35961"/>
    <w:rsid w:val="00D363FD"/>
    <w:rsid w:val="00D41BD5"/>
    <w:rsid w:val="00D421BC"/>
    <w:rsid w:val="00D47F55"/>
    <w:rsid w:val="00D50FF3"/>
    <w:rsid w:val="00D544B8"/>
    <w:rsid w:val="00D5471F"/>
    <w:rsid w:val="00D54C95"/>
    <w:rsid w:val="00D603D9"/>
    <w:rsid w:val="00D61388"/>
    <w:rsid w:val="00D61A54"/>
    <w:rsid w:val="00D64DEA"/>
    <w:rsid w:val="00D6603D"/>
    <w:rsid w:val="00D67400"/>
    <w:rsid w:val="00D7245F"/>
    <w:rsid w:val="00D73605"/>
    <w:rsid w:val="00D75B0F"/>
    <w:rsid w:val="00D774E3"/>
    <w:rsid w:val="00D80893"/>
    <w:rsid w:val="00D85580"/>
    <w:rsid w:val="00D91B08"/>
    <w:rsid w:val="00D91F74"/>
    <w:rsid w:val="00D92CF1"/>
    <w:rsid w:val="00D92D38"/>
    <w:rsid w:val="00D94EDF"/>
    <w:rsid w:val="00D95017"/>
    <w:rsid w:val="00D950F5"/>
    <w:rsid w:val="00DA032C"/>
    <w:rsid w:val="00DA0795"/>
    <w:rsid w:val="00DA0B58"/>
    <w:rsid w:val="00DA1A22"/>
    <w:rsid w:val="00DA2113"/>
    <w:rsid w:val="00DA787E"/>
    <w:rsid w:val="00DB0F93"/>
    <w:rsid w:val="00DB6D82"/>
    <w:rsid w:val="00DC055F"/>
    <w:rsid w:val="00DC11A7"/>
    <w:rsid w:val="00DC1A77"/>
    <w:rsid w:val="00DC32D3"/>
    <w:rsid w:val="00DC542F"/>
    <w:rsid w:val="00DC6BB2"/>
    <w:rsid w:val="00DC7981"/>
    <w:rsid w:val="00DD07A2"/>
    <w:rsid w:val="00DD1AEE"/>
    <w:rsid w:val="00DD2B2E"/>
    <w:rsid w:val="00DD52A3"/>
    <w:rsid w:val="00DD5CA4"/>
    <w:rsid w:val="00DE0FD5"/>
    <w:rsid w:val="00DE1356"/>
    <w:rsid w:val="00DE143E"/>
    <w:rsid w:val="00DE3221"/>
    <w:rsid w:val="00DE4335"/>
    <w:rsid w:val="00DE4EFA"/>
    <w:rsid w:val="00DE5520"/>
    <w:rsid w:val="00DE557C"/>
    <w:rsid w:val="00DE633B"/>
    <w:rsid w:val="00DE6A9F"/>
    <w:rsid w:val="00DF0D12"/>
    <w:rsid w:val="00DF2CA1"/>
    <w:rsid w:val="00DF4289"/>
    <w:rsid w:val="00DF4DA5"/>
    <w:rsid w:val="00DF55E8"/>
    <w:rsid w:val="00DF7C41"/>
    <w:rsid w:val="00E01235"/>
    <w:rsid w:val="00E02D47"/>
    <w:rsid w:val="00E038F7"/>
    <w:rsid w:val="00E04818"/>
    <w:rsid w:val="00E06442"/>
    <w:rsid w:val="00E131FC"/>
    <w:rsid w:val="00E14298"/>
    <w:rsid w:val="00E16BD8"/>
    <w:rsid w:val="00E201B3"/>
    <w:rsid w:val="00E2035E"/>
    <w:rsid w:val="00E22EBF"/>
    <w:rsid w:val="00E235B8"/>
    <w:rsid w:val="00E23989"/>
    <w:rsid w:val="00E23993"/>
    <w:rsid w:val="00E24134"/>
    <w:rsid w:val="00E24A9A"/>
    <w:rsid w:val="00E25B8C"/>
    <w:rsid w:val="00E26154"/>
    <w:rsid w:val="00E27784"/>
    <w:rsid w:val="00E306F8"/>
    <w:rsid w:val="00E317A8"/>
    <w:rsid w:val="00E327B3"/>
    <w:rsid w:val="00E34AAD"/>
    <w:rsid w:val="00E35178"/>
    <w:rsid w:val="00E35BDB"/>
    <w:rsid w:val="00E379E6"/>
    <w:rsid w:val="00E37C96"/>
    <w:rsid w:val="00E412C0"/>
    <w:rsid w:val="00E45640"/>
    <w:rsid w:val="00E45AC7"/>
    <w:rsid w:val="00E4674F"/>
    <w:rsid w:val="00E47956"/>
    <w:rsid w:val="00E544D0"/>
    <w:rsid w:val="00E551CC"/>
    <w:rsid w:val="00E556FF"/>
    <w:rsid w:val="00E56F3F"/>
    <w:rsid w:val="00E6034A"/>
    <w:rsid w:val="00E60C1F"/>
    <w:rsid w:val="00E621DD"/>
    <w:rsid w:val="00E65C85"/>
    <w:rsid w:val="00E66199"/>
    <w:rsid w:val="00E7185A"/>
    <w:rsid w:val="00E7337C"/>
    <w:rsid w:val="00E74D53"/>
    <w:rsid w:val="00E755EC"/>
    <w:rsid w:val="00E759A1"/>
    <w:rsid w:val="00E7624D"/>
    <w:rsid w:val="00E76C2D"/>
    <w:rsid w:val="00E76DB5"/>
    <w:rsid w:val="00E77899"/>
    <w:rsid w:val="00E77DE6"/>
    <w:rsid w:val="00E82565"/>
    <w:rsid w:val="00E825F8"/>
    <w:rsid w:val="00E82892"/>
    <w:rsid w:val="00E854F8"/>
    <w:rsid w:val="00E85660"/>
    <w:rsid w:val="00E85D71"/>
    <w:rsid w:val="00E8632B"/>
    <w:rsid w:val="00EA260F"/>
    <w:rsid w:val="00EA3D42"/>
    <w:rsid w:val="00EA532C"/>
    <w:rsid w:val="00EA6B1B"/>
    <w:rsid w:val="00EB0DB0"/>
    <w:rsid w:val="00EB1571"/>
    <w:rsid w:val="00EB1F66"/>
    <w:rsid w:val="00EB558C"/>
    <w:rsid w:val="00EB74B6"/>
    <w:rsid w:val="00EC0FD6"/>
    <w:rsid w:val="00EC387F"/>
    <w:rsid w:val="00EC65E2"/>
    <w:rsid w:val="00ED5D92"/>
    <w:rsid w:val="00ED61D9"/>
    <w:rsid w:val="00ED6267"/>
    <w:rsid w:val="00ED7C65"/>
    <w:rsid w:val="00EE0C37"/>
    <w:rsid w:val="00EE21A7"/>
    <w:rsid w:val="00EE2596"/>
    <w:rsid w:val="00EE28F3"/>
    <w:rsid w:val="00EE4260"/>
    <w:rsid w:val="00EE57C1"/>
    <w:rsid w:val="00EE6CF7"/>
    <w:rsid w:val="00EF5110"/>
    <w:rsid w:val="00EF5989"/>
    <w:rsid w:val="00F00630"/>
    <w:rsid w:val="00F06ECA"/>
    <w:rsid w:val="00F12284"/>
    <w:rsid w:val="00F15882"/>
    <w:rsid w:val="00F16416"/>
    <w:rsid w:val="00F201D8"/>
    <w:rsid w:val="00F20BD3"/>
    <w:rsid w:val="00F21D6A"/>
    <w:rsid w:val="00F25A87"/>
    <w:rsid w:val="00F25C2B"/>
    <w:rsid w:val="00F267AD"/>
    <w:rsid w:val="00F27456"/>
    <w:rsid w:val="00F312C1"/>
    <w:rsid w:val="00F3327C"/>
    <w:rsid w:val="00F373A5"/>
    <w:rsid w:val="00F43C34"/>
    <w:rsid w:val="00F44E41"/>
    <w:rsid w:val="00F46C81"/>
    <w:rsid w:val="00F47559"/>
    <w:rsid w:val="00F50A7C"/>
    <w:rsid w:val="00F511C9"/>
    <w:rsid w:val="00F55945"/>
    <w:rsid w:val="00F56DB9"/>
    <w:rsid w:val="00F60BE4"/>
    <w:rsid w:val="00F61541"/>
    <w:rsid w:val="00F61B84"/>
    <w:rsid w:val="00F63D4A"/>
    <w:rsid w:val="00F6461B"/>
    <w:rsid w:val="00F64C7B"/>
    <w:rsid w:val="00F676DD"/>
    <w:rsid w:val="00F752E0"/>
    <w:rsid w:val="00F75A26"/>
    <w:rsid w:val="00F80DDF"/>
    <w:rsid w:val="00F83FAD"/>
    <w:rsid w:val="00F847F4"/>
    <w:rsid w:val="00F8488B"/>
    <w:rsid w:val="00F857C8"/>
    <w:rsid w:val="00F90369"/>
    <w:rsid w:val="00F9042F"/>
    <w:rsid w:val="00F9098D"/>
    <w:rsid w:val="00F91DC6"/>
    <w:rsid w:val="00F952A0"/>
    <w:rsid w:val="00F96DD5"/>
    <w:rsid w:val="00FA039C"/>
    <w:rsid w:val="00FA067D"/>
    <w:rsid w:val="00FA3C7F"/>
    <w:rsid w:val="00FA4AA2"/>
    <w:rsid w:val="00FA5E17"/>
    <w:rsid w:val="00FB43C2"/>
    <w:rsid w:val="00FB4622"/>
    <w:rsid w:val="00FB52D7"/>
    <w:rsid w:val="00FB74E2"/>
    <w:rsid w:val="00FC07B2"/>
    <w:rsid w:val="00FC6AF6"/>
    <w:rsid w:val="00FC7EEC"/>
    <w:rsid w:val="00FD2490"/>
    <w:rsid w:val="00FD5614"/>
    <w:rsid w:val="00FD68EB"/>
    <w:rsid w:val="00FD6D8F"/>
    <w:rsid w:val="00FE0BE1"/>
    <w:rsid w:val="00FE1DE9"/>
    <w:rsid w:val="00FE22BC"/>
    <w:rsid w:val="00FE39C2"/>
    <w:rsid w:val="00FE5F11"/>
    <w:rsid w:val="00FE64AE"/>
    <w:rsid w:val="00FE70D7"/>
    <w:rsid w:val="00FE77BC"/>
    <w:rsid w:val="00FF41E6"/>
    <w:rsid w:val="00FF5C56"/>
    <w:rsid w:val="00FF79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pPr>
  </w:style>
  <w:style w:type="paragraph" w:customStyle="1" w:styleId="Numbered11">
    <w:name w:val="Numbered 1.1"/>
    <w:basedOn w:val="Heading2"/>
    <w:next w:val="Normal"/>
    <w:qFormat/>
    <w:rsid w:val="00F61B84"/>
    <w:pPr>
      <w:numPr>
        <w:ilvl w:val="1"/>
        <w:numId w:val="12"/>
      </w:numPr>
      <w:tabs>
        <w:tab w:val="left" w:pos="1021"/>
      </w:tabs>
    </w:pPr>
    <w:rPr>
      <w:rFonts w:cs="Arial"/>
      <w:b w:val="0"/>
    </w:rPr>
  </w:style>
  <w:style w:type="paragraph" w:customStyle="1" w:styleId="Numbered111">
    <w:name w:val="Numbered 1.1.1"/>
    <w:basedOn w:val="Heading3"/>
    <w:next w:val="Normal"/>
    <w:qFormat/>
    <w:rsid w:val="00F61B84"/>
    <w:pPr>
      <w:numPr>
        <w:ilvl w:val="2"/>
        <w:numId w:val="12"/>
      </w:numPr>
      <w:tabs>
        <w:tab w:val="left" w:pos="1361"/>
      </w:tabs>
      <w:contextualSpacing/>
    </w:pPr>
  </w:style>
  <w:style w:type="paragraph" w:customStyle="1" w:styleId="Numbered1111">
    <w:name w:val="Numbered 1.1.1.1"/>
    <w:basedOn w:val="Heading4"/>
    <w:next w:val="Normal"/>
    <w:rsid w:val="00F61B84"/>
    <w:pPr>
      <w:numPr>
        <w:ilvl w:val="3"/>
        <w:numId w:val="12"/>
      </w:numPr>
      <w:tabs>
        <w:tab w:val="left" w:pos="1361"/>
      </w:tabs>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pPr>
    <w:rPr>
      <w:rFonts w:cs="Times New Roman"/>
    </w:rPr>
  </w:style>
  <w:style w:type="paragraph" w:styleId="ListBullet">
    <w:name w:val="List Bullet"/>
    <w:basedOn w:val="Normal"/>
    <w:uiPriority w:val="99"/>
    <w:rsid w:val="00DC542F"/>
    <w:pPr>
      <w:numPr>
        <w:numId w:val="10"/>
      </w:numPr>
      <w:tabs>
        <w:tab w:val="left" w:pos="340"/>
      </w:tabs>
      <w:spacing w:before="12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styleId="CommentReference">
    <w:name w:val="annotation reference"/>
    <w:basedOn w:val="DefaultParagraphFont"/>
    <w:uiPriority w:val="99"/>
    <w:semiHidden/>
    <w:unhideWhenUsed/>
    <w:rsid w:val="00BF628A"/>
    <w:rPr>
      <w:sz w:val="16"/>
      <w:szCs w:val="16"/>
    </w:rPr>
  </w:style>
  <w:style w:type="paragraph" w:styleId="CommentText">
    <w:name w:val="annotation text"/>
    <w:basedOn w:val="Normal"/>
    <w:link w:val="CommentTextChar"/>
    <w:uiPriority w:val="99"/>
    <w:semiHidden/>
    <w:unhideWhenUsed/>
    <w:rsid w:val="00BF628A"/>
    <w:rPr>
      <w:sz w:val="20"/>
      <w:szCs w:val="20"/>
    </w:rPr>
  </w:style>
  <w:style w:type="character" w:customStyle="1" w:styleId="CommentTextChar">
    <w:name w:val="Comment Text Char"/>
    <w:basedOn w:val="DefaultParagraphFont"/>
    <w:link w:val="CommentText"/>
    <w:uiPriority w:val="99"/>
    <w:semiHidden/>
    <w:rsid w:val="00BF628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628A"/>
    <w:rPr>
      <w:b/>
      <w:bCs/>
    </w:rPr>
  </w:style>
  <w:style w:type="character" w:customStyle="1" w:styleId="CommentSubjectChar">
    <w:name w:val="Comment Subject Char"/>
    <w:basedOn w:val="CommentTextChar"/>
    <w:link w:val="CommentSubject"/>
    <w:uiPriority w:val="99"/>
    <w:semiHidden/>
    <w:rsid w:val="00BF628A"/>
    <w:rPr>
      <w:rFonts w:ascii="Arial" w:hAnsi="Arial"/>
      <w:b/>
      <w:bCs/>
      <w:sz w:val="20"/>
      <w:szCs w:val="20"/>
    </w:rPr>
  </w:style>
  <w:style w:type="paragraph" w:customStyle="1" w:styleId="Bullet">
    <w:name w:val="Bullet"/>
    <w:basedOn w:val="Normal"/>
    <w:link w:val="BulletChar"/>
    <w:rsid w:val="006A3F55"/>
    <w:pPr>
      <w:numPr>
        <w:numId w:val="28"/>
      </w:numPr>
      <w:tabs>
        <w:tab w:val="left" w:pos="720"/>
      </w:tabs>
      <w:spacing w:before="0" w:after="200" w:line="276" w:lineRule="auto"/>
    </w:pPr>
    <w:rPr>
      <w:rFonts w:ascii="Calibri" w:eastAsia="Calibri" w:hAnsi="Calibri" w:cs="Times New Roman"/>
    </w:rPr>
  </w:style>
  <w:style w:type="character" w:customStyle="1" w:styleId="BulletChar">
    <w:name w:val="Bullet Char"/>
    <w:link w:val="Bullet"/>
    <w:rsid w:val="006A3F55"/>
    <w:rPr>
      <w:rFonts w:ascii="Calibri" w:eastAsia="Calibri" w:hAnsi="Calibri" w:cs="Times New Roman"/>
    </w:rPr>
  </w:style>
  <w:style w:type="paragraph" w:customStyle="1" w:styleId="Dash">
    <w:name w:val="Dash"/>
    <w:basedOn w:val="Normal"/>
    <w:rsid w:val="006A3F55"/>
    <w:pPr>
      <w:numPr>
        <w:ilvl w:val="1"/>
        <w:numId w:val="28"/>
      </w:numPr>
      <w:tabs>
        <w:tab w:val="num" w:pos="360"/>
        <w:tab w:val="left" w:pos="720"/>
      </w:tabs>
      <w:spacing w:before="0" w:after="200" w:line="276" w:lineRule="auto"/>
      <w:ind w:left="0" w:firstLine="0"/>
    </w:pPr>
    <w:rPr>
      <w:rFonts w:ascii="Calibri" w:eastAsia="Calibri" w:hAnsi="Calibri" w:cs="Times New Roman"/>
    </w:rPr>
  </w:style>
  <w:style w:type="paragraph" w:customStyle="1" w:styleId="DoubleDot">
    <w:name w:val="Double Dot"/>
    <w:basedOn w:val="Normal"/>
    <w:rsid w:val="006A3F55"/>
    <w:pPr>
      <w:numPr>
        <w:ilvl w:val="2"/>
        <w:numId w:val="28"/>
      </w:numPr>
      <w:tabs>
        <w:tab w:val="num" w:pos="360"/>
        <w:tab w:val="left" w:pos="720"/>
      </w:tabs>
      <w:spacing w:before="0" w:after="200" w:line="276" w:lineRule="auto"/>
      <w:ind w:left="0" w:firstLine="0"/>
    </w:pPr>
    <w:rPr>
      <w:rFonts w:ascii="Calibri" w:eastAsia="Calibri" w:hAnsi="Calibri" w:cs="Times New Roman"/>
    </w:rPr>
  </w:style>
  <w:style w:type="table" w:customStyle="1" w:styleId="LightGrid-Accent21">
    <w:name w:val="Light Grid - Accent 21"/>
    <w:basedOn w:val="TableNormal"/>
    <w:next w:val="LightGrid-Accent2"/>
    <w:uiPriority w:val="62"/>
    <w:rsid w:val="006A3F55"/>
    <w:pPr>
      <w:spacing w:before="0"/>
    </w:pPr>
    <w:rPr>
      <w:rFonts w:ascii="Cambria" w:eastAsia="MS Mincho" w:hAnsi="Cambria" w:cs="Times New Roman"/>
      <w:sz w:val="24"/>
      <w:szCs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auto"/>
    </w:tcPr>
    <w:tblStylePr w:type="firstRow">
      <w:pPr>
        <w:spacing w:before="0" w:after="0" w:line="240" w:lineRule="auto"/>
      </w:pPr>
      <w:rPr>
        <w:rFonts w:ascii="Calibri" w:eastAsia="MS Gothic" w:hAnsi="Calibri" w:cs="Times New Roman"/>
        <w:b/>
        <w:bCs/>
      </w:rPr>
      <w:tblPr/>
      <w:tcPr>
        <w:shd w:val="clear" w:color="auto" w:fill="CD0920"/>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Revision">
    <w:name w:val="Revision"/>
    <w:hidden/>
    <w:uiPriority w:val="99"/>
    <w:semiHidden/>
    <w:rsid w:val="00E306F8"/>
    <w:pPr>
      <w:spacing w:before="0"/>
    </w:pPr>
    <w:rPr>
      <w:rFonts w:ascii="Arial" w:hAnsi="Arial"/>
    </w:rPr>
  </w:style>
  <w:style w:type="paragraph" w:customStyle="1" w:styleId="Default">
    <w:name w:val="Default"/>
    <w:rsid w:val="00E556FF"/>
    <w:pPr>
      <w:autoSpaceDE w:val="0"/>
      <w:autoSpaceDN w:val="0"/>
      <w:adjustRightInd w:val="0"/>
      <w:spacing w:before="0"/>
    </w:pPr>
    <w:rPr>
      <w:rFonts w:ascii="Warnock Pro" w:eastAsia="Calibri" w:hAnsi="Warnock Pro" w:cs="Warnock Pro"/>
      <w:color w:val="000000"/>
      <w:sz w:val="24"/>
      <w:szCs w:val="24"/>
      <w:lang w:eastAsia="en-AU"/>
    </w:rPr>
  </w:style>
  <w:style w:type="paragraph" w:customStyle="1" w:styleId="TableText0">
    <w:name w:val="TableText"/>
    <w:basedOn w:val="Normal"/>
    <w:qFormat/>
    <w:rsid w:val="001F0F86"/>
    <w:pPr>
      <w:spacing w:before="120" w:after="120"/>
    </w:pPr>
    <w:rPr>
      <w:rFonts w:eastAsia="Times New Roman" w:cs="Arial"/>
      <w:bCs/>
      <w:sz w:val="20"/>
      <w:szCs w:val="20"/>
    </w:rPr>
  </w:style>
  <w:style w:type="character" w:styleId="FollowedHyperlink">
    <w:name w:val="FollowedHyperlink"/>
    <w:basedOn w:val="DefaultParagraphFont"/>
    <w:uiPriority w:val="99"/>
    <w:semiHidden/>
    <w:unhideWhenUsed/>
    <w:rsid w:val="00411A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pPr>
  </w:style>
  <w:style w:type="paragraph" w:customStyle="1" w:styleId="Numbered11">
    <w:name w:val="Numbered 1.1"/>
    <w:basedOn w:val="Heading2"/>
    <w:next w:val="Normal"/>
    <w:qFormat/>
    <w:rsid w:val="00F61B84"/>
    <w:pPr>
      <w:numPr>
        <w:ilvl w:val="1"/>
        <w:numId w:val="12"/>
      </w:numPr>
      <w:tabs>
        <w:tab w:val="left" w:pos="1021"/>
      </w:tabs>
    </w:pPr>
    <w:rPr>
      <w:rFonts w:cs="Arial"/>
      <w:b w:val="0"/>
    </w:rPr>
  </w:style>
  <w:style w:type="paragraph" w:customStyle="1" w:styleId="Numbered111">
    <w:name w:val="Numbered 1.1.1"/>
    <w:basedOn w:val="Heading3"/>
    <w:next w:val="Normal"/>
    <w:qFormat/>
    <w:rsid w:val="00F61B84"/>
    <w:pPr>
      <w:numPr>
        <w:ilvl w:val="2"/>
        <w:numId w:val="12"/>
      </w:numPr>
      <w:tabs>
        <w:tab w:val="left" w:pos="1361"/>
      </w:tabs>
      <w:contextualSpacing/>
    </w:pPr>
  </w:style>
  <w:style w:type="paragraph" w:customStyle="1" w:styleId="Numbered1111">
    <w:name w:val="Numbered 1.1.1.1"/>
    <w:basedOn w:val="Heading4"/>
    <w:next w:val="Normal"/>
    <w:rsid w:val="00F61B84"/>
    <w:pPr>
      <w:numPr>
        <w:ilvl w:val="3"/>
        <w:numId w:val="12"/>
      </w:numPr>
      <w:tabs>
        <w:tab w:val="left" w:pos="1361"/>
      </w:tabs>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pPr>
    <w:rPr>
      <w:rFonts w:cs="Times New Roman"/>
    </w:rPr>
  </w:style>
  <w:style w:type="paragraph" w:styleId="ListBullet">
    <w:name w:val="List Bullet"/>
    <w:basedOn w:val="Normal"/>
    <w:uiPriority w:val="99"/>
    <w:rsid w:val="00DC542F"/>
    <w:pPr>
      <w:numPr>
        <w:numId w:val="10"/>
      </w:numPr>
      <w:tabs>
        <w:tab w:val="left" w:pos="340"/>
      </w:tabs>
      <w:spacing w:before="12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styleId="CommentReference">
    <w:name w:val="annotation reference"/>
    <w:basedOn w:val="DefaultParagraphFont"/>
    <w:uiPriority w:val="99"/>
    <w:semiHidden/>
    <w:unhideWhenUsed/>
    <w:rsid w:val="00BF628A"/>
    <w:rPr>
      <w:sz w:val="16"/>
      <w:szCs w:val="16"/>
    </w:rPr>
  </w:style>
  <w:style w:type="paragraph" w:styleId="CommentText">
    <w:name w:val="annotation text"/>
    <w:basedOn w:val="Normal"/>
    <w:link w:val="CommentTextChar"/>
    <w:uiPriority w:val="99"/>
    <w:semiHidden/>
    <w:unhideWhenUsed/>
    <w:rsid w:val="00BF628A"/>
    <w:rPr>
      <w:sz w:val="20"/>
      <w:szCs w:val="20"/>
    </w:rPr>
  </w:style>
  <w:style w:type="character" w:customStyle="1" w:styleId="CommentTextChar">
    <w:name w:val="Comment Text Char"/>
    <w:basedOn w:val="DefaultParagraphFont"/>
    <w:link w:val="CommentText"/>
    <w:uiPriority w:val="99"/>
    <w:semiHidden/>
    <w:rsid w:val="00BF628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628A"/>
    <w:rPr>
      <w:b/>
      <w:bCs/>
    </w:rPr>
  </w:style>
  <w:style w:type="character" w:customStyle="1" w:styleId="CommentSubjectChar">
    <w:name w:val="Comment Subject Char"/>
    <w:basedOn w:val="CommentTextChar"/>
    <w:link w:val="CommentSubject"/>
    <w:uiPriority w:val="99"/>
    <w:semiHidden/>
    <w:rsid w:val="00BF628A"/>
    <w:rPr>
      <w:rFonts w:ascii="Arial" w:hAnsi="Arial"/>
      <w:b/>
      <w:bCs/>
      <w:sz w:val="20"/>
      <w:szCs w:val="20"/>
    </w:rPr>
  </w:style>
  <w:style w:type="paragraph" w:customStyle="1" w:styleId="Bullet">
    <w:name w:val="Bullet"/>
    <w:basedOn w:val="Normal"/>
    <w:link w:val="BulletChar"/>
    <w:rsid w:val="006A3F55"/>
    <w:pPr>
      <w:numPr>
        <w:numId w:val="28"/>
      </w:numPr>
      <w:tabs>
        <w:tab w:val="left" w:pos="720"/>
      </w:tabs>
      <w:spacing w:before="0" w:after="200" w:line="276" w:lineRule="auto"/>
    </w:pPr>
    <w:rPr>
      <w:rFonts w:ascii="Calibri" w:eastAsia="Calibri" w:hAnsi="Calibri" w:cs="Times New Roman"/>
    </w:rPr>
  </w:style>
  <w:style w:type="character" w:customStyle="1" w:styleId="BulletChar">
    <w:name w:val="Bullet Char"/>
    <w:link w:val="Bullet"/>
    <w:rsid w:val="006A3F55"/>
    <w:rPr>
      <w:rFonts w:ascii="Calibri" w:eastAsia="Calibri" w:hAnsi="Calibri" w:cs="Times New Roman"/>
    </w:rPr>
  </w:style>
  <w:style w:type="paragraph" w:customStyle="1" w:styleId="Dash">
    <w:name w:val="Dash"/>
    <w:basedOn w:val="Normal"/>
    <w:rsid w:val="006A3F55"/>
    <w:pPr>
      <w:numPr>
        <w:ilvl w:val="1"/>
        <w:numId w:val="28"/>
      </w:numPr>
      <w:tabs>
        <w:tab w:val="num" w:pos="360"/>
        <w:tab w:val="left" w:pos="720"/>
      </w:tabs>
      <w:spacing w:before="0" w:after="200" w:line="276" w:lineRule="auto"/>
      <w:ind w:left="0" w:firstLine="0"/>
    </w:pPr>
    <w:rPr>
      <w:rFonts w:ascii="Calibri" w:eastAsia="Calibri" w:hAnsi="Calibri" w:cs="Times New Roman"/>
    </w:rPr>
  </w:style>
  <w:style w:type="paragraph" w:customStyle="1" w:styleId="DoubleDot">
    <w:name w:val="Double Dot"/>
    <w:basedOn w:val="Normal"/>
    <w:rsid w:val="006A3F55"/>
    <w:pPr>
      <w:numPr>
        <w:ilvl w:val="2"/>
        <w:numId w:val="28"/>
      </w:numPr>
      <w:tabs>
        <w:tab w:val="num" w:pos="360"/>
        <w:tab w:val="left" w:pos="720"/>
      </w:tabs>
      <w:spacing w:before="0" w:after="200" w:line="276" w:lineRule="auto"/>
      <w:ind w:left="0" w:firstLine="0"/>
    </w:pPr>
    <w:rPr>
      <w:rFonts w:ascii="Calibri" w:eastAsia="Calibri" w:hAnsi="Calibri" w:cs="Times New Roman"/>
    </w:rPr>
  </w:style>
  <w:style w:type="table" w:customStyle="1" w:styleId="LightGrid-Accent21">
    <w:name w:val="Light Grid - Accent 21"/>
    <w:basedOn w:val="TableNormal"/>
    <w:next w:val="LightGrid-Accent2"/>
    <w:uiPriority w:val="62"/>
    <w:rsid w:val="006A3F55"/>
    <w:pPr>
      <w:spacing w:before="0"/>
    </w:pPr>
    <w:rPr>
      <w:rFonts w:ascii="Cambria" w:eastAsia="MS Mincho" w:hAnsi="Cambria" w:cs="Times New Roman"/>
      <w:sz w:val="24"/>
      <w:szCs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auto"/>
    </w:tcPr>
    <w:tblStylePr w:type="firstRow">
      <w:pPr>
        <w:spacing w:before="0" w:after="0" w:line="240" w:lineRule="auto"/>
      </w:pPr>
      <w:rPr>
        <w:rFonts w:ascii="Calibri" w:eastAsia="MS Gothic" w:hAnsi="Calibri" w:cs="Times New Roman"/>
        <w:b/>
        <w:bCs/>
      </w:rPr>
      <w:tblPr/>
      <w:tcPr>
        <w:shd w:val="clear" w:color="auto" w:fill="CD0920"/>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Revision">
    <w:name w:val="Revision"/>
    <w:hidden/>
    <w:uiPriority w:val="99"/>
    <w:semiHidden/>
    <w:rsid w:val="00E306F8"/>
    <w:pPr>
      <w:spacing w:before="0"/>
    </w:pPr>
    <w:rPr>
      <w:rFonts w:ascii="Arial" w:hAnsi="Arial"/>
    </w:rPr>
  </w:style>
  <w:style w:type="paragraph" w:customStyle="1" w:styleId="Default">
    <w:name w:val="Default"/>
    <w:rsid w:val="00E556FF"/>
    <w:pPr>
      <w:autoSpaceDE w:val="0"/>
      <w:autoSpaceDN w:val="0"/>
      <w:adjustRightInd w:val="0"/>
      <w:spacing w:before="0"/>
    </w:pPr>
    <w:rPr>
      <w:rFonts w:ascii="Warnock Pro" w:eastAsia="Calibri" w:hAnsi="Warnock Pro" w:cs="Warnock Pro"/>
      <w:color w:val="000000"/>
      <w:sz w:val="24"/>
      <w:szCs w:val="24"/>
      <w:lang w:eastAsia="en-AU"/>
    </w:rPr>
  </w:style>
  <w:style w:type="paragraph" w:customStyle="1" w:styleId="TableText0">
    <w:name w:val="TableText"/>
    <w:basedOn w:val="Normal"/>
    <w:qFormat/>
    <w:rsid w:val="001F0F86"/>
    <w:pPr>
      <w:spacing w:before="120" w:after="120"/>
    </w:pPr>
    <w:rPr>
      <w:rFonts w:eastAsia="Times New Roman" w:cs="Arial"/>
      <w:bCs/>
      <w:sz w:val="20"/>
      <w:szCs w:val="20"/>
    </w:rPr>
  </w:style>
  <w:style w:type="character" w:styleId="FollowedHyperlink">
    <w:name w:val="FollowedHyperlink"/>
    <w:basedOn w:val="DefaultParagraphFont"/>
    <w:uiPriority w:val="99"/>
    <w:semiHidden/>
    <w:unhideWhenUsed/>
    <w:rsid w:val="00411A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0694">
      <w:bodyDiv w:val="1"/>
      <w:marLeft w:val="0"/>
      <w:marRight w:val="0"/>
      <w:marTop w:val="0"/>
      <w:marBottom w:val="0"/>
      <w:divBdr>
        <w:top w:val="none" w:sz="0" w:space="0" w:color="auto"/>
        <w:left w:val="none" w:sz="0" w:space="0" w:color="auto"/>
        <w:bottom w:val="none" w:sz="0" w:space="0" w:color="auto"/>
        <w:right w:val="none" w:sz="0" w:space="0" w:color="auto"/>
      </w:divBdr>
    </w:div>
    <w:div w:id="668484683">
      <w:bodyDiv w:val="1"/>
      <w:marLeft w:val="0"/>
      <w:marRight w:val="0"/>
      <w:marTop w:val="0"/>
      <w:marBottom w:val="0"/>
      <w:divBdr>
        <w:top w:val="none" w:sz="0" w:space="0" w:color="auto"/>
        <w:left w:val="none" w:sz="0" w:space="0" w:color="auto"/>
        <w:bottom w:val="none" w:sz="0" w:space="0" w:color="auto"/>
        <w:right w:val="none" w:sz="0" w:space="0" w:color="auto"/>
      </w:divBdr>
      <w:divsChild>
        <w:div w:id="1831100143">
          <w:blockQuote w:val="1"/>
          <w:marLeft w:val="720"/>
          <w:marRight w:val="720"/>
          <w:marTop w:val="100"/>
          <w:marBottom w:val="100"/>
          <w:divBdr>
            <w:top w:val="none" w:sz="0" w:space="0" w:color="auto"/>
            <w:left w:val="none" w:sz="0" w:space="0" w:color="auto"/>
            <w:bottom w:val="none" w:sz="0" w:space="0" w:color="auto"/>
            <w:right w:val="none" w:sz="0" w:space="0" w:color="auto"/>
          </w:divBdr>
        </w:div>
        <w:div w:id="256988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797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8264720">
      <w:bodyDiv w:val="1"/>
      <w:marLeft w:val="0"/>
      <w:marRight w:val="0"/>
      <w:marTop w:val="0"/>
      <w:marBottom w:val="0"/>
      <w:divBdr>
        <w:top w:val="none" w:sz="0" w:space="0" w:color="auto"/>
        <w:left w:val="none" w:sz="0" w:space="0" w:color="auto"/>
        <w:bottom w:val="none" w:sz="0" w:space="0" w:color="auto"/>
        <w:right w:val="none" w:sz="0" w:space="0" w:color="auto"/>
      </w:divBdr>
      <w:divsChild>
        <w:div w:id="1178885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762192">
          <w:blockQuote w:val="1"/>
          <w:marLeft w:val="720"/>
          <w:marRight w:val="720"/>
          <w:marTop w:val="100"/>
          <w:marBottom w:val="100"/>
          <w:divBdr>
            <w:top w:val="none" w:sz="0" w:space="0" w:color="auto"/>
            <w:left w:val="none" w:sz="0" w:space="0" w:color="auto"/>
            <w:bottom w:val="none" w:sz="0" w:space="0" w:color="auto"/>
            <w:right w:val="none" w:sz="0" w:space="0" w:color="auto"/>
          </w:divBdr>
        </w:div>
        <w:div w:id="8161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047339394">
      <w:bodyDiv w:val="1"/>
      <w:marLeft w:val="0"/>
      <w:marRight w:val="0"/>
      <w:marTop w:val="0"/>
      <w:marBottom w:val="0"/>
      <w:divBdr>
        <w:top w:val="none" w:sz="0" w:space="0" w:color="auto"/>
        <w:left w:val="none" w:sz="0" w:space="0" w:color="auto"/>
        <w:bottom w:val="none" w:sz="0" w:space="0" w:color="auto"/>
        <w:right w:val="none" w:sz="0" w:space="0" w:color="auto"/>
      </w:divBdr>
    </w:div>
    <w:div w:id="1180392816">
      <w:bodyDiv w:val="1"/>
      <w:marLeft w:val="0"/>
      <w:marRight w:val="0"/>
      <w:marTop w:val="0"/>
      <w:marBottom w:val="0"/>
      <w:divBdr>
        <w:top w:val="none" w:sz="0" w:space="0" w:color="auto"/>
        <w:left w:val="none" w:sz="0" w:space="0" w:color="auto"/>
        <w:bottom w:val="none" w:sz="0" w:space="0" w:color="auto"/>
        <w:right w:val="none" w:sz="0" w:space="0" w:color="auto"/>
      </w:divBdr>
      <w:divsChild>
        <w:div w:id="772019130">
          <w:marLeft w:val="0"/>
          <w:marRight w:val="0"/>
          <w:marTop w:val="0"/>
          <w:marBottom w:val="0"/>
          <w:divBdr>
            <w:top w:val="none" w:sz="0" w:space="0" w:color="auto"/>
            <w:left w:val="none" w:sz="0" w:space="0" w:color="auto"/>
            <w:bottom w:val="none" w:sz="0" w:space="0" w:color="auto"/>
            <w:right w:val="none" w:sz="0" w:space="0" w:color="auto"/>
          </w:divBdr>
          <w:divsChild>
            <w:div w:id="800729192">
              <w:marLeft w:val="0"/>
              <w:marRight w:val="0"/>
              <w:marTop w:val="0"/>
              <w:marBottom w:val="0"/>
              <w:divBdr>
                <w:top w:val="none" w:sz="0" w:space="0" w:color="auto"/>
                <w:left w:val="none" w:sz="0" w:space="0" w:color="auto"/>
                <w:bottom w:val="none" w:sz="0" w:space="0" w:color="auto"/>
                <w:right w:val="none" w:sz="0" w:space="0" w:color="auto"/>
              </w:divBdr>
              <w:divsChild>
                <w:div w:id="425418143">
                  <w:marLeft w:val="0"/>
                  <w:marRight w:val="0"/>
                  <w:marTop w:val="0"/>
                  <w:marBottom w:val="0"/>
                  <w:divBdr>
                    <w:top w:val="none" w:sz="0" w:space="0" w:color="auto"/>
                    <w:left w:val="none" w:sz="0" w:space="0" w:color="auto"/>
                    <w:bottom w:val="none" w:sz="0" w:space="0" w:color="auto"/>
                    <w:right w:val="none" w:sz="0" w:space="0" w:color="auto"/>
                  </w:divBdr>
                  <w:divsChild>
                    <w:div w:id="2059477712">
                      <w:marLeft w:val="0"/>
                      <w:marRight w:val="0"/>
                      <w:marTop w:val="0"/>
                      <w:marBottom w:val="0"/>
                      <w:divBdr>
                        <w:top w:val="none" w:sz="0" w:space="0" w:color="auto"/>
                        <w:left w:val="none" w:sz="0" w:space="0" w:color="auto"/>
                        <w:bottom w:val="none" w:sz="0" w:space="0" w:color="auto"/>
                        <w:right w:val="none" w:sz="0" w:space="0" w:color="auto"/>
                      </w:divBdr>
                      <w:divsChild>
                        <w:div w:id="871726265">
                          <w:marLeft w:val="0"/>
                          <w:marRight w:val="0"/>
                          <w:marTop w:val="0"/>
                          <w:marBottom w:val="0"/>
                          <w:divBdr>
                            <w:top w:val="none" w:sz="0" w:space="0" w:color="auto"/>
                            <w:left w:val="none" w:sz="0" w:space="0" w:color="auto"/>
                            <w:bottom w:val="none" w:sz="0" w:space="0" w:color="auto"/>
                            <w:right w:val="none" w:sz="0" w:space="0" w:color="auto"/>
                          </w:divBdr>
                          <w:divsChild>
                            <w:div w:id="22486556">
                              <w:marLeft w:val="0"/>
                              <w:marRight w:val="0"/>
                              <w:marTop w:val="0"/>
                              <w:marBottom w:val="0"/>
                              <w:divBdr>
                                <w:top w:val="single" w:sz="6" w:space="0" w:color="828282"/>
                                <w:left w:val="single" w:sz="6" w:space="0" w:color="828282"/>
                                <w:bottom w:val="single" w:sz="6" w:space="0" w:color="828282"/>
                                <w:right w:val="single" w:sz="6" w:space="0" w:color="828282"/>
                              </w:divBdr>
                              <w:divsChild>
                                <w:div w:id="1361008352">
                                  <w:marLeft w:val="0"/>
                                  <w:marRight w:val="0"/>
                                  <w:marTop w:val="0"/>
                                  <w:marBottom w:val="0"/>
                                  <w:divBdr>
                                    <w:top w:val="none" w:sz="0" w:space="0" w:color="auto"/>
                                    <w:left w:val="none" w:sz="0" w:space="0" w:color="auto"/>
                                    <w:bottom w:val="none" w:sz="0" w:space="0" w:color="auto"/>
                                    <w:right w:val="none" w:sz="0" w:space="0" w:color="auto"/>
                                  </w:divBdr>
                                  <w:divsChild>
                                    <w:div w:id="349338027">
                                      <w:marLeft w:val="0"/>
                                      <w:marRight w:val="0"/>
                                      <w:marTop w:val="0"/>
                                      <w:marBottom w:val="0"/>
                                      <w:divBdr>
                                        <w:top w:val="none" w:sz="0" w:space="0" w:color="auto"/>
                                        <w:left w:val="none" w:sz="0" w:space="0" w:color="auto"/>
                                        <w:bottom w:val="none" w:sz="0" w:space="0" w:color="auto"/>
                                        <w:right w:val="none" w:sz="0" w:space="0" w:color="auto"/>
                                      </w:divBdr>
                                      <w:divsChild>
                                        <w:div w:id="936060402">
                                          <w:marLeft w:val="0"/>
                                          <w:marRight w:val="0"/>
                                          <w:marTop w:val="0"/>
                                          <w:marBottom w:val="0"/>
                                          <w:divBdr>
                                            <w:top w:val="none" w:sz="0" w:space="0" w:color="auto"/>
                                            <w:left w:val="none" w:sz="0" w:space="0" w:color="auto"/>
                                            <w:bottom w:val="none" w:sz="0" w:space="0" w:color="auto"/>
                                            <w:right w:val="none" w:sz="0" w:space="0" w:color="auto"/>
                                          </w:divBdr>
                                          <w:divsChild>
                                            <w:div w:id="875045979">
                                              <w:marLeft w:val="0"/>
                                              <w:marRight w:val="0"/>
                                              <w:marTop w:val="0"/>
                                              <w:marBottom w:val="0"/>
                                              <w:divBdr>
                                                <w:top w:val="none" w:sz="0" w:space="0" w:color="auto"/>
                                                <w:left w:val="none" w:sz="0" w:space="0" w:color="auto"/>
                                                <w:bottom w:val="none" w:sz="0" w:space="0" w:color="auto"/>
                                                <w:right w:val="none" w:sz="0" w:space="0" w:color="auto"/>
                                              </w:divBdr>
                                              <w:divsChild>
                                                <w:div w:id="660550427">
                                                  <w:marLeft w:val="0"/>
                                                  <w:marRight w:val="0"/>
                                                  <w:marTop w:val="0"/>
                                                  <w:marBottom w:val="0"/>
                                                  <w:divBdr>
                                                    <w:top w:val="none" w:sz="0" w:space="0" w:color="auto"/>
                                                    <w:left w:val="none" w:sz="0" w:space="0" w:color="auto"/>
                                                    <w:bottom w:val="none" w:sz="0" w:space="0" w:color="auto"/>
                                                    <w:right w:val="none" w:sz="0" w:space="0" w:color="auto"/>
                                                  </w:divBdr>
                                                  <w:divsChild>
                                                    <w:div w:id="90926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reativecommons.org.a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creativecommons.org.au/" TargetMode="External"/><Relationship Id="rId17" Type="http://schemas.openxmlformats.org/officeDocument/2006/relationships/hyperlink" Target="mailto:productsafety.regulation@accc.gov.au" TargetMode="External"/><Relationship Id="rId2" Type="http://schemas.openxmlformats.org/officeDocument/2006/relationships/customXml" Target="../customXml/item2.xml"/><Relationship Id="rId16" Type="http://schemas.openxmlformats.org/officeDocument/2006/relationships/hyperlink" Target="http://www.business.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http://www.productsafety.gov.au/"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consultation.accc.gov.a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prints.qut.edu.au/58389/" TargetMode="External"/><Relationship Id="rId1" Type="http://schemas.openxmlformats.org/officeDocument/2006/relationships/hyperlink" Target="https://www.productsafety.gov.au/content/index.phtml/itemId/1014180"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B72514-B55C-49CA-9FAE-2D522ED1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A6CFBB18</Template>
  <TotalTime>13</TotalTime>
  <Pages>24</Pages>
  <Words>7620</Words>
  <Characters>43439</Characters>
  <Application>Microsoft Office Word</Application>
  <DocSecurity>4</DocSecurity>
  <Lines>361</Lines>
  <Paragraphs>101</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50958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Khan, Ali</dc:creator>
  <cp:lastModifiedBy>Charlotte Marshall</cp:lastModifiedBy>
  <cp:revision>2</cp:revision>
  <cp:lastPrinted>2016-11-02T22:57:00Z</cp:lastPrinted>
  <dcterms:created xsi:type="dcterms:W3CDTF">2017-02-07T04:36:00Z</dcterms:created>
  <dcterms:modified xsi:type="dcterms:W3CDTF">2017-02-07T04:36:00Z</dcterms:modified>
</cp:coreProperties>
</file>