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65773323" w:displacedByCustomXml="next"/>
    <w:bookmarkStart w:id="1" w:name="_Toc465673455" w:displacedByCustomXml="next"/>
    <w:bookmarkStart w:id="2" w:name="_Toc465670538" w:displacedByCustomXml="next"/>
    <w:bookmarkStart w:id="3" w:name="_Toc465436703" w:displacedByCustomXml="next"/>
    <w:bookmarkStart w:id="4" w:name="_Toc465321968" w:displacedByCustomXml="next"/>
    <w:bookmarkStart w:id="5" w:name="_Toc465321532" w:displacedByCustomXml="next"/>
    <w:bookmarkStart w:id="6" w:name="_Toc465089425" w:displacedByCustomXml="next"/>
    <w:bookmarkStart w:id="7" w:name="_Toc465089395" w:displacedByCustomXml="next"/>
    <w:bookmarkStart w:id="8" w:name="_Toc464548805" w:displacedByCustomXml="next"/>
    <w:bookmarkStart w:id="9" w:name="_Toc464542292" w:displacedByCustomXml="next"/>
    <w:bookmarkStart w:id="10" w:name="_Toc460570015" w:displacedByCustomXml="next"/>
    <w:bookmarkStart w:id="11" w:name="_Toc460328230" w:displacedByCustomXml="next"/>
    <w:bookmarkStart w:id="12" w:name="_Toc460239684" w:displacedByCustomXml="next"/>
    <w:bookmarkStart w:id="13" w:name="_Toc459206863" w:displacedByCustomXml="next"/>
    <w:bookmarkStart w:id="14" w:name="_Toc458691395" w:displacedByCustomXml="next"/>
    <w:bookmarkStart w:id="15" w:name="_Toc457313543" w:displacedByCustomXml="next"/>
    <w:bookmarkStart w:id="16" w:name="_Toc456623847" w:displacedByCustomXml="next"/>
    <w:bookmarkStart w:id="17" w:name="_Toc456098871" w:displacedByCustomXml="next"/>
    <w:bookmarkStart w:id="18" w:name="_Toc455756316" w:displacedByCustomXml="next"/>
    <w:bookmarkStart w:id="19" w:name="_Toc455499182" w:displacedByCustomXml="next"/>
    <w:bookmarkStart w:id="20" w:name="_Toc455066828" w:displacedByCustomXml="next"/>
    <w:bookmarkStart w:id="21" w:name="_Toc455066793" w:displacedByCustomXml="next"/>
    <w:bookmarkStart w:id="22" w:name="_Toc452994793" w:displacedByCustomXml="next"/>
    <w:sdt>
      <w:sdtPr>
        <w:id w:val="-118455831"/>
        <w:docPartObj>
          <w:docPartGallery w:val="Cover Pages"/>
          <w:docPartUnique/>
        </w:docPartObj>
      </w:sdtPr>
      <w:sdtEndPr>
        <w:rPr>
          <w:bCs/>
          <w:color w:val="51626F" w:themeColor="accent1"/>
          <w:sz w:val="18"/>
        </w:rPr>
      </w:sdtEndPr>
      <w:sdtContent>
        <w:p w:rsidR="00D1446E" w:rsidRPr="00DB6C88" w:rsidRDefault="00D1446E" w:rsidP="00D1446E">
          <w:r w:rsidRPr="00DB6C88">
            <w:rPr>
              <w:noProof/>
              <w:lang w:eastAsia="en-AU"/>
            </w:rPr>
            <mc:AlternateContent>
              <mc:Choice Requires="wps">
                <w:drawing>
                  <wp:anchor distT="0" distB="0" distL="114300" distR="114300" simplePos="0" relativeHeight="251662336" behindDoc="1" locked="0" layoutInCell="1" allowOverlap="1" wp14:anchorId="635D5971" wp14:editId="0F3D3FB0">
                    <wp:simplePos x="0" y="0"/>
                    <wp:positionH relativeFrom="column">
                      <wp:posOffset>-542260</wp:posOffset>
                    </wp:positionH>
                    <wp:positionV relativeFrom="paragraph">
                      <wp:posOffset>-523181</wp:posOffset>
                    </wp:positionV>
                    <wp:extent cx="6972300" cy="10111563"/>
                    <wp:effectExtent l="0" t="0" r="0" b="4445"/>
                    <wp:wrapNone/>
                    <wp:docPr id="3" name="Rectangle 3"/>
                    <wp:cNvGraphicFramePr/>
                    <a:graphic xmlns:a="http://schemas.openxmlformats.org/drawingml/2006/main">
                      <a:graphicData uri="http://schemas.microsoft.com/office/word/2010/wordprocessingShape">
                        <wps:wsp>
                          <wps:cNvSpPr/>
                          <wps:spPr>
                            <a:xfrm>
                              <a:off x="0" y="0"/>
                              <a:ext cx="6972300" cy="10111563"/>
                            </a:xfrm>
                            <a:prstGeom prst="rect">
                              <a:avLst/>
                            </a:prstGeom>
                            <a:solidFill>
                              <a:srgbClr val="D5D6D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2.7pt;margin-top:-41.2pt;width:549pt;height:79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" fillcolor="#d5d6d2" stroked="f" strokeweight="2pt"/>
                </w:pict>
              </mc:Fallback>
            </mc:AlternateContent>
          </w:r>
          <w:r w:rsidRPr="00DB6C88">
            <w:rPr>
              <w:noProof/>
              <w:lang w:eastAsia="en-AU"/>
            </w:rPr>
            <w:drawing>
              <wp:inline distT="0" distB="0" distL="0" distR="0" wp14:anchorId="3BC0EB2D" wp14:editId="730AE593">
                <wp:extent cx="2725235" cy="609600"/>
                <wp:effectExtent l="0" t="0" r="0" b="0"/>
                <wp:docPr id="1" name="Picture 1" title="A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GovtCrest_PMS286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4028" cy="609330"/>
                        </a:xfrm>
                        <a:prstGeom prst="rect">
                          <a:avLst/>
                        </a:prstGeom>
                      </pic:spPr>
                    </pic:pic>
                  </a:graphicData>
                </a:graphic>
              </wp:inline>
            </w:drawing>
          </w:r>
        </w:p>
        <w:p w:rsidR="00D1446E" w:rsidRPr="00DB6C88" w:rsidRDefault="00D1446E" w:rsidP="00D1446E"/>
        <w:tbl>
          <w:tblPr>
            <w:tblW w:w="0" w:type="auto"/>
            <w:tblLook w:val="0400" w:firstRow="0" w:lastRow="0" w:firstColumn="0" w:lastColumn="0" w:noHBand="0" w:noVBand="1"/>
          </w:tblPr>
          <w:tblGrid>
            <w:gridCol w:w="9242"/>
          </w:tblGrid>
          <w:tr w:rsidR="00D1446E" w:rsidRPr="00DB6C88" w:rsidTr="005D59D0">
            <w:tc>
              <w:tcPr>
                <w:tcW w:w="9242" w:type="dxa"/>
              </w:tcPr>
              <w:p w:rsidR="00D1446E" w:rsidRPr="00DB6C88" w:rsidRDefault="00D1446E" w:rsidP="004A4F63">
                <w:pPr>
                  <w:pStyle w:val="NoSpacing"/>
                </w:pPr>
                <w:r w:rsidRPr="00DB6C88">
                  <w:rPr>
                    <w:rFonts w:asciiTheme="majorHAnsi" w:hAnsiTheme="majorHAnsi"/>
                    <w:color w:val="4F2D7D" w:themeColor="accent2"/>
                    <w:sz w:val="72"/>
                    <w:szCs w:val="72"/>
                  </w:rPr>
                  <w:t>Review of mandatory safety</w:t>
                </w:r>
                <w:r>
                  <w:rPr>
                    <w:rFonts w:asciiTheme="majorHAnsi" w:hAnsiTheme="majorHAnsi"/>
                    <w:color w:val="4F2D7D" w:themeColor="accent2"/>
                    <w:sz w:val="72"/>
                    <w:szCs w:val="72"/>
                  </w:rPr>
                  <w:t xml:space="preserve"> standards</w:t>
                </w:r>
                <w:r w:rsidRPr="00DB6C88">
                  <w:rPr>
                    <w:rFonts w:asciiTheme="majorHAnsi" w:hAnsiTheme="majorHAnsi"/>
                    <w:color w:val="4F2D7D" w:themeColor="accent2"/>
                    <w:sz w:val="72"/>
                    <w:szCs w:val="72"/>
                  </w:rPr>
                  <w:t xml:space="preserve"> </w:t>
                </w:r>
                <w:r>
                  <w:rPr>
                    <w:rFonts w:asciiTheme="majorHAnsi" w:hAnsiTheme="majorHAnsi"/>
                    <w:color w:val="4F2D7D" w:themeColor="accent2"/>
                    <w:sz w:val="72"/>
                    <w:szCs w:val="72"/>
                  </w:rPr>
                  <w:t>for children’s toys</w:t>
                </w:r>
              </w:p>
            </w:tc>
          </w:tr>
          <w:tr w:rsidR="00D1446E" w:rsidRPr="00DB6C88" w:rsidTr="005D59D0">
            <w:tc>
              <w:tcPr>
                <w:tcW w:w="9242" w:type="dxa"/>
              </w:tcPr>
              <w:p w:rsidR="00D1446E" w:rsidRPr="00DB6C88" w:rsidRDefault="00D1446E" w:rsidP="005D59D0">
                <w:pPr>
                  <w:pStyle w:val="Subtitle"/>
                  <w:rPr>
                    <w:color w:val="auto"/>
                  </w:rPr>
                </w:pPr>
                <w:r>
                  <w:rPr>
                    <w:sz w:val="48"/>
                    <w:szCs w:val="48"/>
                  </w:rPr>
                  <w:t>Consultation paper</w:t>
                </w:r>
              </w:p>
            </w:tc>
          </w:tr>
          <w:tr w:rsidR="00D1446E" w:rsidRPr="00DB6C88" w:rsidTr="005D59D0">
            <w:tc>
              <w:tcPr>
                <w:tcW w:w="9242" w:type="dxa"/>
              </w:tcPr>
              <w:p w:rsidR="00D1446E" w:rsidRPr="00C71418" w:rsidRDefault="0047559B" w:rsidP="005D59D0">
                <w:pPr>
                  <w:pStyle w:val="CoverDate"/>
                  <w:rPr>
                    <w:sz w:val="28"/>
                    <w:szCs w:val="28"/>
                  </w:rPr>
                </w:pPr>
                <w:r>
                  <w:rPr>
                    <w:sz w:val="28"/>
                    <w:szCs w:val="28"/>
                  </w:rPr>
                  <w:t xml:space="preserve">February </w:t>
                </w:r>
                <w:r w:rsidR="00D1446E" w:rsidRPr="00C71418">
                  <w:rPr>
                    <w:sz w:val="28"/>
                    <w:szCs w:val="28"/>
                  </w:rPr>
                  <w:t>201</w:t>
                </w:r>
                <w:r w:rsidR="00CD3F5C">
                  <w:rPr>
                    <w:sz w:val="28"/>
                    <w:szCs w:val="28"/>
                  </w:rPr>
                  <w:t>7</w:t>
                </w:r>
              </w:p>
              <w:p w:rsidR="00D1446E" w:rsidRPr="00DB6C88" w:rsidRDefault="00D1446E" w:rsidP="005D59D0">
                <w:r>
                  <w:rPr>
                    <w:rFonts w:cs="Arial"/>
                    <w:noProof/>
                    <w:color w:val="333333"/>
                    <w:sz w:val="18"/>
                    <w:szCs w:val="18"/>
                    <w:lang w:eastAsia="en-AU"/>
                  </w:rPr>
                  <w:t xml:space="preserve">                 </w:t>
                </w:r>
                <w:r>
                  <w:rPr>
                    <w:rFonts w:cs="Arial"/>
                    <w:noProof/>
                    <w:color w:val="333333"/>
                    <w:sz w:val="18"/>
                    <w:szCs w:val="18"/>
                    <w:lang w:eastAsia="en-AU"/>
                  </w:rPr>
                  <w:drawing>
                    <wp:inline distT="0" distB="0" distL="0" distR="0" wp14:anchorId="04163C81" wp14:editId="641BDD54">
                      <wp:extent cx="2314082" cy="1435395"/>
                      <wp:effectExtent l="0" t="0" r="0" b="0"/>
                      <wp:docPr id="4" name="Picture 4" descr="children's blocks and child with fingerpaint on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blocks and child with fingerpaint on han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4" cy="1435700"/>
                              </a:xfrm>
                              <a:prstGeom prst="rect">
                                <a:avLst/>
                              </a:prstGeom>
                              <a:noFill/>
                              <a:ln>
                                <a:noFill/>
                              </a:ln>
                            </pic:spPr>
                          </pic:pic>
                        </a:graphicData>
                      </a:graphic>
                    </wp:inline>
                  </w:drawing>
                </w:r>
                <w:r>
                  <w:rPr>
                    <w:rFonts w:cs="Arial"/>
                    <w:noProof/>
                    <w:color w:val="333333"/>
                    <w:sz w:val="18"/>
                    <w:szCs w:val="18"/>
                    <w:lang w:eastAsia="en-AU"/>
                  </w:rPr>
                  <w:t xml:space="preserve">               </w:t>
                </w:r>
                <w:r>
                  <w:rPr>
                    <w:rFonts w:cs="Arial"/>
                    <w:noProof/>
                    <w:color w:val="333333"/>
                    <w:sz w:val="18"/>
                    <w:szCs w:val="18"/>
                    <w:lang w:eastAsia="en-AU"/>
                  </w:rPr>
                  <w:drawing>
                    <wp:inline distT="0" distB="0" distL="0" distR="0" wp14:anchorId="1C06CFC3" wp14:editId="4C5D2310">
                      <wp:extent cx="2083982" cy="1414130"/>
                      <wp:effectExtent l="0" t="0" r="0" b="0"/>
                      <wp:docPr id="5" name="Picture 5" descr="toy dart gun and a bow and arrow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y dart gun and a bow and arrow s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004" cy="1414145"/>
                              </a:xfrm>
                              <a:prstGeom prst="rect">
                                <a:avLst/>
                              </a:prstGeom>
                              <a:noFill/>
                              <a:ln>
                                <a:noFill/>
                              </a:ln>
                            </pic:spPr>
                          </pic:pic>
                        </a:graphicData>
                      </a:graphic>
                    </wp:inline>
                  </w:drawing>
                </w:r>
              </w:p>
              <w:p w:rsidR="00D1446E" w:rsidRDefault="00D1446E" w:rsidP="005D59D0">
                <w:pPr>
                  <w:rPr>
                    <w:rFonts w:cs="Arial"/>
                    <w:noProof/>
                    <w:color w:val="333333"/>
                    <w:sz w:val="18"/>
                    <w:szCs w:val="18"/>
                    <w:lang w:eastAsia="en-AU"/>
                  </w:rPr>
                </w:pPr>
                <w:r>
                  <w:rPr>
                    <w:rFonts w:cs="Arial"/>
                    <w:noProof/>
                    <w:color w:val="333333"/>
                    <w:sz w:val="18"/>
                    <w:szCs w:val="18"/>
                    <w:lang w:eastAsia="en-AU"/>
                  </w:rPr>
                  <w:t xml:space="preserve">        </w:t>
                </w:r>
                <w:r>
                  <w:rPr>
                    <w:rFonts w:ascii="Source Sans Pro" w:hAnsi="Source Sans Pro" w:cs="Arial"/>
                    <w:noProof/>
                    <w:color w:val="30808F"/>
                    <w:lang w:eastAsia="en-AU"/>
                  </w:rPr>
                  <w:t xml:space="preserve">    </w:t>
                </w:r>
                <w:r>
                  <w:rPr>
                    <w:rFonts w:ascii="Source Sans Pro" w:hAnsi="Source Sans Pro" w:cs="Arial"/>
                    <w:noProof/>
                    <w:color w:val="30808F"/>
                    <w:lang w:eastAsia="en-AU"/>
                  </w:rPr>
                  <w:drawing>
                    <wp:inline distT="0" distB="0" distL="0" distR="0" wp14:anchorId="2C16F1A2" wp14:editId="07409F02">
                      <wp:extent cx="1382233" cy="1435395"/>
                      <wp:effectExtent l="0" t="0" r="8890" b="0"/>
                      <wp:docPr id="6" name="Picture 6" descr="Aquatic toy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atic toy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2233" cy="1435395"/>
                              </a:xfrm>
                              <a:prstGeom prst="rect">
                                <a:avLst/>
                              </a:prstGeom>
                              <a:noFill/>
                              <a:ln>
                                <a:noFill/>
                              </a:ln>
                            </pic:spPr>
                          </pic:pic>
                        </a:graphicData>
                      </a:graphic>
                    </wp:inline>
                  </w:drawing>
                </w:r>
                <w:r>
                  <w:rPr>
                    <w:rFonts w:cs="Arial"/>
                    <w:noProof/>
                    <w:color w:val="333333"/>
                    <w:sz w:val="18"/>
                    <w:szCs w:val="18"/>
                    <w:lang w:eastAsia="en-AU"/>
                  </w:rPr>
                  <w:t xml:space="preserve">                 </w:t>
                </w:r>
                <w:r>
                  <w:rPr>
                    <w:rFonts w:cs="Arial"/>
                    <w:noProof/>
                    <w:color w:val="333333"/>
                    <w:sz w:val="18"/>
                    <w:szCs w:val="18"/>
                    <w:lang w:eastAsia="en-AU"/>
                  </w:rPr>
                  <w:drawing>
                    <wp:inline distT="0" distB="0" distL="0" distR="0" wp14:anchorId="5520CA52" wp14:editId="65FE8746">
                      <wp:extent cx="1222744" cy="1433828"/>
                      <wp:effectExtent l="0" t="0" r="0" b="0"/>
                      <wp:docPr id="7" name="Picture 7" descr="Magnetic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netic lett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087" cy="1436575"/>
                              </a:xfrm>
                              <a:prstGeom prst="rect">
                                <a:avLst/>
                              </a:prstGeom>
                              <a:noFill/>
                              <a:ln>
                                <a:noFill/>
                              </a:ln>
                            </pic:spPr>
                          </pic:pic>
                        </a:graphicData>
                      </a:graphic>
                    </wp:inline>
                  </w:drawing>
                </w:r>
                <w:r>
                  <w:rPr>
                    <w:rFonts w:cs="Arial"/>
                    <w:noProof/>
                    <w:color w:val="333333"/>
                    <w:sz w:val="18"/>
                    <w:szCs w:val="18"/>
                    <w:lang w:eastAsia="en-AU"/>
                  </w:rPr>
                  <w:t xml:space="preserve">                   </w:t>
                </w:r>
                <w:r>
                  <w:rPr>
                    <w:rFonts w:cs="Arial"/>
                    <w:noProof/>
                    <w:color w:val="333333"/>
                    <w:sz w:val="18"/>
                    <w:szCs w:val="18"/>
                    <w:lang w:eastAsia="en-AU"/>
                  </w:rPr>
                  <w:drawing>
                    <wp:inline distT="0" distB="0" distL="0" distR="0" wp14:anchorId="70988050" wp14:editId="257F6EE1">
                      <wp:extent cx="1275907" cy="1436474"/>
                      <wp:effectExtent l="0" t="0" r="635" b="0"/>
                      <wp:docPr id="8" name="Picture 8" descr="teething toy for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thing toy for bab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5818" cy="1436374"/>
                              </a:xfrm>
                              <a:prstGeom prst="rect">
                                <a:avLst/>
                              </a:prstGeom>
                              <a:noFill/>
                              <a:ln>
                                <a:noFill/>
                              </a:ln>
                            </pic:spPr>
                          </pic:pic>
                        </a:graphicData>
                      </a:graphic>
                    </wp:inline>
                  </w:drawing>
                </w:r>
                <w:r>
                  <w:rPr>
                    <w:rFonts w:cs="Arial"/>
                    <w:noProof/>
                    <w:color w:val="333333"/>
                    <w:sz w:val="18"/>
                    <w:szCs w:val="18"/>
                    <w:lang w:eastAsia="en-AU"/>
                  </w:rPr>
                  <w:t xml:space="preserve">                                 </w:t>
                </w:r>
              </w:p>
              <w:p w:rsidR="00D1446E" w:rsidRDefault="00D1446E" w:rsidP="005D59D0">
                <w:pPr>
                  <w:rPr>
                    <w:rFonts w:cs="Arial"/>
                    <w:noProof/>
                    <w:color w:val="333333"/>
                    <w:sz w:val="18"/>
                    <w:szCs w:val="18"/>
                    <w:lang w:eastAsia="en-AU"/>
                  </w:rPr>
                </w:pPr>
              </w:p>
              <w:p w:rsidR="00D1446E" w:rsidRDefault="00D1446E" w:rsidP="005D59D0">
                <w:pPr>
                  <w:rPr>
                    <w:rFonts w:ascii="Lucida Fax" w:hAnsi="Lucida Fax"/>
                    <w:color w:val="DC5034"/>
                    <w:szCs w:val="24"/>
                  </w:rPr>
                </w:pPr>
              </w:p>
              <w:p w:rsidR="00D1446E" w:rsidRPr="00DB6C88" w:rsidRDefault="00D1446E" w:rsidP="005D59D0">
                <w:r w:rsidRPr="00DB6C88">
                  <w:rPr>
                    <w:rFonts w:ascii="Lucida Fax" w:hAnsi="Lucida Fax"/>
                    <w:color w:val="DC5034"/>
                    <w:szCs w:val="24"/>
                  </w:rPr>
                  <w:t xml:space="preserve">Office of Best Practice Regulation Reference – </w:t>
                </w:r>
                <w:r>
                  <w:rPr>
                    <w:rFonts w:ascii="Lucida Fax" w:hAnsi="Lucida Fax"/>
                    <w:color w:val="DC5034"/>
                    <w:szCs w:val="24"/>
                  </w:rPr>
                  <w:t>20915</w:t>
                </w:r>
              </w:p>
            </w:tc>
          </w:tr>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tbl>
      </w:sdtContent>
    </w:sdt>
    <w:p w:rsidR="00303C4A" w:rsidRDefault="00303C4A"/>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D1446E" w:rsidRDefault="00D1446E"/>
    <w:p w:rsidR="004A4F63" w:rsidRDefault="004A4F63"/>
    <w:p w:rsidR="004A4F63" w:rsidRDefault="004A4F63"/>
    <w:p w:rsidR="00D1446E" w:rsidRDefault="00D1446E" w:rsidP="00D1446E"/>
    <w:p w:rsidR="00D1446E" w:rsidRDefault="00D1446E" w:rsidP="00D1446E"/>
    <w:p w:rsidR="00D1446E" w:rsidRDefault="00D1446E" w:rsidP="00D1446E"/>
    <w:p w:rsidR="00D1446E" w:rsidRPr="005F16D0" w:rsidRDefault="00D1446E" w:rsidP="005F16D0">
      <w:pPr>
        <w:jc w:val="center"/>
        <w:rPr>
          <w:rFonts w:cs="Arial"/>
          <w:b/>
          <w:u w:val="single"/>
          <w:lang w:val="en-GB"/>
        </w:rPr>
      </w:pPr>
      <w:r w:rsidRPr="00B144E7">
        <w:rPr>
          <w:rFonts w:cs="Arial"/>
          <w:b/>
          <w:u w:val="single"/>
          <w:lang w:val="en-GB"/>
        </w:rPr>
        <w:t>Disclaimer</w:t>
      </w:r>
    </w:p>
    <w:p w:rsidR="00D1446E" w:rsidRDefault="00D1446E" w:rsidP="00D1446E">
      <w:r>
        <w:rPr>
          <w:noProof/>
          <w:lang w:eastAsia="en-AU"/>
        </w:rPr>
        <mc:AlternateContent>
          <mc:Choice Requires="wps">
            <w:drawing>
              <wp:anchor distT="0" distB="0" distL="114300" distR="114300" simplePos="0" relativeHeight="251659264" behindDoc="0" locked="0" layoutInCell="1" allowOverlap="1" wp14:anchorId="2522E024" wp14:editId="45FD91CE">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32B4E" w:rsidRDefault="00532B4E" w:rsidP="00D1446E">
                            <w:pPr>
                              <w:spacing w:before="120" w:after="120"/>
                              <w:rPr>
                                <w:rFonts w:cs="Arial"/>
                                <w:sz w:val="20"/>
                                <w:szCs w:val="20"/>
                                <w:lang w:val="en-GB"/>
                              </w:rPr>
                            </w:pPr>
                          </w:p>
                          <w:p w:rsidR="00532B4E" w:rsidRPr="007377CB" w:rsidRDefault="00532B4E" w:rsidP="00D1446E">
                            <w:pPr>
                              <w:spacing w:before="120" w:after="120"/>
                              <w:rPr>
                                <w:rFonts w:cs="Arial"/>
                                <w:sz w:val="20"/>
                                <w:szCs w:val="20"/>
                                <w:lang w:val="en-GB"/>
                              </w:rPr>
                            </w:pPr>
                            <w:r w:rsidRPr="007377CB">
                              <w:rPr>
                                <w:rFonts w:cs="Arial"/>
                                <w:sz w:val="20"/>
                                <w:szCs w:val="20"/>
                                <w:lang w:val="en-GB"/>
                              </w:rPr>
                              <w:t>The Australian Competition &amp; Consumer Commission (ACCC) has developed this consultation paper to seek the views of stakeholders about the safety standards for children’s toys.</w:t>
                            </w:r>
                          </w:p>
                          <w:p w:rsidR="00532B4E" w:rsidRPr="007377CB" w:rsidRDefault="00532B4E" w:rsidP="00D1446E">
                            <w:pPr>
                              <w:spacing w:before="120" w:after="120"/>
                              <w:rPr>
                                <w:rFonts w:cs="Arial"/>
                                <w:sz w:val="20"/>
                                <w:szCs w:val="20"/>
                              </w:rPr>
                            </w:pPr>
                            <w:proofErr w:type="gramStart"/>
                            <w:r w:rsidRPr="007377CB">
                              <w:rPr>
                                <w:rFonts w:cs="Arial"/>
                                <w:sz w:val="20"/>
                                <w:szCs w:val="20"/>
                              </w:rPr>
                              <w:t>© Commonwealth of Australia 201</w:t>
                            </w:r>
                            <w:r>
                              <w:rPr>
                                <w:rFonts w:cs="Arial"/>
                                <w:sz w:val="20"/>
                                <w:szCs w:val="20"/>
                              </w:rPr>
                              <w:t>7</w:t>
                            </w:r>
                            <w:r w:rsidRPr="007377CB">
                              <w:rPr>
                                <w:rFonts w:cs="Arial"/>
                                <w:sz w:val="20"/>
                                <w:szCs w:val="20"/>
                              </w:rPr>
                              <w:t>.</w:t>
                            </w:r>
                            <w:proofErr w:type="gramEnd"/>
                            <w:r w:rsidRPr="007377CB">
                              <w:rPr>
                                <w:rFonts w:cs="Arial"/>
                                <w:sz w:val="20"/>
                                <w:szCs w:val="20"/>
                              </w:rPr>
                              <w:t xml:space="preserve"> </w:t>
                            </w:r>
                            <w:r w:rsidRPr="007377CB">
                              <w:rPr>
                                <w:rFonts w:cs="Arial"/>
                                <w:sz w:val="20"/>
                                <w:szCs w:val="20"/>
                                <w:lang w:val="en-GB"/>
                              </w:rPr>
                              <w:t>All material contained within this work is provided under a Creative Commons Attribution 3.0 Australia licence (</w:t>
                            </w:r>
                            <w:hyperlink r:id="rId17" w:history="1">
                              <w:r w:rsidRPr="007377CB">
                                <w:rPr>
                                  <w:rStyle w:val="Hyperlink"/>
                                  <w:rFonts w:cs="Arial"/>
                                  <w:sz w:val="20"/>
                                  <w:szCs w:val="20"/>
                                  <w:lang w:val="en-GB"/>
                                </w:rPr>
                                <w:t>creativecommons.org.au/</w:t>
                              </w:r>
                            </w:hyperlink>
                            <w:r w:rsidRPr="007377CB">
                              <w:rPr>
                                <w:rFonts w:cs="Arial"/>
                                <w:sz w:val="20"/>
                                <w:szCs w:val="20"/>
                                <w:lang w:val="en-GB"/>
                              </w:rPr>
                              <w:t>), with the exception of any logos, illustrations or images. You may forward or otherwise distribute the paper. You may re-use the text in other formats, provided the ACCC is acknowledged as the source of the material and directions to access the full document are provided. You may not copy or reproduce any logos, illustrations or images. For more information, contact the Director Corporate Communications, ACCC, GPO Box 3131, Canberra ACT 2601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4rRENAAgAAhgQAAA4AAAAAAAAA&#10;AAAAAAAALgIAAGRycy9lMm9Eb2MueG1sUEsBAi0AFAAGAAgAAAAhALcMAwjXAAAABQEAAA8AAAAA&#10;AAAAAAAAAAAAmgQAAGRycy9kb3ducmV2LnhtbFBLBQYAAAAABAAEAPMAAACeBQAAAAA=&#10;" filled="f" strokeweight=".5pt">
                <v:textbox style="mso-fit-shape-to-text:t">
                  <w:txbxContent>
                    <w:p w:rsidR="00532B4E" w:rsidRDefault="00532B4E" w:rsidP="00D1446E">
                      <w:pPr>
                        <w:spacing w:before="120" w:after="120"/>
                        <w:rPr>
                          <w:rFonts w:cs="Arial"/>
                          <w:sz w:val="20"/>
                          <w:szCs w:val="20"/>
                          <w:lang w:val="en-GB"/>
                        </w:rPr>
                      </w:pPr>
                    </w:p>
                    <w:p w:rsidR="00532B4E" w:rsidRPr="007377CB" w:rsidRDefault="00532B4E" w:rsidP="00D1446E">
                      <w:pPr>
                        <w:spacing w:before="120" w:after="120"/>
                        <w:rPr>
                          <w:rFonts w:cs="Arial"/>
                          <w:sz w:val="20"/>
                          <w:szCs w:val="20"/>
                          <w:lang w:val="en-GB"/>
                        </w:rPr>
                      </w:pPr>
                      <w:r w:rsidRPr="007377CB">
                        <w:rPr>
                          <w:rFonts w:cs="Arial"/>
                          <w:sz w:val="20"/>
                          <w:szCs w:val="20"/>
                          <w:lang w:val="en-GB"/>
                        </w:rPr>
                        <w:t>The Australian Competition &amp; Consumer Commission (ACCC) has developed this consultation paper to seek the views of stakeholders about the safety standards for children’s toys.</w:t>
                      </w:r>
                    </w:p>
                    <w:p w:rsidR="00532B4E" w:rsidRPr="007377CB" w:rsidRDefault="00532B4E" w:rsidP="00D1446E">
                      <w:pPr>
                        <w:spacing w:before="120" w:after="120"/>
                        <w:rPr>
                          <w:rFonts w:cs="Arial"/>
                          <w:sz w:val="20"/>
                          <w:szCs w:val="20"/>
                        </w:rPr>
                      </w:pPr>
                      <w:proofErr w:type="gramStart"/>
                      <w:r w:rsidRPr="007377CB">
                        <w:rPr>
                          <w:rFonts w:cs="Arial"/>
                          <w:sz w:val="20"/>
                          <w:szCs w:val="20"/>
                        </w:rPr>
                        <w:t>© Commonwealth of Australia 201</w:t>
                      </w:r>
                      <w:r>
                        <w:rPr>
                          <w:rFonts w:cs="Arial"/>
                          <w:sz w:val="20"/>
                          <w:szCs w:val="20"/>
                        </w:rPr>
                        <w:t>7</w:t>
                      </w:r>
                      <w:r w:rsidRPr="007377CB">
                        <w:rPr>
                          <w:rFonts w:cs="Arial"/>
                          <w:sz w:val="20"/>
                          <w:szCs w:val="20"/>
                        </w:rPr>
                        <w:t>.</w:t>
                      </w:r>
                      <w:proofErr w:type="gramEnd"/>
                      <w:r w:rsidRPr="007377CB">
                        <w:rPr>
                          <w:rFonts w:cs="Arial"/>
                          <w:sz w:val="20"/>
                          <w:szCs w:val="20"/>
                        </w:rPr>
                        <w:t xml:space="preserve"> </w:t>
                      </w:r>
                      <w:r w:rsidRPr="007377CB">
                        <w:rPr>
                          <w:rFonts w:cs="Arial"/>
                          <w:sz w:val="20"/>
                          <w:szCs w:val="20"/>
                          <w:lang w:val="en-GB"/>
                        </w:rPr>
                        <w:t>All material contained within this work is provided under a Creative Commons Attribution 3.0 Australia licence (</w:t>
                      </w:r>
                      <w:hyperlink r:id="rId18" w:history="1">
                        <w:r w:rsidRPr="007377CB">
                          <w:rPr>
                            <w:rStyle w:val="Hyperlink"/>
                            <w:rFonts w:cs="Arial"/>
                            <w:sz w:val="20"/>
                            <w:szCs w:val="20"/>
                            <w:lang w:val="en-GB"/>
                          </w:rPr>
                          <w:t>creativecommons.org.au/</w:t>
                        </w:r>
                      </w:hyperlink>
                      <w:r w:rsidRPr="007377CB">
                        <w:rPr>
                          <w:rFonts w:cs="Arial"/>
                          <w:sz w:val="20"/>
                          <w:szCs w:val="20"/>
                          <w:lang w:val="en-GB"/>
                        </w:rPr>
                        <w:t>), with the exception of any logos, illustrations or images. You may forward or otherwise distribute the paper. You may re-use the text in other formats, provided the ACCC is acknowledged as the source of the material and directions to access the full document are provided. You may not copy or reproduce any logos, illustrations or images. For more information, contact the Director Corporate Communications, ACCC, GPO Box 3131, Canberra ACT 2601</w:t>
                      </w:r>
                    </w:p>
                  </w:txbxContent>
                </v:textbox>
                <w10:wrap type="square"/>
              </v:shape>
            </w:pict>
          </mc:Fallback>
        </mc:AlternateContent>
      </w:r>
    </w:p>
    <w:p w:rsidR="0008511B" w:rsidRDefault="00D1446E" w:rsidP="00D1446E">
      <w:pPr>
        <w:pStyle w:val="TOC1"/>
      </w:pPr>
      <w:r w:rsidRPr="00726BC0">
        <w:rPr>
          <w:b/>
        </w:rPr>
        <w:lastRenderedPageBreak/>
        <w:t>Table of contents</w:t>
      </w:r>
      <w:r>
        <w:rPr>
          <w:b/>
        </w:rPr>
        <w:t xml:space="preserve"> </w:t>
      </w:r>
      <w:bookmarkStart w:id="23" w:name="_Toc410736798"/>
      <w:bookmarkStart w:id="24" w:name="_Toc422996126"/>
      <w:r>
        <w:fldChar w:fldCharType="begin"/>
      </w:r>
      <w:r>
        <w:instrText xml:space="preserve"> TOC \o "1-2" \h \z \u </w:instrText>
      </w:r>
      <w:r>
        <w:fldChar w:fldCharType="separate"/>
      </w:r>
    </w:p>
    <w:p w:rsidR="0008511B" w:rsidRDefault="0008511B">
      <w:pPr>
        <w:pStyle w:val="TOC1"/>
        <w:rPr>
          <w:rFonts w:asciiTheme="minorHAnsi" w:eastAsiaTheme="minorEastAsia" w:hAnsiTheme="minorHAnsi"/>
          <w:lang w:val="en-AU" w:eastAsia="en-AU"/>
        </w:rPr>
      </w:pPr>
      <w:hyperlink w:anchor="_Toc473714717" w:history="1">
        <w:r w:rsidRPr="00495E78">
          <w:rPr>
            <w:rStyle w:val="Hyperlink"/>
          </w:rPr>
          <w:t>1.</w:t>
        </w:r>
        <w:r>
          <w:rPr>
            <w:rFonts w:asciiTheme="minorHAnsi" w:eastAsiaTheme="minorEastAsia" w:hAnsiTheme="minorHAnsi"/>
            <w:lang w:val="en-AU" w:eastAsia="en-AU"/>
          </w:rPr>
          <w:tab/>
        </w:r>
        <w:r w:rsidRPr="00495E78">
          <w:rPr>
            <w:rStyle w:val="Hyperlink"/>
          </w:rPr>
          <w:t>Introduction</w:t>
        </w:r>
        <w:r>
          <w:rPr>
            <w:webHidden/>
          </w:rPr>
          <w:tab/>
        </w:r>
        <w:r>
          <w:rPr>
            <w:webHidden/>
          </w:rPr>
          <w:fldChar w:fldCharType="begin"/>
        </w:r>
        <w:r>
          <w:rPr>
            <w:webHidden/>
          </w:rPr>
          <w:instrText xml:space="preserve"> PAGEREF _Toc473714717 \h </w:instrText>
        </w:r>
        <w:r>
          <w:rPr>
            <w:webHidden/>
          </w:rPr>
        </w:r>
        <w:r>
          <w:rPr>
            <w:webHidden/>
          </w:rPr>
          <w:fldChar w:fldCharType="separate"/>
        </w:r>
        <w:r>
          <w:rPr>
            <w:webHidden/>
          </w:rPr>
          <w:t>4</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18" w:history="1">
        <w:r w:rsidRPr="00495E78">
          <w:rPr>
            <w:rStyle w:val="Hyperlink"/>
          </w:rPr>
          <w:t>2.</w:t>
        </w:r>
        <w:r>
          <w:rPr>
            <w:rFonts w:asciiTheme="minorHAnsi" w:eastAsiaTheme="minorEastAsia" w:hAnsiTheme="minorHAnsi"/>
            <w:lang w:val="en-AU" w:eastAsia="en-AU"/>
          </w:rPr>
          <w:tab/>
        </w:r>
        <w:r w:rsidRPr="00495E78">
          <w:rPr>
            <w:rStyle w:val="Hyperlink"/>
          </w:rPr>
          <w:t>The problem and need for government action</w:t>
        </w:r>
        <w:r>
          <w:rPr>
            <w:webHidden/>
          </w:rPr>
          <w:tab/>
        </w:r>
        <w:r>
          <w:rPr>
            <w:webHidden/>
          </w:rPr>
          <w:fldChar w:fldCharType="begin"/>
        </w:r>
        <w:r>
          <w:rPr>
            <w:webHidden/>
          </w:rPr>
          <w:instrText xml:space="preserve"> PAGEREF _Toc473714718 \h </w:instrText>
        </w:r>
        <w:r>
          <w:rPr>
            <w:webHidden/>
          </w:rPr>
        </w:r>
        <w:r>
          <w:rPr>
            <w:webHidden/>
          </w:rPr>
          <w:fldChar w:fldCharType="separate"/>
        </w:r>
        <w:r>
          <w:rPr>
            <w:webHidden/>
          </w:rPr>
          <w:t>4</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19" w:history="1">
        <w:r w:rsidRPr="00495E78">
          <w:rPr>
            <w:rStyle w:val="Hyperlink"/>
          </w:rPr>
          <w:t>3.</w:t>
        </w:r>
        <w:r>
          <w:rPr>
            <w:rFonts w:asciiTheme="minorHAnsi" w:eastAsiaTheme="minorEastAsia" w:hAnsiTheme="minorHAnsi"/>
            <w:lang w:val="en-AU" w:eastAsia="en-AU"/>
          </w:rPr>
          <w:tab/>
        </w:r>
        <w:r w:rsidRPr="00495E78">
          <w:rPr>
            <w:rStyle w:val="Hyperlink"/>
          </w:rPr>
          <w:t>Background</w:t>
        </w:r>
        <w:r>
          <w:rPr>
            <w:webHidden/>
          </w:rPr>
          <w:tab/>
        </w:r>
        <w:r>
          <w:rPr>
            <w:webHidden/>
          </w:rPr>
          <w:fldChar w:fldCharType="begin"/>
        </w:r>
        <w:r>
          <w:rPr>
            <w:webHidden/>
          </w:rPr>
          <w:instrText xml:space="preserve"> PAGEREF _Toc473714719 \h </w:instrText>
        </w:r>
        <w:r>
          <w:rPr>
            <w:webHidden/>
          </w:rPr>
        </w:r>
        <w:r>
          <w:rPr>
            <w:webHidden/>
          </w:rPr>
          <w:fldChar w:fldCharType="separate"/>
        </w:r>
        <w:r>
          <w:rPr>
            <w:webHidden/>
          </w:rPr>
          <w:t>5</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20" w:history="1">
        <w:r w:rsidRPr="00495E78">
          <w:rPr>
            <w:rStyle w:val="Hyperlink"/>
          </w:rPr>
          <w:t>4.</w:t>
        </w:r>
        <w:r>
          <w:rPr>
            <w:rFonts w:asciiTheme="minorHAnsi" w:eastAsiaTheme="minorEastAsia" w:hAnsiTheme="minorHAnsi"/>
            <w:lang w:val="en-AU" w:eastAsia="en-AU"/>
          </w:rPr>
          <w:tab/>
        </w:r>
        <w:r w:rsidRPr="00495E78">
          <w:rPr>
            <w:rStyle w:val="Hyperlink"/>
          </w:rPr>
          <w:t>Deaths and injuries</w:t>
        </w:r>
        <w:r>
          <w:rPr>
            <w:webHidden/>
          </w:rPr>
          <w:tab/>
        </w:r>
        <w:r>
          <w:rPr>
            <w:webHidden/>
          </w:rPr>
          <w:fldChar w:fldCharType="begin"/>
        </w:r>
        <w:r>
          <w:rPr>
            <w:webHidden/>
          </w:rPr>
          <w:instrText xml:space="preserve"> PAGEREF _Toc473714720 \h </w:instrText>
        </w:r>
        <w:r>
          <w:rPr>
            <w:webHidden/>
          </w:rPr>
        </w:r>
        <w:r>
          <w:rPr>
            <w:webHidden/>
          </w:rPr>
          <w:fldChar w:fldCharType="separate"/>
        </w:r>
        <w:r>
          <w:rPr>
            <w:webHidden/>
          </w:rPr>
          <w:t>5</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21" w:history="1">
        <w:r w:rsidRPr="00495E78">
          <w:rPr>
            <w:rStyle w:val="Hyperlink"/>
          </w:rPr>
          <w:t>5.</w:t>
        </w:r>
        <w:r>
          <w:rPr>
            <w:rFonts w:asciiTheme="minorHAnsi" w:eastAsiaTheme="minorEastAsia" w:hAnsiTheme="minorHAnsi"/>
            <w:lang w:val="en-AU" w:eastAsia="en-AU"/>
          </w:rPr>
          <w:tab/>
        </w:r>
        <w:r w:rsidRPr="00495E78">
          <w:rPr>
            <w:rStyle w:val="Hyperlink"/>
          </w:rPr>
          <w:t>The current safety standards</w:t>
        </w:r>
        <w:r>
          <w:rPr>
            <w:webHidden/>
          </w:rPr>
          <w:tab/>
        </w:r>
        <w:r>
          <w:rPr>
            <w:webHidden/>
          </w:rPr>
          <w:fldChar w:fldCharType="begin"/>
        </w:r>
        <w:r>
          <w:rPr>
            <w:webHidden/>
          </w:rPr>
          <w:instrText xml:space="preserve"> PAGEREF _Toc473714721 \h </w:instrText>
        </w:r>
        <w:r>
          <w:rPr>
            <w:webHidden/>
          </w:rPr>
        </w:r>
        <w:r>
          <w:rPr>
            <w:webHidden/>
          </w:rPr>
          <w:fldChar w:fldCharType="separate"/>
        </w:r>
        <w:r>
          <w:rPr>
            <w:webHidden/>
          </w:rPr>
          <w:t>6</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22" w:history="1">
        <w:r w:rsidRPr="00495E78">
          <w:rPr>
            <w:rStyle w:val="Hyperlink"/>
          </w:rPr>
          <w:t>6.</w:t>
        </w:r>
        <w:r>
          <w:rPr>
            <w:rFonts w:asciiTheme="minorHAnsi" w:eastAsiaTheme="minorEastAsia" w:hAnsiTheme="minorHAnsi"/>
            <w:lang w:val="en-AU" w:eastAsia="en-AU"/>
          </w:rPr>
          <w:tab/>
        </w:r>
        <w:r w:rsidRPr="00495E78">
          <w:rPr>
            <w:rStyle w:val="Hyperlink"/>
          </w:rPr>
          <w:t>Compliance</w:t>
        </w:r>
        <w:r>
          <w:rPr>
            <w:webHidden/>
          </w:rPr>
          <w:tab/>
        </w:r>
        <w:r>
          <w:rPr>
            <w:webHidden/>
          </w:rPr>
          <w:fldChar w:fldCharType="begin"/>
        </w:r>
        <w:r>
          <w:rPr>
            <w:webHidden/>
          </w:rPr>
          <w:instrText xml:space="preserve"> PAGEREF _Toc473714722 \h </w:instrText>
        </w:r>
        <w:r>
          <w:rPr>
            <w:webHidden/>
          </w:rPr>
        </w:r>
        <w:r>
          <w:rPr>
            <w:webHidden/>
          </w:rPr>
          <w:fldChar w:fldCharType="separate"/>
        </w:r>
        <w:r>
          <w:rPr>
            <w:webHidden/>
          </w:rPr>
          <w:t>10</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23" w:history="1">
        <w:r w:rsidRPr="00495E78">
          <w:rPr>
            <w:rStyle w:val="Hyperlink"/>
          </w:rPr>
          <w:t>7.</w:t>
        </w:r>
        <w:r>
          <w:rPr>
            <w:rFonts w:asciiTheme="minorHAnsi" w:eastAsiaTheme="minorEastAsia" w:hAnsiTheme="minorHAnsi"/>
            <w:lang w:val="en-AU" w:eastAsia="en-AU"/>
          </w:rPr>
          <w:tab/>
        </w:r>
        <w:r w:rsidRPr="00495E78">
          <w:rPr>
            <w:rStyle w:val="Hyperlink"/>
          </w:rPr>
          <w:t>Standards assessment and comparisons</w:t>
        </w:r>
        <w:r>
          <w:rPr>
            <w:webHidden/>
          </w:rPr>
          <w:tab/>
        </w:r>
        <w:r>
          <w:rPr>
            <w:webHidden/>
          </w:rPr>
          <w:fldChar w:fldCharType="begin"/>
        </w:r>
        <w:r>
          <w:rPr>
            <w:webHidden/>
          </w:rPr>
          <w:instrText xml:space="preserve"> PAGEREF _Toc473714723 \h </w:instrText>
        </w:r>
        <w:r>
          <w:rPr>
            <w:webHidden/>
          </w:rPr>
        </w:r>
        <w:r>
          <w:rPr>
            <w:webHidden/>
          </w:rPr>
          <w:fldChar w:fldCharType="separate"/>
        </w:r>
        <w:r>
          <w:rPr>
            <w:webHidden/>
          </w:rPr>
          <w:t>11</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24" w:history="1">
        <w:r w:rsidRPr="00495E78">
          <w:rPr>
            <w:rStyle w:val="Hyperlink"/>
            <w:rFonts w:eastAsia="Times New Roman" w:cs="Times New Roman"/>
          </w:rPr>
          <w:t>8.</w:t>
        </w:r>
        <w:r>
          <w:rPr>
            <w:rFonts w:asciiTheme="minorHAnsi" w:eastAsiaTheme="minorEastAsia" w:hAnsiTheme="minorHAnsi"/>
            <w:lang w:val="en-AU" w:eastAsia="en-AU"/>
          </w:rPr>
          <w:tab/>
        </w:r>
        <w:r w:rsidRPr="00495E78">
          <w:rPr>
            <w:rStyle w:val="Hyperlink"/>
            <w:rFonts w:eastAsia="Times New Roman" w:cs="Times New Roman"/>
          </w:rPr>
          <w:t>Detailed policy options</w:t>
        </w:r>
        <w:r>
          <w:rPr>
            <w:webHidden/>
          </w:rPr>
          <w:tab/>
        </w:r>
        <w:r>
          <w:rPr>
            <w:webHidden/>
          </w:rPr>
          <w:fldChar w:fldCharType="begin"/>
        </w:r>
        <w:r>
          <w:rPr>
            <w:webHidden/>
          </w:rPr>
          <w:instrText xml:space="preserve"> PAGEREF _Toc473714724 \h </w:instrText>
        </w:r>
        <w:r>
          <w:rPr>
            <w:webHidden/>
          </w:rPr>
        </w:r>
        <w:r>
          <w:rPr>
            <w:webHidden/>
          </w:rPr>
          <w:fldChar w:fldCharType="separate"/>
        </w:r>
        <w:r>
          <w:rPr>
            <w:webHidden/>
          </w:rPr>
          <w:t>15</w:t>
        </w:r>
        <w:r>
          <w:rPr>
            <w:webHidden/>
          </w:rPr>
          <w:fldChar w:fldCharType="end"/>
        </w:r>
      </w:hyperlink>
    </w:p>
    <w:p w:rsidR="0008511B" w:rsidRDefault="0008511B">
      <w:pPr>
        <w:pStyle w:val="TOC2"/>
        <w:rPr>
          <w:rFonts w:asciiTheme="minorHAnsi" w:eastAsiaTheme="minorEastAsia" w:hAnsiTheme="minorHAnsi"/>
          <w:lang w:eastAsia="en-AU"/>
        </w:rPr>
      </w:pPr>
      <w:hyperlink w:anchor="_Toc473714725" w:history="1">
        <w:r w:rsidRPr="00495E78">
          <w:rPr>
            <w:rStyle w:val="Hyperlink"/>
            <w:rFonts w:eastAsia="Times New Roman" w:cs="Times New Roman"/>
          </w:rPr>
          <w:t>Option 1 – Retain the current mandatory safety standards</w:t>
        </w:r>
        <w:r>
          <w:rPr>
            <w:webHidden/>
          </w:rPr>
          <w:tab/>
        </w:r>
        <w:r>
          <w:rPr>
            <w:webHidden/>
          </w:rPr>
          <w:fldChar w:fldCharType="begin"/>
        </w:r>
        <w:r>
          <w:rPr>
            <w:webHidden/>
          </w:rPr>
          <w:instrText xml:space="preserve"> PAGEREF _Toc473714725 \h </w:instrText>
        </w:r>
        <w:r>
          <w:rPr>
            <w:webHidden/>
          </w:rPr>
        </w:r>
        <w:r>
          <w:rPr>
            <w:webHidden/>
          </w:rPr>
          <w:fldChar w:fldCharType="separate"/>
        </w:r>
        <w:r>
          <w:rPr>
            <w:webHidden/>
          </w:rPr>
          <w:t>15</w:t>
        </w:r>
        <w:r>
          <w:rPr>
            <w:webHidden/>
          </w:rPr>
          <w:fldChar w:fldCharType="end"/>
        </w:r>
      </w:hyperlink>
    </w:p>
    <w:p w:rsidR="0008511B" w:rsidRDefault="0008511B">
      <w:pPr>
        <w:pStyle w:val="TOC2"/>
        <w:rPr>
          <w:rFonts w:asciiTheme="minorHAnsi" w:eastAsiaTheme="minorEastAsia" w:hAnsiTheme="minorHAnsi"/>
          <w:lang w:eastAsia="en-AU"/>
        </w:rPr>
      </w:pPr>
      <w:hyperlink w:anchor="_Toc473714726" w:history="1">
        <w:r w:rsidRPr="00495E78">
          <w:rPr>
            <w:rStyle w:val="Hyperlink"/>
            <w:rFonts w:eastAsia="Times New Roman" w:cs="Times New Roman"/>
          </w:rPr>
          <w:t>Option 2 – Adopt parts of the updated voluntary Australian standards</w:t>
        </w:r>
        <w:r>
          <w:rPr>
            <w:webHidden/>
          </w:rPr>
          <w:tab/>
        </w:r>
        <w:r>
          <w:rPr>
            <w:webHidden/>
          </w:rPr>
          <w:fldChar w:fldCharType="begin"/>
        </w:r>
        <w:r>
          <w:rPr>
            <w:webHidden/>
          </w:rPr>
          <w:instrText xml:space="preserve"> PAGEREF _Toc473714726 \h </w:instrText>
        </w:r>
        <w:r>
          <w:rPr>
            <w:webHidden/>
          </w:rPr>
        </w:r>
        <w:r>
          <w:rPr>
            <w:webHidden/>
          </w:rPr>
          <w:fldChar w:fldCharType="separate"/>
        </w:r>
        <w:r>
          <w:rPr>
            <w:webHidden/>
          </w:rPr>
          <w:t>16</w:t>
        </w:r>
        <w:r>
          <w:rPr>
            <w:webHidden/>
          </w:rPr>
          <w:fldChar w:fldCharType="end"/>
        </w:r>
      </w:hyperlink>
    </w:p>
    <w:p w:rsidR="0008511B" w:rsidRDefault="0008511B">
      <w:pPr>
        <w:pStyle w:val="TOC2"/>
        <w:rPr>
          <w:rFonts w:asciiTheme="minorHAnsi" w:eastAsiaTheme="minorEastAsia" w:hAnsiTheme="minorHAnsi"/>
          <w:lang w:eastAsia="en-AU"/>
        </w:rPr>
      </w:pPr>
      <w:hyperlink w:anchor="_Toc473714727" w:history="1">
        <w:r w:rsidRPr="00495E78">
          <w:rPr>
            <w:rStyle w:val="Hyperlink"/>
            <w:rFonts w:eastAsia="Times New Roman" w:cs="Times New Roman"/>
          </w:rPr>
          <w:t>Option 3 – Allow compliance with the voluntary Australian or trusted international standards</w:t>
        </w:r>
        <w:r>
          <w:rPr>
            <w:webHidden/>
          </w:rPr>
          <w:tab/>
        </w:r>
        <w:r>
          <w:rPr>
            <w:webHidden/>
          </w:rPr>
          <w:fldChar w:fldCharType="begin"/>
        </w:r>
        <w:r>
          <w:rPr>
            <w:webHidden/>
          </w:rPr>
          <w:instrText xml:space="preserve"> PAGEREF _Toc473714727 \h </w:instrText>
        </w:r>
        <w:r>
          <w:rPr>
            <w:webHidden/>
          </w:rPr>
        </w:r>
        <w:r>
          <w:rPr>
            <w:webHidden/>
          </w:rPr>
          <w:fldChar w:fldCharType="separate"/>
        </w:r>
        <w:r>
          <w:rPr>
            <w:webHidden/>
          </w:rPr>
          <w:t>17</w:t>
        </w:r>
        <w:r>
          <w:rPr>
            <w:webHidden/>
          </w:rPr>
          <w:fldChar w:fldCharType="end"/>
        </w:r>
      </w:hyperlink>
    </w:p>
    <w:p w:rsidR="0008511B" w:rsidRDefault="0008511B">
      <w:pPr>
        <w:pStyle w:val="TOC2"/>
        <w:rPr>
          <w:rFonts w:asciiTheme="minorHAnsi" w:eastAsiaTheme="minorEastAsia" w:hAnsiTheme="minorHAnsi"/>
          <w:lang w:eastAsia="en-AU"/>
        </w:rPr>
      </w:pPr>
      <w:hyperlink w:anchor="_Toc473714728" w:history="1">
        <w:r w:rsidRPr="00495E78">
          <w:rPr>
            <w:rStyle w:val="Hyperlink"/>
            <w:rFonts w:eastAsia="Times New Roman" w:cs="Times New Roman"/>
          </w:rPr>
          <w:t>Option 3a – Principles-based mandatory safety standard</w:t>
        </w:r>
        <w:r>
          <w:rPr>
            <w:webHidden/>
          </w:rPr>
          <w:tab/>
        </w:r>
        <w:r>
          <w:rPr>
            <w:webHidden/>
          </w:rPr>
          <w:fldChar w:fldCharType="begin"/>
        </w:r>
        <w:r>
          <w:rPr>
            <w:webHidden/>
          </w:rPr>
          <w:instrText xml:space="preserve"> PAGEREF _Toc473714728 \h </w:instrText>
        </w:r>
        <w:r>
          <w:rPr>
            <w:webHidden/>
          </w:rPr>
        </w:r>
        <w:r>
          <w:rPr>
            <w:webHidden/>
          </w:rPr>
          <w:fldChar w:fldCharType="separate"/>
        </w:r>
        <w:r>
          <w:rPr>
            <w:webHidden/>
          </w:rPr>
          <w:t>17</w:t>
        </w:r>
        <w:r>
          <w:rPr>
            <w:webHidden/>
          </w:rPr>
          <w:fldChar w:fldCharType="end"/>
        </w:r>
      </w:hyperlink>
    </w:p>
    <w:p w:rsidR="0008511B" w:rsidRDefault="0008511B">
      <w:pPr>
        <w:pStyle w:val="TOC2"/>
        <w:rPr>
          <w:rFonts w:asciiTheme="minorHAnsi" w:eastAsiaTheme="minorEastAsia" w:hAnsiTheme="minorHAnsi"/>
          <w:lang w:eastAsia="en-AU"/>
        </w:rPr>
      </w:pPr>
      <w:hyperlink w:anchor="_Toc473714729" w:history="1">
        <w:r w:rsidRPr="00495E78">
          <w:rPr>
            <w:rStyle w:val="Hyperlink"/>
            <w:rFonts w:eastAsia="Times New Roman" w:cs="Times New Roman"/>
          </w:rPr>
          <w:t>Option 4 – Revoke the mandatory safety standards</w:t>
        </w:r>
        <w:r>
          <w:rPr>
            <w:webHidden/>
          </w:rPr>
          <w:tab/>
        </w:r>
        <w:r>
          <w:rPr>
            <w:webHidden/>
          </w:rPr>
          <w:fldChar w:fldCharType="begin"/>
        </w:r>
        <w:r>
          <w:rPr>
            <w:webHidden/>
          </w:rPr>
          <w:instrText xml:space="preserve"> PAGEREF _Toc473714729 \h </w:instrText>
        </w:r>
        <w:r>
          <w:rPr>
            <w:webHidden/>
          </w:rPr>
        </w:r>
        <w:r>
          <w:rPr>
            <w:webHidden/>
          </w:rPr>
          <w:fldChar w:fldCharType="separate"/>
        </w:r>
        <w:r>
          <w:rPr>
            <w:webHidden/>
          </w:rPr>
          <w:t>18</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30" w:history="1">
        <w:r w:rsidRPr="00495E78">
          <w:rPr>
            <w:rStyle w:val="Hyperlink"/>
            <w:rFonts w:eastAsia="Times New Roman" w:cs="Times New Roman"/>
          </w:rPr>
          <w:t>9.</w:t>
        </w:r>
        <w:r>
          <w:rPr>
            <w:rFonts w:asciiTheme="minorHAnsi" w:eastAsiaTheme="minorEastAsia" w:hAnsiTheme="minorHAnsi"/>
            <w:lang w:val="en-AU" w:eastAsia="en-AU"/>
          </w:rPr>
          <w:tab/>
        </w:r>
        <w:r w:rsidRPr="00495E78">
          <w:rPr>
            <w:rStyle w:val="Hyperlink"/>
            <w:rFonts w:eastAsia="Times New Roman" w:cs="Times New Roman"/>
          </w:rPr>
          <w:t>Preliminary position</w:t>
        </w:r>
        <w:r>
          <w:rPr>
            <w:webHidden/>
          </w:rPr>
          <w:tab/>
        </w:r>
        <w:r>
          <w:rPr>
            <w:webHidden/>
          </w:rPr>
          <w:fldChar w:fldCharType="begin"/>
        </w:r>
        <w:r>
          <w:rPr>
            <w:webHidden/>
          </w:rPr>
          <w:instrText xml:space="preserve"> PAGEREF _Toc473714730 \h </w:instrText>
        </w:r>
        <w:r>
          <w:rPr>
            <w:webHidden/>
          </w:rPr>
        </w:r>
        <w:r>
          <w:rPr>
            <w:webHidden/>
          </w:rPr>
          <w:fldChar w:fldCharType="separate"/>
        </w:r>
        <w:r>
          <w:rPr>
            <w:webHidden/>
          </w:rPr>
          <w:t>19</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31" w:history="1">
        <w:r w:rsidRPr="00495E78">
          <w:rPr>
            <w:rStyle w:val="Hyperlink"/>
            <w:rFonts w:eastAsia="Times New Roman" w:cs="Times New Roman"/>
          </w:rPr>
          <w:t>10.</w:t>
        </w:r>
        <w:r>
          <w:rPr>
            <w:rFonts w:asciiTheme="minorHAnsi" w:eastAsiaTheme="minorEastAsia" w:hAnsiTheme="minorHAnsi"/>
            <w:lang w:val="en-AU" w:eastAsia="en-AU"/>
          </w:rPr>
          <w:tab/>
        </w:r>
        <w:r w:rsidRPr="00495E78">
          <w:rPr>
            <w:rStyle w:val="Hyperlink"/>
            <w:rFonts w:eastAsia="Times New Roman" w:cs="Times New Roman"/>
          </w:rPr>
          <w:t>Key questions</w:t>
        </w:r>
        <w:r>
          <w:rPr>
            <w:webHidden/>
          </w:rPr>
          <w:tab/>
        </w:r>
        <w:r>
          <w:rPr>
            <w:webHidden/>
          </w:rPr>
          <w:fldChar w:fldCharType="begin"/>
        </w:r>
        <w:r>
          <w:rPr>
            <w:webHidden/>
          </w:rPr>
          <w:instrText xml:space="preserve"> PAGEREF _Toc473714731 \h </w:instrText>
        </w:r>
        <w:r>
          <w:rPr>
            <w:webHidden/>
          </w:rPr>
        </w:r>
        <w:r>
          <w:rPr>
            <w:webHidden/>
          </w:rPr>
          <w:fldChar w:fldCharType="separate"/>
        </w:r>
        <w:r>
          <w:rPr>
            <w:webHidden/>
          </w:rPr>
          <w:t>20</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32" w:history="1">
        <w:r w:rsidRPr="00495E78">
          <w:rPr>
            <w:rStyle w:val="Hyperlink"/>
            <w:rFonts w:eastAsia="Times New Roman" w:cs="Times New Roman"/>
          </w:rPr>
          <w:t>11.</w:t>
        </w:r>
        <w:r>
          <w:rPr>
            <w:rFonts w:asciiTheme="minorHAnsi" w:eastAsiaTheme="minorEastAsia" w:hAnsiTheme="minorHAnsi"/>
            <w:lang w:val="en-AU" w:eastAsia="en-AU"/>
          </w:rPr>
          <w:tab/>
        </w:r>
        <w:r w:rsidRPr="00495E78">
          <w:rPr>
            <w:rStyle w:val="Hyperlink"/>
            <w:rFonts w:eastAsia="Times New Roman" w:cs="Times New Roman"/>
          </w:rPr>
          <w:t>Supplementary – teething necklaces</w:t>
        </w:r>
        <w:r>
          <w:rPr>
            <w:webHidden/>
          </w:rPr>
          <w:tab/>
        </w:r>
        <w:r>
          <w:rPr>
            <w:webHidden/>
          </w:rPr>
          <w:fldChar w:fldCharType="begin"/>
        </w:r>
        <w:r>
          <w:rPr>
            <w:webHidden/>
          </w:rPr>
          <w:instrText xml:space="preserve"> PAGEREF _Toc473714732 \h </w:instrText>
        </w:r>
        <w:r>
          <w:rPr>
            <w:webHidden/>
          </w:rPr>
        </w:r>
        <w:r>
          <w:rPr>
            <w:webHidden/>
          </w:rPr>
          <w:fldChar w:fldCharType="separate"/>
        </w:r>
        <w:r>
          <w:rPr>
            <w:webHidden/>
          </w:rPr>
          <w:t>20</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33" w:history="1">
        <w:r w:rsidRPr="00495E78">
          <w:rPr>
            <w:rStyle w:val="Hyperlink"/>
          </w:rPr>
          <w:t>12.</w:t>
        </w:r>
        <w:r>
          <w:rPr>
            <w:rFonts w:asciiTheme="minorHAnsi" w:eastAsiaTheme="minorEastAsia" w:hAnsiTheme="minorHAnsi"/>
            <w:lang w:val="en-AU" w:eastAsia="en-AU"/>
          </w:rPr>
          <w:tab/>
        </w:r>
        <w:r w:rsidRPr="00495E78">
          <w:rPr>
            <w:rStyle w:val="Hyperlink"/>
          </w:rPr>
          <w:t>Have your say</w:t>
        </w:r>
        <w:r>
          <w:rPr>
            <w:webHidden/>
          </w:rPr>
          <w:tab/>
        </w:r>
        <w:r>
          <w:rPr>
            <w:webHidden/>
          </w:rPr>
          <w:fldChar w:fldCharType="begin"/>
        </w:r>
        <w:r>
          <w:rPr>
            <w:webHidden/>
          </w:rPr>
          <w:instrText xml:space="preserve"> PAGEREF _Toc473714733 \h </w:instrText>
        </w:r>
        <w:r>
          <w:rPr>
            <w:webHidden/>
          </w:rPr>
        </w:r>
        <w:r>
          <w:rPr>
            <w:webHidden/>
          </w:rPr>
          <w:fldChar w:fldCharType="separate"/>
        </w:r>
        <w:r>
          <w:rPr>
            <w:webHidden/>
          </w:rPr>
          <w:t>22</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34" w:history="1">
        <w:r w:rsidRPr="00495E78">
          <w:rPr>
            <w:rStyle w:val="Hyperlink"/>
          </w:rPr>
          <w:t>13.</w:t>
        </w:r>
        <w:r>
          <w:rPr>
            <w:rFonts w:asciiTheme="minorHAnsi" w:eastAsiaTheme="minorEastAsia" w:hAnsiTheme="minorHAnsi"/>
            <w:lang w:val="en-AU" w:eastAsia="en-AU"/>
          </w:rPr>
          <w:tab/>
        </w:r>
        <w:r w:rsidRPr="00495E78">
          <w:rPr>
            <w:rStyle w:val="Hyperlink"/>
          </w:rPr>
          <w:t>Glossary</w:t>
        </w:r>
        <w:r>
          <w:rPr>
            <w:webHidden/>
          </w:rPr>
          <w:tab/>
        </w:r>
        <w:r>
          <w:rPr>
            <w:webHidden/>
          </w:rPr>
          <w:fldChar w:fldCharType="begin"/>
        </w:r>
        <w:r>
          <w:rPr>
            <w:webHidden/>
          </w:rPr>
          <w:instrText xml:space="preserve"> PAGEREF _Toc473714734 \h </w:instrText>
        </w:r>
        <w:r>
          <w:rPr>
            <w:webHidden/>
          </w:rPr>
        </w:r>
        <w:r>
          <w:rPr>
            <w:webHidden/>
          </w:rPr>
          <w:fldChar w:fldCharType="separate"/>
        </w:r>
        <w:r>
          <w:rPr>
            <w:webHidden/>
          </w:rPr>
          <w:t>23</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35" w:history="1">
        <w:r w:rsidRPr="00495E78">
          <w:rPr>
            <w:rStyle w:val="Hyperlink"/>
          </w:rPr>
          <w:t>Appendix A – Estimated costs for business</w:t>
        </w:r>
        <w:r>
          <w:rPr>
            <w:webHidden/>
          </w:rPr>
          <w:tab/>
        </w:r>
        <w:r>
          <w:rPr>
            <w:webHidden/>
          </w:rPr>
          <w:fldChar w:fldCharType="begin"/>
        </w:r>
        <w:r>
          <w:rPr>
            <w:webHidden/>
          </w:rPr>
          <w:instrText xml:space="preserve"> PAGEREF _Toc473714735 \h </w:instrText>
        </w:r>
        <w:r>
          <w:rPr>
            <w:webHidden/>
          </w:rPr>
        </w:r>
        <w:r>
          <w:rPr>
            <w:webHidden/>
          </w:rPr>
          <w:fldChar w:fldCharType="separate"/>
        </w:r>
        <w:r>
          <w:rPr>
            <w:webHidden/>
          </w:rPr>
          <w:t>24</w:t>
        </w:r>
        <w:r>
          <w:rPr>
            <w:webHidden/>
          </w:rPr>
          <w:fldChar w:fldCharType="end"/>
        </w:r>
      </w:hyperlink>
    </w:p>
    <w:p w:rsidR="0008511B" w:rsidRDefault="0008511B">
      <w:pPr>
        <w:pStyle w:val="TOC1"/>
        <w:rPr>
          <w:rFonts w:asciiTheme="minorHAnsi" w:eastAsiaTheme="minorEastAsia" w:hAnsiTheme="minorHAnsi"/>
          <w:lang w:val="en-AU" w:eastAsia="en-AU"/>
        </w:rPr>
      </w:pPr>
      <w:hyperlink w:anchor="_Toc473714736" w:history="1">
        <w:r w:rsidRPr="00495E78">
          <w:rPr>
            <w:rStyle w:val="Hyperlink"/>
          </w:rPr>
          <w:t>Appendix B – Option 3a – Principles-based regulation</w:t>
        </w:r>
        <w:r>
          <w:rPr>
            <w:webHidden/>
          </w:rPr>
          <w:tab/>
        </w:r>
        <w:r>
          <w:rPr>
            <w:webHidden/>
          </w:rPr>
          <w:fldChar w:fldCharType="begin"/>
        </w:r>
        <w:r>
          <w:rPr>
            <w:webHidden/>
          </w:rPr>
          <w:instrText xml:space="preserve"> PAGEREF _Toc473714736 \h </w:instrText>
        </w:r>
        <w:r>
          <w:rPr>
            <w:webHidden/>
          </w:rPr>
        </w:r>
        <w:r>
          <w:rPr>
            <w:webHidden/>
          </w:rPr>
          <w:fldChar w:fldCharType="separate"/>
        </w:r>
        <w:r>
          <w:rPr>
            <w:webHidden/>
          </w:rPr>
          <w:t>27</w:t>
        </w:r>
        <w:r>
          <w:rPr>
            <w:webHidden/>
          </w:rPr>
          <w:fldChar w:fldCharType="end"/>
        </w:r>
      </w:hyperlink>
    </w:p>
    <w:p w:rsidR="00D1446E" w:rsidRDefault="00D1446E" w:rsidP="00D1446E">
      <w:r>
        <w:fldChar w:fldCharType="end"/>
      </w:r>
    </w:p>
    <w:p w:rsidR="00D1446E" w:rsidRDefault="00D1446E" w:rsidP="00D1446E">
      <w:pPr>
        <w:rPr>
          <w:b/>
        </w:rPr>
      </w:pPr>
      <w:bookmarkStart w:id="25" w:name="_GoBack"/>
      <w:bookmarkEnd w:id="25"/>
      <w:r>
        <w:rPr>
          <w:b/>
        </w:rPr>
        <w:br w:type="page"/>
      </w:r>
    </w:p>
    <w:p w:rsidR="00D1446E" w:rsidRPr="00DB6C88" w:rsidRDefault="00D1446E" w:rsidP="00F266B6">
      <w:pPr>
        <w:pStyle w:val="Heading1"/>
        <w:numPr>
          <w:ilvl w:val="0"/>
          <w:numId w:val="33"/>
        </w:numPr>
        <w:ind w:left="680" w:hanging="680"/>
      </w:pPr>
      <w:bookmarkStart w:id="26" w:name="_Toc422996127"/>
      <w:bookmarkStart w:id="27" w:name="_Toc434497022"/>
      <w:bookmarkStart w:id="28" w:name="_Toc434497008"/>
      <w:bookmarkStart w:id="29" w:name="_Toc473714717"/>
      <w:bookmarkEnd w:id="23"/>
      <w:bookmarkEnd w:id="24"/>
      <w:r w:rsidRPr="00DB6C88">
        <w:lastRenderedPageBreak/>
        <w:t>Introduction</w:t>
      </w:r>
      <w:bookmarkEnd w:id="29"/>
    </w:p>
    <w:p w:rsidR="00D1446E" w:rsidRDefault="00D1446E" w:rsidP="00D1446E">
      <w:r>
        <w:t xml:space="preserve">The Australian Competition and Consumer Commission (ACCC) </w:t>
      </w:r>
      <w:proofErr w:type="gramStart"/>
      <w:r>
        <w:t>has</w:t>
      </w:r>
      <w:proofErr w:type="gramEnd"/>
      <w:r>
        <w:t xml:space="preserve"> prepared this consultation paper as part of our review of mandatory safety standards for children’s toys.</w:t>
      </w:r>
    </w:p>
    <w:p w:rsidR="00D1446E" w:rsidRDefault="00D1446E" w:rsidP="00D1446E">
      <w:r w:rsidRPr="00DB6C88">
        <w:t>Th</w:t>
      </w:r>
      <w:r>
        <w:t>is</w:t>
      </w:r>
      <w:r w:rsidRPr="00DB6C88">
        <w:t xml:space="preserve"> </w:t>
      </w:r>
      <w:r>
        <w:t xml:space="preserve">consultation paper is in the format of </w:t>
      </w:r>
      <w:r w:rsidRPr="00DB6C88">
        <w:t>a R</w:t>
      </w:r>
      <w:r>
        <w:t>egulation Impact Statement (R</w:t>
      </w:r>
      <w:r w:rsidRPr="00DB6C88">
        <w:t>IS</w:t>
      </w:r>
      <w:r>
        <w:t>).</w:t>
      </w:r>
      <w:r w:rsidRPr="00DB6C88">
        <w:t xml:space="preserve"> </w:t>
      </w:r>
      <w:r>
        <w:t>The Australian Government requires a RIS to inform every regulatory policy proposal, unless it is a minor update to existing laws. The RIS process assesses the costs and benefits of policy options to ensure any regulation provides the greatest benefit to the Australian community.</w:t>
      </w:r>
    </w:p>
    <w:p w:rsidR="00D1446E" w:rsidRDefault="00D1446E" w:rsidP="00D1446E">
      <w:r w:rsidRPr="00E33B82">
        <w:t xml:space="preserve">This consultation paper invites stakeholders to comment on a number of issues and options. A summary of key questions is at section </w:t>
      </w:r>
      <w:r>
        <w:t>10</w:t>
      </w:r>
      <w:r w:rsidRPr="00E33B82">
        <w:t>.</w:t>
      </w:r>
      <w:r w:rsidRPr="00E01E07">
        <w:t xml:space="preserve"> </w:t>
      </w:r>
    </w:p>
    <w:p w:rsidR="00D1446E" w:rsidRPr="00DB6C88" w:rsidRDefault="00D1446E" w:rsidP="00F266B6">
      <w:pPr>
        <w:pStyle w:val="Heading1"/>
        <w:numPr>
          <w:ilvl w:val="0"/>
          <w:numId w:val="33"/>
        </w:numPr>
        <w:ind w:left="680" w:hanging="680"/>
      </w:pPr>
      <w:bookmarkStart w:id="30" w:name="_Toc473714718"/>
      <w:r w:rsidRPr="00521104">
        <w:t>The problem and need</w:t>
      </w:r>
      <w:r w:rsidRPr="00017858">
        <w:t xml:space="preserve"> for government action</w:t>
      </w:r>
      <w:bookmarkEnd w:id="26"/>
      <w:bookmarkEnd w:id="27"/>
      <w:bookmarkEnd w:id="30"/>
    </w:p>
    <w:p w:rsidR="00D1446E" w:rsidRPr="00233835" w:rsidRDefault="00D1446E" w:rsidP="00D1446E">
      <w:r w:rsidRPr="00233835">
        <w:t>Governments enforce the mandatory safety standards for toys to reduce the risk of serious injury and death to children us</w:t>
      </w:r>
      <w:r>
        <w:t>ing</w:t>
      </w:r>
      <w:r w:rsidRPr="00233835">
        <w:t xml:space="preserve"> </w:t>
      </w:r>
      <w:r>
        <w:t>these products</w:t>
      </w:r>
      <w:r w:rsidRPr="00233835">
        <w:t xml:space="preserve">. Table 1 lists the five mandatory safety standards for children’s toys and the safety hazards they address. </w:t>
      </w:r>
    </w:p>
    <w:p w:rsidR="00D1446E" w:rsidRPr="008122C4" w:rsidRDefault="00D1446E" w:rsidP="00D1446E">
      <w:pPr>
        <w:pStyle w:val="TableTextform"/>
        <w:spacing w:before="120" w:after="120"/>
        <w:rPr>
          <w:b/>
        </w:rPr>
      </w:pPr>
      <w:r w:rsidRPr="008122C4">
        <w:rPr>
          <w:b/>
        </w:rPr>
        <w:t xml:space="preserve">Table1: </w:t>
      </w:r>
      <w:r>
        <w:rPr>
          <w:b/>
        </w:rPr>
        <w:t>Mandatory safety standards and hazards addressed</w:t>
      </w:r>
    </w:p>
    <w:tbl>
      <w:tblPr>
        <w:tblStyle w:val="MediumList1"/>
        <w:tblW w:w="0" w:type="auto"/>
        <w:tblLook w:val="04A0" w:firstRow="1" w:lastRow="0" w:firstColumn="1" w:lastColumn="0" w:noHBand="0" w:noVBand="1"/>
      </w:tblPr>
      <w:tblGrid>
        <w:gridCol w:w="4621"/>
        <w:gridCol w:w="4621"/>
      </w:tblGrid>
      <w:tr w:rsidR="00D1446E" w:rsidTr="005D5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tcBorders>
          </w:tcPr>
          <w:p w:rsidR="00D1446E" w:rsidRDefault="00D1446E" w:rsidP="005D59D0">
            <w:pPr>
              <w:pStyle w:val="TableTextform"/>
            </w:pPr>
            <w:r>
              <w:t>Mandatory safety standards</w:t>
            </w:r>
          </w:p>
        </w:tc>
        <w:tc>
          <w:tcPr>
            <w:tcW w:w="4621" w:type="dxa"/>
            <w:tcBorders>
              <w:top w:val="single" w:sz="4" w:space="0" w:color="auto"/>
            </w:tcBorders>
          </w:tcPr>
          <w:p w:rsidR="00D1446E" w:rsidRPr="0046637B" w:rsidRDefault="00D1446E" w:rsidP="005D59D0">
            <w:pPr>
              <w:pStyle w:val="TableTextform"/>
              <w:cnfStyle w:val="100000000000" w:firstRow="1" w:lastRow="0" w:firstColumn="0" w:lastColumn="0" w:oddVBand="0" w:evenVBand="0" w:oddHBand="0" w:evenHBand="0" w:firstRowFirstColumn="0" w:firstRowLastColumn="0" w:lastRowFirstColumn="0" w:lastRowLastColumn="0"/>
              <w:rPr>
                <w:b/>
              </w:rPr>
            </w:pPr>
            <w:r w:rsidRPr="0046637B">
              <w:rPr>
                <w:b/>
              </w:rPr>
              <w:t>Safety hazards</w:t>
            </w:r>
          </w:p>
        </w:tc>
      </w:tr>
      <w:tr w:rsidR="00D1446E" w:rsidTr="005D59D0">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4621" w:type="dxa"/>
          </w:tcPr>
          <w:p w:rsidR="00D1446E" w:rsidRDefault="00D1446E" w:rsidP="005D59D0">
            <w:pPr>
              <w:pStyle w:val="TableTextform"/>
            </w:pPr>
            <w:r w:rsidRPr="004E0C56">
              <w:rPr>
                <w:b w:val="0"/>
              </w:rPr>
              <w:t>Toys for children up to and including 36 months of age</w:t>
            </w:r>
          </w:p>
        </w:tc>
        <w:tc>
          <w:tcPr>
            <w:tcW w:w="4621" w:type="dxa"/>
          </w:tcPr>
          <w:p w:rsidR="00D1446E" w:rsidRDefault="00D1446E" w:rsidP="005D59D0">
            <w:pPr>
              <w:pStyle w:val="TableTextform"/>
              <w:cnfStyle w:val="000000100000" w:firstRow="0" w:lastRow="0" w:firstColumn="0" w:lastColumn="0" w:oddVBand="0" w:evenVBand="0" w:oddHBand="1" w:evenHBand="0" w:firstRowFirstColumn="0" w:firstRowLastColumn="0" w:lastRowFirstColumn="0" w:lastRowLastColumn="0"/>
            </w:pPr>
            <w:r>
              <w:t>Choking</w:t>
            </w:r>
          </w:p>
          <w:p w:rsidR="00D1446E" w:rsidRDefault="00D1446E" w:rsidP="005D59D0">
            <w:pPr>
              <w:pStyle w:val="TableTextform"/>
              <w:cnfStyle w:val="000000100000" w:firstRow="0" w:lastRow="0" w:firstColumn="0" w:lastColumn="0" w:oddVBand="0" w:evenVBand="0" w:oddHBand="1" w:evenHBand="0" w:firstRowFirstColumn="0" w:firstRowLastColumn="0" w:lastRowFirstColumn="0" w:lastRowLastColumn="0"/>
            </w:pPr>
            <w:r>
              <w:t>Suffocation</w:t>
            </w:r>
          </w:p>
          <w:p w:rsidR="00B15716" w:rsidRDefault="00B15716" w:rsidP="005D59D0">
            <w:pPr>
              <w:pStyle w:val="TableTextform"/>
              <w:cnfStyle w:val="000000100000" w:firstRow="0" w:lastRow="0" w:firstColumn="0" w:lastColumn="0" w:oddVBand="0" w:evenVBand="0" w:oddHBand="1" w:evenHBand="0" w:firstRowFirstColumn="0" w:firstRowLastColumn="0" w:lastRowFirstColumn="0" w:lastRowLastColumn="0"/>
            </w:pPr>
            <w:r>
              <w:t>Small batteries</w:t>
            </w:r>
          </w:p>
        </w:tc>
      </w:tr>
      <w:tr w:rsidR="00D1446E" w:rsidTr="005D59D0">
        <w:tc>
          <w:tcPr>
            <w:cnfStyle w:val="001000000000" w:firstRow="0" w:lastRow="0" w:firstColumn="1" w:lastColumn="0" w:oddVBand="0" w:evenVBand="0" w:oddHBand="0" w:evenHBand="0" w:firstRowFirstColumn="0" w:firstRowLastColumn="0" w:lastRowFirstColumn="0" w:lastRowLastColumn="0"/>
            <w:tcW w:w="4621" w:type="dxa"/>
          </w:tcPr>
          <w:p w:rsidR="00D1446E" w:rsidRDefault="00D1446E" w:rsidP="005D59D0">
            <w:pPr>
              <w:pStyle w:val="TableTextform"/>
            </w:pPr>
            <w:r w:rsidRPr="004E0C56">
              <w:rPr>
                <w:b w:val="0"/>
              </w:rPr>
              <w:t>Children’s projectile toys</w:t>
            </w:r>
          </w:p>
        </w:tc>
        <w:tc>
          <w:tcPr>
            <w:tcW w:w="4621" w:type="dxa"/>
          </w:tcPr>
          <w:p w:rsidR="00D1446E" w:rsidRDefault="00D1446E" w:rsidP="005D59D0">
            <w:pPr>
              <w:pStyle w:val="TableTextform"/>
              <w:cnfStyle w:val="000000000000" w:firstRow="0" w:lastRow="0" w:firstColumn="0" w:lastColumn="0" w:oddVBand="0" w:evenVBand="0" w:oddHBand="0" w:evenHBand="0" w:firstRowFirstColumn="0" w:firstRowLastColumn="0" w:lastRowFirstColumn="0" w:lastRowLastColumn="0"/>
            </w:pPr>
            <w:r>
              <w:t>Choking</w:t>
            </w:r>
          </w:p>
          <w:p w:rsidR="00D1446E" w:rsidRDefault="00D1446E" w:rsidP="005D59D0">
            <w:pPr>
              <w:pStyle w:val="TableTextform"/>
              <w:cnfStyle w:val="000000000000" w:firstRow="0" w:lastRow="0" w:firstColumn="0" w:lastColumn="0" w:oddVBand="0" w:evenVBand="0" w:oddHBand="0" w:evenHBand="0" w:firstRowFirstColumn="0" w:firstRowLastColumn="0" w:lastRowFirstColumn="0" w:lastRowLastColumn="0"/>
            </w:pPr>
            <w:r>
              <w:t>Eye injuries</w:t>
            </w:r>
          </w:p>
          <w:p w:rsidR="00D1446E" w:rsidRDefault="00D1446E" w:rsidP="005D59D0">
            <w:pPr>
              <w:pStyle w:val="TableTextform"/>
              <w:cnfStyle w:val="000000000000" w:firstRow="0" w:lastRow="0" w:firstColumn="0" w:lastColumn="0" w:oddVBand="0" w:evenVBand="0" w:oddHBand="0" w:evenHBand="0" w:firstRowFirstColumn="0" w:firstRowLastColumn="0" w:lastRowFirstColumn="0" w:lastRowLastColumn="0"/>
            </w:pPr>
            <w:r>
              <w:t>Flesh wounds</w:t>
            </w:r>
          </w:p>
        </w:tc>
      </w:tr>
      <w:tr w:rsidR="00D1446E" w:rsidTr="005D5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1446E" w:rsidRDefault="00D1446E" w:rsidP="005D59D0">
            <w:pPr>
              <w:pStyle w:val="TableTextform"/>
            </w:pPr>
            <w:r>
              <w:rPr>
                <w:b w:val="0"/>
              </w:rPr>
              <w:t>Children’s toys containing magnets</w:t>
            </w:r>
          </w:p>
        </w:tc>
        <w:tc>
          <w:tcPr>
            <w:tcW w:w="4621" w:type="dxa"/>
          </w:tcPr>
          <w:p w:rsidR="00D1446E" w:rsidRDefault="00D1446E" w:rsidP="005D59D0">
            <w:pPr>
              <w:pStyle w:val="TableTextform"/>
              <w:cnfStyle w:val="000000100000" w:firstRow="0" w:lastRow="0" w:firstColumn="0" w:lastColumn="0" w:oddVBand="0" w:evenVBand="0" w:oddHBand="1" w:evenHBand="0" w:firstRowFirstColumn="0" w:firstRowLastColumn="0" w:lastRowFirstColumn="0" w:lastRowLastColumn="0"/>
            </w:pPr>
            <w:r>
              <w:t>Ingestion of hazardous magnets</w:t>
            </w:r>
          </w:p>
        </w:tc>
      </w:tr>
      <w:tr w:rsidR="00D1446E" w:rsidTr="005D59D0">
        <w:tc>
          <w:tcPr>
            <w:cnfStyle w:val="001000000000" w:firstRow="0" w:lastRow="0" w:firstColumn="1" w:lastColumn="0" w:oddVBand="0" w:evenVBand="0" w:oddHBand="0" w:evenHBand="0" w:firstRowFirstColumn="0" w:firstRowLastColumn="0" w:lastRowFirstColumn="0" w:lastRowLastColumn="0"/>
            <w:tcW w:w="4621" w:type="dxa"/>
          </w:tcPr>
          <w:p w:rsidR="00D1446E" w:rsidRDefault="00D1446E" w:rsidP="005D59D0">
            <w:pPr>
              <w:pStyle w:val="TableTextform"/>
            </w:pPr>
            <w:r>
              <w:rPr>
                <w:b w:val="0"/>
              </w:rPr>
              <w:t>Flotation and aquatic toys</w:t>
            </w:r>
          </w:p>
        </w:tc>
        <w:tc>
          <w:tcPr>
            <w:tcW w:w="4621" w:type="dxa"/>
          </w:tcPr>
          <w:p w:rsidR="00D1446E" w:rsidRDefault="00D1446E" w:rsidP="005D59D0">
            <w:pPr>
              <w:pStyle w:val="TableTextform"/>
              <w:cnfStyle w:val="000000000000" w:firstRow="0" w:lastRow="0" w:firstColumn="0" w:lastColumn="0" w:oddVBand="0" w:evenVBand="0" w:oddHBand="0" w:evenHBand="0" w:firstRowFirstColumn="0" w:firstRowLastColumn="0" w:lastRowFirstColumn="0" w:lastRowLastColumn="0"/>
            </w:pPr>
            <w:r>
              <w:t>Drowning</w:t>
            </w:r>
          </w:p>
        </w:tc>
      </w:tr>
      <w:tr w:rsidR="00D1446E" w:rsidTr="005D5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1446E" w:rsidRDefault="00D1446E" w:rsidP="005D59D0">
            <w:pPr>
              <w:pStyle w:val="TableTextform"/>
            </w:pPr>
            <w:r>
              <w:rPr>
                <w:b w:val="0"/>
              </w:rPr>
              <w:t>Lead and other elements in children’s toys</w:t>
            </w:r>
          </w:p>
        </w:tc>
        <w:tc>
          <w:tcPr>
            <w:tcW w:w="4621" w:type="dxa"/>
          </w:tcPr>
          <w:p w:rsidR="00D1446E" w:rsidRDefault="00D1446E" w:rsidP="005D59D0">
            <w:pPr>
              <w:pStyle w:val="TableTextform"/>
              <w:cnfStyle w:val="000000100000" w:firstRow="0" w:lastRow="0" w:firstColumn="0" w:lastColumn="0" w:oddVBand="0" w:evenVBand="0" w:oddHBand="1" w:evenHBand="0" w:firstRowFirstColumn="0" w:firstRowLastColumn="0" w:lastRowFirstColumn="0" w:lastRowLastColumn="0"/>
            </w:pPr>
            <w:r>
              <w:t>Damage to physical and mental health</w:t>
            </w:r>
          </w:p>
        </w:tc>
      </w:tr>
    </w:tbl>
    <w:p w:rsidR="00D1446E" w:rsidRPr="00B20209" w:rsidRDefault="00D1446E" w:rsidP="00D1446E">
      <w:r>
        <w:t xml:space="preserve">The </w:t>
      </w:r>
      <w:r w:rsidRPr="00B20209">
        <w:t xml:space="preserve">ACCC is reviewing </w:t>
      </w:r>
      <w:r>
        <w:t>the five</w:t>
      </w:r>
      <w:r w:rsidRPr="00B20209">
        <w:t xml:space="preserve"> mandatory safety standards for children’s toys </w:t>
      </w:r>
      <w:r>
        <w:t>because:</w:t>
      </w:r>
    </w:p>
    <w:p w:rsidR="00D1446E" w:rsidRPr="00417150" w:rsidRDefault="00B177FC" w:rsidP="00D1446E">
      <w:pPr>
        <w:numPr>
          <w:ilvl w:val="0"/>
          <w:numId w:val="28"/>
        </w:numPr>
      </w:pPr>
      <w:r>
        <w:t>w</w:t>
      </w:r>
      <w:r w:rsidR="00D1446E" w:rsidRPr="00417150">
        <w:t>e want to see if the mandatory safety standards are still effective i</w:t>
      </w:r>
      <w:r w:rsidR="00D1446E">
        <w:t>n addressing the safety hazards</w:t>
      </w:r>
    </w:p>
    <w:p w:rsidR="00D1446E" w:rsidRPr="00EF2C22" w:rsidRDefault="00D1446E" w:rsidP="00D1446E">
      <w:pPr>
        <w:numPr>
          <w:ilvl w:val="0"/>
          <w:numId w:val="28"/>
        </w:numPr>
      </w:pPr>
      <w:r w:rsidRPr="00EF2C22">
        <w:t xml:space="preserve">the mandatory safety standards reference parts of outdated voluntary Australian standards and </w:t>
      </w:r>
      <w:r>
        <w:t>may not be</w:t>
      </w:r>
      <w:r w:rsidRPr="00EF2C22">
        <w:t xml:space="preserve"> captur</w:t>
      </w:r>
      <w:r>
        <w:t>ing</w:t>
      </w:r>
      <w:r w:rsidRPr="00EF2C22">
        <w:t xml:space="preserve"> improved knowledge around safety requirements </w:t>
      </w:r>
    </w:p>
    <w:p w:rsidR="00D1446E" w:rsidRDefault="00D1446E" w:rsidP="00D1446E">
      <w:pPr>
        <w:pStyle w:val="ListParagraph"/>
        <w:numPr>
          <w:ilvl w:val="0"/>
          <w:numId w:val="28"/>
        </w:numPr>
      </w:pPr>
      <w:r>
        <w:t>we are considering</w:t>
      </w:r>
      <w:r w:rsidRPr="00E11B2B">
        <w:t xml:space="preserve"> trusted international standards as ways for suppliers to demonstrate compliance </w:t>
      </w:r>
    </w:p>
    <w:p w:rsidR="00D1446E" w:rsidRDefault="00D1446E" w:rsidP="00B177FC">
      <w:pPr>
        <w:pStyle w:val="ListParagraph"/>
        <w:numPr>
          <w:ilvl w:val="0"/>
          <w:numId w:val="28"/>
        </w:numPr>
      </w:pPr>
      <w:proofErr w:type="gramStart"/>
      <w:r>
        <w:t>we</w:t>
      </w:r>
      <w:proofErr w:type="gramEnd"/>
      <w:r>
        <w:t xml:space="preserve"> are considering</w:t>
      </w:r>
      <w:r w:rsidRPr="00EE5612">
        <w:t xml:space="preserve"> safety principles rather than prescriptive requirements</w:t>
      </w:r>
      <w:r>
        <w:t>.</w:t>
      </w:r>
      <w:r w:rsidRPr="00EE5612">
        <w:t xml:space="preserve"> </w:t>
      </w:r>
      <w:r>
        <w:br w:type="page"/>
      </w:r>
    </w:p>
    <w:p w:rsidR="00D1446E" w:rsidRPr="00DB6C88" w:rsidRDefault="00D1446E" w:rsidP="00D1446E">
      <w:r w:rsidRPr="00E11B2B">
        <w:lastRenderedPageBreak/>
        <w:t xml:space="preserve">This consultation paper </w:t>
      </w:r>
      <w:r w:rsidR="000938AF">
        <w:t>considers</w:t>
      </w:r>
      <w:r w:rsidRPr="00E11B2B">
        <w:t xml:space="preserve"> the following</w:t>
      </w:r>
      <w:r>
        <w:t xml:space="preserve"> policy options:</w:t>
      </w:r>
    </w:p>
    <w:tbl>
      <w:tblPr>
        <w:tblW w:w="9365" w:type="dxa"/>
        <w:tblLook w:val="04A0" w:firstRow="1" w:lastRow="0" w:firstColumn="1" w:lastColumn="0" w:noHBand="0" w:noVBand="1"/>
      </w:tblPr>
      <w:tblGrid>
        <w:gridCol w:w="1242"/>
        <w:gridCol w:w="8123"/>
      </w:tblGrid>
      <w:tr w:rsidR="00D1446E" w:rsidRPr="00DB6C88" w:rsidTr="005D59D0">
        <w:tc>
          <w:tcPr>
            <w:tcW w:w="1242" w:type="dxa"/>
          </w:tcPr>
          <w:p w:rsidR="00D1446E" w:rsidRPr="002E07CA" w:rsidRDefault="00D1446E" w:rsidP="005D59D0">
            <w:r w:rsidRPr="002E07CA">
              <w:t xml:space="preserve">Option </w:t>
            </w:r>
            <w:r>
              <w:t>1</w:t>
            </w:r>
          </w:p>
        </w:tc>
        <w:tc>
          <w:tcPr>
            <w:tcW w:w="8123" w:type="dxa"/>
          </w:tcPr>
          <w:p w:rsidR="00D1446E" w:rsidRPr="002E07CA" w:rsidRDefault="00D1446E" w:rsidP="005D59D0">
            <w:r>
              <w:t>Retain the current mandatory safety standards</w:t>
            </w:r>
          </w:p>
        </w:tc>
      </w:tr>
      <w:tr w:rsidR="00D1446E" w:rsidRPr="00DB6C88" w:rsidTr="005D59D0">
        <w:tc>
          <w:tcPr>
            <w:tcW w:w="1242" w:type="dxa"/>
          </w:tcPr>
          <w:p w:rsidR="00D1446E" w:rsidRPr="002E07CA" w:rsidRDefault="00D1446E" w:rsidP="005D59D0">
            <w:r>
              <w:t>Option 2</w:t>
            </w:r>
          </w:p>
        </w:tc>
        <w:tc>
          <w:tcPr>
            <w:tcW w:w="8123" w:type="dxa"/>
          </w:tcPr>
          <w:p w:rsidR="00D1446E" w:rsidRDefault="00D1446E" w:rsidP="005D59D0">
            <w:r>
              <w:t>Adopt parts of the</w:t>
            </w:r>
            <w:r w:rsidRPr="002E07CA">
              <w:t xml:space="preserve"> updated voluntary Australian standard</w:t>
            </w:r>
            <w:r>
              <w:t>s</w:t>
            </w:r>
          </w:p>
        </w:tc>
      </w:tr>
      <w:tr w:rsidR="00D1446E" w:rsidRPr="00DB6C88" w:rsidTr="005D59D0">
        <w:tc>
          <w:tcPr>
            <w:tcW w:w="1242" w:type="dxa"/>
          </w:tcPr>
          <w:p w:rsidR="00D1446E" w:rsidRPr="002E07CA" w:rsidRDefault="00D1446E" w:rsidP="005D59D0">
            <w:r w:rsidRPr="002E07CA">
              <w:t xml:space="preserve">Option </w:t>
            </w:r>
            <w:r>
              <w:t>3</w:t>
            </w:r>
          </w:p>
        </w:tc>
        <w:tc>
          <w:tcPr>
            <w:tcW w:w="8123" w:type="dxa"/>
          </w:tcPr>
          <w:p w:rsidR="00D1446E" w:rsidRPr="002E07CA" w:rsidRDefault="00D1446E" w:rsidP="000938AF">
            <w:r>
              <w:rPr>
                <w:rFonts w:cs="Arial"/>
              </w:rPr>
              <w:t xml:space="preserve">Allow compliance with the voluntary Australian or </w:t>
            </w:r>
            <w:r w:rsidRPr="001C083D">
              <w:rPr>
                <w:rFonts w:cs="Arial"/>
              </w:rPr>
              <w:t>trusted international standards</w:t>
            </w:r>
          </w:p>
        </w:tc>
      </w:tr>
      <w:tr w:rsidR="00D1446E" w:rsidRPr="00DB6C88" w:rsidTr="005D59D0">
        <w:tc>
          <w:tcPr>
            <w:tcW w:w="1242" w:type="dxa"/>
          </w:tcPr>
          <w:p w:rsidR="00D1446E" w:rsidRPr="002E07CA" w:rsidRDefault="00D1446E" w:rsidP="005D59D0">
            <w:r w:rsidRPr="002E07CA">
              <w:t xml:space="preserve">Option </w:t>
            </w:r>
            <w:r>
              <w:t>3a</w:t>
            </w:r>
          </w:p>
        </w:tc>
        <w:tc>
          <w:tcPr>
            <w:tcW w:w="8123" w:type="dxa"/>
          </w:tcPr>
          <w:p w:rsidR="00D1446E" w:rsidRPr="0028653F" w:rsidRDefault="00D1446E" w:rsidP="00DC1EF8">
            <w:pPr>
              <w:rPr>
                <w:rFonts w:cs="Arial"/>
              </w:rPr>
            </w:pPr>
            <w:r>
              <w:rPr>
                <w:rFonts w:cs="Arial"/>
              </w:rPr>
              <w:t>Principles-based mandatory safety standard</w:t>
            </w:r>
          </w:p>
        </w:tc>
      </w:tr>
      <w:tr w:rsidR="00D1446E" w:rsidRPr="00DB6C88" w:rsidTr="005D59D0">
        <w:tc>
          <w:tcPr>
            <w:tcW w:w="1242" w:type="dxa"/>
          </w:tcPr>
          <w:p w:rsidR="00D1446E" w:rsidRPr="002E07CA" w:rsidRDefault="00D1446E" w:rsidP="005D59D0">
            <w:r>
              <w:t>Option 4</w:t>
            </w:r>
          </w:p>
        </w:tc>
        <w:tc>
          <w:tcPr>
            <w:tcW w:w="8123" w:type="dxa"/>
          </w:tcPr>
          <w:p w:rsidR="00D1446E" w:rsidRDefault="00D1446E" w:rsidP="00DC1EF8">
            <w:pPr>
              <w:rPr>
                <w:rFonts w:cs="Arial"/>
              </w:rPr>
            </w:pPr>
            <w:r w:rsidRPr="002E07CA">
              <w:t>Revoke the mandatory safety standard</w:t>
            </w:r>
            <w:r>
              <w:t xml:space="preserve">s </w:t>
            </w:r>
          </w:p>
        </w:tc>
      </w:tr>
    </w:tbl>
    <w:p w:rsidR="00D1446E" w:rsidRPr="001B44A9" w:rsidRDefault="00D1446E" w:rsidP="00F266B6">
      <w:pPr>
        <w:pStyle w:val="Heading1"/>
        <w:numPr>
          <w:ilvl w:val="0"/>
          <w:numId w:val="33"/>
        </w:numPr>
        <w:ind w:left="680" w:hanging="680"/>
      </w:pPr>
      <w:bookmarkStart w:id="31" w:name="_Toc434497009"/>
      <w:bookmarkStart w:id="32" w:name="_Toc473714719"/>
      <w:bookmarkEnd w:id="28"/>
      <w:r w:rsidRPr="001B44A9">
        <w:t>Background</w:t>
      </w:r>
      <w:bookmarkEnd w:id="31"/>
      <w:bookmarkEnd w:id="32"/>
    </w:p>
    <w:p w:rsidR="00D1446E" w:rsidRPr="001B44A9" w:rsidRDefault="00D1446E" w:rsidP="00D1446E">
      <w:r>
        <w:t>The toy market is continually changing because of globalisation, technological advancements and consumer preferences.</w:t>
      </w:r>
      <w:r>
        <w:rPr>
          <w:rStyle w:val="FootnoteReference"/>
        </w:rPr>
        <w:footnoteReference w:id="1"/>
      </w:r>
      <w:r>
        <w:t xml:space="preserve"> </w:t>
      </w:r>
    </w:p>
    <w:p w:rsidR="00D1446E" w:rsidRDefault="00D1446E" w:rsidP="00D1446E">
      <w:r>
        <w:t xml:space="preserve">The toy and sporting goods manufacturing industry in Australia is relatively small and is concentrated in New South </w:t>
      </w:r>
      <w:r w:rsidRPr="004D6C87">
        <w:t>Wales and Queensland.</w:t>
      </w:r>
      <w:r w:rsidRPr="004D6C87">
        <w:rPr>
          <w:rStyle w:val="FootnoteReference"/>
        </w:rPr>
        <w:footnoteReference w:id="2"/>
      </w:r>
      <w:r w:rsidRPr="004D6C87">
        <w:t xml:space="preserve"> </w:t>
      </w:r>
      <w:r>
        <w:t>Imports to Australia are mostly from China (68 per cent)</w:t>
      </w:r>
      <w:r w:rsidRPr="00BD6C0A">
        <w:rPr>
          <w:rStyle w:val="FootnoteReference"/>
        </w:rPr>
        <w:footnoteReference w:id="3"/>
      </w:r>
      <w:r w:rsidRPr="00BD6C0A">
        <w:t xml:space="preserve"> </w:t>
      </w:r>
      <w:r>
        <w:t>and</w:t>
      </w:r>
      <w:r w:rsidRPr="00BD6C0A">
        <w:t xml:space="preserve"> China is the largest exporter of toys with an estimated 2700 businesses in the toy-manufacturing sector.</w:t>
      </w:r>
      <w:r w:rsidRPr="00BD6C0A">
        <w:rPr>
          <w:rStyle w:val="FootnoteReference"/>
        </w:rPr>
        <w:footnoteReference w:id="4"/>
      </w:r>
      <w:r>
        <w:t xml:space="preserve"> </w:t>
      </w:r>
      <w:r w:rsidRPr="00BD6C0A">
        <w:t xml:space="preserve">For the year 2015-16, the </w:t>
      </w:r>
      <w:r>
        <w:t xml:space="preserve">Australian </w:t>
      </w:r>
      <w:r w:rsidRPr="00BD6C0A">
        <w:t>import market was valued at $2.2 billion.</w:t>
      </w:r>
      <w:r w:rsidRPr="00BD6C0A">
        <w:rPr>
          <w:rStyle w:val="FootnoteReference"/>
        </w:rPr>
        <w:footnoteReference w:id="5"/>
      </w:r>
      <w:r w:rsidRPr="00BD6C0A">
        <w:t xml:space="preserve"> </w:t>
      </w:r>
    </w:p>
    <w:p w:rsidR="00D1446E" w:rsidRDefault="00D1446E" w:rsidP="00D1446E">
      <w:r>
        <w:t xml:space="preserve">The retail market for toys and games in Australia includes an estimated 1160 businesses. These products are sold in a variety of retail outlets, such as specialist toy stores, large chain retail stores and, increasingly, online. The major players in online retailing are </w:t>
      </w:r>
      <w:hyperlink r:id="rId19" w:history="1">
        <w:r w:rsidRPr="003D03CF">
          <w:t>Toys "R" Us (Australia) Pty Ltd</w:t>
        </w:r>
      </w:hyperlink>
      <w:r w:rsidRPr="003D03CF">
        <w:rPr>
          <w:b/>
          <w:bCs/>
        </w:rPr>
        <w:t xml:space="preserve">, </w:t>
      </w:r>
      <w:r>
        <w:t>Wesfarmers Limited (Kmart and Target) and Woolworths Limited (Big W).</w:t>
      </w:r>
      <w:r>
        <w:rPr>
          <w:rStyle w:val="FootnoteReference"/>
        </w:rPr>
        <w:footnoteReference w:id="6"/>
      </w:r>
    </w:p>
    <w:p w:rsidR="00D1446E" w:rsidRPr="00FC70DA" w:rsidRDefault="00D1446E" w:rsidP="00F266B6">
      <w:pPr>
        <w:pStyle w:val="Heading1"/>
        <w:numPr>
          <w:ilvl w:val="0"/>
          <w:numId w:val="33"/>
        </w:numPr>
        <w:ind w:left="680" w:hanging="680"/>
      </w:pPr>
      <w:bookmarkStart w:id="33" w:name="_Toc432596954"/>
      <w:bookmarkStart w:id="34" w:name="_Toc434497011"/>
      <w:bookmarkStart w:id="35" w:name="_Toc452994797"/>
      <w:bookmarkStart w:id="36" w:name="_Toc455066798"/>
      <w:bookmarkStart w:id="37" w:name="_Toc455066833"/>
      <w:bookmarkStart w:id="38" w:name="_Toc455499189"/>
      <w:bookmarkStart w:id="39" w:name="_Toc455756323"/>
      <w:bookmarkStart w:id="40" w:name="_Toc456098878"/>
      <w:bookmarkStart w:id="41" w:name="_Toc456623854"/>
      <w:bookmarkStart w:id="42" w:name="_Toc457313548"/>
      <w:bookmarkStart w:id="43" w:name="_Toc458691400"/>
      <w:bookmarkStart w:id="44" w:name="_Toc459206868"/>
      <w:bookmarkStart w:id="45" w:name="_Toc460239689"/>
      <w:bookmarkStart w:id="46" w:name="_Toc460328235"/>
      <w:bookmarkStart w:id="47" w:name="_Toc473714720"/>
      <w:bookmarkEnd w:id="33"/>
      <w:r w:rsidRPr="00FC70DA">
        <w:t xml:space="preserve">Deaths </w:t>
      </w:r>
      <w:bookmarkEnd w:id="34"/>
      <w:bookmarkEnd w:id="35"/>
      <w:bookmarkEnd w:id="36"/>
      <w:bookmarkEnd w:id="37"/>
      <w:bookmarkEnd w:id="38"/>
      <w:bookmarkEnd w:id="39"/>
      <w:bookmarkEnd w:id="40"/>
      <w:bookmarkEnd w:id="41"/>
      <w:bookmarkEnd w:id="42"/>
      <w:bookmarkEnd w:id="43"/>
      <w:bookmarkEnd w:id="44"/>
      <w:bookmarkEnd w:id="45"/>
      <w:bookmarkEnd w:id="46"/>
      <w:r w:rsidRPr="00FC70DA">
        <w:t>and injuries</w:t>
      </w:r>
      <w:bookmarkEnd w:id="47"/>
    </w:p>
    <w:p w:rsidR="00D1446E" w:rsidRPr="0087744B" w:rsidRDefault="00D1446E" w:rsidP="00D1446E">
      <w:r>
        <w:t>Young c</w:t>
      </w:r>
      <w:r w:rsidRPr="0090667B">
        <w:t>hildren</w:t>
      </w:r>
      <w:r>
        <w:t>, particularly</w:t>
      </w:r>
      <w:r w:rsidRPr="0090667B">
        <w:t xml:space="preserve"> under 36 months of age</w:t>
      </w:r>
      <w:r>
        <w:t>,</w:t>
      </w:r>
      <w:r w:rsidRPr="0090667B">
        <w:t xml:space="preserve"> have not yet fully developed their reflexes to cough out </w:t>
      </w:r>
      <w:r w:rsidRPr="0087744B">
        <w:t>small items, which they may place in their mouth. They are therefore especially vulnerable to ingesting and inhaling small parts of toys.</w:t>
      </w:r>
    </w:p>
    <w:p w:rsidR="00D1446E" w:rsidRPr="00A96B08" w:rsidRDefault="00D1446E" w:rsidP="00D1446E">
      <w:r w:rsidRPr="00A96B08">
        <w:t>Since 2002, there have been four toy-related deaths in Australia</w:t>
      </w:r>
      <w:r>
        <w:t>. Three of these cases were the result of choking on small parts of toys</w:t>
      </w:r>
      <w:r w:rsidRPr="00A96B08">
        <w:t>.</w:t>
      </w:r>
      <w:r w:rsidRPr="00A96B08">
        <w:rPr>
          <w:rStyle w:val="FootnoteReference"/>
        </w:rPr>
        <w:footnoteReference w:id="7"/>
      </w:r>
      <w:r w:rsidRPr="00A96B08">
        <w:t xml:space="preserve"> In 2002, two six-year-old boys died</w:t>
      </w:r>
      <w:r>
        <w:t xml:space="preserve"> after </w:t>
      </w:r>
      <w:r w:rsidRPr="00A96B08">
        <w:rPr>
          <w:rFonts w:cs="Arial"/>
        </w:rPr>
        <w:t xml:space="preserve">one </w:t>
      </w:r>
      <w:r>
        <w:rPr>
          <w:rFonts w:cs="Arial"/>
        </w:rPr>
        <w:t>boy choked on</w:t>
      </w:r>
      <w:r w:rsidRPr="00A96B08">
        <w:rPr>
          <w:rFonts w:cs="Arial"/>
        </w:rPr>
        <w:t xml:space="preserve"> a small plastic board game </w:t>
      </w:r>
      <w:r>
        <w:rPr>
          <w:rFonts w:cs="Arial"/>
        </w:rPr>
        <w:t>piece and</w:t>
      </w:r>
      <w:r w:rsidRPr="00A96B08">
        <w:rPr>
          <w:rFonts w:cs="Arial"/>
        </w:rPr>
        <w:t xml:space="preserve"> </w:t>
      </w:r>
      <w:r>
        <w:rPr>
          <w:rFonts w:cs="Arial"/>
        </w:rPr>
        <w:t>the other boy</w:t>
      </w:r>
      <w:r w:rsidRPr="00A96B08">
        <w:rPr>
          <w:rFonts w:cs="Arial"/>
        </w:rPr>
        <w:t xml:space="preserve"> fir</w:t>
      </w:r>
      <w:r>
        <w:rPr>
          <w:rFonts w:cs="Arial"/>
        </w:rPr>
        <w:t>ed</w:t>
      </w:r>
      <w:r w:rsidRPr="00A96B08">
        <w:rPr>
          <w:rFonts w:cs="Arial"/>
        </w:rPr>
        <w:t xml:space="preserve"> a dart gun into his mouth,</w:t>
      </w:r>
      <w:r w:rsidRPr="00A96B08">
        <w:rPr>
          <w:rFonts w:cs="Arial"/>
          <w:color w:val="000000"/>
        </w:rPr>
        <w:t xml:space="preserve"> and the</w:t>
      </w:r>
      <w:r w:rsidRPr="00A96B08">
        <w:rPr>
          <w:rFonts w:cs="Arial"/>
        </w:rPr>
        <w:t xml:space="preserve"> rubber projectile with a suction cap tip lodged in his throat, blocking his airway.</w:t>
      </w:r>
      <w:r w:rsidRPr="00A96B08">
        <w:rPr>
          <w:rStyle w:val="FootnoteReference"/>
          <w:rFonts w:cs="Arial"/>
        </w:rPr>
        <w:footnoteReference w:id="8"/>
      </w:r>
      <w:r w:rsidRPr="00664F40">
        <w:rPr>
          <w:rFonts w:cs="Arial"/>
        </w:rPr>
        <w:t xml:space="preserve"> </w:t>
      </w:r>
      <w:r>
        <w:rPr>
          <w:rFonts w:cs="Arial"/>
        </w:rPr>
        <w:t>The third case in 2003 involved a 13-month-old boy who choked on</w:t>
      </w:r>
      <w:r w:rsidRPr="00F01FD6">
        <w:rPr>
          <w:rFonts w:cs="Arial"/>
        </w:rPr>
        <w:t xml:space="preserve"> a small toy</w:t>
      </w:r>
      <w:r>
        <w:rPr>
          <w:rFonts w:cs="Arial"/>
        </w:rPr>
        <w:t xml:space="preserve"> building block</w:t>
      </w:r>
      <w:r w:rsidRPr="00F01FD6">
        <w:rPr>
          <w:rFonts w:cs="Arial"/>
        </w:rPr>
        <w:t xml:space="preserve"> </w:t>
      </w:r>
      <w:r>
        <w:rPr>
          <w:rFonts w:cs="Arial"/>
        </w:rPr>
        <w:t xml:space="preserve">after it </w:t>
      </w:r>
      <w:r w:rsidRPr="00F01FD6">
        <w:rPr>
          <w:rFonts w:cs="Arial"/>
        </w:rPr>
        <w:t xml:space="preserve">lodged in </w:t>
      </w:r>
      <w:r>
        <w:rPr>
          <w:rFonts w:cs="Arial"/>
        </w:rPr>
        <w:t>his</w:t>
      </w:r>
      <w:r w:rsidRPr="00F01FD6">
        <w:rPr>
          <w:rFonts w:cs="Arial"/>
        </w:rPr>
        <w:t xml:space="preserve"> throat.</w:t>
      </w:r>
      <w:r>
        <w:rPr>
          <w:rStyle w:val="FootnoteReference"/>
          <w:rFonts w:cs="Arial"/>
        </w:rPr>
        <w:footnoteReference w:id="9"/>
      </w:r>
    </w:p>
    <w:p w:rsidR="00D1446E" w:rsidRDefault="00D1446E" w:rsidP="00D1446E">
      <w:r w:rsidRPr="00071064">
        <w:lastRenderedPageBreak/>
        <w:t xml:space="preserve">In 2011, a </w:t>
      </w:r>
      <w:r>
        <w:t>one</w:t>
      </w:r>
      <w:r w:rsidRPr="00071064">
        <w:t xml:space="preserve">-year-old boy died after ingesting multiple </w:t>
      </w:r>
      <w:r w:rsidRPr="00071064">
        <w:rPr>
          <w:rFonts w:cs="Arial"/>
        </w:rPr>
        <w:t>small, high-powered magnets, which perforated his</w:t>
      </w:r>
      <w:r>
        <w:rPr>
          <w:rFonts w:cs="Arial"/>
        </w:rPr>
        <w:t xml:space="preserve"> small</w:t>
      </w:r>
      <w:r w:rsidRPr="00071064">
        <w:rPr>
          <w:rFonts w:cs="Arial"/>
        </w:rPr>
        <w:t xml:space="preserve"> intestine causing infection.</w:t>
      </w:r>
      <w:r w:rsidRPr="00071064">
        <w:rPr>
          <w:rStyle w:val="FootnoteReference"/>
          <w:rFonts w:cs="Arial"/>
        </w:rPr>
        <w:footnoteReference w:id="10"/>
      </w:r>
      <w:r w:rsidRPr="00071064">
        <w:t xml:space="preserve"> </w:t>
      </w:r>
      <w:r>
        <w:t xml:space="preserve">Authorities could not identify the exact product involved but it was likely to have been a small ball-bearing type of novelty toy consisting of a number of magnets joined together. </w:t>
      </w:r>
    </w:p>
    <w:p w:rsidR="00D1446E" w:rsidRDefault="00D1446E" w:rsidP="00D1446E">
      <w:r>
        <w:t>A check of t</w:t>
      </w:r>
      <w:r w:rsidRPr="00071064">
        <w:t xml:space="preserve">he National Coronial Information System database </w:t>
      </w:r>
      <w:r>
        <w:t>does not reveal any</w:t>
      </w:r>
      <w:r w:rsidRPr="00071064">
        <w:t xml:space="preserve"> infant and child toy-related deaths in Australia </w:t>
      </w:r>
      <w:r>
        <w:t>since</w:t>
      </w:r>
      <w:r w:rsidRPr="00071064">
        <w:t xml:space="preserve"> 2011.</w:t>
      </w:r>
      <w:r w:rsidRPr="00071064">
        <w:rPr>
          <w:rStyle w:val="FootnoteReference"/>
        </w:rPr>
        <w:footnoteReference w:id="11"/>
      </w:r>
      <w:r>
        <w:t xml:space="preserve"> </w:t>
      </w:r>
    </w:p>
    <w:p w:rsidR="00D1446E" w:rsidRPr="00F01FD6" w:rsidRDefault="00D1446E" w:rsidP="00D1446E">
      <w:pPr>
        <w:autoSpaceDE w:val="0"/>
        <w:autoSpaceDN w:val="0"/>
        <w:adjustRightInd w:val="0"/>
      </w:pPr>
      <w:r w:rsidRPr="00AF77F8">
        <w:t xml:space="preserve">According to data collected by the Queensland Injury Surveillance Unit (QISU) </w:t>
      </w:r>
      <w:r>
        <w:t xml:space="preserve">from approximately 29 emergency </w:t>
      </w:r>
      <w:r w:rsidRPr="004E5AE8">
        <w:t>departments across Queensland</w:t>
      </w:r>
      <w:r>
        <w:t>,</w:t>
      </w:r>
      <w:r w:rsidRPr="00AF77F8">
        <w:t xml:space="preserve"> there were 2126 toy</w:t>
      </w:r>
      <w:r>
        <w:t>-</w:t>
      </w:r>
      <w:r w:rsidRPr="00AF77F8">
        <w:t>related injuries in children up to 36 months of age</w:t>
      </w:r>
      <w:r w:rsidRPr="001840F5">
        <w:t xml:space="preserve"> </w:t>
      </w:r>
      <w:r w:rsidRPr="00AF77F8">
        <w:t>during the period 1999 to 2012.</w:t>
      </w:r>
      <w:r w:rsidRPr="00AF77F8">
        <w:rPr>
          <w:rStyle w:val="FootnoteReference"/>
        </w:rPr>
        <w:footnoteReference w:id="12"/>
      </w:r>
      <w:r w:rsidRPr="00AF77F8">
        <w:t xml:space="preserve"> </w:t>
      </w:r>
      <w:r w:rsidRPr="004E5AE8">
        <w:t>Child injuries related to small parts of toys were higher (93</w:t>
      </w:r>
      <w:r>
        <w:t xml:space="preserve"> out of 2126</w:t>
      </w:r>
      <w:r w:rsidRPr="004E5AE8">
        <w:t>) compared to projectile toys (5), toy magnet sets (4) and aquatic toys (4)</w:t>
      </w:r>
      <w:r w:rsidR="00582E6E">
        <w:t>, which were low</w:t>
      </w:r>
      <w:r w:rsidRPr="004E5AE8">
        <w:t>.</w:t>
      </w:r>
      <w:r w:rsidRPr="004E5AE8">
        <w:rPr>
          <w:rStyle w:val="FootnoteReference"/>
        </w:rPr>
        <w:footnoteReference w:id="13"/>
      </w:r>
      <w:r w:rsidRPr="004E5AE8">
        <w:t>.</w:t>
      </w:r>
      <w:r w:rsidRPr="004E5AE8" w:rsidDel="00E85457">
        <w:t xml:space="preserve"> </w:t>
      </w:r>
      <w:r w:rsidRPr="00F93343" w:rsidDel="00E85457">
        <w:t>T</w:t>
      </w:r>
      <w:r w:rsidRPr="00E85457" w:rsidDel="00E85457">
        <w:t>he mechanism of these toy-related injuries varied but ingestion accounted for 118 cases</w:t>
      </w:r>
      <w:r w:rsidRPr="00F93343" w:rsidDel="00E85457">
        <w:t xml:space="preserve"> and 53 cases were because of choking.</w:t>
      </w:r>
      <w:r w:rsidRPr="00F93343" w:rsidDel="00E85457">
        <w:rPr>
          <w:rStyle w:val="FootnoteReference"/>
        </w:rPr>
        <w:footnoteReference w:id="14"/>
      </w:r>
      <w:r w:rsidRPr="00F93343" w:rsidDel="00E85457">
        <w:t xml:space="preserve"> The toys associated with these injuries </w:t>
      </w:r>
      <w:r w:rsidRPr="00E85457" w:rsidDel="00E85457">
        <w:t>were unspecified</w:t>
      </w:r>
      <w:r w:rsidRPr="00E85457">
        <w:t>.</w:t>
      </w:r>
      <w:r w:rsidRPr="00F01FD6">
        <w:t xml:space="preserve"> The hazards associated with small parts of toys still occur</w:t>
      </w:r>
      <w:r>
        <w:t xml:space="preserve"> in Australia</w:t>
      </w:r>
      <w:r w:rsidRPr="00F01FD6">
        <w:t xml:space="preserve">. </w:t>
      </w:r>
    </w:p>
    <w:p w:rsidR="00D1446E" w:rsidRPr="00F01FD6" w:rsidRDefault="00D1446E" w:rsidP="00D1446E">
      <w:r>
        <w:t>F</w:t>
      </w:r>
      <w:r w:rsidRPr="00F01FD6">
        <w:t>or the period 2003 to 2007,</w:t>
      </w:r>
      <w:r>
        <w:t xml:space="preserve"> </w:t>
      </w:r>
      <w:r w:rsidRPr="00F01FD6">
        <w:t xml:space="preserve">the US Consumer Product Safety Commission’s National Electronic Injury Surveillance System </w:t>
      </w:r>
      <w:r>
        <w:t>recorded</w:t>
      </w:r>
      <w:r w:rsidRPr="00F01FD6">
        <w:t xml:space="preserve"> 104 toy-related child deaths</w:t>
      </w:r>
      <w:r>
        <w:t xml:space="preserve"> and</w:t>
      </w:r>
      <w:r w:rsidRPr="00F01FD6">
        <w:t xml:space="preserve"> 49 of th</w:t>
      </w:r>
      <w:r>
        <w:t>o</w:t>
      </w:r>
      <w:r w:rsidRPr="00F01FD6">
        <w:t>se were due to choking or aspiration.</w:t>
      </w:r>
      <w:r w:rsidRPr="00F01FD6">
        <w:rPr>
          <w:rStyle w:val="FootnoteReference"/>
        </w:rPr>
        <w:footnoteReference w:id="15"/>
      </w:r>
      <w:r w:rsidRPr="00F01FD6">
        <w:t xml:space="preserve"> In 2008, the Consumer Safety Specification for Toy Safety became mandatory</w:t>
      </w:r>
      <w:r>
        <w:t xml:space="preserve"> in the US</w:t>
      </w:r>
      <w:r w:rsidRPr="00F01FD6">
        <w:t>. During the period 2010 to 2014, there were 71 toy-related child deaths in the US, 31 of these were due to choking or aspiration.</w:t>
      </w:r>
      <w:r w:rsidRPr="00F01FD6">
        <w:rPr>
          <w:rStyle w:val="FootnoteReference"/>
        </w:rPr>
        <w:footnoteReference w:id="16"/>
      </w:r>
      <w:r w:rsidRPr="00F01FD6">
        <w:t xml:space="preserve"> The decrease in the number of deaths is likely to be associated with the safety requirements for children’s toys being made mandatory.</w:t>
      </w:r>
    </w:p>
    <w:p w:rsidR="00D1446E" w:rsidRDefault="00D1446E" w:rsidP="00D1446E">
      <w:r w:rsidRPr="00F01FD6">
        <w:t>These data on child injuries associated with toys</w:t>
      </w:r>
      <w:r w:rsidRPr="00A31D22">
        <w:t xml:space="preserve"> confirms th</w:t>
      </w:r>
      <w:r>
        <w:t xml:space="preserve">at safety hazards still exist, particularly from small parts. </w:t>
      </w:r>
    </w:p>
    <w:p w:rsidR="00D1446E" w:rsidRPr="004A52F4" w:rsidRDefault="00D1446E" w:rsidP="00F266B6">
      <w:pPr>
        <w:pStyle w:val="Heading1"/>
        <w:numPr>
          <w:ilvl w:val="0"/>
          <w:numId w:val="33"/>
        </w:numPr>
        <w:ind w:left="680" w:hanging="680"/>
      </w:pPr>
      <w:bookmarkStart w:id="48" w:name="_Toc473714721"/>
      <w:r w:rsidRPr="004A52F4">
        <w:t>The current safety standards</w:t>
      </w:r>
      <w:bookmarkEnd w:id="48"/>
    </w:p>
    <w:p w:rsidR="00D1446E" w:rsidRDefault="00D1446E" w:rsidP="00D1446E">
      <w:r w:rsidRPr="004A52F4">
        <w:t xml:space="preserve">Children’s toys in Australia are subject to </w:t>
      </w:r>
      <w:r>
        <w:t xml:space="preserve">five </w:t>
      </w:r>
      <w:r w:rsidRPr="004A52F4">
        <w:t xml:space="preserve">mandatory safety standards </w:t>
      </w:r>
      <w:r>
        <w:t xml:space="preserve">to reduce the risk of serious injuries and support consumer </w:t>
      </w:r>
      <w:r w:rsidRPr="00DD3D37">
        <w:t xml:space="preserve">confidence in the </w:t>
      </w:r>
      <w:r>
        <w:t xml:space="preserve">toy </w:t>
      </w:r>
      <w:r w:rsidRPr="00DD3D37">
        <w:t>industry.</w:t>
      </w:r>
      <w:r>
        <w:t xml:space="preserve"> Table 2 outlines the hazards addressed by each mandatory safety standard and the corresponding voluntary Australian standard test requirements it references. </w:t>
      </w:r>
    </w:p>
    <w:p w:rsidR="00D1446E" w:rsidRPr="000F23D9" w:rsidRDefault="00D1446E" w:rsidP="00D1446E">
      <w:pPr>
        <w:pStyle w:val="TableTextform"/>
        <w:spacing w:before="120" w:after="120"/>
        <w:rPr>
          <w:b/>
        </w:rPr>
      </w:pPr>
      <w:r w:rsidRPr="008122C4">
        <w:rPr>
          <w:b/>
        </w:rPr>
        <w:t>Table</w:t>
      </w:r>
      <w:r>
        <w:rPr>
          <w:b/>
        </w:rPr>
        <w:t xml:space="preserve"> 2</w:t>
      </w:r>
      <w:r w:rsidRPr="008122C4">
        <w:rPr>
          <w:b/>
        </w:rPr>
        <w:t xml:space="preserve">: </w:t>
      </w:r>
      <w:r>
        <w:rPr>
          <w:b/>
        </w:rPr>
        <w:t>Mandatory safety standards and voluntary Australian standards</w:t>
      </w:r>
    </w:p>
    <w:tbl>
      <w:tblPr>
        <w:tblStyle w:val="MediumList1"/>
        <w:tblW w:w="0" w:type="auto"/>
        <w:tblLook w:val="04A0" w:firstRow="1" w:lastRow="0" w:firstColumn="1" w:lastColumn="0" w:noHBand="0" w:noVBand="1"/>
      </w:tblPr>
      <w:tblGrid>
        <w:gridCol w:w="2236"/>
        <w:gridCol w:w="2125"/>
        <w:gridCol w:w="2418"/>
        <w:gridCol w:w="2463"/>
      </w:tblGrid>
      <w:tr w:rsidR="00D1446E" w:rsidTr="005D59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tcBorders>
          </w:tcPr>
          <w:p w:rsidR="00D1446E" w:rsidRPr="00E76E60" w:rsidRDefault="00D1446E" w:rsidP="005D59D0">
            <w:pPr>
              <w:jc w:val="center"/>
              <w:rPr>
                <w:sz w:val="20"/>
                <w:szCs w:val="20"/>
              </w:rPr>
            </w:pPr>
            <w:r w:rsidRPr="00E76E60">
              <w:rPr>
                <w:sz w:val="20"/>
                <w:szCs w:val="20"/>
              </w:rPr>
              <w:t>Mandatory safety standard</w:t>
            </w:r>
            <w:r>
              <w:rPr>
                <w:sz w:val="20"/>
                <w:szCs w:val="20"/>
              </w:rPr>
              <w:t>s</w:t>
            </w:r>
          </w:p>
        </w:tc>
        <w:tc>
          <w:tcPr>
            <w:tcW w:w="2125" w:type="dxa"/>
            <w:tcBorders>
              <w:top w:val="single" w:sz="4" w:space="0" w:color="auto"/>
            </w:tcBorders>
          </w:tcPr>
          <w:p w:rsidR="00D1446E" w:rsidRPr="00AF049B" w:rsidRDefault="00D1446E" w:rsidP="005D59D0">
            <w:pPr>
              <w:jc w:val="center"/>
              <w:cnfStyle w:val="100000000000" w:firstRow="1" w:lastRow="0" w:firstColumn="0" w:lastColumn="0" w:oddVBand="0" w:evenVBand="0" w:oddHBand="0" w:evenHBand="0" w:firstRowFirstColumn="0" w:firstRowLastColumn="0" w:lastRowFirstColumn="0" w:lastRowLastColumn="0"/>
              <w:rPr>
                <w:b/>
                <w:sz w:val="20"/>
                <w:szCs w:val="20"/>
              </w:rPr>
            </w:pPr>
            <w:r w:rsidRPr="00AF049B">
              <w:rPr>
                <w:b/>
                <w:sz w:val="20"/>
                <w:szCs w:val="20"/>
              </w:rPr>
              <w:t>Hazard</w:t>
            </w:r>
            <w:r>
              <w:rPr>
                <w:b/>
                <w:sz w:val="20"/>
                <w:szCs w:val="20"/>
              </w:rPr>
              <w:t>s</w:t>
            </w:r>
            <w:r w:rsidRPr="00AF049B">
              <w:rPr>
                <w:b/>
                <w:sz w:val="20"/>
                <w:szCs w:val="20"/>
              </w:rPr>
              <w:t xml:space="preserve"> addressed</w:t>
            </w:r>
          </w:p>
        </w:tc>
        <w:tc>
          <w:tcPr>
            <w:tcW w:w="2418" w:type="dxa"/>
            <w:tcBorders>
              <w:top w:val="single" w:sz="4" w:space="0" w:color="auto"/>
            </w:tcBorders>
          </w:tcPr>
          <w:p w:rsidR="00D1446E" w:rsidRPr="00AF049B" w:rsidRDefault="00D1446E" w:rsidP="005D59D0">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R</w:t>
            </w:r>
            <w:r w:rsidRPr="00AF049B">
              <w:rPr>
                <w:b/>
                <w:sz w:val="20"/>
                <w:szCs w:val="20"/>
              </w:rPr>
              <w:t>equirement</w:t>
            </w:r>
            <w:r>
              <w:rPr>
                <w:b/>
                <w:sz w:val="20"/>
                <w:szCs w:val="20"/>
              </w:rPr>
              <w:t>s/tests</w:t>
            </w:r>
          </w:p>
        </w:tc>
        <w:tc>
          <w:tcPr>
            <w:tcW w:w="2463" w:type="dxa"/>
            <w:tcBorders>
              <w:top w:val="single" w:sz="4" w:space="0" w:color="auto"/>
            </w:tcBorders>
          </w:tcPr>
          <w:p w:rsidR="00D1446E" w:rsidRPr="009B5247" w:rsidRDefault="00D1446E" w:rsidP="005D59D0">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V</w:t>
            </w:r>
            <w:r w:rsidRPr="009B5247">
              <w:rPr>
                <w:b/>
                <w:sz w:val="20"/>
                <w:szCs w:val="20"/>
              </w:rPr>
              <w:t>oluntary Australian standard</w:t>
            </w:r>
            <w:r>
              <w:rPr>
                <w:b/>
                <w:sz w:val="20"/>
                <w:szCs w:val="20"/>
              </w:rPr>
              <w:t>s</w:t>
            </w:r>
          </w:p>
        </w:tc>
      </w:tr>
      <w:tr w:rsidR="00D1446E" w:rsidTr="005D5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tcPr>
          <w:p w:rsidR="00D1446E" w:rsidRPr="004E0C56" w:rsidRDefault="00D1446E" w:rsidP="005D59D0">
            <w:pPr>
              <w:rPr>
                <w:b w:val="0"/>
                <w:sz w:val="20"/>
                <w:szCs w:val="20"/>
              </w:rPr>
            </w:pPr>
            <w:r w:rsidRPr="004E0C56">
              <w:rPr>
                <w:b w:val="0"/>
                <w:sz w:val="20"/>
                <w:szCs w:val="20"/>
              </w:rPr>
              <w:t>Toys for children up to and including 36 months of age</w:t>
            </w:r>
          </w:p>
        </w:tc>
        <w:tc>
          <w:tcPr>
            <w:tcW w:w="2125" w:type="dxa"/>
          </w:tcPr>
          <w:p w:rsidR="00D1446E" w:rsidRPr="004E0C56"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sidRPr="004E0C56">
              <w:rPr>
                <w:sz w:val="20"/>
                <w:szCs w:val="20"/>
              </w:rPr>
              <w:t>Choking on small parts</w:t>
            </w:r>
          </w:p>
        </w:tc>
        <w:tc>
          <w:tcPr>
            <w:tcW w:w="2418" w:type="dxa"/>
          </w:tcPr>
          <w:p w:rsidR="00D1446E" w:rsidRPr="004E0C56"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sidRPr="004E0C56">
              <w:rPr>
                <w:sz w:val="20"/>
                <w:szCs w:val="20"/>
              </w:rPr>
              <w:t>5.2 Small parts test</w:t>
            </w:r>
          </w:p>
          <w:p w:rsidR="00D1446E" w:rsidRPr="004E0C56"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Pr="004E0C56"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sidRPr="004E0C56">
              <w:rPr>
                <w:sz w:val="20"/>
                <w:szCs w:val="20"/>
              </w:rPr>
              <w:t xml:space="preserve">5.3 Test for shape and </w:t>
            </w:r>
          </w:p>
          <w:p w:rsidR="00D1446E" w:rsidRPr="004E0C56"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sidRPr="004E0C56">
              <w:rPr>
                <w:sz w:val="20"/>
                <w:szCs w:val="20"/>
              </w:rPr>
              <w:t xml:space="preserve">size </w:t>
            </w:r>
          </w:p>
          <w:p w:rsidR="00D1446E" w:rsidRPr="004E0C56"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sidRPr="004E0C56">
              <w:rPr>
                <w:sz w:val="20"/>
                <w:szCs w:val="20"/>
              </w:rPr>
              <w:t xml:space="preserve">A2.3 Security of small battery compartment </w:t>
            </w:r>
          </w:p>
          <w:p w:rsidR="006740D2" w:rsidRDefault="006740D2"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Pr="004E0C56"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tc>
        <w:tc>
          <w:tcPr>
            <w:tcW w:w="2463" w:type="dxa"/>
          </w:tcPr>
          <w:p w:rsidR="00D1446E" w:rsidRPr="00E76E60"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sidRPr="004E54AB">
              <w:rPr>
                <w:sz w:val="20"/>
                <w:szCs w:val="20"/>
              </w:rPr>
              <w:t>AS/NZS ISO 8124.1:2002</w:t>
            </w:r>
          </w:p>
        </w:tc>
      </w:tr>
      <w:tr w:rsidR="00D1446E" w:rsidTr="005D59D0">
        <w:tc>
          <w:tcPr>
            <w:cnfStyle w:val="001000000000" w:firstRow="0" w:lastRow="0" w:firstColumn="1" w:lastColumn="0" w:oddVBand="0" w:evenVBand="0" w:oddHBand="0" w:evenHBand="0" w:firstRowFirstColumn="0" w:firstRowLastColumn="0" w:lastRowFirstColumn="0" w:lastRowLastColumn="0"/>
            <w:tcW w:w="2236" w:type="dxa"/>
          </w:tcPr>
          <w:p w:rsidR="00D1446E" w:rsidRPr="004E0C56" w:rsidRDefault="00D1446E" w:rsidP="005D59D0">
            <w:pPr>
              <w:rPr>
                <w:b w:val="0"/>
                <w:sz w:val="20"/>
                <w:szCs w:val="20"/>
              </w:rPr>
            </w:pPr>
            <w:r w:rsidRPr="004E0C56">
              <w:rPr>
                <w:b w:val="0"/>
                <w:sz w:val="20"/>
                <w:szCs w:val="20"/>
              </w:rPr>
              <w:lastRenderedPageBreak/>
              <w:t>Children’s projectile toys</w:t>
            </w:r>
          </w:p>
        </w:tc>
        <w:tc>
          <w:tcPr>
            <w:tcW w:w="2125" w:type="dxa"/>
          </w:tcPr>
          <w:p w:rsidR="00D1446E" w:rsidRPr="004E0C56"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r w:rsidRPr="004E0C56">
              <w:rPr>
                <w:sz w:val="20"/>
                <w:szCs w:val="20"/>
              </w:rPr>
              <w:t>Serious eye injuries</w:t>
            </w:r>
            <w:r>
              <w:rPr>
                <w:sz w:val="20"/>
                <w:szCs w:val="20"/>
              </w:rPr>
              <w:t>,</w:t>
            </w:r>
            <w:r w:rsidRPr="004E0C56">
              <w:rPr>
                <w:sz w:val="20"/>
                <w:szCs w:val="20"/>
              </w:rPr>
              <w:t xml:space="preserve"> choking on small projectiles</w:t>
            </w:r>
            <w:r>
              <w:rPr>
                <w:sz w:val="20"/>
                <w:szCs w:val="20"/>
              </w:rPr>
              <w:t xml:space="preserve"> and flesh wounds</w:t>
            </w:r>
          </w:p>
        </w:tc>
        <w:tc>
          <w:tcPr>
            <w:tcW w:w="2418" w:type="dxa"/>
          </w:tcPr>
          <w:p w:rsidR="00D1446E" w:rsidRPr="004E0C56"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r w:rsidRPr="004E0C56">
              <w:rPr>
                <w:sz w:val="20"/>
                <w:szCs w:val="20"/>
              </w:rPr>
              <w:t>5.2 Small parts test</w:t>
            </w:r>
          </w:p>
          <w:p w:rsidR="00D1446E" w:rsidRPr="004E0C56"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p>
          <w:p w:rsidR="00D1446E" w:rsidRPr="004E0C56"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r w:rsidRPr="004E0C56">
              <w:rPr>
                <w:sz w:val="20"/>
                <w:szCs w:val="20"/>
              </w:rPr>
              <w:t>5.15 Kinetic energy of projectiles, bows and arrows</w:t>
            </w:r>
          </w:p>
          <w:p w:rsidR="00D1446E" w:rsidRPr="004E0C56"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p>
          <w:p w:rsidR="00D1446E" w:rsidRPr="004E0C56"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r w:rsidRPr="004E0C56">
              <w:rPr>
                <w:sz w:val="20"/>
                <w:szCs w:val="20"/>
              </w:rPr>
              <w:t>5.24.5 Torque test</w:t>
            </w:r>
          </w:p>
          <w:p w:rsidR="00D1446E" w:rsidRPr="004E0C56"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p>
          <w:p w:rsidR="00D1446E" w:rsidRPr="004E0C56"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r w:rsidRPr="004E0C56">
              <w:rPr>
                <w:sz w:val="20"/>
                <w:szCs w:val="20"/>
              </w:rPr>
              <w:t>5.24.6.4 Tension test for protective components</w:t>
            </w:r>
          </w:p>
        </w:tc>
        <w:tc>
          <w:tcPr>
            <w:tcW w:w="2463" w:type="dxa"/>
          </w:tcPr>
          <w:p w:rsidR="00D1446E" w:rsidRPr="00D04137"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r w:rsidRPr="00D04137">
              <w:rPr>
                <w:sz w:val="20"/>
                <w:szCs w:val="20"/>
              </w:rPr>
              <w:t>AS/NZS ISO 8124.1:2002 and AS/NZS ISO 8124.1:2002/Amdt:2007</w:t>
            </w:r>
          </w:p>
        </w:tc>
      </w:tr>
      <w:tr w:rsidR="00D1446E" w:rsidTr="005D5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tcPr>
          <w:p w:rsidR="00D1446E" w:rsidRPr="00AF049B" w:rsidRDefault="00D1446E" w:rsidP="005D59D0">
            <w:pPr>
              <w:rPr>
                <w:b w:val="0"/>
                <w:sz w:val="20"/>
                <w:szCs w:val="20"/>
              </w:rPr>
            </w:pPr>
            <w:r>
              <w:rPr>
                <w:b w:val="0"/>
                <w:sz w:val="20"/>
                <w:szCs w:val="20"/>
              </w:rPr>
              <w:t>Children’s toys containing magnets</w:t>
            </w:r>
          </w:p>
        </w:tc>
        <w:tc>
          <w:tcPr>
            <w:tcW w:w="2125" w:type="dxa"/>
          </w:tcPr>
          <w:p w:rsidR="00D1446E" w:rsidRPr="00E76E60"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Ingestion of hazardous magnets</w:t>
            </w:r>
          </w:p>
        </w:tc>
        <w:tc>
          <w:tcPr>
            <w:tcW w:w="2418" w:type="dxa"/>
          </w:tcPr>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5.24.2 Drop test</w:t>
            </w: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5.24.3 Tip-over test</w:t>
            </w: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5.24.5 Torque test</w:t>
            </w: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5.24.6.1 Tension test</w:t>
            </w: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5.24.7 Compression test</w:t>
            </w: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5.25 Determination of magnetic flux index</w:t>
            </w: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Pr="00E76E60"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C.2.19 Warning statement</w:t>
            </w:r>
          </w:p>
        </w:tc>
        <w:tc>
          <w:tcPr>
            <w:tcW w:w="2463" w:type="dxa"/>
          </w:tcPr>
          <w:p w:rsidR="00D1446E" w:rsidRPr="004E54AB"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sidRPr="004E54AB">
              <w:rPr>
                <w:sz w:val="20"/>
                <w:szCs w:val="20"/>
              </w:rPr>
              <w:t>AS/NZS ISO 8124.1:2002 and AS/NZS ISO 8124.1:2002/Amdt2:2009</w:t>
            </w:r>
          </w:p>
        </w:tc>
      </w:tr>
      <w:tr w:rsidR="00D1446E" w:rsidTr="005D59D0">
        <w:tc>
          <w:tcPr>
            <w:cnfStyle w:val="001000000000" w:firstRow="0" w:lastRow="0" w:firstColumn="1" w:lastColumn="0" w:oddVBand="0" w:evenVBand="0" w:oddHBand="0" w:evenHBand="0" w:firstRowFirstColumn="0" w:firstRowLastColumn="0" w:lastRowFirstColumn="0" w:lastRowLastColumn="0"/>
            <w:tcW w:w="2236" w:type="dxa"/>
          </w:tcPr>
          <w:p w:rsidR="00D1446E" w:rsidRDefault="00D1446E" w:rsidP="005D59D0">
            <w:pPr>
              <w:rPr>
                <w:b w:val="0"/>
                <w:sz w:val="20"/>
                <w:szCs w:val="20"/>
              </w:rPr>
            </w:pPr>
            <w:r>
              <w:rPr>
                <w:b w:val="0"/>
                <w:sz w:val="20"/>
                <w:szCs w:val="20"/>
              </w:rPr>
              <w:t>Flotation and aquatic toys</w:t>
            </w:r>
          </w:p>
        </w:tc>
        <w:tc>
          <w:tcPr>
            <w:tcW w:w="2125" w:type="dxa"/>
          </w:tcPr>
          <w:p w:rsidR="00D1446E" w:rsidRPr="00E76E60"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Drowning  when unsupervised</w:t>
            </w:r>
          </w:p>
        </w:tc>
        <w:tc>
          <w:tcPr>
            <w:tcW w:w="2418" w:type="dxa"/>
          </w:tcPr>
          <w:p w:rsidR="00D1446E" w:rsidRPr="00E76E60"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C.2.6 Aquatic toys – labelling</w:t>
            </w:r>
          </w:p>
        </w:tc>
        <w:tc>
          <w:tcPr>
            <w:tcW w:w="2463" w:type="dxa"/>
          </w:tcPr>
          <w:p w:rsidR="00D1446E" w:rsidRPr="00E76E60" w:rsidRDefault="00D1446E" w:rsidP="005D59D0">
            <w:pPr>
              <w:cnfStyle w:val="000000000000" w:firstRow="0" w:lastRow="0" w:firstColumn="0" w:lastColumn="0" w:oddVBand="0" w:evenVBand="0" w:oddHBand="0" w:evenHBand="0" w:firstRowFirstColumn="0" w:firstRowLastColumn="0" w:lastRowFirstColumn="0" w:lastRowLastColumn="0"/>
              <w:rPr>
                <w:sz w:val="20"/>
                <w:szCs w:val="20"/>
              </w:rPr>
            </w:pPr>
            <w:r w:rsidRPr="004E54AB">
              <w:rPr>
                <w:sz w:val="20"/>
                <w:szCs w:val="20"/>
              </w:rPr>
              <w:t>AS/NZS ISO 8124.1:2002</w:t>
            </w:r>
          </w:p>
        </w:tc>
      </w:tr>
      <w:tr w:rsidR="00D1446E" w:rsidTr="005D5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tcPr>
          <w:p w:rsidR="00D1446E" w:rsidRDefault="00D1446E" w:rsidP="005D59D0">
            <w:pPr>
              <w:rPr>
                <w:b w:val="0"/>
                <w:sz w:val="20"/>
                <w:szCs w:val="20"/>
              </w:rPr>
            </w:pPr>
            <w:r>
              <w:rPr>
                <w:b w:val="0"/>
                <w:sz w:val="20"/>
                <w:szCs w:val="20"/>
              </w:rPr>
              <w:t>Lead and other elements in children’s toys</w:t>
            </w:r>
          </w:p>
        </w:tc>
        <w:tc>
          <w:tcPr>
            <w:tcW w:w="2125" w:type="dxa"/>
          </w:tcPr>
          <w:p w:rsidR="00D1446E" w:rsidRPr="00E76E60"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Exposure to unacceptable levels of heavy metals</w:t>
            </w:r>
          </w:p>
        </w:tc>
        <w:tc>
          <w:tcPr>
            <w:tcW w:w="2418" w:type="dxa"/>
          </w:tcPr>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Maximum acceptable element migration from toy materials</w:t>
            </w:r>
          </w:p>
          <w:p w:rsidR="00D1446E"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p>
          <w:p w:rsidR="00D1446E" w:rsidRPr="00E76E60"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 Limits for migration of certain elements from finger paints</w:t>
            </w:r>
          </w:p>
        </w:tc>
        <w:tc>
          <w:tcPr>
            <w:tcW w:w="2463" w:type="dxa"/>
          </w:tcPr>
          <w:p w:rsidR="00D1446E" w:rsidRPr="004D323C" w:rsidRDefault="00D1446E" w:rsidP="005D59D0">
            <w:pPr>
              <w:cnfStyle w:val="000000100000" w:firstRow="0" w:lastRow="0" w:firstColumn="0" w:lastColumn="0" w:oddVBand="0" w:evenVBand="0" w:oddHBand="1" w:evenHBand="0" w:firstRowFirstColumn="0" w:firstRowLastColumn="0" w:lastRowFirstColumn="0" w:lastRowLastColumn="0"/>
              <w:rPr>
                <w:sz w:val="20"/>
                <w:szCs w:val="20"/>
              </w:rPr>
            </w:pPr>
            <w:r w:rsidRPr="004D323C">
              <w:rPr>
                <w:sz w:val="20"/>
                <w:szCs w:val="20"/>
              </w:rPr>
              <w:t>AS/NZS ISO 8124.3:2003 and               AS 8124.7:2003</w:t>
            </w:r>
          </w:p>
        </w:tc>
      </w:tr>
    </w:tbl>
    <w:p w:rsidR="00A9152B" w:rsidRDefault="00D1446E" w:rsidP="00C642C7">
      <w:r>
        <w:t>We provide f</w:t>
      </w:r>
      <w:r w:rsidRPr="00191517">
        <w:t>urther information on</w:t>
      </w:r>
      <w:r>
        <w:t xml:space="preserve"> the scope and rationale of </w:t>
      </w:r>
      <w:r w:rsidRPr="00191517">
        <w:t xml:space="preserve">each mandatory safety standard </w:t>
      </w:r>
      <w:r>
        <w:t>in</w:t>
      </w:r>
      <w:r w:rsidRPr="00191517">
        <w:t xml:space="preserve"> this review below.</w:t>
      </w:r>
    </w:p>
    <w:p w:rsidR="00D1446E" w:rsidRPr="0071587C" w:rsidRDefault="00D1446E" w:rsidP="00D1446E">
      <w:pPr>
        <w:pStyle w:val="Heading3"/>
      </w:pPr>
      <w:r w:rsidRPr="0071587C">
        <w:t>Toys for children up to and including 36 months of age</w:t>
      </w:r>
    </w:p>
    <w:p w:rsidR="00D1446E" w:rsidRDefault="00D1446E" w:rsidP="00D1446E">
      <w:r>
        <w:t xml:space="preserve">This mandatory safety standard came into effect in December 2003 </w:t>
      </w:r>
      <w:r w:rsidRPr="00DE1CB3">
        <w:rPr>
          <w:rFonts w:cs="Arial"/>
        </w:rPr>
        <w:t xml:space="preserve">to reduce the </w:t>
      </w:r>
      <w:r>
        <w:rPr>
          <w:rFonts w:cs="Arial"/>
        </w:rPr>
        <w:t>likelihood</w:t>
      </w:r>
      <w:r w:rsidRPr="00DE1CB3">
        <w:rPr>
          <w:rFonts w:cs="Arial"/>
        </w:rPr>
        <w:t xml:space="preserve"> of small parts coming off </w:t>
      </w:r>
      <w:r>
        <w:rPr>
          <w:rFonts w:cs="Arial"/>
        </w:rPr>
        <w:t>toys</w:t>
      </w:r>
      <w:r w:rsidRPr="00DE1CB3">
        <w:rPr>
          <w:rFonts w:cs="Arial"/>
        </w:rPr>
        <w:t xml:space="preserve"> during play or after reasonable wear and tear, there</w:t>
      </w:r>
      <w:r>
        <w:rPr>
          <w:rFonts w:cs="Arial"/>
        </w:rPr>
        <w:t xml:space="preserve">by </w:t>
      </w:r>
      <w:r w:rsidRPr="00DE1CB3">
        <w:rPr>
          <w:rFonts w:cs="Arial"/>
        </w:rPr>
        <w:t>helping to prevent choking, suffocation, or death.</w:t>
      </w:r>
      <w:r w:rsidRPr="009C4D16">
        <w:t xml:space="preserve"> </w:t>
      </w:r>
      <w:r>
        <w:t>It mandates sections of the voluntary Australian standard for children’s toys (</w:t>
      </w:r>
      <w:r w:rsidRPr="00A1013F">
        <w:t xml:space="preserve">AS/NZS </w:t>
      </w:r>
      <w:r>
        <w:t xml:space="preserve">ISO </w:t>
      </w:r>
      <w:r w:rsidRPr="00DE1CB3">
        <w:rPr>
          <w:rFonts w:cs="Arial"/>
        </w:rPr>
        <w:t>8124.1:2002)</w:t>
      </w:r>
      <w:r>
        <w:rPr>
          <w:rFonts w:cs="Arial"/>
        </w:rPr>
        <w:t xml:space="preserve"> and specifies </w:t>
      </w:r>
      <w:r>
        <w:t>requirements for design, construction and testing methods.</w:t>
      </w:r>
    </w:p>
    <w:p w:rsidR="00D1446E" w:rsidRPr="004D37BC" w:rsidRDefault="00D1446E" w:rsidP="00D1446E">
      <w:r>
        <w:t>The types of toys captured include</w:t>
      </w:r>
      <w:r w:rsidRPr="004D37BC">
        <w:t xml:space="preserve">: </w:t>
      </w:r>
    </w:p>
    <w:p w:rsidR="00D1446E" w:rsidRPr="004D37BC" w:rsidRDefault="00D1446E" w:rsidP="005F690D">
      <w:pPr>
        <w:numPr>
          <w:ilvl w:val="0"/>
          <w:numId w:val="30"/>
        </w:numPr>
        <w:spacing w:before="120" w:after="120"/>
        <w:ind w:left="357" w:hanging="357"/>
      </w:pPr>
      <w:r w:rsidRPr="004D37BC">
        <w:t xml:space="preserve">rattles, toy dummies, </w:t>
      </w:r>
      <w:proofErr w:type="spellStart"/>
      <w:r w:rsidRPr="004D37BC">
        <w:t>teethers</w:t>
      </w:r>
      <w:proofErr w:type="spellEnd"/>
      <w:r w:rsidRPr="004D37BC">
        <w:t>, and squeeze toys</w:t>
      </w:r>
    </w:p>
    <w:p w:rsidR="00D1446E" w:rsidRPr="004D37BC" w:rsidRDefault="00D1446E" w:rsidP="005F690D">
      <w:pPr>
        <w:numPr>
          <w:ilvl w:val="0"/>
          <w:numId w:val="30"/>
        </w:numPr>
        <w:spacing w:before="100" w:beforeAutospacing="1" w:after="120"/>
      </w:pPr>
      <w:r w:rsidRPr="004D37BC">
        <w:t>toys for attaching to cots, playpens, prams and strollers</w:t>
      </w:r>
    </w:p>
    <w:p w:rsidR="00D1446E" w:rsidRPr="004D37BC" w:rsidRDefault="00D1446E" w:rsidP="005F690D">
      <w:pPr>
        <w:numPr>
          <w:ilvl w:val="0"/>
          <w:numId w:val="30"/>
        </w:numPr>
        <w:spacing w:before="0" w:after="120"/>
        <w:ind w:left="357" w:hanging="357"/>
      </w:pPr>
      <w:r w:rsidRPr="004D37BC">
        <w:t>push and pull toys</w:t>
      </w:r>
    </w:p>
    <w:p w:rsidR="00D1446E" w:rsidRPr="004D37BC" w:rsidRDefault="00D1446E" w:rsidP="005F690D">
      <w:pPr>
        <w:numPr>
          <w:ilvl w:val="0"/>
          <w:numId w:val="30"/>
        </w:numPr>
        <w:spacing w:before="0" w:after="120"/>
        <w:ind w:left="357" w:hanging="357"/>
      </w:pPr>
      <w:r w:rsidRPr="004D37BC">
        <w:t>pounding toys</w:t>
      </w:r>
    </w:p>
    <w:p w:rsidR="00D1446E" w:rsidRPr="004D37BC" w:rsidRDefault="00D1446E" w:rsidP="005F690D">
      <w:pPr>
        <w:numPr>
          <w:ilvl w:val="0"/>
          <w:numId w:val="31"/>
        </w:numPr>
        <w:spacing w:before="0" w:after="120"/>
        <w:ind w:left="357" w:hanging="357"/>
      </w:pPr>
      <w:r w:rsidRPr="004D37BC">
        <w:t>blocks and stacking toys</w:t>
      </w:r>
    </w:p>
    <w:p w:rsidR="00D1446E" w:rsidRPr="004D37BC" w:rsidRDefault="00D1446E" w:rsidP="005F690D">
      <w:pPr>
        <w:numPr>
          <w:ilvl w:val="0"/>
          <w:numId w:val="31"/>
        </w:numPr>
        <w:spacing w:before="0" w:after="120"/>
        <w:ind w:left="357" w:hanging="357"/>
      </w:pPr>
      <w:r w:rsidRPr="004D37BC">
        <w:t>bath toys</w:t>
      </w:r>
    </w:p>
    <w:p w:rsidR="00D1446E" w:rsidRPr="004D37BC" w:rsidRDefault="00D1446E" w:rsidP="005F690D">
      <w:pPr>
        <w:numPr>
          <w:ilvl w:val="0"/>
          <w:numId w:val="31"/>
        </w:numPr>
        <w:spacing w:before="0" w:after="120"/>
        <w:ind w:left="357" w:hanging="357"/>
      </w:pPr>
      <w:r w:rsidRPr="004D37BC">
        <w:lastRenderedPageBreak/>
        <w:t xml:space="preserve">rocking, spring and stick horses and figures </w:t>
      </w:r>
    </w:p>
    <w:p w:rsidR="00D1446E" w:rsidRPr="004D37BC" w:rsidRDefault="00D1446E" w:rsidP="005F690D">
      <w:pPr>
        <w:numPr>
          <w:ilvl w:val="0"/>
          <w:numId w:val="31"/>
        </w:numPr>
        <w:spacing w:before="0" w:after="120"/>
        <w:ind w:left="357" w:hanging="357"/>
      </w:pPr>
      <w:r w:rsidRPr="004D37BC">
        <w:t xml:space="preserve">musical chime toys </w:t>
      </w:r>
    </w:p>
    <w:p w:rsidR="00D1446E" w:rsidRPr="004D37BC" w:rsidRDefault="00D1446E" w:rsidP="005F690D">
      <w:pPr>
        <w:numPr>
          <w:ilvl w:val="0"/>
          <w:numId w:val="31"/>
        </w:numPr>
        <w:spacing w:before="0" w:after="120"/>
        <w:ind w:left="357" w:hanging="357"/>
      </w:pPr>
      <w:r w:rsidRPr="004D37BC">
        <w:t>jack-in-the box</w:t>
      </w:r>
    </w:p>
    <w:p w:rsidR="00D1446E" w:rsidRPr="004D37BC" w:rsidRDefault="00D1446E" w:rsidP="005F690D">
      <w:pPr>
        <w:numPr>
          <w:ilvl w:val="0"/>
          <w:numId w:val="31"/>
        </w:numPr>
        <w:spacing w:before="100" w:beforeAutospacing="1" w:after="120"/>
      </w:pPr>
      <w:r w:rsidRPr="004D37BC">
        <w:t>stuffed, plush and flocked animals and figures</w:t>
      </w:r>
    </w:p>
    <w:p w:rsidR="00D1446E" w:rsidRPr="004D37BC" w:rsidRDefault="00D1446E" w:rsidP="005F690D">
      <w:pPr>
        <w:numPr>
          <w:ilvl w:val="0"/>
          <w:numId w:val="31"/>
        </w:numPr>
        <w:spacing w:before="100" w:beforeAutospacing="1" w:after="120"/>
      </w:pPr>
      <w:r w:rsidRPr="004D37BC">
        <w:t>dolls</w:t>
      </w:r>
    </w:p>
    <w:p w:rsidR="00D1446E" w:rsidRPr="004D37BC" w:rsidRDefault="00D1446E" w:rsidP="005F690D">
      <w:pPr>
        <w:numPr>
          <w:ilvl w:val="0"/>
          <w:numId w:val="31"/>
        </w:numPr>
        <w:spacing w:before="100" w:beforeAutospacing="1" w:after="120"/>
      </w:pPr>
      <w:r w:rsidRPr="004D37BC">
        <w:t>toys with pompoms</w:t>
      </w:r>
    </w:p>
    <w:p w:rsidR="00D1446E" w:rsidRPr="004D37BC" w:rsidRDefault="00D1446E" w:rsidP="005F690D">
      <w:pPr>
        <w:numPr>
          <w:ilvl w:val="0"/>
          <w:numId w:val="31"/>
        </w:numPr>
        <w:spacing w:before="100" w:beforeAutospacing="1" w:after="120"/>
      </w:pPr>
      <w:r w:rsidRPr="004D37BC">
        <w:t>games and puzzles</w:t>
      </w:r>
    </w:p>
    <w:p w:rsidR="00D1446E" w:rsidRDefault="00D1446E" w:rsidP="005F690D">
      <w:pPr>
        <w:numPr>
          <w:ilvl w:val="0"/>
          <w:numId w:val="31"/>
        </w:numPr>
        <w:spacing w:before="100" w:beforeAutospacing="1" w:after="120"/>
      </w:pPr>
      <w:proofErr w:type="gramStart"/>
      <w:r w:rsidRPr="004D37BC">
        <w:t>toy</w:t>
      </w:r>
      <w:proofErr w:type="gramEnd"/>
      <w:r w:rsidRPr="004D37BC">
        <w:t xml:space="preserve"> cars, trucks and other vehicles.</w:t>
      </w:r>
    </w:p>
    <w:p w:rsidR="00D1446E" w:rsidRDefault="00D1446E" w:rsidP="00D1446E">
      <w:pPr>
        <w:pStyle w:val="Heading3"/>
      </w:pPr>
      <w:r>
        <w:t>Children’s projectile toys</w:t>
      </w:r>
    </w:p>
    <w:p w:rsidR="00D1446E" w:rsidRPr="00190B08" w:rsidRDefault="00D1446E" w:rsidP="00D1446E">
      <w:r>
        <w:t xml:space="preserve">The mandatory safety standard for projectile toys came into effect in </w:t>
      </w:r>
      <w:r w:rsidRPr="003D4E50">
        <w:rPr>
          <w:rFonts w:asciiTheme="minorHAnsi" w:hAnsiTheme="minorHAnsi" w:cstheme="minorHAnsi"/>
        </w:rPr>
        <w:t>December 2010</w:t>
      </w:r>
      <w:r w:rsidRPr="003D4E50">
        <w:rPr>
          <w:rFonts w:asciiTheme="minorHAnsi" w:hAnsiTheme="minorHAnsi" w:cstheme="minorHAnsi"/>
          <w:color w:val="2D2D2D"/>
          <w:lang w:val="en"/>
        </w:rPr>
        <w:t xml:space="preserve"> to</w:t>
      </w:r>
      <w:r>
        <w:rPr>
          <w:rFonts w:ascii="Source Sans Pro" w:hAnsi="Source Sans Pro" w:cs="Arial"/>
          <w:color w:val="2D2D2D"/>
          <w:lang w:val="en"/>
        </w:rPr>
        <w:t xml:space="preserve"> </w:t>
      </w:r>
      <w:r>
        <w:rPr>
          <w:iCs/>
        </w:rPr>
        <w:t>reduce the</w:t>
      </w:r>
      <w:r w:rsidRPr="00BF0736">
        <w:rPr>
          <w:iCs/>
        </w:rPr>
        <w:t xml:space="preserve"> risk of serious facial and eye injuries </w:t>
      </w:r>
      <w:r>
        <w:rPr>
          <w:iCs/>
        </w:rPr>
        <w:t xml:space="preserve">and choking, </w:t>
      </w:r>
      <w:r w:rsidRPr="00BF0736">
        <w:rPr>
          <w:iCs/>
        </w:rPr>
        <w:t>when children are playing with projectile toys</w:t>
      </w:r>
      <w:r>
        <w:rPr>
          <w:iCs/>
        </w:rPr>
        <w:t>, such as guns and</w:t>
      </w:r>
      <w:r w:rsidRPr="00F30B83">
        <w:rPr>
          <w:iCs/>
        </w:rPr>
        <w:t xml:space="preserve"> bow</w:t>
      </w:r>
      <w:r>
        <w:rPr>
          <w:iCs/>
        </w:rPr>
        <w:t>-</w:t>
      </w:r>
      <w:r w:rsidRPr="00F30B83">
        <w:rPr>
          <w:iCs/>
        </w:rPr>
        <w:t>and</w:t>
      </w:r>
      <w:r>
        <w:rPr>
          <w:iCs/>
        </w:rPr>
        <w:t>-</w:t>
      </w:r>
      <w:r w:rsidRPr="00F30B83">
        <w:rPr>
          <w:iCs/>
        </w:rPr>
        <w:t>arrow sets</w:t>
      </w:r>
      <w:r>
        <w:rPr>
          <w:iCs/>
        </w:rPr>
        <w:t xml:space="preserve">. It </w:t>
      </w:r>
      <w:r>
        <w:t>mandates sections of the voluntary Australian standard (</w:t>
      </w:r>
      <w:r w:rsidRPr="00A1013F">
        <w:t xml:space="preserve">AS/NZS </w:t>
      </w:r>
      <w:r>
        <w:t xml:space="preserve">ISO 8124.1:2002 and </w:t>
      </w:r>
      <w:r w:rsidRPr="00A1013F">
        <w:t xml:space="preserve">AS/NZS </w:t>
      </w:r>
      <w:r>
        <w:t>ISO 8124.1:2002/Amdt1:2007) and specifies requirements for design, construction, testing, instructions and labelling.</w:t>
      </w:r>
    </w:p>
    <w:p w:rsidR="00D1446E" w:rsidRDefault="00D1446E" w:rsidP="00D1446E">
      <w:pPr>
        <w:pStyle w:val="Heading3"/>
      </w:pPr>
      <w:r>
        <w:t>Children’s toys containing magnets</w:t>
      </w:r>
    </w:p>
    <w:p w:rsidR="00D1446E" w:rsidRPr="007A3668" w:rsidRDefault="00D1446E" w:rsidP="00D1446E">
      <w:r>
        <w:t xml:space="preserve">The mandatory safety standard for children’s toys containing magnets came into effect in July 2010 </w:t>
      </w:r>
      <w:r w:rsidRPr="00FB6031">
        <w:t xml:space="preserve">in response to </w:t>
      </w:r>
      <w:r w:rsidRPr="007A3668">
        <w:t xml:space="preserve">severe injuries and the death of a child in the US after swallowing several small, high-powered magnets released from toys. When </w:t>
      </w:r>
      <w:r>
        <w:t xml:space="preserve">children ingest </w:t>
      </w:r>
      <w:r w:rsidRPr="007A3668">
        <w:t xml:space="preserve">multiple strong magnets, </w:t>
      </w:r>
      <w:r>
        <w:t xml:space="preserve">they can </w:t>
      </w:r>
      <w:r w:rsidRPr="007A3668">
        <w:t>adhere to each other through the walls of the intestine, causing</w:t>
      </w:r>
      <w:r>
        <w:t xml:space="preserve"> </w:t>
      </w:r>
      <w:r w:rsidRPr="007A3668">
        <w:t>perforations, infection and blockages</w:t>
      </w:r>
      <w:r>
        <w:t>.</w:t>
      </w:r>
    </w:p>
    <w:p w:rsidR="00D1446E" w:rsidRDefault="00D1446E" w:rsidP="00D1446E">
      <w:r>
        <w:rPr>
          <w:rFonts w:cs="Arial"/>
        </w:rPr>
        <w:t xml:space="preserve">Sections </w:t>
      </w:r>
      <w:r>
        <w:t>of the</w:t>
      </w:r>
      <w:r w:rsidRPr="00EB273F">
        <w:t xml:space="preserve"> voluntary Australian standards (AS/NZS ISO 8124.1:2002 and AS/NZS ISO 8124.1:2002/Amdt2</w:t>
      </w:r>
      <w:r>
        <w:t xml:space="preserve">:2009) are mandated in the mandatory safety standard with some variations. The requirements </w:t>
      </w:r>
      <w:r w:rsidR="00A70E89">
        <w:t>include</w:t>
      </w:r>
      <w:r w:rsidRPr="00F8117F">
        <w:t xml:space="preserve"> warning labels for </w:t>
      </w:r>
      <w:r w:rsidRPr="00512A23">
        <w:t xml:space="preserve">packaging, and instructions to prevent serious </w:t>
      </w:r>
      <w:r>
        <w:t>injury</w:t>
      </w:r>
      <w:r w:rsidRPr="00512A23">
        <w:t xml:space="preserve"> that can result if children swallow hazardous magnets.</w:t>
      </w:r>
    </w:p>
    <w:p w:rsidR="00D1446E" w:rsidRPr="005B67DC" w:rsidRDefault="00D1446E" w:rsidP="00D1446E">
      <w:pPr>
        <w:rPr>
          <w:rFonts w:cs="Arial"/>
        </w:rPr>
      </w:pPr>
      <w:r>
        <w:rPr>
          <w:rFonts w:cs="Arial"/>
        </w:rPr>
        <w:t>In 2012, after the 2011-death of the one-year-old who swallowed multiple</w:t>
      </w:r>
      <w:r w:rsidRPr="00486769">
        <w:rPr>
          <w:rFonts w:cs="Arial"/>
        </w:rPr>
        <w:t xml:space="preserve"> </w:t>
      </w:r>
      <w:r>
        <w:rPr>
          <w:rFonts w:cs="Arial"/>
        </w:rPr>
        <w:t>small, high-powered</w:t>
      </w:r>
      <w:r w:rsidRPr="005B67DC">
        <w:rPr>
          <w:rFonts w:cs="Arial"/>
        </w:rPr>
        <w:t xml:space="preserve"> magnets</w:t>
      </w:r>
      <w:r>
        <w:rPr>
          <w:rFonts w:cs="Arial"/>
        </w:rPr>
        <w:t>, the</w:t>
      </w:r>
      <w:r w:rsidRPr="005B67DC">
        <w:rPr>
          <w:rFonts w:cs="Arial"/>
        </w:rPr>
        <w:t xml:space="preserve"> </w:t>
      </w:r>
      <w:r>
        <w:rPr>
          <w:rFonts w:cs="Arial"/>
        </w:rPr>
        <w:t>Minister</w:t>
      </w:r>
      <w:r w:rsidRPr="005B67DC">
        <w:rPr>
          <w:rFonts w:cs="Arial"/>
        </w:rPr>
        <w:t xml:space="preserve"> i</w:t>
      </w:r>
      <w:r>
        <w:rPr>
          <w:rFonts w:cs="Arial"/>
        </w:rPr>
        <w:t>mposed a permanent ban on small, high-powered</w:t>
      </w:r>
      <w:r w:rsidRPr="005B67DC">
        <w:rPr>
          <w:rFonts w:cs="Arial"/>
        </w:rPr>
        <w:t xml:space="preserve"> magnets that are loose or separable. The </w:t>
      </w:r>
      <w:r>
        <w:rPr>
          <w:rFonts w:cs="Arial"/>
        </w:rPr>
        <w:t xml:space="preserve">national </w:t>
      </w:r>
      <w:r w:rsidRPr="005B67DC">
        <w:rPr>
          <w:rFonts w:cs="Arial"/>
        </w:rPr>
        <w:t>ban applies to magnets that:</w:t>
      </w:r>
    </w:p>
    <w:p w:rsidR="00D1446E" w:rsidRPr="005B67DC" w:rsidRDefault="00D1446E" w:rsidP="005F690D">
      <w:pPr>
        <w:pStyle w:val="ListParagraph"/>
        <w:numPr>
          <w:ilvl w:val="0"/>
          <w:numId w:val="29"/>
        </w:numPr>
        <w:rPr>
          <w:rFonts w:cs="Arial"/>
        </w:rPr>
      </w:pPr>
      <w:r w:rsidRPr="005B67DC">
        <w:rPr>
          <w:rFonts w:cs="Arial"/>
        </w:rPr>
        <w:t xml:space="preserve">are small enough to fit into the small parts cylinder </w:t>
      </w:r>
    </w:p>
    <w:p w:rsidR="00D1446E" w:rsidRPr="005B67DC" w:rsidRDefault="00D1446E" w:rsidP="005F690D">
      <w:pPr>
        <w:pStyle w:val="ListParagraph"/>
        <w:numPr>
          <w:ilvl w:val="0"/>
          <w:numId w:val="29"/>
        </w:numPr>
        <w:rPr>
          <w:rStyle w:val="Strong"/>
          <w:rFonts w:cs="Arial"/>
          <w:b w:val="0"/>
          <w:bCs w:val="0"/>
        </w:rPr>
      </w:pPr>
      <w:r w:rsidRPr="005B67DC">
        <w:rPr>
          <w:rFonts w:cs="Arial"/>
        </w:rPr>
        <w:t>have a magnetic flux greater than 50</w:t>
      </w:r>
      <w:r w:rsidRPr="005B67DC">
        <w:rPr>
          <w:rFonts w:cs="Arial"/>
          <w:b/>
        </w:rPr>
        <w:t xml:space="preserve"> </w:t>
      </w:r>
      <w:r w:rsidRPr="005B67DC">
        <w:rPr>
          <w:rStyle w:val="Strong"/>
          <w:rFonts w:cs="Arial"/>
          <w:b w:val="0"/>
        </w:rPr>
        <w:t>(</w:t>
      </w:r>
      <w:proofErr w:type="spellStart"/>
      <w:r w:rsidRPr="005B67DC">
        <w:rPr>
          <w:rStyle w:val="Strong"/>
          <w:rFonts w:cs="Arial"/>
          <w:b w:val="0"/>
        </w:rPr>
        <w:t>kG</w:t>
      </w:r>
      <w:proofErr w:type="spellEnd"/>
      <w:r w:rsidRPr="005B67DC">
        <w:rPr>
          <w:rStyle w:val="Strong"/>
          <w:rFonts w:cs="Arial"/>
          <w:b w:val="0"/>
        </w:rPr>
        <w:t>)</w:t>
      </w:r>
      <w:r w:rsidRPr="005B67DC">
        <w:rPr>
          <w:rStyle w:val="Strong"/>
          <w:rFonts w:cs="Arial"/>
          <w:b w:val="0"/>
          <w:vertAlign w:val="superscript"/>
        </w:rPr>
        <w:t>2</w:t>
      </w:r>
      <w:r w:rsidRPr="005B67DC">
        <w:rPr>
          <w:rStyle w:val="Strong"/>
          <w:rFonts w:cs="Arial"/>
          <w:b w:val="0"/>
        </w:rPr>
        <w:t>mm</w:t>
      </w:r>
      <w:r w:rsidRPr="005B67DC">
        <w:rPr>
          <w:rStyle w:val="Strong"/>
          <w:rFonts w:cs="Arial"/>
          <w:b w:val="0"/>
          <w:vertAlign w:val="superscript"/>
        </w:rPr>
        <w:t>2</w:t>
      </w:r>
      <w:r w:rsidRPr="005B67DC">
        <w:rPr>
          <w:rStyle w:val="Strong"/>
          <w:rFonts w:cs="Arial"/>
          <w:b w:val="0"/>
        </w:rPr>
        <w:t xml:space="preserve"> </w:t>
      </w:r>
    </w:p>
    <w:p w:rsidR="00D1446E" w:rsidRDefault="00D1446E" w:rsidP="005F690D">
      <w:pPr>
        <w:pStyle w:val="ListParagraph"/>
        <w:numPr>
          <w:ilvl w:val="0"/>
          <w:numId w:val="29"/>
        </w:numPr>
        <w:rPr>
          <w:rFonts w:cs="Arial"/>
        </w:rPr>
      </w:pPr>
      <w:proofErr w:type="gramStart"/>
      <w:r w:rsidRPr="005B67DC">
        <w:rPr>
          <w:rStyle w:val="Strong"/>
          <w:rFonts w:cs="Arial"/>
          <w:b w:val="0"/>
        </w:rPr>
        <w:t>are</w:t>
      </w:r>
      <w:proofErr w:type="gramEnd"/>
      <w:r w:rsidRPr="005B67DC">
        <w:rPr>
          <w:rStyle w:val="Strong"/>
          <w:rFonts w:cs="Arial"/>
          <w:b w:val="0"/>
        </w:rPr>
        <w:t xml:space="preserve"> marketed as a toy, game or puzzle, a construction or modelling kit</w:t>
      </w:r>
      <w:r>
        <w:rPr>
          <w:rStyle w:val="Strong"/>
          <w:rFonts w:cs="Arial"/>
          <w:b w:val="0"/>
        </w:rPr>
        <w:t>,</w:t>
      </w:r>
      <w:r w:rsidRPr="005B67DC">
        <w:rPr>
          <w:rStyle w:val="Strong"/>
          <w:rFonts w:cs="Arial"/>
          <w:b w:val="0"/>
        </w:rPr>
        <w:t xml:space="preserve"> or </w:t>
      </w:r>
      <w:r w:rsidRPr="005B67DC">
        <w:rPr>
          <w:rFonts w:cs="Arial"/>
        </w:rPr>
        <w:t>jewellery to be worn in or around the mouth or nose.</w:t>
      </w:r>
    </w:p>
    <w:p w:rsidR="00D1446E" w:rsidRPr="00A57C70" w:rsidRDefault="00D1446E" w:rsidP="00D1446E">
      <w:pPr>
        <w:rPr>
          <w:rFonts w:cs="Arial"/>
        </w:rPr>
      </w:pPr>
      <w:r>
        <w:rPr>
          <w:rFonts w:cs="Arial"/>
        </w:rPr>
        <w:t>We are not formally reviewing this ban at this time. We welcome information about magnet safety that might apply to the safety of general products that contain or are magnets. However, our current focus is on children’s toys containing magnets.</w:t>
      </w:r>
    </w:p>
    <w:p w:rsidR="00D1446E" w:rsidRDefault="00D1446E" w:rsidP="00D1446E">
      <w:pPr>
        <w:pStyle w:val="Heading3"/>
      </w:pPr>
      <w:r>
        <w:t>Flotation and aquatic toys</w:t>
      </w:r>
    </w:p>
    <w:p w:rsidR="00D1446E" w:rsidRDefault="00D1446E" w:rsidP="00D1446E">
      <w:r w:rsidRPr="00305F43">
        <w:t>The mandatory safety standard for flotation</w:t>
      </w:r>
      <w:r>
        <w:t xml:space="preserve"> toys</w:t>
      </w:r>
      <w:r w:rsidRPr="00305F43">
        <w:t xml:space="preserve"> and aquatic toys came into effect in 2009 to reduce the risk of infants and children drowning if the toy fails or is used incorrectly. </w:t>
      </w:r>
      <w:r>
        <w:t>It</w:t>
      </w:r>
      <w:r w:rsidRPr="00AB06A3">
        <w:t xml:space="preserve"> </w:t>
      </w:r>
      <w:r>
        <w:t>covers</w:t>
      </w:r>
      <w:r w:rsidRPr="00493DD9">
        <w:t xml:space="preserve"> </w:t>
      </w:r>
      <w:r w:rsidRPr="00AB06A3">
        <w:t>toys</w:t>
      </w:r>
      <w:r>
        <w:t xml:space="preserve"> </w:t>
      </w:r>
      <w:r w:rsidRPr="00AB06A3">
        <w:t>designed or clearly intended for children up to 14 years of age</w:t>
      </w:r>
      <w:r>
        <w:t xml:space="preserve"> that are </w:t>
      </w:r>
      <w:r w:rsidRPr="00AB06A3">
        <w:t>intended to support a child’s weight in wate</w:t>
      </w:r>
      <w:r>
        <w:t xml:space="preserve">r, whether or not the toys are inflatable, worn, or </w:t>
      </w:r>
      <w:r w:rsidRPr="00AB06A3">
        <w:t>otherwise attached to their body.</w:t>
      </w:r>
    </w:p>
    <w:p w:rsidR="004A4BD7" w:rsidRDefault="004A4BD7" w:rsidP="00D1446E"/>
    <w:p w:rsidR="00D1446E" w:rsidRDefault="00D1446E" w:rsidP="00D1446E">
      <w:r>
        <w:lastRenderedPageBreak/>
        <w:t>The mandatory safety standard</w:t>
      </w:r>
      <w:r w:rsidRPr="00305F43">
        <w:t xml:space="preserve"> </w:t>
      </w:r>
      <w:r>
        <w:t xml:space="preserve">uses </w:t>
      </w:r>
      <w:r w:rsidRPr="00305F43">
        <w:t xml:space="preserve">sections of </w:t>
      </w:r>
      <w:r>
        <w:t xml:space="preserve">the </w:t>
      </w:r>
      <w:r w:rsidRPr="00305F43">
        <w:t>voluntary Australian standard AS/NZS ISO 8124.1:2002 ‘Safety of toys - safety aspects related to mechanical and physical properties</w:t>
      </w:r>
      <w:r>
        <w:t>,</w:t>
      </w:r>
      <w:r w:rsidRPr="00305F43">
        <w:t>’</w:t>
      </w:r>
      <w:r>
        <w:t xml:space="preserve"> and </w:t>
      </w:r>
      <w:r w:rsidRPr="00AB06A3">
        <w:t xml:space="preserve">requires </w:t>
      </w:r>
      <w:r w:rsidRPr="00305F43">
        <w:t>flotation</w:t>
      </w:r>
      <w:r>
        <w:t xml:space="preserve"> </w:t>
      </w:r>
      <w:r w:rsidRPr="00305F43">
        <w:t xml:space="preserve">and aquatic toys </w:t>
      </w:r>
      <w:r>
        <w:t>to</w:t>
      </w:r>
      <w:r w:rsidRPr="00AB06A3">
        <w:t xml:space="preserve"> carry </w:t>
      </w:r>
      <w:r>
        <w:t xml:space="preserve">the following warning statement: </w:t>
      </w:r>
    </w:p>
    <w:p w:rsidR="00D1446E" w:rsidRDefault="00D1446E" w:rsidP="00D1446E">
      <w:r>
        <w:rPr>
          <w:noProof/>
          <w:lang w:eastAsia="en-AU"/>
        </w:rPr>
        <mc:AlternateContent>
          <mc:Choice Requires="wps">
            <w:drawing>
              <wp:anchor distT="0" distB="0" distL="114300" distR="114300" simplePos="0" relativeHeight="251660288" behindDoc="0" locked="0" layoutInCell="1" allowOverlap="1" wp14:anchorId="2BCF65AD" wp14:editId="4E7C6F85">
                <wp:simplePos x="0" y="0"/>
                <wp:positionH relativeFrom="column">
                  <wp:posOffset>1371305</wp:posOffset>
                </wp:positionH>
                <wp:positionV relativeFrom="paragraph">
                  <wp:posOffset>164967</wp:posOffset>
                </wp:positionV>
                <wp:extent cx="2455545" cy="882503"/>
                <wp:effectExtent l="0" t="0" r="20955" b="13335"/>
                <wp:wrapNone/>
                <wp:docPr id="2" name="Text Box 2"/>
                <wp:cNvGraphicFramePr/>
                <a:graphic xmlns:a="http://schemas.openxmlformats.org/drawingml/2006/main">
                  <a:graphicData uri="http://schemas.microsoft.com/office/word/2010/wordprocessingShape">
                    <wps:wsp>
                      <wps:cNvSpPr txBox="1"/>
                      <wps:spPr>
                        <a:xfrm>
                          <a:off x="0" y="0"/>
                          <a:ext cx="2455545" cy="8825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B4E" w:rsidRDefault="00532B4E" w:rsidP="00D1446E">
                            <w:pPr>
                              <w:spacing w:before="120"/>
                              <w:rPr>
                                <w:b/>
                              </w:rPr>
                            </w:pPr>
                            <w:r>
                              <w:rPr>
                                <w:b/>
                              </w:rPr>
                              <w:t>WARNING</w:t>
                            </w:r>
                          </w:p>
                          <w:p w:rsidR="00532B4E" w:rsidRDefault="00532B4E" w:rsidP="00D1446E">
                            <w:pPr>
                              <w:spacing w:before="120"/>
                              <w:rPr>
                                <w:b/>
                              </w:rPr>
                            </w:pPr>
                            <w:r>
                              <w:rPr>
                                <w:b/>
                              </w:rPr>
                              <w:t>AQUATIC TOY</w:t>
                            </w:r>
                          </w:p>
                          <w:p w:rsidR="00532B4E" w:rsidRDefault="00532B4E" w:rsidP="00D1446E">
                            <w:pPr>
                              <w:spacing w:before="120"/>
                              <w:rPr>
                                <w:b/>
                              </w:rPr>
                            </w:pPr>
                            <w:r>
                              <w:rPr>
                                <w:b/>
                              </w:rPr>
                              <w:t>USE ONLY UNDER SUPERVISION</w:t>
                            </w:r>
                          </w:p>
                          <w:p w:rsidR="00532B4E" w:rsidRPr="00E821F9" w:rsidRDefault="00532B4E" w:rsidP="00D1446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8pt;margin-top:13pt;width:193.35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" fillcolor="white [3201]" strokeweight=".5pt">
                <v:textbox>
                  <w:txbxContent>
                    <w:p w:rsidR="00532B4E" w:rsidRDefault="00532B4E" w:rsidP="00D1446E">
                      <w:pPr>
                        <w:spacing w:before="120"/>
                        <w:rPr>
                          <w:b/>
                        </w:rPr>
                      </w:pPr>
                      <w:r>
                        <w:rPr>
                          <w:b/>
                        </w:rPr>
                        <w:t>WARNING</w:t>
                      </w:r>
                    </w:p>
                    <w:p w:rsidR="00532B4E" w:rsidRDefault="00532B4E" w:rsidP="00D1446E">
                      <w:pPr>
                        <w:spacing w:before="120"/>
                        <w:rPr>
                          <w:b/>
                        </w:rPr>
                      </w:pPr>
                      <w:r>
                        <w:rPr>
                          <w:b/>
                        </w:rPr>
                        <w:t>AQUATIC TOY</w:t>
                      </w:r>
                    </w:p>
                    <w:p w:rsidR="00532B4E" w:rsidRDefault="00532B4E" w:rsidP="00D1446E">
                      <w:pPr>
                        <w:spacing w:before="120"/>
                        <w:rPr>
                          <w:b/>
                        </w:rPr>
                      </w:pPr>
                      <w:r>
                        <w:rPr>
                          <w:b/>
                        </w:rPr>
                        <w:t>USE ONLY UNDER SUPERVISION</w:t>
                      </w:r>
                    </w:p>
                    <w:p w:rsidR="00532B4E" w:rsidRPr="00E821F9" w:rsidRDefault="00532B4E" w:rsidP="00D1446E">
                      <w:pPr>
                        <w:rPr>
                          <w:b/>
                        </w:rPr>
                      </w:pPr>
                    </w:p>
                  </w:txbxContent>
                </v:textbox>
              </v:shape>
            </w:pict>
          </mc:Fallback>
        </mc:AlternateContent>
      </w:r>
    </w:p>
    <w:p w:rsidR="00D1446E" w:rsidRDefault="00D1446E" w:rsidP="00D1446E"/>
    <w:p w:rsidR="00D1446E" w:rsidRDefault="00D1446E" w:rsidP="00D1446E"/>
    <w:p w:rsidR="000A5693" w:rsidRDefault="000A5693" w:rsidP="00D1446E"/>
    <w:p w:rsidR="00D1446E" w:rsidRDefault="00D1446E" w:rsidP="00D1446E">
      <w:r>
        <w:t>T</w:t>
      </w:r>
      <w:r w:rsidRPr="00184E66">
        <w:t xml:space="preserve">he warning </w:t>
      </w:r>
      <w:r>
        <w:t>must</w:t>
      </w:r>
      <w:r w:rsidRPr="00184E66">
        <w:t xml:space="preserve"> be in block capitals no less than 6</w:t>
      </w:r>
      <w:r>
        <w:t xml:space="preserve"> </w:t>
      </w:r>
      <w:r w:rsidRPr="00184E66">
        <w:t>mm in height</w:t>
      </w:r>
      <w:r>
        <w:t>,</w:t>
      </w:r>
      <w:r w:rsidRPr="00184E66">
        <w:t xml:space="preserve"> in a colour contrasting </w:t>
      </w:r>
      <w:r>
        <w:t xml:space="preserve">with </w:t>
      </w:r>
      <w:r w:rsidRPr="00184E66">
        <w:t>the background</w:t>
      </w:r>
      <w:r>
        <w:t>, and</w:t>
      </w:r>
      <w:r w:rsidRPr="00184E66">
        <w:t xml:space="preserve"> </w:t>
      </w:r>
      <w:r w:rsidR="000C7058">
        <w:t xml:space="preserve">be </w:t>
      </w:r>
      <w:r w:rsidRPr="00184E66">
        <w:t>indelible.</w:t>
      </w:r>
    </w:p>
    <w:p w:rsidR="00D1446E" w:rsidRPr="00BB446D" w:rsidRDefault="00D1446E" w:rsidP="00D1446E">
      <w:pPr>
        <w:tabs>
          <w:tab w:val="left" w:pos="8222"/>
        </w:tabs>
      </w:pPr>
      <w:r w:rsidRPr="0074620D">
        <w:t xml:space="preserve">We are considering whether </w:t>
      </w:r>
      <w:r w:rsidR="00A36266">
        <w:t xml:space="preserve">a less prescriptive, principles-based </w:t>
      </w:r>
      <w:r w:rsidRPr="0074620D">
        <w:t xml:space="preserve">warning for flotation and aquatic toys </w:t>
      </w:r>
      <w:r w:rsidR="001E70FC" w:rsidRPr="0074620D">
        <w:t>could provide</w:t>
      </w:r>
      <w:r w:rsidRPr="0074620D">
        <w:t xml:space="preserve"> the same protection for children while reducing costs for suppliers and aligning our requirements internationally. We propose to specify that the warning statement must be indelible and legible and must alert parents and carers to the hazard and about the action required to prevent the hazard from occurring. </w:t>
      </w:r>
      <w:r>
        <w:t>We invite comments about the warning for flotation and aquatic toys.</w:t>
      </w:r>
    </w:p>
    <w:p w:rsidR="00D1446E" w:rsidRPr="0004611D" w:rsidRDefault="00D1446E" w:rsidP="00D1446E">
      <w:pPr>
        <w:pStyle w:val="Heading3"/>
      </w:pPr>
      <w:r w:rsidRPr="0004611D">
        <w:t>Lead and other elements in children’s toys</w:t>
      </w:r>
    </w:p>
    <w:p w:rsidR="00D1446E" w:rsidRDefault="00D1446E" w:rsidP="00D1446E">
      <w:r w:rsidRPr="00440492">
        <w:t>Young children often place toys in their mouth to explore them by sucking, mouthing and chewing on them</w:t>
      </w:r>
      <w:r>
        <w:t xml:space="preserve">. </w:t>
      </w:r>
      <w:r w:rsidRPr="00440492">
        <w:t>Lead and other elements can cause harm when consumed, inhaled or absorbed through the skin. </w:t>
      </w:r>
      <w:r>
        <w:t>Children’s toys should therefore not contain these elements.</w:t>
      </w:r>
    </w:p>
    <w:p w:rsidR="00D1446E" w:rsidRDefault="00D1446E" w:rsidP="00D1446E">
      <w:r>
        <w:t xml:space="preserve">The mandatory safety standard for lead and other elements in children’s toys came into effect in January 2010 and mandates sections of the voluntary Australian standards </w:t>
      </w:r>
      <w:r w:rsidRPr="00A1013F">
        <w:t xml:space="preserve">AS/NZS </w:t>
      </w:r>
      <w:r>
        <w:t xml:space="preserve">ISO 8124.3:2003 and </w:t>
      </w:r>
      <w:r w:rsidRPr="00A1013F">
        <w:t xml:space="preserve">AS/NZS </w:t>
      </w:r>
      <w:r>
        <w:t xml:space="preserve">ISO 8124.7:2003. It applies to products </w:t>
      </w:r>
      <w:r w:rsidRPr="0004611D">
        <w:t>supplied new for use in play by children who are up to six years old.</w:t>
      </w:r>
    </w:p>
    <w:p w:rsidR="00D1446E" w:rsidRPr="00FF0CC1" w:rsidRDefault="00D1446E" w:rsidP="00D1446E">
      <w:pPr>
        <w:pStyle w:val="Heading3"/>
      </w:pPr>
      <w:bookmarkStart w:id="49" w:name="_Toc455756325"/>
      <w:bookmarkStart w:id="50" w:name="_Toc456098880"/>
      <w:bookmarkStart w:id="51" w:name="_Toc456623856"/>
      <w:bookmarkStart w:id="52" w:name="_Toc457313550"/>
      <w:bookmarkStart w:id="53" w:name="_Toc458691402"/>
      <w:bookmarkStart w:id="54" w:name="_Toc459206870"/>
      <w:bookmarkStart w:id="55" w:name="_Toc460239691"/>
      <w:bookmarkStart w:id="56" w:name="_Toc460328237"/>
      <w:r w:rsidRPr="00FF0CC1">
        <w:t>Voluntary Australian standards</w:t>
      </w:r>
      <w:bookmarkEnd w:id="49"/>
      <w:bookmarkEnd w:id="50"/>
      <w:bookmarkEnd w:id="51"/>
      <w:bookmarkEnd w:id="52"/>
      <w:bookmarkEnd w:id="53"/>
      <w:bookmarkEnd w:id="54"/>
      <w:bookmarkEnd w:id="55"/>
      <w:bookmarkEnd w:id="56"/>
      <w:r w:rsidRPr="00FF0CC1">
        <w:t xml:space="preserve"> </w:t>
      </w:r>
    </w:p>
    <w:p w:rsidR="00D1446E" w:rsidRDefault="00D1446E" w:rsidP="00D1446E">
      <w:r w:rsidRPr="00DB6C88">
        <w:t>The mandatory safety standard</w:t>
      </w:r>
      <w:r>
        <w:t xml:space="preserve">s for children’s toys </w:t>
      </w:r>
      <w:r>
        <w:rPr>
          <w:lang w:val="en-US"/>
        </w:rPr>
        <w:t xml:space="preserve">specify </w:t>
      </w:r>
      <w:r w:rsidRPr="00DB6C88">
        <w:rPr>
          <w:lang w:val="en-US"/>
        </w:rPr>
        <w:t xml:space="preserve">those sections of the voluntary </w:t>
      </w:r>
      <w:r>
        <w:rPr>
          <w:lang w:val="en-US"/>
        </w:rPr>
        <w:t xml:space="preserve">Australian </w:t>
      </w:r>
      <w:r w:rsidRPr="00DB6C88">
        <w:rPr>
          <w:lang w:val="en-US"/>
        </w:rPr>
        <w:t>standard</w:t>
      </w:r>
      <w:r>
        <w:rPr>
          <w:lang w:val="en-US"/>
        </w:rPr>
        <w:t>s</w:t>
      </w:r>
      <w:r w:rsidRPr="00DB6C88">
        <w:rPr>
          <w:lang w:val="en-US"/>
        </w:rPr>
        <w:t xml:space="preserve"> considered reason</w:t>
      </w:r>
      <w:r>
        <w:rPr>
          <w:lang w:val="en-US"/>
        </w:rPr>
        <w:t>ably necessary to prevent injuries such as choking, eye injuries, suffocation, drowning and chemical migration.</w:t>
      </w:r>
    </w:p>
    <w:p w:rsidR="00D1446E" w:rsidRDefault="00D1446E" w:rsidP="00D1446E">
      <w:r>
        <w:t xml:space="preserve">Currently the mandatory safety standards for children’s toys </w:t>
      </w:r>
      <w:r w:rsidR="004D23BB">
        <w:t>reference</w:t>
      </w:r>
      <w:r>
        <w:t xml:space="preserve"> sections of outdated voluntary Australian standards</w:t>
      </w:r>
      <w:r w:rsidRPr="00DB6C88">
        <w:t xml:space="preserve"> </w:t>
      </w:r>
      <w:r>
        <w:t>as outlined in Table 3. This makes it hard for toy suppliers to understand their compliance obligations. This may also mean that consumers are not benefitting from safety improvements in the updated voluntary standards.</w:t>
      </w:r>
      <w:r w:rsidR="004D23BB">
        <w:t xml:space="preserve"> </w:t>
      </w:r>
    </w:p>
    <w:p w:rsidR="00D1446E" w:rsidRPr="000718E0" w:rsidRDefault="00D1446E" w:rsidP="00D1446E">
      <w:pPr>
        <w:pStyle w:val="TableTextform"/>
        <w:spacing w:before="120" w:after="120"/>
        <w:rPr>
          <w:b/>
        </w:rPr>
      </w:pPr>
      <w:r w:rsidRPr="000718E0">
        <w:rPr>
          <w:b/>
        </w:rPr>
        <w:t>Table 3: Current mandatory safety standards and voluntary Australian standards</w:t>
      </w:r>
    </w:p>
    <w:tbl>
      <w:tblPr>
        <w:tblStyle w:val="TableGrid"/>
        <w:tblW w:w="9464" w:type="dxa"/>
        <w:tblBorders>
          <w:top w:val="none" w:sz="0" w:space="0" w:color="auto"/>
          <w:bottom w:val="none" w:sz="0" w:space="0" w:color="auto"/>
        </w:tblBorders>
        <w:tblLook w:val="04A0" w:firstRow="1" w:lastRow="0" w:firstColumn="1" w:lastColumn="0" w:noHBand="0" w:noVBand="1"/>
      </w:tblPr>
      <w:tblGrid>
        <w:gridCol w:w="2943"/>
        <w:gridCol w:w="3686"/>
        <w:gridCol w:w="2835"/>
      </w:tblGrid>
      <w:tr w:rsidR="00D1446E" w:rsidTr="005D59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D1446E" w:rsidRDefault="00D1446E" w:rsidP="005D59D0">
            <w:pPr>
              <w:spacing w:before="60" w:after="60"/>
              <w:rPr>
                <w:lang w:val="en-US"/>
              </w:rPr>
            </w:pPr>
            <w:r>
              <w:rPr>
                <w:lang w:val="en-US"/>
              </w:rPr>
              <w:t>Mandatory safety standard</w:t>
            </w:r>
          </w:p>
        </w:tc>
        <w:tc>
          <w:tcPr>
            <w:tcW w:w="3686"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D1446E" w:rsidRDefault="00D1446E" w:rsidP="005D59D0">
            <w:pPr>
              <w:spacing w:before="60" w:after="60"/>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  Referenced voluntary Australian standards</w:t>
            </w:r>
          </w:p>
        </w:tc>
        <w:tc>
          <w:tcPr>
            <w:tcW w:w="2835"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D1446E" w:rsidRDefault="00D1446E" w:rsidP="005D59D0">
            <w:pPr>
              <w:spacing w:before="60" w:after="60"/>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Updated voluntary Australian standards</w:t>
            </w:r>
          </w:p>
        </w:tc>
      </w:tr>
      <w:tr w:rsidR="00D1446E" w:rsidTr="005D59D0">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tcBorders>
          </w:tcPr>
          <w:p w:rsidR="00D1446E" w:rsidRPr="005A6386" w:rsidRDefault="00D1446E" w:rsidP="005D59D0">
            <w:pPr>
              <w:rPr>
                <w:b w:val="0"/>
                <w:lang w:val="en-US"/>
              </w:rPr>
            </w:pPr>
            <w:r>
              <w:rPr>
                <w:b w:val="0"/>
                <w:lang w:val="en-US"/>
              </w:rPr>
              <w:t>Toys for children up to and including 36 months of age</w:t>
            </w:r>
          </w:p>
        </w:tc>
        <w:tc>
          <w:tcPr>
            <w:tcW w:w="3686" w:type="dxa"/>
            <w:tcBorders>
              <w:top w:val="single" w:sz="4" w:space="0" w:color="auto"/>
            </w:tcBorders>
          </w:tcPr>
          <w:p w:rsidR="00D1446E" w:rsidRDefault="00D1446E" w:rsidP="005D59D0">
            <w:pPr>
              <w:cnfStyle w:val="000000000000" w:firstRow="0" w:lastRow="0" w:firstColumn="0" w:lastColumn="0" w:oddVBand="0" w:evenVBand="0" w:oddHBand="0" w:evenHBand="0" w:firstRowFirstColumn="0" w:firstRowLastColumn="0" w:lastRowFirstColumn="0" w:lastRowLastColumn="0"/>
              <w:rPr>
                <w:lang w:val="en-US"/>
              </w:rPr>
            </w:pPr>
            <w:r w:rsidRPr="00A1013F">
              <w:t xml:space="preserve">AS/NZS </w:t>
            </w:r>
            <w:r>
              <w:t>ISO 8124.1:2002</w:t>
            </w:r>
          </w:p>
        </w:tc>
        <w:tc>
          <w:tcPr>
            <w:tcW w:w="2835" w:type="dxa"/>
            <w:tcBorders>
              <w:top w:val="single" w:sz="4" w:space="0" w:color="auto"/>
            </w:tcBorders>
          </w:tcPr>
          <w:p w:rsidR="00D1446E" w:rsidRPr="00A1013F" w:rsidRDefault="00D1446E" w:rsidP="005D59D0">
            <w:pPr>
              <w:cnfStyle w:val="000000000000" w:firstRow="0" w:lastRow="0" w:firstColumn="0" w:lastColumn="0" w:oddVBand="0" w:evenVBand="0" w:oddHBand="0" w:evenHBand="0" w:firstRowFirstColumn="0" w:firstRowLastColumn="0" w:lastRowFirstColumn="0" w:lastRowLastColumn="0"/>
            </w:pPr>
            <w:r>
              <w:rPr>
                <w:rFonts w:cs="Arial"/>
              </w:rPr>
              <w:t>AS/NZS ISO 8124.</w:t>
            </w:r>
            <w:r w:rsidRPr="00886018">
              <w:rPr>
                <w:rFonts w:cs="Arial"/>
              </w:rPr>
              <w:t>1:2016</w:t>
            </w:r>
          </w:p>
        </w:tc>
      </w:tr>
      <w:tr w:rsidR="00D1446E" w:rsidTr="005D59D0">
        <w:tc>
          <w:tcPr>
            <w:cnfStyle w:val="001000000000" w:firstRow="0" w:lastRow="0" w:firstColumn="1" w:lastColumn="0" w:oddVBand="0" w:evenVBand="0" w:oddHBand="0" w:evenHBand="0" w:firstRowFirstColumn="0" w:firstRowLastColumn="0" w:lastRowFirstColumn="0" w:lastRowLastColumn="0"/>
            <w:tcW w:w="2943" w:type="dxa"/>
          </w:tcPr>
          <w:p w:rsidR="00D1446E" w:rsidRDefault="00D1446E" w:rsidP="005D59D0">
            <w:pPr>
              <w:rPr>
                <w:lang w:val="en-US"/>
              </w:rPr>
            </w:pPr>
            <w:r w:rsidRPr="005A6386">
              <w:rPr>
                <w:b w:val="0"/>
                <w:lang w:val="en-US"/>
              </w:rPr>
              <w:t>Children’s projectile toys</w:t>
            </w:r>
          </w:p>
        </w:tc>
        <w:tc>
          <w:tcPr>
            <w:tcW w:w="3686" w:type="dxa"/>
          </w:tcPr>
          <w:p w:rsidR="00D1446E" w:rsidRDefault="00D1446E" w:rsidP="005D59D0">
            <w:pPr>
              <w:cnfStyle w:val="000000000000" w:firstRow="0" w:lastRow="0" w:firstColumn="0" w:lastColumn="0" w:oddVBand="0" w:evenVBand="0" w:oddHBand="0" w:evenHBand="0" w:firstRowFirstColumn="0" w:firstRowLastColumn="0" w:lastRowFirstColumn="0" w:lastRowLastColumn="0"/>
              <w:rPr>
                <w:lang w:val="en-US"/>
              </w:rPr>
            </w:pPr>
            <w:r w:rsidRPr="00A1013F">
              <w:t xml:space="preserve">AS/NZS </w:t>
            </w:r>
            <w:r>
              <w:t xml:space="preserve">ISO 8124.1:2002 and </w:t>
            </w:r>
            <w:r w:rsidRPr="00A1013F">
              <w:t xml:space="preserve">AS/NZS </w:t>
            </w:r>
            <w:r>
              <w:t>ISO 8124.1:2002/Amdt1:2007)</w:t>
            </w:r>
          </w:p>
        </w:tc>
        <w:tc>
          <w:tcPr>
            <w:tcW w:w="2835" w:type="dxa"/>
          </w:tcPr>
          <w:p w:rsidR="00D1446E" w:rsidRPr="00A1013F" w:rsidRDefault="00D1446E" w:rsidP="005D59D0">
            <w:pPr>
              <w:cnfStyle w:val="000000000000" w:firstRow="0" w:lastRow="0" w:firstColumn="0" w:lastColumn="0" w:oddVBand="0" w:evenVBand="0" w:oddHBand="0" w:evenHBand="0" w:firstRowFirstColumn="0" w:firstRowLastColumn="0" w:lastRowFirstColumn="0" w:lastRowLastColumn="0"/>
            </w:pPr>
            <w:r>
              <w:rPr>
                <w:rFonts w:cs="Arial"/>
              </w:rPr>
              <w:t>AS/NZS ISO 8124.</w:t>
            </w:r>
            <w:r w:rsidRPr="00886018">
              <w:rPr>
                <w:rFonts w:cs="Arial"/>
              </w:rPr>
              <w:t>1:2016</w:t>
            </w:r>
          </w:p>
        </w:tc>
      </w:tr>
      <w:tr w:rsidR="00D1446E" w:rsidTr="005D59D0">
        <w:tc>
          <w:tcPr>
            <w:cnfStyle w:val="001000000000" w:firstRow="0" w:lastRow="0" w:firstColumn="1" w:lastColumn="0" w:oddVBand="0" w:evenVBand="0" w:oddHBand="0" w:evenHBand="0" w:firstRowFirstColumn="0" w:firstRowLastColumn="0" w:lastRowFirstColumn="0" w:lastRowLastColumn="0"/>
            <w:tcW w:w="2943" w:type="dxa"/>
          </w:tcPr>
          <w:p w:rsidR="00D1446E" w:rsidRPr="005A6386" w:rsidRDefault="00D1446E" w:rsidP="005D59D0">
            <w:pPr>
              <w:rPr>
                <w:b w:val="0"/>
                <w:lang w:val="en-US"/>
              </w:rPr>
            </w:pPr>
            <w:r>
              <w:rPr>
                <w:b w:val="0"/>
                <w:lang w:val="en-US"/>
              </w:rPr>
              <w:t>Children’s toys containing magnets</w:t>
            </w:r>
          </w:p>
        </w:tc>
        <w:tc>
          <w:tcPr>
            <w:tcW w:w="3686" w:type="dxa"/>
          </w:tcPr>
          <w:p w:rsidR="00D1446E" w:rsidRPr="00A1013F" w:rsidRDefault="00D1446E" w:rsidP="005D59D0">
            <w:pPr>
              <w:cnfStyle w:val="000000000000" w:firstRow="0" w:lastRow="0" w:firstColumn="0" w:lastColumn="0" w:oddVBand="0" w:evenVBand="0" w:oddHBand="0" w:evenHBand="0" w:firstRowFirstColumn="0" w:firstRowLastColumn="0" w:lastRowFirstColumn="0" w:lastRowLastColumn="0"/>
            </w:pPr>
            <w:r w:rsidRPr="00A1013F">
              <w:t xml:space="preserve">AS/NZS </w:t>
            </w:r>
            <w:r>
              <w:t xml:space="preserve">ISO 8124.1:2002 and </w:t>
            </w:r>
            <w:r w:rsidRPr="00EB273F">
              <w:t>AS/NZS ISO 8124.1:2002/Amdt2</w:t>
            </w:r>
            <w:r>
              <w:t>:2009</w:t>
            </w:r>
          </w:p>
        </w:tc>
        <w:tc>
          <w:tcPr>
            <w:tcW w:w="2835" w:type="dxa"/>
          </w:tcPr>
          <w:p w:rsidR="00D1446E" w:rsidRPr="00A1013F" w:rsidRDefault="00D1446E" w:rsidP="005D59D0">
            <w:pPr>
              <w:cnfStyle w:val="000000000000" w:firstRow="0" w:lastRow="0" w:firstColumn="0" w:lastColumn="0" w:oddVBand="0" w:evenVBand="0" w:oddHBand="0" w:evenHBand="0" w:firstRowFirstColumn="0" w:firstRowLastColumn="0" w:lastRowFirstColumn="0" w:lastRowLastColumn="0"/>
            </w:pPr>
            <w:r>
              <w:rPr>
                <w:rFonts w:cs="Arial"/>
              </w:rPr>
              <w:t>AS/NZS ISO 8124.</w:t>
            </w:r>
            <w:r w:rsidRPr="00886018">
              <w:rPr>
                <w:rFonts w:cs="Arial"/>
              </w:rPr>
              <w:t>1:2016</w:t>
            </w:r>
          </w:p>
        </w:tc>
      </w:tr>
      <w:tr w:rsidR="00D1446E" w:rsidTr="005D59D0">
        <w:tc>
          <w:tcPr>
            <w:cnfStyle w:val="001000000000" w:firstRow="0" w:lastRow="0" w:firstColumn="1" w:lastColumn="0" w:oddVBand="0" w:evenVBand="0" w:oddHBand="0" w:evenHBand="0" w:firstRowFirstColumn="0" w:firstRowLastColumn="0" w:lastRowFirstColumn="0" w:lastRowLastColumn="0"/>
            <w:tcW w:w="2943" w:type="dxa"/>
          </w:tcPr>
          <w:p w:rsidR="00D1446E" w:rsidRDefault="00D1446E" w:rsidP="005D59D0">
            <w:pPr>
              <w:rPr>
                <w:b w:val="0"/>
                <w:lang w:val="en-US"/>
              </w:rPr>
            </w:pPr>
            <w:r>
              <w:rPr>
                <w:b w:val="0"/>
                <w:lang w:val="en-US"/>
              </w:rPr>
              <w:t>Flotation and aquatic toys</w:t>
            </w:r>
          </w:p>
        </w:tc>
        <w:tc>
          <w:tcPr>
            <w:tcW w:w="3686" w:type="dxa"/>
          </w:tcPr>
          <w:p w:rsidR="00D1446E" w:rsidRPr="00F80F39" w:rsidRDefault="00D1446E" w:rsidP="005D59D0">
            <w:pPr>
              <w:cnfStyle w:val="000000000000" w:firstRow="0" w:lastRow="0" w:firstColumn="0" w:lastColumn="0" w:oddVBand="0" w:evenVBand="0" w:oddHBand="0" w:evenHBand="0" w:firstRowFirstColumn="0" w:firstRowLastColumn="0" w:lastRowFirstColumn="0" w:lastRowLastColumn="0"/>
            </w:pPr>
            <w:r w:rsidRPr="00A1013F">
              <w:t xml:space="preserve">AS/NZS </w:t>
            </w:r>
            <w:r>
              <w:t>ISO 8124.1:2002</w:t>
            </w:r>
          </w:p>
        </w:tc>
        <w:tc>
          <w:tcPr>
            <w:tcW w:w="2835" w:type="dxa"/>
          </w:tcPr>
          <w:p w:rsidR="00D1446E" w:rsidRPr="00F80F39" w:rsidRDefault="00D1446E" w:rsidP="005D59D0">
            <w:pPr>
              <w:cnfStyle w:val="000000000000" w:firstRow="0" w:lastRow="0" w:firstColumn="0" w:lastColumn="0" w:oddVBand="0" w:evenVBand="0" w:oddHBand="0" w:evenHBand="0" w:firstRowFirstColumn="0" w:firstRowLastColumn="0" w:lastRowFirstColumn="0" w:lastRowLastColumn="0"/>
            </w:pPr>
            <w:r>
              <w:rPr>
                <w:rFonts w:cs="Arial"/>
              </w:rPr>
              <w:t>AS/NZS ISO 8124.</w:t>
            </w:r>
            <w:r w:rsidRPr="00886018">
              <w:rPr>
                <w:rFonts w:cs="Arial"/>
              </w:rPr>
              <w:t>1:2016</w:t>
            </w:r>
            <w:r>
              <w:rPr>
                <w:rFonts w:cs="Arial"/>
              </w:rPr>
              <w:t xml:space="preserve"> </w:t>
            </w:r>
          </w:p>
        </w:tc>
      </w:tr>
      <w:tr w:rsidR="00D1446E" w:rsidTr="005D59D0">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auto"/>
            </w:tcBorders>
          </w:tcPr>
          <w:p w:rsidR="007C1C46" w:rsidRDefault="007C1C46" w:rsidP="005D59D0">
            <w:pPr>
              <w:rPr>
                <w:b w:val="0"/>
                <w:lang w:val="en-US"/>
              </w:rPr>
            </w:pPr>
          </w:p>
          <w:p w:rsidR="00D1446E" w:rsidRPr="005A6386" w:rsidRDefault="00D1446E" w:rsidP="005D59D0">
            <w:pPr>
              <w:rPr>
                <w:b w:val="0"/>
                <w:lang w:val="en-US"/>
              </w:rPr>
            </w:pPr>
            <w:r>
              <w:rPr>
                <w:b w:val="0"/>
                <w:lang w:val="en-US"/>
              </w:rPr>
              <w:lastRenderedPageBreak/>
              <w:t>Lead and other elements in children’s toys</w:t>
            </w:r>
          </w:p>
        </w:tc>
        <w:tc>
          <w:tcPr>
            <w:tcW w:w="3686" w:type="dxa"/>
            <w:tcBorders>
              <w:bottom w:val="single" w:sz="4" w:space="0" w:color="auto"/>
            </w:tcBorders>
          </w:tcPr>
          <w:p w:rsidR="007C1C46" w:rsidRDefault="007C1C46" w:rsidP="005D59D0">
            <w:pPr>
              <w:cnfStyle w:val="000000000000" w:firstRow="0" w:lastRow="0" w:firstColumn="0" w:lastColumn="0" w:oddVBand="0" w:evenVBand="0" w:oddHBand="0" w:evenHBand="0" w:firstRowFirstColumn="0" w:firstRowLastColumn="0" w:lastRowFirstColumn="0" w:lastRowLastColumn="0"/>
            </w:pPr>
          </w:p>
          <w:p w:rsidR="00D1446E" w:rsidRPr="00F80F39" w:rsidRDefault="00D1446E" w:rsidP="005D59D0">
            <w:pPr>
              <w:cnfStyle w:val="000000000000" w:firstRow="0" w:lastRow="0" w:firstColumn="0" w:lastColumn="0" w:oddVBand="0" w:evenVBand="0" w:oddHBand="0" w:evenHBand="0" w:firstRowFirstColumn="0" w:firstRowLastColumn="0" w:lastRowFirstColumn="0" w:lastRowLastColumn="0"/>
            </w:pPr>
            <w:r w:rsidRPr="00F80F39">
              <w:lastRenderedPageBreak/>
              <w:t>AS/NZS ISO 8124.3:2003</w:t>
            </w:r>
            <w:r>
              <w:t xml:space="preserve"> and               AS </w:t>
            </w:r>
            <w:r w:rsidRPr="00F80F39">
              <w:t>8124.7:2003</w:t>
            </w:r>
          </w:p>
        </w:tc>
        <w:tc>
          <w:tcPr>
            <w:tcW w:w="2835" w:type="dxa"/>
            <w:tcBorders>
              <w:bottom w:val="single" w:sz="4" w:space="0" w:color="auto"/>
            </w:tcBorders>
          </w:tcPr>
          <w:p w:rsidR="007C1C46" w:rsidRDefault="007C1C46" w:rsidP="005D59D0">
            <w:pPr>
              <w:cnfStyle w:val="000000000000" w:firstRow="0" w:lastRow="0" w:firstColumn="0" w:lastColumn="0" w:oddVBand="0" w:evenVBand="0" w:oddHBand="0" w:evenHBand="0" w:firstRowFirstColumn="0" w:firstRowLastColumn="0" w:lastRowFirstColumn="0" w:lastRowLastColumn="0"/>
            </w:pPr>
          </w:p>
          <w:p w:rsidR="00D1446E" w:rsidRPr="00F80F39" w:rsidRDefault="00D1446E" w:rsidP="005D59D0">
            <w:pPr>
              <w:cnfStyle w:val="000000000000" w:firstRow="0" w:lastRow="0" w:firstColumn="0" w:lastColumn="0" w:oddVBand="0" w:evenVBand="0" w:oddHBand="0" w:evenHBand="0" w:firstRowFirstColumn="0" w:firstRowLastColumn="0" w:lastRowFirstColumn="0" w:lastRowLastColumn="0"/>
            </w:pPr>
            <w:r w:rsidRPr="00F80F39">
              <w:lastRenderedPageBreak/>
              <w:t>AS/NZS ISO 8124.3:2012/</w:t>
            </w:r>
            <w:r>
              <w:t xml:space="preserve"> </w:t>
            </w:r>
            <w:r w:rsidRPr="00F80F39">
              <w:t xml:space="preserve">Amdt1:2016 </w:t>
            </w:r>
            <w:r>
              <w:t xml:space="preserve">and </w:t>
            </w:r>
            <w:r>
              <w:br/>
            </w:r>
            <w:r w:rsidRPr="00F80F39">
              <w:t>AS 8124.7:2003 R2013</w:t>
            </w:r>
          </w:p>
        </w:tc>
      </w:tr>
    </w:tbl>
    <w:p w:rsidR="00D1446E" w:rsidRPr="00C81993" w:rsidRDefault="00D1446E" w:rsidP="00D1446E">
      <w:pPr>
        <w:pStyle w:val="Heading3"/>
      </w:pPr>
      <w:r w:rsidRPr="00C81993">
        <w:lastRenderedPageBreak/>
        <w:t>Battery-operated toys</w:t>
      </w:r>
    </w:p>
    <w:p w:rsidR="00D1446E" w:rsidRPr="005D538B" w:rsidRDefault="00D1446E" w:rsidP="00D1446E">
      <w:r w:rsidRPr="005D538B" w:rsidDel="00AC1031">
        <w:t xml:space="preserve">Batteries, particularly coin-sized button batteries used in toys, can present a severe injury risk to children when they are accessible. </w:t>
      </w:r>
      <w:r w:rsidRPr="005D538B">
        <w:t>If swallowed, button batteries can lodge in</w:t>
      </w:r>
      <w:r>
        <w:t>side</w:t>
      </w:r>
      <w:r w:rsidRPr="005D538B">
        <w:t xml:space="preserve"> a child and cause a chemical reaction that can produce severe burns to the oesophagus and other organs.</w:t>
      </w:r>
    </w:p>
    <w:p w:rsidR="007E5790" w:rsidRPr="007E5790" w:rsidRDefault="007E5790" w:rsidP="007E5790">
      <w:r w:rsidRPr="007E5790">
        <w:t>In Australia, two children have died from button battery related injuries. Each week, an estimated 20 children visit an emergency department with suspected exposure to button batteries.</w:t>
      </w:r>
      <w:r>
        <w:t xml:space="preserve"> </w:t>
      </w:r>
      <w:r w:rsidRPr="007E5790">
        <w:t>The most serious cases involve 10 cent-sized batteries, but all sizes can be dangerous. Children under five years old are at the greatest risk.</w:t>
      </w:r>
    </w:p>
    <w:p w:rsidR="00D1446E" w:rsidRPr="005D538B" w:rsidRDefault="00D1446E" w:rsidP="00D1446E">
      <w:r w:rsidRPr="005D538B">
        <w:t xml:space="preserve">The mandatory safety standard specifies that batteries for toys intended for children under the age of 36 months must not be accessible without the use of a tool or a minimum of two independent movements applied simultaneously to the battery compartment. The mandatory safety standard references the outdated voluntary Australian standard for this requirement. </w:t>
      </w:r>
    </w:p>
    <w:p w:rsidR="00181205" w:rsidRPr="00A465F3" w:rsidRDefault="00D1446E" w:rsidP="00D1446E">
      <w:r w:rsidRPr="000A5693">
        <w:t xml:space="preserve">The updated voluntary Australian standard has removed this requirement for toys intended for children under the age of 36 months </w:t>
      </w:r>
      <w:r w:rsidR="0063573B">
        <w:t xml:space="preserve">because </w:t>
      </w:r>
      <w:r w:rsidR="00181205">
        <w:t xml:space="preserve">it is included in </w:t>
      </w:r>
      <w:r w:rsidRPr="000A5693">
        <w:t xml:space="preserve">the voluntary Australian electrical safety standard (AS/NZS 62115:2011 Electric Toys – Safety, based on IEC 62115:2011). We propose to </w:t>
      </w:r>
      <w:r w:rsidR="00181205">
        <w:t xml:space="preserve">retain the requirement by </w:t>
      </w:r>
      <w:r w:rsidRPr="000A5693">
        <w:t>referenc</w:t>
      </w:r>
      <w:r w:rsidR="008F7F3A">
        <w:t xml:space="preserve">ing </w:t>
      </w:r>
      <w:r w:rsidRPr="000A5693">
        <w:t xml:space="preserve">the relevant parts of AS/NZS 62115:2011 Electric Toys – Safety in any new mandatory safety standard for toys </w:t>
      </w:r>
      <w:r w:rsidRPr="00A465F3">
        <w:t xml:space="preserve">intended for children up to and including 36 months. </w:t>
      </w:r>
    </w:p>
    <w:p w:rsidR="0028670D" w:rsidRPr="00A465F3" w:rsidRDefault="007C1C46" w:rsidP="0028670D">
      <w:r w:rsidRPr="00A465F3">
        <w:t>The next</w:t>
      </w:r>
      <w:r w:rsidR="00212D12" w:rsidRPr="00A465F3">
        <w:t xml:space="preserve"> version of IEC 62115 </w:t>
      </w:r>
      <w:r w:rsidRPr="00A465F3">
        <w:t>planned for completion in</w:t>
      </w:r>
      <w:r w:rsidR="00A90F1B" w:rsidRPr="00A465F3">
        <w:t xml:space="preserve"> mid-2017</w:t>
      </w:r>
      <w:r w:rsidRPr="00A465F3">
        <w:t>,</w:t>
      </w:r>
      <w:r w:rsidR="00A90F1B" w:rsidRPr="00A465F3">
        <w:t xml:space="preserve"> is likely </w:t>
      </w:r>
      <w:r w:rsidR="00181205" w:rsidRPr="00A465F3">
        <w:t xml:space="preserve">to require </w:t>
      </w:r>
      <w:r w:rsidR="00A90F1B" w:rsidRPr="00A465F3">
        <w:t xml:space="preserve">a warning </w:t>
      </w:r>
      <w:r w:rsidR="00181205" w:rsidRPr="00A465F3">
        <w:t xml:space="preserve">on </w:t>
      </w:r>
      <w:r w:rsidR="00A90F1B" w:rsidRPr="00A465F3">
        <w:t xml:space="preserve">children’s toys containing </w:t>
      </w:r>
      <w:r w:rsidR="0077549D" w:rsidRPr="00A465F3">
        <w:t xml:space="preserve">button or coin cell </w:t>
      </w:r>
      <w:r w:rsidR="0028670D" w:rsidRPr="00A465F3">
        <w:t>batteries that draws attention to the hazards if swallowed by a young child.</w:t>
      </w:r>
    </w:p>
    <w:p w:rsidR="00D1446E" w:rsidRPr="00A465F3" w:rsidRDefault="007C1C46" w:rsidP="00A90F1B">
      <w:r w:rsidRPr="00A465F3">
        <w:t>T</w:t>
      </w:r>
      <w:r w:rsidR="00D1446E" w:rsidRPr="00A465F3">
        <w:t xml:space="preserve">he US regulation (ASTM F963-16 Standard consumer safety specification for toy safety) </w:t>
      </w:r>
      <w:r w:rsidRPr="00A465F3">
        <w:t xml:space="preserve">already </w:t>
      </w:r>
      <w:r w:rsidR="00D1446E" w:rsidRPr="00A465F3">
        <w:t>requires toys that operate on button or coin cell batteries to bear the following warning label on the product packaging or on a leaflet packed with the product:</w:t>
      </w:r>
    </w:p>
    <w:p w:rsidR="00D1446E" w:rsidRPr="00A465F3" w:rsidRDefault="00D1446E" w:rsidP="00D1446E">
      <w:pPr>
        <w:autoSpaceDE w:val="0"/>
        <w:autoSpaceDN w:val="0"/>
        <w:adjustRightInd w:val="0"/>
        <w:spacing w:before="0"/>
        <w:rPr>
          <w:rFonts w:asciiTheme="minorHAnsi" w:hAnsiTheme="minorHAnsi" w:cstheme="minorHAnsi"/>
        </w:rPr>
      </w:pPr>
    </w:p>
    <w:p w:rsidR="00D1446E" w:rsidRPr="00A465F3" w:rsidRDefault="00D1446E" w:rsidP="007C1C46">
      <w:pPr>
        <w:pBdr>
          <w:top w:val="single" w:sz="4" w:space="1" w:color="auto"/>
          <w:left w:val="single" w:sz="4" w:space="4" w:color="auto"/>
          <w:bottom w:val="single" w:sz="4" w:space="1" w:color="auto"/>
          <w:right w:val="single" w:sz="4" w:space="4" w:color="auto"/>
        </w:pBdr>
        <w:autoSpaceDE w:val="0"/>
        <w:autoSpaceDN w:val="0"/>
        <w:adjustRightInd w:val="0"/>
        <w:spacing w:before="0"/>
        <w:jc w:val="center"/>
        <w:rPr>
          <w:rFonts w:asciiTheme="minorHAnsi" w:hAnsiTheme="minorHAnsi" w:cstheme="minorHAnsi"/>
        </w:rPr>
      </w:pPr>
      <w:r w:rsidRPr="00A465F3">
        <w:rPr>
          <w:rFonts w:asciiTheme="minorHAnsi" w:hAnsiTheme="minorHAnsi" w:cstheme="minorHAnsi"/>
        </w:rPr>
        <w:t>“WARNING this product contains a Button or Coin Cell Battery. A swallowed Button or Coin Cell Battery can cause internal chemical burns in as little as two hours and lead to death. Dispose of used batteries immediately. Keep new and used batteries away from children. If you think batteries might have been swallowed or placed inside any part of the body, seek immediate medical attention.”</w:t>
      </w:r>
    </w:p>
    <w:p w:rsidR="005D59D0" w:rsidRPr="00A465F3" w:rsidRDefault="005D59D0" w:rsidP="00D1446E">
      <w:r w:rsidRPr="00A465F3">
        <w:t xml:space="preserve">We estimate that </w:t>
      </w:r>
      <w:r w:rsidR="005A752F" w:rsidRPr="00A465F3">
        <w:t xml:space="preserve">it would </w:t>
      </w:r>
      <w:r w:rsidRPr="00A465F3">
        <w:t xml:space="preserve">cost industry </w:t>
      </w:r>
      <w:r w:rsidR="005A752F" w:rsidRPr="00A465F3">
        <w:t>approximately $180</w:t>
      </w:r>
      <w:r w:rsidR="007C1C46" w:rsidRPr="00A465F3">
        <w:t xml:space="preserve"> </w:t>
      </w:r>
      <w:r w:rsidR="005A752F" w:rsidRPr="00A465F3">
        <w:t xml:space="preserve">500 to meet a requirement for </w:t>
      </w:r>
      <w:r w:rsidRPr="00A465F3">
        <w:t xml:space="preserve">a </w:t>
      </w:r>
      <w:r w:rsidR="00135DA7" w:rsidRPr="00A465F3">
        <w:t xml:space="preserve">warning </w:t>
      </w:r>
      <w:r w:rsidR="005A752F" w:rsidRPr="00A465F3">
        <w:t>about</w:t>
      </w:r>
      <w:r w:rsidRPr="00A465F3">
        <w:t xml:space="preserve"> button</w:t>
      </w:r>
      <w:r w:rsidR="00041996" w:rsidRPr="00A465F3">
        <w:t xml:space="preserve"> or coin cell</w:t>
      </w:r>
      <w:r w:rsidRPr="00A465F3">
        <w:t xml:space="preserve"> batteries</w:t>
      </w:r>
      <w:r w:rsidR="005A752F" w:rsidRPr="00A465F3">
        <w:t xml:space="preserve"> in</w:t>
      </w:r>
      <w:r w:rsidRPr="00A465F3">
        <w:t xml:space="preserve"> toys for children </w:t>
      </w:r>
      <w:r w:rsidR="00276CDA" w:rsidRPr="00A465F3">
        <w:t>up to and including</w:t>
      </w:r>
      <w:r w:rsidRPr="00A465F3">
        <w:t xml:space="preserve"> 36 </w:t>
      </w:r>
      <w:r w:rsidR="00041996" w:rsidRPr="00A465F3">
        <w:t>months</w:t>
      </w:r>
      <w:r w:rsidR="00276CDA" w:rsidRPr="00A465F3">
        <w:t xml:space="preserve"> of age</w:t>
      </w:r>
      <w:r w:rsidR="00AE591F" w:rsidRPr="00A465F3">
        <w:t xml:space="preserve"> </w:t>
      </w:r>
      <w:r w:rsidR="00D6763A" w:rsidRPr="00A465F3">
        <w:t>(Appendix A provides a detailed explanation of this estimate).</w:t>
      </w:r>
    </w:p>
    <w:p w:rsidR="00A77E3E" w:rsidRPr="00A465F3" w:rsidRDefault="00D1446E" w:rsidP="00D1446E">
      <w:pPr>
        <w:rPr>
          <w:rFonts w:asciiTheme="minorHAnsi" w:hAnsiTheme="minorHAnsi" w:cstheme="minorHAnsi"/>
        </w:rPr>
      </w:pPr>
      <w:r w:rsidRPr="00A465F3">
        <w:t xml:space="preserve">We invite stakeholder views about whether we should mandate </w:t>
      </w:r>
      <w:r w:rsidR="00212D12" w:rsidRPr="00A465F3">
        <w:t>a</w:t>
      </w:r>
      <w:r w:rsidRPr="00A465F3">
        <w:t xml:space="preserve"> warning statement </w:t>
      </w:r>
      <w:r w:rsidR="00212D12" w:rsidRPr="00A465F3">
        <w:t>for</w:t>
      </w:r>
      <w:r w:rsidRPr="00A465F3">
        <w:t xml:space="preserve"> toys containing </w:t>
      </w:r>
      <w:r w:rsidRPr="00A465F3">
        <w:rPr>
          <w:rFonts w:asciiTheme="minorHAnsi" w:hAnsiTheme="minorHAnsi" w:cstheme="minorHAnsi"/>
        </w:rPr>
        <w:t>button or coin cell batteries</w:t>
      </w:r>
      <w:r w:rsidRPr="00A465F3">
        <w:t xml:space="preserve"> that draws attention to the hazards to young children</w:t>
      </w:r>
      <w:r w:rsidR="00632066" w:rsidRPr="00A465F3">
        <w:rPr>
          <w:rFonts w:asciiTheme="minorHAnsi" w:hAnsiTheme="minorHAnsi" w:cstheme="minorHAnsi"/>
        </w:rPr>
        <w:t>.</w:t>
      </w:r>
    </w:p>
    <w:p w:rsidR="00D1446E" w:rsidRPr="00A465F3" w:rsidRDefault="00D1446E" w:rsidP="00F266B6">
      <w:pPr>
        <w:pStyle w:val="Heading1"/>
        <w:numPr>
          <w:ilvl w:val="0"/>
          <w:numId w:val="33"/>
        </w:numPr>
        <w:ind w:left="680" w:hanging="680"/>
      </w:pPr>
      <w:bookmarkStart w:id="57" w:name="_Toc460239692"/>
      <w:bookmarkStart w:id="58" w:name="_Toc460328238"/>
      <w:bookmarkStart w:id="59" w:name="_Toc473714722"/>
      <w:r w:rsidRPr="00A465F3">
        <w:t>Compliance</w:t>
      </w:r>
      <w:bookmarkEnd w:id="59"/>
      <w:r w:rsidRPr="00A465F3">
        <w:t xml:space="preserve"> </w:t>
      </w:r>
      <w:bookmarkEnd w:id="57"/>
      <w:bookmarkEnd w:id="58"/>
    </w:p>
    <w:p w:rsidR="00D1446E" w:rsidRPr="00A53E90" w:rsidRDefault="00D1446E" w:rsidP="00D1446E">
      <w:r w:rsidRPr="00A53E90">
        <w:t>The ACCC surveys the market to check compliance with the mandatory safety standards for children’s toys.</w:t>
      </w:r>
    </w:p>
    <w:p w:rsidR="00D1446E" w:rsidRDefault="00D1446E" w:rsidP="00D1446E">
      <w:pPr>
        <w:autoSpaceDE w:val="0"/>
        <w:autoSpaceDN w:val="0"/>
        <w:adjustRightInd w:val="0"/>
        <w:rPr>
          <w:rFonts w:asciiTheme="minorHAnsi" w:hAnsiTheme="minorHAnsi" w:cstheme="minorHAnsi"/>
        </w:rPr>
      </w:pPr>
      <w:r w:rsidRPr="001937B0">
        <w:rPr>
          <w:rFonts w:asciiTheme="minorHAnsi" w:hAnsiTheme="minorHAnsi" w:cstheme="minorHAnsi"/>
        </w:rPr>
        <w:lastRenderedPageBreak/>
        <w:t>Most recently in 2012, the ACCC and state and territory consumer affairs agencies surveyed over 3300 retailers and 28 wholesalers of children’s toys covering 94 374 product</w:t>
      </w:r>
      <w:r w:rsidRPr="0002103D">
        <w:rPr>
          <w:rFonts w:asciiTheme="minorHAnsi" w:hAnsiTheme="minorHAnsi" w:cstheme="minorHAnsi"/>
        </w:rPr>
        <w:t xml:space="preserve"> lines.</w:t>
      </w:r>
      <w:r>
        <w:rPr>
          <w:rFonts w:asciiTheme="minorHAnsi" w:hAnsiTheme="minorHAnsi" w:cstheme="minorHAnsi"/>
        </w:rPr>
        <w:t xml:space="preserve"> </w:t>
      </w:r>
      <w:r w:rsidRPr="001937B0">
        <w:rPr>
          <w:rFonts w:cs="Arial"/>
        </w:rPr>
        <w:t xml:space="preserve">The survey covered children’s toys captured by </w:t>
      </w:r>
      <w:r>
        <w:rPr>
          <w:rFonts w:cs="Arial"/>
        </w:rPr>
        <w:t>three bans and eight</w:t>
      </w:r>
      <w:r w:rsidRPr="001937B0">
        <w:rPr>
          <w:rFonts w:cs="Arial"/>
        </w:rPr>
        <w:t xml:space="preserve"> mandatory safety standards</w:t>
      </w:r>
      <w:r>
        <w:rPr>
          <w:rFonts w:cs="Arial"/>
        </w:rPr>
        <w:t xml:space="preserve"> (including the five mandatory safety standards in this review).</w:t>
      </w:r>
      <w:r w:rsidRPr="001937B0">
        <w:rPr>
          <w:rFonts w:cs="Arial"/>
        </w:rPr>
        <w:t xml:space="preserve"> </w:t>
      </w:r>
      <w:r w:rsidRPr="00A53E90">
        <w:rPr>
          <w:rFonts w:cs="Arial"/>
        </w:rPr>
        <w:t xml:space="preserve">The ACCC commissioned more than 1500 performance tests for lead </w:t>
      </w:r>
      <w:r w:rsidR="00EA5DF6" w:rsidRPr="00A53E90">
        <w:rPr>
          <w:rFonts w:cs="Arial"/>
        </w:rPr>
        <w:t>and heavy</w:t>
      </w:r>
      <w:r w:rsidRPr="00A53E90">
        <w:rPr>
          <w:rFonts w:cs="Arial"/>
        </w:rPr>
        <w:t xml:space="preserve"> metals, small parts and projectiles.</w:t>
      </w:r>
      <w:r>
        <w:rPr>
          <w:rFonts w:cs="Arial"/>
        </w:rPr>
        <w:t xml:space="preserve"> </w:t>
      </w:r>
      <w:r w:rsidRPr="00540C98">
        <w:t xml:space="preserve">Overall, compliance </w:t>
      </w:r>
      <w:r w:rsidR="00591C06">
        <w:t>was</w:t>
      </w:r>
      <w:r w:rsidRPr="00540C98">
        <w:t xml:space="preserve"> high, with </w:t>
      </w:r>
      <w:r w:rsidRPr="00926B5E">
        <w:t xml:space="preserve">approximately </w:t>
      </w:r>
      <w:r>
        <w:t>99</w:t>
      </w:r>
      <w:r w:rsidRPr="00926B5E">
        <w:t xml:space="preserve"> per</w:t>
      </w:r>
      <w:r w:rsidRPr="00540C98">
        <w:t xml:space="preserve"> cent of the product lines inspected </w:t>
      </w:r>
      <w:r>
        <w:t>complying</w:t>
      </w:r>
      <w:r w:rsidRPr="00540C98">
        <w:t xml:space="preserve"> with </w:t>
      </w:r>
      <w:r>
        <w:t xml:space="preserve">the </w:t>
      </w:r>
      <w:r w:rsidRPr="00540C98">
        <w:t xml:space="preserve">mandatory </w:t>
      </w:r>
      <w:r>
        <w:t xml:space="preserve">safety </w:t>
      </w:r>
      <w:r w:rsidRPr="00540C98">
        <w:t>standards.</w:t>
      </w:r>
    </w:p>
    <w:p w:rsidR="00591C06" w:rsidRDefault="00D1446E" w:rsidP="00D1446E">
      <w:r w:rsidRPr="00A53E90">
        <w:t xml:space="preserve">There were 548 non-compliant product lines </w:t>
      </w:r>
      <w:r w:rsidRPr="0002103D">
        <w:t>resulting in over 11</w:t>
      </w:r>
      <w:r>
        <w:t xml:space="preserve"> </w:t>
      </w:r>
      <w:r w:rsidRPr="0002103D">
        <w:t>400 toys removed from sale</w:t>
      </w:r>
      <w:r>
        <w:t>.</w:t>
      </w:r>
      <w:r w:rsidRPr="003450B6">
        <w:t xml:space="preserve"> The majority of non-compliance was for toys for children up to and</w:t>
      </w:r>
      <w:r>
        <w:t xml:space="preserve"> including 36 months of age (251), projectile toys (211) and aquatic toys (30). </w:t>
      </w:r>
    </w:p>
    <w:p w:rsidR="00D1446E" w:rsidRPr="00A53E90" w:rsidRDefault="00D1446E" w:rsidP="00D1446E">
      <w:r w:rsidRPr="00A53E90">
        <w:t xml:space="preserve">The results of this survey support the ongoing </w:t>
      </w:r>
      <w:r>
        <w:t>need</w:t>
      </w:r>
      <w:r w:rsidRPr="00A53E90">
        <w:t xml:space="preserve"> for mandatory safety standards for children’s toys.</w:t>
      </w:r>
    </w:p>
    <w:p w:rsidR="00D1446E" w:rsidRPr="005956FD" w:rsidRDefault="00D1446E" w:rsidP="00F266B6">
      <w:pPr>
        <w:pStyle w:val="Heading1"/>
        <w:numPr>
          <w:ilvl w:val="0"/>
          <w:numId w:val="33"/>
        </w:numPr>
        <w:ind w:left="680" w:hanging="680"/>
      </w:pPr>
      <w:bookmarkStart w:id="60" w:name="_Toc432596956"/>
      <w:bookmarkStart w:id="61" w:name="_Toc432596957"/>
      <w:bookmarkStart w:id="62" w:name="_Toc432596960"/>
      <w:bookmarkStart w:id="63" w:name="_Toc432596961"/>
      <w:bookmarkStart w:id="64" w:name="_Toc432596962"/>
      <w:bookmarkStart w:id="65" w:name="_Toc432596963"/>
      <w:bookmarkStart w:id="66" w:name="_Toc432596964"/>
      <w:bookmarkStart w:id="67" w:name="_Toc433987321"/>
      <w:bookmarkStart w:id="68" w:name="_Toc433988398"/>
      <w:bookmarkStart w:id="69" w:name="_Toc433988728"/>
      <w:bookmarkStart w:id="70" w:name="_Toc434235891"/>
      <w:bookmarkStart w:id="71" w:name="_Toc434312504"/>
      <w:bookmarkStart w:id="72" w:name="_Toc434394088"/>
      <w:bookmarkStart w:id="73" w:name="_Toc434439215"/>
      <w:bookmarkStart w:id="74" w:name="_Toc434439304"/>
      <w:bookmarkStart w:id="75" w:name="_Toc434485342"/>
      <w:bookmarkStart w:id="76" w:name="_Toc434489798"/>
      <w:bookmarkStart w:id="77" w:name="_Toc434493108"/>
      <w:bookmarkStart w:id="78" w:name="_Toc434497015"/>
      <w:bookmarkStart w:id="79" w:name="_Toc433987322"/>
      <w:bookmarkStart w:id="80" w:name="_Toc433988399"/>
      <w:bookmarkStart w:id="81" w:name="_Toc433988729"/>
      <w:bookmarkStart w:id="82" w:name="_Toc434235892"/>
      <w:bookmarkStart w:id="83" w:name="_Toc434312505"/>
      <w:bookmarkStart w:id="84" w:name="_Toc434394089"/>
      <w:bookmarkStart w:id="85" w:name="_Toc434439216"/>
      <w:bookmarkStart w:id="86" w:name="_Toc434439305"/>
      <w:bookmarkStart w:id="87" w:name="_Toc434485343"/>
      <w:bookmarkStart w:id="88" w:name="_Toc434489799"/>
      <w:bookmarkStart w:id="89" w:name="_Toc434493109"/>
      <w:bookmarkStart w:id="90" w:name="_Toc434497016"/>
      <w:bookmarkStart w:id="91" w:name="_Toc433987323"/>
      <w:bookmarkStart w:id="92" w:name="_Toc433988400"/>
      <w:bookmarkStart w:id="93" w:name="_Toc433988730"/>
      <w:bookmarkStart w:id="94" w:name="_Toc434235893"/>
      <w:bookmarkStart w:id="95" w:name="_Toc434312506"/>
      <w:bookmarkStart w:id="96" w:name="_Toc434394090"/>
      <w:bookmarkStart w:id="97" w:name="_Toc434439217"/>
      <w:bookmarkStart w:id="98" w:name="_Toc434439306"/>
      <w:bookmarkStart w:id="99" w:name="_Toc434485344"/>
      <w:bookmarkStart w:id="100" w:name="_Toc434489800"/>
      <w:bookmarkStart w:id="101" w:name="_Toc434493110"/>
      <w:bookmarkStart w:id="102" w:name="_Toc434497017"/>
      <w:bookmarkStart w:id="103" w:name="_Toc433987324"/>
      <w:bookmarkStart w:id="104" w:name="_Toc433988401"/>
      <w:bookmarkStart w:id="105" w:name="_Toc433988731"/>
      <w:bookmarkStart w:id="106" w:name="_Toc434235894"/>
      <w:bookmarkStart w:id="107" w:name="_Toc434312507"/>
      <w:bookmarkStart w:id="108" w:name="_Toc434394091"/>
      <w:bookmarkStart w:id="109" w:name="_Toc434439218"/>
      <w:bookmarkStart w:id="110" w:name="_Toc434439307"/>
      <w:bookmarkStart w:id="111" w:name="_Toc434485345"/>
      <w:bookmarkStart w:id="112" w:name="_Toc434489801"/>
      <w:bookmarkStart w:id="113" w:name="_Toc434493111"/>
      <w:bookmarkStart w:id="114" w:name="_Toc434497018"/>
      <w:bookmarkStart w:id="115" w:name="_Toc433987325"/>
      <w:bookmarkStart w:id="116" w:name="_Toc433988402"/>
      <w:bookmarkStart w:id="117" w:name="_Toc433988732"/>
      <w:bookmarkStart w:id="118" w:name="_Toc434235895"/>
      <w:bookmarkStart w:id="119" w:name="_Toc434312508"/>
      <w:bookmarkStart w:id="120" w:name="_Toc434394092"/>
      <w:bookmarkStart w:id="121" w:name="_Toc434439219"/>
      <w:bookmarkStart w:id="122" w:name="_Toc434439308"/>
      <w:bookmarkStart w:id="123" w:name="_Toc434485346"/>
      <w:bookmarkStart w:id="124" w:name="_Toc434489802"/>
      <w:bookmarkStart w:id="125" w:name="_Toc434493112"/>
      <w:bookmarkStart w:id="126" w:name="_Toc434497019"/>
      <w:bookmarkStart w:id="127" w:name="_Toc433987326"/>
      <w:bookmarkStart w:id="128" w:name="_Toc433988403"/>
      <w:bookmarkStart w:id="129" w:name="_Toc433988733"/>
      <w:bookmarkStart w:id="130" w:name="_Toc434235896"/>
      <w:bookmarkStart w:id="131" w:name="_Toc434312509"/>
      <w:bookmarkStart w:id="132" w:name="_Toc434394093"/>
      <w:bookmarkStart w:id="133" w:name="_Toc434439220"/>
      <w:bookmarkStart w:id="134" w:name="_Toc434439309"/>
      <w:bookmarkStart w:id="135" w:name="_Toc434485347"/>
      <w:bookmarkStart w:id="136" w:name="_Toc434489803"/>
      <w:bookmarkStart w:id="137" w:name="_Toc434493113"/>
      <w:bookmarkStart w:id="138" w:name="_Toc434497020"/>
      <w:bookmarkStart w:id="139" w:name="_Toc434485350"/>
      <w:bookmarkStart w:id="140" w:name="_Toc434489806"/>
      <w:bookmarkStart w:id="141" w:name="_Toc434493116"/>
      <w:bookmarkStart w:id="142" w:name="_Toc434497023"/>
      <w:bookmarkStart w:id="143" w:name="_Toc434485351"/>
      <w:bookmarkStart w:id="144" w:name="_Toc434489807"/>
      <w:bookmarkStart w:id="145" w:name="_Toc434493117"/>
      <w:bookmarkStart w:id="146" w:name="_Toc434497024"/>
      <w:bookmarkStart w:id="147" w:name="_Toc434485352"/>
      <w:bookmarkStart w:id="148" w:name="_Toc434489808"/>
      <w:bookmarkStart w:id="149" w:name="_Toc434493118"/>
      <w:bookmarkStart w:id="150" w:name="_Toc434497025"/>
      <w:bookmarkStart w:id="151" w:name="_Toc455066801"/>
      <w:bookmarkStart w:id="152" w:name="_Toc455066836"/>
      <w:bookmarkStart w:id="153" w:name="_Toc455499192"/>
      <w:bookmarkStart w:id="154" w:name="_Toc455756327"/>
      <w:bookmarkStart w:id="155" w:name="_Toc456098882"/>
      <w:bookmarkStart w:id="156" w:name="_Toc456623858"/>
      <w:bookmarkStart w:id="157" w:name="_Toc457313552"/>
      <w:bookmarkStart w:id="158" w:name="_Toc458691405"/>
      <w:bookmarkStart w:id="159" w:name="_Toc459206872"/>
      <w:bookmarkStart w:id="160" w:name="_Toc460239693"/>
      <w:bookmarkStart w:id="161" w:name="_Toc460328239"/>
      <w:bookmarkStart w:id="162" w:name="_Toc410736799"/>
      <w:bookmarkStart w:id="163" w:name="_Toc47371472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5956FD">
        <w:t>Standards</w:t>
      </w:r>
      <w:bookmarkEnd w:id="151"/>
      <w:bookmarkEnd w:id="152"/>
      <w:bookmarkEnd w:id="153"/>
      <w:bookmarkEnd w:id="154"/>
      <w:bookmarkEnd w:id="155"/>
      <w:bookmarkEnd w:id="156"/>
      <w:bookmarkEnd w:id="157"/>
      <w:bookmarkEnd w:id="158"/>
      <w:bookmarkEnd w:id="159"/>
      <w:bookmarkEnd w:id="160"/>
      <w:bookmarkEnd w:id="161"/>
      <w:r w:rsidRPr="005956FD">
        <w:t xml:space="preserve"> assessment and comparisons</w:t>
      </w:r>
      <w:bookmarkEnd w:id="163"/>
    </w:p>
    <w:bookmarkEnd w:id="162"/>
    <w:p w:rsidR="001433CB" w:rsidRPr="00283AE3" w:rsidRDefault="00D1446E" w:rsidP="00D1446E">
      <w:r>
        <w:t xml:space="preserve">The </w:t>
      </w:r>
      <w:r w:rsidRPr="00DB6C88">
        <w:t xml:space="preserve">international standards </w:t>
      </w:r>
      <w:r>
        <w:t>for children’s toys considered in this review include</w:t>
      </w:r>
      <w:r w:rsidRPr="00DB6C88">
        <w:t>:</w:t>
      </w:r>
    </w:p>
    <w:p w:rsidR="00FC5E4E" w:rsidRPr="00DB05F1" w:rsidRDefault="00584E5B" w:rsidP="00D1446E">
      <w:pPr>
        <w:pStyle w:val="Bulletpoint"/>
        <w:tabs>
          <w:tab w:val="clear" w:pos="340"/>
          <w:tab w:val="left" w:pos="426"/>
        </w:tabs>
        <w:ind w:left="426" w:hanging="426"/>
      </w:pPr>
      <w:r>
        <w:t>ASTM D-</w:t>
      </w:r>
      <w:r w:rsidR="00DB05F1" w:rsidRPr="00DB05F1">
        <w:t>4236</w:t>
      </w:r>
      <w:r w:rsidR="00DB05F1">
        <w:t xml:space="preserve"> </w:t>
      </w:r>
      <w:r w:rsidR="00DB05F1" w:rsidRPr="00DB05F1">
        <w:t xml:space="preserve">Standard </w:t>
      </w:r>
      <w:r w:rsidR="00DB05F1" w:rsidRPr="00DB05F1">
        <w:rPr>
          <w:bCs/>
        </w:rPr>
        <w:t>practice of labe</w:t>
      </w:r>
      <w:r w:rsidR="00DB05F1">
        <w:rPr>
          <w:bCs/>
        </w:rPr>
        <w:t>l</w:t>
      </w:r>
      <w:r w:rsidR="00DB05F1" w:rsidRPr="00DB05F1">
        <w:rPr>
          <w:bCs/>
        </w:rPr>
        <w:t>ling art materials for chronic health hazards</w:t>
      </w:r>
    </w:p>
    <w:p w:rsidR="00D1446E" w:rsidRDefault="00D1446E" w:rsidP="00D1446E">
      <w:pPr>
        <w:pStyle w:val="Bulletpoint"/>
        <w:tabs>
          <w:tab w:val="clear" w:pos="340"/>
          <w:tab w:val="left" w:pos="426"/>
        </w:tabs>
        <w:ind w:left="426" w:hanging="426"/>
      </w:pPr>
      <w:r w:rsidRPr="00215533">
        <w:t>ASTM F963-1</w:t>
      </w:r>
      <w:r>
        <w:t>6</w:t>
      </w:r>
      <w:r w:rsidRPr="00215533">
        <w:t xml:space="preserve"> Standard </w:t>
      </w:r>
      <w:r>
        <w:t>c</w:t>
      </w:r>
      <w:r w:rsidRPr="00215533">
        <w:t xml:space="preserve">onsumer </w:t>
      </w:r>
      <w:r>
        <w:t>s</w:t>
      </w:r>
      <w:r w:rsidRPr="00215533">
        <w:t xml:space="preserve">afety </w:t>
      </w:r>
      <w:r>
        <w:t>s</w:t>
      </w:r>
      <w:r w:rsidRPr="00215533">
        <w:t xml:space="preserve">pecification for </w:t>
      </w:r>
      <w:r>
        <w:t>t</w:t>
      </w:r>
      <w:r w:rsidRPr="00215533">
        <w:t xml:space="preserve">oy </w:t>
      </w:r>
      <w:r>
        <w:t>s</w:t>
      </w:r>
      <w:r w:rsidRPr="00215533">
        <w:t>afety</w:t>
      </w:r>
      <w:r w:rsidRPr="00DB6C88">
        <w:t xml:space="preserve"> </w:t>
      </w:r>
    </w:p>
    <w:p w:rsidR="001433CB" w:rsidRPr="00283AE3" w:rsidRDefault="00D1446E" w:rsidP="00283AE3">
      <w:pPr>
        <w:pStyle w:val="Bulletpoint"/>
        <w:tabs>
          <w:tab w:val="clear" w:pos="340"/>
          <w:tab w:val="left" w:pos="426"/>
        </w:tabs>
        <w:ind w:left="426" w:hanging="426"/>
      </w:pPr>
      <w:r w:rsidRPr="000141ED">
        <w:rPr>
          <w:rFonts w:cstheme="minorBidi"/>
        </w:rPr>
        <w:t xml:space="preserve">Code </w:t>
      </w:r>
      <w:r w:rsidRPr="009419CA">
        <w:rPr>
          <w:rFonts w:cstheme="minorBidi"/>
        </w:rPr>
        <w:t>o</w:t>
      </w:r>
      <w:r w:rsidRPr="009419CA">
        <w:t xml:space="preserve">f Federal Regulations in Title 16, Part 1303 – Ban </w:t>
      </w:r>
      <w:r w:rsidRPr="009419CA">
        <w:rPr>
          <w:lang w:val="en"/>
        </w:rPr>
        <w:t xml:space="preserve">of lead-containing paint and certain consumer products bearing lead-containing paint </w:t>
      </w:r>
    </w:p>
    <w:p w:rsidR="00D1446E" w:rsidRDefault="00D1446E" w:rsidP="00D1446E">
      <w:pPr>
        <w:pStyle w:val="Bulletpoint"/>
        <w:tabs>
          <w:tab w:val="clear" w:pos="340"/>
          <w:tab w:val="left" w:pos="426"/>
        </w:tabs>
        <w:ind w:left="426" w:hanging="426"/>
      </w:pPr>
      <w:r w:rsidRPr="00215533">
        <w:t>EN 71</w:t>
      </w:r>
      <w:r>
        <w:t xml:space="preserve">-1:2014 Safety of toys – Part 1: Mechanical and physical properties  </w:t>
      </w:r>
    </w:p>
    <w:p w:rsidR="00D1446E" w:rsidRDefault="00D1446E" w:rsidP="00D1446E">
      <w:pPr>
        <w:pStyle w:val="Bulletpoint"/>
        <w:tabs>
          <w:tab w:val="clear" w:pos="340"/>
          <w:tab w:val="left" w:pos="426"/>
        </w:tabs>
        <w:ind w:left="426" w:hanging="426"/>
      </w:pPr>
      <w:r>
        <w:t>EN 71-3:2013+A1:2014 Safety of toys – Part 3: Migration of certain elements</w:t>
      </w:r>
      <w:r w:rsidRPr="00DB39E6">
        <w:t xml:space="preserve"> </w:t>
      </w:r>
    </w:p>
    <w:p w:rsidR="001433CB" w:rsidRPr="00283AE3" w:rsidRDefault="00D1446E" w:rsidP="00283AE3">
      <w:pPr>
        <w:pStyle w:val="Bulletpoint"/>
        <w:tabs>
          <w:tab w:val="clear" w:pos="340"/>
          <w:tab w:val="left" w:pos="426"/>
        </w:tabs>
        <w:ind w:left="426" w:hanging="426"/>
      </w:pPr>
      <w:r>
        <w:t>EN 71-7:2014 Safety of toys – Part 7: Finger paints – Requirements and test methods</w:t>
      </w:r>
    </w:p>
    <w:p w:rsidR="00D1446E" w:rsidRDefault="00D1446E" w:rsidP="00D1446E">
      <w:pPr>
        <w:pStyle w:val="Bulletpoint"/>
        <w:tabs>
          <w:tab w:val="clear" w:pos="340"/>
          <w:tab w:val="left" w:pos="426"/>
        </w:tabs>
        <w:ind w:left="426" w:hanging="426"/>
      </w:pPr>
      <w:r>
        <w:t>ISO 8124.1:</w:t>
      </w:r>
      <w:r w:rsidRPr="00A1013F">
        <w:t>20</w:t>
      </w:r>
      <w:r>
        <w:t>14 Safety of toys Part 1: Safety aspects related to mechanical and physical properties</w:t>
      </w:r>
    </w:p>
    <w:p w:rsidR="00D1446E" w:rsidRDefault="00D1446E" w:rsidP="00D1446E">
      <w:pPr>
        <w:pStyle w:val="Bulletpoint"/>
        <w:tabs>
          <w:tab w:val="clear" w:pos="340"/>
          <w:tab w:val="left" w:pos="426"/>
        </w:tabs>
        <w:ind w:left="426" w:hanging="426"/>
      </w:pPr>
      <w:r w:rsidRPr="00F34873">
        <w:t>ISO 8124.3:2010/Amd1:2014 Safety of toys Part 3: Migration of certain elements</w:t>
      </w:r>
    </w:p>
    <w:p w:rsidR="00D1446E" w:rsidRDefault="00D1446E" w:rsidP="00D1446E">
      <w:pPr>
        <w:pStyle w:val="Bulletpoint"/>
        <w:tabs>
          <w:tab w:val="clear" w:pos="340"/>
          <w:tab w:val="left" w:pos="426"/>
        </w:tabs>
        <w:ind w:left="426" w:hanging="426"/>
      </w:pPr>
      <w:r>
        <w:t>ISO 8124.7:</w:t>
      </w:r>
      <w:r w:rsidRPr="00A1013F">
        <w:t>20</w:t>
      </w:r>
      <w:r>
        <w:t xml:space="preserve">15 Safety of toys Part 7: Finger paints – Requirements and test methods </w:t>
      </w:r>
    </w:p>
    <w:p w:rsidR="00D1446E" w:rsidRPr="004F3291" w:rsidRDefault="00D1446E" w:rsidP="00D1446E">
      <w:pPr>
        <w:pStyle w:val="Bulletpoint"/>
        <w:tabs>
          <w:tab w:val="clear" w:pos="340"/>
          <w:tab w:val="left" w:pos="426"/>
        </w:tabs>
        <w:ind w:left="426" w:hanging="426"/>
      </w:pPr>
      <w:r w:rsidRPr="00591CCA">
        <w:t xml:space="preserve">IEC </w:t>
      </w:r>
      <w:r w:rsidRPr="00591CCA">
        <w:rPr>
          <w:rFonts w:cstheme="minorBidi"/>
          <w:bCs/>
          <w:lang w:val="en-US"/>
        </w:rPr>
        <w:t>62115:2011 Electric</w:t>
      </w:r>
      <w:r w:rsidRPr="004F3291">
        <w:rPr>
          <w:rFonts w:cstheme="minorBidi"/>
          <w:bCs/>
          <w:lang w:val="en-US"/>
        </w:rPr>
        <w:t xml:space="preserve"> toys – Safety</w:t>
      </w:r>
      <w:r>
        <w:rPr>
          <w:rFonts w:cstheme="minorBidi"/>
          <w:bCs/>
          <w:lang w:val="en-US"/>
        </w:rPr>
        <w:t>.</w:t>
      </w:r>
    </w:p>
    <w:p w:rsidR="00D1446E" w:rsidRPr="000A639D" w:rsidRDefault="00D1446E" w:rsidP="00D1446E">
      <w:r w:rsidRPr="000A639D">
        <w:t xml:space="preserve">The ACCC has </w:t>
      </w:r>
      <w:r>
        <w:t xml:space="preserve">assessed the US regulations (including the ASTM standard), European, ISO and IEC standards </w:t>
      </w:r>
      <w:r w:rsidRPr="000A639D">
        <w:t>against the following criteria:</w:t>
      </w:r>
      <w:r w:rsidRPr="000A639D">
        <w:rPr>
          <w:vertAlign w:val="superscript"/>
        </w:rPr>
        <w:footnoteReference w:id="17"/>
      </w:r>
      <w:r w:rsidRPr="000A639D">
        <w:t xml:space="preserve"> </w:t>
      </w:r>
    </w:p>
    <w:p w:rsidR="00D1446E" w:rsidRPr="000A639D" w:rsidRDefault="00D1446E" w:rsidP="00D1446E">
      <w:pPr>
        <w:pStyle w:val="Bulletpoint"/>
        <w:ind w:left="342"/>
      </w:pPr>
      <w:r w:rsidRPr="000A639D">
        <w:t>Addressing safety concerns: Is there evidence that the international standard provides an acceptable level of consumer safety?</w:t>
      </w:r>
    </w:p>
    <w:p w:rsidR="00D1446E" w:rsidRPr="000A639D" w:rsidRDefault="00D1446E" w:rsidP="00D1446E">
      <w:pPr>
        <w:pStyle w:val="Bulletpoint"/>
        <w:ind w:left="342"/>
      </w:pPr>
      <w:r w:rsidRPr="000A639D">
        <w:t>Comparable jurisdiction to Australia: Is the international standard published or developed by a legitimate standards body or government agency from an economy or nation with comparable economic and regulatory processes to Australia?</w:t>
      </w:r>
    </w:p>
    <w:p w:rsidR="00D1446E" w:rsidRPr="000A639D" w:rsidRDefault="00D1446E" w:rsidP="00D1446E">
      <w:pPr>
        <w:pStyle w:val="Bulletpoint"/>
        <w:ind w:left="342"/>
      </w:pPr>
      <w:r w:rsidRPr="000A639D">
        <w:t>Applicability to the Australian context:</w:t>
      </w:r>
      <w:r w:rsidRPr="000A639D">
        <w:rPr>
          <w:bCs/>
        </w:rPr>
        <w:t xml:space="preserve"> </w:t>
      </w:r>
      <w:r w:rsidRPr="000A639D">
        <w:t>Is the international standard applicable and sufficient in the Australian context?</w:t>
      </w:r>
    </w:p>
    <w:p w:rsidR="00D1446E" w:rsidRPr="007F7328" w:rsidRDefault="00D1446E" w:rsidP="00D1446E">
      <w:pPr>
        <w:pStyle w:val="Heading3"/>
      </w:pPr>
      <w:r>
        <w:t>US regulations</w:t>
      </w:r>
    </w:p>
    <w:p w:rsidR="00D1446E" w:rsidRPr="00794E25" w:rsidRDefault="00D1446E" w:rsidP="00D1446E">
      <w:r w:rsidRPr="00822DCF">
        <w:t xml:space="preserve">ASTM International, formerly known as the American Society for Testing and Materials (ASTM), is a US organisation that produces international standards. The US Consumer </w:t>
      </w:r>
      <w:r w:rsidRPr="005A7811">
        <w:lastRenderedPageBreak/>
        <w:t xml:space="preserve">Product Safety Commission (CPSC) administers </w:t>
      </w:r>
      <w:r w:rsidR="00DB05F1" w:rsidRPr="005A7811">
        <w:t>ASTM D-4236</w:t>
      </w:r>
      <w:r w:rsidR="00DE435A" w:rsidRPr="005A7811">
        <w:t xml:space="preserve">, </w:t>
      </w:r>
      <w:r w:rsidRPr="005A7811">
        <w:t>ASTM F963</w:t>
      </w:r>
      <w:r w:rsidR="00AB3199" w:rsidRPr="005A7811">
        <w:t xml:space="preserve"> and </w:t>
      </w:r>
      <w:r w:rsidRPr="005A7811">
        <w:t xml:space="preserve">16 CFR § 1303. </w:t>
      </w:r>
      <w:r w:rsidR="00244A26" w:rsidRPr="005A7811">
        <w:t xml:space="preserve">The Labelling of Hazardous Art Materials Act </w:t>
      </w:r>
      <w:r w:rsidR="002A5988">
        <w:t>deems</w:t>
      </w:r>
      <w:r w:rsidR="00244A26" w:rsidRPr="005A7811">
        <w:t xml:space="preserve"> ASTM D-4236 </w:t>
      </w:r>
      <w:r w:rsidR="002A5988">
        <w:t>to be</w:t>
      </w:r>
      <w:r w:rsidR="00244A26" w:rsidRPr="005A7811">
        <w:t xml:space="preserve"> a federal regulation under section 3b of </w:t>
      </w:r>
      <w:r w:rsidR="00244A26" w:rsidRPr="005A7811">
        <w:rPr>
          <w:rFonts w:cs="Arial"/>
        </w:rPr>
        <w:t>the Federal Hazardous Substances Act.</w:t>
      </w:r>
      <w:r w:rsidR="00244A26" w:rsidRPr="005A7811">
        <w:rPr>
          <w:rStyle w:val="FootnoteReference"/>
          <w:rFonts w:cs="Arial"/>
        </w:rPr>
        <w:footnoteReference w:id="18"/>
      </w:r>
      <w:r w:rsidR="00244A26" w:rsidRPr="005A7811">
        <w:rPr>
          <w:rFonts w:cs="Arial"/>
        </w:rPr>
        <w:t xml:space="preserve"> </w:t>
      </w:r>
      <w:r w:rsidRPr="005A7811">
        <w:t>Historically</w:t>
      </w:r>
      <w:r w:rsidRPr="00822DCF">
        <w:t xml:space="preserve">, ASTM </w:t>
      </w:r>
      <w:r w:rsidR="00B76BA0" w:rsidRPr="00822DCF">
        <w:t>F963</w:t>
      </w:r>
      <w:r w:rsidR="00B76BA0">
        <w:t xml:space="preserve"> </w:t>
      </w:r>
      <w:r w:rsidRPr="00822DCF">
        <w:t xml:space="preserve">was a voluntary standard and in </w:t>
      </w:r>
      <w:r w:rsidR="0043785A" w:rsidRPr="00822DCF">
        <w:t>2008,</w:t>
      </w:r>
      <w:r w:rsidRPr="00822DCF">
        <w:t xml:space="preserve"> the Consumer Product Safety Improvement Act mandated it as a </w:t>
      </w:r>
      <w:r>
        <w:t xml:space="preserve">US </w:t>
      </w:r>
      <w:r w:rsidRPr="00822DCF">
        <w:t>national product safety rule.</w:t>
      </w:r>
      <w:r w:rsidRPr="00822DCF">
        <w:rPr>
          <w:rStyle w:val="FootnoteReference"/>
        </w:rPr>
        <w:footnoteReference w:id="19"/>
      </w:r>
      <w:r>
        <w:t xml:space="preserve"> </w:t>
      </w:r>
    </w:p>
    <w:p w:rsidR="00D1446E" w:rsidRDefault="00584E5B" w:rsidP="00D1446E">
      <w:r w:rsidRPr="00822DCF">
        <w:t>ASTM F963</w:t>
      </w:r>
      <w:r>
        <w:t xml:space="preserve"> </w:t>
      </w:r>
      <w:r w:rsidR="00D1446E" w:rsidRPr="00AA4460">
        <w:t xml:space="preserve">specifies a range of safety requirements and test methods for children’s toys, including projectile toys, magnets in toys, aquatic toys and heavy element content in toys. </w:t>
      </w:r>
      <w:r w:rsidR="00D16D25">
        <w:t>These requirements</w:t>
      </w:r>
      <w:r w:rsidR="00D1446E" w:rsidRPr="00AA4460">
        <w:t xml:space="preserve"> are broadly similar to those specified in the outdated and updated voluntary Australian standards.</w:t>
      </w:r>
      <w:r w:rsidR="00D1446E" w:rsidRPr="007B486D">
        <w:t xml:space="preserve"> </w:t>
      </w:r>
    </w:p>
    <w:p w:rsidR="00D1446E" w:rsidRPr="004475B7" w:rsidRDefault="00E331F5" w:rsidP="00D1446E">
      <w:r>
        <w:t>T</w:t>
      </w:r>
      <w:r w:rsidR="002F569C">
        <w:t>h</w:t>
      </w:r>
      <w:r w:rsidR="00EE4103">
        <w:t>e</w:t>
      </w:r>
      <w:r w:rsidR="002F569C">
        <w:t xml:space="preserve"> latest </w:t>
      </w:r>
      <w:r w:rsidR="00EE4103">
        <w:t xml:space="preserve">version, </w:t>
      </w:r>
      <w:r>
        <w:t xml:space="preserve">ASTM F963-16, </w:t>
      </w:r>
      <w:r w:rsidR="002F569C">
        <w:t xml:space="preserve">published </w:t>
      </w:r>
      <w:r>
        <w:t>in</w:t>
      </w:r>
      <w:r w:rsidRPr="0079724E">
        <w:t xml:space="preserve"> late October </w:t>
      </w:r>
      <w:r>
        <w:t>2016,</w:t>
      </w:r>
      <w:r w:rsidR="002F569C">
        <w:t xml:space="preserve"> </w:t>
      </w:r>
      <w:r w:rsidR="00D1446E" w:rsidRPr="0079724E">
        <w:t>aligns</w:t>
      </w:r>
      <w:r w:rsidR="00D1446E">
        <w:t xml:space="preserve"> more closely</w:t>
      </w:r>
      <w:r w:rsidR="00D1446E" w:rsidRPr="0079724E">
        <w:t xml:space="preserve"> with the ISO and European standards, particularly for toys containing magnets and </w:t>
      </w:r>
      <w:r w:rsidR="00D1446E">
        <w:t xml:space="preserve">performance requirements for </w:t>
      </w:r>
      <w:r w:rsidR="00D1446E" w:rsidRPr="0079724E">
        <w:t xml:space="preserve">projectile toys. It also adds new requirements for labelling of toys that contain certain coin-sized </w:t>
      </w:r>
      <w:r w:rsidR="00D1446E" w:rsidRPr="0079724E">
        <w:rPr>
          <w:rFonts w:cs="Arial"/>
        </w:rPr>
        <w:t>button batteries and improved method</w:t>
      </w:r>
      <w:r w:rsidR="00D1446E">
        <w:rPr>
          <w:rFonts w:cs="Arial"/>
        </w:rPr>
        <w:t>s</w:t>
      </w:r>
      <w:r w:rsidR="00D1446E" w:rsidRPr="0079724E">
        <w:rPr>
          <w:rFonts w:cs="Arial"/>
        </w:rPr>
        <w:t xml:space="preserve"> for measuring heavy metal content in toys.</w:t>
      </w:r>
    </w:p>
    <w:p w:rsidR="00D1446E" w:rsidRPr="006A5DC3" w:rsidRDefault="00D1446E" w:rsidP="00D1446E">
      <w:pPr>
        <w:rPr>
          <w:rFonts w:eastAsiaTheme="majorEastAsia" w:cstheme="majorBidi"/>
          <w:bCs/>
          <w:color w:val="000000" w:themeColor="text1" w:themeShade="BF"/>
          <w:u w:val="single"/>
        </w:rPr>
      </w:pPr>
      <w:r w:rsidRPr="006A5DC3">
        <w:rPr>
          <w:rFonts w:eastAsiaTheme="majorEastAsia" w:cstheme="majorBidi"/>
          <w:bCs/>
          <w:color w:val="000000" w:themeColor="text1" w:themeShade="BF"/>
          <w:u w:val="single"/>
        </w:rPr>
        <w:t>Finger paints</w:t>
      </w:r>
    </w:p>
    <w:p w:rsidR="00D1446E" w:rsidRPr="00BA2232" w:rsidRDefault="00D1446E" w:rsidP="00D1446E">
      <w:r w:rsidRPr="007B486D">
        <w:t xml:space="preserve">ASTM </w:t>
      </w:r>
      <w:r w:rsidR="00113E02">
        <w:t>F</w:t>
      </w:r>
      <w:r w:rsidR="00885118">
        <w:t>463-16</w:t>
      </w:r>
      <w:r w:rsidRPr="007B486D">
        <w:t xml:space="preserve"> does not specify maximum heavy element migration limits for finger paints. </w:t>
      </w:r>
      <w:r w:rsidRPr="00C84C65">
        <w:rPr>
          <w:rFonts w:asciiTheme="minorHAnsi" w:hAnsiTheme="minorHAnsi" w:cstheme="minorHAnsi"/>
        </w:rPr>
        <w:t xml:space="preserve">However, </w:t>
      </w:r>
      <w:r>
        <w:t>t</w:t>
      </w:r>
      <w:r w:rsidRPr="007B486D">
        <w:t>he US regulation</w:t>
      </w:r>
      <w:r>
        <w:t>s</w:t>
      </w:r>
      <w:r w:rsidRPr="007B486D">
        <w:t xml:space="preserve"> (16 CFR § 1303) ban toys and other articles </w:t>
      </w:r>
      <w:r w:rsidRPr="007B486D">
        <w:rPr>
          <w:rFonts w:ascii="TimesNewRoman" w:hAnsi="TimesNewRoman" w:cs="TimesNewRoman"/>
        </w:rPr>
        <w:t>intended for use by children up to 12 years of age such as art materials (including finger paints) containing lead above 0.009 per cent.</w:t>
      </w:r>
      <w:r w:rsidRPr="007B486D">
        <w:rPr>
          <w:rStyle w:val="FootnoteReference"/>
          <w:rFonts w:ascii="TimesNewRoman" w:hAnsi="TimesNewRoman" w:cs="TimesNewRoman"/>
        </w:rPr>
        <w:footnoteReference w:id="20"/>
      </w:r>
      <w:r>
        <w:rPr>
          <w:rFonts w:asciiTheme="minorHAnsi" w:hAnsiTheme="minorHAnsi" w:cstheme="minorHAnsi"/>
        </w:rPr>
        <w:t xml:space="preserve"> </w:t>
      </w:r>
      <w:r w:rsidRPr="00C84C65">
        <w:rPr>
          <w:rFonts w:asciiTheme="minorHAnsi" w:hAnsiTheme="minorHAnsi" w:cstheme="minorHAnsi"/>
          <w:lang w:val="en-US"/>
        </w:rPr>
        <w:t xml:space="preserve">If the finger paint is included in a toy and is intended to be applied to create </w:t>
      </w:r>
      <w:r w:rsidRPr="003443A4">
        <w:rPr>
          <w:rFonts w:asciiTheme="minorHAnsi" w:hAnsiTheme="minorHAnsi" w:cstheme="minorHAnsi"/>
          <w:lang w:val="en-US"/>
        </w:rPr>
        <w:t xml:space="preserve">a finished product that is primarily for play rather than simply being aesthetic in nature, the paint would also have to comply with the </w:t>
      </w:r>
      <w:r w:rsidRPr="003443A4">
        <w:rPr>
          <w:rFonts w:asciiTheme="minorHAnsi" w:hAnsiTheme="minorHAnsi" w:cstheme="minorHAnsi"/>
        </w:rPr>
        <w:t xml:space="preserve">maximum heavy element migration limits </w:t>
      </w:r>
      <w:r w:rsidRPr="003443A4">
        <w:rPr>
          <w:rFonts w:asciiTheme="minorHAnsi" w:hAnsiTheme="minorHAnsi" w:cstheme="minorHAnsi"/>
          <w:lang w:val="en-US"/>
        </w:rPr>
        <w:t xml:space="preserve">specified in </w:t>
      </w:r>
      <w:r w:rsidR="000C5FEB" w:rsidRPr="007B486D">
        <w:t xml:space="preserve">ASTM </w:t>
      </w:r>
      <w:r w:rsidR="000C5FEB">
        <w:t>F463-16</w:t>
      </w:r>
      <w:r w:rsidRPr="003443A4">
        <w:rPr>
          <w:rFonts w:asciiTheme="minorHAnsi" w:hAnsiTheme="minorHAnsi" w:cstheme="minorHAnsi"/>
          <w:lang w:val="en-US"/>
        </w:rPr>
        <w:t>.</w:t>
      </w:r>
      <w:r w:rsidR="00B06271" w:rsidRPr="00B06271">
        <w:t xml:space="preserve"> </w:t>
      </w:r>
      <w:r w:rsidR="000C5FEB">
        <w:t xml:space="preserve">ASTM D-4236 </w:t>
      </w:r>
      <w:r w:rsidR="00B06271">
        <w:t xml:space="preserve">outlines requirements for precautionary labelling of hazardous art materials </w:t>
      </w:r>
      <w:r w:rsidR="00ED3A6D">
        <w:t xml:space="preserve">(including finger paints) </w:t>
      </w:r>
      <w:r w:rsidR="00B06271">
        <w:t xml:space="preserve">and considers </w:t>
      </w:r>
      <w:r w:rsidR="00B06271" w:rsidRPr="00BA2232">
        <w:t>reasonable foreseeable use or misuse</w:t>
      </w:r>
      <w:r w:rsidR="00B06271">
        <w:t>.</w:t>
      </w:r>
    </w:p>
    <w:p w:rsidR="00D1446E" w:rsidRPr="006A5DC3" w:rsidRDefault="00D1446E" w:rsidP="00D1446E">
      <w:pPr>
        <w:rPr>
          <w:rFonts w:eastAsiaTheme="majorEastAsia" w:cstheme="majorBidi"/>
          <w:bCs/>
          <w:color w:val="000000" w:themeColor="text1" w:themeShade="BF"/>
          <w:u w:val="single"/>
        </w:rPr>
      </w:pPr>
      <w:r w:rsidRPr="006A5DC3">
        <w:rPr>
          <w:rFonts w:eastAsiaTheme="majorEastAsia" w:cstheme="majorBidi"/>
          <w:bCs/>
          <w:color w:val="000000" w:themeColor="text1" w:themeShade="BF"/>
          <w:u w:val="single"/>
        </w:rPr>
        <w:t>Projectile toys</w:t>
      </w:r>
    </w:p>
    <w:p w:rsidR="00D1446E" w:rsidRDefault="00D1446E" w:rsidP="00D1446E">
      <w:r>
        <w:t xml:space="preserve">ASTM </w:t>
      </w:r>
      <w:r w:rsidR="00113E02">
        <w:t>F</w:t>
      </w:r>
      <w:r w:rsidR="00885118">
        <w:t>963-16</w:t>
      </w:r>
      <w:r w:rsidR="00113E02">
        <w:t xml:space="preserve"> </w:t>
      </w:r>
      <w:r w:rsidRPr="001B6242">
        <w:rPr>
          <w:lang w:val="en-US"/>
        </w:rPr>
        <w:t>mandate</w:t>
      </w:r>
      <w:r>
        <w:rPr>
          <w:lang w:val="en-US"/>
        </w:rPr>
        <w:t>s</w:t>
      </w:r>
      <w:r w:rsidRPr="001B6242">
        <w:rPr>
          <w:lang w:val="en-US"/>
        </w:rPr>
        <w:t xml:space="preserve"> performance requirements to </w:t>
      </w:r>
      <w:r>
        <w:rPr>
          <w:lang w:val="en-US"/>
        </w:rPr>
        <w:t>prevent injuries but</w:t>
      </w:r>
      <w:r w:rsidRPr="001B6242">
        <w:t xml:space="preserve"> does not require projectile toys without stored energy to bear a warning </w:t>
      </w:r>
      <w:r>
        <w:t>against</w:t>
      </w:r>
      <w:r w:rsidRPr="001B6242">
        <w:t xml:space="preserve"> aiming at the eyes or face</w:t>
      </w:r>
      <w:r>
        <w:t xml:space="preserve">. This is because of concern that children may be encouraged to act out the behaviour warned against </w:t>
      </w:r>
      <w:r>
        <w:rPr>
          <w:lang w:val="en-US"/>
        </w:rPr>
        <w:t xml:space="preserve">on </w:t>
      </w:r>
      <w:r w:rsidRPr="004F0662">
        <w:rPr>
          <w:lang w:val="en-US"/>
        </w:rPr>
        <w:t>t</w:t>
      </w:r>
      <w:r>
        <w:rPr>
          <w:lang w:val="en-US"/>
        </w:rPr>
        <w:t xml:space="preserve">he label. </w:t>
      </w:r>
      <w:r>
        <w:t>T</w:t>
      </w:r>
      <w:r w:rsidRPr="001B6242">
        <w:t xml:space="preserve">he voluntary Australian standard, the </w:t>
      </w:r>
      <w:r>
        <w:t>European</w:t>
      </w:r>
      <w:r w:rsidRPr="001B6242">
        <w:t xml:space="preserve"> standard and the ISO standard</w:t>
      </w:r>
      <w:r>
        <w:t xml:space="preserve"> all require projectile toys to bear a warning label.</w:t>
      </w:r>
    </w:p>
    <w:p w:rsidR="00D1446E" w:rsidRDefault="00D1446E" w:rsidP="00D1446E">
      <w:pPr>
        <w:rPr>
          <w:lang w:val="en-US"/>
        </w:rPr>
      </w:pPr>
      <w:r>
        <w:t xml:space="preserve">We </w:t>
      </w:r>
      <w:r w:rsidRPr="0066471B">
        <w:t xml:space="preserve">invite </w:t>
      </w:r>
      <w:r>
        <w:t>stakeholder views about</w:t>
      </w:r>
      <w:r w:rsidRPr="001837EA">
        <w:t xml:space="preserve"> </w:t>
      </w:r>
      <w:r>
        <w:t>whether</w:t>
      </w:r>
      <w:r w:rsidRPr="00270CB2">
        <w:t xml:space="preserve"> </w:t>
      </w:r>
      <w:r>
        <w:t xml:space="preserve">we should continue to mandate the warning on projectile toys </w:t>
      </w:r>
      <w:r w:rsidRPr="001B6242">
        <w:t>that draws attention to the hazards of aiming at the eyes or face</w:t>
      </w:r>
      <w:r>
        <w:t>.</w:t>
      </w:r>
    </w:p>
    <w:p w:rsidR="00D1446E" w:rsidRPr="006A5DC3" w:rsidRDefault="00D1446E" w:rsidP="00D1446E">
      <w:pPr>
        <w:rPr>
          <w:rFonts w:eastAsiaTheme="majorEastAsia" w:cstheme="majorBidi"/>
          <w:bCs/>
          <w:color w:val="000000" w:themeColor="text1" w:themeShade="BF"/>
          <w:u w:val="single"/>
        </w:rPr>
      </w:pPr>
      <w:r w:rsidRPr="006A5DC3">
        <w:rPr>
          <w:rFonts w:eastAsiaTheme="majorEastAsia" w:cstheme="majorBidi"/>
          <w:bCs/>
          <w:color w:val="000000" w:themeColor="text1" w:themeShade="BF"/>
          <w:u w:val="single"/>
        </w:rPr>
        <w:t>Flotation and aquatic toys</w:t>
      </w:r>
    </w:p>
    <w:p w:rsidR="00D1446E" w:rsidRDefault="00D1446E" w:rsidP="00D1446E">
      <w:r>
        <w:t xml:space="preserve">The US requirements for aquatic toys are similar to those in the voluntary Australian standard. However, the ASTM </w:t>
      </w:r>
      <w:r w:rsidR="00885118">
        <w:t xml:space="preserve">F963-16 </w:t>
      </w:r>
      <w:r>
        <w:t xml:space="preserve">has less prescriptive labelling requirements, as it does not specify the warning statement to be in block capitals, of a certain height or in a colour contrasting the background. However, the hazard and the action for a parent or carer to prevent the hazard are clear. </w:t>
      </w:r>
      <w:r w:rsidDel="0063573B">
        <w:t xml:space="preserve">It also specifies that no advertising </w:t>
      </w:r>
      <w:r w:rsidRPr="008C02C2" w:rsidDel="0063573B">
        <w:t xml:space="preserve">copy or graphics </w:t>
      </w:r>
      <w:r w:rsidDel="0063573B">
        <w:t>with</w:t>
      </w:r>
      <w:r w:rsidRPr="008C02C2" w:rsidDel="0063573B">
        <w:t xml:space="preserve"> the toy </w:t>
      </w:r>
      <w:r w:rsidDel="0063573B">
        <w:t>can state or</w:t>
      </w:r>
      <w:r w:rsidRPr="008C02C2" w:rsidDel="0063573B">
        <w:t xml:space="preserve"> imply that the child will be safe if unsupervised.</w:t>
      </w:r>
      <w:r w:rsidDel="0063573B">
        <w:t xml:space="preserve">       </w:t>
      </w:r>
    </w:p>
    <w:p w:rsidR="00BA2232" w:rsidRDefault="00BA2232" w:rsidP="00D1446E">
      <w:pPr>
        <w:rPr>
          <w:rFonts w:eastAsiaTheme="majorEastAsia" w:cstheme="majorBidi"/>
          <w:bCs/>
          <w:color w:val="000000" w:themeColor="text1" w:themeShade="BF"/>
          <w:u w:val="single"/>
        </w:rPr>
      </w:pPr>
    </w:p>
    <w:p w:rsidR="00D1446E" w:rsidRPr="006A5DC3" w:rsidRDefault="00D1446E" w:rsidP="00D1446E">
      <w:pPr>
        <w:rPr>
          <w:rFonts w:eastAsiaTheme="majorEastAsia" w:cstheme="majorBidi"/>
          <w:bCs/>
          <w:color w:val="000000" w:themeColor="text1" w:themeShade="BF"/>
          <w:u w:val="single"/>
        </w:rPr>
      </w:pPr>
      <w:r>
        <w:rPr>
          <w:rFonts w:eastAsiaTheme="majorEastAsia" w:cstheme="majorBidi"/>
          <w:bCs/>
          <w:color w:val="000000" w:themeColor="text1" w:themeShade="BF"/>
          <w:u w:val="single"/>
        </w:rPr>
        <w:lastRenderedPageBreak/>
        <w:t>Conclusion</w:t>
      </w:r>
    </w:p>
    <w:p w:rsidR="00D1446E" w:rsidRDefault="00D1446E" w:rsidP="00D1446E">
      <w:pPr>
        <w:rPr>
          <w:lang w:val="en"/>
        </w:rPr>
      </w:pPr>
      <w:r w:rsidRPr="001114F0">
        <w:t xml:space="preserve">The US regulations </w:t>
      </w:r>
      <w:r w:rsidR="00113E02">
        <w:t xml:space="preserve">(including the ASTM </w:t>
      </w:r>
      <w:r>
        <w:t>standard</w:t>
      </w:r>
      <w:r w:rsidR="00DB05F1">
        <w:t>s</w:t>
      </w:r>
      <w:r>
        <w:t xml:space="preserve">) </w:t>
      </w:r>
      <w:r w:rsidRPr="001114F0">
        <w:t>provide an acceptable level of consumer safety</w:t>
      </w:r>
      <w:r w:rsidRPr="001114F0">
        <w:rPr>
          <w:lang w:val="en"/>
        </w:rPr>
        <w:t xml:space="preserve"> and are appropriate to be included in a policy option allowing compliance with trusted international standards (Table 4).</w:t>
      </w:r>
      <w:r w:rsidRPr="00C83171">
        <w:t xml:space="preserve"> </w:t>
      </w:r>
    </w:p>
    <w:p w:rsidR="00D1446E" w:rsidRDefault="00D1446E" w:rsidP="00D1446E">
      <w:pPr>
        <w:pStyle w:val="Heading3"/>
      </w:pPr>
      <w:r w:rsidRPr="00A27B13">
        <w:t xml:space="preserve">European standards </w:t>
      </w:r>
    </w:p>
    <w:p w:rsidR="00D1446E" w:rsidRDefault="00D1446E" w:rsidP="00D1446E">
      <w:r w:rsidRPr="00DB6C88">
        <w:t>The European Committee for Standardization (CEN)</w:t>
      </w:r>
      <w:r>
        <w:t xml:space="preserve"> </w:t>
      </w:r>
      <w:r w:rsidRPr="00DB6C88">
        <w:t>developed the European standard</w:t>
      </w:r>
      <w:r>
        <w:t>s for toy safety</w:t>
      </w:r>
      <w:r w:rsidRPr="00DB6C88">
        <w:t>.</w:t>
      </w:r>
      <w:r>
        <w:t xml:space="preserve"> </w:t>
      </w:r>
      <w:r w:rsidRPr="00DB6C88">
        <w:t>CEN is a not</w:t>
      </w:r>
      <w:r>
        <w:t>-</w:t>
      </w:r>
      <w:r w:rsidRPr="00DB6C88">
        <w:t>for</w:t>
      </w:r>
      <w:r>
        <w:t>-</w:t>
      </w:r>
      <w:r w:rsidRPr="00DB6C88">
        <w:t xml:space="preserve">profit standards organisation </w:t>
      </w:r>
      <w:r>
        <w:t>that</w:t>
      </w:r>
      <w:r w:rsidRPr="00DB6C88">
        <w:t xml:space="preserve"> develops standards for use in Europe. </w:t>
      </w:r>
      <w:r>
        <w:t>In addition, the European standards for toy safety are harmonised with the Toy Safety Directive 2009/48/EC. The Directive specifies safety requirements that toys must meet and the European standards prescribe the corresponding technical requirements.</w:t>
      </w:r>
      <w:r>
        <w:rPr>
          <w:rStyle w:val="FootnoteReference"/>
        </w:rPr>
        <w:footnoteReference w:id="21"/>
      </w:r>
    </w:p>
    <w:p w:rsidR="00D1446E" w:rsidRPr="006A5DC3" w:rsidRDefault="00D1446E" w:rsidP="00D1446E">
      <w:pPr>
        <w:rPr>
          <w:u w:val="single"/>
        </w:rPr>
      </w:pPr>
      <w:r w:rsidRPr="006A5DC3">
        <w:rPr>
          <w:u w:val="single"/>
        </w:rPr>
        <w:t>EN 71-1</w:t>
      </w:r>
    </w:p>
    <w:p w:rsidR="00D1446E" w:rsidRDefault="00D1446E" w:rsidP="00D1446E">
      <w:r w:rsidRPr="005A4797">
        <w:t>The European standard (EN 71-1:2014) specifies safety requirements and test methods for mechanical and physical properties of children’s toys. This includes projectile toys</w:t>
      </w:r>
      <w:r>
        <w:t>,</w:t>
      </w:r>
      <w:r w:rsidRPr="005A4797">
        <w:t xml:space="preserve"> toys containing magnets</w:t>
      </w:r>
      <w:r>
        <w:t xml:space="preserve"> and aquatic toys. </w:t>
      </w:r>
    </w:p>
    <w:p w:rsidR="00D1446E" w:rsidRDefault="00D1446E" w:rsidP="00D1446E">
      <w:r>
        <w:t xml:space="preserve">The </w:t>
      </w:r>
      <w:r>
        <w:rPr>
          <w:rFonts w:cs="Arial"/>
        </w:rPr>
        <w:t xml:space="preserve">updated voluntary Australian standard </w:t>
      </w:r>
      <w:r>
        <w:t>(</w:t>
      </w:r>
      <w:r>
        <w:rPr>
          <w:rFonts w:cs="Arial"/>
        </w:rPr>
        <w:t>AS/NZS ISO 8124.</w:t>
      </w:r>
      <w:r w:rsidRPr="00886018">
        <w:rPr>
          <w:rFonts w:cs="Arial"/>
        </w:rPr>
        <w:t>1:2016</w:t>
      </w:r>
      <w:r>
        <w:rPr>
          <w:rFonts w:cs="Arial"/>
        </w:rPr>
        <w:t xml:space="preserve">) is based on the current ISO standard </w:t>
      </w:r>
      <w:r>
        <w:rPr>
          <w:lang w:val="en"/>
        </w:rPr>
        <w:t>(ISO 8124.1:2014) with some variation, and the current ISO standard is largely based on the European standard. While there are some differences in the test methods specified by the European standard to assess hazards for toys for children less than 36 months, it achieves the same intended effect as the voluntary Australian and ISO standards.</w:t>
      </w:r>
      <w:r>
        <w:t>The requirements in the European standard for projectile toys and toys containing magnets are comparable to those in the voluntary Australian standard.</w:t>
      </w:r>
    </w:p>
    <w:p w:rsidR="00D1446E" w:rsidRPr="00B27341" w:rsidRDefault="00D1446E" w:rsidP="00D1446E">
      <w:r>
        <w:t xml:space="preserve">For aquatic toys, the requirements in the European standard are similar to those specified in the voluntary Australian standard. The main differences are that the warning statement is required on both the toy and its packaging and, like the ASTM standard, no advertising </w:t>
      </w:r>
      <w:r w:rsidRPr="008C02C2">
        <w:t xml:space="preserve">copy or graphics accompanying the toy </w:t>
      </w:r>
      <w:r>
        <w:t>can state or</w:t>
      </w:r>
      <w:r w:rsidRPr="008C02C2">
        <w:t xml:space="preserve"> imply that the child will be safe if unsupervised.</w:t>
      </w:r>
      <w:r>
        <w:t xml:space="preserve">       </w:t>
      </w:r>
    </w:p>
    <w:p w:rsidR="00D1446E" w:rsidRPr="007670B1" w:rsidRDefault="00D1446E" w:rsidP="00D1446E">
      <w:pPr>
        <w:rPr>
          <w:lang w:val="en"/>
        </w:rPr>
      </w:pPr>
      <w:r w:rsidRPr="00CF42BF">
        <w:rPr>
          <w:lang w:val="en"/>
        </w:rPr>
        <w:t xml:space="preserve">The </w:t>
      </w:r>
      <w:r>
        <w:t>European standard (EN 71-1:2014) provides an acceptable level of consumer safety.</w:t>
      </w:r>
    </w:p>
    <w:p w:rsidR="00D1446E" w:rsidRPr="006A5DC3" w:rsidRDefault="00D1446E" w:rsidP="00D1446E">
      <w:pPr>
        <w:rPr>
          <w:u w:val="single"/>
        </w:rPr>
      </w:pPr>
      <w:r>
        <w:rPr>
          <w:u w:val="single"/>
        </w:rPr>
        <w:t>Lead and certain elements</w:t>
      </w:r>
    </w:p>
    <w:p w:rsidR="00D1446E" w:rsidRDefault="00D1446E" w:rsidP="00D1446E">
      <w:r>
        <w:rPr>
          <w:lang w:val="en"/>
        </w:rPr>
        <w:t>The European standard (</w:t>
      </w:r>
      <w:r w:rsidRPr="00DC5B71">
        <w:t>EN</w:t>
      </w:r>
      <w:r>
        <w:t xml:space="preserve"> </w:t>
      </w:r>
      <w:r w:rsidRPr="00DC5B71">
        <w:t>71-3:2013+A1:2014</w:t>
      </w:r>
      <w:r>
        <w:t xml:space="preserve">) for migration of certain elements covers three categories of toy materials: (I) dry, brittle, powder like or pliable; (II) liquid or sticky; and (III) scraped off; and specifies maximum migration limits for 19 elements. </w:t>
      </w:r>
      <w:r w:rsidRPr="00F5248A">
        <w:t>The European standard for finger paints (EN</w:t>
      </w:r>
      <w:r>
        <w:t xml:space="preserve"> </w:t>
      </w:r>
      <w:r w:rsidRPr="00F5248A">
        <w:t xml:space="preserve">71-7:2014) references </w:t>
      </w:r>
      <w:r>
        <w:rPr>
          <w:lang w:val="en"/>
        </w:rPr>
        <w:t xml:space="preserve">EN 71-3 </w:t>
      </w:r>
      <w:r w:rsidRPr="00F5248A">
        <w:t>test method</w:t>
      </w:r>
      <w:r>
        <w:t>s</w:t>
      </w:r>
      <w:r w:rsidRPr="00F5248A">
        <w:t xml:space="preserve"> and limits. </w:t>
      </w:r>
    </w:p>
    <w:p w:rsidR="00D1446E" w:rsidRPr="00594B35" w:rsidRDefault="00D1446E" w:rsidP="00D1446E">
      <w:r>
        <w:t>T</w:t>
      </w:r>
      <w:r w:rsidRPr="006B652B">
        <w:t xml:space="preserve">he </w:t>
      </w:r>
      <w:r>
        <w:rPr>
          <w:rFonts w:cs="Arial"/>
        </w:rPr>
        <w:t>updated</w:t>
      </w:r>
      <w:r w:rsidRPr="006B652B">
        <w:rPr>
          <w:rFonts w:cs="Arial"/>
        </w:rPr>
        <w:t xml:space="preserve"> voluntary Australian standard </w:t>
      </w:r>
      <w:r w:rsidRPr="006B652B">
        <w:t>(AS/NZS ISO 8124.3:2012/Amdt1:2016</w:t>
      </w:r>
      <w:r w:rsidRPr="006B652B">
        <w:rPr>
          <w:rFonts w:cs="Arial"/>
        </w:rPr>
        <w:t xml:space="preserve">) for migration of certain elements </w:t>
      </w:r>
      <w:r>
        <w:rPr>
          <w:rFonts w:cs="Arial"/>
        </w:rPr>
        <w:t xml:space="preserve">is different to the European standard and </w:t>
      </w:r>
      <w:r w:rsidRPr="006B652B">
        <w:rPr>
          <w:rFonts w:cs="Arial"/>
        </w:rPr>
        <w:t>covers two categories</w:t>
      </w:r>
      <w:r>
        <w:rPr>
          <w:rFonts w:cs="Arial"/>
        </w:rPr>
        <w:t>:</w:t>
      </w:r>
      <w:r w:rsidRPr="006B652B">
        <w:rPr>
          <w:rFonts w:cs="Arial"/>
        </w:rPr>
        <w:t xml:space="preserve"> </w:t>
      </w:r>
      <w:r w:rsidRPr="006B652B">
        <w:t>any toy (except clay/finger paints)</w:t>
      </w:r>
      <w:r>
        <w:t>;</w:t>
      </w:r>
      <w:r w:rsidRPr="006B652B">
        <w:t xml:space="preserve"> and finger paints</w:t>
      </w:r>
      <w:r>
        <w:t>;</w:t>
      </w:r>
      <w:r w:rsidRPr="006B652B">
        <w:t xml:space="preserve"> and specifies maximum migration limits for eight elements.</w:t>
      </w:r>
      <w:r>
        <w:t xml:space="preserve"> The migration limits in the voluntary Australian standard are also substantially different to those in the European standard, with a different approach to sample categorisation</w:t>
      </w:r>
      <w:r w:rsidRPr="00594B35">
        <w:t xml:space="preserve"> and test methods.</w:t>
      </w:r>
    </w:p>
    <w:p w:rsidR="00D1446E" w:rsidRPr="00101C9C" w:rsidRDefault="00D1446E" w:rsidP="00D1446E">
      <w:r w:rsidRPr="00101C9C">
        <w:t xml:space="preserve">The </w:t>
      </w:r>
      <w:r w:rsidRPr="00101C9C">
        <w:rPr>
          <w:lang w:val="en"/>
        </w:rPr>
        <w:t>European standard (</w:t>
      </w:r>
      <w:r w:rsidRPr="00101C9C">
        <w:t>EN</w:t>
      </w:r>
      <w:r>
        <w:t xml:space="preserve"> </w:t>
      </w:r>
      <w:r w:rsidRPr="00101C9C">
        <w:t xml:space="preserve">71-3:2013+A1:2014) </w:t>
      </w:r>
      <w:r>
        <w:t>is</w:t>
      </w:r>
      <w:r w:rsidRPr="00101C9C">
        <w:t xml:space="preserve"> more rigorous in its requirements </w:t>
      </w:r>
      <w:r>
        <w:t>than</w:t>
      </w:r>
      <w:r w:rsidRPr="00101C9C">
        <w:t xml:space="preserve"> the </w:t>
      </w:r>
      <w:r>
        <w:rPr>
          <w:rFonts w:cs="Arial"/>
        </w:rPr>
        <w:t>updated</w:t>
      </w:r>
      <w:r w:rsidRPr="00101C9C">
        <w:rPr>
          <w:rFonts w:cs="Arial"/>
        </w:rPr>
        <w:t xml:space="preserve"> voluntary Australian standards for migration of certain elements and finger paints, and it provides </w:t>
      </w:r>
      <w:r w:rsidRPr="00101C9C">
        <w:t>an acceptable level of consumer safety.</w:t>
      </w:r>
    </w:p>
    <w:p w:rsidR="00D1446E" w:rsidRPr="006A5DC3" w:rsidRDefault="00D1446E" w:rsidP="00D1446E">
      <w:pPr>
        <w:rPr>
          <w:rFonts w:eastAsiaTheme="majorEastAsia" w:cstheme="majorBidi"/>
          <w:bCs/>
          <w:color w:val="000000" w:themeColor="text1" w:themeShade="BF"/>
          <w:u w:val="single"/>
        </w:rPr>
      </w:pPr>
      <w:r>
        <w:rPr>
          <w:rFonts w:eastAsiaTheme="majorEastAsia" w:cstheme="majorBidi"/>
          <w:bCs/>
          <w:color w:val="000000" w:themeColor="text1" w:themeShade="BF"/>
          <w:u w:val="single"/>
        </w:rPr>
        <w:lastRenderedPageBreak/>
        <w:t>Conclusion</w:t>
      </w:r>
    </w:p>
    <w:p w:rsidR="00D1446E" w:rsidRDefault="00D1446E" w:rsidP="00D1446E">
      <w:r>
        <w:rPr>
          <w:lang w:val="en"/>
        </w:rPr>
        <w:t xml:space="preserve">The </w:t>
      </w:r>
      <w:r w:rsidRPr="00101C9C">
        <w:rPr>
          <w:lang w:val="en"/>
        </w:rPr>
        <w:t xml:space="preserve">European standards are </w:t>
      </w:r>
      <w:r>
        <w:rPr>
          <w:lang w:val="en"/>
        </w:rPr>
        <w:t>appropriate</w:t>
      </w:r>
      <w:r w:rsidRPr="00101C9C">
        <w:rPr>
          <w:lang w:val="en"/>
        </w:rPr>
        <w:t xml:space="preserve"> to be included in a policy option allowing compliance with trusted international standards</w:t>
      </w:r>
      <w:r>
        <w:rPr>
          <w:lang w:val="en"/>
        </w:rPr>
        <w:t xml:space="preserve"> (Table 4</w:t>
      </w:r>
      <w:r w:rsidRPr="00101C9C">
        <w:rPr>
          <w:lang w:val="en"/>
        </w:rPr>
        <w:t>).</w:t>
      </w:r>
    </w:p>
    <w:p w:rsidR="00D1446E" w:rsidRDefault="00D1446E" w:rsidP="00D1446E">
      <w:pPr>
        <w:pStyle w:val="Heading3"/>
      </w:pPr>
      <w:r>
        <w:t>ISO standards</w:t>
      </w:r>
    </w:p>
    <w:p w:rsidR="00D1446E" w:rsidRPr="00F702D3" w:rsidRDefault="00D1446E" w:rsidP="00D1446E">
      <w:pPr>
        <w:rPr>
          <w:lang w:val="en"/>
        </w:rPr>
      </w:pPr>
      <w:r w:rsidRPr="00CB140D">
        <w:t>The International Organisation for Standardi</w:t>
      </w:r>
      <w:r>
        <w:t>z</w:t>
      </w:r>
      <w:r w:rsidRPr="00CB140D">
        <w:t>ation (ISO) is</w:t>
      </w:r>
      <w:r w:rsidRPr="00CB140D">
        <w:rPr>
          <w:lang w:val="en"/>
        </w:rPr>
        <w:t xml:space="preserve"> an independent, non-governmental membership</w:t>
      </w:r>
      <w:r w:rsidRPr="00CB140D">
        <w:rPr>
          <w:lang w:val="en-GB"/>
        </w:rPr>
        <w:t xml:space="preserve"> organisation</w:t>
      </w:r>
      <w:r w:rsidRPr="00CB140D">
        <w:rPr>
          <w:lang w:val="en"/>
        </w:rPr>
        <w:t xml:space="preserve"> and the world's largest developer of voluntary international standards. </w:t>
      </w:r>
    </w:p>
    <w:p w:rsidR="00D1446E" w:rsidRDefault="00D1446E" w:rsidP="00D1446E">
      <w:pPr>
        <w:rPr>
          <w:rFonts w:cs="Arial"/>
        </w:rPr>
      </w:pPr>
      <w:r>
        <w:rPr>
          <w:lang w:val="en"/>
        </w:rPr>
        <w:t xml:space="preserve">The current ISO standard (ISO 8124.1:2014) </w:t>
      </w:r>
      <w:r w:rsidRPr="0057756B">
        <w:rPr>
          <w:lang w:val="en"/>
        </w:rPr>
        <w:t>is essentially based on both the European standard (EN 71-1:2014) and the</w:t>
      </w:r>
      <w:r w:rsidRPr="0057756B">
        <w:t xml:space="preserve"> </w:t>
      </w:r>
      <w:r>
        <w:t>ASTM</w:t>
      </w:r>
      <w:r w:rsidRPr="0057756B">
        <w:t xml:space="preserve"> standard (ASTM F463-11).</w:t>
      </w:r>
      <w:r>
        <w:t xml:space="preserve"> The </w:t>
      </w:r>
      <w:r>
        <w:rPr>
          <w:rFonts w:cs="Arial"/>
        </w:rPr>
        <w:t xml:space="preserve">updated voluntary Australian standard </w:t>
      </w:r>
      <w:r>
        <w:t>(</w:t>
      </w:r>
      <w:r>
        <w:rPr>
          <w:rFonts w:cs="Arial"/>
        </w:rPr>
        <w:t>AS/NZS ISO 8124.</w:t>
      </w:r>
      <w:r w:rsidRPr="00886018">
        <w:rPr>
          <w:rFonts w:cs="Arial"/>
        </w:rPr>
        <w:t>1:2016</w:t>
      </w:r>
      <w:r>
        <w:rPr>
          <w:rFonts w:cs="Arial"/>
        </w:rPr>
        <w:t xml:space="preserve">) is based on the ISO standard with some variation. For this reason, the ISO and Australian requirements for </w:t>
      </w:r>
      <w:r w:rsidRPr="008F6112">
        <w:t>toys for children up to and including 36 months of age, projectile toys</w:t>
      </w:r>
      <w:r>
        <w:t xml:space="preserve"> and</w:t>
      </w:r>
      <w:r w:rsidRPr="008F6112">
        <w:t xml:space="preserve"> toys containing magnets</w:t>
      </w:r>
      <w:r>
        <w:t xml:space="preserve"> are similar.</w:t>
      </w:r>
    </w:p>
    <w:p w:rsidR="00D1446E" w:rsidRPr="00E36C9B" w:rsidRDefault="00D1446E" w:rsidP="00D1446E">
      <w:pPr>
        <w:rPr>
          <w:lang w:val="en"/>
        </w:rPr>
      </w:pPr>
      <w:r>
        <w:rPr>
          <w:lang w:val="en"/>
        </w:rPr>
        <w:t>T</w:t>
      </w:r>
      <w:r w:rsidRPr="00AC6F55">
        <w:rPr>
          <w:lang w:val="en"/>
        </w:rPr>
        <w:t xml:space="preserve">he </w:t>
      </w:r>
      <w:r>
        <w:rPr>
          <w:lang w:val="en"/>
        </w:rPr>
        <w:t>updated</w:t>
      </w:r>
      <w:r w:rsidRPr="00AC6F55">
        <w:rPr>
          <w:lang w:val="en"/>
        </w:rPr>
        <w:t xml:space="preserve"> voluntary Australian standard for migration of certain elements (AS/NZS ISO 8124.3:2012/Amdt1:2016) reproduce</w:t>
      </w:r>
      <w:r>
        <w:rPr>
          <w:lang w:val="en"/>
        </w:rPr>
        <w:t>s</w:t>
      </w:r>
      <w:r w:rsidRPr="00AC6F55">
        <w:rPr>
          <w:lang w:val="en"/>
        </w:rPr>
        <w:t xml:space="preserve"> the </w:t>
      </w:r>
      <w:r>
        <w:rPr>
          <w:lang w:val="en"/>
        </w:rPr>
        <w:t xml:space="preserve">equivalent </w:t>
      </w:r>
      <w:r w:rsidRPr="00AC6F55">
        <w:rPr>
          <w:lang w:val="en"/>
        </w:rPr>
        <w:t>ISO standard (ISO 8124.3:2010/ Amdt1:2014) with minor variation for Australian and New Zealand conditions.</w:t>
      </w:r>
    </w:p>
    <w:p w:rsidR="00D1446E" w:rsidRPr="006A5DC3" w:rsidRDefault="00D1446E" w:rsidP="00D1446E">
      <w:pPr>
        <w:rPr>
          <w:rFonts w:eastAsiaTheme="majorEastAsia" w:cstheme="majorBidi"/>
          <w:bCs/>
          <w:color w:val="000000" w:themeColor="text1" w:themeShade="BF"/>
          <w:u w:val="single"/>
        </w:rPr>
      </w:pPr>
      <w:r w:rsidRPr="006A5DC3">
        <w:rPr>
          <w:rFonts w:eastAsiaTheme="majorEastAsia" w:cstheme="majorBidi"/>
          <w:bCs/>
          <w:color w:val="000000" w:themeColor="text1" w:themeShade="BF"/>
          <w:u w:val="single"/>
        </w:rPr>
        <w:t>Finger paints</w:t>
      </w:r>
    </w:p>
    <w:p w:rsidR="00EF5D07" w:rsidRPr="00532B4E" w:rsidRDefault="00D1446E" w:rsidP="00D1446E">
      <w:r w:rsidRPr="00532B4E">
        <w:rPr>
          <w:lang w:val="en"/>
        </w:rPr>
        <w:t xml:space="preserve">The ISO standard for finger paints (ISO 8124.7:2015) references ISO 8124-3 for </w:t>
      </w:r>
      <w:r w:rsidRPr="00532B4E">
        <w:t>test methods and migration limits. However, these limits are</w:t>
      </w:r>
      <w:r w:rsidR="00EA40A2" w:rsidRPr="00532B4E">
        <w:t>,</w:t>
      </w:r>
      <w:r w:rsidRPr="00532B4E">
        <w:t xml:space="preserve"> </w:t>
      </w:r>
      <w:r w:rsidR="00EF5D07" w:rsidRPr="00532B4E">
        <w:t>in most cases</w:t>
      </w:r>
      <w:r w:rsidR="00EA40A2" w:rsidRPr="00532B4E">
        <w:t>,</w:t>
      </w:r>
      <w:r w:rsidR="00EF5D07" w:rsidRPr="00532B4E">
        <w:t xml:space="preserve"> significantly higher </w:t>
      </w:r>
      <w:r w:rsidR="00EA40A2" w:rsidRPr="00532B4E">
        <w:t xml:space="preserve">compared to </w:t>
      </w:r>
      <w:r w:rsidRPr="00532B4E">
        <w:t>those specified in the</w:t>
      </w:r>
      <w:r w:rsidRPr="00532B4E">
        <w:rPr>
          <w:lang w:val="en"/>
        </w:rPr>
        <w:t xml:space="preserve"> voluntary Australian standard </w:t>
      </w:r>
      <w:r w:rsidRPr="00532B4E">
        <w:t>for finger paints</w:t>
      </w:r>
      <w:r w:rsidRPr="00532B4E">
        <w:rPr>
          <w:lang w:val="en"/>
        </w:rPr>
        <w:t xml:space="preserve"> (</w:t>
      </w:r>
      <w:r w:rsidRPr="00532B4E">
        <w:t>AS 8124.7:2003 R2013</w:t>
      </w:r>
      <w:r w:rsidR="00EA40A2" w:rsidRPr="00532B4E">
        <w:t>),</w:t>
      </w:r>
      <w:r w:rsidR="00EF5D07" w:rsidRPr="00532B4E">
        <w:t xml:space="preserve"> thereby allowing a higher </w:t>
      </w:r>
      <w:r w:rsidR="00C27D7A" w:rsidRPr="00532B4E">
        <w:t>limit of element migration.</w:t>
      </w:r>
      <w:r w:rsidRPr="00532B4E">
        <w:t xml:space="preserve"> The ACCC is aware that Standards Australia is seeking public comment on updating the voluntary </w:t>
      </w:r>
      <w:r w:rsidRPr="00532B4E">
        <w:rPr>
          <w:lang w:val="en"/>
        </w:rPr>
        <w:t xml:space="preserve">Australian standard </w:t>
      </w:r>
      <w:r w:rsidRPr="00532B4E">
        <w:t>for finger paints to align with the ISO standard</w:t>
      </w:r>
      <w:r w:rsidR="00F72E6F" w:rsidRPr="00532B4E">
        <w:t xml:space="preserve">, </w:t>
      </w:r>
      <w:r w:rsidR="00EF5D07" w:rsidRPr="00532B4E">
        <w:t>except for the migration limits</w:t>
      </w:r>
      <w:r w:rsidR="003A1997" w:rsidRPr="00532B4E">
        <w:t>,</w:t>
      </w:r>
      <w:r w:rsidR="00EF5D07" w:rsidRPr="00532B4E">
        <w:t xml:space="preserve"> which are to remain unchanged</w:t>
      </w:r>
      <w:r w:rsidR="003A1997" w:rsidRPr="00532B4E">
        <w:t xml:space="preserve">. </w:t>
      </w:r>
      <w:r w:rsidR="00EF5D07" w:rsidRPr="00532B4E">
        <w:t xml:space="preserve">For these reasons, the </w:t>
      </w:r>
      <w:r w:rsidR="007C6B4F" w:rsidRPr="00532B4E">
        <w:t xml:space="preserve">migration limits for finger paints in the </w:t>
      </w:r>
      <w:r w:rsidR="00EA40A2" w:rsidRPr="00532B4E">
        <w:t>I</w:t>
      </w:r>
      <w:r w:rsidR="00EF5D07" w:rsidRPr="00532B4E">
        <w:t>SO standard are not acceptable for Australia</w:t>
      </w:r>
      <w:r w:rsidR="007C6B4F" w:rsidRPr="00532B4E">
        <w:t>.</w:t>
      </w:r>
    </w:p>
    <w:p w:rsidR="00D1446E" w:rsidRPr="00532B4E" w:rsidRDefault="00D1446E" w:rsidP="00D1446E">
      <w:pPr>
        <w:rPr>
          <w:rFonts w:eastAsiaTheme="majorEastAsia" w:cstheme="majorBidi"/>
          <w:bCs/>
          <w:color w:val="000000" w:themeColor="text1" w:themeShade="BF"/>
          <w:u w:val="single"/>
        </w:rPr>
      </w:pPr>
      <w:r w:rsidRPr="00532B4E">
        <w:rPr>
          <w:rFonts w:eastAsiaTheme="majorEastAsia" w:cstheme="majorBidi"/>
          <w:bCs/>
          <w:color w:val="000000" w:themeColor="text1" w:themeShade="BF"/>
          <w:u w:val="single"/>
        </w:rPr>
        <w:t>Flotation and aquatic toys</w:t>
      </w:r>
    </w:p>
    <w:p w:rsidR="00D1446E" w:rsidRPr="00532B4E" w:rsidRDefault="00D1446E" w:rsidP="00D1446E">
      <w:r w:rsidRPr="00532B4E">
        <w:t xml:space="preserve">The ISO requirements for aquatic toys are similar to those in the voluntary Australian standard. However, the ISO standard has less prescriptive labelling requirements, as it does not specify the warning statement to be in block capitals, of a certain height or in a colour contrasting the background. However, the hazard and the action for a parent or carer to prevent the hazard are clear. </w:t>
      </w:r>
    </w:p>
    <w:p w:rsidR="00D1446E" w:rsidRPr="00532B4E" w:rsidRDefault="00D1446E" w:rsidP="00D1446E">
      <w:pPr>
        <w:rPr>
          <w:rFonts w:eastAsiaTheme="majorEastAsia" w:cstheme="majorBidi"/>
          <w:bCs/>
          <w:color w:val="000000" w:themeColor="text1" w:themeShade="BF"/>
          <w:u w:val="single"/>
        </w:rPr>
      </w:pPr>
      <w:r w:rsidRPr="00532B4E">
        <w:rPr>
          <w:rFonts w:eastAsiaTheme="majorEastAsia" w:cstheme="majorBidi"/>
          <w:bCs/>
          <w:color w:val="000000" w:themeColor="text1" w:themeShade="BF"/>
          <w:u w:val="single"/>
        </w:rPr>
        <w:t>Conclusion</w:t>
      </w:r>
    </w:p>
    <w:p w:rsidR="00D1446E" w:rsidRDefault="00D1446E" w:rsidP="00D1446E">
      <w:pPr>
        <w:rPr>
          <w:lang w:val="en"/>
        </w:rPr>
      </w:pPr>
      <w:r w:rsidRPr="00532B4E">
        <w:t xml:space="preserve">The ACCC concludes that, except for </w:t>
      </w:r>
      <w:r w:rsidR="00D609BC" w:rsidRPr="00532B4E">
        <w:t xml:space="preserve">the element migration limits for </w:t>
      </w:r>
      <w:r w:rsidRPr="00532B4E">
        <w:t>finger paints, the ISO</w:t>
      </w:r>
      <w:r w:rsidRPr="00532B4E">
        <w:rPr>
          <w:lang w:val="en"/>
        </w:rPr>
        <w:t xml:space="preserve"> standards </w:t>
      </w:r>
      <w:r w:rsidRPr="00532B4E">
        <w:t xml:space="preserve">provide an acceptable level of consumer safety and are appropriate for inclusion in a policy option </w:t>
      </w:r>
      <w:r w:rsidRPr="00532B4E">
        <w:rPr>
          <w:lang w:val="en"/>
        </w:rPr>
        <w:t>allowing compliance with</w:t>
      </w:r>
      <w:r w:rsidRPr="001C6D76">
        <w:rPr>
          <w:lang w:val="en"/>
        </w:rPr>
        <w:t xml:space="preserve"> trusted international standards</w:t>
      </w:r>
      <w:r w:rsidRPr="001C6D76">
        <w:t xml:space="preserve"> </w:t>
      </w:r>
      <w:r w:rsidRPr="001C6D76">
        <w:rPr>
          <w:lang w:val="en"/>
        </w:rPr>
        <w:t xml:space="preserve">(Table </w:t>
      </w:r>
      <w:r>
        <w:rPr>
          <w:lang w:val="en"/>
        </w:rPr>
        <w:t>4</w:t>
      </w:r>
      <w:r w:rsidRPr="001C6D76">
        <w:rPr>
          <w:lang w:val="en"/>
        </w:rPr>
        <w:t>).</w:t>
      </w:r>
    </w:p>
    <w:p w:rsidR="00D1446E" w:rsidRPr="003A60EC" w:rsidRDefault="00D1446E" w:rsidP="00D1446E">
      <w:pPr>
        <w:pStyle w:val="Heading3"/>
      </w:pPr>
      <w:r w:rsidRPr="003A60EC">
        <w:t>IEC standard</w:t>
      </w:r>
    </w:p>
    <w:p w:rsidR="00D1446E" w:rsidRPr="00E63ADA" w:rsidRDefault="00D1446E" w:rsidP="00D1446E">
      <w:pPr>
        <w:rPr>
          <w:lang w:val="en-US"/>
        </w:rPr>
      </w:pPr>
      <w:r w:rsidRPr="003A60EC">
        <w:t>The</w:t>
      </w:r>
      <w:r>
        <w:t xml:space="preserve"> International Electrotechnical Commission (IEC) is the </w:t>
      </w:r>
      <w:r w:rsidRPr="00CB140D">
        <w:rPr>
          <w:lang w:val="en"/>
        </w:rPr>
        <w:t>world's largest developer</w:t>
      </w:r>
      <w:r>
        <w:rPr>
          <w:lang w:val="en"/>
        </w:rPr>
        <w:t xml:space="preserve"> of international standards for electrical and electronic technologies.</w:t>
      </w:r>
      <w:r>
        <w:rPr>
          <w:rStyle w:val="FootnoteReference"/>
          <w:lang w:val="en"/>
        </w:rPr>
        <w:footnoteReference w:id="22"/>
      </w:r>
      <w:r>
        <w:rPr>
          <w:lang w:val="en"/>
        </w:rPr>
        <w:t xml:space="preserve"> The voluntary Australian </w:t>
      </w:r>
      <w:r w:rsidRPr="00E63ADA">
        <w:rPr>
          <w:lang w:val="en"/>
        </w:rPr>
        <w:t>standard for electric toy safety is based on the IEC standard (</w:t>
      </w:r>
      <w:r w:rsidRPr="00E63ADA">
        <w:t xml:space="preserve">IEC </w:t>
      </w:r>
      <w:r w:rsidRPr="00E63ADA">
        <w:rPr>
          <w:bCs/>
          <w:lang w:val="en-US"/>
        </w:rPr>
        <w:t xml:space="preserve">62115:2011). Both standards require </w:t>
      </w:r>
      <w:r w:rsidR="00843C68" w:rsidRPr="00E63ADA">
        <w:rPr>
          <w:bCs/>
          <w:lang w:val="en-US"/>
        </w:rPr>
        <w:t xml:space="preserve">that </w:t>
      </w:r>
      <w:r w:rsidRPr="00E63ADA">
        <w:rPr>
          <w:bCs/>
          <w:lang w:val="en-US"/>
        </w:rPr>
        <w:t xml:space="preserve">batteries in toys intended for children under three years old </w:t>
      </w:r>
      <w:r w:rsidR="00843C68" w:rsidRPr="00E63ADA">
        <w:rPr>
          <w:bCs/>
          <w:lang w:val="en-US"/>
        </w:rPr>
        <w:t xml:space="preserve">are </w:t>
      </w:r>
      <w:r w:rsidRPr="00E63ADA">
        <w:rPr>
          <w:lang w:val="en-US"/>
        </w:rPr>
        <w:t>not accessible without the use of a tool unless the battery compartment cover is adequately secure.</w:t>
      </w:r>
    </w:p>
    <w:p w:rsidR="00032D61" w:rsidRPr="00E63ADA" w:rsidRDefault="00032D61" w:rsidP="00D1446E">
      <w:r w:rsidRPr="00E63ADA">
        <w:rPr>
          <w:lang w:val="en-US"/>
        </w:rPr>
        <w:lastRenderedPageBreak/>
        <w:t xml:space="preserve">As mentioned earlier, </w:t>
      </w:r>
      <w:r w:rsidR="00D12874" w:rsidRPr="00E63ADA">
        <w:rPr>
          <w:lang w:val="en-US"/>
        </w:rPr>
        <w:t>the next</w:t>
      </w:r>
      <w:r w:rsidRPr="00E63ADA">
        <w:rPr>
          <w:lang w:val="en-US"/>
        </w:rPr>
        <w:t xml:space="preserve"> version of the </w:t>
      </w:r>
      <w:r w:rsidRPr="00E63ADA">
        <w:rPr>
          <w:lang w:val="en"/>
        </w:rPr>
        <w:t xml:space="preserve">IEC standard expected </w:t>
      </w:r>
      <w:r w:rsidR="00D12874" w:rsidRPr="00E63ADA">
        <w:rPr>
          <w:lang w:val="en"/>
        </w:rPr>
        <w:t>in</w:t>
      </w:r>
      <w:r w:rsidRPr="00E63ADA">
        <w:rPr>
          <w:lang w:val="en"/>
        </w:rPr>
        <w:t xml:space="preserve"> mid-2017 is likely to require a warning on children’s toys containing </w:t>
      </w:r>
      <w:r w:rsidRPr="00E63ADA">
        <w:t xml:space="preserve">button or coin cell batteries </w:t>
      </w:r>
      <w:r w:rsidR="00494105" w:rsidRPr="00E63ADA">
        <w:t xml:space="preserve">that </w:t>
      </w:r>
      <w:r w:rsidRPr="00E63ADA">
        <w:t>draw</w:t>
      </w:r>
      <w:r w:rsidR="00494105" w:rsidRPr="00E63ADA">
        <w:t>s</w:t>
      </w:r>
      <w:r w:rsidRPr="00E63ADA">
        <w:t xml:space="preserve"> attention to the hazards if swallowed by a young child.</w:t>
      </w:r>
    </w:p>
    <w:p w:rsidR="00D1446E" w:rsidRDefault="00D1446E" w:rsidP="00D1446E">
      <w:pPr>
        <w:rPr>
          <w:lang w:val="en"/>
        </w:rPr>
      </w:pPr>
      <w:r w:rsidRPr="00E63ADA">
        <w:t>The relevant sections of the IEC standard provide an acceptable</w:t>
      </w:r>
      <w:r>
        <w:t xml:space="preserve"> level of consumer safety and are appropriate </w:t>
      </w:r>
      <w:r w:rsidRPr="001C6D76">
        <w:t xml:space="preserve">for inclusion in a policy option </w:t>
      </w:r>
      <w:r w:rsidRPr="001C6D76">
        <w:rPr>
          <w:lang w:val="en"/>
        </w:rPr>
        <w:t>allowing compliance with trusted international standards</w:t>
      </w:r>
      <w:r>
        <w:rPr>
          <w:lang w:val="en"/>
        </w:rPr>
        <w:t xml:space="preserve"> </w:t>
      </w:r>
      <w:r w:rsidRPr="001C6D76">
        <w:rPr>
          <w:lang w:val="en"/>
        </w:rPr>
        <w:t xml:space="preserve">(Table </w:t>
      </w:r>
      <w:r>
        <w:rPr>
          <w:lang w:val="en"/>
        </w:rPr>
        <w:t>4).</w:t>
      </w:r>
    </w:p>
    <w:p w:rsidR="00D1446E" w:rsidRPr="0046257C" w:rsidRDefault="00D1446E" w:rsidP="00D1446E">
      <w:pPr>
        <w:pStyle w:val="TableTextform"/>
        <w:spacing w:before="120" w:after="120"/>
        <w:rPr>
          <w:b/>
        </w:rPr>
      </w:pPr>
      <w:r w:rsidRPr="0046257C">
        <w:rPr>
          <w:b/>
        </w:rPr>
        <w:t>Table 4: Summary of accepted international standards</w:t>
      </w:r>
    </w:p>
    <w:tbl>
      <w:tblPr>
        <w:tblStyle w:val="MediumList1"/>
        <w:tblW w:w="0" w:type="auto"/>
        <w:tblLook w:val="04A0" w:firstRow="1" w:lastRow="0" w:firstColumn="1" w:lastColumn="0" w:noHBand="0" w:noVBand="1"/>
      </w:tblPr>
      <w:tblGrid>
        <w:gridCol w:w="2096"/>
        <w:gridCol w:w="1981"/>
        <w:gridCol w:w="1701"/>
        <w:gridCol w:w="1709"/>
        <w:gridCol w:w="1709"/>
      </w:tblGrid>
      <w:tr w:rsidR="00D1446E" w:rsidRPr="00816FB5" w:rsidTr="005D59D0">
        <w:trPr>
          <w:cnfStyle w:val="100000000000" w:firstRow="1" w:lastRow="0" w:firstColumn="0" w:lastColumn="0" w:oddVBand="0" w:evenVBand="0" w:oddHBand="0" w:evenHBand="0" w:firstRowFirstColumn="0" w:firstRowLastColumn="0" w:lastRowFirstColumn="0" w:lastRowLastColumn="0"/>
          <w:trHeight w:val="731"/>
          <w:tblHeader/>
        </w:trPr>
        <w:tc>
          <w:tcPr>
            <w:cnfStyle w:val="001000000000" w:firstRow="0" w:lastRow="0" w:firstColumn="1" w:lastColumn="0" w:oddVBand="0" w:evenVBand="0" w:oddHBand="0" w:evenHBand="0" w:firstRowFirstColumn="0" w:firstRowLastColumn="0" w:lastRowFirstColumn="0" w:lastRowLastColumn="0"/>
            <w:tcW w:w="2096" w:type="dxa"/>
            <w:tcBorders>
              <w:top w:val="single" w:sz="4" w:space="0" w:color="auto"/>
            </w:tcBorders>
            <w:vAlign w:val="center"/>
          </w:tcPr>
          <w:p w:rsidR="00D1446E" w:rsidRPr="0046257C" w:rsidRDefault="00D1446E" w:rsidP="005D59D0">
            <w:pPr>
              <w:rPr>
                <w:sz w:val="20"/>
                <w:szCs w:val="20"/>
                <w:lang w:val="en"/>
              </w:rPr>
            </w:pPr>
            <w:r w:rsidRPr="0046257C">
              <w:rPr>
                <w:rFonts w:asciiTheme="minorHAnsi" w:hAnsiTheme="minorHAnsi" w:cstheme="minorHAnsi"/>
                <w:sz w:val="20"/>
                <w:szCs w:val="20"/>
              </w:rPr>
              <w:t>Current mandatory safety standard</w:t>
            </w:r>
          </w:p>
        </w:tc>
        <w:tc>
          <w:tcPr>
            <w:tcW w:w="1981" w:type="dxa"/>
            <w:tcBorders>
              <w:top w:val="single" w:sz="4" w:space="0" w:color="auto"/>
            </w:tcBorders>
            <w:vAlign w:val="center"/>
          </w:tcPr>
          <w:p w:rsidR="00D1446E" w:rsidRPr="0046257C" w:rsidRDefault="00D1446E" w:rsidP="005D59D0">
            <w:pPr>
              <w:jc w:val="center"/>
              <w:cnfStyle w:val="100000000000" w:firstRow="1" w:lastRow="0" w:firstColumn="0" w:lastColumn="0" w:oddVBand="0" w:evenVBand="0" w:oddHBand="0" w:evenHBand="0" w:firstRowFirstColumn="0" w:firstRowLastColumn="0" w:lastRowFirstColumn="0" w:lastRowLastColumn="0"/>
              <w:rPr>
                <w:b/>
                <w:sz w:val="20"/>
                <w:szCs w:val="20"/>
                <w:lang w:val="en"/>
              </w:rPr>
            </w:pPr>
            <w:r w:rsidRPr="0046257C">
              <w:rPr>
                <w:b/>
                <w:sz w:val="20"/>
                <w:szCs w:val="20"/>
                <w:lang w:val="en"/>
              </w:rPr>
              <w:t>US regulations</w:t>
            </w:r>
          </w:p>
          <w:p w:rsidR="00D1446E" w:rsidRPr="0046257C" w:rsidRDefault="00D1446E" w:rsidP="005D59D0">
            <w:pPr>
              <w:jc w:val="center"/>
              <w:cnfStyle w:val="100000000000" w:firstRow="1" w:lastRow="0" w:firstColumn="0" w:lastColumn="0" w:oddVBand="0" w:evenVBand="0" w:oddHBand="0" w:evenHBand="0" w:firstRowFirstColumn="0" w:firstRowLastColumn="0" w:lastRowFirstColumn="0" w:lastRowLastColumn="0"/>
              <w:rPr>
                <w:b/>
                <w:sz w:val="20"/>
                <w:szCs w:val="20"/>
                <w:lang w:val="en"/>
              </w:rPr>
            </w:pPr>
            <w:r w:rsidRPr="0046257C">
              <w:rPr>
                <w:b/>
                <w:sz w:val="20"/>
                <w:szCs w:val="20"/>
                <w:lang w:val="en"/>
              </w:rPr>
              <w:t>(including ASTM standard</w:t>
            </w:r>
            <w:r w:rsidR="00853D2B">
              <w:rPr>
                <w:b/>
                <w:sz w:val="20"/>
                <w:szCs w:val="20"/>
                <w:lang w:val="en"/>
              </w:rPr>
              <w:t>s</w:t>
            </w:r>
            <w:r w:rsidRPr="0046257C">
              <w:rPr>
                <w:b/>
                <w:sz w:val="20"/>
                <w:szCs w:val="20"/>
                <w:lang w:val="en"/>
              </w:rPr>
              <w:t>)</w:t>
            </w:r>
          </w:p>
        </w:tc>
        <w:tc>
          <w:tcPr>
            <w:tcW w:w="1701" w:type="dxa"/>
            <w:tcBorders>
              <w:top w:val="single" w:sz="4" w:space="0" w:color="auto"/>
            </w:tcBorders>
            <w:vAlign w:val="center"/>
          </w:tcPr>
          <w:p w:rsidR="00D1446E" w:rsidRPr="0046257C" w:rsidRDefault="00D1446E" w:rsidP="005D59D0">
            <w:pPr>
              <w:jc w:val="center"/>
              <w:cnfStyle w:val="100000000000" w:firstRow="1" w:lastRow="0" w:firstColumn="0" w:lastColumn="0" w:oddVBand="0" w:evenVBand="0" w:oddHBand="0" w:evenHBand="0" w:firstRowFirstColumn="0" w:firstRowLastColumn="0" w:lastRowFirstColumn="0" w:lastRowLastColumn="0"/>
              <w:rPr>
                <w:b/>
                <w:sz w:val="20"/>
                <w:szCs w:val="20"/>
                <w:lang w:val="en"/>
              </w:rPr>
            </w:pPr>
            <w:r w:rsidRPr="0046257C">
              <w:rPr>
                <w:b/>
                <w:sz w:val="20"/>
                <w:szCs w:val="20"/>
                <w:lang w:val="en"/>
              </w:rPr>
              <w:t>ISO standards</w:t>
            </w:r>
          </w:p>
        </w:tc>
        <w:tc>
          <w:tcPr>
            <w:tcW w:w="1709" w:type="dxa"/>
            <w:tcBorders>
              <w:top w:val="single" w:sz="4" w:space="0" w:color="auto"/>
            </w:tcBorders>
            <w:vAlign w:val="center"/>
          </w:tcPr>
          <w:p w:rsidR="00D1446E" w:rsidRPr="0046257C" w:rsidRDefault="00D1446E" w:rsidP="005D59D0">
            <w:pPr>
              <w:jc w:val="center"/>
              <w:cnfStyle w:val="100000000000" w:firstRow="1" w:lastRow="0" w:firstColumn="0" w:lastColumn="0" w:oddVBand="0" w:evenVBand="0" w:oddHBand="0" w:evenHBand="0" w:firstRowFirstColumn="0" w:firstRowLastColumn="0" w:lastRowFirstColumn="0" w:lastRowLastColumn="0"/>
              <w:rPr>
                <w:b/>
                <w:sz w:val="20"/>
                <w:szCs w:val="20"/>
                <w:lang w:val="en"/>
              </w:rPr>
            </w:pPr>
            <w:r w:rsidRPr="0046257C">
              <w:rPr>
                <w:b/>
                <w:sz w:val="20"/>
                <w:szCs w:val="20"/>
                <w:lang w:val="en"/>
              </w:rPr>
              <w:t>E</w:t>
            </w:r>
            <w:r>
              <w:rPr>
                <w:b/>
                <w:sz w:val="20"/>
                <w:szCs w:val="20"/>
                <w:lang w:val="en"/>
              </w:rPr>
              <w:t>uropean</w:t>
            </w:r>
            <w:r w:rsidRPr="0046257C">
              <w:rPr>
                <w:b/>
                <w:sz w:val="20"/>
                <w:szCs w:val="20"/>
                <w:lang w:val="en"/>
              </w:rPr>
              <w:t xml:space="preserve"> standards</w:t>
            </w:r>
          </w:p>
        </w:tc>
        <w:tc>
          <w:tcPr>
            <w:tcW w:w="1709" w:type="dxa"/>
            <w:tcBorders>
              <w:top w:val="single" w:sz="4" w:space="0" w:color="auto"/>
            </w:tcBorders>
          </w:tcPr>
          <w:p w:rsidR="00D1446E" w:rsidRPr="0046257C" w:rsidRDefault="00D1446E" w:rsidP="005D59D0">
            <w:pPr>
              <w:jc w:val="center"/>
              <w:cnfStyle w:val="100000000000" w:firstRow="1" w:lastRow="0" w:firstColumn="0" w:lastColumn="0" w:oddVBand="0" w:evenVBand="0" w:oddHBand="0" w:evenHBand="0" w:firstRowFirstColumn="0" w:firstRowLastColumn="0" w:lastRowFirstColumn="0" w:lastRowLastColumn="0"/>
              <w:rPr>
                <w:b/>
                <w:sz w:val="20"/>
                <w:szCs w:val="20"/>
                <w:lang w:val="en"/>
              </w:rPr>
            </w:pPr>
          </w:p>
          <w:p w:rsidR="00D1446E" w:rsidRPr="0046257C" w:rsidRDefault="00D1446E" w:rsidP="005D59D0">
            <w:pPr>
              <w:jc w:val="center"/>
              <w:cnfStyle w:val="100000000000" w:firstRow="1" w:lastRow="0" w:firstColumn="0" w:lastColumn="0" w:oddVBand="0" w:evenVBand="0" w:oddHBand="0" w:evenHBand="0" w:firstRowFirstColumn="0" w:firstRowLastColumn="0" w:lastRowFirstColumn="0" w:lastRowLastColumn="0"/>
              <w:rPr>
                <w:b/>
                <w:sz w:val="20"/>
                <w:szCs w:val="20"/>
                <w:lang w:val="en"/>
              </w:rPr>
            </w:pPr>
            <w:r w:rsidRPr="0046257C">
              <w:rPr>
                <w:b/>
                <w:sz w:val="20"/>
                <w:szCs w:val="20"/>
                <w:lang w:val="en"/>
              </w:rPr>
              <w:t>IEC standard</w:t>
            </w:r>
          </w:p>
        </w:tc>
      </w:tr>
      <w:tr w:rsidR="00D1446E" w:rsidRPr="00816FB5" w:rsidTr="005D5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dxa"/>
            <w:vAlign w:val="center"/>
          </w:tcPr>
          <w:p w:rsidR="00D1446E" w:rsidRPr="00816FB5" w:rsidRDefault="00D1446E" w:rsidP="005D59D0">
            <w:pPr>
              <w:rPr>
                <w:b w:val="0"/>
                <w:lang w:val="en"/>
              </w:rPr>
            </w:pPr>
            <w:r w:rsidRPr="00816FB5">
              <w:rPr>
                <w:b w:val="0"/>
                <w:lang w:val="en"/>
              </w:rPr>
              <w:t>Toys for children up to and including 36 months</w:t>
            </w:r>
          </w:p>
        </w:tc>
        <w:tc>
          <w:tcPr>
            <w:tcW w:w="1981" w:type="dxa"/>
            <w:vAlign w:val="center"/>
          </w:tcPr>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1" w:type="dxa"/>
            <w:vAlign w:val="center"/>
          </w:tcPr>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9" w:type="dxa"/>
            <w:vAlign w:val="center"/>
          </w:tcPr>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9" w:type="dxa"/>
          </w:tcPr>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6FB5">
              <w:rPr>
                <w:rFonts w:asciiTheme="minorHAnsi" w:hAnsiTheme="minorHAnsi" w:cstheme="minorHAnsi"/>
                <w:b/>
                <w:sz w:val="20"/>
                <w:szCs w:val="20"/>
              </w:rPr>
              <w:sym w:font="Wingdings 2" w:char="F050"/>
            </w:r>
          </w:p>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D1446E" w:rsidRPr="00816FB5" w:rsidTr="005D59D0">
        <w:tc>
          <w:tcPr>
            <w:cnfStyle w:val="001000000000" w:firstRow="0" w:lastRow="0" w:firstColumn="1" w:lastColumn="0" w:oddVBand="0" w:evenVBand="0" w:oddHBand="0" w:evenHBand="0" w:firstRowFirstColumn="0" w:firstRowLastColumn="0" w:lastRowFirstColumn="0" w:lastRowLastColumn="0"/>
            <w:tcW w:w="2096" w:type="dxa"/>
            <w:vAlign w:val="center"/>
          </w:tcPr>
          <w:p w:rsidR="00D1446E" w:rsidRPr="00816FB5" w:rsidRDefault="00D1446E" w:rsidP="005D59D0">
            <w:pPr>
              <w:rPr>
                <w:b w:val="0"/>
                <w:lang w:val="en"/>
              </w:rPr>
            </w:pPr>
            <w:r w:rsidRPr="00816FB5">
              <w:rPr>
                <w:b w:val="0"/>
                <w:lang w:val="en"/>
              </w:rPr>
              <w:t>Lead and certain elements in children’s toys</w:t>
            </w:r>
          </w:p>
        </w:tc>
        <w:tc>
          <w:tcPr>
            <w:tcW w:w="1981" w:type="dxa"/>
            <w:vAlign w:val="center"/>
          </w:tcPr>
          <w:p w:rsidR="00D1446E" w:rsidRPr="00816FB5" w:rsidRDefault="00D1446E" w:rsidP="005D5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16FB5">
              <w:rPr>
                <w:rFonts w:asciiTheme="minorHAnsi" w:hAnsiTheme="minorHAnsi" w:cstheme="minorHAnsi"/>
                <w:b/>
                <w:sz w:val="20"/>
                <w:szCs w:val="20"/>
              </w:rPr>
              <w:sym w:font="Wingdings 2" w:char="F050"/>
            </w:r>
          </w:p>
          <w:p w:rsidR="00D1446E" w:rsidRPr="00816FB5" w:rsidRDefault="00D1446E" w:rsidP="005D59D0">
            <w:pPr>
              <w:jc w:val="center"/>
              <w:cnfStyle w:val="000000000000" w:firstRow="0" w:lastRow="0" w:firstColumn="0" w:lastColumn="0" w:oddVBand="0" w:evenVBand="0" w:oddHBand="0" w:evenHBand="0" w:firstRowFirstColumn="0" w:firstRowLastColumn="0" w:lastRowFirstColumn="0" w:lastRowLastColumn="0"/>
              <w:rPr>
                <w:lang w:val="en"/>
              </w:rPr>
            </w:pPr>
          </w:p>
        </w:tc>
        <w:tc>
          <w:tcPr>
            <w:tcW w:w="1701" w:type="dxa"/>
            <w:vAlign w:val="center"/>
          </w:tcPr>
          <w:p w:rsidR="00D1446E" w:rsidRPr="00816FB5" w:rsidRDefault="00D1446E" w:rsidP="005D5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16FB5">
              <w:rPr>
                <w:rFonts w:asciiTheme="minorHAnsi" w:hAnsiTheme="minorHAnsi" w:cstheme="minorHAnsi"/>
                <w:b/>
                <w:sz w:val="20"/>
                <w:szCs w:val="20"/>
              </w:rPr>
              <w:sym w:font="Wingdings 2" w:char="F050"/>
            </w:r>
          </w:p>
          <w:p w:rsidR="00D1446E" w:rsidRPr="00816FB5" w:rsidRDefault="00D1446E" w:rsidP="005D59D0">
            <w:pPr>
              <w:jc w:val="center"/>
              <w:cnfStyle w:val="000000000000" w:firstRow="0" w:lastRow="0" w:firstColumn="0" w:lastColumn="0" w:oddVBand="0" w:evenVBand="0" w:oddHBand="0" w:evenHBand="0" w:firstRowFirstColumn="0" w:firstRowLastColumn="0" w:lastRowFirstColumn="0" w:lastRowLastColumn="0"/>
              <w:rPr>
                <w:lang w:val="en"/>
              </w:rPr>
            </w:pPr>
            <w:r w:rsidRPr="00816FB5">
              <w:rPr>
                <w:rFonts w:asciiTheme="minorHAnsi" w:hAnsiTheme="minorHAnsi" w:cstheme="minorHAnsi"/>
                <w:sz w:val="20"/>
                <w:szCs w:val="20"/>
              </w:rPr>
              <w:t>Except finger paints</w:t>
            </w:r>
          </w:p>
        </w:tc>
        <w:tc>
          <w:tcPr>
            <w:tcW w:w="1709" w:type="dxa"/>
            <w:vAlign w:val="center"/>
          </w:tcPr>
          <w:p w:rsidR="00D1446E" w:rsidRPr="00816FB5" w:rsidRDefault="00D1446E" w:rsidP="005D59D0">
            <w:pPr>
              <w:jc w:val="center"/>
              <w:cnfStyle w:val="000000000000" w:firstRow="0" w:lastRow="0" w:firstColumn="0" w:lastColumn="0" w:oddVBand="0" w:evenVBand="0" w:oddHBand="0"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9" w:type="dxa"/>
          </w:tcPr>
          <w:p w:rsidR="00D1446E" w:rsidRPr="0046257C" w:rsidRDefault="00D1446E" w:rsidP="005D5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D1446E" w:rsidRPr="0046257C" w:rsidRDefault="00D1446E" w:rsidP="005D5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6257C">
              <w:rPr>
                <w:rFonts w:asciiTheme="minorHAnsi" w:hAnsiTheme="minorHAnsi" w:cstheme="minorHAnsi"/>
                <w:sz w:val="20"/>
                <w:szCs w:val="20"/>
              </w:rPr>
              <w:t>N/A</w:t>
            </w:r>
          </w:p>
        </w:tc>
      </w:tr>
      <w:tr w:rsidR="00D1446E" w:rsidRPr="00816FB5" w:rsidTr="005D5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dxa"/>
            <w:vAlign w:val="center"/>
          </w:tcPr>
          <w:p w:rsidR="00D1446E" w:rsidRPr="00816FB5" w:rsidRDefault="00D1446E" w:rsidP="005D59D0">
            <w:pPr>
              <w:rPr>
                <w:b w:val="0"/>
                <w:lang w:val="en"/>
              </w:rPr>
            </w:pPr>
            <w:r w:rsidRPr="00816FB5">
              <w:rPr>
                <w:b w:val="0"/>
                <w:lang w:val="en"/>
              </w:rPr>
              <w:t>Flotation and aquatic toys</w:t>
            </w:r>
          </w:p>
        </w:tc>
        <w:tc>
          <w:tcPr>
            <w:tcW w:w="1981" w:type="dxa"/>
            <w:vAlign w:val="center"/>
          </w:tcPr>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6FB5">
              <w:rPr>
                <w:rFonts w:asciiTheme="minorHAnsi" w:hAnsiTheme="minorHAnsi" w:cstheme="minorHAnsi"/>
                <w:b/>
                <w:sz w:val="20"/>
                <w:szCs w:val="20"/>
              </w:rPr>
              <w:sym w:font="Wingdings 2" w:char="F050"/>
            </w:r>
          </w:p>
        </w:tc>
        <w:tc>
          <w:tcPr>
            <w:tcW w:w="1701" w:type="dxa"/>
            <w:vAlign w:val="center"/>
          </w:tcPr>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6FB5">
              <w:rPr>
                <w:rFonts w:asciiTheme="minorHAnsi" w:hAnsiTheme="minorHAnsi" w:cstheme="minorHAnsi"/>
                <w:b/>
                <w:sz w:val="20"/>
                <w:szCs w:val="20"/>
              </w:rPr>
              <w:sym w:font="Wingdings 2" w:char="F050"/>
            </w:r>
          </w:p>
        </w:tc>
        <w:tc>
          <w:tcPr>
            <w:tcW w:w="1709" w:type="dxa"/>
            <w:vAlign w:val="center"/>
          </w:tcPr>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6FB5">
              <w:rPr>
                <w:rFonts w:asciiTheme="minorHAnsi" w:hAnsiTheme="minorHAnsi" w:cstheme="minorHAnsi"/>
                <w:b/>
                <w:sz w:val="20"/>
                <w:szCs w:val="20"/>
              </w:rPr>
              <w:sym w:font="Wingdings 2" w:char="F050"/>
            </w:r>
          </w:p>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709" w:type="dxa"/>
          </w:tcPr>
          <w:p w:rsidR="00D1446E" w:rsidRPr="0046257C"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D1446E" w:rsidRPr="0046257C"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D1446E" w:rsidRPr="0046257C"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6257C">
              <w:rPr>
                <w:rFonts w:asciiTheme="minorHAnsi" w:hAnsiTheme="minorHAnsi" w:cstheme="minorHAnsi"/>
                <w:sz w:val="20"/>
                <w:szCs w:val="20"/>
              </w:rPr>
              <w:t>N/A</w:t>
            </w:r>
          </w:p>
        </w:tc>
      </w:tr>
      <w:tr w:rsidR="00D1446E" w:rsidRPr="00816FB5" w:rsidTr="005D59D0">
        <w:tc>
          <w:tcPr>
            <w:cnfStyle w:val="001000000000" w:firstRow="0" w:lastRow="0" w:firstColumn="1" w:lastColumn="0" w:oddVBand="0" w:evenVBand="0" w:oddHBand="0" w:evenHBand="0" w:firstRowFirstColumn="0" w:firstRowLastColumn="0" w:lastRowFirstColumn="0" w:lastRowLastColumn="0"/>
            <w:tcW w:w="2096" w:type="dxa"/>
            <w:vAlign w:val="center"/>
          </w:tcPr>
          <w:p w:rsidR="00D1446E" w:rsidRPr="00816FB5" w:rsidRDefault="00D1446E" w:rsidP="005D59D0">
            <w:pPr>
              <w:rPr>
                <w:b w:val="0"/>
                <w:lang w:val="en"/>
              </w:rPr>
            </w:pPr>
            <w:r w:rsidRPr="00816FB5">
              <w:rPr>
                <w:b w:val="0"/>
                <w:lang w:val="en"/>
              </w:rPr>
              <w:t>Children’s toys containing magnets</w:t>
            </w:r>
          </w:p>
        </w:tc>
        <w:tc>
          <w:tcPr>
            <w:tcW w:w="1981" w:type="dxa"/>
          </w:tcPr>
          <w:p w:rsidR="00D1446E" w:rsidRDefault="00D1446E" w:rsidP="005D5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rsidR="00D1446E" w:rsidRPr="00816FB5" w:rsidRDefault="00D1446E" w:rsidP="005D59D0">
            <w:pPr>
              <w:jc w:val="center"/>
              <w:cnfStyle w:val="000000000000" w:firstRow="0" w:lastRow="0" w:firstColumn="0" w:lastColumn="0" w:oddVBand="0" w:evenVBand="0" w:oddHBand="0"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1" w:type="dxa"/>
          </w:tcPr>
          <w:p w:rsidR="00D1446E" w:rsidRDefault="00D1446E" w:rsidP="005D5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rsidR="00D1446E" w:rsidRPr="00816FB5" w:rsidRDefault="00D1446E" w:rsidP="005D59D0">
            <w:pPr>
              <w:jc w:val="center"/>
              <w:cnfStyle w:val="000000000000" w:firstRow="0" w:lastRow="0" w:firstColumn="0" w:lastColumn="0" w:oddVBand="0" w:evenVBand="0" w:oddHBand="0"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9" w:type="dxa"/>
          </w:tcPr>
          <w:p w:rsidR="00D1446E" w:rsidRDefault="00D1446E" w:rsidP="005D5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rsidR="00D1446E" w:rsidRPr="00816FB5" w:rsidRDefault="00D1446E" w:rsidP="005D59D0">
            <w:pPr>
              <w:jc w:val="center"/>
              <w:cnfStyle w:val="000000000000" w:firstRow="0" w:lastRow="0" w:firstColumn="0" w:lastColumn="0" w:oddVBand="0" w:evenVBand="0" w:oddHBand="0"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9" w:type="dxa"/>
          </w:tcPr>
          <w:p w:rsidR="00D1446E" w:rsidRPr="0046257C" w:rsidRDefault="00D1446E" w:rsidP="005D5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D1446E" w:rsidRPr="0046257C" w:rsidRDefault="00D1446E" w:rsidP="005D5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6257C">
              <w:rPr>
                <w:rFonts w:asciiTheme="minorHAnsi" w:hAnsiTheme="minorHAnsi" w:cstheme="minorHAnsi"/>
                <w:sz w:val="20"/>
                <w:szCs w:val="20"/>
              </w:rPr>
              <w:t>N/A</w:t>
            </w:r>
          </w:p>
        </w:tc>
      </w:tr>
      <w:tr w:rsidR="00D1446E" w:rsidRPr="00816FB5" w:rsidTr="005D5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dxa"/>
          </w:tcPr>
          <w:p w:rsidR="00D1446E" w:rsidRDefault="00D1446E" w:rsidP="005D59D0">
            <w:pPr>
              <w:rPr>
                <w:b w:val="0"/>
                <w:lang w:val="en"/>
              </w:rPr>
            </w:pPr>
          </w:p>
          <w:p w:rsidR="00D1446E" w:rsidRPr="00816FB5" w:rsidRDefault="00D1446E" w:rsidP="005D59D0">
            <w:pPr>
              <w:rPr>
                <w:b w:val="0"/>
                <w:lang w:val="en"/>
              </w:rPr>
            </w:pPr>
            <w:r w:rsidRPr="00816FB5">
              <w:rPr>
                <w:b w:val="0"/>
                <w:lang w:val="en"/>
              </w:rPr>
              <w:t>Children’s projectile toys</w:t>
            </w:r>
          </w:p>
        </w:tc>
        <w:tc>
          <w:tcPr>
            <w:tcW w:w="1981" w:type="dxa"/>
          </w:tcPr>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1" w:type="dxa"/>
          </w:tcPr>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9" w:type="dxa"/>
          </w:tcPr>
          <w:p w:rsidR="00D1446E"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D1446E" w:rsidRPr="00816FB5" w:rsidRDefault="00D1446E" w:rsidP="005D59D0">
            <w:pPr>
              <w:jc w:val="center"/>
              <w:cnfStyle w:val="000000100000" w:firstRow="0" w:lastRow="0" w:firstColumn="0" w:lastColumn="0" w:oddVBand="0" w:evenVBand="0" w:oddHBand="1" w:evenHBand="0" w:firstRowFirstColumn="0" w:firstRowLastColumn="0" w:lastRowFirstColumn="0" w:lastRowLastColumn="0"/>
              <w:rPr>
                <w:lang w:val="en"/>
              </w:rPr>
            </w:pPr>
            <w:r w:rsidRPr="00816FB5">
              <w:rPr>
                <w:rFonts w:asciiTheme="minorHAnsi" w:hAnsiTheme="minorHAnsi" w:cstheme="minorHAnsi"/>
                <w:b/>
                <w:sz w:val="20"/>
                <w:szCs w:val="20"/>
              </w:rPr>
              <w:sym w:font="Wingdings 2" w:char="F050"/>
            </w:r>
          </w:p>
        </w:tc>
        <w:tc>
          <w:tcPr>
            <w:tcW w:w="1709" w:type="dxa"/>
          </w:tcPr>
          <w:p w:rsidR="00D1446E" w:rsidRPr="0046257C"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D1446E" w:rsidRPr="0046257C" w:rsidRDefault="00D1446E" w:rsidP="005D5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6257C">
              <w:rPr>
                <w:rFonts w:asciiTheme="minorHAnsi" w:hAnsiTheme="minorHAnsi" w:cstheme="minorHAnsi"/>
                <w:sz w:val="20"/>
                <w:szCs w:val="20"/>
              </w:rPr>
              <w:t>N/A</w:t>
            </w:r>
          </w:p>
        </w:tc>
      </w:tr>
    </w:tbl>
    <w:p w:rsidR="00680BE8" w:rsidRDefault="00680BE8" w:rsidP="00FE4CB5">
      <w:pPr>
        <w:spacing w:before="0"/>
      </w:pPr>
    </w:p>
    <w:p w:rsidR="00680BE8" w:rsidRPr="007B372F" w:rsidRDefault="00680BE8" w:rsidP="005F690D">
      <w:pPr>
        <w:pStyle w:val="Numbered1"/>
        <w:numPr>
          <w:ilvl w:val="0"/>
          <w:numId w:val="33"/>
        </w:numPr>
        <w:ind w:left="680" w:hanging="680"/>
        <w:rPr>
          <w:rFonts w:eastAsia="Times New Roman" w:cs="Times New Roman"/>
        </w:rPr>
      </w:pPr>
      <w:bookmarkStart w:id="164" w:name="_Toc473714724"/>
      <w:r w:rsidRPr="007B372F">
        <w:rPr>
          <w:rFonts w:eastAsia="Times New Roman" w:cs="Times New Roman"/>
        </w:rPr>
        <w:t>Detailed policy options</w:t>
      </w:r>
      <w:bookmarkEnd w:id="164"/>
    </w:p>
    <w:p w:rsidR="00680BE8" w:rsidRDefault="007B372F" w:rsidP="007B372F">
      <w:pPr>
        <w:pStyle w:val="Heading2"/>
        <w:rPr>
          <w:rFonts w:eastAsia="Times New Roman" w:cs="Times New Roman"/>
          <w:b w:val="0"/>
        </w:rPr>
      </w:pPr>
      <w:bookmarkStart w:id="165" w:name="_Toc473714725"/>
      <w:r w:rsidRPr="007B372F">
        <w:rPr>
          <w:rFonts w:eastAsia="Times New Roman" w:cs="Times New Roman"/>
          <w:b w:val="0"/>
        </w:rPr>
        <w:t>Option 1 – Retain the current mandatory safety standards</w:t>
      </w:r>
      <w:bookmarkEnd w:id="165"/>
    </w:p>
    <w:p w:rsidR="007B372F" w:rsidRDefault="007B372F" w:rsidP="007B372F">
      <w:pPr>
        <w:pStyle w:val="Heading3"/>
      </w:pPr>
      <w:bookmarkStart w:id="166" w:name="_Toc453749110"/>
      <w:bookmarkStart w:id="167" w:name="_Toc453749356"/>
      <w:bookmarkStart w:id="168" w:name="_Toc453763894"/>
      <w:bookmarkStart w:id="169" w:name="_Toc453765804"/>
      <w:bookmarkStart w:id="170" w:name="_Toc454444014"/>
      <w:bookmarkStart w:id="171" w:name="_Toc454544437"/>
      <w:bookmarkStart w:id="172" w:name="_Toc455580021"/>
      <w:bookmarkStart w:id="173" w:name="_Toc456277639"/>
      <w:bookmarkStart w:id="174" w:name="_Toc456279008"/>
      <w:bookmarkStart w:id="175" w:name="_Toc457300313"/>
      <w:bookmarkStart w:id="176" w:name="_Toc457476759"/>
      <w:bookmarkStart w:id="177" w:name="_Toc458607165"/>
      <w:bookmarkStart w:id="178" w:name="_Toc459899213"/>
      <w:bookmarkStart w:id="179" w:name="_Toc460568177"/>
      <w:bookmarkStart w:id="180" w:name="_Toc462054834"/>
      <w:r w:rsidRPr="009C2938">
        <w:t>Description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7B372F" w:rsidRDefault="00362BCB" w:rsidP="007B372F">
      <w:r>
        <w:t>The mandatory safety standards would remain unchanged, referencing out-of-date voluntary Australian standards with some minor variations. This option is the status quo against which the benefits and costs of the other options are measured.</w:t>
      </w:r>
    </w:p>
    <w:p w:rsidR="007B372F" w:rsidRDefault="007B372F" w:rsidP="007B372F">
      <w:pPr>
        <w:pStyle w:val="Heading3"/>
      </w:pPr>
      <w:r>
        <w:t>Benefits</w:t>
      </w:r>
    </w:p>
    <w:p w:rsidR="007B372F" w:rsidRDefault="00362BCB" w:rsidP="007B372F">
      <w:r>
        <w:t>Consumers would be afforded the same level of safety they have now. There would be no increase in costs to business.</w:t>
      </w:r>
    </w:p>
    <w:p w:rsidR="007B372F" w:rsidRPr="007B372F" w:rsidRDefault="007B372F" w:rsidP="007B372F">
      <w:pPr>
        <w:pStyle w:val="Heading3"/>
      </w:pPr>
      <w:r>
        <w:t>Limitations</w:t>
      </w:r>
    </w:p>
    <w:p w:rsidR="000922B7" w:rsidRDefault="000922B7" w:rsidP="007B372F">
      <w:r>
        <w:t>Maintaining the status quo would mean that the mandatory safety standards would continue to reference outdated voluntary Australian standards. It is likely to become increasingly difficult for suppliers to arrange testing to outdated voluntary Australian standards.</w:t>
      </w:r>
    </w:p>
    <w:p w:rsidR="007B372F" w:rsidRPr="007B372F" w:rsidRDefault="00F21ED0" w:rsidP="007B372F">
      <w:r>
        <w:lastRenderedPageBreak/>
        <w:t>The improved safety requirements in the updated voluntary standards would remain voluntary for suppliers.</w:t>
      </w:r>
      <w:r w:rsidR="000922B7">
        <w:t xml:space="preserve"> </w:t>
      </w:r>
    </w:p>
    <w:p w:rsidR="007B372F" w:rsidRPr="007B372F" w:rsidRDefault="007B372F" w:rsidP="007B372F">
      <w:pPr>
        <w:pStyle w:val="Heading3"/>
      </w:pPr>
      <w:r>
        <w:t>Net Benefits</w:t>
      </w:r>
    </w:p>
    <w:p w:rsidR="003E4A27" w:rsidRDefault="00F21ED0" w:rsidP="003E4A27">
      <w:r>
        <w:t>We will assess the net benefits of the other policy options against the status quo of retaining the current mandatory safety standards.</w:t>
      </w:r>
    </w:p>
    <w:p w:rsidR="007B372F" w:rsidRDefault="007B372F" w:rsidP="007B372F">
      <w:pPr>
        <w:pStyle w:val="Heading2"/>
        <w:rPr>
          <w:rFonts w:eastAsia="Times New Roman" w:cs="Times New Roman"/>
          <w:b w:val="0"/>
        </w:rPr>
      </w:pPr>
      <w:bookmarkStart w:id="181" w:name="_Toc473714726"/>
      <w:r>
        <w:rPr>
          <w:rFonts w:eastAsia="Times New Roman" w:cs="Times New Roman"/>
          <w:b w:val="0"/>
        </w:rPr>
        <w:t>Option 2</w:t>
      </w:r>
      <w:r w:rsidRPr="007B372F">
        <w:rPr>
          <w:rFonts w:eastAsia="Times New Roman" w:cs="Times New Roman"/>
          <w:b w:val="0"/>
        </w:rPr>
        <w:t xml:space="preserve"> – </w:t>
      </w:r>
      <w:r>
        <w:rPr>
          <w:rFonts w:eastAsia="Times New Roman" w:cs="Times New Roman"/>
          <w:b w:val="0"/>
        </w:rPr>
        <w:t>Adopt parts of the updated voluntary Australian standards</w:t>
      </w:r>
      <w:bookmarkEnd w:id="181"/>
    </w:p>
    <w:p w:rsidR="007B372F" w:rsidRDefault="007B372F" w:rsidP="007B372F">
      <w:pPr>
        <w:pStyle w:val="Heading3"/>
      </w:pPr>
      <w:r w:rsidRPr="009C2938">
        <w:t>Description</w:t>
      </w:r>
    </w:p>
    <w:p w:rsidR="00FE4CB5" w:rsidRDefault="00CE71E7" w:rsidP="00032D61">
      <w:r>
        <w:t>T</w:t>
      </w:r>
      <w:r w:rsidR="00B429C7">
        <w:t xml:space="preserve">he five mandatory safety standards for toys </w:t>
      </w:r>
      <w:r>
        <w:t xml:space="preserve">would be updated </w:t>
      </w:r>
      <w:r w:rsidR="00B429C7">
        <w:t>to mandate relevant parts of the updated voluntary Australian standards. Table 3 summarises the specific standards.</w:t>
      </w:r>
    </w:p>
    <w:p w:rsidR="007B372F" w:rsidRDefault="007B372F" w:rsidP="007B372F">
      <w:pPr>
        <w:pStyle w:val="Heading3"/>
      </w:pPr>
      <w:r>
        <w:t>Benefits</w:t>
      </w:r>
    </w:p>
    <w:p w:rsidR="007B372F" w:rsidRDefault="00F35091" w:rsidP="007B372F">
      <w:r>
        <w:t>This would reduce confusion</w:t>
      </w:r>
      <w:r w:rsidR="00FF439B">
        <w:t xml:space="preserve"> amongst suppliers as the voluntary Australian standards and the mandatory safety standards would align making compliance for business easier.</w:t>
      </w:r>
    </w:p>
    <w:p w:rsidR="00FF439B" w:rsidRDefault="00FF439B" w:rsidP="007B372F">
      <w:r>
        <w:t>The industry is familiar with the structure of the voluntary Australian standards so any significant change in the cost of administration and testing would be unlikely.</w:t>
      </w:r>
    </w:p>
    <w:p w:rsidR="007B372F" w:rsidRDefault="00AE40DE" w:rsidP="007B372F">
      <w:r>
        <w:t>The significant penalties associated with breaching a mandatory safety standard would also remain accessible to the ACCC and other regulators.</w:t>
      </w:r>
    </w:p>
    <w:p w:rsidR="007B372F" w:rsidRPr="007B372F" w:rsidRDefault="007B372F" w:rsidP="007B372F">
      <w:pPr>
        <w:pStyle w:val="Heading3"/>
      </w:pPr>
      <w:r>
        <w:t>Limitations</w:t>
      </w:r>
    </w:p>
    <w:p w:rsidR="007B372F" w:rsidRDefault="00C57149" w:rsidP="007B372F">
      <w:r>
        <w:t>Only adopting the updated voluntary Australian standards would mean importers could not rely on trusted international standards. This is at odds with fostering competition amongst toy suppliers and increasing product choice for consumers in a global marketplace.</w:t>
      </w:r>
    </w:p>
    <w:p w:rsidR="00C96F5B" w:rsidRPr="007B372F" w:rsidRDefault="00C96F5B" w:rsidP="007B372F">
      <w:r>
        <w:t>The voluntary Australian standards will continue to change and may again become misaligned with the mandatory safety standards.</w:t>
      </w:r>
    </w:p>
    <w:p w:rsidR="007B372F" w:rsidRPr="007B372F" w:rsidRDefault="007B372F" w:rsidP="007B372F">
      <w:pPr>
        <w:pStyle w:val="Heading3"/>
      </w:pPr>
      <w:r>
        <w:t>Net Benefits</w:t>
      </w:r>
    </w:p>
    <w:p w:rsidR="007F2198" w:rsidRDefault="007F2198" w:rsidP="007F2198">
      <w:r w:rsidRPr="007F2198">
        <w:t>We estimate this option would increase annual cost to industry by approximately $0.0</w:t>
      </w:r>
      <w:r w:rsidR="00E067F2">
        <w:t>22</w:t>
      </w:r>
      <w:r w:rsidRPr="007F2198">
        <w:t xml:space="preserve">m (Table 5). </w:t>
      </w:r>
      <w:r>
        <w:t>Appendix A provides a detailed explanation of the costings.</w:t>
      </w:r>
    </w:p>
    <w:p w:rsidR="0074397F" w:rsidRPr="0074397F" w:rsidRDefault="0074397F" w:rsidP="00977F64">
      <w:pPr>
        <w:rPr>
          <w:b/>
          <w:sz w:val="20"/>
          <w:szCs w:val="20"/>
        </w:rPr>
      </w:pPr>
      <w:r>
        <w:rPr>
          <w:b/>
          <w:sz w:val="20"/>
          <w:szCs w:val="20"/>
        </w:rPr>
        <w:t xml:space="preserve">Table 5: Option 2 – Regulatory burden and cost offset estimate table </w:t>
      </w:r>
    </w:p>
    <w:tbl>
      <w:tblPr>
        <w:tblStyle w:val="LightGrid-Accent2"/>
        <w:tblW w:w="9464" w:type="dxa"/>
        <w:tblLook w:val="04A0" w:firstRow="1" w:lastRow="0" w:firstColumn="1" w:lastColumn="0" w:noHBand="0" w:noVBand="1"/>
      </w:tblPr>
      <w:tblGrid>
        <w:gridCol w:w="2128"/>
        <w:gridCol w:w="1646"/>
        <w:gridCol w:w="2170"/>
        <w:gridCol w:w="1946"/>
        <w:gridCol w:w="1574"/>
      </w:tblGrid>
      <w:tr w:rsidR="0074397F" w:rsidRPr="002E3635" w:rsidTr="005D59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74397F" w:rsidRPr="002E3635" w:rsidRDefault="0074397F" w:rsidP="005D59D0">
            <w:pPr>
              <w:keepNext/>
              <w:spacing w:before="120" w:after="120"/>
              <w:rPr>
                <w:rFonts w:cs="Arial"/>
                <w:sz w:val="20"/>
                <w:szCs w:val="20"/>
              </w:rPr>
            </w:pPr>
            <w:r w:rsidRPr="002E3635">
              <w:rPr>
                <w:rFonts w:cs="Arial"/>
                <w:sz w:val="20"/>
                <w:szCs w:val="20"/>
              </w:rPr>
              <w:t>Average annual regulatory costs (from business as usual)</w:t>
            </w:r>
          </w:p>
        </w:tc>
      </w:tr>
      <w:tr w:rsidR="0074397F" w:rsidRPr="002E3635" w:rsidTr="005D5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74397F" w:rsidRPr="00AD6C0C" w:rsidRDefault="0074397F" w:rsidP="005D59D0">
            <w:pPr>
              <w:keepNext/>
              <w:spacing w:before="120" w:after="120"/>
              <w:rPr>
                <w:rFonts w:cs="Arial"/>
                <w:sz w:val="20"/>
                <w:szCs w:val="20"/>
              </w:rPr>
            </w:pPr>
            <w:r w:rsidRPr="00AD6C0C">
              <w:rPr>
                <w:rFonts w:cs="Arial"/>
                <w:sz w:val="20"/>
                <w:szCs w:val="20"/>
              </w:rPr>
              <w:t xml:space="preserve">Change in costs </w:t>
            </w:r>
          </w:p>
          <w:p w:rsidR="0074397F" w:rsidRPr="00AD6C0C" w:rsidRDefault="0074397F" w:rsidP="005D59D0">
            <w:pPr>
              <w:keepNext/>
              <w:spacing w:before="120" w:after="120"/>
              <w:rPr>
                <w:rFonts w:cs="Arial"/>
                <w:sz w:val="20"/>
                <w:szCs w:val="20"/>
              </w:rPr>
            </w:pPr>
            <w:r w:rsidRPr="00AD6C0C">
              <w:rPr>
                <w:rFonts w:cs="Arial"/>
                <w:sz w:val="20"/>
                <w:szCs w:val="20"/>
              </w:rPr>
              <w:t>($ million)</w:t>
            </w:r>
          </w:p>
        </w:tc>
        <w:tc>
          <w:tcPr>
            <w:tcW w:w="1646" w:type="dxa"/>
            <w:noWrap/>
          </w:tcPr>
          <w:p w:rsidR="0074397F" w:rsidRPr="00AD6C0C" w:rsidRDefault="0074397F"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Business</w:t>
            </w:r>
          </w:p>
        </w:tc>
        <w:tc>
          <w:tcPr>
            <w:tcW w:w="2170" w:type="dxa"/>
            <w:noWrap/>
          </w:tcPr>
          <w:p w:rsidR="0074397F" w:rsidRPr="00AD6C0C" w:rsidRDefault="0074397F"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Community Organisations</w:t>
            </w:r>
          </w:p>
        </w:tc>
        <w:tc>
          <w:tcPr>
            <w:tcW w:w="1946" w:type="dxa"/>
            <w:noWrap/>
          </w:tcPr>
          <w:p w:rsidR="0074397F" w:rsidRPr="00AD6C0C" w:rsidRDefault="0074397F"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Individuals</w:t>
            </w:r>
          </w:p>
        </w:tc>
        <w:tc>
          <w:tcPr>
            <w:tcW w:w="1574" w:type="dxa"/>
            <w:noWrap/>
          </w:tcPr>
          <w:p w:rsidR="0074397F" w:rsidRPr="00AD6C0C" w:rsidRDefault="0074397F"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Total change in cost</w:t>
            </w:r>
          </w:p>
        </w:tc>
      </w:tr>
      <w:tr w:rsidR="0074397F" w:rsidRPr="002E3635" w:rsidTr="005D59D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74397F" w:rsidRPr="002E3635" w:rsidRDefault="0074397F" w:rsidP="005D59D0">
            <w:pPr>
              <w:keepNext/>
              <w:spacing w:before="120" w:after="120"/>
              <w:rPr>
                <w:rFonts w:cs="Arial"/>
                <w:b w:val="0"/>
                <w:sz w:val="20"/>
                <w:szCs w:val="20"/>
              </w:rPr>
            </w:pPr>
            <w:r w:rsidRPr="002E3635">
              <w:rPr>
                <w:rFonts w:cs="Arial"/>
                <w:b w:val="0"/>
                <w:sz w:val="20"/>
                <w:szCs w:val="20"/>
              </w:rPr>
              <w:t>Total, by sector</w:t>
            </w:r>
          </w:p>
        </w:tc>
        <w:tc>
          <w:tcPr>
            <w:tcW w:w="1646" w:type="dxa"/>
            <w:noWrap/>
          </w:tcPr>
          <w:p w:rsidR="0074397F" w:rsidRPr="002E3635" w:rsidRDefault="0074397F" w:rsidP="00E067F2">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$0.</w:t>
            </w:r>
            <w:r w:rsidR="00AD6C0C">
              <w:rPr>
                <w:rFonts w:eastAsia="MS Gothic" w:cs="Arial"/>
                <w:bCs/>
                <w:sz w:val="20"/>
                <w:szCs w:val="20"/>
              </w:rPr>
              <w:t>0</w:t>
            </w:r>
            <w:r w:rsidR="00E067F2">
              <w:rPr>
                <w:rFonts w:eastAsia="MS Gothic" w:cs="Arial"/>
                <w:bCs/>
                <w:sz w:val="20"/>
                <w:szCs w:val="20"/>
              </w:rPr>
              <w:t>22</w:t>
            </w:r>
          </w:p>
        </w:tc>
        <w:tc>
          <w:tcPr>
            <w:tcW w:w="2170" w:type="dxa"/>
            <w:noWrap/>
          </w:tcPr>
          <w:p w:rsidR="0074397F" w:rsidRPr="002E3635" w:rsidRDefault="0074397F" w:rsidP="005D59D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946" w:type="dxa"/>
            <w:noWrap/>
          </w:tcPr>
          <w:p w:rsidR="0074397F" w:rsidRPr="002E3635" w:rsidRDefault="0074397F" w:rsidP="005D59D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574" w:type="dxa"/>
            <w:noWrap/>
          </w:tcPr>
          <w:p w:rsidR="0074397F" w:rsidRPr="002E3635" w:rsidRDefault="0074397F" w:rsidP="00E067F2">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$0.</w:t>
            </w:r>
            <w:r w:rsidR="00AD6C0C">
              <w:rPr>
                <w:rFonts w:eastAsia="MS Gothic" w:cs="Arial"/>
                <w:bCs/>
                <w:sz w:val="20"/>
                <w:szCs w:val="20"/>
              </w:rPr>
              <w:t>0</w:t>
            </w:r>
            <w:r w:rsidR="00E067F2">
              <w:rPr>
                <w:rFonts w:eastAsia="MS Gothic" w:cs="Arial"/>
                <w:bCs/>
                <w:sz w:val="20"/>
                <w:szCs w:val="20"/>
              </w:rPr>
              <w:t>22</w:t>
            </w:r>
          </w:p>
        </w:tc>
      </w:tr>
    </w:tbl>
    <w:p w:rsidR="00BA2232" w:rsidRDefault="00BA2232" w:rsidP="007B372F">
      <w:pPr>
        <w:pStyle w:val="Heading2"/>
        <w:rPr>
          <w:rFonts w:eastAsia="Times New Roman" w:cs="Times New Roman"/>
          <w:b w:val="0"/>
        </w:rPr>
      </w:pPr>
    </w:p>
    <w:p w:rsidR="00B57CAE" w:rsidRDefault="00B57CAE" w:rsidP="00B57CAE"/>
    <w:p w:rsidR="00B57CAE" w:rsidRPr="00B57CAE" w:rsidRDefault="00B57CAE" w:rsidP="00B57CAE"/>
    <w:p w:rsidR="007B372F" w:rsidRDefault="007B372F" w:rsidP="007B372F">
      <w:pPr>
        <w:pStyle w:val="Heading2"/>
        <w:rPr>
          <w:rFonts w:eastAsia="Times New Roman" w:cs="Times New Roman"/>
          <w:b w:val="0"/>
        </w:rPr>
      </w:pPr>
      <w:bookmarkStart w:id="182" w:name="_Toc473714727"/>
      <w:r>
        <w:rPr>
          <w:rFonts w:eastAsia="Times New Roman" w:cs="Times New Roman"/>
          <w:b w:val="0"/>
        </w:rPr>
        <w:lastRenderedPageBreak/>
        <w:t>Option 3</w:t>
      </w:r>
      <w:r w:rsidRPr="007B372F">
        <w:rPr>
          <w:rFonts w:eastAsia="Times New Roman" w:cs="Times New Roman"/>
          <w:b w:val="0"/>
        </w:rPr>
        <w:t xml:space="preserve"> – </w:t>
      </w:r>
      <w:r w:rsidR="00024742">
        <w:rPr>
          <w:rFonts w:eastAsia="Times New Roman" w:cs="Times New Roman"/>
          <w:b w:val="0"/>
        </w:rPr>
        <w:t>Allow compliance with the voluntary Australian or trusted international standards</w:t>
      </w:r>
      <w:bookmarkEnd w:id="182"/>
    </w:p>
    <w:p w:rsidR="00024742" w:rsidRDefault="00024742" w:rsidP="00024742">
      <w:pPr>
        <w:pStyle w:val="Heading3"/>
      </w:pPr>
      <w:r w:rsidRPr="009C2938">
        <w:t>Description</w:t>
      </w:r>
    </w:p>
    <w:p w:rsidR="00024742" w:rsidRDefault="009043D3" w:rsidP="00024742">
      <w:r>
        <w:t xml:space="preserve">This option would allow suppliers to comply with the updated voluntary Australian standards or </w:t>
      </w:r>
      <w:r w:rsidR="00BA5B98">
        <w:t xml:space="preserve">with specified, </w:t>
      </w:r>
      <w:r>
        <w:t>trusted international standards</w:t>
      </w:r>
      <w:r w:rsidR="001B470F">
        <w:t xml:space="preserve"> (</w:t>
      </w:r>
      <w:r w:rsidR="009A4872">
        <w:t>see</w:t>
      </w:r>
      <w:r w:rsidR="001B470F">
        <w:t xml:space="preserve"> Table 4)</w:t>
      </w:r>
      <w:r>
        <w:t>.</w:t>
      </w:r>
    </w:p>
    <w:p w:rsidR="00024742" w:rsidRDefault="00024742" w:rsidP="00024742">
      <w:pPr>
        <w:pStyle w:val="Heading3"/>
      </w:pPr>
      <w:r>
        <w:t>Benefits</w:t>
      </w:r>
    </w:p>
    <w:p w:rsidR="00024742" w:rsidRDefault="009043D3" w:rsidP="001B470F">
      <w:r>
        <w:t>The option to test products for compliance with trusted international standards would likely reduce compliance costs for suppliers.</w:t>
      </w:r>
    </w:p>
    <w:p w:rsidR="009043D3" w:rsidRDefault="009043D3" w:rsidP="00586CEF">
      <w:r>
        <w:t xml:space="preserve">This option could reduce barriers to market entry and increase </w:t>
      </w:r>
      <w:r w:rsidR="00DD2206">
        <w:t>competition in the toy industry. Suppliers import most toys into Australia, so allowing them to source and sell toys that comply with trusted international standards could give consumers a greater choice of products and could reduce prices.</w:t>
      </w:r>
    </w:p>
    <w:p w:rsidR="00024742" w:rsidRDefault="00E14ABD" w:rsidP="00024742">
      <w:r>
        <w:t>As with Option 2, the significant penalties for breach of a mandatory safety standard would remain.</w:t>
      </w:r>
    </w:p>
    <w:p w:rsidR="00024742" w:rsidRPr="007B372F" w:rsidRDefault="00024742" w:rsidP="00024742">
      <w:pPr>
        <w:pStyle w:val="Heading3"/>
      </w:pPr>
      <w:r>
        <w:t>Limitations</w:t>
      </w:r>
    </w:p>
    <w:p w:rsidR="00024742" w:rsidRPr="007B372F" w:rsidRDefault="001F27D5" w:rsidP="00024742">
      <w:r>
        <w:t>Allowing compliance with multiple voluntary standards could make enforcement of the mandatory safety standards slightly more difficult for regulators.</w:t>
      </w:r>
    </w:p>
    <w:p w:rsidR="00024742" w:rsidRPr="007B372F" w:rsidRDefault="00024742" w:rsidP="00024742">
      <w:pPr>
        <w:pStyle w:val="Heading3"/>
      </w:pPr>
      <w:r>
        <w:t>Net Benefits</w:t>
      </w:r>
    </w:p>
    <w:p w:rsidR="00771CD0" w:rsidRPr="00FE4CB5" w:rsidRDefault="00977F64" w:rsidP="00977F64">
      <w:r>
        <w:t>We estimate this option would save industry $</w:t>
      </w:r>
      <w:r w:rsidR="00E067F2">
        <w:t>5.899</w:t>
      </w:r>
      <w:r>
        <w:t>m annually (Table 6). Appendix A provides a detailed explanation of the costings.</w:t>
      </w:r>
    </w:p>
    <w:p w:rsidR="00977F64" w:rsidRPr="0074397F" w:rsidRDefault="00977F64" w:rsidP="00977F64">
      <w:pPr>
        <w:rPr>
          <w:b/>
          <w:sz w:val="20"/>
          <w:szCs w:val="20"/>
        </w:rPr>
      </w:pPr>
      <w:r>
        <w:rPr>
          <w:b/>
          <w:sz w:val="20"/>
          <w:szCs w:val="20"/>
        </w:rPr>
        <w:t xml:space="preserve">Table 6: Option 3 – Regulatory burden and cost offset estimate table </w:t>
      </w:r>
    </w:p>
    <w:tbl>
      <w:tblPr>
        <w:tblStyle w:val="LightGrid-Accent2"/>
        <w:tblW w:w="9464" w:type="dxa"/>
        <w:tblLook w:val="04A0" w:firstRow="1" w:lastRow="0" w:firstColumn="1" w:lastColumn="0" w:noHBand="0" w:noVBand="1"/>
      </w:tblPr>
      <w:tblGrid>
        <w:gridCol w:w="2128"/>
        <w:gridCol w:w="1646"/>
        <w:gridCol w:w="2170"/>
        <w:gridCol w:w="1946"/>
        <w:gridCol w:w="1574"/>
      </w:tblGrid>
      <w:tr w:rsidR="00977F64" w:rsidRPr="002E3635" w:rsidTr="005D59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77F64" w:rsidRPr="002E3635" w:rsidRDefault="00977F64" w:rsidP="005D59D0">
            <w:pPr>
              <w:keepNext/>
              <w:spacing w:before="120" w:after="120"/>
              <w:rPr>
                <w:rFonts w:cs="Arial"/>
                <w:sz w:val="20"/>
                <w:szCs w:val="20"/>
              </w:rPr>
            </w:pPr>
            <w:r w:rsidRPr="002E3635">
              <w:rPr>
                <w:rFonts w:cs="Arial"/>
                <w:sz w:val="20"/>
                <w:szCs w:val="20"/>
              </w:rPr>
              <w:t>Average annual regulatory costs (from business as usual)</w:t>
            </w:r>
          </w:p>
        </w:tc>
      </w:tr>
      <w:tr w:rsidR="00977F64" w:rsidRPr="002E3635" w:rsidTr="005D5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77F64" w:rsidRPr="00AD6C0C" w:rsidRDefault="00977F64" w:rsidP="005D59D0">
            <w:pPr>
              <w:keepNext/>
              <w:spacing w:before="120" w:after="120"/>
              <w:rPr>
                <w:rFonts w:cs="Arial"/>
                <w:sz w:val="20"/>
                <w:szCs w:val="20"/>
              </w:rPr>
            </w:pPr>
            <w:r w:rsidRPr="00AD6C0C">
              <w:rPr>
                <w:rFonts w:cs="Arial"/>
                <w:sz w:val="20"/>
                <w:szCs w:val="20"/>
              </w:rPr>
              <w:t xml:space="preserve">Change in costs </w:t>
            </w:r>
          </w:p>
          <w:p w:rsidR="00977F64" w:rsidRPr="00AD6C0C" w:rsidRDefault="00977F64" w:rsidP="005D59D0">
            <w:pPr>
              <w:keepNext/>
              <w:spacing w:before="120" w:after="120"/>
              <w:rPr>
                <w:rFonts w:cs="Arial"/>
                <w:sz w:val="20"/>
                <w:szCs w:val="20"/>
              </w:rPr>
            </w:pPr>
            <w:r w:rsidRPr="00AD6C0C">
              <w:rPr>
                <w:rFonts w:cs="Arial"/>
                <w:sz w:val="20"/>
                <w:szCs w:val="20"/>
              </w:rPr>
              <w:t>($ million)</w:t>
            </w:r>
          </w:p>
        </w:tc>
        <w:tc>
          <w:tcPr>
            <w:tcW w:w="1646" w:type="dxa"/>
            <w:noWrap/>
          </w:tcPr>
          <w:p w:rsidR="00977F64" w:rsidRPr="00AD6C0C" w:rsidRDefault="00977F64"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Business</w:t>
            </w:r>
          </w:p>
        </w:tc>
        <w:tc>
          <w:tcPr>
            <w:tcW w:w="2170" w:type="dxa"/>
            <w:noWrap/>
          </w:tcPr>
          <w:p w:rsidR="00977F64" w:rsidRPr="00AD6C0C" w:rsidRDefault="00977F64"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Community Organisations</w:t>
            </w:r>
          </w:p>
        </w:tc>
        <w:tc>
          <w:tcPr>
            <w:tcW w:w="1946" w:type="dxa"/>
            <w:noWrap/>
          </w:tcPr>
          <w:p w:rsidR="00977F64" w:rsidRPr="00AD6C0C" w:rsidRDefault="00977F64"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Individuals</w:t>
            </w:r>
          </w:p>
        </w:tc>
        <w:tc>
          <w:tcPr>
            <w:tcW w:w="1574" w:type="dxa"/>
            <w:noWrap/>
          </w:tcPr>
          <w:p w:rsidR="00977F64" w:rsidRPr="00AD6C0C" w:rsidRDefault="00977F64"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Total change in cost</w:t>
            </w:r>
          </w:p>
        </w:tc>
      </w:tr>
      <w:tr w:rsidR="00977F64" w:rsidRPr="002E3635" w:rsidTr="005D59D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77F64" w:rsidRPr="002E3635" w:rsidRDefault="00977F64" w:rsidP="005D59D0">
            <w:pPr>
              <w:keepNext/>
              <w:spacing w:before="120" w:after="120"/>
              <w:rPr>
                <w:rFonts w:cs="Arial"/>
                <w:b w:val="0"/>
                <w:sz w:val="20"/>
                <w:szCs w:val="20"/>
              </w:rPr>
            </w:pPr>
            <w:r w:rsidRPr="002E3635">
              <w:rPr>
                <w:rFonts w:cs="Arial"/>
                <w:b w:val="0"/>
                <w:sz w:val="20"/>
                <w:szCs w:val="20"/>
              </w:rPr>
              <w:t>Total, by sector</w:t>
            </w:r>
          </w:p>
        </w:tc>
        <w:tc>
          <w:tcPr>
            <w:tcW w:w="1646" w:type="dxa"/>
            <w:noWrap/>
          </w:tcPr>
          <w:p w:rsidR="00977F64" w:rsidRPr="002E3635" w:rsidRDefault="00977F64" w:rsidP="00E067F2">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w:t>
            </w:r>
            <w:r w:rsidR="00E067F2">
              <w:rPr>
                <w:rFonts w:eastAsia="MS Gothic" w:cs="Arial"/>
                <w:bCs/>
                <w:sz w:val="20"/>
                <w:szCs w:val="20"/>
              </w:rPr>
              <w:t>5.899</w:t>
            </w:r>
            <w:r>
              <w:rPr>
                <w:rFonts w:eastAsia="MS Gothic" w:cs="Arial"/>
                <w:bCs/>
                <w:sz w:val="20"/>
                <w:szCs w:val="20"/>
              </w:rPr>
              <w:t>)</w:t>
            </w:r>
          </w:p>
        </w:tc>
        <w:tc>
          <w:tcPr>
            <w:tcW w:w="2170" w:type="dxa"/>
            <w:noWrap/>
          </w:tcPr>
          <w:p w:rsidR="00977F64" w:rsidRPr="002E3635" w:rsidRDefault="00977F64" w:rsidP="005D59D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946" w:type="dxa"/>
            <w:noWrap/>
          </w:tcPr>
          <w:p w:rsidR="00977F64" w:rsidRPr="002E3635" w:rsidRDefault="00977F64" w:rsidP="005D59D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574" w:type="dxa"/>
            <w:noWrap/>
          </w:tcPr>
          <w:p w:rsidR="00977F64" w:rsidRPr="002E3635" w:rsidRDefault="00977F64" w:rsidP="00E067F2">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w:t>
            </w:r>
            <w:r w:rsidR="00E067F2">
              <w:rPr>
                <w:rFonts w:eastAsia="MS Gothic" w:cs="Arial"/>
                <w:bCs/>
                <w:sz w:val="20"/>
                <w:szCs w:val="20"/>
              </w:rPr>
              <w:t>5.899</w:t>
            </w:r>
            <w:r>
              <w:rPr>
                <w:rFonts w:eastAsia="MS Gothic" w:cs="Arial"/>
                <w:bCs/>
                <w:sz w:val="20"/>
                <w:szCs w:val="20"/>
              </w:rPr>
              <w:t>)</w:t>
            </w:r>
          </w:p>
        </w:tc>
      </w:tr>
    </w:tbl>
    <w:p w:rsidR="00024742" w:rsidRDefault="00024742" w:rsidP="00024742">
      <w:pPr>
        <w:pStyle w:val="Heading2"/>
        <w:rPr>
          <w:rFonts w:eastAsia="Times New Roman" w:cs="Times New Roman"/>
          <w:b w:val="0"/>
        </w:rPr>
      </w:pPr>
      <w:bookmarkStart w:id="183" w:name="_Toc473714728"/>
      <w:r>
        <w:rPr>
          <w:rFonts w:eastAsia="Times New Roman" w:cs="Times New Roman"/>
          <w:b w:val="0"/>
        </w:rPr>
        <w:t>Option 3a</w:t>
      </w:r>
      <w:r w:rsidRPr="007B372F">
        <w:rPr>
          <w:rFonts w:eastAsia="Times New Roman" w:cs="Times New Roman"/>
          <w:b w:val="0"/>
        </w:rPr>
        <w:t xml:space="preserve"> – </w:t>
      </w:r>
      <w:r>
        <w:rPr>
          <w:rFonts w:eastAsia="Times New Roman" w:cs="Times New Roman"/>
          <w:b w:val="0"/>
        </w:rPr>
        <w:t>Principles-based mandatory safety standard</w:t>
      </w:r>
      <w:bookmarkEnd w:id="183"/>
    </w:p>
    <w:p w:rsidR="00024742" w:rsidRPr="004C1057" w:rsidRDefault="00024742" w:rsidP="00024742">
      <w:pPr>
        <w:pStyle w:val="Heading3"/>
      </w:pPr>
      <w:r w:rsidRPr="004C1057">
        <w:t>Description</w:t>
      </w:r>
    </w:p>
    <w:p w:rsidR="00024742" w:rsidRPr="004C1057" w:rsidRDefault="00E86063" w:rsidP="00024742">
      <w:r w:rsidRPr="004C1057">
        <w:t xml:space="preserve">Option 3a </w:t>
      </w:r>
      <w:r w:rsidR="00B53BF1" w:rsidRPr="004C1057">
        <w:t>is the same as Option 3, but we would implement it slightly differently. We would merge and amend the five mandatory safety standards to make a single ‘principles-based’ and less prescriptive mandatory safety standard for toys.</w:t>
      </w:r>
      <w:r w:rsidR="00C17B8E" w:rsidRPr="004C1057">
        <w:t xml:space="preserve"> We would base the principles on those in the European Toy Safety Directive 2009/48/EC as outlined in Appendix B.</w:t>
      </w:r>
      <w:r w:rsidR="00C17B8E" w:rsidRPr="004C1057">
        <w:rPr>
          <w:rStyle w:val="FootnoteReference"/>
        </w:rPr>
        <w:footnoteReference w:id="23"/>
      </w:r>
      <w:r w:rsidR="00C17B8E" w:rsidRPr="004C1057">
        <w:t xml:space="preserve"> We would only use those principles that align with the current mandatory safety standards.</w:t>
      </w:r>
    </w:p>
    <w:p w:rsidR="00024742" w:rsidRPr="004C1057" w:rsidRDefault="00FE56C1" w:rsidP="00024742">
      <w:pPr>
        <w:pStyle w:val="Heading3"/>
        <w:rPr>
          <w:b w:val="0"/>
          <w:sz w:val="22"/>
        </w:rPr>
      </w:pPr>
      <w:r w:rsidRPr="004C1057">
        <w:rPr>
          <w:b w:val="0"/>
          <w:sz w:val="22"/>
        </w:rPr>
        <w:t xml:space="preserve">The mandatory safety standards would then set out the voluntary Australian and trusted international standards </w:t>
      </w:r>
      <w:r w:rsidR="001810B6" w:rsidRPr="004C1057">
        <w:rPr>
          <w:b w:val="0"/>
          <w:sz w:val="22"/>
        </w:rPr>
        <w:t xml:space="preserve">referred to </w:t>
      </w:r>
      <w:r w:rsidR="00C54CF3" w:rsidRPr="004C1057">
        <w:rPr>
          <w:b w:val="0"/>
          <w:sz w:val="22"/>
        </w:rPr>
        <w:t>in Option</w:t>
      </w:r>
      <w:r w:rsidRPr="004C1057">
        <w:rPr>
          <w:b w:val="0"/>
          <w:sz w:val="22"/>
        </w:rPr>
        <w:t xml:space="preserve"> 3 </w:t>
      </w:r>
      <w:r w:rsidR="00196225" w:rsidRPr="004C1057">
        <w:rPr>
          <w:b w:val="0"/>
          <w:sz w:val="22"/>
        </w:rPr>
        <w:t>as</w:t>
      </w:r>
      <w:r w:rsidR="001810B6" w:rsidRPr="004C1057">
        <w:rPr>
          <w:b w:val="0"/>
          <w:sz w:val="22"/>
        </w:rPr>
        <w:t xml:space="preserve"> </w:t>
      </w:r>
      <w:r w:rsidRPr="004C1057">
        <w:rPr>
          <w:b w:val="0"/>
          <w:sz w:val="22"/>
        </w:rPr>
        <w:t xml:space="preserve">‘safe </w:t>
      </w:r>
      <w:r w:rsidR="00C54CF3" w:rsidRPr="004C1057">
        <w:rPr>
          <w:b w:val="0"/>
          <w:sz w:val="22"/>
        </w:rPr>
        <w:t xml:space="preserve">harbours’ </w:t>
      </w:r>
      <w:r w:rsidRPr="004C1057">
        <w:rPr>
          <w:b w:val="0"/>
          <w:sz w:val="22"/>
        </w:rPr>
        <w:t xml:space="preserve">(see Table 4 and Appendix </w:t>
      </w:r>
      <w:r w:rsidRPr="004C1057">
        <w:rPr>
          <w:b w:val="0"/>
          <w:sz w:val="22"/>
        </w:rPr>
        <w:lastRenderedPageBreak/>
        <w:t>B)</w:t>
      </w:r>
      <w:r w:rsidR="002F1E61" w:rsidRPr="004C1057">
        <w:rPr>
          <w:b w:val="0"/>
          <w:sz w:val="22"/>
        </w:rPr>
        <w:t xml:space="preserve">. </w:t>
      </w:r>
      <w:r w:rsidRPr="004C1057">
        <w:rPr>
          <w:b w:val="0"/>
          <w:sz w:val="22"/>
        </w:rPr>
        <w:t xml:space="preserve">This means that if a supplier sold a toy that met one of the relevant standards, they would be deemed to comply with the </w:t>
      </w:r>
      <w:r w:rsidR="00312D99" w:rsidRPr="004C1057">
        <w:rPr>
          <w:b w:val="0"/>
          <w:sz w:val="22"/>
        </w:rPr>
        <w:t>corresponding</w:t>
      </w:r>
      <w:r w:rsidRPr="004C1057">
        <w:rPr>
          <w:b w:val="0"/>
          <w:sz w:val="22"/>
        </w:rPr>
        <w:t xml:space="preserve"> principle in the mandatory safety standard.</w:t>
      </w:r>
    </w:p>
    <w:p w:rsidR="00024742" w:rsidRPr="004C1057" w:rsidRDefault="00024742" w:rsidP="00024742">
      <w:pPr>
        <w:pStyle w:val="Heading3"/>
      </w:pPr>
      <w:r w:rsidRPr="004C1057">
        <w:t>Benefits</w:t>
      </w:r>
    </w:p>
    <w:p w:rsidR="00DD01CE" w:rsidRPr="004C1057" w:rsidRDefault="00DD01CE" w:rsidP="00DD01CE">
      <w:r w:rsidRPr="004C1057">
        <w:t xml:space="preserve">A principles-based regulation accommodating well-established voluntary Australian and trusted international </w:t>
      </w:r>
      <w:r w:rsidR="003E0819" w:rsidRPr="004C1057">
        <w:t>standards would</w:t>
      </w:r>
      <w:r w:rsidRPr="004C1057">
        <w:t xml:space="preserve"> be easy for suppliers to understand and substantially less affected by the high rate of change in multiple </w:t>
      </w:r>
      <w:r w:rsidR="00CE56CD" w:rsidRPr="004C1057">
        <w:t xml:space="preserve">toy </w:t>
      </w:r>
      <w:r w:rsidRPr="004C1057">
        <w:t>standards. Suppliers could meet the principles by complying with the latest version of any of the relevant standards</w:t>
      </w:r>
      <w:r w:rsidR="005D6C9E" w:rsidRPr="004C1057">
        <w:t xml:space="preserve"> </w:t>
      </w:r>
      <w:r w:rsidRPr="004C1057">
        <w:t xml:space="preserve">since the principles would not change. </w:t>
      </w:r>
    </w:p>
    <w:p w:rsidR="00A31BC4" w:rsidRDefault="00A31BC4" w:rsidP="00A31BC4">
      <w:r w:rsidRPr="004C1057">
        <w:t>If the mandatory safety standards were merged into one principles-based regulation, toy suppliers would not need to consult multiple mandatory safety standards to ensure compliance.</w:t>
      </w:r>
    </w:p>
    <w:p w:rsidR="002F1E61" w:rsidRDefault="00E77EA7" w:rsidP="00024742">
      <w:r>
        <w:t>Australian regulatory requirements for children’s toys would become harmonised with those of major international markets. This would reduce the compliance burden on suppliers and could increase competition and give consumers more choice.</w:t>
      </w:r>
    </w:p>
    <w:p w:rsidR="00024742" w:rsidRPr="007B372F" w:rsidRDefault="00024742" w:rsidP="00024742">
      <w:pPr>
        <w:pStyle w:val="Heading3"/>
      </w:pPr>
      <w:r>
        <w:t>Limitations</w:t>
      </w:r>
    </w:p>
    <w:p w:rsidR="00024742" w:rsidRPr="004C1057" w:rsidRDefault="00B30BB6" w:rsidP="00024742">
      <w:r>
        <w:t xml:space="preserve">Some suppliers may argue that principles-based mandatory safety standards provide less clarity and certainty than prescriptive regulation. This may reduce supplier confidence in </w:t>
      </w:r>
      <w:r w:rsidRPr="004C1057">
        <w:t>demonstrating that their products are compliant.</w:t>
      </w:r>
    </w:p>
    <w:p w:rsidR="00B30BB6" w:rsidRPr="004C1057" w:rsidRDefault="00006EF8" w:rsidP="00024742">
      <w:r w:rsidRPr="004C1057">
        <w:t>Allowing compliance with multiple voluntary standards could make enforcement of the mandatory safety standard more difficult for regulators.</w:t>
      </w:r>
      <w:r w:rsidR="00AB0CC8" w:rsidRPr="004C1057">
        <w:t xml:space="preserve"> However, this kind of principles-based regulation has operated successfully in Europe, including the United Kingdom, for many years and European and UK enforcement agencies have intervened successfully to ensure toy safety on many occasions in that time.</w:t>
      </w:r>
    </w:p>
    <w:p w:rsidR="00024742" w:rsidRPr="004C1057" w:rsidRDefault="00024742" w:rsidP="00024742">
      <w:pPr>
        <w:pStyle w:val="Heading3"/>
      </w:pPr>
      <w:r w:rsidRPr="004C1057">
        <w:t>Net Benefits</w:t>
      </w:r>
    </w:p>
    <w:p w:rsidR="00D317B3" w:rsidRPr="00FE4CB5" w:rsidRDefault="00FB3D92" w:rsidP="00E86063">
      <w:r w:rsidRPr="004C1057">
        <w:t>We estimate this option would save industry $</w:t>
      </w:r>
      <w:r w:rsidR="00E067F2" w:rsidRPr="004C1057">
        <w:t>5.899</w:t>
      </w:r>
      <w:r w:rsidRPr="004C1057">
        <w:t>m annually – the same as Option 3 (Table 7). Appendix A provides a detailed explanation</w:t>
      </w:r>
      <w:r>
        <w:t xml:space="preserve"> of costings.</w:t>
      </w:r>
    </w:p>
    <w:p w:rsidR="00E86063" w:rsidRPr="0074397F" w:rsidRDefault="00E86063" w:rsidP="00E86063">
      <w:pPr>
        <w:rPr>
          <w:b/>
          <w:sz w:val="20"/>
          <w:szCs w:val="20"/>
        </w:rPr>
      </w:pPr>
      <w:r>
        <w:rPr>
          <w:b/>
          <w:sz w:val="20"/>
          <w:szCs w:val="20"/>
        </w:rPr>
        <w:t xml:space="preserve">Table 7: Option 3a – Regulatory burden and cost offset estimate table </w:t>
      </w:r>
    </w:p>
    <w:tbl>
      <w:tblPr>
        <w:tblStyle w:val="LightGrid-Accent2"/>
        <w:tblW w:w="9464" w:type="dxa"/>
        <w:tblLook w:val="04A0" w:firstRow="1" w:lastRow="0" w:firstColumn="1" w:lastColumn="0" w:noHBand="0" w:noVBand="1"/>
      </w:tblPr>
      <w:tblGrid>
        <w:gridCol w:w="2128"/>
        <w:gridCol w:w="1646"/>
        <w:gridCol w:w="2170"/>
        <w:gridCol w:w="1946"/>
        <w:gridCol w:w="1574"/>
      </w:tblGrid>
      <w:tr w:rsidR="00E86063" w:rsidRPr="002E3635" w:rsidTr="005D59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E86063" w:rsidRPr="002E3635" w:rsidRDefault="00E86063" w:rsidP="005D59D0">
            <w:pPr>
              <w:keepNext/>
              <w:spacing w:before="120" w:after="120"/>
              <w:rPr>
                <w:rFonts w:cs="Arial"/>
                <w:sz w:val="20"/>
                <w:szCs w:val="20"/>
              </w:rPr>
            </w:pPr>
            <w:r w:rsidRPr="002E3635">
              <w:rPr>
                <w:rFonts w:cs="Arial"/>
                <w:sz w:val="20"/>
                <w:szCs w:val="20"/>
              </w:rPr>
              <w:t>Average annual regulatory costs (from business as usual)</w:t>
            </w:r>
          </w:p>
        </w:tc>
      </w:tr>
      <w:tr w:rsidR="00E86063" w:rsidRPr="002E3635" w:rsidTr="005D5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E86063" w:rsidRPr="00AD6C0C" w:rsidRDefault="00E86063" w:rsidP="005D59D0">
            <w:pPr>
              <w:keepNext/>
              <w:spacing w:before="120" w:after="120"/>
              <w:rPr>
                <w:rFonts w:cs="Arial"/>
                <w:sz w:val="20"/>
                <w:szCs w:val="20"/>
              </w:rPr>
            </w:pPr>
            <w:r w:rsidRPr="00AD6C0C">
              <w:rPr>
                <w:rFonts w:cs="Arial"/>
                <w:sz w:val="20"/>
                <w:szCs w:val="20"/>
              </w:rPr>
              <w:t xml:space="preserve">Change in costs </w:t>
            </w:r>
          </w:p>
          <w:p w:rsidR="00E86063" w:rsidRPr="00AD6C0C" w:rsidRDefault="00E86063" w:rsidP="005D59D0">
            <w:pPr>
              <w:keepNext/>
              <w:spacing w:before="120" w:after="120"/>
              <w:rPr>
                <w:rFonts w:cs="Arial"/>
                <w:sz w:val="20"/>
                <w:szCs w:val="20"/>
              </w:rPr>
            </w:pPr>
            <w:r w:rsidRPr="00AD6C0C">
              <w:rPr>
                <w:rFonts w:cs="Arial"/>
                <w:sz w:val="20"/>
                <w:szCs w:val="20"/>
              </w:rPr>
              <w:t>($ million)</w:t>
            </w:r>
          </w:p>
        </w:tc>
        <w:tc>
          <w:tcPr>
            <w:tcW w:w="1646" w:type="dxa"/>
            <w:noWrap/>
          </w:tcPr>
          <w:p w:rsidR="00E86063" w:rsidRPr="00AD6C0C" w:rsidRDefault="00E86063"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Business</w:t>
            </w:r>
          </w:p>
        </w:tc>
        <w:tc>
          <w:tcPr>
            <w:tcW w:w="2170" w:type="dxa"/>
            <w:noWrap/>
          </w:tcPr>
          <w:p w:rsidR="00E86063" w:rsidRPr="00AD6C0C" w:rsidRDefault="00E86063"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Community Organisations</w:t>
            </w:r>
          </w:p>
        </w:tc>
        <w:tc>
          <w:tcPr>
            <w:tcW w:w="1946" w:type="dxa"/>
            <w:noWrap/>
          </w:tcPr>
          <w:p w:rsidR="00E86063" w:rsidRPr="00AD6C0C" w:rsidRDefault="00E86063"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Individuals</w:t>
            </w:r>
          </w:p>
        </w:tc>
        <w:tc>
          <w:tcPr>
            <w:tcW w:w="1574" w:type="dxa"/>
            <w:noWrap/>
          </w:tcPr>
          <w:p w:rsidR="00E86063" w:rsidRPr="00AD6C0C" w:rsidRDefault="00E86063"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Total change in cost</w:t>
            </w:r>
          </w:p>
        </w:tc>
      </w:tr>
      <w:tr w:rsidR="00E86063" w:rsidRPr="002E3635" w:rsidTr="005D59D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E86063" w:rsidRPr="002E3635" w:rsidRDefault="00E86063" w:rsidP="005D59D0">
            <w:pPr>
              <w:keepNext/>
              <w:spacing w:before="120" w:after="120"/>
              <w:rPr>
                <w:rFonts w:cs="Arial"/>
                <w:b w:val="0"/>
                <w:sz w:val="20"/>
                <w:szCs w:val="20"/>
              </w:rPr>
            </w:pPr>
            <w:r w:rsidRPr="002E3635">
              <w:rPr>
                <w:rFonts w:cs="Arial"/>
                <w:b w:val="0"/>
                <w:sz w:val="20"/>
                <w:szCs w:val="20"/>
              </w:rPr>
              <w:t>Total, by sector</w:t>
            </w:r>
          </w:p>
        </w:tc>
        <w:tc>
          <w:tcPr>
            <w:tcW w:w="1646" w:type="dxa"/>
            <w:noWrap/>
          </w:tcPr>
          <w:p w:rsidR="00E86063" w:rsidRPr="002E3635" w:rsidRDefault="00E86063" w:rsidP="00E067F2">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w:t>
            </w:r>
            <w:r w:rsidR="00E067F2">
              <w:rPr>
                <w:rFonts w:eastAsia="MS Gothic" w:cs="Arial"/>
                <w:bCs/>
                <w:sz w:val="20"/>
                <w:szCs w:val="20"/>
              </w:rPr>
              <w:t>5.899</w:t>
            </w:r>
            <w:r>
              <w:rPr>
                <w:rFonts w:eastAsia="MS Gothic" w:cs="Arial"/>
                <w:bCs/>
                <w:sz w:val="20"/>
                <w:szCs w:val="20"/>
              </w:rPr>
              <w:t>)</w:t>
            </w:r>
          </w:p>
        </w:tc>
        <w:tc>
          <w:tcPr>
            <w:tcW w:w="2170" w:type="dxa"/>
            <w:noWrap/>
          </w:tcPr>
          <w:p w:rsidR="00E86063" w:rsidRPr="002E3635" w:rsidRDefault="00E86063" w:rsidP="005D59D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946" w:type="dxa"/>
            <w:noWrap/>
          </w:tcPr>
          <w:p w:rsidR="00E86063" w:rsidRPr="002E3635" w:rsidRDefault="00E86063" w:rsidP="005D59D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574" w:type="dxa"/>
            <w:noWrap/>
          </w:tcPr>
          <w:p w:rsidR="00E86063" w:rsidRPr="002E3635" w:rsidRDefault="00E86063" w:rsidP="00E067F2">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w:t>
            </w:r>
            <w:r w:rsidR="00E067F2">
              <w:rPr>
                <w:rFonts w:eastAsia="MS Gothic" w:cs="Arial"/>
                <w:bCs/>
                <w:sz w:val="20"/>
                <w:szCs w:val="20"/>
              </w:rPr>
              <w:t>5.899</w:t>
            </w:r>
            <w:r>
              <w:rPr>
                <w:rFonts w:eastAsia="MS Gothic" w:cs="Arial"/>
                <w:bCs/>
                <w:sz w:val="20"/>
                <w:szCs w:val="20"/>
              </w:rPr>
              <w:t>)</w:t>
            </w:r>
          </w:p>
        </w:tc>
      </w:tr>
    </w:tbl>
    <w:p w:rsidR="00024742" w:rsidRDefault="00024742" w:rsidP="00024742">
      <w:pPr>
        <w:pStyle w:val="Heading2"/>
        <w:rPr>
          <w:rFonts w:eastAsia="Times New Roman" w:cs="Times New Roman"/>
          <w:b w:val="0"/>
        </w:rPr>
      </w:pPr>
      <w:bookmarkStart w:id="184" w:name="_Toc473714729"/>
      <w:r>
        <w:rPr>
          <w:rFonts w:eastAsia="Times New Roman" w:cs="Times New Roman"/>
          <w:b w:val="0"/>
        </w:rPr>
        <w:t>Option 4</w:t>
      </w:r>
      <w:r w:rsidRPr="007B372F">
        <w:rPr>
          <w:rFonts w:eastAsia="Times New Roman" w:cs="Times New Roman"/>
          <w:b w:val="0"/>
        </w:rPr>
        <w:t xml:space="preserve"> – </w:t>
      </w:r>
      <w:r>
        <w:rPr>
          <w:rFonts w:eastAsia="Times New Roman" w:cs="Times New Roman"/>
          <w:b w:val="0"/>
        </w:rPr>
        <w:t>Revoke the mandatory safety standards</w:t>
      </w:r>
      <w:bookmarkEnd w:id="184"/>
    </w:p>
    <w:p w:rsidR="00024742" w:rsidRDefault="00024742" w:rsidP="00024742">
      <w:pPr>
        <w:pStyle w:val="Heading3"/>
      </w:pPr>
      <w:r w:rsidRPr="009C2938">
        <w:t>Description</w:t>
      </w:r>
    </w:p>
    <w:p w:rsidR="00024742" w:rsidRDefault="00D40564" w:rsidP="00024742">
      <w:r>
        <w:t>Revoking the five mandatory safety standards would allow industry to self-regulate. Self-regulation would allow businesses to produce or import toys to Australia from overseas without needing to meet a specific safety standard.</w:t>
      </w:r>
    </w:p>
    <w:p w:rsidR="00D40564" w:rsidRDefault="00163329" w:rsidP="00024742">
      <w:r>
        <w:t xml:space="preserve">Suppliers would still need to have regard to the consumer protection provisions of the Australian Consumer Law (ACL). The ACL provides consumers with specific protections for </w:t>
      </w:r>
      <w:r>
        <w:lastRenderedPageBreak/>
        <w:t xml:space="preserve">consumer transactions called statutory consumer guarantees every time they purchase goods or services. One of those guarantees is that goods will be of acceptable quality, meaning they are safe and fit for purpose. </w:t>
      </w:r>
    </w:p>
    <w:p w:rsidR="00024742" w:rsidRDefault="00024742" w:rsidP="00024742">
      <w:pPr>
        <w:pStyle w:val="Heading3"/>
      </w:pPr>
      <w:r>
        <w:t>Benefits</w:t>
      </w:r>
    </w:p>
    <w:p w:rsidR="00024742" w:rsidRPr="004C1057" w:rsidRDefault="00DF711D" w:rsidP="00024742">
      <w:r>
        <w:t xml:space="preserve">There would be no direct compliance costs for industry under this option. Any barriers to trade resulting from the current mandatory safety standards would be removed, making it easier for businesses to import products to Australia. This may result in lower priced </w:t>
      </w:r>
      <w:r w:rsidRPr="004C1057">
        <w:t>children’s toys and greater product choice for Australian consumers.</w:t>
      </w:r>
    </w:p>
    <w:p w:rsidR="00024742" w:rsidRPr="004C1057" w:rsidRDefault="00024742" w:rsidP="00024742">
      <w:pPr>
        <w:pStyle w:val="Heading3"/>
      </w:pPr>
      <w:r w:rsidRPr="004C1057">
        <w:t>Limitations</w:t>
      </w:r>
    </w:p>
    <w:p w:rsidR="00620D01" w:rsidRDefault="00255FB6" w:rsidP="00024742">
      <w:r w:rsidRPr="004C1057">
        <w:t>Given</w:t>
      </w:r>
      <w:r w:rsidR="00620D01" w:rsidRPr="004C1057">
        <w:t xml:space="preserve"> the deaths and injuries to children associated with the use of toys, removing the five mandatory safety standards is likely to increase the number of serious injuries and deaths to children from toys</w:t>
      </w:r>
      <w:r w:rsidR="00AB0CC8" w:rsidRPr="004C1057">
        <w:t xml:space="preserve"> significantly</w:t>
      </w:r>
      <w:r w:rsidR="00620D01" w:rsidRPr="004C1057">
        <w:t>.</w:t>
      </w:r>
    </w:p>
    <w:p w:rsidR="00024742" w:rsidRDefault="002E7D02" w:rsidP="00024742">
      <w:r>
        <w:t>There is a board range of children’s toys available in the Australian marketplace. Revoking the five mandatory safety standards would remove mandatory safety standards to reduce the risk of choking, suffocation, eye injuries, flesh wounds, magnet ingestion, drowning and exposure to unsafe levels of chemicals from toy materials.</w:t>
      </w:r>
      <w:r w:rsidR="007A2A29">
        <w:t xml:space="preserve"> This could reduce consumer and retailer confidence in the toy industry.</w:t>
      </w:r>
    </w:p>
    <w:p w:rsidR="007A2A29" w:rsidRPr="007B372F" w:rsidRDefault="007A2A29" w:rsidP="00024742">
      <w:r>
        <w:t xml:space="preserve">Without mandatory safety standards, suppliers would determine the safety requirements for their products. Some manufacturers may circumvent safety design features and testing to reduce production costs. </w:t>
      </w:r>
    </w:p>
    <w:p w:rsidR="00024742" w:rsidRPr="007B372F" w:rsidRDefault="00024742" w:rsidP="00024742">
      <w:pPr>
        <w:pStyle w:val="Heading3"/>
      </w:pPr>
      <w:r>
        <w:t>Net Benefits</w:t>
      </w:r>
    </w:p>
    <w:p w:rsidR="0022519C" w:rsidRPr="00FE4CB5" w:rsidRDefault="007A2A29" w:rsidP="007A2A29">
      <w:r>
        <w:t>We estimate this option would save industry $</w:t>
      </w:r>
      <w:r w:rsidR="00E067F2">
        <w:t>8.859</w:t>
      </w:r>
      <w:r>
        <w:t>m annually (Table 8). Appendix A provides a detailed explanation of costings.</w:t>
      </w:r>
    </w:p>
    <w:p w:rsidR="007A2A29" w:rsidRPr="0074397F" w:rsidRDefault="007A2A29" w:rsidP="007A2A29">
      <w:pPr>
        <w:rPr>
          <w:b/>
          <w:sz w:val="20"/>
          <w:szCs w:val="20"/>
        </w:rPr>
      </w:pPr>
      <w:r>
        <w:rPr>
          <w:b/>
          <w:sz w:val="20"/>
          <w:szCs w:val="20"/>
        </w:rPr>
        <w:t xml:space="preserve">Table 8: Option 4 – Regulatory burden and cost offset estimate table </w:t>
      </w:r>
    </w:p>
    <w:tbl>
      <w:tblPr>
        <w:tblStyle w:val="LightGrid-Accent2"/>
        <w:tblW w:w="9464" w:type="dxa"/>
        <w:tblLook w:val="04A0" w:firstRow="1" w:lastRow="0" w:firstColumn="1" w:lastColumn="0" w:noHBand="0" w:noVBand="1"/>
      </w:tblPr>
      <w:tblGrid>
        <w:gridCol w:w="2128"/>
        <w:gridCol w:w="1646"/>
        <w:gridCol w:w="2170"/>
        <w:gridCol w:w="1946"/>
        <w:gridCol w:w="1574"/>
      </w:tblGrid>
      <w:tr w:rsidR="007A2A29" w:rsidRPr="002E3635" w:rsidTr="005D59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7A2A29" w:rsidRPr="002E3635" w:rsidRDefault="007A2A29" w:rsidP="005D59D0">
            <w:pPr>
              <w:keepNext/>
              <w:spacing w:before="120" w:after="120"/>
              <w:rPr>
                <w:rFonts w:cs="Arial"/>
                <w:sz w:val="20"/>
                <w:szCs w:val="20"/>
              </w:rPr>
            </w:pPr>
            <w:r w:rsidRPr="002E3635">
              <w:rPr>
                <w:rFonts w:cs="Arial"/>
                <w:sz w:val="20"/>
                <w:szCs w:val="20"/>
              </w:rPr>
              <w:t>Average annual regulatory costs (from business as usual)</w:t>
            </w:r>
          </w:p>
        </w:tc>
      </w:tr>
      <w:tr w:rsidR="007A2A29" w:rsidRPr="002E3635" w:rsidTr="005D5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7A2A29" w:rsidRPr="00AD6C0C" w:rsidRDefault="007A2A29" w:rsidP="005D59D0">
            <w:pPr>
              <w:keepNext/>
              <w:spacing w:before="120" w:after="120"/>
              <w:rPr>
                <w:rFonts w:cs="Arial"/>
                <w:sz w:val="20"/>
                <w:szCs w:val="20"/>
              </w:rPr>
            </w:pPr>
            <w:r w:rsidRPr="00AD6C0C">
              <w:rPr>
                <w:rFonts w:cs="Arial"/>
                <w:sz w:val="20"/>
                <w:szCs w:val="20"/>
              </w:rPr>
              <w:t xml:space="preserve">Change in costs </w:t>
            </w:r>
          </w:p>
          <w:p w:rsidR="007A2A29" w:rsidRPr="00AD6C0C" w:rsidRDefault="007A2A29" w:rsidP="005D59D0">
            <w:pPr>
              <w:keepNext/>
              <w:spacing w:before="120" w:after="120"/>
              <w:rPr>
                <w:rFonts w:cs="Arial"/>
                <w:sz w:val="20"/>
                <w:szCs w:val="20"/>
              </w:rPr>
            </w:pPr>
            <w:r w:rsidRPr="00AD6C0C">
              <w:rPr>
                <w:rFonts w:cs="Arial"/>
                <w:sz w:val="20"/>
                <w:szCs w:val="20"/>
              </w:rPr>
              <w:t>($ million)</w:t>
            </w:r>
          </w:p>
        </w:tc>
        <w:tc>
          <w:tcPr>
            <w:tcW w:w="1646" w:type="dxa"/>
            <w:noWrap/>
          </w:tcPr>
          <w:p w:rsidR="007A2A29" w:rsidRPr="00AD6C0C" w:rsidRDefault="007A2A29"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Business</w:t>
            </w:r>
          </w:p>
        </w:tc>
        <w:tc>
          <w:tcPr>
            <w:tcW w:w="2170" w:type="dxa"/>
            <w:noWrap/>
          </w:tcPr>
          <w:p w:rsidR="007A2A29" w:rsidRPr="00AD6C0C" w:rsidRDefault="007A2A29"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Community Organisations</w:t>
            </w:r>
          </w:p>
        </w:tc>
        <w:tc>
          <w:tcPr>
            <w:tcW w:w="1946" w:type="dxa"/>
            <w:noWrap/>
          </w:tcPr>
          <w:p w:rsidR="007A2A29" w:rsidRPr="00AD6C0C" w:rsidRDefault="007A2A29"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Individuals</w:t>
            </w:r>
          </w:p>
        </w:tc>
        <w:tc>
          <w:tcPr>
            <w:tcW w:w="1574" w:type="dxa"/>
            <w:noWrap/>
          </w:tcPr>
          <w:p w:rsidR="007A2A29" w:rsidRPr="00AD6C0C" w:rsidRDefault="007A2A29" w:rsidP="005D59D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
                <w:bCs/>
                <w:sz w:val="20"/>
                <w:szCs w:val="20"/>
              </w:rPr>
            </w:pPr>
            <w:r w:rsidRPr="00AD6C0C">
              <w:rPr>
                <w:rFonts w:eastAsia="MS Gothic" w:cs="Arial"/>
                <w:b/>
                <w:bCs/>
                <w:sz w:val="20"/>
                <w:szCs w:val="20"/>
              </w:rPr>
              <w:t>Total change in cost</w:t>
            </w:r>
          </w:p>
        </w:tc>
      </w:tr>
      <w:tr w:rsidR="007A2A29" w:rsidRPr="002E3635" w:rsidTr="005D59D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7A2A29" w:rsidRPr="002E3635" w:rsidRDefault="007A2A29" w:rsidP="005D59D0">
            <w:pPr>
              <w:keepNext/>
              <w:spacing w:before="120" w:after="120"/>
              <w:rPr>
                <w:rFonts w:cs="Arial"/>
                <w:b w:val="0"/>
                <w:sz w:val="20"/>
                <w:szCs w:val="20"/>
              </w:rPr>
            </w:pPr>
            <w:r w:rsidRPr="002E3635">
              <w:rPr>
                <w:rFonts w:cs="Arial"/>
                <w:b w:val="0"/>
                <w:sz w:val="20"/>
                <w:szCs w:val="20"/>
              </w:rPr>
              <w:t>Total, by sector</w:t>
            </w:r>
          </w:p>
        </w:tc>
        <w:tc>
          <w:tcPr>
            <w:tcW w:w="1646" w:type="dxa"/>
            <w:noWrap/>
          </w:tcPr>
          <w:p w:rsidR="007A2A29" w:rsidRPr="002E3635" w:rsidRDefault="007A2A29" w:rsidP="00E067F2">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w:t>
            </w:r>
            <w:r w:rsidR="00E067F2">
              <w:rPr>
                <w:rFonts w:eastAsia="MS Gothic" w:cs="Arial"/>
                <w:bCs/>
                <w:sz w:val="20"/>
                <w:szCs w:val="20"/>
              </w:rPr>
              <w:t>8.859</w:t>
            </w:r>
            <w:r>
              <w:rPr>
                <w:rFonts w:eastAsia="MS Gothic" w:cs="Arial"/>
                <w:bCs/>
                <w:sz w:val="20"/>
                <w:szCs w:val="20"/>
              </w:rPr>
              <w:t>)</w:t>
            </w:r>
          </w:p>
        </w:tc>
        <w:tc>
          <w:tcPr>
            <w:tcW w:w="2170" w:type="dxa"/>
            <w:noWrap/>
          </w:tcPr>
          <w:p w:rsidR="007A2A29" w:rsidRPr="002E3635" w:rsidRDefault="007A2A29" w:rsidP="005D59D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946" w:type="dxa"/>
            <w:noWrap/>
          </w:tcPr>
          <w:p w:rsidR="007A2A29" w:rsidRPr="002E3635" w:rsidRDefault="007A2A29" w:rsidP="005D59D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574" w:type="dxa"/>
            <w:noWrap/>
          </w:tcPr>
          <w:p w:rsidR="007A2A29" w:rsidRPr="002E3635" w:rsidRDefault="007A2A29" w:rsidP="00E067F2">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w:t>
            </w:r>
            <w:r w:rsidR="00E067F2">
              <w:rPr>
                <w:rFonts w:eastAsia="MS Gothic" w:cs="Arial"/>
                <w:bCs/>
                <w:sz w:val="20"/>
                <w:szCs w:val="20"/>
              </w:rPr>
              <w:t>8.859</w:t>
            </w:r>
            <w:r>
              <w:rPr>
                <w:rFonts w:eastAsia="MS Gothic" w:cs="Arial"/>
                <w:bCs/>
                <w:sz w:val="20"/>
                <w:szCs w:val="20"/>
              </w:rPr>
              <w:t>)</w:t>
            </w:r>
          </w:p>
        </w:tc>
      </w:tr>
    </w:tbl>
    <w:p w:rsidR="00DD2206" w:rsidRDefault="00DD2206" w:rsidP="00C059DC">
      <w:pPr>
        <w:spacing w:before="0"/>
      </w:pPr>
    </w:p>
    <w:p w:rsidR="0059065E" w:rsidRPr="004C1057" w:rsidRDefault="0059065E" w:rsidP="005F690D">
      <w:pPr>
        <w:pStyle w:val="Numbered1"/>
        <w:numPr>
          <w:ilvl w:val="0"/>
          <w:numId w:val="33"/>
        </w:numPr>
        <w:ind w:left="680" w:hanging="680"/>
        <w:rPr>
          <w:rFonts w:eastAsia="Times New Roman" w:cs="Times New Roman"/>
        </w:rPr>
      </w:pPr>
      <w:bookmarkStart w:id="185" w:name="_Toc473714730"/>
      <w:r w:rsidRPr="004C1057">
        <w:rPr>
          <w:rFonts w:eastAsia="Times New Roman" w:cs="Times New Roman"/>
        </w:rPr>
        <w:t>Preliminary position</w:t>
      </w:r>
      <w:bookmarkEnd w:id="185"/>
    </w:p>
    <w:p w:rsidR="00623263" w:rsidRPr="004C1057" w:rsidRDefault="007C62DB" w:rsidP="007B372F">
      <w:r w:rsidRPr="004C1057">
        <w:t xml:space="preserve">The ACCC is currently of the view that Option 3 is likely to provide the greatest net benefit to consumers, suppliers and regulators. </w:t>
      </w:r>
    </w:p>
    <w:p w:rsidR="0059065E" w:rsidRPr="004C1057" w:rsidRDefault="007C62DB" w:rsidP="007B372F">
      <w:r w:rsidRPr="004C1057">
        <w:t>We are also</w:t>
      </w:r>
      <w:r w:rsidR="00844D93" w:rsidRPr="004C1057">
        <w:t xml:space="preserve"> particularly</w:t>
      </w:r>
      <w:r w:rsidRPr="004C1057">
        <w:t xml:space="preserve"> interested to receive stakeholder views on Option 3a, a </w:t>
      </w:r>
      <w:r w:rsidR="00C20C12" w:rsidRPr="004C1057">
        <w:t>single</w:t>
      </w:r>
      <w:r w:rsidRPr="004C1057">
        <w:t xml:space="preserve"> principles-based mandatory safety standard</w:t>
      </w:r>
      <w:r w:rsidR="00C20C12" w:rsidRPr="004C1057">
        <w:t xml:space="preserve"> for children’s toys</w:t>
      </w:r>
      <w:r w:rsidRPr="004C1057">
        <w:t>.</w:t>
      </w:r>
    </w:p>
    <w:p w:rsidR="007A2A29" w:rsidRDefault="007C62DB" w:rsidP="007B372F">
      <w:r w:rsidRPr="004C1057">
        <w:t>Stakeholder submission to this consultation will help us refine the estimated</w:t>
      </w:r>
      <w:r>
        <w:t xml:space="preserve"> costs, benefits and safety outcomes for each option, and to recommend the most appropriate option to the Minister.</w:t>
      </w:r>
    </w:p>
    <w:p w:rsidR="00BA2232" w:rsidRDefault="00BA2232" w:rsidP="007B372F"/>
    <w:p w:rsidR="0059065E" w:rsidRPr="007B372F" w:rsidRDefault="0059065E" w:rsidP="005F690D">
      <w:pPr>
        <w:pStyle w:val="Numbered1"/>
        <w:numPr>
          <w:ilvl w:val="0"/>
          <w:numId w:val="33"/>
        </w:numPr>
        <w:ind w:left="680" w:hanging="680"/>
        <w:rPr>
          <w:rFonts w:eastAsia="Times New Roman" w:cs="Times New Roman"/>
        </w:rPr>
      </w:pPr>
      <w:bookmarkStart w:id="186" w:name="_Toc473714731"/>
      <w:r>
        <w:rPr>
          <w:rFonts w:eastAsia="Times New Roman" w:cs="Times New Roman"/>
        </w:rPr>
        <w:lastRenderedPageBreak/>
        <w:t>Key questions</w:t>
      </w:r>
      <w:bookmarkEnd w:id="186"/>
    </w:p>
    <w:p w:rsidR="0059065E" w:rsidRDefault="00853D2B" w:rsidP="00900F80">
      <w:pPr>
        <w:pStyle w:val="ListParagraph"/>
        <w:numPr>
          <w:ilvl w:val="0"/>
          <w:numId w:val="34"/>
        </w:numPr>
      </w:pPr>
      <w:r>
        <w:rPr>
          <w:noProof/>
          <w:lang w:eastAsia="en-AU"/>
        </w:rPr>
        <mc:AlternateContent>
          <mc:Choice Requires="wps">
            <w:drawing>
              <wp:anchor distT="0" distB="0" distL="114300" distR="114300" simplePos="0" relativeHeight="251663360" behindDoc="1" locked="0" layoutInCell="1" allowOverlap="1" wp14:anchorId="1B819BA6" wp14:editId="563CEACC">
                <wp:simplePos x="0" y="0"/>
                <wp:positionH relativeFrom="column">
                  <wp:posOffset>180753</wp:posOffset>
                </wp:positionH>
                <wp:positionV relativeFrom="paragraph">
                  <wp:posOffset>66764</wp:posOffset>
                </wp:positionV>
                <wp:extent cx="5752214" cy="5273748"/>
                <wp:effectExtent l="0" t="0" r="20320" b="22225"/>
                <wp:wrapNone/>
                <wp:docPr id="10" name="Text Box 10"/>
                <wp:cNvGraphicFramePr/>
                <a:graphic xmlns:a="http://schemas.openxmlformats.org/drawingml/2006/main">
                  <a:graphicData uri="http://schemas.microsoft.com/office/word/2010/wordprocessingShape">
                    <wps:wsp>
                      <wps:cNvSpPr txBox="1"/>
                      <wps:spPr>
                        <a:xfrm>
                          <a:off x="0" y="0"/>
                          <a:ext cx="5752214" cy="52737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B4E" w:rsidRDefault="00532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4.25pt;margin-top:5.25pt;width:452.95pt;height:41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" fillcolor="white [3201]" strokeweight=".5pt">
                <v:textbox>
                  <w:txbxContent>
                    <w:p w:rsidR="00532B4E" w:rsidRDefault="00532B4E"/>
                  </w:txbxContent>
                </v:textbox>
              </v:shape>
            </w:pict>
          </mc:Fallback>
        </mc:AlternateContent>
      </w:r>
      <w:r w:rsidR="008364B4">
        <w:t>Do you agree with the issues identified?</w:t>
      </w:r>
    </w:p>
    <w:p w:rsidR="008364B4" w:rsidRDefault="008364B4" w:rsidP="00900F80">
      <w:pPr>
        <w:pStyle w:val="ListParagraph"/>
        <w:numPr>
          <w:ilvl w:val="0"/>
          <w:numId w:val="34"/>
        </w:numPr>
      </w:pPr>
      <w:r>
        <w:t>Are there safety hazards not addressed in this consultation paper?</w:t>
      </w:r>
    </w:p>
    <w:p w:rsidR="008364B4" w:rsidRPr="004C1057" w:rsidRDefault="008364B4" w:rsidP="005F690D">
      <w:pPr>
        <w:pStyle w:val="ListParagraph"/>
        <w:numPr>
          <w:ilvl w:val="0"/>
          <w:numId w:val="34"/>
        </w:numPr>
      </w:pPr>
      <w:r>
        <w:t>Do you support a principles based warning on flotation and aquatic toys</w:t>
      </w:r>
      <w:r w:rsidR="00900F80">
        <w:t>?</w:t>
      </w:r>
      <w:r>
        <w:t xml:space="preserve"> </w:t>
      </w:r>
      <w:r w:rsidR="00900F80">
        <w:t xml:space="preserve">The warning would be </w:t>
      </w:r>
      <w:r>
        <w:t>indelible and legible</w:t>
      </w:r>
      <w:r w:rsidR="00900F80">
        <w:t>,</w:t>
      </w:r>
      <w:r>
        <w:t xml:space="preserve"> alert parents and carers to the hazard and </w:t>
      </w:r>
      <w:r w:rsidR="00900F80" w:rsidRPr="004C1057">
        <w:t xml:space="preserve">identify </w:t>
      </w:r>
      <w:r w:rsidRPr="004C1057">
        <w:t>the action required to pr</w:t>
      </w:r>
      <w:r w:rsidR="00716857">
        <w:t>event the hazard from occurring</w:t>
      </w:r>
    </w:p>
    <w:p w:rsidR="00214DCF" w:rsidRPr="004C1057" w:rsidRDefault="00C93A97" w:rsidP="005F690D">
      <w:pPr>
        <w:pStyle w:val="ListParagraph"/>
        <w:numPr>
          <w:ilvl w:val="0"/>
          <w:numId w:val="34"/>
        </w:numPr>
      </w:pPr>
      <w:r w:rsidRPr="004C1057">
        <w:t xml:space="preserve">Should </w:t>
      </w:r>
      <w:r w:rsidR="0074235C" w:rsidRPr="004C1057">
        <w:t xml:space="preserve">we mandate </w:t>
      </w:r>
      <w:r w:rsidR="002D6EF4" w:rsidRPr="004C1057">
        <w:t xml:space="preserve">a warning </w:t>
      </w:r>
      <w:r w:rsidR="0074235C" w:rsidRPr="004C1057">
        <w:t xml:space="preserve">on </w:t>
      </w:r>
      <w:r w:rsidR="00DA76AE" w:rsidRPr="004C1057">
        <w:t xml:space="preserve">toys containing </w:t>
      </w:r>
      <w:r w:rsidR="00DA76AE" w:rsidRPr="004C1057">
        <w:rPr>
          <w:rFonts w:asciiTheme="minorHAnsi" w:hAnsiTheme="minorHAnsi" w:cstheme="minorHAnsi"/>
        </w:rPr>
        <w:t>button or coin cell batteries</w:t>
      </w:r>
      <w:r w:rsidR="00DA76AE" w:rsidRPr="004C1057">
        <w:t xml:space="preserve"> </w:t>
      </w:r>
      <w:r w:rsidR="00C059DC" w:rsidRPr="004C1057">
        <w:t>to draw</w:t>
      </w:r>
      <w:r w:rsidR="00DA76AE" w:rsidRPr="004C1057">
        <w:t xml:space="preserve"> attention to the hazards to young children?</w:t>
      </w:r>
    </w:p>
    <w:p w:rsidR="002379A1" w:rsidRPr="002D6EF4" w:rsidRDefault="002379A1" w:rsidP="005F690D">
      <w:pPr>
        <w:pStyle w:val="ListParagraph"/>
        <w:numPr>
          <w:ilvl w:val="0"/>
          <w:numId w:val="34"/>
        </w:numPr>
      </w:pPr>
      <w:r w:rsidRPr="004C1057">
        <w:t>Do you agree with our assessment of international</w:t>
      </w:r>
      <w:r w:rsidRPr="002D6EF4">
        <w:t xml:space="preserve"> standards for children’s toys?</w:t>
      </w:r>
    </w:p>
    <w:p w:rsidR="002379A1" w:rsidRPr="002D6EF4" w:rsidRDefault="002379A1" w:rsidP="005F690D">
      <w:pPr>
        <w:pStyle w:val="ListParagraph"/>
        <w:numPr>
          <w:ilvl w:val="0"/>
          <w:numId w:val="34"/>
        </w:numPr>
      </w:pPr>
      <w:r w:rsidRPr="002D6EF4">
        <w:t>Do you see any specific issues with accepting compliance with the 2016 version of the ASTM standard?</w:t>
      </w:r>
    </w:p>
    <w:p w:rsidR="00C93A97" w:rsidRDefault="00C93A97" w:rsidP="005F690D">
      <w:pPr>
        <w:pStyle w:val="ListParagraph"/>
        <w:numPr>
          <w:ilvl w:val="0"/>
          <w:numId w:val="34"/>
        </w:numPr>
      </w:pPr>
      <w:r w:rsidRPr="002D6EF4">
        <w:t xml:space="preserve">Should the </w:t>
      </w:r>
      <w:r w:rsidR="00E526D4">
        <w:t xml:space="preserve">requirement for </w:t>
      </w:r>
      <w:r w:rsidR="00586CEF">
        <w:t xml:space="preserve">a </w:t>
      </w:r>
      <w:r w:rsidRPr="002D6EF4">
        <w:t xml:space="preserve">warning </w:t>
      </w:r>
      <w:r w:rsidR="00E526D4">
        <w:t xml:space="preserve">statement </w:t>
      </w:r>
      <w:r w:rsidRPr="002D6EF4">
        <w:t xml:space="preserve">on projectile toys </w:t>
      </w:r>
      <w:r w:rsidR="00E526D4">
        <w:t>drawing</w:t>
      </w:r>
      <w:r w:rsidRPr="002D6EF4">
        <w:t xml:space="preserve"> attention to the hazards</w:t>
      </w:r>
      <w:r>
        <w:t xml:space="preserve"> of aiming at the face and eyes continue to be mandated?</w:t>
      </w:r>
    </w:p>
    <w:p w:rsidR="002379A1" w:rsidRDefault="002379A1" w:rsidP="005F690D">
      <w:pPr>
        <w:pStyle w:val="ListParagraph"/>
        <w:numPr>
          <w:ilvl w:val="0"/>
          <w:numId w:val="34"/>
        </w:numPr>
      </w:pPr>
      <w:r>
        <w:t>Do you agree with our assessment not to accept the</w:t>
      </w:r>
      <w:r w:rsidR="002C317B">
        <w:t xml:space="preserve"> element migration limits in the</w:t>
      </w:r>
      <w:r>
        <w:t xml:space="preserve"> ISO standard for finger paints?</w:t>
      </w:r>
    </w:p>
    <w:p w:rsidR="002379A1" w:rsidRPr="00532B4E" w:rsidRDefault="002379A1" w:rsidP="005F690D">
      <w:pPr>
        <w:pStyle w:val="ListParagraph"/>
        <w:numPr>
          <w:ilvl w:val="0"/>
          <w:numId w:val="34"/>
        </w:numPr>
      </w:pPr>
      <w:r w:rsidRPr="00532B4E">
        <w:t xml:space="preserve">Which policy option do you support? </w:t>
      </w:r>
    </w:p>
    <w:p w:rsidR="004D7D5B" w:rsidRPr="00532B4E" w:rsidRDefault="004D7D5B" w:rsidP="004D7D5B">
      <w:pPr>
        <w:pStyle w:val="ListParagraph"/>
        <w:numPr>
          <w:ilvl w:val="0"/>
          <w:numId w:val="34"/>
        </w:numPr>
      </w:pPr>
      <w:r w:rsidRPr="00532B4E">
        <w:t>What is your view about any competition effect on domestic manufacturers under the proposed options?</w:t>
      </w:r>
    </w:p>
    <w:p w:rsidR="002379A1" w:rsidRDefault="002379A1" w:rsidP="005F690D">
      <w:pPr>
        <w:pStyle w:val="ListParagraph"/>
        <w:numPr>
          <w:ilvl w:val="0"/>
          <w:numId w:val="34"/>
        </w:numPr>
      </w:pPr>
      <w:r w:rsidRPr="00532B4E">
        <w:t>What are your views on</w:t>
      </w:r>
      <w:r w:rsidRPr="004C1057">
        <w:t xml:space="preserve"> a </w:t>
      </w:r>
      <w:r w:rsidR="00F12BE0" w:rsidRPr="004C1057">
        <w:t xml:space="preserve">single </w:t>
      </w:r>
      <w:r w:rsidRPr="004C1057">
        <w:t xml:space="preserve">principles-based mandatory safety standard for children’s toys </w:t>
      </w:r>
      <w:r w:rsidR="00F12BE0" w:rsidRPr="004C1057">
        <w:t>based on the principles in the European Toy Safety Directive?</w:t>
      </w:r>
    </w:p>
    <w:p w:rsidR="002379A1" w:rsidRPr="004C1057" w:rsidRDefault="002379A1" w:rsidP="005F690D">
      <w:pPr>
        <w:pStyle w:val="ListParagraph"/>
        <w:numPr>
          <w:ilvl w:val="0"/>
          <w:numId w:val="34"/>
        </w:numPr>
      </w:pPr>
      <w:r w:rsidRPr="004C1057">
        <w:t>Are there any other policy options that the ACCC should consider?</w:t>
      </w:r>
    </w:p>
    <w:p w:rsidR="002379A1" w:rsidRPr="004C1057" w:rsidRDefault="002379A1" w:rsidP="005F690D">
      <w:pPr>
        <w:pStyle w:val="ListParagraph"/>
        <w:numPr>
          <w:ilvl w:val="0"/>
          <w:numId w:val="34"/>
        </w:numPr>
      </w:pPr>
      <w:r w:rsidRPr="004C1057">
        <w:t xml:space="preserve">How much time </w:t>
      </w:r>
      <w:r w:rsidR="0074235C" w:rsidRPr="004C1057">
        <w:t>would</w:t>
      </w:r>
      <w:r w:rsidRPr="004C1057">
        <w:t xml:space="preserve"> suppliers </w:t>
      </w:r>
      <w:r w:rsidR="0074235C" w:rsidRPr="004C1057">
        <w:t xml:space="preserve">need </w:t>
      </w:r>
      <w:r w:rsidRPr="004C1057">
        <w:t>to transition to a new mandatory safety standard?</w:t>
      </w:r>
    </w:p>
    <w:p w:rsidR="002379A1" w:rsidRDefault="002379A1" w:rsidP="005F690D">
      <w:pPr>
        <w:pStyle w:val="ListParagraph"/>
        <w:numPr>
          <w:ilvl w:val="0"/>
          <w:numId w:val="34"/>
        </w:numPr>
      </w:pPr>
      <w:r w:rsidRPr="004C1057">
        <w:t>Do you agree with the ACCC estimates of costs set out in Appendix</w:t>
      </w:r>
      <w:r>
        <w:t xml:space="preserve"> A? Are there additional costs for your business that have not been included?</w:t>
      </w:r>
    </w:p>
    <w:p w:rsidR="00D317B3" w:rsidRDefault="002379A1" w:rsidP="005F6BA1">
      <w:pPr>
        <w:pStyle w:val="ListParagraph"/>
        <w:numPr>
          <w:ilvl w:val="0"/>
          <w:numId w:val="34"/>
        </w:numPr>
      </w:pPr>
      <w:r>
        <w:t>Do you have any other comments?</w:t>
      </w:r>
    </w:p>
    <w:p w:rsidR="0047559B" w:rsidRDefault="0047559B" w:rsidP="0047559B">
      <w:pPr>
        <w:pStyle w:val="ListParagraph"/>
        <w:numPr>
          <w:ilvl w:val="0"/>
          <w:numId w:val="0"/>
        </w:numPr>
        <w:ind w:left="720"/>
      </w:pPr>
    </w:p>
    <w:p w:rsidR="0047559B" w:rsidRDefault="0047559B" w:rsidP="004D7D5B"/>
    <w:p w:rsidR="005F6BA1" w:rsidRPr="007B372F" w:rsidRDefault="005F6BA1" w:rsidP="005F690D">
      <w:pPr>
        <w:pStyle w:val="Numbered1"/>
        <w:numPr>
          <w:ilvl w:val="0"/>
          <w:numId w:val="33"/>
        </w:numPr>
        <w:ind w:left="680" w:hanging="680"/>
        <w:rPr>
          <w:rFonts w:eastAsia="Times New Roman" w:cs="Times New Roman"/>
        </w:rPr>
      </w:pPr>
      <w:bookmarkStart w:id="187" w:name="_Toc473714732"/>
      <w:r>
        <w:rPr>
          <w:rFonts w:eastAsia="Times New Roman" w:cs="Times New Roman"/>
        </w:rPr>
        <w:t>Supplementary – teething necklaces</w:t>
      </w:r>
      <w:bookmarkEnd w:id="187"/>
    </w:p>
    <w:p w:rsidR="005F6BA1" w:rsidRDefault="00706CBA" w:rsidP="005F6BA1">
      <w:r>
        <w:t>Teething necklaces are a relatively new product designed and marketed to be worn by an adult and intended for an infant to chew on while being held (Figure 1). Suppliers claim that the main component of these products id food grade silicone.</w:t>
      </w:r>
    </w:p>
    <w:p w:rsidR="00706CBA" w:rsidRDefault="00706CBA" w:rsidP="005F6BA1">
      <w:r>
        <w:t>In 2015 the ACCC commissioned testing of teething necklaces to determine compliance with the requirements in clauses 4.5.1 (squeeze toys, rattles and certain other toys)</w:t>
      </w:r>
      <w:r>
        <w:rPr>
          <w:rStyle w:val="FootnoteReference"/>
        </w:rPr>
        <w:footnoteReference w:id="24"/>
      </w:r>
      <w:r w:rsidR="00AE6F96">
        <w:t xml:space="preserve"> and 5.3 (test for shape and size) referenced in the mandatory safety standard. The test reports confirmed that the products failed to comply.</w:t>
      </w:r>
    </w:p>
    <w:p w:rsidR="00BA2232" w:rsidRDefault="00BA2232" w:rsidP="005F6BA1">
      <w:pPr>
        <w:rPr>
          <w:b/>
          <w:sz w:val="20"/>
          <w:szCs w:val="20"/>
        </w:rPr>
      </w:pPr>
    </w:p>
    <w:p w:rsidR="00AE6F96" w:rsidRDefault="00AE6F96" w:rsidP="005F6BA1">
      <w:pPr>
        <w:rPr>
          <w:b/>
          <w:sz w:val="20"/>
          <w:szCs w:val="20"/>
        </w:rPr>
      </w:pPr>
      <w:r>
        <w:rPr>
          <w:b/>
          <w:sz w:val="20"/>
          <w:szCs w:val="20"/>
        </w:rPr>
        <w:lastRenderedPageBreak/>
        <w:t>Figure 1: Teething necklace or teething jewellery</w:t>
      </w:r>
    </w:p>
    <w:p w:rsidR="00AE6F96" w:rsidRDefault="00A253B3" w:rsidP="005F6BA1">
      <w:pPr>
        <w:rPr>
          <w:b/>
          <w:sz w:val="20"/>
          <w:szCs w:val="20"/>
        </w:rPr>
      </w:pPr>
      <w:r>
        <w:rPr>
          <w:rFonts w:ascii="Source Sans Pro" w:hAnsi="Source Sans Pro" w:cs="Arial"/>
          <w:noProof/>
          <w:color w:val="30808F"/>
          <w:lang w:eastAsia="en-AU"/>
        </w:rPr>
        <w:drawing>
          <wp:inline distT="0" distB="0" distL="0" distR="0" wp14:anchorId="0FDC9679" wp14:editId="0A9EF569">
            <wp:extent cx="3225688" cy="2137137"/>
            <wp:effectExtent l="0" t="0" r="0" b="0"/>
            <wp:docPr id="11" name="Picture 11" descr="Teething Necklace Safety – Avoid strangulation or chok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thing Necklace Safety – Avoid strangulation or choki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25466" cy="2136990"/>
                    </a:xfrm>
                    <a:prstGeom prst="rect">
                      <a:avLst/>
                    </a:prstGeom>
                    <a:noFill/>
                    <a:ln>
                      <a:noFill/>
                    </a:ln>
                  </pic:spPr>
                </pic:pic>
              </a:graphicData>
            </a:graphic>
          </wp:inline>
        </w:drawing>
      </w:r>
    </w:p>
    <w:p w:rsidR="00A253B3" w:rsidRDefault="00A253B3" w:rsidP="005F6BA1">
      <w:r>
        <w:t>The purpose of the mandatory safety standard and specifically referencing clause 4.5.1 is to reduce the risk of injury or death of a child from choking.</w:t>
      </w:r>
    </w:p>
    <w:p w:rsidR="00A253B3" w:rsidRDefault="009B6B00" w:rsidP="005F6BA1">
      <w:r>
        <w:t>Suppliers of teething necklaces have made a submission to the ACCC seeking an exemption from the requirements in clause 4.5.1 of the voluntary Australian standard referenced in the mandatory safety standard.</w:t>
      </w:r>
    </w:p>
    <w:p w:rsidR="009B6B00" w:rsidRDefault="009B6B00" w:rsidP="005F6BA1">
      <w:r>
        <w:t>The submission proposes that teething necklaces should be exempt for a number of reasons including:</w:t>
      </w:r>
    </w:p>
    <w:p w:rsidR="009B6B00" w:rsidRDefault="007C1086" w:rsidP="005F690D">
      <w:pPr>
        <w:pStyle w:val="ListParagraph"/>
        <w:numPr>
          <w:ilvl w:val="0"/>
          <w:numId w:val="35"/>
        </w:numPr>
      </w:pPr>
      <w:r>
        <w:t>Teething necklaces are not a toy and therefore are not designed or intended for use in play by an infant.</w:t>
      </w:r>
    </w:p>
    <w:p w:rsidR="007C1086" w:rsidRDefault="007C1086" w:rsidP="005F690D">
      <w:pPr>
        <w:pStyle w:val="ListParagraph"/>
        <w:numPr>
          <w:ilvl w:val="0"/>
          <w:numId w:val="35"/>
        </w:numPr>
      </w:pPr>
      <w:r>
        <w:t>Teething necklaces come with a warning to never allow an infant to wear or play with them unsupervised.</w:t>
      </w:r>
    </w:p>
    <w:p w:rsidR="007C1086" w:rsidRDefault="00154609" w:rsidP="005F690D">
      <w:pPr>
        <w:pStyle w:val="ListParagraph"/>
        <w:numPr>
          <w:ilvl w:val="0"/>
          <w:numId w:val="35"/>
        </w:numPr>
      </w:pPr>
      <w:r>
        <w:t>The cords are designed not to break.</w:t>
      </w:r>
    </w:p>
    <w:p w:rsidR="00154609" w:rsidRDefault="00154609" w:rsidP="005F690D">
      <w:pPr>
        <w:pStyle w:val="ListParagraph"/>
        <w:numPr>
          <w:ilvl w:val="0"/>
          <w:numId w:val="35"/>
        </w:numPr>
      </w:pPr>
      <w:r>
        <w:t>There are no kn</w:t>
      </w:r>
      <w:r w:rsidR="00610EA0">
        <w:t>own reports of infant injuries (</w:t>
      </w:r>
      <w:r>
        <w:t>namely choking) from women’s teething necklaces in Australia.</w:t>
      </w:r>
    </w:p>
    <w:p w:rsidR="00610EA0" w:rsidRDefault="00610EA0" w:rsidP="00610EA0">
      <w:r w:rsidRPr="00610EA0">
        <w:t xml:space="preserve">An ACCC review of the market indicates that teething necklaces are made from silicone and </w:t>
      </w:r>
      <w:r w:rsidR="00382719">
        <w:t>other materials such as wood beads and wood beads covered in crochet. The silicone, wood beads or crochet fabric could become detached from the necklace and lodge in the infant’s throat posing a choking hazard.</w:t>
      </w:r>
    </w:p>
    <w:p w:rsidR="00382719" w:rsidRDefault="0042290C" w:rsidP="00610EA0">
      <w:r>
        <w:t>The ACCC is aware of a case involving a nine-month-old baby chewing on her mother’s teething necklace with crochet beads, and some of the crochet fabric became detached from one of the beads in the baby’s mouth. Although the baby did not choke on the material, it is foreseeable that this could have occurred if the mother failed to notice.</w:t>
      </w:r>
    </w:p>
    <w:p w:rsidR="0074771D" w:rsidRDefault="0074771D" w:rsidP="00610EA0">
      <w:r>
        <w:t>The ACCC is concerned that infants are our most vulnerable population group and therefore their safety is paramount. We seek stakeholder views about teething necklaces.</w:t>
      </w:r>
    </w:p>
    <w:p w:rsidR="0074771D" w:rsidRDefault="0074771D" w:rsidP="00610EA0"/>
    <w:p w:rsidR="0074771D" w:rsidRDefault="00754C5B" w:rsidP="00610EA0">
      <w:r>
        <w:rPr>
          <w:b/>
          <w:noProof/>
          <w:lang w:eastAsia="en-AU"/>
        </w:rPr>
        <mc:AlternateContent>
          <mc:Choice Requires="wps">
            <w:drawing>
              <wp:anchor distT="0" distB="0" distL="114300" distR="114300" simplePos="0" relativeHeight="251664384" behindDoc="1" locked="0" layoutInCell="1" allowOverlap="1">
                <wp:simplePos x="0" y="0"/>
                <wp:positionH relativeFrom="column">
                  <wp:posOffset>-10633</wp:posOffset>
                </wp:positionH>
                <wp:positionV relativeFrom="paragraph">
                  <wp:posOffset>-23451</wp:posOffset>
                </wp:positionV>
                <wp:extent cx="5805377" cy="1190847"/>
                <wp:effectExtent l="0" t="0" r="24130" b="28575"/>
                <wp:wrapNone/>
                <wp:docPr id="12" name="Text Box 12"/>
                <wp:cNvGraphicFramePr/>
                <a:graphic xmlns:a="http://schemas.openxmlformats.org/drawingml/2006/main">
                  <a:graphicData uri="http://schemas.microsoft.com/office/word/2010/wordprocessingShape">
                    <wps:wsp>
                      <wps:cNvSpPr txBox="1"/>
                      <wps:spPr>
                        <a:xfrm>
                          <a:off x="0" y="0"/>
                          <a:ext cx="5805377" cy="11908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B4E" w:rsidRDefault="00532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9" type="#_x0000_t202" style="position:absolute;margin-left:-.85pt;margin-top:-1.85pt;width:457.1pt;height:93.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" fillcolor="white [3201]" strokeweight=".5pt">
                <v:textbox>
                  <w:txbxContent>
                    <w:p w:rsidR="00532B4E" w:rsidRDefault="00532B4E"/>
                  </w:txbxContent>
                </v:textbox>
              </v:shape>
            </w:pict>
          </mc:Fallback>
        </mc:AlternateContent>
      </w:r>
      <w:r w:rsidR="00FB52DA">
        <w:rPr>
          <w:b/>
        </w:rPr>
        <w:t>Teething necklaces – questions</w:t>
      </w:r>
    </w:p>
    <w:p w:rsidR="00FB52DA" w:rsidRDefault="00F058C6" w:rsidP="005F690D">
      <w:pPr>
        <w:pStyle w:val="ListParagraph"/>
        <w:numPr>
          <w:ilvl w:val="0"/>
          <w:numId w:val="36"/>
        </w:numPr>
      </w:pPr>
      <w:r>
        <w:t>Should teething necklaces and teething jewellery be exempt from the requirements in clause 4.5.1 referenced in the mandatory safety standard?</w:t>
      </w:r>
    </w:p>
    <w:p w:rsidR="00754C5B" w:rsidRPr="00FB52DA" w:rsidRDefault="004F74AF" w:rsidP="00BA2232">
      <w:pPr>
        <w:pStyle w:val="ListParagraph"/>
        <w:numPr>
          <w:ilvl w:val="0"/>
          <w:numId w:val="36"/>
        </w:numPr>
      </w:pPr>
      <w:r>
        <w:t>Do teething necklaces and teething jewellery with beads covered in crochet or other fabric pose a serious choking hazard for infants?</w:t>
      </w:r>
    </w:p>
    <w:p w:rsidR="005051B7" w:rsidRDefault="00754C5B" w:rsidP="005F690D">
      <w:pPr>
        <w:pStyle w:val="Numbered1"/>
        <w:numPr>
          <w:ilvl w:val="0"/>
          <w:numId w:val="33"/>
        </w:numPr>
        <w:ind w:left="680" w:hanging="680"/>
      </w:pPr>
      <w:bookmarkStart w:id="188" w:name="_Toc473714733"/>
      <w:r>
        <w:lastRenderedPageBreak/>
        <w:t>Have your say</w:t>
      </w:r>
      <w:bookmarkEnd w:id="188"/>
    </w:p>
    <w:p w:rsidR="005051B7" w:rsidRDefault="005051B7" w:rsidP="005051B7">
      <w:r>
        <w:t>The ACCC invites interested parties to provide information and comment on this review.</w:t>
      </w:r>
    </w:p>
    <w:p w:rsidR="005051B7" w:rsidRDefault="005051B7" w:rsidP="005051B7">
      <w:r>
        <w:t>Consultation is open from 1</w:t>
      </w:r>
      <w:r w:rsidR="005F173B">
        <w:t xml:space="preserve"> February</w:t>
      </w:r>
      <w:r w:rsidR="00540A86">
        <w:t xml:space="preserve"> 2017</w:t>
      </w:r>
      <w:r>
        <w:t xml:space="preserve"> to </w:t>
      </w:r>
      <w:r w:rsidR="005F173B">
        <w:t xml:space="preserve">31 March </w:t>
      </w:r>
      <w:r>
        <w:t>2017.</w:t>
      </w:r>
    </w:p>
    <w:p w:rsidR="000409EB" w:rsidRDefault="000409EB" w:rsidP="000409EB">
      <w:r>
        <w:t xml:space="preserve">The ACCC prefers submissions via the </w:t>
      </w:r>
      <w:r w:rsidRPr="0039574F">
        <w:t>ACCC consultation hub</w:t>
      </w:r>
      <w:r>
        <w:t xml:space="preserve"> at </w:t>
      </w:r>
      <w:hyperlink r:id="rId22" w:history="1">
        <w:r w:rsidRPr="00020736">
          <w:rPr>
            <w:rStyle w:val="Hyperlink"/>
          </w:rPr>
          <w:t>consultation.accc.gov.au</w:t>
        </w:r>
      </w:hyperlink>
      <w:r>
        <w:t xml:space="preserve">. </w:t>
      </w:r>
    </w:p>
    <w:p w:rsidR="000409EB" w:rsidRDefault="000409EB" w:rsidP="000409EB">
      <w:r>
        <w:t xml:space="preserve">Alternatively, email submissions to </w:t>
      </w:r>
      <w:hyperlink r:id="rId23" w:history="1">
        <w:r w:rsidRPr="007556AB">
          <w:rPr>
            <w:rStyle w:val="Hyperlink"/>
          </w:rPr>
          <w:t>productsafety.regulation@accc.gov.au</w:t>
        </w:r>
      </w:hyperlink>
      <w:r>
        <w:t xml:space="preserve"> </w:t>
      </w:r>
      <w:r w:rsidR="007B541C">
        <w:t>or via post:</w:t>
      </w:r>
    </w:p>
    <w:p w:rsidR="000409EB" w:rsidRDefault="000409EB" w:rsidP="000409EB">
      <w:r>
        <w:t>Director</w:t>
      </w:r>
      <w:r>
        <w:br/>
      </w:r>
      <w:r w:rsidRPr="00A07FB8">
        <w:t>Standards</w:t>
      </w:r>
      <w:r>
        <w:t xml:space="preserve"> and Policy</w:t>
      </w:r>
      <w:r>
        <w:br/>
        <w:t>Consumer Product Safety Branch</w:t>
      </w:r>
      <w:r>
        <w:br/>
        <w:t>Australian Competition and Consumer Commission</w:t>
      </w:r>
      <w:r>
        <w:br/>
        <w:t>GPO Box 3131</w:t>
      </w:r>
      <w:r>
        <w:br/>
        <w:t>CANBERRA ACT 2601</w:t>
      </w:r>
    </w:p>
    <w:p w:rsidR="007B541C" w:rsidRPr="007B541C" w:rsidRDefault="007B541C" w:rsidP="007B541C">
      <w:r>
        <w:t xml:space="preserve">We will publish submissions on the ACCC website at the end of the consultation period. </w:t>
      </w:r>
    </w:p>
    <w:p w:rsidR="007B541C" w:rsidRDefault="007B541C" w:rsidP="007B541C">
      <w:pPr>
        <w:rPr>
          <w:rFonts w:cs="Arial"/>
          <w:szCs w:val="24"/>
        </w:rPr>
      </w:pPr>
      <w:r>
        <w:rPr>
          <w:rFonts w:cs="Arial"/>
          <w:szCs w:val="24"/>
        </w:rPr>
        <w:t>Please note any</w:t>
      </w:r>
      <w:r w:rsidRPr="00530AFB">
        <w:rPr>
          <w:rFonts w:cs="Arial"/>
          <w:szCs w:val="24"/>
        </w:rPr>
        <w:t xml:space="preserve"> information that you believe to be of a confidential nature should be clearly marked or identified as confidential</w:t>
      </w:r>
      <w:r>
        <w:rPr>
          <w:rFonts w:cs="Arial"/>
          <w:szCs w:val="24"/>
        </w:rPr>
        <w:t>. T</w:t>
      </w:r>
      <w:r w:rsidRPr="00530AFB">
        <w:rPr>
          <w:rFonts w:cs="Arial"/>
          <w:szCs w:val="24"/>
        </w:rPr>
        <w:t>he ACCC will not disclose the confidential information to third parties, other than advisors or consultants engaged directly by the ACCC, without first providing you with notice of its intention to do so, such as where it is compelled to do so by law.</w:t>
      </w:r>
    </w:p>
    <w:p w:rsidR="00B44103" w:rsidRDefault="00B44103">
      <w:pPr>
        <w:rPr>
          <w:rFonts w:ascii="Lucida Fax" w:eastAsiaTheme="majorEastAsia" w:hAnsi="Lucida Fax" w:cstheme="majorBidi"/>
          <w:bCs/>
          <w:color w:val="51626F"/>
          <w:sz w:val="32"/>
          <w:szCs w:val="28"/>
        </w:rPr>
      </w:pPr>
      <w:r>
        <w:br w:type="page"/>
      </w:r>
    </w:p>
    <w:p w:rsidR="005051B7" w:rsidRDefault="003B3AF8" w:rsidP="005F690D">
      <w:pPr>
        <w:pStyle w:val="Numbered1"/>
        <w:numPr>
          <w:ilvl w:val="0"/>
          <w:numId w:val="33"/>
        </w:numPr>
        <w:ind w:left="680" w:hanging="680"/>
      </w:pPr>
      <w:bookmarkStart w:id="189" w:name="_Toc473714734"/>
      <w:r>
        <w:lastRenderedPageBreak/>
        <w:t>Glossary</w:t>
      </w:r>
      <w:bookmarkEnd w:id="18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3A03D1" w:rsidTr="00B97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A03D1" w:rsidRDefault="003A03D1" w:rsidP="003B3AF8">
            <w:r>
              <w:t>Term</w:t>
            </w:r>
          </w:p>
        </w:tc>
        <w:tc>
          <w:tcPr>
            <w:tcW w:w="65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A03D1" w:rsidRDefault="003A03D1" w:rsidP="003B3AF8">
            <w:pPr>
              <w:cnfStyle w:val="100000000000" w:firstRow="1" w:lastRow="0" w:firstColumn="0" w:lastColumn="0" w:oddVBand="0" w:evenVBand="0" w:oddHBand="0" w:evenHBand="0" w:firstRowFirstColumn="0" w:firstRowLastColumn="0" w:lastRowFirstColumn="0" w:lastRowLastColumn="0"/>
            </w:pPr>
            <w:r>
              <w:t>Definition</w:t>
            </w:r>
          </w:p>
        </w:tc>
      </w:tr>
      <w:tr w:rsidR="003A03D1" w:rsidTr="00B975F0">
        <w:tc>
          <w:tcPr>
            <w:cnfStyle w:val="001000000000" w:firstRow="0" w:lastRow="0" w:firstColumn="1" w:lastColumn="0" w:oddVBand="0" w:evenVBand="0" w:oddHBand="0" w:evenHBand="0" w:firstRowFirstColumn="0" w:firstRowLastColumn="0" w:lastRowFirstColumn="0" w:lastRowLastColumn="0"/>
            <w:tcW w:w="2660" w:type="dxa"/>
          </w:tcPr>
          <w:p w:rsidR="00085BC9" w:rsidRDefault="00085BC9" w:rsidP="003B3AF8"/>
          <w:p w:rsidR="00085BC9" w:rsidRDefault="00085BC9" w:rsidP="003B3AF8"/>
          <w:p w:rsidR="003A03D1" w:rsidRDefault="003A03D1" w:rsidP="003B3AF8">
            <w:r>
              <w:t>European standards</w:t>
            </w:r>
          </w:p>
        </w:tc>
        <w:tc>
          <w:tcPr>
            <w:tcW w:w="6582" w:type="dxa"/>
          </w:tcPr>
          <w:p w:rsidR="00881861" w:rsidRDefault="00881861" w:rsidP="005F690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EN 71</w:t>
            </w:r>
            <w:r>
              <w:t xml:space="preserve">-1:2014 Safety of toys – Part 1: Mechanical and physical properties  </w:t>
            </w:r>
          </w:p>
          <w:p w:rsidR="00881861" w:rsidRDefault="00881861" w:rsidP="005F690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EN 71-3:2013+A1:2014 Safety of toys – Part 3: Migration of certain elements</w:t>
            </w:r>
            <w:r w:rsidRPr="00DB39E6">
              <w:t xml:space="preserve"> </w:t>
            </w:r>
          </w:p>
          <w:p w:rsidR="00881861" w:rsidRDefault="00881861" w:rsidP="00994DC2">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EN 71-7:2014 Safety of toys – Part 7: Finger paints – Requirements and test methods</w:t>
            </w:r>
          </w:p>
        </w:tc>
      </w:tr>
      <w:tr w:rsidR="003A03D1" w:rsidTr="0037204B">
        <w:trPr>
          <w:trHeight w:val="435"/>
        </w:trPr>
        <w:tc>
          <w:tcPr>
            <w:cnfStyle w:val="001000000000" w:firstRow="0" w:lastRow="0" w:firstColumn="1" w:lastColumn="0" w:oddVBand="0" w:evenVBand="0" w:oddHBand="0" w:evenHBand="0" w:firstRowFirstColumn="0" w:firstRowLastColumn="0" w:lastRowFirstColumn="0" w:lastRowLastColumn="0"/>
            <w:tcW w:w="2660" w:type="dxa"/>
          </w:tcPr>
          <w:p w:rsidR="00B975F0" w:rsidRDefault="003A03D1" w:rsidP="00B975F0">
            <w:r>
              <w:t>IEC standard</w:t>
            </w:r>
          </w:p>
        </w:tc>
        <w:tc>
          <w:tcPr>
            <w:tcW w:w="6582" w:type="dxa"/>
          </w:tcPr>
          <w:p w:rsidR="0037204B" w:rsidRPr="0037204B" w:rsidRDefault="00ED5DDB" w:rsidP="0037204B">
            <w:pPr>
              <w:pStyle w:val="Bulletpoint"/>
              <w:numPr>
                <w:ilvl w:val="0"/>
                <w:numId w:val="0"/>
              </w:numPr>
              <w:tabs>
                <w:tab w:val="clear" w:pos="340"/>
                <w:tab w:val="left" w:pos="426"/>
              </w:tabs>
              <w:cnfStyle w:val="000000000000" w:firstRow="0" w:lastRow="0" w:firstColumn="0" w:lastColumn="0" w:oddVBand="0" w:evenVBand="0" w:oddHBand="0" w:evenHBand="0" w:firstRowFirstColumn="0" w:firstRowLastColumn="0" w:lastRowFirstColumn="0" w:lastRowLastColumn="0"/>
              <w:rPr>
                <w:rFonts w:cstheme="minorBidi"/>
                <w:bCs/>
                <w:lang w:val="en-US"/>
              </w:rPr>
            </w:pPr>
            <w:r w:rsidRPr="00591CCA">
              <w:t xml:space="preserve">IEC </w:t>
            </w:r>
            <w:r w:rsidRPr="00591CCA">
              <w:rPr>
                <w:rFonts w:cstheme="minorBidi"/>
                <w:bCs/>
                <w:lang w:val="en-US"/>
              </w:rPr>
              <w:t>62115:2011 Electric</w:t>
            </w:r>
            <w:r w:rsidRPr="004F3291">
              <w:rPr>
                <w:rFonts w:cstheme="minorBidi"/>
                <w:bCs/>
                <w:lang w:val="en-US"/>
              </w:rPr>
              <w:t xml:space="preserve"> toys – Safety</w:t>
            </w:r>
          </w:p>
        </w:tc>
      </w:tr>
      <w:tr w:rsidR="003A03D1" w:rsidTr="00B975F0">
        <w:tc>
          <w:tcPr>
            <w:cnfStyle w:val="001000000000" w:firstRow="0" w:lastRow="0" w:firstColumn="1" w:lastColumn="0" w:oddVBand="0" w:evenVBand="0" w:oddHBand="0" w:evenHBand="0" w:firstRowFirstColumn="0" w:firstRowLastColumn="0" w:lastRowFirstColumn="0" w:lastRowLastColumn="0"/>
            <w:tcW w:w="2660" w:type="dxa"/>
          </w:tcPr>
          <w:p w:rsidR="00085BC9" w:rsidRDefault="00085BC9" w:rsidP="003B3AF8"/>
          <w:p w:rsidR="00085BC9" w:rsidRDefault="00085BC9" w:rsidP="003B3AF8"/>
          <w:p w:rsidR="00085BC9" w:rsidRDefault="00085BC9" w:rsidP="003B3AF8"/>
          <w:p w:rsidR="003A03D1" w:rsidRDefault="003A03D1" w:rsidP="003B3AF8">
            <w:r>
              <w:t>ISO standards</w:t>
            </w:r>
          </w:p>
        </w:tc>
        <w:tc>
          <w:tcPr>
            <w:tcW w:w="6582" w:type="dxa"/>
          </w:tcPr>
          <w:p w:rsidR="00B76792" w:rsidRDefault="00B76792" w:rsidP="005F690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ISO 8124.1:</w:t>
            </w:r>
            <w:r w:rsidRPr="00A1013F">
              <w:t>20</w:t>
            </w:r>
            <w:r>
              <w:t>14 Safety of toys Part 1: Safety aspects related to mechanical and physical properties</w:t>
            </w:r>
          </w:p>
          <w:p w:rsidR="00B76792" w:rsidRDefault="00B76792" w:rsidP="005F690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F34873">
              <w:t>ISO 8124.3:2010/Amd1:2014 Safety of toys Part 3: Migration of certain elements</w:t>
            </w:r>
          </w:p>
          <w:p w:rsidR="003A03D1" w:rsidRDefault="00B76792" w:rsidP="00994DC2">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ISO 8124.7:</w:t>
            </w:r>
            <w:r w:rsidRPr="00A1013F">
              <w:t>20</w:t>
            </w:r>
            <w:r>
              <w:t xml:space="preserve">15 Safety of toys Part 7: Finger paints – Requirements and test methods </w:t>
            </w:r>
          </w:p>
        </w:tc>
      </w:tr>
      <w:tr w:rsidR="003A03D1" w:rsidTr="00B975F0">
        <w:tc>
          <w:tcPr>
            <w:cnfStyle w:val="001000000000" w:firstRow="0" w:lastRow="0" w:firstColumn="1" w:lastColumn="0" w:oddVBand="0" w:evenVBand="0" w:oddHBand="0" w:evenHBand="0" w:firstRowFirstColumn="0" w:firstRowLastColumn="0" w:lastRowFirstColumn="0" w:lastRowLastColumn="0"/>
            <w:tcW w:w="2660" w:type="dxa"/>
          </w:tcPr>
          <w:p w:rsidR="003A03D1" w:rsidRDefault="003A03D1" w:rsidP="003B3AF8">
            <w:r>
              <w:t>Mandatory safety standards</w:t>
            </w:r>
          </w:p>
        </w:tc>
        <w:tc>
          <w:tcPr>
            <w:tcW w:w="6582" w:type="dxa"/>
          </w:tcPr>
          <w:p w:rsidR="003A03D1" w:rsidRPr="008D49AC" w:rsidRDefault="0008511B" w:rsidP="008D49AC">
            <w:pPr>
              <w:spacing w:before="0" w:after="0"/>
              <w:cnfStyle w:val="000000000000" w:firstRow="0" w:lastRow="0" w:firstColumn="0" w:lastColumn="0" w:oddVBand="0" w:evenVBand="0" w:oddHBand="0" w:evenHBand="0" w:firstRowFirstColumn="0" w:firstRowLastColumn="0" w:lastRowFirstColumn="0" w:lastRowLastColumn="0"/>
              <w:rPr>
                <w:szCs w:val="20"/>
              </w:rPr>
            </w:pPr>
            <w:hyperlink r:id="rId24" w:history="1">
              <w:r w:rsidR="008D49AC" w:rsidRPr="008D49AC">
                <w:rPr>
                  <w:rStyle w:val="Hyperlink"/>
                  <w:sz w:val="20"/>
                  <w:szCs w:val="20"/>
                </w:rPr>
                <w:t>Consumer Protection Notice</w:t>
              </w:r>
              <w:r w:rsidR="008D49AC">
                <w:rPr>
                  <w:rStyle w:val="Hyperlink"/>
                  <w:sz w:val="20"/>
                  <w:szCs w:val="20"/>
                </w:rPr>
                <w:t xml:space="preserve"> No</w:t>
              </w:r>
              <w:r w:rsidR="008D49AC" w:rsidRPr="008D49AC">
                <w:rPr>
                  <w:rStyle w:val="Hyperlink"/>
                  <w:sz w:val="20"/>
                  <w:szCs w:val="20"/>
                </w:rPr>
                <w:t>. 14 of 2003 - Consumer Product Safety Standard: Toys for children up to and including 36 months of age</w:t>
              </w:r>
            </w:hyperlink>
            <w:r w:rsidR="00A04AC6" w:rsidRPr="008D49AC">
              <w:rPr>
                <w:szCs w:val="20"/>
              </w:rPr>
              <w:t xml:space="preserve"> </w:t>
            </w:r>
          </w:p>
          <w:p w:rsidR="00A04AC6" w:rsidRPr="008257AC" w:rsidRDefault="00A04AC6" w:rsidP="008D49AC">
            <w:pPr>
              <w:spacing w:before="0" w:after="0"/>
              <w:cnfStyle w:val="000000000000" w:firstRow="0" w:lastRow="0" w:firstColumn="0" w:lastColumn="0" w:oddVBand="0" w:evenVBand="0" w:oddHBand="0" w:evenHBand="0" w:firstRowFirstColumn="0" w:firstRowLastColumn="0" w:lastRowFirstColumn="0" w:lastRowLastColumn="0"/>
              <w:rPr>
                <w:sz w:val="16"/>
                <w:szCs w:val="16"/>
              </w:rPr>
            </w:pPr>
          </w:p>
          <w:p w:rsidR="00A04AC6" w:rsidRPr="008D49AC" w:rsidRDefault="0008511B" w:rsidP="008D49AC">
            <w:pPr>
              <w:spacing w:before="0" w:after="0"/>
              <w:cnfStyle w:val="000000000000" w:firstRow="0" w:lastRow="0" w:firstColumn="0" w:lastColumn="0" w:oddVBand="0" w:evenVBand="0" w:oddHBand="0" w:evenHBand="0" w:firstRowFirstColumn="0" w:firstRowLastColumn="0" w:lastRowFirstColumn="0" w:lastRowLastColumn="0"/>
              <w:rPr>
                <w:szCs w:val="20"/>
              </w:rPr>
            </w:pPr>
            <w:hyperlink r:id="rId25" w:history="1">
              <w:r w:rsidR="008D49AC" w:rsidRPr="008D49AC">
                <w:rPr>
                  <w:rStyle w:val="Hyperlink"/>
                  <w:sz w:val="20"/>
                  <w:szCs w:val="20"/>
                </w:rPr>
                <w:t>Consumer Protection Notice No. 16 of 2010 - Consumer Product Safety Standard: Children's projectile toys</w:t>
              </w:r>
            </w:hyperlink>
            <w:r w:rsidR="00A04AC6" w:rsidRPr="008D49AC">
              <w:rPr>
                <w:szCs w:val="20"/>
              </w:rPr>
              <w:t xml:space="preserve"> </w:t>
            </w:r>
          </w:p>
          <w:p w:rsidR="00A04AC6" w:rsidRPr="008257AC" w:rsidRDefault="00A04AC6" w:rsidP="008D49AC">
            <w:pPr>
              <w:spacing w:before="0" w:after="0"/>
              <w:cnfStyle w:val="000000000000" w:firstRow="0" w:lastRow="0" w:firstColumn="0" w:lastColumn="0" w:oddVBand="0" w:evenVBand="0" w:oddHBand="0" w:evenHBand="0" w:firstRowFirstColumn="0" w:firstRowLastColumn="0" w:lastRowFirstColumn="0" w:lastRowLastColumn="0"/>
              <w:rPr>
                <w:sz w:val="16"/>
                <w:szCs w:val="16"/>
              </w:rPr>
            </w:pPr>
          </w:p>
          <w:p w:rsidR="00A04AC6" w:rsidRDefault="0008511B" w:rsidP="008D49AC">
            <w:pPr>
              <w:spacing w:before="0" w:after="0"/>
              <w:cnfStyle w:val="000000000000" w:firstRow="0" w:lastRow="0" w:firstColumn="0" w:lastColumn="0" w:oddVBand="0" w:evenVBand="0" w:oddHBand="0" w:evenHBand="0" w:firstRowFirstColumn="0" w:firstRowLastColumn="0" w:lastRowFirstColumn="0" w:lastRowLastColumn="0"/>
            </w:pPr>
            <w:hyperlink r:id="rId26" w:history="1">
              <w:r w:rsidR="008D49AC" w:rsidRPr="008D49AC">
                <w:rPr>
                  <w:rStyle w:val="Hyperlink"/>
                  <w:sz w:val="20"/>
                  <w:szCs w:val="20"/>
                </w:rPr>
                <w:t>Consumer Protection Notice No. 5 of 2010 - Consumer Product Safety Standard: Children's toys containing magnets</w:t>
              </w:r>
            </w:hyperlink>
            <w:r w:rsidR="00A04AC6">
              <w:t xml:space="preserve"> </w:t>
            </w:r>
          </w:p>
          <w:p w:rsidR="00A04AC6" w:rsidRPr="008257AC" w:rsidRDefault="00A04AC6" w:rsidP="008D49AC">
            <w:pPr>
              <w:spacing w:before="0" w:after="0"/>
              <w:cnfStyle w:val="000000000000" w:firstRow="0" w:lastRow="0" w:firstColumn="0" w:lastColumn="0" w:oddVBand="0" w:evenVBand="0" w:oddHBand="0" w:evenHBand="0" w:firstRowFirstColumn="0" w:firstRowLastColumn="0" w:lastRowFirstColumn="0" w:lastRowLastColumn="0"/>
              <w:rPr>
                <w:sz w:val="16"/>
                <w:szCs w:val="16"/>
              </w:rPr>
            </w:pPr>
          </w:p>
          <w:p w:rsidR="00A04AC6" w:rsidRPr="008D49AC" w:rsidRDefault="0008511B" w:rsidP="008D49AC">
            <w:pPr>
              <w:spacing w:before="0" w:after="0"/>
              <w:cnfStyle w:val="000000000000" w:firstRow="0" w:lastRow="0" w:firstColumn="0" w:lastColumn="0" w:oddVBand="0" w:evenVBand="0" w:oddHBand="0" w:evenHBand="0" w:firstRowFirstColumn="0" w:firstRowLastColumn="0" w:lastRowFirstColumn="0" w:lastRowLastColumn="0"/>
              <w:rPr>
                <w:szCs w:val="20"/>
              </w:rPr>
            </w:pPr>
            <w:hyperlink r:id="rId27" w:history="1">
              <w:r w:rsidR="008D49AC" w:rsidRPr="008D49AC">
                <w:rPr>
                  <w:rStyle w:val="Hyperlink"/>
                  <w:sz w:val="20"/>
                  <w:szCs w:val="20"/>
                </w:rPr>
                <w:t>Consumer Protection Notice No. 2 of 2009 - Consumer Product Safety Standard: Flotation Toys and Aquatic Toys</w:t>
              </w:r>
            </w:hyperlink>
            <w:r w:rsidR="00A04AC6" w:rsidRPr="008D49AC">
              <w:rPr>
                <w:szCs w:val="20"/>
              </w:rPr>
              <w:t xml:space="preserve"> </w:t>
            </w:r>
          </w:p>
          <w:p w:rsidR="00A04AC6" w:rsidRPr="008257AC" w:rsidRDefault="00A04AC6" w:rsidP="008D49AC">
            <w:pPr>
              <w:spacing w:before="0" w:after="0"/>
              <w:cnfStyle w:val="000000000000" w:firstRow="0" w:lastRow="0" w:firstColumn="0" w:lastColumn="0" w:oddVBand="0" w:evenVBand="0" w:oddHBand="0" w:evenHBand="0" w:firstRowFirstColumn="0" w:firstRowLastColumn="0" w:lastRowFirstColumn="0" w:lastRowLastColumn="0"/>
              <w:rPr>
                <w:sz w:val="16"/>
                <w:szCs w:val="16"/>
              </w:rPr>
            </w:pPr>
          </w:p>
          <w:p w:rsidR="00085BC9" w:rsidRPr="008D49AC" w:rsidRDefault="0008511B" w:rsidP="008D49AC">
            <w:pPr>
              <w:spacing w:before="0" w:after="0"/>
              <w:cnfStyle w:val="000000000000" w:firstRow="0" w:lastRow="0" w:firstColumn="0" w:lastColumn="0" w:oddVBand="0" w:evenVBand="0" w:oddHBand="0" w:evenHBand="0" w:firstRowFirstColumn="0" w:firstRowLastColumn="0" w:lastRowFirstColumn="0" w:lastRowLastColumn="0"/>
              <w:rPr>
                <w:szCs w:val="20"/>
              </w:rPr>
            </w:pPr>
            <w:hyperlink r:id="rId28" w:history="1">
              <w:r w:rsidR="008D49AC" w:rsidRPr="008D49AC">
                <w:rPr>
                  <w:rStyle w:val="Hyperlink"/>
                  <w:sz w:val="20"/>
                  <w:szCs w:val="20"/>
                </w:rPr>
                <w:t>Consumer Protection Notice No. 1 of 2009 - Consumer Product Safety Standard: Lead and certain elements in children's toys</w:t>
              </w:r>
            </w:hyperlink>
            <w:r w:rsidR="00A04AC6" w:rsidRPr="008D49AC">
              <w:rPr>
                <w:szCs w:val="20"/>
              </w:rPr>
              <w:t xml:space="preserve"> </w:t>
            </w:r>
          </w:p>
        </w:tc>
      </w:tr>
      <w:tr w:rsidR="003A03D1" w:rsidTr="00B975F0">
        <w:tc>
          <w:tcPr>
            <w:cnfStyle w:val="001000000000" w:firstRow="0" w:lastRow="0" w:firstColumn="1" w:lastColumn="0" w:oddVBand="0" w:evenVBand="0" w:oddHBand="0" w:evenHBand="0" w:firstRowFirstColumn="0" w:firstRowLastColumn="0" w:lastRowFirstColumn="0" w:lastRowLastColumn="0"/>
            <w:tcW w:w="2660" w:type="dxa"/>
          </w:tcPr>
          <w:p w:rsidR="003A03D1" w:rsidRDefault="003A03D1" w:rsidP="003B3AF8">
            <w:r>
              <w:t>Outdated voluntary Australian standards</w:t>
            </w:r>
          </w:p>
        </w:tc>
        <w:tc>
          <w:tcPr>
            <w:tcW w:w="6582" w:type="dxa"/>
          </w:tcPr>
          <w:p w:rsidR="003A03D1" w:rsidRDefault="00615E94" w:rsidP="005F690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A1013F">
              <w:t xml:space="preserve">AS/NZS </w:t>
            </w:r>
            <w:r>
              <w:t>ISO 8124.1:2002 Safety of toys Part 1: Safety aspects related to mechanical and physical properties</w:t>
            </w:r>
          </w:p>
          <w:p w:rsidR="00615E94" w:rsidRDefault="00615E94" w:rsidP="005F690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F80F39">
              <w:t>AS/NZS ISO 8124.3:2003</w:t>
            </w:r>
            <w:r>
              <w:t xml:space="preserve"> Safety of toys Pert 3: Migration of certain elements          </w:t>
            </w:r>
          </w:p>
          <w:p w:rsidR="00D15E32" w:rsidRDefault="00615E94" w:rsidP="00994DC2">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 xml:space="preserve">AS </w:t>
            </w:r>
            <w:r w:rsidRPr="00F80F39">
              <w:t>8124.7:2003</w:t>
            </w:r>
            <w:r>
              <w:t xml:space="preserve"> Safety of toys Part 7: Finger paints – Requirements and test methods</w:t>
            </w:r>
          </w:p>
        </w:tc>
      </w:tr>
      <w:tr w:rsidR="003A03D1" w:rsidTr="00B975F0">
        <w:tc>
          <w:tcPr>
            <w:cnfStyle w:val="001000000000" w:firstRow="0" w:lastRow="0" w:firstColumn="1" w:lastColumn="0" w:oddVBand="0" w:evenVBand="0" w:oddHBand="0" w:evenHBand="0" w:firstRowFirstColumn="0" w:firstRowLastColumn="0" w:lastRowFirstColumn="0" w:lastRowLastColumn="0"/>
            <w:tcW w:w="2660" w:type="dxa"/>
          </w:tcPr>
          <w:p w:rsidR="003A03D1" w:rsidRDefault="003A03D1" w:rsidP="003B3AF8">
            <w:r>
              <w:t>Updated voluntary Australian standards</w:t>
            </w:r>
          </w:p>
        </w:tc>
        <w:tc>
          <w:tcPr>
            <w:tcW w:w="6582" w:type="dxa"/>
          </w:tcPr>
          <w:p w:rsidR="00214232" w:rsidRDefault="00214232" w:rsidP="00214232">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7F2D52">
              <w:t xml:space="preserve">AS/NZS ISO 8124.1:2016: </w:t>
            </w:r>
            <w:r>
              <w:t>Safety of toys Part 1: Safety aspects related to mechanical and physical properties (ISO 8124-1:2014, MOD)</w:t>
            </w:r>
          </w:p>
          <w:p w:rsidR="007F2D52" w:rsidRDefault="007F2D52" w:rsidP="007F2D52">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F80F39">
              <w:t>AS/NZS ISO 8124.3:2012/</w:t>
            </w:r>
            <w:r>
              <w:t xml:space="preserve"> </w:t>
            </w:r>
            <w:r w:rsidRPr="00F80F39">
              <w:t>Amdt1:2016</w:t>
            </w:r>
            <w:r>
              <w:t xml:space="preserve">: Safety of toys Pert 3: Migration of certain elements (ISO 8124-3:2010, MOD)         </w:t>
            </w:r>
          </w:p>
          <w:p w:rsidR="003A03D1" w:rsidRDefault="007F2D52" w:rsidP="007F2D52">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F80F39">
              <w:t xml:space="preserve">AS 8124.7:2003 </w:t>
            </w:r>
            <w:r>
              <w:t>(</w:t>
            </w:r>
            <w:r w:rsidRPr="00F80F39">
              <w:t>R</w:t>
            </w:r>
            <w:r>
              <w:t xml:space="preserve">econfirmed </w:t>
            </w:r>
            <w:r w:rsidRPr="00F80F39">
              <w:t>2013</w:t>
            </w:r>
            <w:r>
              <w:t>) – Safety of toys – Part 7: Finger paints – Requirements and test methods</w:t>
            </w:r>
          </w:p>
          <w:p w:rsidR="00952070" w:rsidRDefault="00952070" w:rsidP="007F2D52">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0A5693">
              <w:t>AS/NZS 62115:2011 Electric Toys – Safety</w:t>
            </w:r>
          </w:p>
        </w:tc>
      </w:tr>
      <w:tr w:rsidR="003A03D1" w:rsidTr="00B975F0">
        <w:tc>
          <w:tcPr>
            <w:cnfStyle w:val="001000000000" w:firstRow="0" w:lastRow="0" w:firstColumn="1" w:lastColumn="0" w:oddVBand="0" w:evenVBand="0" w:oddHBand="0" w:evenHBand="0" w:firstRowFirstColumn="0" w:firstRowLastColumn="0" w:lastRowFirstColumn="0" w:lastRowLastColumn="0"/>
            <w:tcW w:w="2660" w:type="dxa"/>
          </w:tcPr>
          <w:p w:rsidR="003A03D1" w:rsidRDefault="003A03D1" w:rsidP="003B3AF8">
            <w:r>
              <w:t>US regulations</w:t>
            </w:r>
          </w:p>
        </w:tc>
        <w:tc>
          <w:tcPr>
            <w:tcW w:w="6582" w:type="dxa"/>
          </w:tcPr>
          <w:p w:rsidR="00860EA3" w:rsidRDefault="00860EA3" w:rsidP="00320AB5">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 xml:space="preserve">ASTM D-4236 </w:t>
            </w:r>
            <w:r w:rsidRPr="00DB05F1">
              <w:t xml:space="preserve">Standard </w:t>
            </w:r>
            <w:r w:rsidRPr="00DB05F1">
              <w:rPr>
                <w:bCs/>
              </w:rPr>
              <w:t>practice of labe</w:t>
            </w:r>
            <w:r>
              <w:rPr>
                <w:bCs/>
              </w:rPr>
              <w:t>l</w:t>
            </w:r>
            <w:r w:rsidRPr="00DB05F1">
              <w:rPr>
                <w:bCs/>
              </w:rPr>
              <w:t>ling art materials for chronic health hazards</w:t>
            </w:r>
          </w:p>
          <w:p w:rsidR="00320AB5" w:rsidRDefault="00320AB5" w:rsidP="00320AB5">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ASTM F963-1</w:t>
            </w:r>
            <w:r>
              <w:t>6</w:t>
            </w:r>
            <w:r w:rsidRPr="00215533">
              <w:t xml:space="preserve"> Standard </w:t>
            </w:r>
            <w:r>
              <w:t>c</w:t>
            </w:r>
            <w:r w:rsidRPr="00215533">
              <w:t xml:space="preserve">onsumer </w:t>
            </w:r>
            <w:r>
              <w:t>s</w:t>
            </w:r>
            <w:r w:rsidRPr="00215533">
              <w:t xml:space="preserve">afety </w:t>
            </w:r>
            <w:r>
              <w:t>s</w:t>
            </w:r>
            <w:r w:rsidRPr="00215533">
              <w:t xml:space="preserve">pecification for </w:t>
            </w:r>
            <w:r>
              <w:t>t</w:t>
            </w:r>
            <w:r w:rsidRPr="00215533">
              <w:t xml:space="preserve">oy </w:t>
            </w:r>
            <w:r>
              <w:t>s</w:t>
            </w:r>
            <w:r w:rsidRPr="00215533">
              <w:t>afety</w:t>
            </w:r>
            <w:r w:rsidRPr="00DB6C88">
              <w:t xml:space="preserve"> </w:t>
            </w:r>
          </w:p>
          <w:p w:rsidR="003A03D1" w:rsidRDefault="00320AB5" w:rsidP="00994DC2">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320AB5">
              <w:t>Code o</w:t>
            </w:r>
            <w:r w:rsidRPr="009419CA">
              <w:t xml:space="preserve">f Federal Regulations in Title 16, Part 1303 – Ban </w:t>
            </w:r>
            <w:r w:rsidRPr="00320AB5">
              <w:t xml:space="preserve">of lead-containing paint and certain consumer products bearing lead-containing paint </w:t>
            </w:r>
          </w:p>
        </w:tc>
      </w:tr>
    </w:tbl>
    <w:p w:rsidR="00B559BB" w:rsidRDefault="00B559BB" w:rsidP="00B559BB">
      <w:pPr>
        <w:pStyle w:val="Numbered1"/>
      </w:pPr>
      <w:bookmarkStart w:id="190" w:name="_Toc473714735"/>
      <w:r>
        <w:lastRenderedPageBreak/>
        <w:t>Appendix A – Estimated costs for business</w:t>
      </w:r>
      <w:bookmarkEnd w:id="190"/>
    </w:p>
    <w:p w:rsidR="003B3AF8" w:rsidRDefault="00876D23" w:rsidP="003B3AF8">
      <w:r>
        <w:t xml:space="preserve">We have assessed the </w:t>
      </w:r>
      <w:r w:rsidR="0079149F">
        <w:t>regulatory cost for each option against the status quo. Costings are based on customs, industry estimates and published data.</w:t>
      </w:r>
    </w:p>
    <w:tbl>
      <w:tblPr>
        <w:tblStyle w:val="TableGrid"/>
        <w:tblW w:w="11448" w:type="dxa"/>
        <w:jc w:val="center"/>
        <w:tblInd w:w="-1209" w:type="dxa"/>
        <w:tblBorders>
          <w:top w:val="none" w:sz="0" w:space="0" w:color="auto"/>
          <w:bottom w:val="none" w:sz="0" w:space="0" w:color="auto"/>
        </w:tblBorders>
        <w:tblLayout w:type="fixed"/>
        <w:tblLook w:val="04A0" w:firstRow="1" w:lastRow="0" w:firstColumn="1" w:lastColumn="0" w:noHBand="0" w:noVBand="1"/>
      </w:tblPr>
      <w:tblGrid>
        <w:gridCol w:w="2518"/>
        <w:gridCol w:w="2126"/>
        <w:gridCol w:w="2268"/>
        <w:gridCol w:w="2268"/>
        <w:gridCol w:w="2268"/>
      </w:tblGrid>
      <w:tr w:rsidR="00A51E6D" w:rsidRPr="000D60E6" w:rsidTr="006425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A51E6D" w:rsidRPr="000D60E6" w:rsidRDefault="00A51E6D" w:rsidP="005D59D0"/>
        </w:tc>
        <w:tc>
          <w:tcPr>
            <w:tcW w:w="2126"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A51E6D" w:rsidRPr="000D60E6" w:rsidRDefault="00A51E6D" w:rsidP="007764F6">
            <w:pPr>
              <w:cnfStyle w:val="100000000000" w:firstRow="1" w:lastRow="0" w:firstColumn="0" w:lastColumn="0" w:oddVBand="0" w:evenVBand="0" w:oddHBand="0" w:evenHBand="0" w:firstRowFirstColumn="0" w:firstRowLastColumn="0" w:lastRowFirstColumn="0" w:lastRowLastColumn="0"/>
            </w:pPr>
            <w:r>
              <w:t>Option 1</w:t>
            </w:r>
            <w:r w:rsidR="007764F6">
              <w:t xml:space="preserve">: </w:t>
            </w:r>
            <w:r>
              <w:t xml:space="preserve">Current </w:t>
            </w:r>
            <w:r w:rsidR="00824BD8">
              <w:t xml:space="preserve">mandatory </w:t>
            </w:r>
            <w:r>
              <w:t>standard</w:t>
            </w:r>
          </w:p>
        </w:tc>
        <w:tc>
          <w:tcPr>
            <w:tcW w:w="2268"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A51E6D" w:rsidRPr="000D60E6" w:rsidRDefault="00A51E6D" w:rsidP="007764F6">
            <w:pPr>
              <w:cnfStyle w:val="100000000000" w:firstRow="1" w:lastRow="0" w:firstColumn="0" w:lastColumn="0" w:oddVBand="0" w:evenVBand="0" w:oddHBand="0" w:evenHBand="0" w:firstRowFirstColumn="0" w:firstRowLastColumn="0" w:lastRowFirstColumn="0" w:lastRowLastColumn="0"/>
            </w:pPr>
            <w:r>
              <w:t>Option 2</w:t>
            </w:r>
            <w:r w:rsidR="007764F6">
              <w:t xml:space="preserve">: </w:t>
            </w:r>
            <w:r>
              <w:t>Update current mandatory standard</w:t>
            </w:r>
          </w:p>
        </w:tc>
        <w:tc>
          <w:tcPr>
            <w:tcW w:w="2268" w:type="dxa"/>
            <w:tcBorders>
              <w:top w:val="single" w:sz="4" w:space="0" w:color="auto"/>
              <w:left w:val="none" w:sz="0" w:space="0" w:color="auto"/>
              <w:bottom w:val="single" w:sz="4" w:space="0" w:color="auto"/>
              <w:right w:val="none" w:sz="0" w:space="0" w:color="auto"/>
              <w:tl2br w:val="none" w:sz="0" w:space="0" w:color="auto"/>
              <w:tr2bl w:val="none" w:sz="0" w:space="0" w:color="auto"/>
            </w:tcBorders>
            <w:vAlign w:val="center"/>
          </w:tcPr>
          <w:p w:rsidR="00A51E6D" w:rsidRPr="000D60E6" w:rsidRDefault="00A51E6D" w:rsidP="007764F6">
            <w:pPr>
              <w:cnfStyle w:val="100000000000" w:firstRow="1" w:lastRow="0" w:firstColumn="0" w:lastColumn="0" w:oddVBand="0" w:evenVBand="0" w:oddHBand="0" w:evenHBand="0" w:firstRowFirstColumn="0" w:firstRowLastColumn="0" w:lastRowFirstColumn="0" w:lastRowLastColumn="0"/>
            </w:pPr>
            <w:r>
              <w:t>Option 3/</w:t>
            </w:r>
            <w:r w:rsidR="00F03237">
              <w:t>3a</w:t>
            </w:r>
            <w:r w:rsidR="007764F6">
              <w:t xml:space="preserve">: </w:t>
            </w:r>
            <w:r>
              <w:t>Allow compliance with international standards/principles-based</w:t>
            </w:r>
          </w:p>
        </w:tc>
        <w:tc>
          <w:tcPr>
            <w:tcW w:w="2268"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A51E6D" w:rsidRDefault="00F03237" w:rsidP="007764F6">
            <w:pPr>
              <w:cnfStyle w:val="100000000000" w:firstRow="1" w:lastRow="0" w:firstColumn="0" w:lastColumn="0" w:oddVBand="0" w:evenVBand="0" w:oddHBand="0" w:evenHBand="0" w:firstRowFirstColumn="0" w:firstRowLastColumn="0" w:lastRowFirstColumn="0" w:lastRowLastColumn="0"/>
            </w:pPr>
            <w:r>
              <w:t>Option 4</w:t>
            </w:r>
            <w:r w:rsidR="007764F6">
              <w:t xml:space="preserve">: </w:t>
            </w:r>
            <w:r w:rsidR="00A51E6D">
              <w:t>Revoke the mandatory standard</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tcBorders>
          </w:tcPr>
          <w:p w:rsidR="00A51E6D" w:rsidRPr="000D60E6" w:rsidRDefault="00A51E6D" w:rsidP="00F03237">
            <w:pPr>
              <w:jc w:val="right"/>
            </w:pPr>
            <w:r>
              <w:t>Number of models</w:t>
            </w:r>
          </w:p>
        </w:tc>
        <w:tc>
          <w:tcPr>
            <w:tcW w:w="2126" w:type="dxa"/>
            <w:tcBorders>
              <w:top w:val="single" w:sz="4" w:space="0" w:color="auto"/>
            </w:tcBorders>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25,000</w:t>
            </w:r>
          </w:p>
        </w:tc>
        <w:tc>
          <w:tcPr>
            <w:tcW w:w="2268" w:type="dxa"/>
            <w:tcBorders>
              <w:top w:val="single" w:sz="4" w:space="0" w:color="auto"/>
            </w:tcBorders>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25,000</w:t>
            </w:r>
          </w:p>
        </w:tc>
        <w:tc>
          <w:tcPr>
            <w:tcW w:w="2268" w:type="dxa"/>
            <w:tcBorders>
              <w:top w:val="single" w:sz="4" w:space="0" w:color="auto"/>
            </w:tcBorders>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25,000</w:t>
            </w:r>
          </w:p>
        </w:tc>
        <w:tc>
          <w:tcPr>
            <w:tcW w:w="2268" w:type="dxa"/>
            <w:tcBorders>
              <w:top w:val="single" w:sz="4" w:space="0" w:color="auto"/>
            </w:tcBorders>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25,000</w:t>
            </w:r>
          </w:p>
        </w:tc>
      </w:tr>
      <w:tr w:rsidR="00E067F2"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E067F2" w:rsidRPr="000D60E6" w:rsidRDefault="00E067F2" w:rsidP="00F03237">
            <w:pPr>
              <w:jc w:val="right"/>
            </w:pPr>
            <w:r>
              <w:t>Number of units (toys)</w:t>
            </w:r>
          </w:p>
        </w:tc>
        <w:tc>
          <w:tcPr>
            <w:tcW w:w="2126" w:type="dxa"/>
          </w:tcPr>
          <w:p w:rsidR="00E067F2" w:rsidRDefault="00E067F2" w:rsidP="00F03237">
            <w:pPr>
              <w:jc w:val="right"/>
              <w:cnfStyle w:val="000000000000" w:firstRow="0" w:lastRow="0" w:firstColumn="0" w:lastColumn="0" w:oddVBand="0" w:evenVBand="0" w:oddHBand="0" w:evenHBand="0" w:firstRowFirstColumn="0" w:firstRowLastColumn="0" w:lastRowFirstColumn="0" w:lastRowLastColumn="0"/>
            </w:pPr>
            <w:r>
              <w:t>190,000,000</w:t>
            </w:r>
          </w:p>
        </w:tc>
        <w:tc>
          <w:tcPr>
            <w:tcW w:w="2268" w:type="dxa"/>
          </w:tcPr>
          <w:p w:rsidR="00E067F2" w:rsidRDefault="00E067F2" w:rsidP="00F03237">
            <w:pPr>
              <w:jc w:val="right"/>
              <w:cnfStyle w:val="000000000000" w:firstRow="0" w:lastRow="0" w:firstColumn="0" w:lastColumn="0" w:oddVBand="0" w:evenVBand="0" w:oddHBand="0" w:evenHBand="0" w:firstRowFirstColumn="0" w:firstRowLastColumn="0" w:lastRowFirstColumn="0" w:lastRowLastColumn="0"/>
            </w:pPr>
            <w:r>
              <w:t>190,000,000</w:t>
            </w:r>
          </w:p>
        </w:tc>
        <w:tc>
          <w:tcPr>
            <w:tcW w:w="2268" w:type="dxa"/>
          </w:tcPr>
          <w:p w:rsidR="00E067F2" w:rsidRDefault="00E067F2" w:rsidP="00F03237">
            <w:pPr>
              <w:jc w:val="right"/>
              <w:cnfStyle w:val="000000000000" w:firstRow="0" w:lastRow="0" w:firstColumn="0" w:lastColumn="0" w:oddVBand="0" w:evenVBand="0" w:oddHBand="0" w:evenHBand="0" w:firstRowFirstColumn="0" w:firstRowLastColumn="0" w:lastRowFirstColumn="0" w:lastRowLastColumn="0"/>
            </w:pPr>
            <w:r>
              <w:t>190,000,000</w:t>
            </w:r>
          </w:p>
        </w:tc>
        <w:tc>
          <w:tcPr>
            <w:tcW w:w="2268" w:type="dxa"/>
          </w:tcPr>
          <w:p w:rsidR="00E067F2" w:rsidRDefault="00E067F2" w:rsidP="00F03237">
            <w:pPr>
              <w:jc w:val="right"/>
              <w:cnfStyle w:val="000000000000" w:firstRow="0" w:lastRow="0" w:firstColumn="0" w:lastColumn="0" w:oddVBand="0" w:evenVBand="0" w:oddHBand="0" w:evenHBand="0" w:firstRowFirstColumn="0" w:firstRowLastColumn="0" w:lastRowFirstColumn="0" w:lastRowLastColumn="0"/>
            </w:pPr>
            <w:r>
              <w:t>190,000,000</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D60E6" w:rsidRDefault="00A51E6D" w:rsidP="00F03237">
            <w:pPr>
              <w:jc w:val="right"/>
            </w:pPr>
            <w:r w:rsidRPr="000D60E6">
              <w:t>Number of suppliers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4,500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4,500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4,500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4,500</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D60E6" w:rsidRDefault="00A51E6D" w:rsidP="00F03237">
            <w:pPr>
              <w:jc w:val="right"/>
            </w:pPr>
            <w:r w:rsidRPr="000D60E6">
              <w:t>Models per supplier</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5.6</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5.6</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5.6</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5.6</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D60E6" w:rsidRDefault="00A51E6D" w:rsidP="00F03237">
            <w:pPr>
              <w:jc w:val="right"/>
            </w:pPr>
            <w:r w:rsidRPr="000D60E6">
              <w:t>Costs per test</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8142A" w:rsidRDefault="00A51E6D" w:rsidP="00C96ED6">
            <w:pPr>
              <w:pStyle w:val="ListParagraph"/>
              <w:numPr>
                <w:ilvl w:val="0"/>
                <w:numId w:val="37"/>
              </w:numPr>
              <w:tabs>
                <w:tab w:val="clear" w:pos="340"/>
              </w:tabs>
              <w:spacing w:before="60"/>
              <w:contextualSpacing/>
              <w:jc w:val="right"/>
            </w:pPr>
            <w:r>
              <w:t>Up to 36 months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8142A" w:rsidRDefault="00A51E6D" w:rsidP="00C96ED6">
            <w:pPr>
              <w:pStyle w:val="ListParagraph"/>
              <w:numPr>
                <w:ilvl w:val="0"/>
                <w:numId w:val="37"/>
              </w:numPr>
              <w:tabs>
                <w:tab w:val="clear" w:pos="340"/>
              </w:tabs>
              <w:spacing w:before="60"/>
              <w:contextualSpacing/>
              <w:jc w:val="right"/>
            </w:pPr>
            <w:r>
              <w:t>Magnets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$41.67</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8142A" w:rsidRDefault="00A51E6D" w:rsidP="00C96ED6">
            <w:pPr>
              <w:pStyle w:val="ListParagraph"/>
              <w:numPr>
                <w:ilvl w:val="0"/>
                <w:numId w:val="37"/>
              </w:numPr>
              <w:tabs>
                <w:tab w:val="clear" w:pos="340"/>
              </w:tabs>
              <w:spacing w:before="60"/>
              <w:contextualSpacing/>
              <w:jc w:val="right"/>
            </w:pPr>
            <w:r>
              <w:t>Projectile toys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$66.66</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8142A" w:rsidRDefault="00A51E6D" w:rsidP="00C96ED6">
            <w:pPr>
              <w:pStyle w:val="ListParagraph"/>
              <w:numPr>
                <w:ilvl w:val="0"/>
                <w:numId w:val="37"/>
              </w:numPr>
              <w:tabs>
                <w:tab w:val="clear" w:pos="340"/>
              </w:tabs>
              <w:spacing w:before="60"/>
              <w:contextualSpacing/>
              <w:jc w:val="right"/>
            </w:pPr>
            <w:r>
              <w:t>Aquatic toys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$87.50</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Default="00A51E6D" w:rsidP="00C96ED6">
            <w:pPr>
              <w:pStyle w:val="ListParagraph"/>
              <w:numPr>
                <w:ilvl w:val="0"/>
                <w:numId w:val="37"/>
              </w:numPr>
              <w:tabs>
                <w:tab w:val="clear" w:pos="340"/>
              </w:tabs>
              <w:spacing w:before="60"/>
              <w:contextualSpacing/>
              <w:jc w:val="right"/>
            </w:pPr>
            <w:r>
              <w:t xml:space="preserve">Chemicals </w:t>
            </w:r>
            <w:proofErr w:type="spellStart"/>
            <w:r>
              <w:t>pt</w:t>
            </w:r>
            <w:proofErr w:type="spellEnd"/>
            <w:r>
              <w:t xml:space="preserve"> 3</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$155.00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$155.00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$155.00</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$155.00</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Default="00A51E6D" w:rsidP="00C96ED6">
            <w:pPr>
              <w:pStyle w:val="ListParagraph"/>
              <w:numPr>
                <w:ilvl w:val="0"/>
                <w:numId w:val="37"/>
              </w:numPr>
              <w:tabs>
                <w:tab w:val="clear" w:pos="340"/>
              </w:tabs>
              <w:spacing w:before="60"/>
              <w:contextualSpacing/>
              <w:jc w:val="right"/>
            </w:pPr>
            <w:r>
              <w:t xml:space="preserve">Chemicals </w:t>
            </w:r>
            <w:proofErr w:type="spellStart"/>
            <w:r>
              <w:t>pt</w:t>
            </w:r>
            <w:proofErr w:type="spellEnd"/>
            <w:r>
              <w:t xml:space="preserve"> 7</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$83.33</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$83.33</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$83.33</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$83.33</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D60E6" w:rsidRDefault="00A51E6D" w:rsidP="00F03237">
            <w:pPr>
              <w:jc w:val="right"/>
            </w:pPr>
            <w:r>
              <w:t>Breakdown of toy types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8142A" w:rsidRDefault="00A51E6D" w:rsidP="00C96ED6">
            <w:pPr>
              <w:pStyle w:val="ListParagraph"/>
              <w:numPr>
                <w:ilvl w:val="0"/>
                <w:numId w:val="37"/>
              </w:numPr>
              <w:tabs>
                <w:tab w:val="clear" w:pos="340"/>
              </w:tabs>
              <w:spacing w:before="60"/>
              <w:contextualSpacing/>
              <w:jc w:val="right"/>
            </w:pPr>
            <w:r>
              <w:t>Up to 36 months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19%</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19%</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19%</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19%</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8142A" w:rsidRDefault="00A51E6D" w:rsidP="00C96ED6">
            <w:pPr>
              <w:pStyle w:val="ListParagraph"/>
              <w:numPr>
                <w:ilvl w:val="0"/>
                <w:numId w:val="37"/>
              </w:numPr>
              <w:tabs>
                <w:tab w:val="clear" w:pos="340"/>
              </w:tabs>
              <w:spacing w:before="60"/>
              <w:contextualSpacing/>
              <w:jc w:val="right"/>
            </w:pPr>
            <w:r>
              <w:t>Magnets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8142A" w:rsidRDefault="00A51E6D" w:rsidP="00C96ED6">
            <w:pPr>
              <w:pStyle w:val="ListParagraph"/>
              <w:numPr>
                <w:ilvl w:val="0"/>
                <w:numId w:val="37"/>
              </w:numPr>
              <w:tabs>
                <w:tab w:val="clear" w:pos="340"/>
              </w:tabs>
              <w:spacing w:before="60"/>
              <w:contextualSpacing/>
              <w:jc w:val="right"/>
            </w:pPr>
            <w:r>
              <w:t>Projectile toys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2%</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2%</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2%</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2%</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8142A" w:rsidRDefault="00A51E6D" w:rsidP="00C96ED6">
            <w:pPr>
              <w:pStyle w:val="ListParagraph"/>
              <w:numPr>
                <w:ilvl w:val="0"/>
                <w:numId w:val="37"/>
              </w:numPr>
              <w:tabs>
                <w:tab w:val="clear" w:pos="340"/>
              </w:tabs>
              <w:spacing w:before="60"/>
              <w:contextualSpacing/>
              <w:jc w:val="right"/>
            </w:pPr>
            <w:r>
              <w:t>Aquatic toys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1%</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Default="00A51E6D" w:rsidP="00C96ED6">
            <w:pPr>
              <w:pStyle w:val="ListParagraph"/>
              <w:numPr>
                <w:ilvl w:val="0"/>
                <w:numId w:val="37"/>
              </w:numPr>
              <w:tabs>
                <w:tab w:val="clear" w:pos="340"/>
              </w:tabs>
              <w:spacing w:before="60"/>
              <w:contextualSpacing/>
              <w:jc w:val="right"/>
            </w:pPr>
            <w:r>
              <w:t>Chemicals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77%</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77%</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77%</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77%</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D60E6" w:rsidRDefault="00A51E6D" w:rsidP="00F03237">
            <w:pPr>
              <w:jc w:val="right"/>
            </w:pPr>
            <w:r>
              <w:t>Annual testing</w:t>
            </w:r>
            <w:r w:rsidRPr="000D60E6">
              <w:t xml:space="preserve"> cost per </w:t>
            </w:r>
            <w:r w:rsidR="00E067F2">
              <w:t xml:space="preserve">testing </w:t>
            </w:r>
            <w:r>
              <w:t>supplier</w:t>
            </w:r>
          </w:p>
        </w:tc>
        <w:tc>
          <w:tcPr>
            <w:tcW w:w="2126" w:type="dxa"/>
          </w:tcPr>
          <w:p w:rsidR="00A51E6D" w:rsidRPr="000D60E6" w:rsidRDefault="00A51E6D" w:rsidP="00E067F2">
            <w:pPr>
              <w:jc w:val="right"/>
              <w:cnfStyle w:val="000000000000" w:firstRow="0" w:lastRow="0" w:firstColumn="0" w:lastColumn="0" w:oddVBand="0" w:evenVBand="0" w:oddHBand="0" w:evenHBand="0" w:firstRowFirstColumn="0" w:firstRowLastColumn="0" w:lastRowFirstColumn="0" w:lastRowLastColumn="0"/>
            </w:pPr>
            <w:r>
              <w:t>$</w:t>
            </w:r>
            <w:r w:rsidR="00E067F2">
              <w:t>1,135.48</w:t>
            </w:r>
          </w:p>
        </w:tc>
        <w:tc>
          <w:tcPr>
            <w:tcW w:w="2268" w:type="dxa"/>
          </w:tcPr>
          <w:p w:rsidR="00A51E6D" w:rsidRPr="000D60E6" w:rsidRDefault="00A51E6D" w:rsidP="00E067F2">
            <w:pPr>
              <w:jc w:val="right"/>
              <w:cnfStyle w:val="000000000000" w:firstRow="0" w:lastRow="0" w:firstColumn="0" w:lastColumn="0" w:oddVBand="0" w:evenVBand="0" w:oddHBand="0" w:evenHBand="0" w:firstRowFirstColumn="0" w:firstRowLastColumn="0" w:lastRowFirstColumn="0" w:lastRowLastColumn="0"/>
            </w:pPr>
            <w:r>
              <w:t>$</w:t>
            </w:r>
            <w:r w:rsidR="00E067F2">
              <w:t>1,140.36</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w:t>
            </w:r>
            <w:r w:rsidR="00E067F2">
              <w:t>1,140.36</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w:t>
            </w:r>
            <w:r w:rsidR="00E067F2">
              <w:t>1,140.36</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0D60E6" w:rsidRDefault="00A51E6D" w:rsidP="00F03237">
            <w:pPr>
              <w:jc w:val="right"/>
            </w:pPr>
            <w:r>
              <w:t>Hourly l</w:t>
            </w:r>
            <w:r w:rsidRPr="000D60E6">
              <w:t>abour rate</w:t>
            </w:r>
            <w:r>
              <w:t xml:space="preserve"> (including overheads)</w:t>
            </w:r>
          </w:p>
        </w:tc>
        <w:tc>
          <w:tcPr>
            <w:tcW w:w="2126"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$65.45</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$65.45</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$65.45</w:t>
            </w:r>
          </w:p>
        </w:tc>
        <w:tc>
          <w:tcPr>
            <w:tcW w:w="2268" w:type="dxa"/>
          </w:tcPr>
          <w:p w:rsidR="00A51E6D" w:rsidRPr="000D60E6" w:rsidRDefault="00A51E6D" w:rsidP="00F03237">
            <w:pPr>
              <w:jc w:val="right"/>
              <w:cnfStyle w:val="000000000000" w:firstRow="0" w:lastRow="0" w:firstColumn="0" w:lastColumn="0" w:oddVBand="0" w:evenVBand="0" w:oddHBand="0" w:evenHBand="0" w:firstRowFirstColumn="0" w:firstRowLastColumn="0" w:lastRowFirstColumn="0" w:lastRowLastColumn="0"/>
            </w:pPr>
            <w:r>
              <w:t>$65.45</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A51E6D" w:rsidRDefault="007764F6" w:rsidP="007764F6">
            <w:pPr>
              <w:jc w:val="right"/>
            </w:pPr>
            <w:r>
              <w:t>A</w:t>
            </w:r>
            <w:r w:rsidR="00A51E6D" w:rsidRPr="00A51E6D">
              <w:t>dmin hours per model</w:t>
            </w:r>
          </w:p>
        </w:tc>
        <w:tc>
          <w:tcPr>
            <w:tcW w:w="2126" w:type="dxa"/>
          </w:tcPr>
          <w:p w:rsidR="00A51E6D" w:rsidRPr="00A51E6D" w:rsidRDefault="00A51E6D" w:rsidP="00F03237">
            <w:pPr>
              <w:jc w:val="right"/>
              <w:cnfStyle w:val="000000000000" w:firstRow="0" w:lastRow="0" w:firstColumn="0" w:lastColumn="0" w:oddVBand="0" w:evenVBand="0" w:oddHBand="0" w:evenHBand="0" w:firstRowFirstColumn="0" w:firstRowLastColumn="0" w:lastRowFirstColumn="0" w:lastRowLastColumn="0"/>
            </w:pPr>
            <w:r w:rsidRPr="00A51E6D">
              <w:t>4.1</w:t>
            </w:r>
          </w:p>
        </w:tc>
        <w:tc>
          <w:tcPr>
            <w:tcW w:w="2268" w:type="dxa"/>
          </w:tcPr>
          <w:p w:rsidR="00A51E6D" w:rsidRPr="00A51E6D" w:rsidRDefault="00A51E6D" w:rsidP="00F03237">
            <w:pPr>
              <w:jc w:val="right"/>
              <w:cnfStyle w:val="000000000000" w:firstRow="0" w:lastRow="0" w:firstColumn="0" w:lastColumn="0" w:oddVBand="0" w:evenVBand="0" w:oddHBand="0" w:evenHBand="0" w:firstRowFirstColumn="0" w:firstRowLastColumn="0" w:lastRowFirstColumn="0" w:lastRowLastColumn="0"/>
            </w:pPr>
            <w:r w:rsidRPr="00A51E6D">
              <w:t>4.1</w:t>
            </w:r>
          </w:p>
        </w:tc>
        <w:tc>
          <w:tcPr>
            <w:tcW w:w="2268" w:type="dxa"/>
          </w:tcPr>
          <w:p w:rsidR="00A51E6D" w:rsidRPr="00A51E6D" w:rsidRDefault="00A51E6D" w:rsidP="00F03237">
            <w:pPr>
              <w:jc w:val="right"/>
              <w:cnfStyle w:val="000000000000" w:firstRow="0" w:lastRow="0" w:firstColumn="0" w:lastColumn="0" w:oddVBand="0" w:evenVBand="0" w:oddHBand="0" w:evenHBand="0" w:firstRowFirstColumn="0" w:firstRowLastColumn="0" w:lastRowFirstColumn="0" w:lastRowLastColumn="0"/>
            </w:pPr>
            <w:r w:rsidRPr="00A51E6D">
              <w:t>4.1</w:t>
            </w:r>
          </w:p>
        </w:tc>
        <w:tc>
          <w:tcPr>
            <w:tcW w:w="2268" w:type="dxa"/>
          </w:tcPr>
          <w:p w:rsidR="00A51E6D" w:rsidRPr="00A51E6D" w:rsidRDefault="00A51E6D" w:rsidP="00F03237">
            <w:pPr>
              <w:jc w:val="right"/>
              <w:cnfStyle w:val="000000000000" w:firstRow="0" w:lastRow="0" w:firstColumn="0" w:lastColumn="0" w:oddVBand="0" w:evenVBand="0" w:oddHBand="0" w:evenHBand="0" w:firstRowFirstColumn="0" w:firstRowLastColumn="0" w:lastRowFirstColumn="0" w:lastRowLastColumn="0"/>
            </w:pPr>
            <w:r w:rsidRPr="00A51E6D">
              <w:t>4.1</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A51E6D" w:rsidRDefault="007764F6" w:rsidP="00F03237">
            <w:pPr>
              <w:jc w:val="right"/>
            </w:pPr>
            <w:r>
              <w:t xml:space="preserve">% of suppliers </w:t>
            </w:r>
            <w:r w:rsidR="00A51E6D" w:rsidRPr="00A51E6D">
              <w:t>(re)testing</w:t>
            </w:r>
          </w:p>
        </w:tc>
        <w:tc>
          <w:tcPr>
            <w:tcW w:w="2126" w:type="dxa"/>
          </w:tcPr>
          <w:p w:rsidR="00A51E6D" w:rsidRPr="00A51E6D" w:rsidRDefault="00A51E6D" w:rsidP="00F03237">
            <w:pPr>
              <w:jc w:val="right"/>
              <w:cnfStyle w:val="000000000000" w:firstRow="0" w:lastRow="0" w:firstColumn="0" w:lastColumn="0" w:oddVBand="0" w:evenVBand="0" w:oddHBand="0" w:evenHBand="0" w:firstRowFirstColumn="0" w:firstRowLastColumn="0" w:lastRowFirstColumn="0" w:lastRowLastColumn="0"/>
            </w:pPr>
            <w:r w:rsidRPr="00A51E6D">
              <w:t>100%</w:t>
            </w:r>
          </w:p>
        </w:tc>
        <w:tc>
          <w:tcPr>
            <w:tcW w:w="2268" w:type="dxa"/>
          </w:tcPr>
          <w:p w:rsidR="00A51E6D" w:rsidRPr="00A51E6D" w:rsidRDefault="00A51E6D" w:rsidP="00F03237">
            <w:pPr>
              <w:jc w:val="right"/>
              <w:cnfStyle w:val="000000000000" w:firstRow="0" w:lastRow="0" w:firstColumn="0" w:lastColumn="0" w:oddVBand="0" w:evenVBand="0" w:oddHBand="0" w:evenHBand="0" w:firstRowFirstColumn="0" w:firstRowLastColumn="0" w:lastRowFirstColumn="0" w:lastRowLastColumn="0"/>
            </w:pPr>
            <w:r w:rsidRPr="00A51E6D">
              <w:t>100%</w:t>
            </w:r>
          </w:p>
        </w:tc>
        <w:tc>
          <w:tcPr>
            <w:tcW w:w="2268" w:type="dxa"/>
          </w:tcPr>
          <w:p w:rsidR="00A51E6D" w:rsidRPr="00A51E6D" w:rsidRDefault="00A51E6D" w:rsidP="00F03237">
            <w:pPr>
              <w:jc w:val="right"/>
              <w:cnfStyle w:val="000000000000" w:firstRow="0" w:lastRow="0" w:firstColumn="0" w:lastColumn="0" w:oddVBand="0" w:evenVBand="0" w:oddHBand="0" w:evenHBand="0" w:firstRowFirstColumn="0" w:firstRowLastColumn="0" w:lastRowFirstColumn="0" w:lastRowLastColumn="0"/>
            </w:pPr>
            <w:r w:rsidRPr="00A51E6D">
              <w:t>50%</w:t>
            </w:r>
          </w:p>
        </w:tc>
        <w:tc>
          <w:tcPr>
            <w:tcW w:w="2268" w:type="dxa"/>
          </w:tcPr>
          <w:p w:rsidR="00A51E6D" w:rsidRPr="00A51E6D" w:rsidRDefault="00A51E6D" w:rsidP="00F03237">
            <w:pPr>
              <w:jc w:val="right"/>
              <w:cnfStyle w:val="000000000000" w:firstRow="0" w:lastRow="0" w:firstColumn="0" w:lastColumn="0" w:oddVBand="0" w:evenVBand="0" w:oddHBand="0" w:evenHBand="0" w:firstRowFirstColumn="0" w:firstRowLastColumn="0" w:lastRowFirstColumn="0" w:lastRowLastColumn="0"/>
            </w:pPr>
            <w:r w:rsidRPr="00A51E6D">
              <w:t>25%</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A51E6D" w:rsidRDefault="00A51E6D" w:rsidP="00F03237">
            <w:pPr>
              <w:jc w:val="right"/>
            </w:pPr>
            <w:r w:rsidRPr="00A51E6D">
              <w:t>Testing costs</w:t>
            </w:r>
          </w:p>
        </w:tc>
        <w:tc>
          <w:tcPr>
            <w:tcW w:w="2126"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5.110</w:t>
            </w:r>
            <w:r w:rsidRPr="00A51E6D">
              <w:t xml:space="preserve"> million</w:t>
            </w:r>
          </w:p>
        </w:tc>
        <w:tc>
          <w:tcPr>
            <w:tcW w:w="2268"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5.132</w:t>
            </w:r>
            <w:r w:rsidRPr="00A51E6D">
              <w:t xml:space="preserve"> million</w:t>
            </w:r>
          </w:p>
        </w:tc>
        <w:tc>
          <w:tcPr>
            <w:tcW w:w="2268"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2.566</w:t>
            </w:r>
            <w:r w:rsidRPr="00A51E6D">
              <w:t xml:space="preserve"> million</w:t>
            </w:r>
          </w:p>
        </w:tc>
        <w:tc>
          <w:tcPr>
            <w:tcW w:w="2268"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1.283</w:t>
            </w:r>
            <w:r w:rsidRPr="00A51E6D">
              <w:t xml:space="preserve"> million</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A51E6D" w:rsidRDefault="00A51E6D" w:rsidP="00F03237">
            <w:pPr>
              <w:jc w:val="right"/>
            </w:pPr>
            <w:r w:rsidRPr="00A51E6D">
              <w:t>Admin costs</w:t>
            </w:r>
          </w:p>
        </w:tc>
        <w:tc>
          <w:tcPr>
            <w:tcW w:w="2126"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6.709</w:t>
            </w:r>
            <w:r w:rsidRPr="00A51E6D">
              <w:t xml:space="preserve"> million</w:t>
            </w:r>
          </w:p>
        </w:tc>
        <w:tc>
          <w:tcPr>
            <w:tcW w:w="2268"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6.709</w:t>
            </w:r>
            <w:r w:rsidRPr="00A51E6D">
              <w:t xml:space="preserve"> million</w:t>
            </w:r>
          </w:p>
        </w:tc>
        <w:tc>
          <w:tcPr>
            <w:tcW w:w="2268"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3.354</w:t>
            </w:r>
            <w:r w:rsidRPr="00A51E6D">
              <w:t xml:space="preserve"> million</w:t>
            </w:r>
          </w:p>
        </w:tc>
        <w:tc>
          <w:tcPr>
            <w:tcW w:w="2268"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1.677</w:t>
            </w:r>
            <w:r w:rsidRPr="00A51E6D">
              <w:t xml:space="preserve"> million</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A51E6D" w:rsidRDefault="00A51E6D" w:rsidP="00F03237">
            <w:pPr>
              <w:jc w:val="right"/>
            </w:pPr>
            <w:r w:rsidRPr="00A51E6D">
              <w:t>Total compliance costs</w:t>
            </w:r>
          </w:p>
        </w:tc>
        <w:tc>
          <w:tcPr>
            <w:tcW w:w="2126"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11.819</w:t>
            </w:r>
            <w:r w:rsidRPr="00A51E6D">
              <w:t xml:space="preserve"> million</w:t>
            </w:r>
          </w:p>
        </w:tc>
        <w:tc>
          <w:tcPr>
            <w:tcW w:w="2268"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11.841</w:t>
            </w:r>
            <w:r w:rsidRPr="00A51E6D">
              <w:t xml:space="preserve"> million</w:t>
            </w:r>
          </w:p>
        </w:tc>
        <w:tc>
          <w:tcPr>
            <w:tcW w:w="2268"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5.920</w:t>
            </w:r>
            <w:r w:rsidRPr="00A51E6D">
              <w:t xml:space="preserve"> million</w:t>
            </w:r>
          </w:p>
        </w:tc>
        <w:tc>
          <w:tcPr>
            <w:tcW w:w="2268" w:type="dxa"/>
          </w:tcPr>
          <w:p w:rsidR="00A51E6D" w:rsidRPr="00A51E6D"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A51E6D">
              <w:t>$</w:t>
            </w:r>
            <w:r w:rsidR="00E067F2">
              <w:t>2.960</w:t>
            </w:r>
            <w:r w:rsidRPr="00A51E6D">
              <w:t xml:space="preserve"> million</w:t>
            </w:r>
          </w:p>
        </w:tc>
      </w:tr>
      <w:tr w:rsidR="00A51E6D" w:rsidRPr="000D60E6" w:rsidTr="00642501">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BE4743" w:rsidRDefault="00A51E6D" w:rsidP="00F03237">
            <w:pPr>
              <w:jc w:val="right"/>
            </w:pPr>
            <w:r w:rsidRPr="00BE4743">
              <w:t>Total status quo costs</w:t>
            </w:r>
          </w:p>
        </w:tc>
        <w:tc>
          <w:tcPr>
            <w:tcW w:w="2126" w:type="dxa"/>
          </w:tcPr>
          <w:p w:rsidR="00A51E6D" w:rsidRPr="00BE4743"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BE4743">
              <w:t>$</w:t>
            </w:r>
            <w:r w:rsidR="00E067F2" w:rsidRPr="00BE4743">
              <w:t>11.819</w:t>
            </w:r>
            <w:r w:rsidRPr="00BE4743">
              <w:t xml:space="preserve"> million</w:t>
            </w:r>
          </w:p>
        </w:tc>
        <w:tc>
          <w:tcPr>
            <w:tcW w:w="2268" w:type="dxa"/>
          </w:tcPr>
          <w:p w:rsidR="00A51E6D" w:rsidRPr="00BE4743"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BE4743">
              <w:t>$</w:t>
            </w:r>
            <w:r w:rsidR="00E067F2" w:rsidRPr="00BE4743">
              <w:t>11.819</w:t>
            </w:r>
            <w:r w:rsidRPr="00BE4743">
              <w:t xml:space="preserve"> million</w:t>
            </w:r>
          </w:p>
        </w:tc>
        <w:tc>
          <w:tcPr>
            <w:tcW w:w="2268" w:type="dxa"/>
          </w:tcPr>
          <w:p w:rsidR="00A51E6D" w:rsidRPr="00BE4743"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BE4743">
              <w:t>$</w:t>
            </w:r>
            <w:r w:rsidR="00E067F2" w:rsidRPr="00BE4743">
              <w:t>11.819</w:t>
            </w:r>
            <w:r w:rsidRPr="00BE4743">
              <w:t xml:space="preserve"> million</w:t>
            </w:r>
          </w:p>
        </w:tc>
        <w:tc>
          <w:tcPr>
            <w:tcW w:w="2268" w:type="dxa"/>
          </w:tcPr>
          <w:p w:rsidR="00A51E6D" w:rsidRPr="00BE4743"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BE4743">
              <w:t>$</w:t>
            </w:r>
            <w:r w:rsidR="00E067F2" w:rsidRPr="00BE4743">
              <w:t>11.819</w:t>
            </w:r>
            <w:r w:rsidRPr="00BE4743">
              <w:t xml:space="preserve"> million</w:t>
            </w:r>
          </w:p>
        </w:tc>
      </w:tr>
      <w:tr w:rsidR="00A51E6D" w:rsidRPr="000D60E6" w:rsidTr="005E314B">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A51E6D" w:rsidRPr="00BE4743" w:rsidRDefault="00A51E6D" w:rsidP="007764F6">
            <w:pPr>
              <w:jc w:val="right"/>
            </w:pPr>
            <w:r w:rsidRPr="00BE4743">
              <w:t>Change in Burden</w:t>
            </w:r>
          </w:p>
        </w:tc>
        <w:tc>
          <w:tcPr>
            <w:tcW w:w="2126" w:type="dxa"/>
          </w:tcPr>
          <w:p w:rsidR="00A51E6D" w:rsidRPr="00BE4743" w:rsidRDefault="00A51E6D" w:rsidP="00F03237">
            <w:pPr>
              <w:jc w:val="right"/>
              <w:cnfStyle w:val="000000000000" w:firstRow="0" w:lastRow="0" w:firstColumn="0" w:lastColumn="0" w:oddVBand="0" w:evenVBand="0" w:oddHBand="0" w:evenHBand="0" w:firstRowFirstColumn="0" w:firstRowLastColumn="0" w:lastRowFirstColumn="0" w:lastRowLastColumn="0"/>
            </w:pPr>
            <w:r w:rsidRPr="00BE4743">
              <w:t>$0.00</w:t>
            </w:r>
          </w:p>
        </w:tc>
        <w:tc>
          <w:tcPr>
            <w:tcW w:w="2268" w:type="dxa"/>
          </w:tcPr>
          <w:p w:rsidR="00A51E6D" w:rsidRPr="00BE4743"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BE4743">
              <w:t>+$</w:t>
            </w:r>
            <w:r w:rsidR="00E067F2" w:rsidRPr="00BE4743">
              <w:t>0.022 million</w:t>
            </w:r>
          </w:p>
        </w:tc>
        <w:tc>
          <w:tcPr>
            <w:tcW w:w="2268" w:type="dxa"/>
          </w:tcPr>
          <w:p w:rsidR="00A51E6D" w:rsidRPr="00BE4743"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BE4743">
              <w:t>-$</w:t>
            </w:r>
            <w:r w:rsidR="00E067F2" w:rsidRPr="00BE4743">
              <w:t>5.899</w:t>
            </w:r>
            <w:r w:rsidRPr="00BE4743">
              <w:t xml:space="preserve"> million</w:t>
            </w:r>
          </w:p>
        </w:tc>
        <w:tc>
          <w:tcPr>
            <w:tcW w:w="2268" w:type="dxa"/>
          </w:tcPr>
          <w:p w:rsidR="00A51E6D" w:rsidRPr="00BE4743" w:rsidRDefault="00A51E6D" w:rsidP="00E067F2">
            <w:pPr>
              <w:jc w:val="right"/>
              <w:cnfStyle w:val="000000000000" w:firstRow="0" w:lastRow="0" w:firstColumn="0" w:lastColumn="0" w:oddVBand="0" w:evenVBand="0" w:oddHBand="0" w:evenHBand="0" w:firstRowFirstColumn="0" w:firstRowLastColumn="0" w:lastRowFirstColumn="0" w:lastRowLastColumn="0"/>
            </w:pPr>
            <w:r w:rsidRPr="00BE4743">
              <w:t>-$</w:t>
            </w:r>
            <w:r w:rsidR="00E067F2" w:rsidRPr="00BE4743">
              <w:t>8.859</w:t>
            </w:r>
            <w:r w:rsidRPr="00BE4743">
              <w:t xml:space="preserve"> million</w:t>
            </w:r>
          </w:p>
        </w:tc>
      </w:tr>
      <w:tr w:rsidR="007764F6" w:rsidRPr="000D60E6" w:rsidTr="005E314B">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7764F6" w:rsidRPr="00BE4743" w:rsidRDefault="007764F6" w:rsidP="00F03237">
            <w:pPr>
              <w:jc w:val="right"/>
            </w:pPr>
            <w:r w:rsidRPr="00BE4743">
              <w:t>% of up to 36 months with button batteries</w:t>
            </w:r>
          </w:p>
        </w:tc>
        <w:tc>
          <w:tcPr>
            <w:tcW w:w="2126" w:type="dxa"/>
            <w:shd w:val="clear" w:color="auto" w:fill="BFBFBF" w:themeFill="background1" w:themeFillShade="BF"/>
          </w:tcPr>
          <w:p w:rsidR="007764F6" w:rsidRPr="00BE4743" w:rsidRDefault="007764F6" w:rsidP="00F03237">
            <w:pPr>
              <w:jc w:val="right"/>
              <w:cnfStyle w:val="000000000000" w:firstRow="0" w:lastRow="0" w:firstColumn="0" w:lastColumn="0" w:oddVBand="0" w:evenVBand="0" w:oddHBand="0" w:evenHBand="0" w:firstRowFirstColumn="0" w:firstRowLastColumn="0" w:lastRowFirstColumn="0" w:lastRowLastColumn="0"/>
            </w:pPr>
          </w:p>
        </w:tc>
        <w:tc>
          <w:tcPr>
            <w:tcW w:w="2268" w:type="dxa"/>
            <w:shd w:val="clear" w:color="auto" w:fill="BFBFBF" w:themeFill="background1" w:themeFillShade="BF"/>
          </w:tcPr>
          <w:p w:rsidR="007764F6" w:rsidRPr="00BE4743" w:rsidRDefault="007764F6" w:rsidP="00E067F2">
            <w:pPr>
              <w:jc w:val="right"/>
              <w:cnfStyle w:val="000000000000" w:firstRow="0" w:lastRow="0" w:firstColumn="0" w:lastColumn="0" w:oddVBand="0" w:evenVBand="0" w:oddHBand="0" w:evenHBand="0" w:firstRowFirstColumn="0" w:firstRowLastColumn="0" w:lastRowFirstColumn="0" w:lastRowLastColumn="0"/>
            </w:pPr>
          </w:p>
        </w:tc>
        <w:tc>
          <w:tcPr>
            <w:tcW w:w="2268" w:type="dxa"/>
          </w:tcPr>
          <w:p w:rsidR="007764F6" w:rsidRPr="00BE4743" w:rsidRDefault="007764F6" w:rsidP="00E067F2">
            <w:pPr>
              <w:jc w:val="right"/>
              <w:cnfStyle w:val="000000000000" w:firstRow="0" w:lastRow="0" w:firstColumn="0" w:lastColumn="0" w:oddVBand="0" w:evenVBand="0" w:oddHBand="0" w:evenHBand="0" w:firstRowFirstColumn="0" w:firstRowLastColumn="0" w:lastRowFirstColumn="0" w:lastRowLastColumn="0"/>
            </w:pPr>
            <w:r w:rsidRPr="00BE4743">
              <w:t>10%</w:t>
            </w:r>
          </w:p>
        </w:tc>
        <w:tc>
          <w:tcPr>
            <w:tcW w:w="2268" w:type="dxa"/>
            <w:shd w:val="clear" w:color="auto" w:fill="BFBFBF" w:themeFill="background1" w:themeFillShade="BF"/>
          </w:tcPr>
          <w:p w:rsidR="007764F6" w:rsidRPr="00BE4743" w:rsidRDefault="007764F6" w:rsidP="00E067F2">
            <w:pPr>
              <w:jc w:val="right"/>
              <w:cnfStyle w:val="000000000000" w:firstRow="0" w:lastRow="0" w:firstColumn="0" w:lastColumn="0" w:oddVBand="0" w:evenVBand="0" w:oddHBand="0" w:evenHBand="0" w:firstRowFirstColumn="0" w:firstRowLastColumn="0" w:lastRowFirstColumn="0" w:lastRowLastColumn="0"/>
            </w:pPr>
          </w:p>
        </w:tc>
      </w:tr>
      <w:tr w:rsidR="007764F6" w:rsidRPr="000D60E6" w:rsidTr="005E314B">
        <w:trPr>
          <w:jc w:val="center"/>
        </w:trPr>
        <w:tc>
          <w:tcPr>
            <w:cnfStyle w:val="001000000000" w:firstRow="0" w:lastRow="0" w:firstColumn="1" w:lastColumn="0" w:oddVBand="0" w:evenVBand="0" w:oddHBand="0" w:evenHBand="0" w:firstRowFirstColumn="0" w:firstRowLastColumn="0" w:lastRowFirstColumn="0" w:lastRowLastColumn="0"/>
            <w:tcW w:w="2518" w:type="dxa"/>
          </w:tcPr>
          <w:p w:rsidR="007764F6" w:rsidRPr="00BE4743" w:rsidRDefault="007764F6" w:rsidP="00F03237">
            <w:pPr>
              <w:jc w:val="right"/>
            </w:pPr>
            <w:r w:rsidRPr="00BE4743">
              <w:t>Label cost per unit</w:t>
            </w:r>
          </w:p>
        </w:tc>
        <w:tc>
          <w:tcPr>
            <w:tcW w:w="2126" w:type="dxa"/>
            <w:shd w:val="clear" w:color="auto" w:fill="BFBFBF" w:themeFill="background1" w:themeFillShade="BF"/>
          </w:tcPr>
          <w:p w:rsidR="007764F6" w:rsidRPr="00BE4743" w:rsidRDefault="007764F6" w:rsidP="00F03237">
            <w:pPr>
              <w:jc w:val="right"/>
              <w:cnfStyle w:val="000000000000" w:firstRow="0" w:lastRow="0" w:firstColumn="0" w:lastColumn="0" w:oddVBand="0" w:evenVBand="0" w:oddHBand="0" w:evenHBand="0" w:firstRowFirstColumn="0" w:firstRowLastColumn="0" w:lastRowFirstColumn="0" w:lastRowLastColumn="0"/>
            </w:pPr>
          </w:p>
        </w:tc>
        <w:tc>
          <w:tcPr>
            <w:tcW w:w="2268" w:type="dxa"/>
            <w:shd w:val="clear" w:color="auto" w:fill="BFBFBF" w:themeFill="background1" w:themeFillShade="BF"/>
          </w:tcPr>
          <w:p w:rsidR="007764F6" w:rsidRPr="00BE4743" w:rsidRDefault="007764F6" w:rsidP="00E067F2">
            <w:pPr>
              <w:jc w:val="right"/>
              <w:cnfStyle w:val="000000000000" w:firstRow="0" w:lastRow="0" w:firstColumn="0" w:lastColumn="0" w:oddVBand="0" w:evenVBand="0" w:oddHBand="0" w:evenHBand="0" w:firstRowFirstColumn="0" w:firstRowLastColumn="0" w:lastRowFirstColumn="0" w:lastRowLastColumn="0"/>
            </w:pPr>
          </w:p>
        </w:tc>
        <w:tc>
          <w:tcPr>
            <w:tcW w:w="2268" w:type="dxa"/>
          </w:tcPr>
          <w:p w:rsidR="007764F6" w:rsidRPr="00BE4743" w:rsidRDefault="007764F6" w:rsidP="00E067F2">
            <w:pPr>
              <w:jc w:val="right"/>
              <w:cnfStyle w:val="000000000000" w:firstRow="0" w:lastRow="0" w:firstColumn="0" w:lastColumn="0" w:oddVBand="0" w:evenVBand="0" w:oddHBand="0" w:evenHBand="0" w:firstRowFirstColumn="0" w:firstRowLastColumn="0" w:lastRowFirstColumn="0" w:lastRowLastColumn="0"/>
            </w:pPr>
            <w:r w:rsidRPr="00BE4743">
              <w:t>$0.05</w:t>
            </w:r>
          </w:p>
        </w:tc>
        <w:tc>
          <w:tcPr>
            <w:tcW w:w="2268" w:type="dxa"/>
            <w:shd w:val="clear" w:color="auto" w:fill="BFBFBF" w:themeFill="background1" w:themeFillShade="BF"/>
          </w:tcPr>
          <w:p w:rsidR="007764F6" w:rsidRPr="00BE4743" w:rsidRDefault="007764F6" w:rsidP="00E067F2">
            <w:pPr>
              <w:jc w:val="right"/>
              <w:cnfStyle w:val="000000000000" w:firstRow="0" w:lastRow="0" w:firstColumn="0" w:lastColumn="0" w:oddVBand="0" w:evenVBand="0" w:oddHBand="0" w:evenHBand="0" w:firstRowFirstColumn="0" w:firstRowLastColumn="0" w:lastRowFirstColumn="0" w:lastRowLastColumn="0"/>
            </w:pPr>
          </w:p>
        </w:tc>
      </w:tr>
      <w:tr w:rsidR="007764F6" w:rsidRPr="000D60E6" w:rsidTr="005E314B">
        <w:trPr>
          <w:jc w:val="center"/>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rsidR="007764F6" w:rsidRPr="00BE4743" w:rsidRDefault="007764F6" w:rsidP="007764F6">
            <w:pPr>
              <w:jc w:val="right"/>
            </w:pPr>
            <w:r w:rsidRPr="00BE4743">
              <w:t>Battery labelling costs</w:t>
            </w:r>
          </w:p>
        </w:tc>
        <w:tc>
          <w:tcPr>
            <w:tcW w:w="2126" w:type="dxa"/>
            <w:tcBorders>
              <w:bottom w:val="single" w:sz="4" w:space="0" w:color="auto"/>
            </w:tcBorders>
            <w:shd w:val="clear" w:color="auto" w:fill="BFBFBF" w:themeFill="background1" w:themeFillShade="BF"/>
          </w:tcPr>
          <w:p w:rsidR="007764F6" w:rsidRPr="00BE4743" w:rsidRDefault="007764F6" w:rsidP="00F03237">
            <w:pPr>
              <w:jc w:val="right"/>
              <w:cnfStyle w:val="000000000000" w:firstRow="0" w:lastRow="0" w:firstColumn="0" w:lastColumn="0" w:oddVBand="0" w:evenVBand="0" w:oddHBand="0" w:evenHBand="0" w:firstRowFirstColumn="0" w:firstRowLastColumn="0" w:lastRowFirstColumn="0" w:lastRowLastColumn="0"/>
            </w:pPr>
          </w:p>
        </w:tc>
        <w:tc>
          <w:tcPr>
            <w:tcW w:w="2268" w:type="dxa"/>
            <w:tcBorders>
              <w:bottom w:val="single" w:sz="4" w:space="0" w:color="auto"/>
            </w:tcBorders>
            <w:shd w:val="clear" w:color="auto" w:fill="BFBFBF" w:themeFill="background1" w:themeFillShade="BF"/>
          </w:tcPr>
          <w:p w:rsidR="007764F6" w:rsidRPr="00BE4743" w:rsidRDefault="007764F6" w:rsidP="00E067F2">
            <w:pPr>
              <w:jc w:val="right"/>
              <w:cnfStyle w:val="000000000000" w:firstRow="0" w:lastRow="0" w:firstColumn="0" w:lastColumn="0" w:oddVBand="0" w:evenVBand="0" w:oddHBand="0" w:evenHBand="0" w:firstRowFirstColumn="0" w:firstRowLastColumn="0" w:lastRowFirstColumn="0" w:lastRowLastColumn="0"/>
            </w:pPr>
          </w:p>
        </w:tc>
        <w:tc>
          <w:tcPr>
            <w:tcW w:w="2268" w:type="dxa"/>
            <w:tcBorders>
              <w:bottom w:val="single" w:sz="4" w:space="0" w:color="auto"/>
            </w:tcBorders>
          </w:tcPr>
          <w:p w:rsidR="007764F6" w:rsidRPr="00BE4743" w:rsidRDefault="007764F6" w:rsidP="005E418C">
            <w:pPr>
              <w:jc w:val="right"/>
              <w:cnfStyle w:val="000000000000" w:firstRow="0" w:lastRow="0" w:firstColumn="0" w:lastColumn="0" w:oddVBand="0" w:evenVBand="0" w:oddHBand="0" w:evenHBand="0" w:firstRowFirstColumn="0" w:firstRowLastColumn="0" w:lastRowFirstColumn="0" w:lastRowLastColumn="0"/>
            </w:pPr>
            <w:r w:rsidRPr="00BE4743">
              <w:t>$180</w:t>
            </w:r>
            <w:r w:rsidR="005E418C" w:rsidRPr="00BE4743">
              <w:t xml:space="preserve"> </w:t>
            </w:r>
            <w:r w:rsidRPr="00BE4743">
              <w:t>500</w:t>
            </w:r>
          </w:p>
        </w:tc>
        <w:tc>
          <w:tcPr>
            <w:tcW w:w="2268" w:type="dxa"/>
            <w:tcBorders>
              <w:bottom w:val="single" w:sz="4" w:space="0" w:color="auto"/>
            </w:tcBorders>
            <w:shd w:val="clear" w:color="auto" w:fill="BFBFBF" w:themeFill="background1" w:themeFillShade="BF"/>
          </w:tcPr>
          <w:p w:rsidR="007764F6" w:rsidRPr="007764F6" w:rsidRDefault="007764F6" w:rsidP="00E067F2">
            <w:pPr>
              <w:jc w:val="right"/>
              <w:cnfStyle w:val="000000000000" w:firstRow="0" w:lastRow="0" w:firstColumn="0" w:lastColumn="0" w:oddVBand="0" w:evenVBand="0" w:oddHBand="0" w:evenHBand="0" w:firstRowFirstColumn="0" w:firstRowLastColumn="0" w:lastRowFirstColumn="0" w:lastRowLastColumn="0"/>
              <w:rPr>
                <w:highlight w:val="lightGray"/>
              </w:rPr>
            </w:pPr>
          </w:p>
        </w:tc>
      </w:tr>
    </w:tbl>
    <w:p w:rsidR="00E85937" w:rsidRDefault="00E85937" w:rsidP="00E85937">
      <w:pPr>
        <w:rPr>
          <w:rFonts w:cs="Arial"/>
          <w:b/>
          <w:sz w:val="24"/>
        </w:rPr>
      </w:pPr>
      <w:r w:rsidRPr="00FF6309">
        <w:rPr>
          <w:rFonts w:cs="Arial"/>
          <w:b/>
          <w:sz w:val="24"/>
        </w:rPr>
        <w:lastRenderedPageBreak/>
        <w:t>Assumptions</w:t>
      </w:r>
    </w:p>
    <w:p w:rsidR="00876D23" w:rsidRDefault="00876D23" w:rsidP="00E85937">
      <w:pPr>
        <w:rPr>
          <w:rFonts w:cs="Arial"/>
        </w:rPr>
      </w:pPr>
      <w:r>
        <w:rPr>
          <w:rFonts w:cs="Arial"/>
        </w:rPr>
        <w:t>All assumption made are detailed below and will be reviewed and re-adjusted based on information received from industry and other stakeholders following the consultation period.</w:t>
      </w:r>
    </w:p>
    <w:p w:rsidR="00876D23" w:rsidRPr="00876D23" w:rsidRDefault="00876D23" w:rsidP="00876D23">
      <w:pPr>
        <w:spacing w:before="0"/>
        <w:rPr>
          <w:rFonts w:cs="Arial"/>
        </w:rPr>
      </w:pPr>
    </w:p>
    <w:p w:rsidR="00E85937" w:rsidRDefault="00622E8A" w:rsidP="00C96ED6">
      <w:pPr>
        <w:pStyle w:val="ListParagraph"/>
        <w:numPr>
          <w:ilvl w:val="0"/>
          <w:numId w:val="38"/>
        </w:numPr>
        <w:tabs>
          <w:tab w:val="clear" w:pos="340"/>
        </w:tabs>
        <w:spacing w:before="0" w:after="200" w:line="276" w:lineRule="auto"/>
        <w:contextualSpacing/>
        <w:rPr>
          <w:rFonts w:cs="Arial"/>
        </w:rPr>
      </w:pPr>
      <w:r>
        <w:rPr>
          <w:rFonts w:cs="Arial"/>
        </w:rPr>
        <w:t xml:space="preserve">25 </w:t>
      </w:r>
      <w:r w:rsidR="00E85937">
        <w:rPr>
          <w:rFonts w:cs="Arial"/>
        </w:rPr>
        <w:t>000 models of toys subject to at least one of the five mandatory standards are imported into Australia each year</w:t>
      </w:r>
      <w:r w:rsidR="00E85937">
        <w:rPr>
          <w:rStyle w:val="FootnoteReference"/>
          <w:rFonts w:cs="Arial"/>
        </w:rPr>
        <w:footnoteReference w:id="25"/>
      </w:r>
    </w:p>
    <w:p w:rsidR="00E85937" w:rsidRDefault="00622E8A" w:rsidP="00C96ED6">
      <w:pPr>
        <w:pStyle w:val="ListParagraph"/>
        <w:numPr>
          <w:ilvl w:val="0"/>
          <w:numId w:val="38"/>
        </w:numPr>
        <w:tabs>
          <w:tab w:val="clear" w:pos="340"/>
        </w:tabs>
        <w:spacing w:before="0" w:after="200" w:line="276" w:lineRule="auto"/>
        <w:contextualSpacing/>
        <w:rPr>
          <w:rFonts w:cs="Arial"/>
        </w:rPr>
      </w:pPr>
      <w:r>
        <w:rPr>
          <w:rFonts w:cs="Arial"/>
        </w:rPr>
        <w:t>There are an estimated 4</w:t>
      </w:r>
      <w:r w:rsidR="00E85937">
        <w:rPr>
          <w:rFonts w:cs="Arial"/>
        </w:rPr>
        <w:t>500 suppliers</w:t>
      </w:r>
      <w:r w:rsidR="00E85937">
        <w:rPr>
          <w:rStyle w:val="FootnoteReference"/>
          <w:rFonts w:cs="Arial"/>
        </w:rPr>
        <w:footnoteReference w:id="26"/>
      </w:r>
    </w:p>
    <w:p w:rsidR="00E85937" w:rsidRDefault="00E85937" w:rsidP="00C96ED6">
      <w:pPr>
        <w:pStyle w:val="ListParagraph"/>
        <w:numPr>
          <w:ilvl w:val="0"/>
          <w:numId w:val="38"/>
        </w:numPr>
        <w:tabs>
          <w:tab w:val="clear" w:pos="340"/>
        </w:tabs>
        <w:spacing w:before="0" w:after="200" w:line="276" w:lineRule="auto"/>
        <w:contextualSpacing/>
        <w:rPr>
          <w:rFonts w:cs="Arial"/>
        </w:rPr>
      </w:pPr>
      <w:r>
        <w:rPr>
          <w:rFonts w:cs="Arial"/>
        </w:rPr>
        <w:t>For the purpose of these regulatory estimates it is assumed each supplier sells an equal number of models:</w:t>
      </w:r>
    </w:p>
    <w:p w:rsidR="00E85937" w:rsidRDefault="00622E8A" w:rsidP="00622E8A">
      <w:pPr>
        <w:pStyle w:val="ListParagraph"/>
        <w:numPr>
          <w:ilvl w:val="0"/>
          <w:numId w:val="0"/>
        </w:numPr>
        <w:ind w:left="340"/>
        <w:rPr>
          <w:rFonts w:cs="Arial"/>
        </w:rPr>
      </w:pPr>
      <w:r>
        <w:rPr>
          <w:rFonts w:cs="Arial"/>
        </w:rPr>
        <w:t xml:space="preserve">      </w:t>
      </w:r>
      <w:r w:rsidR="00E85937">
        <w:rPr>
          <w:rFonts w:cs="Arial"/>
        </w:rPr>
        <w:t>Models per suppl</w:t>
      </w:r>
      <w:r>
        <w:rPr>
          <w:rFonts w:cs="Arial"/>
        </w:rPr>
        <w:t>ier (5.6) = models imported (25 000) / number of suppliers (4</w:t>
      </w:r>
      <w:r w:rsidR="00E85937">
        <w:rPr>
          <w:rFonts w:cs="Arial"/>
        </w:rPr>
        <w:t>500)</w:t>
      </w:r>
    </w:p>
    <w:p w:rsidR="00E85937" w:rsidRDefault="00BB6B30" w:rsidP="00C96ED6">
      <w:pPr>
        <w:pStyle w:val="ListParagraph"/>
        <w:numPr>
          <w:ilvl w:val="0"/>
          <w:numId w:val="38"/>
        </w:numPr>
        <w:tabs>
          <w:tab w:val="clear" w:pos="340"/>
        </w:tabs>
        <w:spacing w:before="0" w:after="200" w:line="276" w:lineRule="auto"/>
        <w:contextualSpacing/>
        <w:rPr>
          <w:rFonts w:cs="Arial"/>
        </w:rPr>
      </w:pPr>
      <w:r>
        <w:rPr>
          <w:rFonts w:cs="Arial"/>
        </w:rPr>
        <w:t>All models are tested once per year according to the relevant standard</w:t>
      </w:r>
      <w:r w:rsidR="00E85937">
        <w:rPr>
          <w:rStyle w:val="FootnoteReference"/>
          <w:rFonts w:cs="Arial"/>
        </w:rPr>
        <w:footnoteReference w:id="27"/>
      </w:r>
    </w:p>
    <w:p w:rsidR="00E85937" w:rsidRDefault="00E85937" w:rsidP="00C96ED6">
      <w:pPr>
        <w:pStyle w:val="ListParagraph"/>
        <w:numPr>
          <w:ilvl w:val="0"/>
          <w:numId w:val="38"/>
        </w:numPr>
        <w:tabs>
          <w:tab w:val="clear" w:pos="340"/>
        </w:tabs>
        <w:spacing w:before="0" w:after="200" w:line="276" w:lineRule="auto"/>
        <w:contextualSpacing/>
        <w:rPr>
          <w:rFonts w:cs="Arial"/>
        </w:rPr>
      </w:pPr>
      <w:r>
        <w:rPr>
          <w:rFonts w:cs="Arial"/>
        </w:rPr>
        <w:t>The breakdown of toy models covered by each standard are:</w:t>
      </w:r>
      <w:r>
        <w:rPr>
          <w:rStyle w:val="FootnoteReference"/>
          <w:rFonts w:cs="Arial"/>
        </w:rPr>
        <w:footnoteReference w:id="28"/>
      </w:r>
    </w:p>
    <w:p w:rsidR="00E85937" w:rsidRDefault="00E85937" w:rsidP="0074235C">
      <w:pPr>
        <w:pStyle w:val="ListParagraph"/>
        <w:numPr>
          <w:ilvl w:val="0"/>
          <w:numId w:val="39"/>
        </w:numPr>
        <w:tabs>
          <w:tab w:val="clear" w:pos="340"/>
        </w:tabs>
        <w:spacing w:before="0" w:after="200" w:line="276" w:lineRule="auto"/>
        <w:contextualSpacing/>
        <w:rPr>
          <w:rFonts w:cs="Arial"/>
        </w:rPr>
      </w:pPr>
      <w:r>
        <w:rPr>
          <w:rFonts w:cs="Arial"/>
        </w:rPr>
        <w:t>Up to 36 months (19</w:t>
      </w:r>
      <w:r w:rsidR="00622E8A">
        <w:rPr>
          <w:rFonts w:cs="Arial"/>
        </w:rPr>
        <w:t xml:space="preserve"> per cent</w:t>
      </w:r>
      <w:r>
        <w:rPr>
          <w:rFonts w:cs="Arial"/>
        </w:rPr>
        <w:t>)</w:t>
      </w:r>
    </w:p>
    <w:p w:rsidR="00E85937" w:rsidRDefault="00E85937" w:rsidP="0074235C">
      <w:pPr>
        <w:pStyle w:val="ListParagraph"/>
        <w:numPr>
          <w:ilvl w:val="0"/>
          <w:numId w:val="39"/>
        </w:numPr>
        <w:tabs>
          <w:tab w:val="clear" w:pos="340"/>
        </w:tabs>
        <w:spacing w:before="0" w:after="200" w:line="276" w:lineRule="auto"/>
        <w:contextualSpacing/>
        <w:rPr>
          <w:rFonts w:cs="Arial"/>
        </w:rPr>
      </w:pPr>
      <w:r>
        <w:rPr>
          <w:rFonts w:cs="Arial"/>
        </w:rPr>
        <w:t>Magnets (1</w:t>
      </w:r>
      <w:r w:rsidR="00622E8A">
        <w:rPr>
          <w:rFonts w:cs="Arial"/>
        </w:rPr>
        <w:t xml:space="preserve"> per cent</w:t>
      </w:r>
      <w:r>
        <w:rPr>
          <w:rFonts w:cs="Arial"/>
        </w:rPr>
        <w:t>)</w:t>
      </w:r>
    </w:p>
    <w:p w:rsidR="00E85937" w:rsidRDefault="00E85937" w:rsidP="0074235C">
      <w:pPr>
        <w:pStyle w:val="ListParagraph"/>
        <w:numPr>
          <w:ilvl w:val="0"/>
          <w:numId w:val="39"/>
        </w:numPr>
        <w:tabs>
          <w:tab w:val="clear" w:pos="340"/>
        </w:tabs>
        <w:spacing w:before="0" w:after="200" w:line="276" w:lineRule="auto"/>
        <w:contextualSpacing/>
        <w:rPr>
          <w:rFonts w:cs="Arial"/>
        </w:rPr>
      </w:pPr>
      <w:r>
        <w:rPr>
          <w:rFonts w:cs="Arial"/>
        </w:rPr>
        <w:t>Projectile toys (2</w:t>
      </w:r>
      <w:r w:rsidR="00622E8A">
        <w:rPr>
          <w:rFonts w:cs="Arial"/>
        </w:rPr>
        <w:t xml:space="preserve"> per cent</w:t>
      </w:r>
      <w:r>
        <w:rPr>
          <w:rFonts w:cs="Arial"/>
        </w:rPr>
        <w:t>)</w:t>
      </w:r>
    </w:p>
    <w:p w:rsidR="00E85937" w:rsidRDefault="00622E8A" w:rsidP="0074235C">
      <w:pPr>
        <w:pStyle w:val="ListParagraph"/>
        <w:numPr>
          <w:ilvl w:val="0"/>
          <w:numId w:val="39"/>
        </w:numPr>
        <w:tabs>
          <w:tab w:val="clear" w:pos="340"/>
        </w:tabs>
        <w:spacing w:before="0" w:after="200" w:line="276" w:lineRule="auto"/>
        <w:contextualSpacing/>
        <w:rPr>
          <w:rFonts w:cs="Arial"/>
        </w:rPr>
      </w:pPr>
      <w:r>
        <w:rPr>
          <w:rFonts w:cs="Arial"/>
        </w:rPr>
        <w:t>Aquatic toys (1 per cent</w:t>
      </w:r>
      <w:r w:rsidR="00E85937">
        <w:rPr>
          <w:rFonts w:cs="Arial"/>
        </w:rPr>
        <w:t>)</w:t>
      </w:r>
    </w:p>
    <w:p w:rsidR="00E85937" w:rsidRDefault="00622E8A" w:rsidP="0074235C">
      <w:pPr>
        <w:pStyle w:val="ListParagraph"/>
        <w:numPr>
          <w:ilvl w:val="0"/>
          <w:numId w:val="39"/>
        </w:numPr>
        <w:tabs>
          <w:tab w:val="clear" w:pos="340"/>
        </w:tabs>
        <w:spacing w:before="0" w:after="200" w:line="276" w:lineRule="auto"/>
        <w:contextualSpacing/>
        <w:rPr>
          <w:rFonts w:cs="Arial"/>
        </w:rPr>
      </w:pPr>
      <w:r>
        <w:rPr>
          <w:rFonts w:cs="Arial"/>
        </w:rPr>
        <w:t>Chemicals (77 per cent</w:t>
      </w:r>
      <w:r w:rsidR="00E85937">
        <w:rPr>
          <w:rFonts w:cs="Arial"/>
        </w:rPr>
        <w:t>)</w:t>
      </w:r>
    </w:p>
    <w:p w:rsidR="00E85937" w:rsidRDefault="00E85937" w:rsidP="00C96ED6">
      <w:pPr>
        <w:pStyle w:val="ListParagraph"/>
        <w:numPr>
          <w:ilvl w:val="0"/>
          <w:numId w:val="38"/>
        </w:numPr>
        <w:tabs>
          <w:tab w:val="clear" w:pos="340"/>
        </w:tabs>
        <w:spacing w:before="0" w:after="200" w:line="276" w:lineRule="auto"/>
        <w:contextualSpacing/>
        <w:rPr>
          <w:rFonts w:cs="Arial"/>
        </w:rPr>
      </w:pPr>
      <w:r>
        <w:rPr>
          <w:rFonts w:cs="Arial"/>
        </w:rPr>
        <w:t xml:space="preserve">An average of </w:t>
      </w:r>
      <w:r w:rsidR="00BB6B30">
        <w:rPr>
          <w:rFonts w:cs="Arial"/>
        </w:rPr>
        <w:t>4</w:t>
      </w:r>
      <w:r>
        <w:rPr>
          <w:rFonts w:cs="Arial"/>
        </w:rPr>
        <w:t>.1 hours of labour per model is required for administrative purposes</w:t>
      </w:r>
      <w:r>
        <w:rPr>
          <w:rStyle w:val="FootnoteReference"/>
          <w:rFonts w:cs="Arial"/>
        </w:rPr>
        <w:footnoteReference w:id="29"/>
      </w:r>
    </w:p>
    <w:p w:rsidR="00E85937" w:rsidRDefault="00E85937" w:rsidP="00C96ED6">
      <w:pPr>
        <w:pStyle w:val="ListParagraph"/>
        <w:numPr>
          <w:ilvl w:val="0"/>
          <w:numId w:val="38"/>
        </w:numPr>
        <w:tabs>
          <w:tab w:val="clear" w:pos="340"/>
        </w:tabs>
        <w:spacing w:before="0" w:after="200" w:line="276" w:lineRule="auto"/>
        <w:contextualSpacing/>
        <w:rPr>
          <w:rFonts w:cs="Arial"/>
        </w:rPr>
      </w:pPr>
      <w:r w:rsidRPr="00962050">
        <w:rPr>
          <w:rFonts w:cs="Arial"/>
        </w:rPr>
        <w:t>The default hourly cost for labour in Australia is estimated to be $37.40</w:t>
      </w:r>
      <w:r>
        <w:rPr>
          <w:rFonts w:cs="Arial"/>
        </w:rPr>
        <w:t>.</w:t>
      </w:r>
      <w:r w:rsidRPr="00962050">
        <w:rPr>
          <w:rFonts w:cs="Arial"/>
        </w:rPr>
        <w:t xml:space="preserve"> </w:t>
      </w:r>
      <w:r>
        <w:rPr>
          <w:rFonts w:cs="Arial"/>
        </w:rPr>
        <w:t>T</w:t>
      </w:r>
      <w:r w:rsidRPr="00962050">
        <w:rPr>
          <w:rFonts w:cs="Arial"/>
        </w:rPr>
        <w:t>his value is scaled up using a multiplier of 1.75 to account for the no-wage labour on costs</w:t>
      </w:r>
      <w:r w:rsidRPr="00962050">
        <w:rPr>
          <w:vertAlign w:val="superscript"/>
        </w:rPr>
        <w:footnoteReference w:id="30"/>
      </w:r>
      <w:r w:rsidRPr="00962050">
        <w:rPr>
          <w:rFonts w:cs="Arial"/>
        </w:rPr>
        <w:t xml:space="preserve">. Therefore labour costs per </w:t>
      </w:r>
      <w:r>
        <w:rPr>
          <w:rFonts w:cs="Arial"/>
        </w:rPr>
        <w:t>hour is estimated to be $65.45</w:t>
      </w:r>
    </w:p>
    <w:p w:rsidR="00E85937" w:rsidRDefault="00E85937" w:rsidP="00C96ED6">
      <w:pPr>
        <w:pStyle w:val="ListParagraph"/>
        <w:numPr>
          <w:ilvl w:val="0"/>
          <w:numId w:val="38"/>
        </w:numPr>
        <w:tabs>
          <w:tab w:val="clear" w:pos="340"/>
        </w:tabs>
        <w:spacing w:before="0" w:after="200" w:line="276" w:lineRule="auto"/>
        <w:contextualSpacing/>
        <w:rPr>
          <w:rFonts w:cs="Arial"/>
        </w:rPr>
      </w:pPr>
      <w:r w:rsidRPr="00962050">
        <w:rPr>
          <w:rFonts w:cs="Arial"/>
        </w:rPr>
        <w:t>The cost of compliance under the current regulation for the purposes of this estimate is considered a business-as-usual (BAU</w:t>
      </w:r>
      <w:r>
        <w:rPr>
          <w:rFonts w:cs="Arial"/>
        </w:rPr>
        <w:t>) cost</w:t>
      </w:r>
    </w:p>
    <w:p w:rsidR="00E85937" w:rsidRDefault="00E85937" w:rsidP="00C96ED6">
      <w:pPr>
        <w:pStyle w:val="ListParagraph"/>
        <w:numPr>
          <w:ilvl w:val="0"/>
          <w:numId w:val="38"/>
        </w:numPr>
        <w:tabs>
          <w:tab w:val="clear" w:pos="340"/>
        </w:tabs>
        <w:spacing w:before="0" w:after="200" w:line="276" w:lineRule="auto"/>
        <w:contextualSpacing/>
        <w:rPr>
          <w:rFonts w:cs="Arial"/>
        </w:rPr>
      </w:pPr>
      <w:r>
        <w:rPr>
          <w:rFonts w:cs="Arial"/>
        </w:rPr>
        <w:t>We assume that 25</w:t>
      </w:r>
      <w:r w:rsidR="00876D23">
        <w:rPr>
          <w:rFonts w:cs="Arial"/>
        </w:rPr>
        <w:t xml:space="preserve"> per cent</w:t>
      </w:r>
      <w:r>
        <w:rPr>
          <w:rFonts w:cs="Arial"/>
        </w:rPr>
        <w:t xml:space="preserve"> of suppliers will continue to test to the Australian standards if the mandatory standards are revoked (we assume the remaining 75</w:t>
      </w:r>
      <w:r w:rsidR="00876D23">
        <w:rPr>
          <w:rFonts w:cs="Arial"/>
        </w:rPr>
        <w:t xml:space="preserve"> per cent</w:t>
      </w:r>
      <w:r>
        <w:rPr>
          <w:rFonts w:cs="Arial"/>
        </w:rPr>
        <w:t xml:space="preserve"> choose either to test to other standards or forgo testing altogether)</w:t>
      </w:r>
    </w:p>
    <w:p w:rsidR="00E85937" w:rsidRDefault="00E85937" w:rsidP="00C96ED6">
      <w:pPr>
        <w:pStyle w:val="ListParagraph"/>
        <w:numPr>
          <w:ilvl w:val="0"/>
          <w:numId w:val="38"/>
        </w:numPr>
        <w:tabs>
          <w:tab w:val="clear" w:pos="340"/>
        </w:tabs>
        <w:spacing w:before="0" w:after="200" w:line="276" w:lineRule="auto"/>
        <w:contextualSpacing/>
        <w:rPr>
          <w:rFonts w:cs="Arial"/>
        </w:rPr>
      </w:pPr>
      <w:r>
        <w:rPr>
          <w:rFonts w:cs="Arial"/>
        </w:rPr>
        <w:t>We assume that 50</w:t>
      </w:r>
      <w:r w:rsidR="00876D23">
        <w:rPr>
          <w:rFonts w:cs="Arial"/>
        </w:rPr>
        <w:t xml:space="preserve"> per cent</w:t>
      </w:r>
      <w:r>
        <w:rPr>
          <w:rFonts w:cs="Arial"/>
        </w:rPr>
        <w:t xml:space="preserve"> of suppliers supply into the US or EU (or import products sold by another supplier into those markets) and that their products comply with the relevant international standards. This means these products do not need to be retested under Options 3 and 4</w:t>
      </w:r>
    </w:p>
    <w:p w:rsidR="00E85937" w:rsidRDefault="00E85937" w:rsidP="00C96ED6">
      <w:pPr>
        <w:pStyle w:val="ListParagraph"/>
        <w:numPr>
          <w:ilvl w:val="0"/>
          <w:numId w:val="38"/>
        </w:numPr>
        <w:tabs>
          <w:tab w:val="clear" w:pos="340"/>
        </w:tabs>
        <w:spacing w:before="0" w:after="200" w:line="276" w:lineRule="auto"/>
        <w:contextualSpacing/>
        <w:rPr>
          <w:rFonts w:cs="Arial"/>
        </w:rPr>
      </w:pPr>
      <w:r>
        <w:rPr>
          <w:rFonts w:cs="Arial"/>
        </w:rPr>
        <w:t>There are no significant changes in costs over time (the estimates in the table are per year)</w:t>
      </w:r>
      <w:r w:rsidR="00622E8A">
        <w:rPr>
          <w:rFonts w:cs="Arial"/>
        </w:rPr>
        <w:t>.</w:t>
      </w:r>
    </w:p>
    <w:p w:rsidR="005D59D0" w:rsidRPr="00BE4743" w:rsidRDefault="005D59D0" w:rsidP="00C96ED6">
      <w:pPr>
        <w:pStyle w:val="ListParagraph"/>
        <w:numPr>
          <w:ilvl w:val="0"/>
          <w:numId w:val="38"/>
        </w:numPr>
        <w:tabs>
          <w:tab w:val="clear" w:pos="340"/>
        </w:tabs>
        <w:spacing w:before="0" w:after="200" w:line="276" w:lineRule="auto"/>
        <w:contextualSpacing/>
        <w:rPr>
          <w:rFonts w:cs="Arial"/>
        </w:rPr>
      </w:pPr>
      <w:r w:rsidRPr="00BE4743">
        <w:rPr>
          <w:rFonts w:cs="Arial"/>
        </w:rPr>
        <w:t>We assume that 10 per cent of toys for children up to 36 months contain button batteries</w:t>
      </w:r>
    </w:p>
    <w:p w:rsidR="005D59D0" w:rsidRPr="00BE4743" w:rsidRDefault="00B56094" w:rsidP="00C96ED6">
      <w:pPr>
        <w:pStyle w:val="ListParagraph"/>
        <w:numPr>
          <w:ilvl w:val="0"/>
          <w:numId w:val="38"/>
        </w:numPr>
        <w:tabs>
          <w:tab w:val="clear" w:pos="340"/>
        </w:tabs>
        <w:spacing w:before="0" w:after="200" w:line="276" w:lineRule="auto"/>
        <w:contextualSpacing/>
        <w:rPr>
          <w:rFonts w:cs="Arial"/>
        </w:rPr>
      </w:pPr>
      <w:r w:rsidRPr="00BE4743">
        <w:rPr>
          <w:rFonts w:cs="Arial"/>
        </w:rPr>
        <w:t>We estimate a</w:t>
      </w:r>
      <w:r w:rsidR="00B44103" w:rsidRPr="00BE4743">
        <w:rPr>
          <w:rFonts w:cs="Arial"/>
        </w:rPr>
        <w:t xml:space="preserve"> per-</w:t>
      </w:r>
      <w:r w:rsidR="005D59D0" w:rsidRPr="00BE4743">
        <w:rPr>
          <w:rFonts w:cs="Arial"/>
        </w:rPr>
        <w:t xml:space="preserve">unit labelling cost </w:t>
      </w:r>
      <w:r w:rsidRPr="00BE4743">
        <w:rPr>
          <w:rFonts w:cs="Arial"/>
        </w:rPr>
        <w:t>of</w:t>
      </w:r>
      <w:r w:rsidR="005D59D0" w:rsidRPr="00BE4743">
        <w:rPr>
          <w:rFonts w:cs="Arial"/>
        </w:rPr>
        <w:t xml:space="preserve"> $0.05.</w:t>
      </w:r>
      <w:r w:rsidR="005D59D0" w:rsidRPr="00BE4743">
        <w:rPr>
          <w:rStyle w:val="FootnoteReference"/>
          <w:rFonts w:cs="Arial"/>
        </w:rPr>
        <w:footnoteReference w:id="31"/>
      </w:r>
    </w:p>
    <w:p w:rsidR="00E85937" w:rsidRPr="00333AE6" w:rsidRDefault="00E85937" w:rsidP="00E85937">
      <w:pPr>
        <w:rPr>
          <w:rFonts w:cs="Arial"/>
          <w:sz w:val="24"/>
        </w:rPr>
      </w:pPr>
      <w:r w:rsidRPr="00BE4743">
        <w:rPr>
          <w:rFonts w:cs="Arial"/>
          <w:b/>
          <w:sz w:val="24"/>
        </w:rPr>
        <w:t>Notes</w:t>
      </w:r>
    </w:p>
    <w:p w:rsidR="00E85937" w:rsidRDefault="00E85937" w:rsidP="00E85937">
      <w:pPr>
        <w:rPr>
          <w:rFonts w:cs="Arial"/>
        </w:rPr>
      </w:pPr>
      <w:r>
        <w:rPr>
          <w:rFonts w:cs="Arial"/>
        </w:rPr>
        <w:t xml:space="preserve">The table above contains our estimate of the compliance costs imposed on business by the five options based on the evidence available. However, we are aware of a number of factors which we have not been able to estimate but which may have a significant impact on costs. </w:t>
      </w:r>
    </w:p>
    <w:p w:rsidR="00D6182A" w:rsidRDefault="00D6182A" w:rsidP="000D7F28">
      <w:pPr>
        <w:spacing w:before="0"/>
        <w:rPr>
          <w:rFonts w:cs="Arial"/>
        </w:rPr>
      </w:pPr>
    </w:p>
    <w:p w:rsidR="00E85937" w:rsidRPr="00D6182A" w:rsidRDefault="00E85937" w:rsidP="00D6182A">
      <w:pPr>
        <w:pStyle w:val="ListParagraph"/>
      </w:pPr>
      <w:r w:rsidRPr="00D6182A">
        <w:t xml:space="preserve">We have not estimated the costs or benefits from any change in injury rate. </w:t>
      </w:r>
    </w:p>
    <w:p w:rsidR="00E85937" w:rsidRPr="00D6182A" w:rsidRDefault="00E85937" w:rsidP="00D6182A">
      <w:pPr>
        <w:pStyle w:val="ListParagraph"/>
      </w:pPr>
      <w:r w:rsidRPr="00D6182A">
        <w:t xml:space="preserve">We have assumed that injury rates and costs will be comparable under Options 1-4. </w:t>
      </w:r>
    </w:p>
    <w:p w:rsidR="00E85937" w:rsidRPr="00D6182A" w:rsidRDefault="00E85937" w:rsidP="00D6182A">
      <w:pPr>
        <w:pStyle w:val="ListParagraph"/>
      </w:pPr>
      <w:r w:rsidRPr="00D6182A">
        <w:t>There is no data available for estimating the injury r</w:t>
      </w:r>
      <w:r w:rsidR="00B01094" w:rsidRPr="00D6182A">
        <w:t>ate to be expected from Option 4</w:t>
      </w:r>
      <w:r w:rsidRPr="00D6182A">
        <w:t>. However, we note that serious injuries and deaths have been, and continue to be, linked to these products and the current Australian mandatory standards appear to have been successful at reducing the number of incidents. Taking the value of a statistical life to be $4.3 million,</w:t>
      </w:r>
      <w:r w:rsidRPr="00D6182A">
        <w:rPr>
          <w:rStyle w:val="FootnoteReference"/>
          <w:vertAlign w:val="baseline"/>
        </w:rPr>
        <w:footnoteReference w:id="32"/>
      </w:r>
      <w:r w:rsidRPr="00D6182A">
        <w:t xml:space="preserve"> one death per year or a small number of serious injuries would outweigh the increased savings offered by Option </w:t>
      </w:r>
      <w:r w:rsidR="00CD077F" w:rsidRPr="00D6182A">
        <w:t>4</w:t>
      </w:r>
      <w:r w:rsidRPr="00D6182A">
        <w:t xml:space="preserve"> compared to Option </w:t>
      </w:r>
      <w:r w:rsidR="00CD077F" w:rsidRPr="00D6182A">
        <w:t>3/3a</w:t>
      </w:r>
      <w:r w:rsidRPr="00D6182A">
        <w:t>.</w:t>
      </w:r>
    </w:p>
    <w:p w:rsidR="00E85937" w:rsidRPr="00D6182A" w:rsidRDefault="00E85937" w:rsidP="00D6182A">
      <w:pPr>
        <w:pStyle w:val="ListParagraph"/>
      </w:pPr>
      <w:r w:rsidRPr="00D6182A">
        <w:t>Some large suppliers may enjoy lower administrative costs because they undertake administrative activities overseas where labour costs are lower. Re-estimating compliance costs using an hourly labour cost of $17.50</w:t>
      </w:r>
      <w:r w:rsidRPr="00D6182A">
        <w:rPr>
          <w:rStyle w:val="FootnoteReference"/>
          <w:vertAlign w:val="baseline"/>
        </w:rPr>
        <w:footnoteReference w:id="33"/>
      </w:r>
      <w:r w:rsidRPr="00D6182A">
        <w:t xml:space="preserve"> reduces the cost saving over the status quo offered by Options 3 and 4 to $</w:t>
      </w:r>
      <w:r w:rsidR="00BB6B30" w:rsidRPr="00D6182A">
        <w:t>3.441</w:t>
      </w:r>
      <w:r w:rsidRPr="00D6182A">
        <w:t xml:space="preserve"> million and the cost saving offered by Option </w:t>
      </w:r>
      <w:r w:rsidR="00B01094" w:rsidRPr="00D6182A">
        <w:t>4</w:t>
      </w:r>
      <w:r w:rsidRPr="00D6182A">
        <w:t xml:space="preserve"> to $</w:t>
      </w:r>
      <w:r w:rsidR="00BB6B30" w:rsidRPr="00D6182A">
        <w:t xml:space="preserve">5.173 </w:t>
      </w:r>
      <w:r w:rsidRPr="00D6182A">
        <w:t>million. This does not change the relative performance of the options, but it does narrow the savings gap between Option</w:t>
      </w:r>
      <w:r w:rsidR="00CD077F" w:rsidRPr="00D6182A">
        <w:t xml:space="preserve"> 4</w:t>
      </w:r>
      <w:r w:rsidRPr="00D6182A">
        <w:t xml:space="preserve"> and Options 3 and </w:t>
      </w:r>
      <w:r w:rsidR="00CD077F" w:rsidRPr="00D6182A">
        <w:t>3a</w:t>
      </w:r>
      <w:r w:rsidRPr="00D6182A">
        <w:t xml:space="preserve"> to </w:t>
      </w:r>
      <w:r w:rsidR="00BB6B30" w:rsidRPr="00D6182A">
        <w:t>$1.732 million</w:t>
      </w:r>
      <w:r w:rsidRPr="00D6182A">
        <w:t>.</w:t>
      </w:r>
    </w:p>
    <w:p w:rsidR="00E85937" w:rsidRPr="00D6182A" w:rsidRDefault="00E85937" w:rsidP="00D6182A">
      <w:pPr>
        <w:pStyle w:val="ListParagraph"/>
      </w:pPr>
      <w:r w:rsidRPr="00D6182A">
        <w:t xml:space="preserve">Options 3 and </w:t>
      </w:r>
      <w:r w:rsidR="00CD077F" w:rsidRPr="00D6182A">
        <w:t xml:space="preserve">3a </w:t>
      </w:r>
      <w:r w:rsidRPr="00D6182A">
        <w:t>may reduce regulatory barriers to the entry of international suppliers not currently supplying the Australian market. This could increase competition.</w:t>
      </w:r>
    </w:p>
    <w:p w:rsidR="00E85937" w:rsidRPr="00BE4743" w:rsidRDefault="00E85937" w:rsidP="00D6182A">
      <w:pPr>
        <w:pStyle w:val="ListParagraph"/>
      </w:pPr>
      <w:r w:rsidRPr="00BE4743">
        <w:t xml:space="preserve">Making the regulatory regime simpler and more flexible </w:t>
      </w:r>
      <w:r w:rsidR="00CD077F" w:rsidRPr="00BE4743">
        <w:t>(Options 2, 3 &amp; 3a</w:t>
      </w:r>
      <w:r w:rsidRPr="00BE4743">
        <w:t>), may also offer competition benefits. Changes may lead to a short-term increase in administrative burden as suppliers adjust to the new requirements, but over time may reduce the labour hours needed for administrative tasks. If the administrative burden on smaller firms is larger (because they have less sophisticated internal systems and cannot easily relocate administrative work to lower-cost environments overseas), any reduction in burden could improve the competitiveness of smaller firms, potentially increasing the number of firms able to supply into Australia.</w:t>
      </w:r>
    </w:p>
    <w:p w:rsidR="007F33D4" w:rsidRPr="00BE4743" w:rsidRDefault="007F33D4" w:rsidP="007F33D4">
      <w:pPr>
        <w:pStyle w:val="ListParagraph"/>
      </w:pPr>
      <w:r w:rsidRPr="00BE4743">
        <w:t>We have assumed that compliance costs under the status quo will remain constant in the future. This may not be the case if further changes to the voluntary standards widen the gap between the requirements of the voluntary standards and the current mandatory</w:t>
      </w:r>
      <w:r w:rsidR="003C2741" w:rsidRPr="00BE4743">
        <w:t xml:space="preserve"> safety</w:t>
      </w:r>
      <w:r w:rsidRPr="00BE4743">
        <w:t xml:space="preserve"> standards. A significant gap could increase compliance costs if suppliers comply with the requirements of the mandatory </w:t>
      </w:r>
      <w:r w:rsidR="003C2741" w:rsidRPr="00BE4743">
        <w:t xml:space="preserve">safety </w:t>
      </w:r>
      <w:r w:rsidRPr="00BE4743">
        <w:t>standards and want to comply with a separate set of requirements under the voluntary standards. This higher regulatory burden would not offer any safety benefits, and would increase the net benefit offered by Options 2-4 over Option 1.</w:t>
      </w:r>
    </w:p>
    <w:p w:rsidR="000F1A92" w:rsidRPr="00BE4743" w:rsidRDefault="000F1A92" w:rsidP="000937CF">
      <w:pPr>
        <w:pStyle w:val="ListParagraph"/>
        <w:numPr>
          <w:ilvl w:val="0"/>
          <w:numId w:val="0"/>
        </w:numPr>
        <w:tabs>
          <w:tab w:val="clear" w:pos="340"/>
        </w:tabs>
        <w:spacing w:before="0"/>
        <w:contextualSpacing/>
        <w:rPr>
          <w:rFonts w:cs="Arial"/>
        </w:rPr>
      </w:pPr>
    </w:p>
    <w:p w:rsidR="00E85937" w:rsidRPr="000F1A92" w:rsidRDefault="00E85937" w:rsidP="000F1A92">
      <w:pPr>
        <w:spacing w:before="0" w:after="200" w:line="276" w:lineRule="auto"/>
        <w:contextualSpacing/>
        <w:rPr>
          <w:rFonts w:cs="Arial"/>
        </w:rPr>
      </w:pPr>
      <w:r w:rsidRPr="00BE4743">
        <w:rPr>
          <w:rFonts w:cs="Arial"/>
        </w:rPr>
        <w:t>Our analysis is restricted to imported toys. We do not expect including domestically manufactured goods would change the result because the domestic</w:t>
      </w:r>
      <w:r w:rsidRPr="000F1A92">
        <w:rPr>
          <w:rFonts w:cs="Arial"/>
        </w:rPr>
        <w:t xml:space="preserve"> manufacturing industry is relatively small and there is no reason to expect domestically manufactured toys to differ significantly from those manufactured internationally. Some Australian manufacturers would probably still benefit from flexibility to comply with international standards because they export to the US or EU.</w:t>
      </w:r>
    </w:p>
    <w:p w:rsidR="00E85937" w:rsidRDefault="00E85937" w:rsidP="003B3AF8"/>
    <w:p w:rsidR="006B270A" w:rsidRDefault="006B270A" w:rsidP="003B3AF8"/>
    <w:p w:rsidR="0011763D" w:rsidRDefault="0011763D" w:rsidP="0011763D">
      <w:pPr>
        <w:pStyle w:val="Numbered1"/>
      </w:pPr>
      <w:bookmarkStart w:id="191" w:name="_Toc473714736"/>
      <w:r>
        <w:lastRenderedPageBreak/>
        <w:t>Appendix B – Option 3a – Principles-based regulation</w:t>
      </w:r>
      <w:bookmarkEnd w:id="19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81"/>
      </w:tblGrid>
      <w:tr w:rsidR="006B6424" w:rsidTr="004669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6B6424" w:rsidRDefault="006B6424" w:rsidP="006B6424">
            <w:pPr>
              <w:jc w:val="center"/>
            </w:pPr>
            <w:r>
              <w:t>Mandatory safety standard</w:t>
            </w:r>
          </w:p>
        </w:tc>
        <w:tc>
          <w:tcPr>
            <w:tcW w:w="39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6B6424" w:rsidRDefault="006B6424" w:rsidP="006B6424">
            <w:pPr>
              <w:jc w:val="center"/>
              <w:cnfStyle w:val="100000000000" w:firstRow="1" w:lastRow="0" w:firstColumn="0" w:lastColumn="0" w:oddVBand="0" w:evenVBand="0" w:oddHBand="0" w:evenHBand="0" w:firstRowFirstColumn="0" w:firstRowLastColumn="0" w:lastRowFirstColumn="0" w:lastRowLastColumn="0"/>
            </w:pPr>
            <w:r>
              <w:t>Principles in EU Toy Safety Directive</w:t>
            </w:r>
            <w:r>
              <w:rPr>
                <w:rStyle w:val="FootnoteReference"/>
              </w:rPr>
              <w:footnoteReference w:id="34"/>
            </w:r>
          </w:p>
        </w:tc>
        <w:tc>
          <w:tcPr>
            <w:tcW w:w="30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6B6424" w:rsidRDefault="006B6424" w:rsidP="006B6424">
            <w:pPr>
              <w:jc w:val="center"/>
              <w:cnfStyle w:val="100000000000" w:firstRow="1" w:lastRow="0" w:firstColumn="0" w:lastColumn="0" w:oddVBand="0" w:evenVBand="0" w:oddHBand="0" w:evenHBand="0" w:firstRowFirstColumn="0" w:firstRowLastColumn="0" w:lastRowFirstColumn="0" w:lastRowLastColumn="0"/>
            </w:pPr>
            <w:r>
              <w:t>‘Safe harbours’ – relevant clauses from:</w:t>
            </w:r>
          </w:p>
        </w:tc>
      </w:tr>
      <w:tr w:rsidR="006B6424" w:rsidTr="006B6424">
        <w:tc>
          <w:tcPr>
            <w:cnfStyle w:val="001000000000" w:firstRow="0" w:lastRow="0" w:firstColumn="1" w:lastColumn="0" w:oddVBand="0" w:evenVBand="0" w:oddHBand="0" w:evenHBand="0" w:firstRowFirstColumn="0" w:firstRowLastColumn="0" w:lastRowFirstColumn="0" w:lastRowLastColumn="0"/>
            <w:tcW w:w="2235" w:type="dxa"/>
          </w:tcPr>
          <w:p w:rsidR="006B6424" w:rsidRPr="00BE30DB" w:rsidRDefault="00BE30DB" w:rsidP="003B3AF8">
            <w:pPr>
              <w:rPr>
                <w:b w:val="0"/>
              </w:rPr>
            </w:pPr>
            <w:r>
              <w:rPr>
                <w:b w:val="0"/>
              </w:rPr>
              <w:t>Toys for children up to and including 36 months</w:t>
            </w:r>
          </w:p>
        </w:tc>
        <w:tc>
          <w:tcPr>
            <w:tcW w:w="3926" w:type="dxa"/>
          </w:tcPr>
          <w:p w:rsidR="006B6424" w:rsidRDefault="00555647" w:rsidP="003B3AF8">
            <w:pPr>
              <w:cnfStyle w:val="000000000000" w:firstRow="0" w:lastRow="0" w:firstColumn="0" w:lastColumn="0" w:oddVBand="0" w:evenVBand="0" w:oddHBand="0" w:evenHBand="0" w:firstRowFirstColumn="0" w:firstRowLastColumn="0" w:lastRowFirstColumn="0" w:lastRowLastColumn="0"/>
            </w:pPr>
            <w:r>
              <w:t>Annex II.I, 4 d)</w:t>
            </w:r>
          </w:p>
          <w:p w:rsidR="00555647" w:rsidRDefault="00555647" w:rsidP="003B3AF8">
            <w:pPr>
              <w:cnfStyle w:val="000000000000" w:firstRow="0" w:lastRow="0" w:firstColumn="0" w:lastColumn="0" w:oddVBand="0" w:evenVBand="0" w:oddHBand="0" w:evenHBand="0" w:firstRowFirstColumn="0" w:firstRowLastColumn="0" w:lastRowFirstColumn="0" w:lastRowLastColumn="0"/>
            </w:pPr>
            <w:r w:rsidRPr="00B268CA">
              <w:t>Toys, which are clearly intended for use by children under 36 months, and their component parts and any of their detachable parts must be of such dimensions as to prevent their being swallowed or inhaled. This also applies to other toys which are intended to be put in the mouth, and to their component parts and any of their detachable parts</w:t>
            </w:r>
            <w:r w:rsidR="00D3117D">
              <w:t>.</w:t>
            </w: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555647" w:rsidP="003B3AF8">
            <w:pPr>
              <w:cnfStyle w:val="000000000000" w:firstRow="0" w:lastRow="0" w:firstColumn="0" w:lastColumn="0" w:oddVBand="0" w:evenVBand="0" w:oddHBand="0" w:evenHBand="0" w:firstRowFirstColumn="0" w:firstRowLastColumn="0" w:lastRowFirstColumn="0" w:lastRowLastColumn="0"/>
            </w:pPr>
            <w:r>
              <w:t>Annex II.I, 4 c)</w:t>
            </w:r>
          </w:p>
          <w:p w:rsidR="00555647" w:rsidRDefault="00555647" w:rsidP="003B3AF8">
            <w:pPr>
              <w:cnfStyle w:val="000000000000" w:firstRow="0" w:lastRow="0" w:firstColumn="0" w:lastColumn="0" w:oddVBand="0" w:evenVBand="0" w:oddHBand="0" w:evenHBand="0" w:firstRowFirstColumn="0" w:firstRowLastColumn="0" w:lastRowFirstColumn="0" w:lastRowLastColumn="0"/>
            </w:pPr>
            <w:r w:rsidRPr="00E11C9B">
              <w:t>Toys and their parts must be of such dimensions as to not present a risk of asphyxiation by closing off the flow of air as a result of internal airway obstruction by objects wedged in the mouth or pharynx or lodged over the entrance to the lower airways</w:t>
            </w:r>
            <w:r>
              <w:t>.</w:t>
            </w: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tc>
        <w:tc>
          <w:tcPr>
            <w:tcW w:w="3081" w:type="dxa"/>
          </w:tcPr>
          <w:p w:rsidR="006F0FA6" w:rsidRDefault="006F0FA6" w:rsidP="00A8720A">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7F2D52">
              <w:t xml:space="preserve">AS/NZS ISO 8124.1:2016: </w:t>
            </w:r>
            <w:r>
              <w:t>Safety of toys Part 1: Safety aspects related to mechanical and physical properties (ISO 8124-1:2014, MOD)</w:t>
            </w:r>
          </w:p>
          <w:p w:rsidR="00DB6EBB" w:rsidRDefault="00A8720A" w:rsidP="00A8720A">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0A5693">
              <w:t>AS/NZS 62115:2011 Electric Toys – Safety</w:t>
            </w:r>
          </w:p>
          <w:p w:rsidR="00DB6EBB" w:rsidRDefault="00DB6EBB" w:rsidP="00A8720A">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 xml:space="preserve">ASTM D-4236 </w:t>
            </w:r>
            <w:r w:rsidRPr="00DB05F1">
              <w:t xml:space="preserve">Standard </w:t>
            </w:r>
            <w:r w:rsidRPr="00DB05F1">
              <w:rPr>
                <w:bCs/>
              </w:rPr>
              <w:t>practice of labe</w:t>
            </w:r>
            <w:r>
              <w:rPr>
                <w:bCs/>
              </w:rPr>
              <w:t>l</w:t>
            </w:r>
            <w:r w:rsidRPr="00DB05F1">
              <w:rPr>
                <w:bCs/>
              </w:rPr>
              <w:t>ling art materials for chronic health hazards</w:t>
            </w:r>
          </w:p>
          <w:p w:rsidR="00055A89" w:rsidRDefault="006F0FA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ASTM F963-1</w:t>
            </w:r>
            <w:r>
              <w:t>6</w:t>
            </w:r>
            <w:r w:rsidRPr="00215533">
              <w:t xml:space="preserve"> Standard </w:t>
            </w:r>
            <w:r>
              <w:t>c</w:t>
            </w:r>
            <w:r w:rsidRPr="00215533">
              <w:t xml:space="preserve">onsumer </w:t>
            </w:r>
            <w:r>
              <w:t>s</w:t>
            </w:r>
            <w:r w:rsidRPr="00215533">
              <w:t xml:space="preserve">afety </w:t>
            </w:r>
            <w:r>
              <w:t>s</w:t>
            </w:r>
            <w:r w:rsidRPr="00215533">
              <w:t xml:space="preserve">pecification for </w:t>
            </w:r>
            <w:r>
              <w:t>t</w:t>
            </w:r>
            <w:r w:rsidRPr="00215533">
              <w:t xml:space="preserve">oy </w:t>
            </w:r>
            <w:r>
              <w:t>s</w:t>
            </w:r>
            <w:r w:rsidRPr="00215533">
              <w:t>afety</w:t>
            </w:r>
            <w:r w:rsidRPr="00DB6C88">
              <w:t xml:space="preserve"> </w:t>
            </w:r>
          </w:p>
          <w:p w:rsidR="007D7F67" w:rsidRDefault="007D7F67"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EN 71</w:t>
            </w:r>
            <w:r>
              <w:t xml:space="preserve">-1:2014 Safety of toys – Part 1: Mechanical and physical properties  </w:t>
            </w:r>
          </w:p>
          <w:p w:rsidR="007D7F67" w:rsidRDefault="007D7F67"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rPr>
                <w:rFonts w:cstheme="minorBidi"/>
                <w:bCs/>
                <w:lang w:val="en-US"/>
              </w:rPr>
            </w:pPr>
            <w:r w:rsidRPr="00591CCA">
              <w:t xml:space="preserve">IEC </w:t>
            </w:r>
            <w:r w:rsidRPr="00591CCA">
              <w:rPr>
                <w:rFonts w:cstheme="minorBidi"/>
                <w:bCs/>
                <w:lang w:val="en-US"/>
              </w:rPr>
              <w:t>62115</w:t>
            </w:r>
            <w:r w:rsidR="00A8720A">
              <w:rPr>
                <w:rFonts w:cstheme="minorBidi"/>
                <w:bCs/>
                <w:lang w:val="en-US"/>
              </w:rPr>
              <w:t xml:space="preserve"> </w:t>
            </w:r>
            <w:r w:rsidRPr="00591CCA">
              <w:rPr>
                <w:rFonts w:cstheme="minorBidi"/>
                <w:bCs/>
                <w:lang w:val="en-US"/>
              </w:rPr>
              <w:t>Electric</w:t>
            </w:r>
            <w:r w:rsidRPr="004F3291">
              <w:rPr>
                <w:rFonts w:cstheme="minorBidi"/>
                <w:bCs/>
                <w:lang w:val="en-US"/>
              </w:rPr>
              <w:t xml:space="preserve"> toys – Safety</w:t>
            </w:r>
          </w:p>
          <w:p w:rsidR="007D7F67" w:rsidRDefault="007D7F67" w:rsidP="007D7F67">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ISO 8124.1:</w:t>
            </w:r>
            <w:r w:rsidRPr="00A1013F">
              <w:t>20</w:t>
            </w:r>
            <w:r>
              <w:t>14 Safety of toys Part 1: Safety aspects related to mechanical and physical properties</w:t>
            </w:r>
          </w:p>
          <w:p w:rsidR="006B6424" w:rsidRDefault="006B6424" w:rsidP="006F0FA6">
            <w:pPr>
              <w:cnfStyle w:val="000000000000" w:firstRow="0" w:lastRow="0" w:firstColumn="0" w:lastColumn="0" w:oddVBand="0" w:evenVBand="0" w:oddHBand="0" w:evenHBand="0" w:firstRowFirstColumn="0" w:firstRowLastColumn="0" w:lastRowFirstColumn="0" w:lastRowLastColumn="0"/>
            </w:pPr>
          </w:p>
        </w:tc>
      </w:tr>
      <w:tr w:rsidR="006B6424" w:rsidTr="006B6424">
        <w:tc>
          <w:tcPr>
            <w:cnfStyle w:val="001000000000" w:firstRow="0" w:lastRow="0" w:firstColumn="1" w:lastColumn="0" w:oddVBand="0" w:evenVBand="0" w:oddHBand="0" w:evenHBand="0" w:firstRowFirstColumn="0" w:firstRowLastColumn="0" w:lastRowFirstColumn="0" w:lastRowLastColumn="0"/>
            <w:tcW w:w="2235" w:type="dxa"/>
          </w:tcPr>
          <w:p w:rsidR="006B6424" w:rsidRPr="00BE30DB" w:rsidRDefault="00BE30DB" w:rsidP="003B3AF8">
            <w:pPr>
              <w:rPr>
                <w:b w:val="0"/>
              </w:rPr>
            </w:pPr>
            <w:r>
              <w:rPr>
                <w:b w:val="0"/>
              </w:rPr>
              <w:t>Children’s projectile toys</w:t>
            </w:r>
          </w:p>
        </w:tc>
        <w:tc>
          <w:tcPr>
            <w:tcW w:w="3926" w:type="dxa"/>
          </w:tcPr>
          <w:p w:rsidR="00BE30DB" w:rsidRDefault="00555647" w:rsidP="003B3AF8">
            <w:pPr>
              <w:cnfStyle w:val="000000000000" w:firstRow="0" w:lastRow="0" w:firstColumn="0" w:lastColumn="0" w:oddVBand="0" w:evenVBand="0" w:oddHBand="0" w:evenHBand="0" w:firstRowFirstColumn="0" w:firstRowLastColumn="0" w:lastRowFirstColumn="0" w:lastRowLastColumn="0"/>
            </w:pPr>
            <w:r>
              <w:t>Annex II.I, 2</w:t>
            </w:r>
          </w:p>
          <w:p w:rsidR="00BE30DB" w:rsidRDefault="00555647" w:rsidP="003B3AF8">
            <w:pPr>
              <w:cnfStyle w:val="000000000000" w:firstRow="0" w:lastRow="0" w:firstColumn="0" w:lastColumn="0" w:oddVBand="0" w:evenVBand="0" w:oddHBand="0" w:evenHBand="0" w:firstRowFirstColumn="0" w:firstRowLastColumn="0" w:lastRowFirstColumn="0" w:lastRowLastColumn="0"/>
            </w:pPr>
            <w:r w:rsidRPr="00F347EE">
              <w:t>Accessible edges, protrusions, cords, cables and fastenings on toys must be designed and manufactured in such a way that the risks of physical injury from contact with them are reduced as far as possible.</w:t>
            </w: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D3117D" w:rsidRDefault="00D3117D" w:rsidP="00D3117D">
            <w:pPr>
              <w:cnfStyle w:val="000000000000" w:firstRow="0" w:lastRow="0" w:firstColumn="0" w:lastColumn="0" w:oddVBand="0" w:evenVBand="0" w:oddHBand="0" w:evenHBand="0" w:firstRowFirstColumn="0" w:firstRowLastColumn="0" w:lastRowFirstColumn="0" w:lastRowLastColumn="0"/>
            </w:pPr>
            <w:r>
              <w:t>Annex II.I, 4 c)</w:t>
            </w:r>
          </w:p>
          <w:p w:rsidR="00D3117D" w:rsidRDefault="00D3117D" w:rsidP="00D3117D">
            <w:pPr>
              <w:cnfStyle w:val="000000000000" w:firstRow="0" w:lastRow="0" w:firstColumn="0" w:lastColumn="0" w:oddVBand="0" w:evenVBand="0" w:oddHBand="0" w:evenHBand="0" w:firstRowFirstColumn="0" w:firstRowLastColumn="0" w:lastRowFirstColumn="0" w:lastRowLastColumn="0"/>
            </w:pPr>
            <w:r w:rsidRPr="00E11C9B">
              <w:t>Toys and their parts must be of such dimensions as to not present a risk of asphyxiation by closing off the flow of air as a result of internal airway obstruction by objects wedged in the mouth or pharynx or lodged over the entrance to the lower airways</w:t>
            </w:r>
            <w:r>
              <w:t>.</w:t>
            </w: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D3117D" w:rsidRDefault="00D3117D" w:rsidP="00D3117D">
            <w:pPr>
              <w:cnfStyle w:val="000000000000" w:firstRow="0" w:lastRow="0" w:firstColumn="0" w:lastColumn="0" w:oddVBand="0" w:evenVBand="0" w:oddHBand="0" w:evenHBand="0" w:firstRowFirstColumn="0" w:firstRowLastColumn="0" w:lastRowFirstColumn="0" w:lastRowLastColumn="0"/>
            </w:pPr>
            <w:r>
              <w:t>Annex II.I, 4 d)</w:t>
            </w:r>
          </w:p>
          <w:p w:rsidR="00BE30DB" w:rsidRDefault="00D3117D" w:rsidP="003B3AF8">
            <w:pPr>
              <w:cnfStyle w:val="000000000000" w:firstRow="0" w:lastRow="0" w:firstColumn="0" w:lastColumn="0" w:oddVBand="0" w:evenVBand="0" w:oddHBand="0" w:evenHBand="0" w:firstRowFirstColumn="0" w:firstRowLastColumn="0" w:lastRowFirstColumn="0" w:lastRowLastColumn="0"/>
            </w:pPr>
            <w:r w:rsidRPr="00B268CA">
              <w:t xml:space="preserve">Toys, which are clearly intended for use by children under 36 months, and their component parts and any of their detachable parts must be of such </w:t>
            </w:r>
            <w:r w:rsidRPr="00B268CA">
              <w:lastRenderedPageBreak/>
              <w:t>dimensions as to prevent their being swallowed or inhaled. This also applies to other toys which are intended to be put in the mouth, and to their component parts and any of their detachable parts</w:t>
            </w:r>
            <w:r>
              <w:t>.</w:t>
            </w:r>
          </w:p>
          <w:p w:rsidR="00BA343B" w:rsidRDefault="00BA343B" w:rsidP="003B3AF8">
            <w:pPr>
              <w:cnfStyle w:val="000000000000" w:firstRow="0" w:lastRow="0" w:firstColumn="0" w:lastColumn="0" w:oddVBand="0" w:evenVBand="0" w:oddHBand="0" w:evenHBand="0" w:firstRowFirstColumn="0" w:firstRowLastColumn="0" w:lastRowFirstColumn="0" w:lastRowLastColumn="0"/>
            </w:pPr>
          </w:p>
          <w:p w:rsidR="00BA343B" w:rsidRDefault="00BA343B" w:rsidP="003B3AF8">
            <w:pPr>
              <w:cnfStyle w:val="000000000000" w:firstRow="0" w:lastRow="0" w:firstColumn="0" w:lastColumn="0" w:oddVBand="0" w:evenVBand="0" w:oddHBand="0" w:evenHBand="0" w:firstRowFirstColumn="0" w:firstRowLastColumn="0" w:lastRowFirstColumn="0" w:lastRowLastColumn="0"/>
            </w:pPr>
            <w:r>
              <w:t>Annex II.I, 8</w:t>
            </w:r>
          </w:p>
          <w:p w:rsidR="00BE30DB" w:rsidRDefault="00BA343B" w:rsidP="003B3AF8">
            <w:pPr>
              <w:cnfStyle w:val="000000000000" w:firstRow="0" w:lastRow="0" w:firstColumn="0" w:lastColumn="0" w:oddVBand="0" w:evenVBand="0" w:oddHBand="0" w:evenHBand="0" w:firstRowFirstColumn="0" w:firstRowLastColumn="0" w:lastRowFirstColumn="0" w:lastRowLastColumn="0"/>
            </w:pPr>
            <w:r w:rsidRPr="006602DC">
              <w:t>The form and composition of projectiles and the kinetic energy they may generate when fired from a toy designed for that purpose must be such that, taking into account the nature of the toy, there is no risk of physical injury to the user or to third parties.</w:t>
            </w:r>
          </w:p>
        </w:tc>
        <w:tc>
          <w:tcPr>
            <w:tcW w:w="3081" w:type="dxa"/>
          </w:tcPr>
          <w:p w:rsidR="006F0FA6" w:rsidRDefault="006F0FA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7F2D52">
              <w:lastRenderedPageBreak/>
              <w:t xml:space="preserve">AS/NZS ISO 8124.1:2016: </w:t>
            </w:r>
            <w:r>
              <w:t>Safety of toys Part 1: Safety aspects related to mechanical and physical properties (ISO 8124-1:2014, MOD)</w:t>
            </w:r>
          </w:p>
          <w:p w:rsidR="00055A89" w:rsidRDefault="006F0FA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ASTM F963-1</w:t>
            </w:r>
            <w:r>
              <w:t>6</w:t>
            </w:r>
            <w:r w:rsidRPr="00215533">
              <w:t xml:space="preserve"> Standard </w:t>
            </w:r>
            <w:r>
              <w:t>c</w:t>
            </w:r>
            <w:r w:rsidRPr="00215533">
              <w:t xml:space="preserve">onsumer </w:t>
            </w:r>
            <w:r>
              <w:t>s</w:t>
            </w:r>
            <w:r w:rsidRPr="00215533">
              <w:t xml:space="preserve">afety </w:t>
            </w:r>
            <w:r>
              <w:t>s</w:t>
            </w:r>
            <w:r w:rsidRPr="00215533">
              <w:t xml:space="preserve">pecification for </w:t>
            </w:r>
            <w:r>
              <w:t>t</w:t>
            </w:r>
            <w:r w:rsidRPr="00215533">
              <w:t xml:space="preserve">oy </w:t>
            </w:r>
            <w:r>
              <w:t>s</w:t>
            </w:r>
            <w:r w:rsidRPr="00215533">
              <w:t>afety</w:t>
            </w:r>
            <w:r w:rsidRPr="00DB6C88">
              <w:t xml:space="preserve"> </w:t>
            </w:r>
          </w:p>
          <w:p w:rsidR="00055A89" w:rsidRDefault="00055A89"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EN 71</w:t>
            </w:r>
            <w:r>
              <w:t xml:space="preserve">-1:2014 Safety of toys – Part 1: Mechanical and physical properties  </w:t>
            </w:r>
          </w:p>
          <w:p w:rsidR="00055A89" w:rsidRDefault="00055A89" w:rsidP="006F0FA6">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ISO 8124.1:</w:t>
            </w:r>
            <w:r w:rsidRPr="00A1013F">
              <w:t>20</w:t>
            </w:r>
            <w:r>
              <w:t>14 Safety of toys Part 1: Safety aspects related to mechanical and physical properties</w:t>
            </w:r>
          </w:p>
          <w:p w:rsidR="006B6424" w:rsidRDefault="006B6424" w:rsidP="003B3AF8">
            <w:pPr>
              <w:cnfStyle w:val="000000000000" w:firstRow="0" w:lastRow="0" w:firstColumn="0" w:lastColumn="0" w:oddVBand="0" w:evenVBand="0" w:oddHBand="0" w:evenHBand="0" w:firstRowFirstColumn="0" w:firstRowLastColumn="0" w:lastRowFirstColumn="0" w:lastRowLastColumn="0"/>
            </w:pPr>
          </w:p>
        </w:tc>
      </w:tr>
      <w:tr w:rsidR="006B6424" w:rsidTr="001F06FD">
        <w:trPr>
          <w:trHeight w:val="4029"/>
        </w:trPr>
        <w:tc>
          <w:tcPr>
            <w:cnfStyle w:val="001000000000" w:firstRow="0" w:lastRow="0" w:firstColumn="1" w:lastColumn="0" w:oddVBand="0" w:evenVBand="0" w:oddHBand="0" w:evenHBand="0" w:firstRowFirstColumn="0" w:firstRowLastColumn="0" w:lastRowFirstColumn="0" w:lastRowLastColumn="0"/>
            <w:tcW w:w="2235" w:type="dxa"/>
          </w:tcPr>
          <w:p w:rsidR="006B6424" w:rsidRPr="00BE30DB" w:rsidRDefault="00BE30DB" w:rsidP="003B3AF8">
            <w:pPr>
              <w:rPr>
                <w:b w:val="0"/>
              </w:rPr>
            </w:pPr>
            <w:r w:rsidRPr="00BE30DB">
              <w:rPr>
                <w:b w:val="0"/>
              </w:rPr>
              <w:lastRenderedPageBreak/>
              <w:t>Children’s toys containing magnets</w:t>
            </w:r>
          </w:p>
        </w:tc>
        <w:tc>
          <w:tcPr>
            <w:tcW w:w="3926" w:type="dxa"/>
          </w:tcPr>
          <w:p w:rsidR="00873AE5" w:rsidRDefault="00873AE5" w:rsidP="00873AE5">
            <w:pPr>
              <w:cnfStyle w:val="000000000000" w:firstRow="0" w:lastRow="0" w:firstColumn="0" w:lastColumn="0" w:oddVBand="0" w:evenVBand="0" w:oddHBand="0" w:evenHBand="0" w:firstRowFirstColumn="0" w:firstRowLastColumn="0" w:lastRowFirstColumn="0" w:lastRowLastColumn="0"/>
            </w:pPr>
            <w:r>
              <w:t>Annex II.I, 4 d)</w:t>
            </w:r>
          </w:p>
          <w:p w:rsidR="00873AE5" w:rsidRDefault="00873AE5" w:rsidP="00873AE5">
            <w:pPr>
              <w:cnfStyle w:val="000000000000" w:firstRow="0" w:lastRow="0" w:firstColumn="0" w:lastColumn="0" w:oddVBand="0" w:evenVBand="0" w:oddHBand="0" w:evenHBand="0" w:firstRowFirstColumn="0" w:firstRowLastColumn="0" w:lastRowFirstColumn="0" w:lastRowLastColumn="0"/>
            </w:pPr>
            <w:r w:rsidRPr="00B268CA">
              <w:t xml:space="preserve">Toys, which are clearly intended for use by children under 36 months, and their component parts and any of their detachable parts must be of such dimensions as to prevent their being swallowed or inhaled. This also applies to other </w:t>
            </w:r>
            <w:r w:rsidR="00FC6F49" w:rsidRPr="00B268CA">
              <w:t>toys, which</w:t>
            </w:r>
            <w:r w:rsidRPr="00B268CA">
              <w:t xml:space="preserve"> are intended to be put in the mouth, and to their component parts and any of their detachable parts</w:t>
            </w:r>
            <w:r>
              <w:t>.</w:t>
            </w:r>
          </w:p>
          <w:p w:rsidR="006B6424" w:rsidRDefault="006B6424"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tc>
        <w:tc>
          <w:tcPr>
            <w:tcW w:w="3081" w:type="dxa"/>
          </w:tcPr>
          <w:p w:rsidR="006F0FA6" w:rsidRDefault="006F0FA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7F2D52">
              <w:t xml:space="preserve">AS/NZS ISO 8124.1:2016: </w:t>
            </w:r>
            <w:r>
              <w:t>Safety of toys Part 1: Safety aspects related to mechanical and physical properties (ISO 8124-1:2014, MOD)</w:t>
            </w:r>
          </w:p>
          <w:p w:rsidR="006B6424" w:rsidRDefault="006F0FA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ASTM F963-1</w:t>
            </w:r>
            <w:r>
              <w:t>6</w:t>
            </w:r>
            <w:r w:rsidRPr="00215533">
              <w:t xml:space="preserve"> Standard </w:t>
            </w:r>
            <w:r>
              <w:t>c</w:t>
            </w:r>
            <w:r w:rsidRPr="00215533">
              <w:t xml:space="preserve">onsumer </w:t>
            </w:r>
            <w:r>
              <w:t>s</w:t>
            </w:r>
            <w:r w:rsidRPr="00215533">
              <w:t xml:space="preserve">afety </w:t>
            </w:r>
            <w:r>
              <w:t>s</w:t>
            </w:r>
            <w:r w:rsidRPr="00215533">
              <w:t xml:space="preserve">pecification for </w:t>
            </w:r>
            <w:r>
              <w:t>t</w:t>
            </w:r>
            <w:r w:rsidRPr="00215533">
              <w:t xml:space="preserve">oy </w:t>
            </w:r>
            <w:r>
              <w:t>s</w:t>
            </w:r>
            <w:r w:rsidRPr="00215533">
              <w:t>afety</w:t>
            </w:r>
            <w:r w:rsidRPr="00DB6C88">
              <w:t xml:space="preserve"> </w:t>
            </w:r>
          </w:p>
          <w:p w:rsidR="00C96ED6" w:rsidRDefault="00C96ED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EN 71</w:t>
            </w:r>
            <w:r>
              <w:t xml:space="preserve">-1:2014 Safety of toys – Part 1: Mechanical and physical properties  </w:t>
            </w:r>
          </w:p>
          <w:p w:rsidR="00C96ED6" w:rsidRDefault="00C96ED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ISO 8124.1:</w:t>
            </w:r>
            <w:r w:rsidRPr="00A1013F">
              <w:t>20</w:t>
            </w:r>
            <w:r>
              <w:t>14 Safety of toys Part 1: Safety aspects related to mechanical and physical properties</w:t>
            </w:r>
          </w:p>
        </w:tc>
      </w:tr>
      <w:tr w:rsidR="006B6424" w:rsidTr="006B6424">
        <w:tc>
          <w:tcPr>
            <w:cnfStyle w:val="001000000000" w:firstRow="0" w:lastRow="0" w:firstColumn="1" w:lastColumn="0" w:oddVBand="0" w:evenVBand="0" w:oddHBand="0" w:evenHBand="0" w:firstRowFirstColumn="0" w:firstRowLastColumn="0" w:lastRowFirstColumn="0" w:lastRowLastColumn="0"/>
            <w:tcW w:w="2235" w:type="dxa"/>
          </w:tcPr>
          <w:p w:rsidR="006B6424" w:rsidRPr="00BE30DB" w:rsidRDefault="00BE30DB" w:rsidP="003B3AF8">
            <w:pPr>
              <w:rPr>
                <w:b w:val="0"/>
              </w:rPr>
            </w:pPr>
            <w:r w:rsidRPr="00BE30DB">
              <w:rPr>
                <w:b w:val="0"/>
              </w:rPr>
              <w:t>Flotation and aquatic toys</w:t>
            </w:r>
          </w:p>
        </w:tc>
        <w:tc>
          <w:tcPr>
            <w:tcW w:w="3926" w:type="dxa"/>
          </w:tcPr>
          <w:p w:rsidR="000D2E5D" w:rsidRDefault="000D2E5D" w:rsidP="000D2E5D">
            <w:pPr>
              <w:cnfStyle w:val="000000000000" w:firstRow="0" w:lastRow="0" w:firstColumn="0" w:lastColumn="0" w:oddVBand="0" w:evenVBand="0" w:oddHBand="0" w:evenHBand="0" w:firstRowFirstColumn="0" w:firstRowLastColumn="0" w:lastRowFirstColumn="0" w:lastRowLastColumn="0"/>
            </w:pPr>
            <w:r>
              <w:t>Annex II.I, 4 d)</w:t>
            </w:r>
          </w:p>
          <w:p w:rsidR="000D2E5D" w:rsidRDefault="000D2E5D" w:rsidP="000D2E5D">
            <w:pPr>
              <w:cnfStyle w:val="000000000000" w:firstRow="0" w:lastRow="0" w:firstColumn="0" w:lastColumn="0" w:oddVBand="0" w:evenVBand="0" w:oddHBand="0" w:evenHBand="0" w:firstRowFirstColumn="0" w:firstRowLastColumn="0" w:lastRowFirstColumn="0" w:lastRowLastColumn="0"/>
            </w:pPr>
            <w:r w:rsidRPr="00B268CA">
              <w:t xml:space="preserve">Toys, which are clearly intended for use by children under 36 months, and their component parts and any of their detachable parts must be of such dimensions as to prevent their being swallowed or inhaled. This also applies to other </w:t>
            </w:r>
            <w:r w:rsidR="00FC6F49" w:rsidRPr="00B268CA">
              <w:t>toys, which</w:t>
            </w:r>
            <w:r w:rsidRPr="00B268CA">
              <w:t xml:space="preserve"> are intended to be put in the mouth, and to their component parts and any of their detachable parts</w:t>
            </w:r>
            <w:r>
              <w:t>.</w:t>
            </w:r>
          </w:p>
          <w:p w:rsidR="006B6424" w:rsidRDefault="006B6424" w:rsidP="003B3AF8">
            <w:pPr>
              <w:cnfStyle w:val="000000000000" w:firstRow="0" w:lastRow="0" w:firstColumn="0" w:lastColumn="0" w:oddVBand="0" w:evenVBand="0" w:oddHBand="0" w:evenHBand="0" w:firstRowFirstColumn="0" w:firstRowLastColumn="0" w:lastRowFirstColumn="0" w:lastRowLastColumn="0"/>
            </w:pPr>
          </w:p>
          <w:p w:rsidR="000D2E5D" w:rsidRDefault="000D2E5D" w:rsidP="003B3AF8">
            <w:pPr>
              <w:cnfStyle w:val="000000000000" w:firstRow="0" w:lastRow="0" w:firstColumn="0" w:lastColumn="0" w:oddVBand="0" w:evenVBand="0" w:oddHBand="0" w:evenHBand="0" w:firstRowFirstColumn="0" w:firstRowLastColumn="0" w:lastRowFirstColumn="0" w:lastRowLastColumn="0"/>
            </w:pPr>
            <w:r>
              <w:t>Annex II.I, 5</w:t>
            </w:r>
          </w:p>
          <w:p w:rsidR="00BE30DB" w:rsidRDefault="00121D64" w:rsidP="003B3AF8">
            <w:pPr>
              <w:cnfStyle w:val="000000000000" w:firstRow="0" w:lastRow="0" w:firstColumn="0" w:lastColumn="0" w:oddVBand="0" w:evenVBand="0" w:oddHBand="0" w:evenHBand="0" w:firstRowFirstColumn="0" w:firstRowLastColumn="0" w:lastRowFirstColumn="0" w:lastRowLastColumn="0"/>
            </w:pPr>
            <w:r w:rsidRPr="004D711C">
              <w:t>Aquatic toys must be designed and manufactured so as to reduce as far as possible, taking into account the recommended use of the toy, any risk of loss of buoyancy of the toy and loss of support afforded to the child.</w:t>
            </w:r>
          </w:p>
        </w:tc>
        <w:tc>
          <w:tcPr>
            <w:tcW w:w="3081" w:type="dxa"/>
          </w:tcPr>
          <w:p w:rsidR="006F0FA6" w:rsidRDefault="006F0FA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7F2D52">
              <w:t xml:space="preserve">AS/NZS ISO 8124.1:2016: </w:t>
            </w:r>
            <w:r>
              <w:t>Safety of toys Part 1: Safety aspects related to mechanical and physical properties (ISO 8124-1:2014, MOD)</w:t>
            </w:r>
          </w:p>
          <w:p w:rsidR="006B6424" w:rsidRDefault="006F0FA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ASTM F963-1</w:t>
            </w:r>
            <w:r>
              <w:t>6</w:t>
            </w:r>
            <w:r w:rsidRPr="00215533">
              <w:t xml:space="preserve"> Standard </w:t>
            </w:r>
            <w:r>
              <w:t>c</w:t>
            </w:r>
            <w:r w:rsidRPr="00215533">
              <w:t xml:space="preserve">onsumer </w:t>
            </w:r>
            <w:r>
              <w:t>s</w:t>
            </w:r>
            <w:r w:rsidRPr="00215533">
              <w:t xml:space="preserve">afety </w:t>
            </w:r>
            <w:r>
              <w:t>s</w:t>
            </w:r>
            <w:r w:rsidRPr="00215533">
              <w:t xml:space="preserve">pecification for </w:t>
            </w:r>
            <w:r>
              <w:t>t</w:t>
            </w:r>
            <w:r w:rsidRPr="00215533">
              <w:t xml:space="preserve">oy </w:t>
            </w:r>
            <w:r>
              <w:t>s</w:t>
            </w:r>
            <w:r w:rsidRPr="00215533">
              <w:t>afety</w:t>
            </w:r>
            <w:r w:rsidRPr="00DB6C88">
              <w:t xml:space="preserve"> </w:t>
            </w:r>
          </w:p>
          <w:p w:rsidR="00C96ED6" w:rsidRDefault="00C96ED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EN 71</w:t>
            </w:r>
            <w:r>
              <w:t xml:space="preserve">-1:2014 Safety of toys – Part 1: Mechanical and physical properties  </w:t>
            </w:r>
          </w:p>
          <w:p w:rsidR="0046698E" w:rsidRDefault="00C96ED6" w:rsidP="00867552">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ISO 8124.1:</w:t>
            </w:r>
            <w:r w:rsidRPr="00A1013F">
              <w:t>20</w:t>
            </w:r>
            <w:r>
              <w:t>14 Safety of toys Part 1: Safety aspects related to mechanical and physical properties</w:t>
            </w:r>
          </w:p>
        </w:tc>
      </w:tr>
      <w:tr w:rsidR="006B6424" w:rsidTr="006B6424">
        <w:tc>
          <w:tcPr>
            <w:cnfStyle w:val="001000000000" w:firstRow="0" w:lastRow="0" w:firstColumn="1" w:lastColumn="0" w:oddVBand="0" w:evenVBand="0" w:oddHBand="0" w:evenHBand="0" w:firstRowFirstColumn="0" w:firstRowLastColumn="0" w:lastRowFirstColumn="0" w:lastRowLastColumn="0"/>
            <w:tcW w:w="2235" w:type="dxa"/>
          </w:tcPr>
          <w:p w:rsidR="006B6424" w:rsidRPr="00BE30DB" w:rsidRDefault="00BE30DB" w:rsidP="003B3AF8">
            <w:pPr>
              <w:rPr>
                <w:b w:val="0"/>
              </w:rPr>
            </w:pPr>
            <w:r w:rsidRPr="00BE30DB">
              <w:rPr>
                <w:b w:val="0"/>
              </w:rPr>
              <w:t xml:space="preserve">Lead and certain elements in children’s </w:t>
            </w:r>
            <w:r w:rsidRPr="00BE30DB">
              <w:rPr>
                <w:b w:val="0"/>
              </w:rPr>
              <w:lastRenderedPageBreak/>
              <w:t>toys</w:t>
            </w:r>
          </w:p>
        </w:tc>
        <w:tc>
          <w:tcPr>
            <w:tcW w:w="3926" w:type="dxa"/>
          </w:tcPr>
          <w:p w:rsidR="006B6424" w:rsidRDefault="00FE2374" w:rsidP="003B3AF8">
            <w:pPr>
              <w:cnfStyle w:val="000000000000" w:firstRow="0" w:lastRow="0" w:firstColumn="0" w:lastColumn="0" w:oddVBand="0" w:evenVBand="0" w:oddHBand="0" w:evenHBand="0" w:firstRowFirstColumn="0" w:firstRowLastColumn="0" w:lastRowFirstColumn="0" w:lastRowLastColumn="0"/>
            </w:pPr>
            <w:r>
              <w:lastRenderedPageBreak/>
              <w:t>Annex III.I,</w:t>
            </w:r>
          </w:p>
          <w:p w:rsidR="007A4656" w:rsidRDefault="007A4656" w:rsidP="003B3AF8">
            <w:pPr>
              <w:cnfStyle w:val="000000000000" w:firstRow="0" w:lastRow="0" w:firstColumn="0" w:lastColumn="0" w:oddVBand="0" w:evenVBand="0" w:oddHBand="0" w:evenHBand="0" w:firstRowFirstColumn="0" w:firstRowLastColumn="0" w:lastRowFirstColumn="0" w:lastRowLastColumn="0"/>
            </w:pPr>
            <w:r>
              <w:t xml:space="preserve">Toys shall be designed and </w:t>
            </w:r>
            <w:r>
              <w:lastRenderedPageBreak/>
              <w:t>manufactured in such a way that there are no risks of adverse effects on human health due to exposure to the chemical substances or mixtures of which the toys are composed or which they contain when the toys are used.</w:t>
            </w:r>
          </w:p>
          <w:p w:rsidR="00FE2374" w:rsidRDefault="00FE2374" w:rsidP="003B3AF8">
            <w:pPr>
              <w:cnfStyle w:val="000000000000" w:firstRow="0" w:lastRow="0" w:firstColumn="0" w:lastColumn="0" w:oddVBand="0" w:evenVBand="0" w:oddHBand="0" w:evenHBand="0" w:firstRowFirstColumn="0" w:firstRowLastColumn="0" w:lastRowFirstColumn="0" w:lastRowLastColumn="0"/>
            </w:pPr>
          </w:p>
          <w:p w:rsidR="00FE2374" w:rsidRDefault="00FE2374" w:rsidP="003B3AF8">
            <w:pPr>
              <w:cnfStyle w:val="000000000000" w:firstRow="0" w:lastRow="0" w:firstColumn="0" w:lastColumn="0" w:oddVBand="0" w:evenVBand="0" w:oddHBand="0" w:evenHBand="0" w:firstRowFirstColumn="0" w:firstRowLastColumn="0" w:lastRowFirstColumn="0" w:lastRowLastColumn="0"/>
            </w:pPr>
            <w:r>
              <w:t>Annex III.13</w:t>
            </w:r>
          </w:p>
          <w:p w:rsidR="00FE2374" w:rsidRDefault="00FE2374" w:rsidP="003B3AF8">
            <w:pPr>
              <w:cnfStyle w:val="000000000000" w:firstRow="0" w:lastRow="0" w:firstColumn="0" w:lastColumn="0" w:oddVBand="0" w:evenVBand="0" w:oddHBand="0" w:evenHBand="0" w:firstRowFirstColumn="0" w:firstRowLastColumn="0" w:lastRowFirstColumn="0" w:lastRowLastColumn="0"/>
            </w:pPr>
            <w:r>
              <w:t xml:space="preserve">This </w:t>
            </w:r>
            <w:r w:rsidRPr="001D614E">
              <w:t>shall not apply to toys or components of toys, which, due to their accessibility, function, volume or mass, clearly exclude any hazard due to sucking, licking, swallowing or prolonged contact with skin</w:t>
            </w:r>
            <w:r>
              <w:t>.</w:t>
            </w: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p w:rsidR="00BE30DB" w:rsidRDefault="00BE30DB" w:rsidP="003B3AF8">
            <w:pPr>
              <w:cnfStyle w:val="000000000000" w:firstRow="0" w:lastRow="0" w:firstColumn="0" w:lastColumn="0" w:oddVBand="0" w:evenVBand="0" w:oddHBand="0" w:evenHBand="0" w:firstRowFirstColumn="0" w:firstRowLastColumn="0" w:lastRowFirstColumn="0" w:lastRowLastColumn="0"/>
            </w:pPr>
          </w:p>
        </w:tc>
        <w:tc>
          <w:tcPr>
            <w:tcW w:w="3081" w:type="dxa"/>
          </w:tcPr>
          <w:p w:rsidR="0046698E" w:rsidRDefault="0046698E"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F80F39">
              <w:lastRenderedPageBreak/>
              <w:t>AS/NZS ISO 8124.3:2012/</w:t>
            </w:r>
            <w:r>
              <w:t xml:space="preserve"> </w:t>
            </w:r>
            <w:r w:rsidRPr="00F80F39">
              <w:t>Amdt1:2016</w:t>
            </w:r>
            <w:r>
              <w:t xml:space="preserve">: Safety of toys Pert </w:t>
            </w:r>
            <w:r>
              <w:lastRenderedPageBreak/>
              <w:t xml:space="preserve">3: Migration of certain elements (ISO 8124-3:2010, MOD)      </w:t>
            </w:r>
          </w:p>
          <w:p w:rsidR="0046698E" w:rsidRDefault="0046698E"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F80F39">
              <w:t xml:space="preserve">AS 8124.7:2003 </w:t>
            </w:r>
            <w:r>
              <w:t>(</w:t>
            </w:r>
            <w:r w:rsidRPr="00F80F39">
              <w:t>R</w:t>
            </w:r>
            <w:r>
              <w:t xml:space="preserve">econfirmed </w:t>
            </w:r>
            <w:r w:rsidRPr="00F80F39">
              <w:t>2013</w:t>
            </w:r>
            <w:r>
              <w:t>) – Safety of toys – Part 7: Finger paints – Requirements and test methods</w:t>
            </w:r>
          </w:p>
          <w:p w:rsidR="00DB6EBB" w:rsidRDefault="00DB6EBB" w:rsidP="006F0FA6">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 xml:space="preserve">ASTM D-4236 </w:t>
            </w:r>
            <w:r w:rsidRPr="00DB05F1">
              <w:t xml:space="preserve">Standard </w:t>
            </w:r>
            <w:r w:rsidRPr="001F06FD">
              <w:t>practice of labelling art materials for chronic health hazards</w:t>
            </w:r>
          </w:p>
          <w:p w:rsidR="001F06FD" w:rsidRDefault="006F0FA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215533">
              <w:t>ASTM F963-1</w:t>
            </w:r>
            <w:r>
              <w:t>6</w:t>
            </w:r>
            <w:r w:rsidRPr="00215533">
              <w:t xml:space="preserve"> Standard </w:t>
            </w:r>
            <w:r>
              <w:t>c</w:t>
            </w:r>
            <w:r w:rsidRPr="00215533">
              <w:t xml:space="preserve">onsumer </w:t>
            </w:r>
            <w:r>
              <w:t>s</w:t>
            </w:r>
            <w:r w:rsidRPr="00215533">
              <w:t xml:space="preserve">afety </w:t>
            </w:r>
            <w:r>
              <w:t>s</w:t>
            </w:r>
            <w:r w:rsidRPr="00215533">
              <w:t xml:space="preserve">pecification for </w:t>
            </w:r>
            <w:r>
              <w:t>t</w:t>
            </w:r>
            <w:r w:rsidRPr="00215533">
              <w:t xml:space="preserve">oy </w:t>
            </w:r>
            <w:r>
              <w:t>s</w:t>
            </w:r>
            <w:r w:rsidRPr="00215533">
              <w:t>afety</w:t>
            </w:r>
            <w:r w:rsidRPr="00DB6C88">
              <w:t xml:space="preserve"> </w:t>
            </w:r>
          </w:p>
          <w:p w:rsidR="009064E0" w:rsidRDefault="006F0FA6"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320AB5">
              <w:t>Code o</w:t>
            </w:r>
            <w:r w:rsidRPr="009419CA">
              <w:t xml:space="preserve">f Federal Regulations in Title 16, Part 1303 – Ban </w:t>
            </w:r>
            <w:r w:rsidRPr="00320AB5">
              <w:t>of lead-containing paint and certain consumer products bearing lead-containing paint</w:t>
            </w:r>
          </w:p>
          <w:p w:rsidR="001F06FD" w:rsidRDefault="009064E0"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EN 71-3:2013+A1:2014 Safety of toys – Part 3: Migration of certain elements</w:t>
            </w:r>
            <w:r w:rsidRPr="00DB39E6">
              <w:t xml:space="preserve"> </w:t>
            </w:r>
          </w:p>
          <w:p w:rsidR="009064E0" w:rsidRDefault="009064E0"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EN 71-7:2014 Safety of toys – Part 7: Finger paints – Requirements and test methods</w:t>
            </w:r>
          </w:p>
          <w:p w:rsidR="009064E0" w:rsidRDefault="009064E0" w:rsidP="009064E0">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rsidRPr="00F34873">
              <w:t>ISO 8124.3:2010/Amd1:2014 Safety of toys Part 3: Migration of certain elements</w:t>
            </w:r>
          </w:p>
          <w:p w:rsidR="009064E0" w:rsidRDefault="009064E0" w:rsidP="001F06FD">
            <w:pPr>
              <w:pStyle w:val="Bulletpoint"/>
              <w:numPr>
                <w:ilvl w:val="0"/>
                <w:numId w:val="0"/>
              </w:numPr>
              <w:tabs>
                <w:tab w:val="clear" w:pos="340"/>
                <w:tab w:val="left" w:pos="57"/>
              </w:tabs>
              <w:cnfStyle w:val="000000000000" w:firstRow="0" w:lastRow="0" w:firstColumn="0" w:lastColumn="0" w:oddVBand="0" w:evenVBand="0" w:oddHBand="0" w:evenHBand="0" w:firstRowFirstColumn="0" w:firstRowLastColumn="0" w:lastRowFirstColumn="0" w:lastRowLastColumn="0"/>
            </w:pPr>
            <w:r>
              <w:t>ISO 8124.7:</w:t>
            </w:r>
            <w:r w:rsidRPr="00A1013F">
              <w:t>20</w:t>
            </w:r>
            <w:r>
              <w:t>15 Safety of toys Part 7: Finger paints – Requirements and test methods</w:t>
            </w:r>
          </w:p>
        </w:tc>
      </w:tr>
    </w:tbl>
    <w:p w:rsidR="0011763D" w:rsidRPr="003B3AF8" w:rsidRDefault="0011763D" w:rsidP="003B3AF8"/>
    <w:sectPr w:rsidR="0011763D" w:rsidRPr="003B3AF8" w:rsidSect="00691616">
      <w:footerReference w:type="default" r:id="rId29"/>
      <w:footerReference w:type="first" r:id="rId3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4E" w:rsidRDefault="00532B4E" w:rsidP="004B4412">
      <w:pPr>
        <w:spacing w:before="0"/>
      </w:pPr>
      <w:r>
        <w:separator/>
      </w:r>
    </w:p>
  </w:endnote>
  <w:endnote w:type="continuationSeparator" w:id="0">
    <w:p w:rsidR="00532B4E" w:rsidRDefault="00532B4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ource Sans Pro">
    <w:altName w:val="Times New Roman"/>
    <w:charset w:val="00"/>
    <w:family w:val="auto"/>
    <w:pitch w:val="default"/>
  </w:font>
  <w:font w:name="TimesNew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726108"/>
      <w:docPartObj>
        <w:docPartGallery w:val="Page Numbers (Bottom of Page)"/>
        <w:docPartUnique/>
      </w:docPartObj>
    </w:sdtPr>
    <w:sdtEndPr>
      <w:rPr>
        <w:noProof/>
      </w:rPr>
    </w:sdtEndPr>
    <w:sdtContent>
      <w:p w:rsidR="00532B4E" w:rsidRDefault="00532B4E" w:rsidP="000D3776">
        <w:pPr>
          <w:pStyle w:val="Footer"/>
          <w:jc w:val="right"/>
        </w:pPr>
        <w:r>
          <w:t xml:space="preserve">                                      Review of mandatory safety standards for children’s toys</w:t>
        </w:r>
        <w:r>
          <w:tab/>
          <w:t xml:space="preserve">                                                                   </w:t>
        </w:r>
        <w:r>
          <w:fldChar w:fldCharType="begin"/>
        </w:r>
        <w:r>
          <w:instrText xml:space="preserve"> PAGE   \* MERGEFORMAT </w:instrText>
        </w:r>
        <w:r>
          <w:fldChar w:fldCharType="separate"/>
        </w:r>
        <w:r w:rsidR="0008511B">
          <w:rPr>
            <w:noProof/>
          </w:rPr>
          <w:t>3</w:t>
        </w:r>
        <w:r>
          <w:rPr>
            <w:noProof/>
          </w:rPr>
          <w:fldChar w:fldCharType="end"/>
        </w:r>
      </w:p>
    </w:sdtContent>
  </w:sdt>
  <w:p w:rsidR="00532B4E" w:rsidRDefault="00532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532B4E" w:rsidRDefault="00532B4E">
        <w:pPr>
          <w:pStyle w:val="Footer"/>
        </w:pPr>
        <w:r>
          <w:fldChar w:fldCharType="begin"/>
        </w:r>
        <w:r>
          <w:instrText xml:space="preserve"> PAGE   \* MERGEFORMAT </w:instrText>
        </w:r>
        <w:r>
          <w:fldChar w:fldCharType="separate"/>
        </w:r>
        <w:r>
          <w:rPr>
            <w:noProof/>
          </w:rPr>
          <w:t>1</w:t>
        </w:r>
        <w:r>
          <w:rPr>
            <w:noProof/>
          </w:rPr>
          <w:fldChar w:fldCharType="end"/>
        </w:r>
      </w:p>
    </w:sdtContent>
  </w:sdt>
  <w:p w:rsidR="00532B4E" w:rsidRDefault="00532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4E" w:rsidRDefault="00532B4E" w:rsidP="004B4412">
      <w:pPr>
        <w:spacing w:before="0"/>
      </w:pPr>
      <w:r>
        <w:separator/>
      </w:r>
    </w:p>
  </w:footnote>
  <w:footnote w:type="continuationSeparator" w:id="0">
    <w:p w:rsidR="00532B4E" w:rsidRDefault="00532B4E" w:rsidP="004B4412">
      <w:pPr>
        <w:spacing w:before="0"/>
      </w:pPr>
      <w:r>
        <w:continuationSeparator/>
      </w:r>
    </w:p>
  </w:footnote>
  <w:footnote w:id="1">
    <w:p w:rsidR="00532B4E" w:rsidRDefault="00532B4E" w:rsidP="00D1446E">
      <w:pPr>
        <w:pStyle w:val="FootnoteText"/>
      </w:pPr>
      <w:r>
        <w:rPr>
          <w:rStyle w:val="FootnoteReference"/>
        </w:rPr>
        <w:footnoteRef/>
      </w:r>
      <w:r>
        <w:t xml:space="preserve"> IBISWorld 2016, IBISWorld Melbourne, Victoria, viewed 17 June 2016 </w:t>
      </w:r>
      <w:hyperlink r:id="rId1" w:history="1">
        <w:r w:rsidRPr="00145096">
          <w:rPr>
            <w:rStyle w:val="Hyperlink"/>
            <w:sz w:val="16"/>
          </w:rPr>
          <w:t>//clients1.ibisworld.com.au/reports/au/industry/productsandmarkets.aspx?entid=294</w:t>
        </w:r>
      </w:hyperlink>
    </w:p>
  </w:footnote>
  <w:footnote w:id="2">
    <w:p w:rsidR="00532B4E" w:rsidRDefault="00532B4E" w:rsidP="00D1446E">
      <w:pPr>
        <w:pStyle w:val="FootnoteText"/>
      </w:pPr>
      <w:r>
        <w:rPr>
          <w:rStyle w:val="FootnoteReference"/>
        </w:rPr>
        <w:footnoteRef/>
      </w:r>
      <w:r>
        <w:t xml:space="preserve"> </w:t>
      </w:r>
      <w:hyperlink r:id="rId2" w:history="1">
        <w:r w:rsidRPr="003E5A42">
          <w:t>ibid</w:t>
        </w:r>
      </w:hyperlink>
      <w:r>
        <w:t xml:space="preserve"> </w:t>
      </w:r>
    </w:p>
  </w:footnote>
  <w:footnote w:id="3">
    <w:p w:rsidR="00532B4E" w:rsidRDefault="00532B4E" w:rsidP="00D1446E">
      <w:pPr>
        <w:pStyle w:val="FootnoteText"/>
      </w:pPr>
      <w:r>
        <w:rPr>
          <w:rStyle w:val="FootnoteReference"/>
        </w:rPr>
        <w:footnoteRef/>
      </w:r>
      <w:r>
        <w:t xml:space="preserve"> </w:t>
      </w:r>
      <w:hyperlink r:id="rId3" w:history="1">
        <w:r w:rsidRPr="003E5A42">
          <w:t>ibid</w:t>
        </w:r>
      </w:hyperlink>
      <w:r>
        <w:t xml:space="preserve"> </w:t>
      </w:r>
    </w:p>
  </w:footnote>
  <w:footnote w:id="4">
    <w:p w:rsidR="00532B4E" w:rsidRDefault="00532B4E" w:rsidP="00D1446E">
      <w:pPr>
        <w:pStyle w:val="FootnoteText"/>
      </w:pPr>
      <w:r>
        <w:rPr>
          <w:rStyle w:val="FootnoteReference"/>
        </w:rPr>
        <w:footnoteRef/>
      </w:r>
      <w:r>
        <w:t xml:space="preserve"> European Commission, 2015, Brussels, viewed 17 June 2016,  </w:t>
      </w:r>
      <w:hyperlink r:id="rId4" w:history="1">
        <w:r w:rsidRPr="00210565">
          <w:rPr>
            <w:rStyle w:val="Hyperlink"/>
            <w:sz w:val="16"/>
          </w:rPr>
          <w:t>europa.eu/rapid/press-release_MEMO-08-364_en.htm?locale=</w:t>
        </w:r>
        <w:proofErr w:type="spellStart"/>
        <w:r w:rsidRPr="00210565">
          <w:rPr>
            <w:rStyle w:val="Hyperlink"/>
            <w:sz w:val="16"/>
          </w:rPr>
          <w:t>en</w:t>
        </w:r>
        <w:proofErr w:type="spellEnd"/>
      </w:hyperlink>
      <w:r>
        <w:t xml:space="preserve"> </w:t>
      </w:r>
    </w:p>
  </w:footnote>
  <w:footnote w:id="5">
    <w:p w:rsidR="00532B4E" w:rsidRDefault="00532B4E" w:rsidP="00D1446E">
      <w:pPr>
        <w:pStyle w:val="FootnoteText"/>
      </w:pPr>
      <w:r>
        <w:rPr>
          <w:rStyle w:val="FootnoteReference"/>
        </w:rPr>
        <w:footnoteRef/>
      </w:r>
      <w:r>
        <w:t xml:space="preserve"> </w:t>
      </w:r>
      <w:hyperlink r:id="rId5" w:history="1">
        <w:r w:rsidRPr="00E6532F">
          <w:t>ibid</w:t>
        </w:r>
      </w:hyperlink>
    </w:p>
  </w:footnote>
  <w:footnote w:id="6">
    <w:p w:rsidR="00532B4E" w:rsidRDefault="00532B4E" w:rsidP="00D1446E">
      <w:pPr>
        <w:pStyle w:val="FootnoteText"/>
      </w:pPr>
      <w:r>
        <w:rPr>
          <w:rStyle w:val="FootnoteReference"/>
        </w:rPr>
        <w:footnoteRef/>
      </w:r>
      <w:r>
        <w:t xml:space="preserve"> IBISWorld 2016, IBISWorld Melbourne, Victoria, viewed 17 June 2016 </w:t>
      </w:r>
      <w:hyperlink r:id="rId6" w:anchor="MP69" w:history="1">
        <w:r w:rsidRPr="00145096">
          <w:rPr>
            <w:rStyle w:val="Hyperlink"/>
            <w:sz w:val="16"/>
          </w:rPr>
          <w:t>clients1.ibisworld.com.au/reports/au/industry/majorcompanies.aspx?entid=4169#MP69</w:t>
        </w:r>
      </w:hyperlink>
      <w:r>
        <w:t xml:space="preserve"> </w:t>
      </w:r>
    </w:p>
  </w:footnote>
  <w:footnote w:id="7">
    <w:p w:rsidR="00532B4E" w:rsidRDefault="00532B4E" w:rsidP="00D1446E">
      <w:pPr>
        <w:pStyle w:val="FootnoteText"/>
      </w:pPr>
      <w:r>
        <w:rPr>
          <w:rStyle w:val="FootnoteReference"/>
        </w:rPr>
        <w:footnoteRef/>
      </w:r>
      <w:r>
        <w:t xml:space="preserve"> </w:t>
      </w:r>
      <w:r w:rsidRPr="001C1F63">
        <w:t>The ACCC reviewed confidential data from the National Coronial Information System (NCIS) (</w:t>
      </w:r>
      <w:hyperlink r:id="rId7" w:history="1">
        <w:r w:rsidRPr="001C1F63">
          <w:rPr>
            <w:rStyle w:val="Hyperlink"/>
            <w:sz w:val="16"/>
          </w:rPr>
          <w:t>www.ncis.org.au</w:t>
        </w:r>
      </w:hyperlink>
      <w:r w:rsidRPr="001C1F63">
        <w:t xml:space="preserve">). </w:t>
      </w:r>
      <w:r>
        <w:t>T</w:t>
      </w:r>
      <w:r w:rsidRPr="001C1F63">
        <w:t xml:space="preserve">here may be deaths that </w:t>
      </w:r>
      <w:r>
        <w:t>we did</w:t>
      </w:r>
      <w:r w:rsidRPr="001C1F63">
        <w:t xml:space="preserve"> not identif</w:t>
      </w:r>
      <w:r>
        <w:t>y</w:t>
      </w:r>
      <w:r w:rsidRPr="001C1F63">
        <w:t xml:space="preserve"> due to either missing data or </w:t>
      </w:r>
      <w:r>
        <w:t xml:space="preserve">because </w:t>
      </w:r>
      <w:r w:rsidRPr="001C1F63">
        <w:t xml:space="preserve">cases </w:t>
      </w:r>
      <w:r>
        <w:t>were still open</w:t>
      </w:r>
      <w:r w:rsidRPr="001C1F63">
        <w:t>.</w:t>
      </w:r>
    </w:p>
  </w:footnote>
  <w:footnote w:id="8">
    <w:p w:rsidR="00532B4E" w:rsidRDefault="00532B4E" w:rsidP="00D1446E">
      <w:pPr>
        <w:pStyle w:val="FootnoteText"/>
      </w:pPr>
      <w:r>
        <w:rPr>
          <w:rStyle w:val="FootnoteReference"/>
        </w:rPr>
        <w:footnoteRef/>
      </w:r>
      <w:r>
        <w:t xml:space="preserve"> ibid</w:t>
      </w:r>
    </w:p>
  </w:footnote>
  <w:footnote w:id="9">
    <w:p w:rsidR="00532B4E" w:rsidRDefault="00532B4E" w:rsidP="00D1446E">
      <w:pPr>
        <w:pStyle w:val="FootnoteText"/>
      </w:pPr>
      <w:r>
        <w:rPr>
          <w:rStyle w:val="FootnoteReference"/>
        </w:rPr>
        <w:footnoteRef/>
      </w:r>
      <w:r>
        <w:t xml:space="preserve"> ibid</w:t>
      </w:r>
    </w:p>
  </w:footnote>
  <w:footnote w:id="10">
    <w:p w:rsidR="00532B4E" w:rsidRDefault="00532B4E" w:rsidP="00D1446E">
      <w:pPr>
        <w:pStyle w:val="FootnoteText"/>
      </w:pPr>
      <w:r>
        <w:rPr>
          <w:rStyle w:val="FootnoteReference"/>
        </w:rPr>
        <w:footnoteRef/>
      </w:r>
      <w:r>
        <w:t xml:space="preserve"> ibid</w:t>
      </w:r>
    </w:p>
  </w:footnote>
  <w:footnote w:id="11">
    <w:p w:rsidR="00532B4E" w:rsidRDefault="00532B4E" w:rsidP="00D1446E">
      <w:pPr>
        <w:pStyle w:val="FootnoteText"/>
      </w:pPr>
      <w:r>
        <w:rPr>
          <w:rStyle w:val="FootnoteReference"/>
        </w:rPr>
        <w:footnoteRef/>
      </w:r>
      <w:r>
        <w:t xml:space="preserve"> ibid</w:t>
      </w:r>
    </w:p>
  </w:footnote>
  <w:footnote w:id="12">
    <w:p w:rsidR="00532B4E" w:rsidRDefault="00532B4E" w:rsidP="00D1446E">
      <w:pPr>
        <w:pStyle w:val="FootnoteText"/>
      </w:pPr>
      <w:r w:rsidRPr="00A76D93">
        <w:rPr>
          <w:rStyle w:val="FootnoteReference"/>
        </w:rPr>
        <w:footnoteRef/>
      </w:r>
      <w:r w:rsidRPr="00A76D93">
        <w:t xml:space="preserve"> </w:t>
      </w:r>
      <w:r w:rsidRPr="00A76D93">
        <w:rPr>
          <w:bCs/>
          <w:szCs w:val="16"/>
        </w:rPr>
        <w:t>Queensland Injury Surveillance Unit</w:t>
      </w:r>
      <w:r>
        <w:rPr>
          <w:bCs/>
          <w:szCs w:val="16"/>
        </w:rPr>
        <w:t>,</w:t>
      </w:r>
      <w:r w:rsidRPr="00A76D93">
        <w:rPr>
          <w:bCs/>
          <w:szCs w:val="16"/>
        </w:rPr>
        <w:t xml:space="preserve"> </w:t>
      </w:r>
      <w:r w:rsidRPr="00A76D93">
        <w:rPr>
          <w:bCs/>
          <w:i/>
          <w:szCs w:val="16"/>
        </w:rPr>
        <w:t>Reference # 1529 Injuries related to toy and nursery products: children aged &lt;36months</w:t>
      </w:r>
      <w:r w:rsidRPr="00A76D93">
        <w:rPr>
          <w:bCs/>
          <w:szCs w:val="16"/>
        </w:rPr>
        <w:t>, Brisbane, Queensland, 2013.</w:t>
      </w:r>
    </w:p>
  </w:footnote>
  <w:footnote w:id="13">
    <w:p w:rsidR="00532B4E" w:rsidRDefault="00532B4E" w:rsidP="00D1446E">
      <w:pPr>
        <w:pStyle w:val="FootnoteText"/>
      </w:pPr>
      <w:r>
        <w:rPr>
          <w:rStyle w:val="FootnoteReference"/>
        </w:rPr>
        <w:footnoteRef/>
      </w:r>
      <w:r>
        <w:t xml:space="preserve"> ibid</w:t>
      </w:r>
    </w:p>
  </w:footnote>
  <w:footnote w:id="14">
    <w:p w:rsidR="00532B4E" w:rsidRDefault="00532B4E" w:rsidP="00A9152B">
      <w:pPr>
        <w:pStyle w:val="FootnoteText"/>
        <w:ind w:left="0" w:firstLine="0"/>
      </w:pPr>
    </w:p>
  </w:footnote>
  <w:footnote w:id="15">
    <w:p w:rsidR="00532B4E" w:rsidRDefault="00532B4E" w:rsidP="00D1446E">
      <w:pPr>
        <w:pStyle w:val="FootnoteText"/>
      </w:pPr>
      <w:r>
        <w:rPr>
          <w:rStyle w:val="FootnoteReference"/>
        </w:rPr>
        <w:footnoteRef/>
      </w:r>
      <w:r>
        <w:t xml:space="preserve"> United States Consumer Product Safety Commission, National Electronic Injury Surveillance System, Bethesda, MD, viewed 17 June 2016, </w:t>
      </w:r>
      <w:hyperlink r:id="rId8" w:history="1">
        <w:r w:rsidRPr="005422B6">
          <w:rPr>
            <w:rStyle w:val="Hyperlink"/>
            <w:sz w:val="16"/>
          </w:rPr>
          <w:t>www.cpsc.gov/en/Research--Statistics/NEISS-Injury-Data/</w:t>
        </w:r>
      </w:hyperlink>
      <w:r>
        <w:t xml:space="preserve"> </w:t>
      </w:r>
    </w:p>
  </w:footnote>
  <w:footnote w:id="16">
    <w:p w:rsidR="00532B4E" w:rsidRDefault="00532B4E" w:rsidP="00D1446E">
      <w:pPr>
        <w:pStyle w:val="FootnoteText"/>
      </w:pPr>
      <w:r>
        <w:rPr>
          <w:rStyle w:val="FootnoteReference"/>
        </w:rPr>
        <w:footnoteRef/>
      </w:r>
      <w:r>
        <w:t xml:space="preserve"> ibid</w:t>
      </w:r>
    </w:p>
  </w:footnote>
  <w:footnote w:id="17">
    <w:p w:rsidR="00532B4E" w:rsidRDefault="00532B4E" w:rsidP="00D1446E">
      <w:pPr>
        <w:pStyle w:val="FootnoteText"/>
      </w:pPr>
      <w:r>
        <w:rPr>
          <w:rStyle w:val="FootnoteReference"/>
        </w:rPr>
        <w:footnoteRef/>
      </w:r>
      <w:r>
        <w:t xml:space="preserve"> ACCC, </w:t>
      </w:r>
      <w:r w:rsidRPr="000268CC">
        <w:rPr>
          <w:szCs w:val="16"/>
        </w:rPr>
        <w:t xml:space="preserve">International standards for the safety of consumer products - criteria for acceptance, ACCC policy principles, 22 July 2015, </w:t>
      </w:r>
      <w:hyperlink r:id="rId9" w:history="1">
        <w:r w:rsidRPr="005422B6">
          <w:rPr>
            <w:rStyle w:val="Hyperlink"/>
            <w:sz w:val="16"/>
            <w:szCs w:val="16"/>
          </w:rPr>
          <w:t>www.productsafety.gov.au/content/index.phtml/itemId/1014180</w:t>
        </w:r>
      </w:hyperlink>
    </w:p>
  </w:footnote>
  <w:footnote w:id="18">
    <w:p w:rsidR="00532B4E" w:rsidRDefault="00532B4E" w:rsidP="00244A26">
      <w:pPr>
        <w:pStyle w:val="FootnoteText"/>
      </w:pPr>
      <w:r>
        <w:rPr>
          <w:rStyle w:val="FootnoteReference"/>
        </w:rPr>
        <w:footnoteRef/>
      </w:r>
      <w:r>
        <w:t xml:space="preserve"> United States Government Publishing Office, NW, Washington DC, viewed 10 January 2017, </w:t>
      </w:r>
      <w:hyperlink r:id="rId10" w:anchor="se16.2.1500_114" w:history="1">
        <w:r w:rsidRPr="00277052">
          <w:rPr>
            <w:rStyle w:val="Hyperlink"/>
            <w:sz w:val="16"/>
          </w:rPr>
          <w:t>http://www.ecfr.gov/cgi-bin/text-idx?SID=a3dc6e95f41272b960a4d43b6af0ce51&amp;node=pt16.2.1500&amp;rgn=div5#se16.2.1500_114</w:t>
        </w:r>
      </w:hyperlink>
      <w:r>
        <w:t xml:space="preserve"> </w:t>
      </w:r>
    </w:p>
  </w:footnote>
  <w:footnote w:id="19">
    <w:p w:rsidR="00532B4E" w:rsidRDefault="00532B4E" w:rsidP="00D1446E">
      <w:pPr>
        <w:pStyle w:val="FootnoteText"/>
      </w:pPr>
      <w:r>
        <w:rPr>
          <w:rStyle w:val="FootnoteReference"/>
        </w:rPr>
        <w:footnoteRef/>
      </w:r>
      <w:r>
        <w:t xml:space="preserve"> United States Consumer Product Safety Commission, Business and manufacturing - toy safety, Bethesda, MD, viewed 16 June 2016, </w:t>
      </w:r>
      <w:hyperlink r:id="rId11" w:history="1">
        <w:r w:rsidRPr="005422B6">
          <w:rPr>
            <w:rStyle w:val="Hyperlink"/>
            <w:sz w:val="16"/>
          </w:rPr>
          <w:t>www.cpsc.gov/en/Business--Manufacturing/Business-Education/Toy-Safety/</w:t>
        </w:r>
      </w:hyperlink>
      <w:r>
        <w:t xml:space="preserve"> </w:t>
      </w:r>
    </w:p>
  </w:footnote>
  <w:footnote w:id="20">
    <w:p w:rsidR="00532B4E" w:rsidRDefault="00532B4E" w:rsidP="00D1446E">
      <w:pPr>
        <w:pStyle w:val="FootnoteText"/>
      </w:pPr>
      <w:r>
        <w:rPr>
          <w:rStyle w:val="FootnoteReference"/>
        </w:rPr>
        <w:footnoteRef/>
      </w:r>
      <w:r>
        <w:t xml:space="preserve"> United States Consumer Product Safety Commission, Bethesda, MD, viewed 10 August 2016, </w:t>
      </w:r>
      <w:hyperlink r:id="rId12" w:history="1">
        <w:r w:rsidRPr="00844E8B">
          <w:rPr>
            <w:rStyle w:val="Hyperlink"/>
            <w:sz w:val="16"/>
          </w:rPr>
          <w:t>www.cpsc.gov/business--manufacturing/business-education/business-guidance/art-materials/</w:t>
        </w:r>
      </w:hyperlink>
      <w:r>
        <w:t xml:space="preserve"> </w:t>
      </w:r>
    </w:p>
  </w:footnote>
  <w:footnote w:id="21">
    <w:p w:rsidR="00532B4E" w:rsidRDefault="00532B4E" w:rsidP="00D1446E">
      <w:pPr>
        <w:pStyle w:val="FootnoteText"/>
      </w:pPr>
      <w:r>
        <w:rPr>
          <w:rStyle w:val="FootnoteReference"/>
        </w:rPr>
        <w:footnoteRef/>
      </w:r>
      <w:r>
        <w:t xml:space="preserve"> European Commission,  the Toy Safety Directive 2009/48/EC , Brussels, Belgium, viewed 29 August 2016, </w:t>
      </w:r>
      <w:hyperlink r:id="rId13" w:history="1">
        <w:r w:rsidRPr="00781972">
          <w:rPr>
            <w:rStyle w:val="Hyperlink"/>
            <w:sz w:val="16"/>
          </w:rPr>
          <w:t>ec.europa.eu/growth/sectors/toys/safety/</w:t>
        </w:r>
        <w:proofErr w:type="spellStart"/>
        <w:r w:rsidRPr="00781972">
          <w:rPr>
            <w:rStyle w:val="Hyperlink"/>
            <w:sz w:val="16"/>
          </w:rPr>
          <w:t>legislation_en</w:t>
        </w:r>
        <w:proofErr w:type="spellEnd"/>
      </w:hyperlink>
      <w:r>
        <w:t xml:space="preserve"> </w:t>
      </w:r>
    </w:p>
  </w:footnote>
  <w:footnote w:id="22">
    <w:p w:rsidR="00532B4E" w:rsidRDefault="00532B4E" w:rsidP="00D1446E">
      <w:pPr>
        <w:pStyle w:val="FootnoteText"/>
      </w:pPr>
      <w:r>
        <w:rPr>
          <w:rStyle w:val="FootnoteReference"/>
        </w:rPr>
        <w:footnoteRef/>
      </w:r>
      <w:r>
        <w:t xml:space="preserve"> International Electrotechnical Commission 2016, IEC, Geneva Switzerland, viewed 26 October 2016, </w:t>
      </w:r>
      <w:hyperlink r:id="rId14" w:history="1">
        <w:r w:rsidRPr="004A608D">
          <w:rPr>
            <w:rStyle w:val="Hyperlink"/>
            <w:sz w:val="16"/>
          </w:rPr>
          <w:t>www.iec.ch</w:t>
        </w:r>
      </w:hyperlink>
      <w:r>
        <w:t xml:space="preserve">  </w:t>
      </w:r>
    </w:p>
  </w:footnote>
  <w:footnote w:id="23">
    <w:p w:rsidR="00532B4E" w:rsidRDefault="00532B4E" w:rsidP="00C17B8E">
      <w:pPr>
        <w:pStyle w:val="FootnoteText"/>
      </w:pPr>
      <w:r>
        <w:rPr>
          <w:rStyle w:val="FootnoteReference"/>
        </w:rPr>
        <w:footnoteRef/>
      </w:r>
      <w:r>
        <w:t xml:space="preserve"> European Union, 2016, EU Law and Publications, Brussels, Belgium, viewed 5 August 2016, </w:t>
      </w:r>
      <w:hyperlink r:id="rId15" w:history="1">
        <w:r w:rsidRPr="001472DF">
          <w:rPr>
            <w:rStyle w:val="Hyperlink"/>
            <w:sz w:val="16"/>
          </w:rPr>
          <w:t>http://eur-lex.europa.eu/LexUriServ/LexUriServ.do?uri=OJ:L:2009:170:0001:0037:en:PDF</w:t>
        </w:r>
      </w:hyperlink>
      <w:r>
        <w:t xml:space="preserve"> </w:t>
      </w:r>
    </w:p>
  </w:footnote>
  <w:footnote w:id="24">
    <w:p w:rsidR="00532B4E" w:rsidRDefault="00532B4E" w:rsidP="00542A11">
      <w:pPr>
        <w:pStyle w:val="FootnoteText"/>
        <w:tabs>
          <w:tab w:val="clear" w:pos="340"/>
          <w:tab w:val="left" w:pos="284"/>
        </w:tabs>
        <w:ind w:left="142" w:firstLine="0"/>
      </w:pPr>
      <w:r>
        <w:rPr>
          <w:rStyle w:val="FootnoteReference"/>
        </w:rPr>
        <w:footnoteRef/>
      </w:r>
      <w:r>
        <w:t xml:space="preserve"> Clause 4.5.1 prescribes specific requirements for squeeze toys, rattles and certain other toys including </w:t>
      </w:r>
      <w:proofErr w:type="spellStart"/>
      <w:r>
        <w:t>teethers</w:t>
      </w:r>
      <w:proofErr w:type="spellEnd"/>
      <w:r>
        <w:t xml:space="preserve"> and teething toys. The design of these toys shall be such that no portion is capable of entering or penetrating past the full depth of the cavity test template </w:t>
      </w:r>
      <w:proofErr w:type="gramStart"/>
      <w:r>
        <w:t>A</w:t>
      </w:r>
      <w:proofErr w:type="gramEnd"/>
      <w:r>
        <w:t xml:space="preserve"> when tested in accordance with 5.3. Such toys with nearly spherical, hemispherical, or circular flared ends shall be designed so that such ends are not capable of entering or penetrating past the full depth of the cavity of the supplemental test template B when tested in accordance with 5.3.</w:t>
      </w:r>
    </w:p>
  </w:footnote>
  <w:footnote w:id="25">
    <w:p w:rsidR="00532B4E" w:rsidRDefault="00532B4E" w:rsidP="00E85937">
      <w:pPr>
        <w:pStyle w:val="FootnoteText"/>
      </w:pPr>
      <w:r>
        <w:rPr>
          <w:rStyle w:val="FootnoteReference"/>
        </w:rPr>
        <w:footnoteRef/>
      </w:r>
      <w:r>
        <w:t xml:space="preserve"> Customs data</w:t>
      </w:r>
    </w:p>
  </w:footnote>
  <w:footnote w:id="26">
    <w:p w:rsidR="00532B4E" w:rsidRDefault="00532B4E" w:rsidP="00E85937">
      <w:pPr>
        <w:pStyle w:val="FootnoteText"/>
      </w:pPr>
      <w:r>
        <w:rPr>
          <w:rStyle w:val="FootnoteReference"/>
        </w:rPr>
        <w:footnoteRef/>
      </w:r>
      <w:r>
        <w:t xml:space="preserve"> ibid</w:t>
      </w:r>
    </w:p>
  </w:footnote>
  <w:footnote w:id="27">
    <w:p w:rsidR="00532B4E" w:rsidRDefault="00532B4E" w:rsidP="00E85937">
      <w:pPr>
        <w:pStyle w:val="FootnoteText"/>
      </w:pPr>
      <w:r>
        <w:rPr>
          <w:rStyle w:val="FootnoteReference"/>
        </w:rPr>
        <w:footnoteRef/>
      </w:r>
      <w:r>
        <w:t xml:space="preserve"> Test costs based on quotes provided by a multinational testing laboratory</w:t>
      </w:r>
    </w:p>
  </w:footnote>
  <w:footnote w:id="28">
    <w:p w:rsidR="00532B4E" w:rsidRDefault="00532B4E" w:rsidP="00E85937">
      <w:pPr>
        <w:pStyle w:val="FootnoteText"/>
      </w:pPr>
      <w:r>
        <w:rPr>
          <w:rStyle w:val="FootnoteReference"/>
        </w:rPr>
        <w:footnoteRef/>
      </w:r>
      <w:r>
        <w:t xml:space="preserve"> Proportions based on data provided by a major Australian supplier</w:t>
      </w:r>
    </w:p>
  </w:footnote>
  <w:footnote w:id="29">
    <w:p w:rsidR="00532B4E" w:rsidRDefault="00532B4E" w:rsidP="00E85937">
      <w:pPr>
        <w:pStyle w:val="FootnoteText"/>
      </w:pPr>
      <w:r>
        <w:rPr>
          <w:rStyle w:val="FootnoteReference"/>
        </w:rPr>
        <w:footnoteRef/>
      </w:r>
      <w:r>
        <w:t xml:space="preserve"> Hours of administrative labour based on data provided by a major Australian supplier</w:t>
      </w:r>
    </w:p>
  </w:footnote>
  <w:footnote w:id="30">
    <w:p w:rsidR="00532B4E" w:rsidRPr="00402316" w:rsidRDefault="00532B4E" w:rsidP="00E85937">
      <w:pPr>
        <w:pStyle w:val="FootnoteText"/>
        <w:rPr>
          <w:szCs w:val="16"/>
        </w:rPr>
      </w:pPr>
      <w:r w:rsidRPr="00402316">
        <w:rPr>
          <w:rStyle w:val="FootnoteReference"/>
          <w:szCs w:val="16"/>
        </w:rPr>
        <w:footnoteRef/>
      </w:r>
      <w:r>
        <w:rPr>
          <w:szCs w:val="16"/>
        </w:rPr>
        <w:t xml:space="preserve"> Office of Best Practice Regulation, Regulatory burden measurement framework guidance note, July 2014</w:t>
      </w:r>
    </w:p>
  </w:footnote>
  <w:footnote w:id="31">
    <w:p w:rsidR="00532B4E" w:rsidRDefault="00532B4E">
      <w:pPr>
        <w:pStyle w:val="FootnoteText"/>
      </w:pPr>
      <w:r>
        <w:rPr>
          <w:rStyle w:val="FootnoteReference"/>
        </w:rPr>
        <w:footnoteRef/>
      </w:r>
      <w:r>
        <w:t xml:space="preserve"> </w:t>
      </w:r>
      <w:proofErr w:type="gramStart"/>
      <w:r>
        <w:t>Based on quotes for flyer printing from online Australian suppliers.</w:t>
      </w:r>
      <w:proofErr w:type="gramEnd"/>
    </w:p>
  </w:footnote>
  <w:footnote w:id="32">
    <w:p w:rsidR="00532B4E" w:rsidRPr="00D7528C" w:rsidRDefault="00532B4E" w:rsidP="00E85937">
      <w:pPr>
        <w:pStyle w:val="FootnoteText"/>
        <w:rPr>
          <w:szCs w:val="16"/>
        </w:rPr>
      </w:pPr>
      <w:r>
        <w:rPr>
          <w:rStyle w:val="FootnoteReference"/>
        </w:rPr>
        <w:footnoteRef/>
      </w:r>
      <w:r>
        <w:t xml:space="preserve"> </w:t>
      </w:r>
      <w:r w:rsidRPr="00D7528C">
        <w:rPr>
          <w:szCs w:val="16"/>
        </w:rPr>
        <w:t xml:space="preserve">Office of Best Practice Regulation, Best practice regulation guidance note value of statistical life, December 2014, </w:t>
      </w:r>
      <w:hyperlink r:id="rId16" w:history="1">
        <w:r w:rsidRPr="00D7528C">
          <w:rPr>
            <w:rStyle w:val="Hyperlink"/>
            <w:sz w:val="16"/>
            <w:szCs w:val="16"/>
          </w:rPr>
          <w:t>https://www.dpmc.gov.au/sites/default/files/publications/Value_of_Statistical_Life_guidance_note.pdf</w:t>
        </w:r>
      </w:hyperlink>
      <w:r w:rsidRPr="00D7528C">
        <w:rPr>
          <w:szCs w:val="16"/>
        </w:rPr>
        <w:t xml:space="preserve"> </w:t>
      </w:r>
    </w:p>
    <w:p w:rsidR="00532B4E" w:rsidRPr="00D7528C" w:rsidRDefault="00532B4E" w:rsidP="00E85937">
      <w:pPr>
        <w:pStyle w:val="FootnoteText"/>
        <w:rPr>
          <w:szCs w:val="16"/>
        </w:rPr>
      </w:pPr>
      <w:r w:rsidRPr="00D7528C">
        <w:rPr>
          <w:szCs w:val="16"/>
        </w:rPr>
        <w:tab/>
        <w:t>Arguably this is an underestimate for this analysis, because this estimate is based on an adult and injuries/deaths due to children’s toys harm much younger consumers</w:t>
      </w:r>
    </w:p>
  </w:footnote>
  <w:footnote w:id="33">
    <w:p w:rsidR="00532B4E" w:rsidRDefault="00532B4E" w:rsidP="00E85937">
      <w:pPr>
        <w:pStyle w:val="FootnoteText"/>
      </w:pPr>
      <w:r w:rsidRPr="00D7528C">
        <w:rPr>
          <w:rStyle w:val="FootnoteReference"/>
          <w:szCs w:val="16"/>
        </w:rPr>
        <w:footnoteRef/>
      </w:r>
      <w:r w:rsidRPr="00D7528C">
        <w:rPr>
          <w:szCs w:val="16"/>
        </w:rPr>
        <w:t xml:space="preserve"> Based on feedback from a major Australian supplier</w:t>
      </w:r>
    </w:p>
  </w:footnote>
  <w:footnote w:id="34">
    <w:p w:rsidR="00532B4E" w:rsidRDefault="00532B4E">
      <w:pPr>
        <w:pStyle w:val="FootnoteText"/>
      </w:pPr>
      <w:r>
        <w:rPr>
          <w:rStyle w:val="FootnoteReference"/>
        </w:rPr>
        <w:footnoteRef/>
      </w:r>
      <w:r>
        <w:t xml:space="preserve"> European Union, 2016, EU Law and Publications, Brussels, Belgium, viewed 5 August 2016, </w:t>
      </w:r>
      <w:hyperlink r:id="rId17" w:history="1">
        <w:r w:rsidRPr="001472DF">
          <w:rPr>
            <w:rStyle w:val="Hyperlink"/>
            <w:sz w:val="16"/>
          </w:rPr>
          <w:t>http://eur-lex.europa.eu/LexUriServ/LexUriServ.do?uri=OJ:L:2009:170:0001:0037:en:PDF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216594"/>
    <w:multiLevelType w:val="hybridMultilevel"/>
    <w:tmpl w:val="B890E9D8"/>
    <w:lvl w:ilvl="0" w:tplc="0C09000F">
      <w:start w:val="1"/>
      <w:numFmt w:val="decimal"/>
      <w:lvlText w:val="%1."/>
      <w:lvlJc w:val="left"/>
      <w:pPr>
        <w:ind w:left="720" w:hanging="360"/>
      </w:pPr>
    </w:lvl>
    <w:lvl w:ilvl="1" w:tplc="7722CBD6">
      <w:start w:val="5"/>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8FF35B2"/>
    <w:multiLevelType w:val="hybridMultilevel"/>
    <w:tmpl w:val="55DA0FD0"/>
    <w:lvl w:ilvl="0" w:tplc="0C090001">
      <w:start w:val="1"/>
      <w:numFmt w:val="bullet"/>
      <w:lvlText w:val=""/>
      <w:lvlJc w:val="left"/>
      <w:pPr>
        <w:ind w:left="720" w:hanging="360"/>
      </w:pPr>
      <w:rPr>
        <w:rFonts w:ascii="Symbol" w:hAnsi="Symbol" w:hint="default"/>
      </w:rPr>
    </w:lvl>
    <w:lvl w:ilvl="1" w:tplc="7722CBD6">
      <w:start w:val="5"/>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56C6764"/>
    <w:multiLevelType w:val="hybridMultilevel"/>
    <w:tmpl w:val="61CC2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9C103DD"/>
    <w:multiLevelType w:val="hybridMultilevel"/>
    <w:tmpl w:val="C55E2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AEB35BD"/>
    <w:multiLevelType w:val="hybridMultilevel"/>
    <w:tmpl w:val="9CCE1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E745BA4"/>
    <w:multiLevelType w:val="multilevel"/>
    <w:tmpl w:val="EB32894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heme="minorHAns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nsid w:val="37A02403"/>
    <w:multiLevelType w:val="hybridMultilevel"/>
    <w:tmpl w:val="83C005F2"/>
    <w:lvl w:ilvl="0" w:tplc="7722CBD6">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3B1E6B"/>
    <w:multiLevelType w:val="hybridMultilevel"/>
    <w:tmpl w:val="9CCE1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3233AB"/>
    <w:multiLevelType w:val="hybridMultilevel"/>
    <w:tmpl w:val="D8E2D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CA91540"/>
    <w:multiLevelType w:val="hybridMultilevel"/>
    <w:tmpl w:val="2474C0C0"/>
    <w:lvl w:ilvl="0" w:tplc="197AC2B2">
      <w:start w:val="1"/>
      <w:numFmt w:val="decimal"/>
      <w:pStyle w:val="Normalnumbered"/>
      <w:lvlText w:val="%1"/>
      <w:lvlJc w:val="left"/>
      <w:pPr>
        <w:tabs>
          <w:tab w:val="num" w:pos="568"/>
        </w:tabs>
        <w:ind w:left="568" w:hanging="284"/>
      </w:pPr>
      <w:rPr>
        <w:rFonts w:ascii="Calibri" w:hAnsi="Calibri"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b w:val="0"/>
        <w:i w:val="0"/>
        <w:caps w:val="0"/>
        <w:strike w:val="0"/>
        <w:dstrike w:val="0"/>
        <w:outline w:val="0"/>
        <w:shadow w:val="0"/>
        <w:emboss w:val="0"/>
        <w:imprint w:val="0"/>
        <w:vanish w:val="0"/>
        <w:webHidden w:val="0"/>
        <w:sz w:val="22"/>
        <w:u w:val="none"/>
        <w:effect w:val="none"/>
        <w:vertAlign w:val="baseline"/>
        <w:specVanish w:val="0"/>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9">
    <w:nsid w:val="609D2CCD"/>
    <w:multiLevelType w:val="hybridMultilevel"/>
    <w:tmpl w:val="241217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5">
    <w:nsid w:val="74F22C12"/>
    <w:multiLevelType w:val="multilevel"/>
    <w:tmpl w:val="E4841F7E"/>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heme="minorHAns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1"/>
  </w:num>
  <w:num w:numId="8">
    <w:abstractNumId w:val="0"/>
  </w:num>
  <w:num w:numId="9">
    <w:abstractNumId w:val="32"/>
  </w:num>
  <w:num w:numId="10">
    <w:abstractNumId w:val="22"/>
  </w:num>
  <w:num w:numId="11">
    <w:abstractNumId w:val="10"/>
  </w:num>
  <w:num w:numId="12">
    <w:abstractNumId w:val="14"/>
  </w:num>
  <w:num w:numId="13">
    <w:abstractNumId w:val="20"/>
  </w:num>
  <w:num w:numId="14">
    <w:abstractNumId w:val="2"/>
  </w:num>
  <w:num w:numId="15">
    <w:abstractNumId w:val="33"/>
  </w:num>
  <w:num w:numId="16">
    <w:abstractNumId w:val="37"/>
  </w:num>
  <w:num w:numId="17">
    <w:abstractNumId w:val="36"/>
  </w:num>
  <w:num w:numId="18">
    <w:abstractNumId w:val="27"/>
  </w:num>
  <w:num w:numId="19">
    <w:abstractNumId w:val="19"/>
  </w:num>
  <w:num w:numId="20">
    <w:abstractNumId w:val="23"/>
  </w:num>
  <w:num w:numId="21">
    <w:abstractNumId w:val="34"/>
  </w:num>
  <w:num w:numId="22">
    <w:abstractNumId w:val="30"/>
  </w:num>
  <w:num w:numId="23">
    <w:abstractNumId w:val="8"/>
  </w:num>
  <w:num w:numId="24">
    <w:abstractNumId w:val="3"/>
  </w:num>
  <w:num w:numId="25">
    <w:abstractNumId w:val="24"/>
  </w:num>
  <w:num w:numId="26">
    <w:abstractNumId w:val="12"/>
  </w:num>
  <w:num w:numId="27">
    <w:abstractNumId w:val="31"/>
  </w:num>
  <w:num w:numId="28">
    <w:abstractNumId w:val="29"/>
  </w:num>
  <w:num w:numId="29">
    <w:abstractNumId w:val="15"/>
  </w:num>
  <w:num w:numId="30">
    <w:abstractNumId w:val="35"/>
  </w:num>
  <w:num w:numId="31">
    <w:abstractNumId w:val="1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6"/>
  </w:num>
  <w:num w:numId="35">
    <w:abstractNumId w:val="16"/>
  </w:num>
  <w:num w:numId="36">
    <w:abstractNumId w:val="17"/>
  </w:num>
  <w:num w:numId="37">
    <w:abstractNumId w:val="21"/>
  </w:num>
  <w:num w:numId="38">
    <w:abstractNumId w:val="9"/>
  </w:num>
  <w:num w:numId="39">
    <w:abstractNumId w:val="13"/>
  </w:num>
  <w:num w:numId="40">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Completed\ACCC\Normal_04.dotm"/>
  </w:docVars>
  <w:rsids>
    <w:rsidRoot w:val="00D1446E"/>
    <w:rsid w:val="00006EF8"/>
    <w:rsid w:val="000209F9"/>
    <w:rsid w:val="0002115F"/>
    <w:rsid w:val="00021202"/>
    <w:rsid w:val="000225C4"/>
    <w:rsid w:val="00024221"/>
    <w:rsid w:val="00024742"/>
    <w:rsid w:val="000257C9"/>
    <w:rsid w:val="00032D61"/>
    <w:rsid w:val="00035731"/>
    <w:rsid w:val="0003578C"/>
    <w:rsid w:val="000404A4"/>
    <w:rsid w:val="000409EB"/>
    <w:rsid w:val="00041996"/>
    <w:rsid w:val="0004270F"/>
    <w:rsid w:val="00054548"/>
    <w:rsid w:val="00055A89"/>
    <w:rsid w:val="00063247"/>
    <w:rsid w:val="00070F9F"/>
    <w:rsid w:val="0007137B"/>
    <w:rsid w:val="0008511B"/>
    <w:rsid w:val="00085663"/>
    <w:rsid w:val="00085BC9"/>
    <w:rsid w:val="00085EBF"/>
    <w:rsid w:val="00086832"/>
    <w:rsid w:val="000922B7"/>
    <w:rsid w:val="000927BA"/>
    <w:rsid w:val="000937CF"/>
    <w:rsid w:val="000938AF"/>
    <w:rsid w:val="000973C8"/>
    <w:rsid w:val="000A5693"/>
    <w:rsid w:val="000B6EA7"/>
    <w:rsid w:val="000C5FEB"/>
    <w:rsid w:val="000C7058"/>
    <w:rsid w:val="000D122C"/>
    <w:rsid w:val="000D2E5D"/>
    <w:rsid w:val="000D3776"/>
    <w:rsid w:val="000D7F28"/>
    <w:rsid w:val="000E0053"/>
    <w:rsid w:val="000E1819"/>
    <w:rsid w:val="000E32AA"/>
    <w:rsid w:val="000E6C72"/>
    <w:rsid w:val="000F07BA"/>
    <w:rsid w:val="000F1A92"/>
    <w:rsid w:val="000F2368"/>
    <w:rsid w:val="000F4608"/>
    <w:rsid w:val="00113E02"/>
    <w:rsid w:val="00116579"/>
    <w:rsid w:val="001165E9"/>
    <w:rsid w:val="00116EB2"/>
    <w:rsid w:val="0011763D"/>
    <w:rsid w:val="00121D64"/>
    <w:rsid w:val="00124609"/>
    <w:rsid w:val="00126A4D"/>
    <w:rsid w:val="001275F0"/>
    <w:rsid w:val="00134329"/>
    <w:rsid w:val="00135DA7"/>
    <w:rsid w:val="001361F1"/>
    <w:rsid w:val="001433CB"/>
    <w:rsid w:val="00154609"/>
    <w:rsid w:val="001573E4"/>
    <w:rsid w:val="00160756"/>
    <w:rsid w:val="00163329"/>
    <w:rsid w:val="0017232E"/>
    <w:rsid w:val="00174102"/>
    <w:rsid w:val="00180157"/>
    <w:rsid w:val="001810B6"/>
    <w:rsid w:val="00181205"/>
    <w:rsid w:val="00181223"/>
    <w:rsid w:val="00186F77"/>
    <w:rsid w:val="001926A4"/>
    <w:rsid w:val="00195C52"/>
    <w:rsid w:val="00196225"/>
    <w:rsid w:val="001A306F"/>
    <w:rsid w:val="001A3A19"/>
    <w:rsid w:val="001B246B"/>
    <w:rsid w:val="001B45A0"/>
    <w:rsid w:val="001B470F"/>
    <w:rsid w:val="001C18EE"/>
    <w:rsid w:val="001C68D5"/>
    <w:rsid w:val="001D055E"/>
    <w:rsid w:val="001D48E7"/>
    <w:rsid w:val="001D640B"/>
    <w:rsid w:val="001D7D9B"/>
    <w:rsid w:val="001E70FC"/>
    <w:rsid w:val="001E77C4"/>
    <w:rsid w:val="001F06C6"/>
    <w:rsid w:val="001F06FD"/>
    <w:rsid w:val="001F27D5"/>
    <w:rsid w:val="001F492E"/>
    <w:rsid w:val="001F6DA3"/>
    <w:rsid w:val="00212737"/>
    <w:rsid w:val="00212D12"/>
    <w:rsid w:val="00214232"/>
    <w:rsid w:val="00214DCF"/>
    <w:rsid w:val="00224DB9"/>
    <w:rsid w:val="0022519C"/>
    <w:rsid w:val="002379A1"/>
    <w:rsid w:val="00244A26"/>
    <w:rsid w:val="00244AD3"/>
    <w:rsid w:val="00251745"/>
    <w:rsid w:val="00254A83"/>
    <w:rsid w:val="00255C70"/>
    <w:rsid w:val="00255FB6"/>
    <w:rsid w:val="00263AC0"/>
    <w:rsid w:val="0026772D"/>
    <w:rsid w:val="002719B7"/>
    <w:rsid w:val="00276CDA"/>
    <w:rsid w:val="002816EE"/>
    <w:rsid w:val="00283A43"/>
    <w:rsid w:val="00283AE3"/>
    <w:rsid w:val="0028670D"/>
    <w:rsid w:val="00286874"/>
    <w:rsid w:val="00296B65"/>
    <w:rsid w:val="002A5988"/>
    <w:rsid w:val="002A7DEF"/>
    <w:rsid w:val="002C317B"/>
    <w:rsid w:val="002C772D"/>
    <w:rsid w:val="002D0AB2"/>
    <w:rsid w:val="002D6EF4"/>
    <w:rsid w:val="002E3F0E"/>
    <w:rsid w:val="002E7D02"/>
    <w:rsid w:val="002F1E61"/>
    <w:rsid w:val="002F569C"/>
    <w:rsid w:val="002F7986"/>
    <w:rsid w:val="00303C4A"/>
    <w:rsid w:val="00307F6D"/>
    <w:rsid w:val="00312D99"/>
    <w:rsid w:val="003177A2"/>
    <w:rsid w:val="00320405"/>
    <w:rsid w:val="00320AB5"/>
    <w:rsid w:val="003271B5"/>
    <w:rsid w:val="003301BA"/>
    <w:rsid w:val="00330CA0"/>
    <w:rsid w:val="00331264"/>
    <w:rsid w:val="00334C8D"/>
    <w:rsid w:val="00340655"/>
    <w:rsid w:val="003459E6"/>
    <w:rsid w:val="003518B3"/>
    <w:rsid w:val="00362BCB"/>
    <w:rsid w:val="00363A89"/>
    <w:rsid w:val="00371641"/>
    <w:rsid w:val="00371761"/>
    <w:rsid w:val="0037204B"/>
    <w:rsid w:val="00376EF3"/>
    <w:rsid w:val="00381342"/>
    <w:rsid w:val="00382719"/>
    <w:rsid w:val="003846F1"/>
    <w:rsid w:val="00394250"/>
    <w:rsid w:val="003A03D1"/>
    <w:rsid w:val="003A1997"/>
    <w:rsid w:val="003A3464"/>
    <w:rsid w:val="003A673F"/>
    <w:rsid w:val="003B3AF8"/>
    <w:rsid w:val="003B4CA5"/>
    <w:rsid w:val="003B5A70"/>
    <w:rsid w:val="003B756F"/>
    <w:rsid w:val="003C2741"/>
    <w:rsid w:val="003D0AA3"/>
    <w:rsid w:val="003D12C4"/>
    <w:rsid w:val="003E0819"/>
    <w:rsid w:val="003E4A27"/>
    <w:rsid w:val="003F1246"/>
    <w:rsid w:val="0040044D"/>
    <w:rsid w:val="0040050C"/>
    <w:rsid w:val="0041442D"/>
    <w:rsid w:val="0041448E"/>
    <w:rsid w:val="004215DD"/>
    <w:rsid w:val="0042290C"/>
    <w:rsid w:val="0043785A"/>
    <w:rsid w:val="0046698E"/>
    <w:rsid w:val="0047559B"/>
    <w:rsid w:val="00475DDE"/>
    <w:rsid w:val="00480A58"/>
    <w:rsid w:val="00480B4B"/>
    <w:rsid w:val="00485DC4"/>
    <w:rsid w:val="00494105"/>
    <w:rsid w:val="004941CB"/>
    <w:rsid w:val="004A4BD7"/>
    <w:rsid w:val="004A4F63"/>
    <w:rsid w:val="004B4412"/>
    <w:rsid w:val="004C1057"/>
    <w:rsid w:val="004C348C"/>
    <w:rsid w:val="004D23BB"/>
    <w:rsid w:val="004D2F80"/>
    <w:rsid w:val="004D55BA"/>
    <w:rsid w:val="004D72FD"/>
    <w:rsid w:val="004D7D5B"/>
    <w:rsid w:val="004F64B7"/>
    <w:rsid w:val="004F74AF"/>
    <w:rsid w:val="005038DB"/>
    <w:rsid w:val="005051B7"/>
    <w:rsid w:val="005115BC"/>
    <w:rsid w:val="0052379B"/>
    <w:rsid w:val="005243E1"/>
    <w:rsid w:val="00530128"/>
    <w:rsid w:val="00532467"/>
    <w:rsid w:val="00532B4E"/>
    <w:rsid w:val="00540A86"/>
    <w:rsid w:val="00540B11"/>
    <w:rsid w:val="00542A11"/>
    <w:rsid w:val="005446B3"/>
    <w:rsid w:val="005461FE"/>
    <w:rsid w:val="00547A15"/>
    <w:rsid w:val="00547BA2"/>
    <w:rsid w:val="00547CCF"/>
    <w:rsid w:val="00550494"/>
    <w:rsid w:val="00555647"/>
    <w:rsid w:val="00564A4D"/>
    <w:rsid w:val="00571B35"/>
    <w:rsid w:val="00571C9F"/>
    <w:rsid w:val="00577A09"/>
    <w:rsid w:val="00580B78"/>
    <w:rsid w:val="00582E6E"/>
    <w:rsid w:val="00584D8F"/>
    <w:rsid w:val="00584E5B"/>
    <w:rsid w:val="00586CEF"/>
    <w:rsid w:val="0059065E"/>
    <w:rsid w:val="00591C06"/>
    <w:rsid w:val="00596D42"/>
    <w:rsid w:val="005A404D"/>
    <w:rsid w:val="005A4E87"/>
    <w:rsid w:val="005A752F"/>
    <w:rsid w:val="005A7811"/>
    <w:rsid w:val="005B1E3C"/>
    <w:rsid w:val="005B25D0"/>
    <w:rsid w:val="005C24AC"/>
    <w:rsid w:val="005C26CC"/>
    <w:rsid w:val="005C38EE"/>
    <w:rsid w:val="005D4A22"/>
    <w:rsid w:val="005D59D0"/>
    <w:rsid w:val="005D6C9E"/>
    <w:rsid w:val="005E314B"/>
    <w:rsid w:val="005E418C"/>
    <w:rsid w:val="005E6C0E"/>
    <w:rsid w:val="005F16D0"/>
    <w:rsid w:val="005F173B"/>
    <w:rsid w:val="005F34E3"/>
    <w:rsid w:val="005F690D"/>
    <w:rsid w:val="005F6BA1"/>
    <w:rsid w:val="00610EA0"/>
    <w:rsid w:val="00615C6B"/>
    <w:rsid w:val="00615E94"/>
    <w:rsid w:val="00620D01"/>
    <w:rsid w:val="00622E8A"/>
    <w:rsid w:val="00623263"/>
    <w:rsid w:val="006302FC"/>
    <w:rsid w:val="00632066"/>
    <w:rsid w:val="00632D6D"/>
    <w:rsid w:val="0063573B"/>
    <w:rsid w:val="00642501"/>
    <w:rsid w:val="00642C3E"/>
    <w:rsid w:val="00646025"/>
    <w:rsid w:val="00663DAD"/>
    <w:rsid w:val="00672CCE"/>
    <w:rsid w:val="006740D2"/>
    <w:rsid w:val="00676679"/>
    <w:rsid w:val="00680BE8"/>
    <w:rsid w:val="006819CD"/>
    <w:rsid w:val="00691616"/>
    <w:rsid w:val="00692559"/>
    <w:rsid w:val="006B270A"/>
    <w:rsid w:val="006B4CF9"/>
    <w:rsid w:val="006B6424"/>
    <w:rsid w:val="006B7AC8"/>
    <w:rsid w:val="006C0993"/>
    <w:rsid w:val="006C4BDE"/>
    <w:rsid w:val="006D550F"/>
    <w:rsid w:val="006D77F3"/>
    <w:rsid w:val="006E12DA"/>
    <w:rsid w:val="006E3245"/>
    <w:rsid w:val="006F0FA6"/>
    <w:rsid w:val="006F5398"/>
    <w:rsid w:val="006F5642"/>
    <w:rsid w:val="007015C9"/>
    <w:rsid w:val="00701CAB"/>
    <w:rsid w:val="0070516D"/>
    <w:rsid w:val="00705B30"/>
    <w:rsid w:val="00706CBA"/>
    <w:rsid w:val="00707563"/>
    <w:rsid w:val="00716857"/>
    <w:rsid w:val="0072348C"/>
    <w:rsid w:val="00724A37"/>
    <w:rsid w:val="007303C3"/>
    <w:rsid w:val="007321B6"/>
    <w:rsid w:val="007322B6"/>
    <w:rsid w:val="0074235C"/>
    <w:rsid w:val="00743223"/>
    <w:rsid w:val="0074397F"/>
    <w:rsid w:val="00746E01"/>
    <w:rsid w:val="0074771D"/>
    <w:rsid w:val="00754C5B"/>
    <w:rsid w:val="00763E5D"/>
    <w:rsid w:val="00767740"/>
    <w:rsid w:val="007709A6"/>
    <w:rsid w:val="00771CD0"/>
    <w:rsid w:val="0077549D"/>
    <w:rsid w:val="007764F6"/>
    <w:rsid w:val="00777EE6"/>
    <w:rsid w:val="00782D3B"/>
    <w:rsid w:val="00782EEA"/>
    <w:rsid w:val="0078515A"/>
    <w:rsid w:val="0079149F"/>
    <w:rsid w:val="007952DD"/>
    <w:rsid w:val="007A2A29"/>
    <w:rsid w:val="007A4656"/>
    <w:rsid w:val="007B2C72"/>
    <w:rsid w:val="007B372F"/>
    <w:rsid w:val="007B541C"/>
    <w:rsid w:val="007C1086"/>
    <w:rsid w:val="007C1C46"/>
    <w:rsid w:val="007C1C53"/>
    <w:rsid w:val="007C62DB"/>
    <w:rsid w:val="007C6A26"/>
    <w:rsid w:val="007C6B4F"/>
    <w:rsid w:val="007D7F67"/>
    <w:rsid w:val="007E26A9"/>
    <w:rsid w:val="007E4904"/>
    <w:rsid w:val="007E4CB5"/>
    <w:rsid w:val="007E5790"/>
    <w:rsid w:val="007F066B"/>
    <w:rsid w:val="007F2198"/>
    <w:rsid w:val="007F2D52"/>
    <w:rsid w:val="007F33D4"/>
    <w:rsid w:val="007F457E"/>
    <w:rsid w:val="007F7879"/>
    <w:rsid w:val="008033C4"/>
    <w:rsid w:val="00806C88"/>
    <w:rsid w:val="0081034E"/>
    <w:rsid w:val="00815717"/>
    <w:rsid w:val="0081641A"/>
    <w:rsid w:val="00816C50"/>
    <w:rsid w:val="00824BD8"/>
    <w:rsid w:val="008257AC"/>
    <w:rsid w:val="008344F6"/>
    <w:rsid w:val="0083510F"/>
    <w:rsid w:val="00835432"/>
    <w:rsid w:val="008364B4"/>
    <w:rsid w:val="008408A9"/>
    <w:rsid w:val="00843C68"/>
    <w:rsid w:val="00844D93"/>
    <w:rsid w:val="00851209"/>
    <w:rsid w:val="00853D2B"/>
    <w:rsid w:val="00860EA3"/>
    <w:rsid w:val="00867552"/>
    <w:rsid w:val="00870D0A"/>
    <w:rsid w:val="00873AE5"/>
    <w:rsid w:val="00876D23"/>
    <w:rsid w:val="0088007E"/>
    <w:rsid w:val="00881861"/>
    <w:rsid w:val="008837AC"/>
    <w:rsid w:val="00885118"/>
    <w:rsid w:val="008945B4"/>
    <w:rsid w:val="008A1CA2"/>
    <w:rsid w:val="008A587D"/>
    <w:rsid w:val="008B1493"/>
    <w:rsid w:val="008C5486"/>
    <w:rsid w:val="008D49AC"/>
    <w:rsid w:val="008E7031"/>
    <w:rsid w:val="008E75AA"/>
    <w:rsid w:val="008F7F3A"/>
    <w:rsid w:val="00900F80"/>
    <w:rsid w:val="009043D3"/>
    <w:rsid w:val="009064E0"/>
    <w:rsid w:val="009214F5"/>
    <w:rsid w:val="00922C95"/>
    <w:rsid w:val="009233EE"/>
    <w:rsid w:val="00932E15"/>
    <w:rsid w:val="00952070"/>
    <w:rsid w:val="009661DE"/>
    <w:rsid w:val="00966E58"/>
    <w:rsid w:val="00975AED"/>
    <w:rsid w:val="00977F64"/>
    <w:rsid w:val="009856B7"/>
    <w:rsid w:val="0098602B"/>
    <w:rsid w:val="00991B3B"/>
    <w:rsid w:val="00994DC2"/>
    <w:rsid w:val="009954A5"/>
    <w:rsid w:val="009962BA"/>
    <w:rsid w:val="009A467D"/>
    <w:rsid w:val="009A4872"/>
    <w:rsid w:val="009A4C67"/>
    <w:rsid w:val="009A6BCF"/>
    <w:rsid w:val="009B0F89"/>
    <w:rsid w:val="009B11C7"/>
    <w:rsid w:val="009B1B70"/>
    <w:rsid w:val="009B6B00"/>
    <w:rsid w:val="009B74B0"/>
    <w:rsid w:val="009D4414"/>
    <w:rsid w:val="009D6B46"/>
    <w:rsid w:val="009F2991"/>
    <w:rsid w:val="009F480F"/>
    <w:rsid w:val="009F4940"/>
    <w:rsid w:val="00A03D4E"/>
    <w:rsid w:val="00A04AC6"/>
    <w:rsid w:val="00A10F66"/>
    <w:rsid w:val="00A16356"/>
    <w:rsid w:val="00A1665B"/>
    <w:rsid w:val="00A24EF4"/>
    <w:rsid w:val="00A253B3"/>
    <w:rsid w:val="00A31BC4"/>
    <w:rsid w:val="00A36266"/>
    <w:rsid w:val="00A41941"/>
    <w:rsid w:val="00A43DED"/>
    <w:rsid w:val="00A4478A"/>
    <w:rsid w:val="00A44852"/>
    <w:rsid w:val="00A465F3"/>
    <w:rsid w:val="00A46BD9"/>
    <w:rsid w:val="00A501B9"/>
    <w:rsid w:val="00A51586"/>
    <w:rsid w:val="00A51E6D"/>
    <w:rsid w:val="00A576E4"/>
    <w:rsid w:val="00A57D04"/>
    <w:rsid w:val="00A60A26"/>
    <w:rsid w:val="00A61598"/>
    <w:rsid w:val="00A70E89"/>
    <w:rsid w:val="00A76F90"/>
    <w:rsid w:val="00A77E3E"/>
    <w:rsid w:val="00A84C5B"/>
    <w:rsid w:val="00A84F46"/>
    <w:rsid w:val="00A871F4"/>
    <w:rsid w:val="00A8720A"/>
    <w:rsid w:val="00A90F1B"/>
    <w:rsid w:val="00A9152B"/>
    <w:rsid w:val="00A97E76"/>
    <w:rsid w:val="00AB0CC8"/>
    <w:rsid w:val="00AB3199"/>
    <w:rsid w:val="00AB3C15"/>
    <w:rsid w:val="00AC1031"/>
    <w:rsid w:val="00AC1B2C"/>
    <w:rsid w:val="00AC3264"/>
    <w:rsid w:val="00AC6F01"/>
    <w:rsid w:val="00AD6C0C"/>
    <w:rsid w:val="00AE0FE2"/>
    <w:rsid w:val="00AE1BF1"/>
    <w:rsid w:val="00AE40DE"/>
    <w:rsid w:val="00AE591F"/>
    <w:rsid w:val="00AE6F96"/>
    <w:rsid w:val="00AF0DD2"/>
    <w:rsid w:val="00B01094"/>
    <w:rsid w:val="00B06271"/>
    <w:rsid w:val="00B10314"/>
    <w:rsid w:val="00B13048"/>
    <w:rsid w:val="00B15716"/>
    <w:rsid w:val="00B15998"/>
    <w:rsid w:val="00B1716D"/>
    <w:rsid w:val="00B177FC"/>
    <w:rsid w:val="00B17A1D"/>
    <w:rsid w:val="00B207A0"/>
    <w:rsid w:val="00B225DD"/>
    <w:rsid w:val="00B25F13"/>
    <w:rsid w:val="00B30894"/>
    <w:rsid w:val="00B30B7F"/>
    <w:rsid w:val="00B30BB6"/>
    <w:rsid w:val="00B357AC"/>
    <w:rsid w:val="00B4023D"/>
    <w:rsid w:val="00B42466"/>
    <w:rsid w:val="00B429C7"/>
    <w:rsid w:val="00B44103"/>
    <w:rsid w:val="00B4529B"/>
    <w:rsid w:val="00B53BF1"/>
    <w:rsid w:val="00B559BB"/>
    <w:rsid w:val="00B56094"/>
    <w:rsid w:val="00B56E03"/>
    <w:rsid w:val="00B57CAE"/>
    <w:rsid w:val="00B60F5D"/>
    <w:rsid w:val="00B6687C"/>
    <w:rsid w:val="00B67E91"/>
    <w:rsid w:val="00B76792"/>
    <w:rsid w:val="00B76BA0"/>
    <w:rsid w:val="00B8080B"/>
    <w:rsid w:val="00B85D7B"/>
    <w:rsid w:val="00B87C39"/>
    <w:rsid w:val="00B975F0"/>
    <w:rsid w:val="00BA172A"/>
    <w:rsid w:val="00BA2232"/>
    <w:rsid w:val="00BA343B"/>
    <w:rsid w:val="00BA4665"/>
    <w:rsid w:val="00BA5B98"/>
    <w:rsid w:val="00BB2FB2"/>
    <w:rsid w:val="00BB3304"/>
    <w:rsid w:val="00BB6B30"/>
    <w:rsid w:val="00BD3446"/>
    <w:rsid w:val="00BD54D3"/>
    <w:rsid w:val="00BE1F1B"/>
    <w:rsid w:val="00BE30DB"/>
    <w:rsid w:val="00BE4743"/>
    <w:rsid w:val="00BE47B5"/>
    <w:rsid w:val="00BE4C99"/>
    <w:rsid w:val="00BF175B"/>
    <w:rsid w:val="00BF1DD5"/>
    <w:rsid w:val="00C058AB"/>
    <w:rsid w:val="00C059DC"/>
    <w:rsid w:val="00C06739"/>
    <w:rsid w:val="00C13C51"/>
    <w:rsid w:val="00C17B8E"/>
    <w:rsid w:val="00C20C12"/>
    <w:rsid w:val="00C232AB"/>
    <w:rsid w:val="00C27D7A"/>
    <w:rsid w:val="00C35082"/>
    <w:rsid w:val="00C530D8"/>
    <w:rsid w:val="00C538A9"/>
    <w:rsid w:val="00C53B5A"/>
    <w:rsid w:val="00C54CF3"/>
    <w:rsid w:val="00C54F5A"/>
    <w:rsid w:val="00C57149"/>
    <w:rsid w:val="00C642C7"/>
    <w:rsid w:val="00C755AD"/>
    <w:rsid w:val="00C7575D"/>
    <w:rsid w:val="00C8027B"/>
    <w:rsid w:val="00C86679"/>
    <w:rsid w:val="00C91193"/>
    <w:rsid w:val="00C93A97"/>
    <w:rsid w:val="00C96ED6"/>
    <w:rsid w:val="00C96F5B"/>
    <w:rsid w:val="00CB666B"/>
    <w:rsid w:val="00CB7C9C"/>
    <w:rsid w:val="00CB7EAE"/>
    <w:rsid w:val="00CC2E43"/>
    <w:rsid w:val="00CD077F"/>
    <w:rsid w:val="00CD3F5C"/>
    <w:rsid w:val="00CE56CD"/>
    <w:rsid w:val="00CE71E7"/>
    <w:rsid w:val="00CF799E"/>
    <w:rsid w:val="00D01CF0"/>
    <w:rsid w:val="00D0442A"/>
    <w:rsid w:val="00D12874"/>
    <w:rsid w:val="00D1446E"/>
    <w:rsid w:val="00D15E32"/>
    <w:rsid w:val="00D16D25"/>
    <w:rsid w:val="00D203E1"/>
    <w:rsid w:val="00D3117D"/>
    <w:rsid w:val="00D317B3"/>
    <w:rsid w:val="00D3412A"/>
    <w:rsid w:val="00D40564"/>
    <w:rsid w:val="00D544B8"/>
    <w:rsid w:val="00D609BC"/>
    <w:rsid w:val="00D61388"/>
    <w:rsid w:val="00D6182A"/>
    <w:rsid w:val="00D61A54"/>
    <w:rsid w:val="00D64DEA"/>
    <w:rsid w:val="00D6763A"/>
    <w:rsid w:val="00D67EED"/>
    <w:rsid w:val="00D73AEC"/>
    <w:rsid w:val="00D7528C"/>
    <w:rsid w:val="00D80893"/>
    <w:rsid w:val="00D92605"/>
    <w:rsid w:val="00D92CF1"/>
    <w:rsid w:val="00D92D38"/>
    <w:rsid w:val="00D94DEA"/>
    <w:rsid w:val="00D950F5"/>
    <w:rsid w:val="00DA76AE"/>
    <w:rsid w:val="00DB05F1"/>
    <w:rsid w:val="00DB0F93"/>
    <w:rsid w:val="00DB4C43"/>
    <w:rsid w:val="00DB6EBB"/>
    <w:rsid w:val="00DC1EF8"/>
    <w:rsid w:val="00DC542F"/>
    <w:rsid w:val="00DC7981"/>
    <w:rsid w:val="00DD01CE"/>
    <w:rsid w:val="00DD2206"/>
    <w:rsid w:val="00DE435A"/>
    <w:rsid w:val="00DE4EFA"/>
    <w:rsid w:val="00DE5520"/>
    <w:rsid w:val="00DF19FE"/>
    <w:rsid w:val="00DF711D"/>
    <w:rsid w:val="00E0323C"/>
    <w:rsid w:val="00E04818"/>
    <w:rsid w:val="00E06442"/>
    <w:rsid w:val="00E067F2"/>
    <w:rsid w:val="00E14ABD"/>
    <w:rsid w:val="00E23993"/>
    <w:rsid w:val="00E25B8C"/>
    <w:rsid w:val="00E26927"/>
    <w:rsid w:val="00E331F5"/>
    <w:rsid w:val="00E45514"/>
    <w:rsid w:val="00E4674F"/>
    <w:rsid w:val="00E510C2"/>
    <w:rsid w:val="00E526D4"/>
    <w:rsid w:val="00E54AE6"/>
    <w:rsid w:val="00E6123D"/>
    <w:rsid w:val="00E63ADA"/>
    <w:rsid w:val="00E65C85"/>
    <w:rsid w:val="00E66199"/>
    <w:rsid w:val="00E755EC"/>
    <w:rsid w:val="00E7624D"/>
    <w:rsid w:val="00E77EA7"/>
    <w:rsid w:val="00E85457"/>
    <w:rsid w:val="00E85937"/>
    <w:rsid w:val="00E86063"/>
    <w:rsid w:val="00EA3D42"/>
    <w:rsid w:val="00EA40A2"/>
    <w:rsid w:val="00EA5DF6"/>
    <w:rsid w:val="00EA6B1B"/>
    <w:rsid w:val="00EB2FDC"/>
    <w:rsid w:val="00ED3A6D"/>
    <w:rsid w:val="00ED5DDB"/>
    <w:rsid w:val="00EE28F3"/>
    <w:rsid w:val="00EE4103"/>
    <w:rsid w:val="00EF23D0"/>
    <w:rsid w:val="00EF5110"/>
    <w:rsid w:val="00EF5D07"/>
    <w:rsid w:val="00F03237"/>
    <w:rsid w:val="00F058C6"/>
    <w:rsid w:val="00F05CC4"/>
    <w:rsid w:val="00F12BE0"/>
    <w:rsid w:val="00F15882"/>
    <w:rsid w:val="00F20BD3"/>
    <w:rsid w:val="00F21ED0"/>
    <w:rsid w:val="00F24428"/>
    <w:rsid w:val="00F266B6"/>
    <w:rsid w:val="00F318F7"/>
    <w:rsid w:val="00F35091"/>
    <w:rsid w:val="00F373A5"/>
    <w:rsid w:val="00F402EC"/>
    <w:rsid w:val="00F46BC4"/>
    <w:rsid w:val="00F47559"/>
    <w:rsid w:val="00F60BE4"/>
    <w:rsid w:val="00F61B84"/>
    <w:rsid w:val="00F64C7B"/>
    <w:rsid w:val="00F66E08"/>
    <w:rsid w:val="00F676DD"/>
    <w:rsid w:val="00F70CA8"/>
    <w:rsid w:val="00F72E6F"/>
    <w:rsid w:val="00F73FC1"/>
    <w:rsid w:val="00F75A26"/>
    <w:rsid w:val="00F83BD7"/>
    <w:rsid w:val="00F83FAD"/>
    <w:rsid w:val="00F91DC6"/>
    <w:rsid w:val="00F91E34"/>
    <w:rsid w:val="00F927BD"/>
    <w:rsid w:val="00F93265"/>
    <w:rsid w:val="00F93343"/>
    <w:rsid w:val="00F936B2"/>
    <w:rsid w:val="00F952A0"/>
    <w:rsid w:val="00F96C37"/>
    <w:rsid w:val="00FA32EB"/>
    <w:rsid w:val="00FA3C7F"/>
    <w:rsid w:val="00FB3D92"/>
    <w:rsid w:val="00FB52D7"/>
    <w:rsid w:val="00FB52DA"/>
    <w:rsid w:val="00FB74E2"/>
    <w:rsid w:val="00FC5E4E"/>
    <w:rsid w:val="00FC6F49"/>
    <w:rsid w:val="00FD2DF0"/>
    <w:rsid w:val="00FD5614"/>
    <w:rsid w:val="00FD7F61"/>
    <w:rsid w:val="00FE0BE1"/>
    <w:rsid w:val="00FE1DE9"/>
    <w:rsid w:val="00FE2374"/>
    <w:rsid w:val="00FE2EA0"/>
    <w:rsid w:val="00FE39C2"/>
    <w:rsid w:val="00FE4CB5"/>
    <w:rsid w:val="00FE56C1"/>
    <w:rsid w:val="00FE64AE"/>
    <w:rsid w:val="00FF439B"/>
    <w:rsid w:val="00FF5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D1446E"/>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qFormat/>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tabs>
        <w:tab w:val="left" w:pos="680"/>
      </w:tabs>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aliases w:val="NCC 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PlaceholderText">
    <w:name w:val="Placeholder Text"/>
    <w:basedOn w:val="DefaultParagraphFont"/>
    <w:uiPriority w:val="99"/>
    <w:semiHidden/>
    <w:rsid w:val="00D1446E"/>
    <w:rPr>
      <w:color w:val="808080"/>
    </w:rPr>
  </w:style>
  <w:style w:type="paragraph" w:customStyle="1" w:styleId="Reporttitle">
    <w:name w:val="Report title"/>
    <w:basedOn w:val="Normal"/>
    <w:link w:val="ReporttitleChar"/>
    <w:qFormat/>
    <w:rsid w:val="00D1446E"/>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D1446E"/>
    <w:rPr>
      <w:rFonts w:ascii="Lucida Fax" w:hAnsi="Lucida Fax"/>
      <w:color w:val="4F2D7F"/>
      <w:sz w:val="72"/>
      <w:szCs w:val="56"/>
    </w:rPr>
  </w:style>
  <w:style w:type="paragraph" w:customStyle="1" w:styleId="Numberedlist">
    <w:name w:val="Numbered list"/>
    <w:basedOn w:val="ListNumber"/>
    <w:rsid w:val="00D1446E"/>
    <w:pPr>
      <w:numPr>
        <w:numId w:val="0"/>
      </w:numPr>
      <w:ind w:left="357" w:hanging="357"/>
    </w:pPr>
  </w:style>
  <w:style w:type="character" w:styleId="CommentReference">
    <w:name w:val="annotation reference"/>
    <w:basedOn w:val="DefaultParagraphFont"/>
    <w:uiPriority w:val="99"/>
    <w:semiHidden/>
    <w:unhideWhenUsed/>
    <w:rsid w:val="00D1446E"/>
    <w:rPr>
      <w:sz w:val="16"/>
      <w:szCs w:val="16"/>
    </w:rPr>
  </w:style>
  <w:style w:type="paragraph" w:styleId="CommentText">
    <w:name w:val="annotation text"/>
    <w:basedOn w:val="Normal"/>
    <w:link w:val="CommentTextChar"/>
    <w:uiPriority w:val="99"/>
    <w:semiHidden/>
    <w:unhideWhenUsed/>
    <w:rsid w:val="00D1446E"/>
    <w:rPr>
      <w:sz w:val="20"/>
      <w:szCs w:val="20"/>
    </w:rPr>
  </w:style>
  <w:style w:type="character" w:customStyle="1" w:styleId="CommentTextChar">
    <w:name w:val="Comment Text Char"/>
    <w:basedOn w:val="DefaultParagraphFont"/>
    <w:link w:val="CommentText"/>
    <w:uiPriority w:val="99"/>
    <w:semiHidden/>
    <w:rsid w:val="00D1446E"/>
    <w:rPr>
      <w:rFonts w:ascii="Arial" w:hAnsi="Arial"/>
      <w:sz w:val="20"/>
      <w:szCs w:val="20"/>
    </w:rPr>
  </w:style>
  <w:style w:type="paragraph" w:styleId="NormalWeb">
    <w:name w:val="Normal (Web)"/>
    <w:basedOn w:val="Normal"/>
    <w:uiPriority w:val="99"/>
    <w:rsid w:val="00D1446E"/>
    <w:pPr>
      <w:spacing w:before="100" w:beforeAutospacing="1" w:after="100" w:afterAutospacing="1"/>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unhideWhenUsed/>
    <w:rsid w:val="00D14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1446E"/>
    <w:rPr>
      <w:rFonts w:ascii="Courier New" w:eastAsia="Times New Roman" w:hAnsi="Courier New" w:cs="Courier New"/>
      <w:sz w:val="20"/>
      <w:szCs w:val="20"/>
      <w:lang w:eastAsia="en-AU"/>
    </w:rPr>
  </w:style>
  <w:style w:type="paragraph" w:customStyle="1" w:styleId="paragraph">
    <w:name w:val="paragraph"/>
    <w:aliases w:val="a"/>
    <w:basedOn w:val="Normal"/>
    <w:link w:val="paragraphChar"/>
    <w:rsid w:val="00D1446E"/>
    <w:pPr>
      <w:tabs>
        <w:tab w:val="right" w:pos="1531"/>
      </w:tabs>
      <w:spacing w:before="40" w:after="120"/>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D1446E"/>
    <w:rPr>
      <w:rFonts w:ascii="Times New Roman" w:eastAsia="Times New Roman" w:hAnsi="Times New Roman" w:cs="Times New Roman"/>
      <w:szCs w:val="20"/>
      <w:lang w:eastAsia="en-AU"/>
    </w:rPr>
  </w:style>
  <w:style w:type="paragraph" w:customStyle="1" w:styleId="Definition">
    <w:name w:val="Definition"/>
    <w:aliases w:val="dd"/>
    <w:basedOn w:val="Normal"/>
    <w:rsid w:val="00D1446E"/>
    <w:pPr>
      <w:spacing w:before="180" w:after="120"/>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Normal"/>
    <w:rsid w:val="00D1446E"/>
    <w:pPr>
      <w:spacing w:before="40" w:after="120"/>
      <w:ind w:left="1134"/>
    </w:pPr>
    <w:rPr>
      <w:rFonts w:ascii="Times New Roman" w:eastAsia="Times New Roman" w:hAnsi="Times New Roman" w:cs="Times New Roman"/>
      <w:szCs w:val="20"/>
      <w:lang w:eastAsia="en-AU"/>
    </w:rPr>
  </w:style>
  <w:style w:type="character" w:customStyle="1" w:styleId="CommentSubjectChar">
    <w:name w:val="Comment Subject Char"/>
    <w:basedOn w:val="CommentTextChar"/>
    <w:link w:val="CommentSubject"/>
    <w:uiPriority w:val="99"/>
    <w:semiHidden/>
    <w:rsid w:val="00D1446E"/>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1446E"/>
    <w:rPr>
      <w:b/>
      <w:bCs/>
    </w:rPr>
  </w:style>
  <w:style w:type="character" w:customStyle="1" w:styleId="CommentSubjectChar1">
    <w:name w:val="Comment Subject Char1"/>
    <w:basedOn w:val="CommentTextChar"/>
    <w:uiPriority w:val="99"/>
    <w:semiHidden/>
    <w:rsid w:val="00D1446E"/>
    <w:rPr>
      <w:rFonts w:ascii="Arial" w:hAnsi="Arial"/>
      <w:b/>
      <w:bCs/>
      <w:sz w:val="20"/>
      <w:szCs w:val="20"/>
    </w:rPr>
  </w:style>
  <w:style w:type="paragraph" w:customStyle="1" w:styleId="TableText0">
    <w:name w:val="TableText"/>
    <w:basedOn w:val="Normal"/>
    <w:qFormat/>
    <w:rsid w:val="00D1446E"/>
    <w:pPr>
      <w:spacing w:before="120" w:after="120"/>
    </w:pPr>
    <w:rPr>
      <w:rFonts w:eastAsiaTheme="majorEastAsia" w:cs="Arial"/>
      <w:bCs/>
      <w:sz w:val="20"/>
      <w:szCs w:val="20"/>
    </w:rPr>
  </w:style>
  <w:style w:type="paragraph" w:customStyle="1" w:styleId="body">
    <w:name w:val="body"/>
    <w:basedOn w:val="Normal"/>
    <w:uiPriority w:val="99"/>
    <w:rsid w:val="00D1446E"/>
    <w:pPr>
      <w:widowControl w:val="0"/>
      <w:suppressAutoHyphens/>
      <w:autoSpaceDE w:val="0"/>
      <w:autoSpaceDN w:val="0"/>
      <w:adjustRightInd w:val="0"/>
      <w:spacing w:before="0" w:after="113" w:line="230" w:lineRule="atLeast"/>
      <w:textAlignment w:val="center"/>
    </w:pPr>
    <w:rPr>
      <w:rFonts w:ascii="TimesNewRomanPSMT" w:eastAsia="Times New Roman" w:hAnsi="TimesNewRomanPSMT" w:cs="TimesNewRomanPSMT"/>
      <w:color w:val="000000"/>
      <w:sz w:val="19"/>
      <w:szCs w:val="19"/>
      <w:lang w:val="en-GB"/>
    </w:rPr>
  </w:style>
  <w:style w:type="table" w:customStyle="1" w:styleId="ACCCTable1">
    <w:name w:val="ACCC Table1"/>
    <w:basedOn w:val="TableNormal"/>
    <w:next w:val="TableGrid"/>
    <w:uiPriority w:val="59"/>
    <w:rsid w:val="00D1446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character" w:styleId="PageNumber">
    <w:name w:val="page number"/>
    <w:basedOn w:val="DefaultParagraphFont"/>
    <w:rsid w:val="00D1446E"/>
  </w:style>
  <w:style w:type="character" w:styleId="FollowedHyperlink">
    <w:name w:val="FollowedHyperlink"/>
    <w:basedOn w:val="DefaultParagraphFont"/>
    <w:uiPriority w:val="99"/>
    <w:semiHidden/>
    <w:unhideWhenUsed/>
    <w:rsid w:val="00D1446E"/>
    <w:rPr>
      <w:color w:val="800080" w:themeColor="followedHyperlink"/>
      <w:u w:val="single"/>
    </w:rPr>
  </w:style>
  <w:style w:type="paragraph" w:styleId="Revision">
    <w:name w:val="Revision"/>
    <w:hidden/>
    <w:uiPriority w:val="99"/>
    <w:semiHidden/>
    <w:rsid w:val="00D1446E"/>
    <w:pPr>
      <w:spacing w:before="0"/>
    </w:pPr>
    <w:rPr>
      <w:rFonts w:ascii="Arial" w:hAnsi="Arial"/>
    </w:rPr>
  </w:style>
  <w:style w:type="character" w:customStyle="1" w:styleId="contentossregulation">
    <w:name w:val="contentossregulation"/>
    <w:basedOn w:val="DefaultParagraphFont"/>
    <w:rsid w:val="00D1446E"/>
  </w:style>
  <w:style w:type="character" w:styleId="HTMLCite">
    <w:name w:val="HTML Cite"/>
    <w:basedOn w:val="DefaultParagraphFont"/>
    <w:uiPriority w:val="99"/>
    <w:semiHidden/>
    <w:unhideWhenUsed/>
    <w:rsid w:val="00D1446E"/>
    <w:rPr>
      <w:i/>
      <w:iCs/>
    </w:rPr>
  </w:style>
  <w:style w:type="table" w:styleId="MediumList1">
    <w:name w:val="Medium List 1"/>
    <w:basedOn w:val="TableNormal"/>
    <w:uiPriority w:val="65"/>
    <w:rsid w:val="00D1446E"/>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59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D1446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numbered">
    <w:name w:val="Normal numbered"/>
    <w:basedOn w:val="Normal"/>
    <w:rsid w:val="00D1446E"/>
    <w:pPr>
      <w:numPr>
        <w:numId w:val="32"/>
      </w:numPr>
      <w:spacing w:before="0" w:after="240" w:line="260" w:lineRule="exact"/>
      <w:ind w:left="284"/>
    </w:pPr>
    <w:rPr>
      <w:rFonts w:ascii="Calibri" w:hAnsi="Calibri" w:cs="Times New Roman"/>
      <w:color w:val="000000"/>
      <w:lang w:eastAsia="en-AU"/>
    </w:rPr>
  </w:style>
  <w:style w:type="paragraph" w:customStyle="1" w:styleId="TableTextform">
    <w:name w:val="TableText form"/>
    <w:basedOn w:val="TableText0"/>
    <w:qFormat/>
    <w:rsid w:val="00D1446E"/>
    <w:pPr>
      <w:spacing w:before="40" w:after="240"/>
    </w:pPr>
  </w:style>
  <w:style w:type="character" w:customStyle="1" w:styleId="the-question">
    <w:name w:val="the-question"/>
    <w:rsid w:val="00D1446E"/>
  </w:style>
  <w:style w:type="paragraph" w:customStyle="1" w:styleId="CM4">
    <w:name w:val="CM4"/>
    <w:basedOn w:val="Normal"/>
    <w:next w:val="Normal"/>
    <w:uiPriority w:val="99"/>
    <w:rsid w:val="00D1446E"/>
    <w:pPr>
      <w:autoSpaceDE w:val="0"/>
      <w:autoSpaceDN w:val="0"/>
      <w:adjustRightInd w:val="0"/>
      <w:spacing w:before="0"/>
    </w:pPr>
    <w:rPr>
      <w:rFonts w:ascii="EUAlbertina" w:hAnsi="EUAlbertina"/>
      <w:sz w:val="24"/>
      <w:szCs w:val="24"/>
    </w:rPr>
  </w:style>
  <w:style w:type="paragraph" w:customStyle="1" w:styleId="Default">
    <w:name w:val="Default"/>
    <w:rsid w:val="00D1446E"/>
    <w:pPr>
      <w:autoSpaceDE w:val="0"/>
      <w:autoSpaceDN w:val="0"/>
      <w:adjustRightInd w:val="0"/>
      <w:spacing w:before="0"/>
    </w:pPr>
    <w:rPr>
      <w:rFonts w:ascii="Calibri" w:hAnsi="Calibri" w:cs="Calibri"/>
      <w:color w:val="000000"/>
      <w:sz w:val="24"/>
      <w:szCs w:val="24"/>
    </w:rPr>
  </w:style>
  <w:style w:type="table" w:customStyle="1" w:styleId="ACCCTable2">
    <w:name w:val="ACCC Table2"/>
    <w:basedOn w:val="TableNormal"/>
    <w:next w:val="TableGrid"/>
    <w:uiPriority w:val="59"/>
    <w:rsid w:val="00D1446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D1446E"/>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qFormat/>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tabs>
        <w:tab w:val="left" w:pos="680"/>
      </w:tabs>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aliases w:val="NCC 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PlaceholderText">
    <w:name w:val="Placeholder Text"/>
    <w:basedOn w:val="DefaultParagraphFont"/>
    <w:uiPriority w:val="99"/>
    <w:semiHidden/>
    <w:rsid w:val="00D1446E"/>
    <w:rPr>
      <w:color w:val="808080"/>
    </w:rPr>
  </w:style>
  <w:style w:type="paragraph" w:customStyle="1" w:styleId="Reporttitle">
    <w:name w:val="Report title"/>
    <w:basedOn w:val="Normal"/>
    <w:link w:val="ReporttitleChar"/>
    <w:qFormat/>
    <w:rsid w:val="00D1446E"/>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D1446E"/>
    <w:rPr>
      <w:rFonts w:ascii="Lucida Fax" w:hAnsi="Lucida Fax"/>
      <w:color w:val="4F2D7F"/>
      <w:sz w:val="72"/>
      <w:szCs w:val="56"/>
    </w:rPr>
  </w:style>
  <w:style w:type="paragraph" w:customStyle="1" w:styleId="Numberedlist">
    <w:name w:val="Numbered list"/>
    <w:basedOn w:val="ListNumber"/>
    <w:rsid w:val="00D1446E"/>
    <w:pPr>
      <w:numPr>
        <w:numId w:val="0"/>
      </w:numPr>
      <w:ind w:left="357" w:hanging="357"/>
    </w:pPr>
  </w:style>
  <w:style w:type="character" w:styleId="CommentReference">
    <w:name w:val="annotation reference"/>
    <w:basedOn w:val="DefaultParagraphFont"/>
    <w:uiPriority w:val="99"/>
    <w:semiHidden/>
    <w:unhideWhenUsed/>
    <w:rsid w:val="00D1446E"/>
    <w:rPr>
      <w:sz w:val="16"/>
      <w:szCs w:val="16"/>
    </w:rPr>
  </w:style>
  <w:style w:type="paragraph" w:styleId="CommentText">
    <w:name w:val="annotation text"/>
    <w:basedOn w:val="Normal"/>
    <w:link w:val="CommentTextChar"/>
    <w:uiPriority w:val="99"/>
    <w:semiHidden/>
    <w:unhideWhenUsed/>
    <w:rsid w:val="00D1446E"/>
    <w:rPr>
      <w:sz w:val="20"/>
      <w:szCs w:val="20"/>
    </w:rPr>
  </w:style>
  <w:style w:type="character" w:customStyle="1" w:styleId="CommentTextChar">
    <w:name w:val="Comment Text Char"/>
    <w:basedOn w:val="DefaultParagraphFont"/>
    <w:link w:val="CommentText"/>
    <w:uiPriority w:val="99"/>
    <w:semiHidden/>
    <w:rsid w:val="00D1446E"/>
    <w:rPr>
      <w:rFonts w:ascii="Arial" w:hAnsi="Arial"/>
      <w:sz w:val="20"/>
      <w:szCs w:val="20"/>
    </w:rPr>
  </w:style>
  <w:style w:type="paragraph" w:styleId="NormalWeb">
    <w:name w:val="Normal (Web)"/>
    <w:basedOn w:val="Normal"/>
    <w:uiPriority w:val="99"/>
    <w:rsid w:val="00D1446E"/>
    <w:pPr>
      <w:spacing w:before="100" w:beforeAutospacing="1" w:after="100" w:afterAutospacing="1"/>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unhideWhenUsed/>
    <w:rsid w:val="00D14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1446E"/>
    <w:rPr>
      <w:rFonts w:ascii="Courier New" w:eastAsia="Times New Roman" w:hAnsi="Courier New" w:cs="Courier New"/>
      <w:sz w:val="20"/>
      <w:szCs w:val="20"/>
      <w:lang w:eastAsia="en-AU"/>
    </w:rPr>
  </w:style>
  <w:style w:type="paragraph" w:customStyle="1" w:styleId="paragraph">
    <w:name w:val="paragraph"/>
    <w:aliases w:val="a"/>
    <w:basedOn w:val="Normal"/>
    <w:link w:val="paragraphChar"/>
    <w:rsid w:val="00D1446E"/>
    <w:pPr>
      <w:tabs>
        <w:tab w:val="right" w:pos="1531"/>
      </w:tabs>
      <w:spacing w:before="40" w:after="120"/>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D1446E"/>
    <w:rPr>
      <w:rFonts w:ascii="Times New Roman" w:eastAsia="Times New Roman" w:hAnsi="Times New Roman" w:cs="Times New Roman"/>
      <w:szCs w:val="20"/>
      <w:lang w:eastAsia="en-AU"/>
    </w:rPr>
  </w:style>
  <w:style w:type="paragraph" w:customStyle="1" w:styleId="Definition">
    <w:name w:val="Definition"/>
    <w:aliases w:val="dd"/>
    <w:basedOn w:val="Normal"/>
    <w:rsid w:val="00D1446E"/>
    <w:pPr>
      <w:spacing w:before="180" w:after="120"/>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Normal"/>
    <w:rsid w:val="00D1446E"/>
    <w:pPr>
      <w:spacing w:before="40" w:after="120"/>
      <w:ind w:left="1134"/>
    </w:pPr>
    <w:rPr>
      <w:rFonts w:ascii="Times New Roman" w:eastAsia="Times New Roman" w:hAnsi="Times New Roman" w:cs="Times New Roman"/>
      <w:szCs w:val="20"/>
      <w:lang w:eastAsia="en-AU"/>
    </w:rPr>
  </w:style>
  <w:style w:type="character" w:customStyle="1" w:styleId="CommentSubjectChar">
    <w:name w:val="Comment Subject Char"/>
    <w:basedOn w:val="CommentTextChar"/>
    <w:link w:val="CommentSubject"/>
    <w:uiPriority w:val="99"/>
    <w:semiHidden/>
    <w:rsid w:val="00D1446E"/>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1446E"/>
    <w:rPr>
      <w:b/>
      <w:bCs/>
    </w:rPr>
  </w:style>
  <w:style w:type="character" w:customStyle="1" w:styleId="CommentSubjectChar1">
    <w:name w:val="Comment Subject Char1"/>
    <w:basedOn w:val="CommentTextChar"/>
    <w:uiPriority w:val="99"/>
    <w:semiHidden/>
    <w:rsid w:val="00D1446E"/>
    <w:rPr>
      <w:rFonts w:ascii="Arial" w:hAnsi="Arial"/>
      <w:b/>
      <w:bCs/>
      <w:sz w:val="20"/>
      <w:szCs w:val="20"/>
    </w:rPr>
  </w:style>
  <w:style w:type="paragraph" w:customStyle="1" w:styleId="TableText0">
    <w:name w:val="TableText"/>
    <w:basedOn w:val="Normal"/>
    <w:qFormat/>
    <w:rsid w:val="00D1446E"/>
    <w:pPr>
      <w:spacing w:before="120" w:after="120"/>
    </w:pPr>
    <w:rPr>
      <w:rFonts w:eastAsiaTheme="majorEastAsia" w:cs="Arial"/>
      <w:bCs/>
      <w:sz w:val="20"/>
      <w:szCs w:val="20"/>
    </w:rPr>
  </w:style>
  <w:style w:type="paragraph" w:customStyle="1" w:styleId="body">
    <w:name w:val="body"/>
    <w:basedOn w:val="Normal"/>
    <w:uiPriority w:val="99"/>
    <w:rsid w:val="00D1446E"/>
    <w:pPr>
      <w:widowControl w:val="0"/>
      <w:suppressAutoHyphens/>
      <w:autoSpaceDE w:val="0"/>
      <w:autoSpaceDN w:val="0"/>
      <w:adjustRightInd w:val="0"/>
      <w:spacing w:before="0" w:after="113" w:line="230" w:lineRule="atLeast"/>
      <w:textAlignment w:val="center"/>
    </w:pPr>
    <w:rPr>
      <w:rFonts w:ascii="TimesNewRomanPSMT" w:eastAsia="Times New Roman" w:hAnsi="TimesNewRomanPSMT" w:cs="TimesNewRomanPSMT"/>
      <w:color w:val="000000"/>
      <w:sz w:val="19"/>
      <w:szCs w:val="19"/>
      <w:lang w:val="en-GB"/>
    </w:rPr>
  </w:style>
  <w:style w:type="table" w:customStyle="1" w:styleId="ACCCTable1">
    <w:name w:val="ACCC Table1"/>
    <w:basedOn w:val="TableNormal"/>
    <w:next w:val="TableGrid"/>
    <w:uiPriority w:val="59"/>
    <w:rsid w:val="00D1446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character" w:styleId="PageNumber">
    <w:name w:val="page number"/>
    <w:basedOn w:val="DefaultParagraphFont"/>
    <w:rsid w:val="00D1446E"/>
  </w:style>
  <w:style w:type="character" w:styleId="FollowedHyperlink">
    <w:name w:val="FollowedHyperlink"/>
    <w:basedOn w:val="DefaultParagraphFont"/>
    <w:uiPriority w:val="99"/>
    <w:semiHidden/>
    <w:unhideWhenUsed/>
    <w:rsid w:val="00D1446E"/>
    <w:rPr>
      <w:color w:val="800080" w:themeColor="followedHyperlink"/>
      <w:u w:val="single"/>
    </w:rPr>
  </w:style>
  <w:style w:type="paragraph" w:styleId="Revision">
    <w:name w:val="Revision"/>
    <w:hidden/>
    <w:uiPriority w:val="99"/>
    <w:semiHidden/>
    <w:rsid w:val="00D1446E"/>
    <w:pPr>
      <w:spacing w:before="0"/>
    </w:pPr>
    <w:rPr>
      <w:rFonts w:ascii="Arial" w:hAnsi="Arial"/>
    </w:rPr>
  </w:style>
  <w:style w:type="character" w:customStyle="1" w:styleId="contentossregulation">
    <w:name w:val="contentossregulation"/>
    <w:basedOn w:val="DefaultParagraphFont"/>
    <w:rsid w:val="00D1446E"/>
  </w:style>
  <w:style w:type="character" w:styleId="HTMLCite">
    <w:name w:val="HTML Cite"/>
    <w:basedOn w:val="DefaultParagraphFont"/>
    <w:uiPriority w:val="99"/>
    <w:semiHidden/>
    <w:unhideWhenUsed/>
    <w:rsid w:val="00D1446E"/>
    <w:rPr>
      <w:i/>
      <w:iCs/>
    </w:rPr>
  </w:style>
  <w:style w:type="table" w:styleId="MediumList1">
    <w:name w:val="Medium List 1"/>
    <w:basedOn w:val="TableNormal"/>
    <w:uiPriority w:val="65"/>
    <w:rsid w:val="00D1446E"/>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59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D1446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numbered">
    <w:name w:val="Normal numbered"/>
    <w:basedOn w:val="Normal"/>
    <w:rsid w:val="00D1446E"/>
    <w:pPr>
      <w:numPr>
        <w:numId w:val="32"/>
      </w:numPr>
      <w:spacing w:before="0" w:after="240" w:line="260" w:lineRule="exact"/>
      <w:ind w:left="284"/>
    </w:pPr>
    <w:rPr>
      <w:rFonts w:ascii="Calibri" w:hAnsi="Calibri" w:cs="Times New Roman"/>
      <w:color w:val="000000"/>
      <w:lang w:eastAsia="en-AU"/>
    </w:rPr>
  </w:style>
  <w:style w:type="paragraph" w:customStyle="1" w:styleId="TableTextform">
    <w:name w:val="TableText form"/>
    <w:basedOn w:val="TableText0"/>
    <w:qFormat/>
    <w:rsid w:val="00D1446E"/>
    <w:pPr>
      <w:spacing w:before="40" w:after="240"/>
    </w:pPr>
  </w:style>
  <w:style w:type="character" w:customStyle="1" w:styleId="the-question">
    <w:name w:val="the-question"/>
    <w:rsid w:val="00D1446E"/>
  </w:style>
  <w:style w:type="paragraph" w:customStyle="1" w:styleId="CM4">
    <w:name w:val="CM4"/>
    <w:basedOn w:val="Normal"/>
    <w:next w:val="Normal"/>
    <w:uiPriority w:val="99"/>
    <w:rsid w:val="00D1446E"/>
    <w:pPr>
      <w:autoSpaceDE w:val="0"/>
      <w:autoSpaceDN w:val="0"/>
      <w:adjustRightInd w:val="0"/>
      <w:spacing w:before="0"/>
    </w:pPr>
    <w:rPr>
      <w:rFonts w:ascii="EUAlbertina" w:hAnsi="EUAlbertina"/>
      <w:sz w:val="24"/>
      <w:szCs w:val="24"/>
    </w:rPr>
  </w:style>
  <w:style w:type="paragraph" w:customStyle="1" w:styleId="Default">
    <w:name w:val="Default"/>
    <w:rsid w:val="00D1446E"/>
    <w:pPr>
      <w:autoSpaceDE w:val="0"/>
      <w:autoSpaceDN w:val="0"/>
      <w:adjustRightInd w:val="0"/>
      <w:spacing w:before="0"/>
    </w:pPr>
    <w:rPr>
      <w:rFonts w:ascii="Calibri" w:hAnsi="Calibri" w:cs="Calibri"/>
      <w:color w:val="000000"/>
      <w:sz w:val="24"/>
      <w:szCs w:val="24"/>
    </w:rPr>
  </w:style>
  <w:style w:type="table" w:customStyle="1" w:styleId="ACCCTable2">
    <w:name w:val="ACCC Table2"/>
    <w:basedOn w:val="TableNormal"/>
    <w:next w:val="TableGrid"/>
    <w:uiPriority w:val="59"/>
    <w:rsid w:val="00D1446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63761">
      <w:bodyDiv w:val="1"/>
      <w:marLeft w:val="0"/>
      <w:marRight w:val="0"/>
      <w:marTop w:val="0"/>
      <w:marBottom w:val="0"/>
      <w:divBdr>
        <w:top w:val="none" w:sz="0" w:space="0" w:color="auto"/>
        <w:left w:val="none" w:sz="0" w:space="0" w:color="auto"/>
        <w:bottom w:val="none" w:sz="0" w:space="0" w:color="auto"/>
        <w:right w:val="none" w:sz="0" w:space="0" w:color="auto"/>
      </w:divBdr>
    </w:div>
    <w:div w:id="705527420">
      <w:bodyDiv w:val="1"/>
      <w:marLeft w:val="0"/>
      <w:marRight w:val="0"/>
      <w:marTop w:val="0"/>
      <w:marBottom w:val="0"/>
      <w:divBdr>
        <w:top w:val="none" w:sz="0" w:space="0" w:color="auto"/>
        <w:left w:val="none" w:sz="0" w:space="0" w:color="auto"/>
        <w:bottom w:val="none" w:sz="0" w:space="0" w:color="auto"/>
        <w:right w:val="none" w:sz="0" w:space="0" w:color="auto"/>
      </w:divBdr>
      <w:divsChild>
        <w:div w:id="512957797">
          <w:marLeft w:val="0"/>
          <w:marRight w:val="0"/>
          <w:marTop w:val="0"/>
          <w:marBottom w:val="0"/>
          <w:divBdr>
            <w:top w:val="none" w:sz="0" w:space="0" w:color="auto"/>
            <w:left w:val="none" w:sz="0" w:space="0" w:color="auto"/>
            <w:bottom w:val="none" w:sz="0" w:space="0" w:color="auto"/>
            <w:right w:val="none" w:sz="0" w:space="0" w:color="auto"/>
          </w:divBdr>
          <w:divsChild>
            <w:div w:id="1946421940">
              <w:marLeft w:val="-225"/>
              <w:marRight w:val="-225"/>
              <w:marTop w:val="0"/>
              <w:marBottom w:val="0"/>
              <w:divBdr>
                <w:top w:val="none" w:sz="0" w:space="0" w:color="auto"/>
                <w:left w:val="none" w:sz="0" w:space="0" w:color="auto"/>
                <w:bottom w:val="none" w:sz="0" w:space="0" w:color="auto"/>
                <w:right w:val="none" w:sz="0" w:space="0" w:color="auto"/>
              </w:divBdr>
              <w:divsChild>
                <w:div w:id="101925035">
                  <w:marLeft w:val="0"/>
                  <w:marRight w:val="0"/>
                  <w:marTop w:val="0"/>
                  <w:marBottom w:val="0"/>
                  <w:divBdr>
                    <w:top w:val="none" w:sz="0" w:space="0" w:color="auto"/>
                    <w:left w:val="none" w:sz="0" w:space="0" w:color="auto"/>
                    <w:bottom w:val="none" w:sz="0" w:space="0" w:color="auto"/>
                    <w:right w:val="none" w:sz="0" w:space="0" w:color="auto"/>
                  </w:divBdr>
                  <w:divsChild>
                    <w:div w:id="1179731519">
                      <w:marLeft w:val="0"/>
                      <w:marRight w:val="0"/>
                      <w:marTop w:val="0"/>
                      <w:marBottom w:val="0"/>
                      <w:divBdr>
                        <w:top w:val="none" w:sz="0" w:space="0" w:color="auto"/>
                        <w:left w:val="none" w:sz="0" w:space="0" w:color="auto"/>
                        <w:bottom w:val="none" w:sz="0" w:space="0" w:color="auto"/>
                        <w:right w:val="none" w:sz="0" w:space="0" w:color="auto"/>
                      </w:divBdr>
                      <w:divsChild>
                        <w:div w:id="799811298">
                          <w:marLeft w:val="0"/>
                          <w:marRight w:val="0"/>
                          <w:marTop w:val="0"/>
                          <w:marBottom w:val="0"/>
                          <w:divBdr>
                            <w:top w:val="none" w:sz="0" w:space="0" w:color="auto"/>
                            <w:left w:val="none" w:sz="0" w:space="0" w:color="auto"/>
                            <w:bottom w:val="none" w:sz="0" w:space="0" w:color="auto"/>
                            <w:right w:val="none" w:sz="0" w:space="0" w:color="auto"/>
                          </w:divBdr>
                          <w:divsChild>
                            <w:div w:id="1583678726">
                              <w:marLeft w:val="0"/>
                              <w:marRight w:val="0"/>
                              <w:marTop w:val="0"/>
                              <w:marBottom w:val="0"/>
                              <w:divBdr>
                                <w:top w:val="none" w:sz="0" w:space="0" w:color="auto"/>
                                <w:left w:val="none" w:sz="0" w:space="0" w:color="auto"/>
                                <w:bottom w:val="none" w:sz="0" w:space="0" w:color="auto"/>
                                <w:right w:val="none" w:sz="0" w:space="0" w:color="auto"/>
                              </w:divBdr>
                              <w:divsChild>
                                <w:div w:id="727998720">
                                  <w:marLeft w:val="0"/>
                                  <w:marRight w:val="0"/>
                                  <w:marTop w:val="0"/>
                                  <w:marBottom w:val="0"/>
                                  <w:divBdr>
                                    <w:top w:val="none" w:sz="0" w:space="0" w:color="auto"/>
                                    <w:left w:val="none" w:sz="0" w:space="0" w:color="auto"/>
                                    <w:bottom w:val="none" w:sz="0" w:space="0" w:color="auto"/>
                                    <w:right w:val="none" w:sz="0" w:space="0" w:color="auto"/>
                                  </w:divBdr>
                                  <w:divsChild>
                                    <w:div w:id="52974345">
                                      <w:marLeft w:val="0"/>
                                      <w:marRight w:val="0"/>
                                      <w:marTop w:val="0"/>
                                      <w:marBottom w:val="0"/>
                                      <w:divBdr>
                                        <w:top w:val="none" w:sz="0" w:space="0" w:color="auto"/>
                                        <w:left w:val="none" w:sz="0" w:space="0" w:color="auto"/>
                                        <w:bottom w:val="none" w:sz="0" w:space="0" w:color="auto"/>
                                        <w:right w:val="none" w:sz="0" w:space="0" w:color="auto"/>
                                      </w:divBdr>
                                      <w:divsChild>
                                        <w:div w:id="1081291132">
                                          <w:marLeft w:val="0"/>
                                          <w:marRight w:val="0"/>
                                          <w:marTop w:val="0"/>
                                          <w:marBottom w:val="0"/>
                                          <w:divBdr>
                                            <w:top w:val="none" w:sz="0" w:space="0" w:color="auto"/>
                                            <w:left w:val="none" w:sz="0" w:space="0" w:color="auto"/>
                                            <w:bottom w:val="none" w:sz="0" w:space="0" w:color="auto"/>
                                            <w:right w:val="none" w:sz="0" w:space="0" w:color="auto"/>
                                          </w:divBdr>
                                          <w:divsChild>
                                            <w:div w:id="1069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ductsafety.gov.au/standards/aquatic-toys" TargetMode="External"/><Relationship Id="rId18" Type="http://schemas.openxmlformats.org/officeDocument/2006/relationships/hyperlink" Target="http://creativecommons.org.au/" TargetMode="External"/><Relationship Id="rId26" Type="http://schemas.openxmlformats.org/officeDocument/2006/relationships/hyperlink" Target="https://www.legislation.gov.au/Details/F2010L00195" TargetMode="Externa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creativecommons.org.au/" TargetMode="External"/><Relationship Id="rId25" Type="http://schemas.openxmlformats.org/officeDocument/2006/relationships/hyperlink" Target="https://www.legislation.gov.au/Details/F2010L01870"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productsafety.gov.au/news/teething-necklace-safety-avoid-strangulation-or-chok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legislation.gov.au/Details/F2008C00607"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hyperlink" Target="mailto:productsafety.regulation@accc.gov.au" TargetMode="External"/><Relationship Id="rId28" Type="http://schemas.openxmlformats.org/officeDocument/2006/relationships/hyperlink" Target="https://www.legislation.gov.au/Details/F2009L00223" TargetMode="External"/><Relationship Id="rId10" Type="http://schemas.openxmlformats.org/officeDocument/2006/relationships/image" Target="media/image1.png"/><Relationship Id="rId19" Type="http://schemas.openxmlformats.org/officeDocument/2006/relationships/hyperlink" Target="http://clients1.ibisworld.com.au/reports/au/enterprisepremium/default.aspx?entid=5024"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consultation.accc.gov.au/" TargetMode="External"/><Relationship Id="rId27" Type="http://schemas.openxmlformats.org/officeDocument/2006/relationships/hyperlink" Target="https://www.legislation.gov.au/Details/F2009L01474"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psc.gov/en/Research--Statistics/NEISS-Injury-Data/" TargetMode="External"/><Relationship Id="rId13" Type="http://schemas.openxmlformats.org/officeDocument/2006/relationships/hyperlink" Target="https://ec.europa.eu/growth/sectors/toys/safety/legislation_en" TargetMode="External"/><Relationship Id="rId3" Type="http://schemas.openxmlformats.org/officeDocument/2006/relationships/hyperlink" Target="http://clients1.ibisworld.com.au/reports/au/industry/productsandmarkets.aspx?entid=294" TargetMode="External"/><Relationship Id="rId7" Type="http://schemas.openxmlformats.org/officeDocument/2006/relationships/hyperlink" Target="http://www.ncis.org.au" TargetMode="External"/><Relationship Id="rId12" Type="http://schemas.openxmlformats.org/officeDocument/2006/relationships/hyperlink" Target="http://www.cpsc.gov/business--manufacturing/business-education/business-guidance/art-materials/" TargetMode="External"/><Relationship Id="rId17" Type="http://schemas.openxmlformats.org/officeDocument/2006/relationships/hyperlink" Target="http://eur-lex.europa.eu/LexUriServ/LexUriServ.do?uri=OJ:L:2009:170:0001:0037:en:PDF" TargetMode="External"/><Relationship Id="rId2" Type="http://schemas.openxmlformats.org/officeDocument/2006/relationships/hyperlink" Target="http://clients1.ibisworld.com.au/reports/au/industry/productsandmarkets.aspx?entid=294" TargetMode="External"/><Relationship Id="rId16" Type="http://schemas.openxmlformats.org/officeDocument/2006/relationships/hyperlink" Target="https://www.dpmc.gov.au/sites/default/files/publications/Value_of_Statistical_Life_guidance_note.pdf" TargetMode="External"/><Relationship Id="rId1" Type="http://schemas.openxmlformats.org/officeDocument/2006/relationships/hyperlink" Target="http://clients1.ibisworld.com.au/reports/au/industry/productsandmarkets.aspx?entid=294" TargetMode="External"/><Relationship Id="rId6" Type="http://schemas.openxmlformats.org/officeDocument/2006/relationships/hyperlink" Target="http://clients1.ibisworld.com.au/reports/au/industry/majorcompanies.aspx?entid=4169" TargetMode="External"/><Relationship Id="rId11" Type="http://schemas.openxmlformats.org/officeDocument/2006/relationships/hyperlink" Target="http://www.cpsc.gov/en/Business--Manufacturing/Business-Education/Toy-Safety/" TargetMode="External"/><Relationship Id="rId5" Type="http://schemas.openxmlformats.org/officeDocument/2006/relationships/hyperlink" Target="http://clients1.ibisworld.com.au/reports/au/industry/productsandmarkets.aspx?entid=294" TargetMode="External"/><Relationship Id="rId15" Type="http://schemas.openxmlformats.org/officeDocument/2006/relationships/hyperlink" Target="http://eur-lex.europa.eu/LexUriServ/LexUriServ.do?uri=OJ:L:2009:170:0001:0037:en:PDF" TargetMode="External"/><Relationship Id="rId10" Type="http://schemas.openxmlformats.org/officeDocument/2006/relationships/hyperlink" Target="http://www.ecfr.gov/cgi-bin/text-idx?SID=a3dc6e95f41272b960a4d43b6af0ce51&amp;node=pt16.2.1500&amp;rgn=div5" TargetMode="External"/><Relationship Id="rId4" Type="http://schemas.openxmlformats.org/officeDocument/2006/relationships/hyperlink" Target="http://europa.eu/rapid/press-release_MEMO-08-364_en.htm?locale=en" TargetMode="External"/><Relationship Id="rId9" Type="http://schemas.openxmlformats.org/officeDocument/2006/relationships/hyperlink" Target="http://www.productsafety.gov.au/content/index.phtml/itemId/1014180" TargetMode="External"/><Relationship Id="rId14" Type="http://schemas.openxmlformats.org/officeDocument/2006/relationships/hyperlink" Target="http://www.iec.ch"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0F56F8-B14C-4F55-A231-C5D23D6D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DCF4E228</Template>
  <TotalTime>396</TotalTime>
  <Pages>29</Pages>
  <Words>9316</Words>
  <Characters>53104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Mooney, Carolyn</dc:creator>
  <cp:lastModifiedBy>Mooney, Carolyn</cp:lastModifiedBy>
  <cp:revision>175</cp:revision>
  <cp:lastPrinted>2016-11-15T07:11:00Z</cp:lastPrinted>
  <dcterms:created xsi:type="dcterms:W3CDTF">2016-11-18T00:27:00Z</dcterms:created>
  <dcterms:modified xsi:type="dcterms:W3CDTF">2017-02-01T01:16:00Z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8795614</vt:lpwstr>
  </property>
  <property fmtid="{D5CDD505-2E9C-101B-9397-08002B2CF9AE}" pid="3" name="currfile">
    <vt:lpwstr>\\cdchnas-evs02\home$\zmauri\cps - sp - toy standards review - draft ris (D2016-00155821).docx</vt:lpwstr>
  </property>
</Properties>
</file>