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51" w:rsidRPr="008B0918" w:rsidRDefault="000B1851" w:rsidP="000B1851">
      <w:pPr>
        <w:jc w:val="center"/>
        <w:rPr>
          <w:rFonts w:ascii="Arial" w:hAnsi="Arial" w:cs="Arial"/>
          <w:sz w:val="36"/>
        </w:rPr>
      </w:pPr>
    </w:p>
    <w:p w:rsidR="000B1851" w:rsidRPr="008B0918" w:rsidRDefault="00577E8D" w:rsidP="000B1851">
      <w:pPr>
        <w:jc w:val="center"/>
        <w:rPr>
          <w:rFonts w:ascii="Arial" w:hAnsi="Arial" w:cs="Arial"/>
          <w:sz w:val="36"/>
        </w:rPr>
      </w:pPr>
      <w:r>
        <w:rPr>
          <w:rFonts w:ascii="Arial" w:hAnsi="Arial" w:cs="Arial"/>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9pt;margin-top:28.05pt;width:254.2pt;height:222.45pt;z-index:-251658752;mso-position-horizontal-relative:page;mso-position-vertical-relative:page">
            <v:imagedata r:id="rId9" o:title="ACTcol"/>
            <w10:wrap anchorx="page" anchory="page"/>
          </v:shape>
        </w:pict>
      </w:r>
    </w:p>
    <w:p w:rsidR="000B1851" w:rsidRPr="008B0918" w:rsidRDefault="000B1851" w:rsidP="000B1851">
      <w:pPr>
        <w:jc w:val="center"/>
        <w:rPr>
          <w:rFonts w:ascii="Arial" w:hAnsi="Arial" w:cs="Arial"/>
          <w:b/>
          <w:sz w:val="36"/>
        </w:rPr>
      </w:pPr>
    </w:p>
    <w:p w:rsidR="000B1851" w:rsidRDefault="000B1851" w:rsidP="000B1851">
      <w:pPr>
        <w:jc w:val="center"/>
        <w:rPr>
          <w:rFonts w:ascii="Arial" w:hAnsi="Arial" w:cs="Arial"/>
          <w:sz w:val="36"/>
        </w:rPr>
      </w:pPr>
    </w:p>
    <w:p w:rsidR="000B1851" w:rsidRPr="008B0918" w:rsidRDefault="000B1851" w:rsidP="000B1851">
      <w:pPr>
        <w:jc w:val="center"/>
        <w:rPr>
          <w:rFonts w:ascii="Arial" w:hAnsi="Arial" w:cs="Arial"/>
          <w:sz w:val="36"/>
        </w:rPr>
      </w:pPr>
    </w:p>
    <w:p w:rsidR="000B1851" w:rsidRPr="008B0918" w:rsidRDefault="000B1851" w:rsidP="000B1851">
      <w:pPr>
        <w:jc w:val="center"/>
        <w:rPr>
          <w:rFonts w:ascii="Arial" w:hAnsi="Arial" w:cs="Arial"/>
          <w:sz w:val="36"/>
        </w:rPr>
      </w:pPr>
    </w:p>
    <w:p w:rsidR="00552632" w:rsidRDefault="00552632" w:rsidP="000B1851">
      <w:pPr>
        <w:spacing w:after="60"/>
        <w:jc w:val="center"/>
        <w:rPr>
          <w:rFonts w:ascii="Arial" w:hAnsi="Arial" w:cs="Arial"/>
          <w:b/>
          <w:sz w:val="32"/>
          <w:szCs w:val="32"/>
        </w:rPr>
      </w:pPr>
    </w:p>
    <w:p w:rsidR="00552632" w:rsidRDefault="00552632" w:rsidP="000B1851">
      <w:pPr>
        <w:spacing w:after="60"/>
        <w:jc w:val="center"/>
        <w:rPr>
          <w:rFonts w:ascii="Arial" w:hAnsi="Arial" w:cs="Arial"/>
          <w:b/>
          <w:sz w:val="32"/>
          <w:szCs w:val="32"/>
        </w:rPr>
      </w:pPr>
    </w:p>
    <w:p w:rsidR="00552632" w:rsidRDefault="00552632" w:rsidP="00614972">
      <w:pPr>
        <w:spacing w:after="60"/>
        <w:rPr>
          <w:rFonts w:ascii="Times New Roman" w:hAnsi="Times New Roman"/>
          <w:b/>
          <w:sz w:val="52"/>
          <w:szCs w:val="52"/>
        </w:rPr>
      </w:pPr>
    </w:p>
    <w:p w:rsidR="00552632" w:rsidRPr="00CF4BA1" w:rsidRDefault="00CF4BA1" w:rsidP="000B1851">
      <w:pPr>
        <w:spacing w:after="60"/>
        <w:jc w:val="center"/>
        <w:rPr>
          <w:rFonts w:ascii="Arial" w:hAnsi="Arial" w:cs="Arial"/>
          <w:b/>
          <w:sz w:val="36"/>
          <w:szCs w:val="36"/>
        </w:rPr>
      </w:pPr>
      <w:r>
        <w:rPr>
          <w:rFonts w:ascii="Arial" w:hAnsi="Arial" w:cs="Arial"/>
          <w:b/>
          <w:sz w:val="36"/>
          <w:szCs w:val="36"/>
        </w:rPr>
        <w:t>DISCUSSION PAPER</w:t>
      </w:r>
    </w:p>
    <w:p w:rsidR="00614972" w:rsidRDefault="00614972" w:rsidP="000B1851">
      <w:pPr>
        <w:spacing w:after="60"/>
        <w:jc w:val="center"/>
        <w:rPr>
          <w:rFonts w:cs="Calibri"/>
          <w:b/>
          <w:sz w:val="52"/>
          <w:szCs w:val="52"/>
        </w:rPr>
      </w:pPr>
    </w:p>
    <w:p w:rsidR="00552632" w:rsidRPr="00E856A0" w:rsidRDefault="000B1851" w:rsidP="000B1851">
      <w:pPr>
        <w:spacing w:after="60"/>
        <w:jc w:val="center"/>
        <w:rPr>
          <w:rFonts w:cs="Calibri"/>
          <w:b/>
          <w:sz w:val="52"/>
          <w:szCs w:val="52"/>
        </w:rPr>
      </w:pPr>
      <w:bookmarkStart w:id="0" w:name="_GoBack"/>
      <w:r w:rsidRPr="00E856A0">
        <w:rPr>
          <w:rFonts w:cs="Calibri"/>
          <w:b/>
          <w:sz w:val="52"/>
          <w:szCs w:val="52"/>
        </w:rPr>
        <w:t xml:space="preserve">Review of the </w:t>
      </w:r>
      <w:r w:rsidR="00552632" w:rsidRPr="00E856A0">
        <w:rPr>
          <w:rFonts w:cs="Calibri"/>
          <w:b/>
          <w:sz w:val="52"/>
          <w:szCs w:val="52"/>
        </w:rPr>
        <w:t>Consumer Product Safety Standard for Household cots</w:t>
      </w:r>
      <w:r w:rsidRPr="00E856A0">
        <w:rPr>
          <w:rFonts w:cs="Calibri"/>
          <w:b/>
          <w:sz w:val="52"/>
          <w:szCs w:val="52"/>
        </w:rPr>
        <w:t xml:space="preserve"> </w:t>
      </w:r>
    </w:p>
    <w:bookmarkEnd w:id="0"/>
    <w:p w:rsidR="00F2453B" w:rsidRPr="00477718" w:rsidRDefault="00F2453B" w:rsidP="00F2453B">
      <w:pPr>
        <w:jc w:val="center"/>
        <w:rPr>
          <w:rFonts w:cs="Arial"/>
          <w:sz w:val="28"/>
          <w:szCs w:val="28"/>
        </w:rPr>
      </w:pPr>
      <w:r>
        <w:rPr>
          <w:rFonts w:cs="Arial"/>
          <w:sz w:val="28"/>
          <w:szCs w:val="28"/>
        </w:rPr>
        <w:t xml:space="preserve">This </w:t>
      </w:r>
      <w:r w:rsidR="00CF4BA1">
        <w:rPr>
          <w:rFonts w:cs="Arial"/>
          <w:sz w:val="28"/>
          <w:szCs w:val="28"/>
        </w:rPr>
        <w:t>discussion</w:t>
      </w:r>
      <w:r>
        <w:rPr>
          <w:rFonts w:cs="Arial"/>
          <w:sz w:val="28"/>
          <w:szCs w:val="28"/>
        </w:rPr>
        <w:t xml:space="preserve"> paper</w:t>
      </w:r>
      <w:r w:rsidRPr="008138D7">
        <w:rPr>
          <w:rFonts w:cs="Arial"/>
          <w:sz w:val="28"/>
          <w:szCs w:val="28"/>
        </w:rPr>
        <w:t xml:space="preserve"> </w:t>
      </w:r>
      <w:r>
        <w:rPr>
          <w:rFonts w:cs="Arial"/>
          <w:sz w:val="28"/>
          <w:szCs w:val="28"/>
        </w:rPr>
        <w:t>details policy proposals under consideration in the</w:t>
      </w:r>
      <w:r w:rsidRPr="008138D7">
        <w:rPr>
          <w:rFonts w:cs="Arial"/>
          <w:sz w:val="28"/>
          <w:szCs w:val="28"/>
        </w:rPr>
        <w:t xml:space="preserve"> </w:t>
      </w:r>
      <w:r>
        <w:rPr>
          <w:rFonts w:cs="Arial"/>
          <w:sz w:val="28"/>
          <w:szCs w:val="28"/>
        </w:rPr>
        <w:t xml:space="preserve">review of the </w:t>
      </w:r>
      <w:r w:rsidRPr="008138D7">
        <w:rPr>
          <w:rFonts w:cs="Arial"/>
          <w:sz w:val="28"/>
          <w:szCs w:val="28"/>
        </w:rPr>
        <w:t xml:space="preserve">mandatory </w:t>
      </w:r>
      <w:r>
        <w:rPr>
          <w:rFonts w:cs="Arial"/>
          <w:sz w:val="28"/>
          <w:szCs w:val="28"/>
        </w:rPr>
        <w:t>standard for</w:t>
      </w:r>
      <w:r w:rsidRPr="00477718">
        <w:rPr>
          <w:rFonts w:cs="Arial"/>
          <w:sz w:val="28"/>
          <w:szCs w:val="28"/>
        </w:rPr>
        <w:t xml:space="preserve"> </w:t>
      </w:r>
      <w:r w:rsidR="002F5E66">
        <w:rPr>
          <w:rFonts w:cs="Arial"/>
          <w:sz w:val="28"/>
          <w:szCs w:val="28"/>
        </w:rPr>
        <w:t>household cots</w:t>
      </w:r>
    </w:p>
    <w:p w:rsidR="00552632" w:rsidRDefault="00552632" w:rsidP="000B1851">
      <w:pPr>
        <w:spacing w:after="60"/>
        <w:jc w:val="center"/>
        <w:rPr>
          <w:rFonts w:ascii="Times New Roman" w:hAnsi="Times New Roman"/>
          <w:b/>
          <w:sz w:val="52"/>
          <w:szCs w:val="52"/>
        </w:rPr>
      </w:pPr>
    </w:p>
    <w:p w:rsidR="00552632" w:rsidRDefault="00552632" w:rsidP="000B1851">
      <w:pPr>
        <w:spacing w:after="60"/>
        <w:jc w:val="center"/>
        <w:rPr>
          <w:rFonts w:ascii="Times New Roman" w:hAnsi="Times New Roman"/>
          <w:b/>
          <w:sz w:val="52"/>
          <w:szCs w:val="52"/>
        </w:rPr>
      </w:pPr>
    </w:p>
    <w:p w:rsidR="00552632" w:rsidRDefault="00552632" w:rsidP="000B1851">
      <w:pPr>
        <w:spacing w:after="60"/>
        <w:jc w:val="center"/>
        <w:rPr>
          <w:rFonts w:ascii="Times New Roman" w:hAnsi="Times New Roman"/>
          <w:b/>
          <w:sz w:val="52"/>
          <w:szCs w:val="52"/>
        </w:rPr>
      </w:pPr>
    </w:p>
    <w:p w:rsidR="000B1851" w:rsidRPr="00E856A0" w:rsidRDefault="008D0E98" w:rsidP="000B1851">
      <w:pPr>
        <w:spacing w:after="60"/>
        <w:jc w:val="center"/>
        <w:rPr>
          <w:rFonts w:cs="Calibri"/>
          <w:b/>
          <w:i/>
          <w:sz w:val="36"/>
          <w:szCs w:val="36"/>
        </w:rPr>
      </w:pPr>
      <w:r>
        <w:rPr>
          <w:rFonts w:cs="Calibri"/>
          <w:b/>
          <w:sz w:val="36"/>
          <w:szCs w:val="36"/>
        </w:rPr>
        <w:t>August</w:t>
      </w:r>
      <w:r w:rsidR="00E853E2" w:rsidRPr="00E856A0">
        <w:rPr>
          <w:rFonts w:cs="Calibri"/>
          <w:b/>
          <w:sz w:val="36"/>
          <w:szCs w:val="36"/>
        </w:rPr>
        <w:t xml:space="preserve"> </w:t>
      </w:r>
      <w:r w:rsidR="008C63F7">
        <w:rPr>
          <w:rFonts w:cs="Calibri"/>
          <w:b/>
          <w:sz w:val="36"/>
          <w:szCs w:val="36"/>
        </w:rPr>
        <w:t>2014</w:t>
      </w:r>
      <w:r w:rsidR="000B1851" w:rsidRPr="00E856A0">
        <w:rPr>
          <w:rFonts w:cs="Calibri"/>
          <w:b/>
          <w:sz w:val="36"/>
          <w:szCs w:val="36"/>
        </w:rPr>
        <w:br/>
      </w:r>
    </w:p>
    <w:p w:rsidR="00F2453B" w:rsidRDefault="00F2453B" w:rsidP="00F2453B">
      <w:pPr>
        <w:jc w:val="center"/>
        <w:rPr>
          <w:rFonts w:cs="Arial"/>
          <w:sz w:val="36"/>
        </w:rPr>
      </w:pPr>
      <w:r>
        <w:rPr>
          <w:rFonts w:cs="Arial"/>
          <w:sz w:val="36"/>
        </w:rPr>
        <w:t xml:space="preserve">Closing date for </w:t>
      </w:r>
      <w:r w:rsidRPr="00941B50">
        <w:rPr>
          <w:rFonts w:cs="Arial"/>
          <w:sz w:val="36"/>
        </w:rPr>
        <w:t xml:space="preserve">submissions </w:t>
      </w:r>
      <w:r w:rsidR="008D0E98">
        <w:rPr>
          <w:rFonts w:cs="Arial"/>
          <w:sz w:val="36"/>
        </w:rPr>
        <w:t>15</w:t>
      </w:r>
      <w:r w:rsidRPr="00242ACA">
        <w:rPr>
          <w:rFonts w:cs="Arial"/>
          <w:sz w:val="36"/>
        </w:rPr>
        <w:t xml:space="preserve"> </w:t>
      </w:r>
      <w:r w:rsidR="008D0E98">
        <w:rPr>
          <w:rFonts w:cs="Arial"/>
          <w:sz w:val="36"/>
        </w:rPr>
        <w:t>September</w:t>
      </w:r>
      <w:r w:rsidR="00856659">
        <w:rPr>
          <w:rFonts w:cs="Arial"/>
          <w:sz w:val="36"/>
        </w:rPr>
        <w:t xml:space="preserve"> </w:t>
      </w:r>
      <w:r w:rsidR="00CF4BA1">
        <w:rPr>
          <w:rFonts w:cs="Arial"/>
          <w:sz w:val="36"/>
        </w:rPr>
        <w:t>2014</w:t>
      </w:r>
    </w:p>
    <w:p w:rsidR="000B1851" w:rsidRDefault="000B1851" w:rsidP="000B1851">
      <w:pPr>
        <w:jc w:val="center"/>
        <w:rPr>
          <w:rFonts w:ascii="Arial" w:hAnsi="Arial" w:cs="Arial"/>
        </w:rPr>
      </w:pPr>
    </w:p>
    <w:p w:rsidR="000B1851" w:rsidRPr="004F1888" w:rsidRDefault="000B1851" w:rsidP="000B1851">
      <w:pPr>
        <w:jc w:val="center"/>
        <w:rPr>
          <w:rFonts w:ascii="Arial" w:hAnsi="Arial" w:cs="Arial"/>
        </w:rPr>
      </w:pPr>
    </w:p>
    <w:p w:rsidR="005375FD" w:rsidRDefault="00680C93" w:rsidP="005375FD">
      <w:pPr>
        <w:rPr>
          <w:rFonts w:ascii="Arial" w:hAnsi="Arial" w:cs="Arial"/>
          <w:sz w:val="36"/>
        </w:rPr>
      </w:pPr>
      <w:r>
        <w:rPr>
          <w:rFonts w:ascii="Arial" w:hAnsi="Arial" w:cs="Arial"/>
          <w:sz w:val="36"/>
        </w:rPr>
        <w:br w:type="page"/>
      </w: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Default="005375FD" w:rsidP="005375FD">
      <w:pPr>
        <w:rPr>
          <w:rFonts w:ascii="Arial" w:hAnsi="Arial" w:cs="Arial"/>
          <w:sz w:val="36"/>
        </w:rPr>
      </w:pPr>
    </w:p>
    <w:p w:rsidR="005375FD" w:rsidRPr="00E856A0" w:rsidRDefault="005375FD" w:rsidP="005375FD">
      <w:pPr>
        <w:rPr>
          <w:rFonts w:cs="Calibri"/>
          <w:sz w:val="16"/>
          <w:szCs w:val="16"/>
        </w:rPr>
      </w:pPr>
      <w:r w:rsidRPr="00E856A0">
        <w:rPr>
          <w:rFonts w:cs="Calibri"/>
          <w:sz w:val="16"/>
          <w:szCs w:val="16"/>
        </w:rPr>
        <w:t>Australian Competition and Consumer Commission</w:t>
      </w:r>
    </w:p>
    <w:p w:rsidR="005375FD" w:rsidRPr="00E856A0" w:rsidRDefault="005375FD" w:rsidP="005375FD">
      <w:pPr>
        <w:rPr>
          <w:rFonts w:cs="Calibri"/>
          <w:sz w:val="16"/>
          <w:szCs w:val="16"/>
        </w:rPr>
      </w:pPr>
      <w:r w:rsidRPr="00E856A0">
        <w:rPr>
          <w:rFonts w:cs="Calibri"/>
          <w:sz w:val="16"/>
          <w:szCs w:val="16"/>
        </w:rPr>
        <w:t>23 Marcus Clarke Street, Canberra, Australian Capital Territory, 2601</w:t>
      </w:r>
    </w:p>
    <w:p w:rsidR="005375FD" w:rsidRPr="00E856A0" w:rsidRDefault="005375FD" w:rsidP="005375FD">
      <w:pPr>
        <w:rPr>
          <w:rFonts w:cs="Calibri"/>
          <w:sz w:val="16"/>
          <w:szCs w:val="16"/>
        </w:rPr>
      </w:pPr>
    </w:p>
    <w:p w:rsidR="005375FD" w:rsidRPr="00E856A0" w:rsidRDefault="005375FD" w:rsidP="005375FD">
      <w:pPr>
        <w:rPr>
          <w:rFonts w:cs="Calibri"/>
          <w:sz w:val="16"/>
          <w:szCs w:val="16"/>
        </w:rPr>
      </w:pPr>
      <w:r w:rsidRPr="00E856A0">
        <w:rPr>
          <w:rFonts w:cs="Calibri"/>
          <w:sz w:val="16"/>
          <w:szCs w:val="16"/>
        </w:rPr>
        <w:t>© Commonwealth of Australia 2013</w:t>
      </w:r>
    </w:p>
    <w:p w:rsidR="005375FD" w:rsidRPr="00E856A0" w:rsidRDefault="005375FD" w:rsidP="005375FD">
      <w:pPr>
        <w:rPr>
          <w:rFonts w:cs="Calibri"/>
          <w:sz w:val="16"/>
          <w:szCs w:val="16"/>
        </w:rPr>
      </w:pPr>
    </w:p>
    <w:p w:rsidR="005375FD" w:rsidRPr="00E856A0" w:rsidRDefault="005375FD" w:rsidP="005375FD">
      <w:pPr>
        <w:rPr>
          <w:rFonts w:cs="Calibri"/>
          <w:sz w:val="16"/>
          <w:szCs w:val="16"/>
        </w:rPr>
      </w:pPr>
      <w:r w:rsidRPr="00E856A0">
        <w:rPr>
          <w:rFonts w:cs="Calibri"/>
          <w:sz w:val="16"/>
          <w:szCs w:val="16"/>
        </w:rPr>
        <w:t xml:space="preserve">This work is copyright. In addition to any use permitted under the </w:t>
      </w:r>
      <w:r w:rsidRPr="00E856A0">
        <w:rPr>
          <w:rFonts w:cs="Calibri"/>
          <w:i/>
          <w:iCs/>
          <w:sz w:val="16"/>
          <w:szCs w:val="16"/>
        </w:rPr>
        <w:t>Copyright Act 1968</w:t>
      </w:r>
      <w:r w:rsidRPr="00E856A0">
        <w:rPr>
          <w:rFonts w:cs="Calibri"/>
          <w:sz w:val="16"/>
          <w:szCs w:val="16"/>
        </w:rPr>
        <w:t>, all material contained within this work is provided under a Creative Commons Attribution 3.0 Australia licence, with the exception of:</w:t>
      </w:r>
    </w:p>
    <w:p w:rsidR="005375FD" w:rsidRPr="00E856A0" w:rsidRDefault="005375FD" w:rsidP="005375FD">
      <w:pPr>
        <w:rPr>
          <w:rFonts w:cs="Calibri"/>
          <w:sz w:val="16"/>
          <w:szCs w:val="16"/>
        </w:rPr>
      </w:pPr>
    </w:p>
    <w:p w:rsidR="005375FD" w:rsidRPr="00E856A0" w:rsidRDefault="005375FD" w:rsidP="002E34CB">
      <w:pPr>
        <w:pStyle w:val="ListParagraph"/>
        <w:numPr>
          <w:ilvl w:val="0"/>
          <w:numId w:val="11"/>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the Commonwealth Coat of Arms</w:t>
      </w:r>
    </w:p>
    <w:p w:rsidR="005375FD" w:rsidRPr="00E856A0" w:rsidRDefault="005375FD" w:rsidP="002E34CB">
      <w:pPr>
        <w:pStyle w:val="ListParagraph"/>
        <w:numPr>
          <w:ilvl w:val="0"/>
          <w:numId w:val="11"/>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the ACCC logo</w:t>
      </w:r>
    </w:p>
    <w:p w:rsidR="005375FD" w:rsidRPr="00E856A0" w:rsidRDefault="005375FD" w:rsidP="002E34CB">
      <w:pPr>
        <w:pStyle w:val="ListParagraph"/>
        <w:numPr>
          <w:ilvl w:val="0"/>
          <w:numId w:val="11"/>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any illustration, diagram, photograph or graphic over which the Australian Competition and Consumer Commission does not hold copyright, but which may be part of or contained within this publication.</w:t>
      </w:r>
    </w:p>
    <w:p w:rsidR="005375FD" w:rsidRPr="00E856A0" w:rsidRDefault="005375FD" w:rsidP="005375FD">
      <w:pPr>
        <w:pStyle w:val="ListParagraph"/>
        <w:rPr>
          <w:rFonts w:cs="Calibri"/>
          <w:sz w:val="16"/>
          <w:szCs w:val="16"/>
        </w:rPr>
      </w:pPr>
    </w:p>
    <w:p w:rsidR="005375FD" w:rsidRPr="00E856A0" w:rsidRDefault="005375FD" w:rsidP="005375FD">
      <w:pPr>
        <w:rPr>
          <w:rFonts w:cs="Calibri"/>
          <w:sz w:val="16"/>
          <w:szCs w:val="16"/>
        </w:rPr>
      </w:pPr>
      <w:r w:rsidRPr="00E856A0">
        <w:rPr>
          <w:rFonts w:cs="Calibri"/>
          <w:sz w:val="16"/>
          <w:szCs w:val="16"/>
        </w:rPr>
        <w:t>The details of the relevant licence conditions are available on the Creative Commons website, as is the full legal code for the CC BY 3.0 AU licence.</w:t>
      </w:r>
    </w:p>
    <w:p w:rsidR="005375FD" w:rsidRPr="00E856A0" w:rsidRDefault="005375FD" w:rsidP="005375FD">
      <w:pPr>
        <w:rPr>
          <w:rFonts w:cs="Calibri"/>
          <w:sz w:val="16"/>
          <w:szCs w:val="16"/>
        </w:rPr>
      </w:pPr>
    </w:p>
    <w:p w:rsidR="005375FD" w:rsidRPr="00E856A0" w:rsidRDefault="005375FD" w:rsidP="005375FD">
      <w:pPr>
        <w:rPr>
          <w:rFonts w:cs="Calibri"/>
          <w:sz w:val="16"/>
          <w:szCs w:val="16"/>
        </w:rPr>
      </w:pPr>
      <w:r w:rsidRPr="00E856A0">
        <w:rPr>
          <w:rFonts w:cs="Calibri"/>
          <w:sz w:val="16"/>
          <w:szCs w:val="16"/>
        </w:rPr>
        <w:t xml:space="preserve">Requests and inquiries concerning reproduction and rights should be addressed to the Director, Corporate Communications, ACCC, GPO Box 3131, Canberra ACT 2601, or </w:t>
      </w:r>
      <w:hyperlink r:id="rId10" w:history="1">
        <w:r w:rsidRPr="00E856A0">
          <w:rPr>
            <w:rStyle w:val="Hyperlink"/>
            <w:rFonts w:cs="Calibri"/>
            <w:sz w:val="16"/>
            <w:szCs w:val="16"/>
          </w:rPr>
          <w:t>publishing.unit@accc.gov.au</w:t>
        </w:r>
      </w:hyperlink>
      <w:r w:rsidRPr="00E856A0">
        <w:rPr>
          <w:rFonts w:cs="Calibri"/>
          <w:sz w:val="16"/>
          <w:szCs w:val="16"/>
        </w:rPr>
        <w:t>.</w:t>
      </w:r>
    </w:p>
    <w:p w:rsidR="005375FD" w:rsidRPr="00E856A0" w:rsidRDefault="005375FD" w:rsidP="005375FD">
      <w:pPr>
        <w:rPr>
          <w:rFonts w:cs="Calibri"/>
          <w:sz w:val="16"/>
          <w:szCs w:val="16"/>
        </w:rPr>
      </w:pPr>
    </w:p>
    <w:p w:rsidR="005375FD" w:rsidRPr="00E856A0" w:rsidRDefault="005375FD" w:rsidP="005375FD">
      <w:pPr>
        <w:pStyle w:val="Heading4"/>
        <w:rPr>
          <w:rFonts w:cs="Calibri"/>
          <w:sz w:val="16"/>
          <w:szCs w:val="16"/>
        </w:rPr>
      </w:pPr>
      <w:r w:rsidRPr="00E856A0">
        <w:rPr>
          <w:rFonts w:cs="Calibri"/>
          <w:sz w:val="16"/>
          <w:szCs w:val="16"/>
        </w:rPr>
        <w:t>Important Notice</w:t>
      </w:r>
    </w:p>
    <w:p w:rsidR="005375FD" w:rsidRPr="00E856A0" w:rsidRDefault="005375FD" w:rsidP="005375FD">
      <w:pPr>
        <w:rPr>
          <w:rFonts w:cs="Calibri"/>
          <w:sz w:val="16"/>
          <w:szCs w:val="16"/>
        </w:rPr>
      </w:pPr>
    </w:p>
    <w:p w:rsidR="005375FD" w:rsidRPr="00E856A0" w:rsidRDefault="005375FD" w:rsidP="005375FD">
      <w:pPr>
        <w:rPr>
          <w:rFonts w:cs="Calibri"/>
          <w:sz w:val="16"/>
          <w:szCs w:val="16"/>
        </w:rPr>
      </w:pPr>
      <w:r w:rsidRPr="00E856A0">
        <w:rPr>
          <w:rFonts w:cs="Calibri"/>
          <w:sz w:val="16"/>
          <w:szCs w:val="16"/>
        </w:rPr>
        <w:t>The information in this publication is for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rsidR="005375FD" w:rsidRPr="00E856A0" w:rsidRDefault="005375FD" w:rsidP="005375FD">
      <w:pPr>
        <w:rPr>
          <w:rFonts w:cs="Calibri"/>
          <w:sz w:val="16"/>
          <w:szCs w:val="16"/>
        </w:rPr>
      </w:pPr>
    </w:p>
    <w:p w:rsidR="00095EA5" w:rsidRPr="00E856A0" w:rsidRDefault="005375FD" w:rsidP="00552632">
      <w:pPr>
        <w:pStyle w:val="TOCHeading"/>
        <w:rPr>
          <w:rFonts w:cs="Calibri"/>
          <w:b w:val="0"/>
          <w:color w:val="auto"/>
          <w:sz w:val="16"/>
          <w:szCs w:val="16"/>
        </w:rPr>
      </w:pPr>
      <w:r w:rsidRPr="00E856A0">
        <w:rPr>
          <w:rFonts w:cs="Calibri"/>
          <w:b w:val="0"/>
          <w:color w:val="auto"/>
          <w:sz w:val="16"/>
          <w:szCs w:val="16"/>
        </w:rPr>
        <w:t>The ACCC has made every reasonable effort to provide current and accurate information, but it does not make any guarantees regarding the accuracy, currency or completeness of that information.</w:t>
      </w:r>
    </w:p>
    <w:p w:rsidR="005375FD" w:rsidRPr="00E856A0" w:rsidRDefault="005375FD" w:rsidP="00552632">
      <w:pPr>
        <w:pStyle w:val="TOCHeading"/>
        <w:rPr>
          <w:rFonts w:cs="Calibri"/>
          <w:b w:val="0"/>
          <w:color w:val="auto"/>
          <w:sz w:val="16"/>
          <w:szCs w:val="16"/>
        </w:rPr>
      </w:pPr>
      <w:r w:rsidRPr="00E856A0">
        <w:rPr>
          <w:rFonts w:cs="Calibri"/>
          <w:b w:val="0"/>
          <w:color w:val="auto"/>
          <w:sz w:val="16"/>
          <w:szCs w:val="16"/>
        </w:rPr>
        <w:t xml:space="preserve">Parties who wish to re-publish or otherwise use the information in this publication must check this information for currency and accuracy prior to publication. This should be done prior to each publication edition, as ACCC guidance and relevant transitional legislation frequently change. Any queries parties have should be addressed to the Director, Corporate Communications, ACCC, GPO Box 3131, Canberra ACT 2601, or </w:t>
      </w:r>
      <w:hyperlink r:id="rId11" w:history="1">
        <w:r w:rsidRPr="00E856A0">
          <w:rPr>
            <w:rStyle w:val="Hyperlink"/>
            <w:rFonts w:cs="Calibri"/>
            <w:b w:val="0"/>
            <w:color w:val="auto"/>
            <w:sz w:val="16"/>
            <w:szCs w:val="16"/>
          </w:rPr>
          <w:t>publishing.unit@accc.gov.au</w:t>
        </w:r>
      </w:hyperlink>
      <w:r w:rsidRPr="00E856A0">
        <w:rPr>
          <w:rFonts w:cs="Calibri"/>
          <w:b w:val="0"/>
          <w:color w:val="auto"/>
          <w:sz w:val="16"/>
          <w:szCs w:val="16"/>
        </w:rPr>
        <w:t>.</w:t>
      </w:r>
    </w:p>
    <w:p w:rsidR="005375FD" w:rsidRDefault="005375FD" w:rsidP="005375FD">
      <w:pPr>
        <w:rPr>
          <w:lang w:val="en-US" w:eastAsia="ja-JP"/>
        </w:rPr>
      </w:pPr>
    </w:p>
    <w:p w:rsidR="00F42065" w:rsidRDefault="00F42065" w:rsidP="00A03798">
      <w:pPr>
        <w:pStyle w:val="Heading1"/>
      </w:pPr>
      <w:r>
        <w:rPr>
          <w:lang w:val="en-US" w:eastAsia="ja-JP"/>
        </w:rPr>
        <w:br w:type="page"/>
      </w:r>
      <w:bookmarkStart w:id="1" w:name="_Toc367800954"/>
      <w:bookmarkStart w:id="2" w:name="_Toc367801220"/>
      <w:bookmarkStart w:id="3" w:name="_Toc367801421"/>
      <w:bookmarkStart w:id="4" w:name="_Toc367801612"/>
      <w:bookmarkStart w:id="5" w:name="_Toc367801735"/>
      <w:r w:rsidR="00A03798">
        <w:rPr>
          <w:lang w:val="en-US" w:eastAsia="ja-JP"/>
        </w:rPr>
        <w:lastRenderedPageBreak/>
        <w:t>Contents</w:t>
      </w:r>
      <w:bookmarkEnd w:id="1"/>
      <w:bookmarkEnd w:id="2"/>
      <w:bookmarkEnd w:id="3"/>
      <w:bookmarkEnd w:id="4"/>
      <w:bookmarkEnd w:id="5"/>
    </w:p>
    <w:p w:rsidR="005D1200" w:rsidRPr="005D1200" w:rsidRDefault="005D1200">
      <w:pPr>
        <w:pStyle w:val="TOC1"/>
        <w:tabs>
          <w:tab w:val="right" w:leader="dot" w:pos="9016"/>
        </w:tabs>
        <w:rPr>
          <w:rFonts w:eastAsia="Times New Roman" w:cs="Times New Roman"/>
          <w:noProof/>
          <w:color w:val="auto"/>
          <w:sz w:val="22"/>
          <w:szCs w:val="22"/>
          <w:lang w:eastAsia="en-AU"/>
        </w:rPr>
      </w:pPr>
      <w:r>
        <w:rPr>
          <w:b/>
          <w:bCs/>
          <w:noProof/>
        </w:rPr>
        <w:fldChar w:fldCharType="begin"/>
      </w:r>
      <w:r>
        <w:rPr>
          <w:b/>
          <w:bCs/>
          <w:noProof/>
        </w:rPr>
        <w:instrText xml:space="preserve"> TOC \o "1-2" \h \z \u </w:instrText>
      </w:r>
      <w:r>
        <w:rPr>
          <w:b/>
          <w:bCs/>
          <w:noProof/>
        </w:rPr>
        <w:fldChar w:fldCharType="separate"/>
      </w:r>
      <w:hyperlink w:anchor="_Toc367801735" w:history="1">
        <w:r w:rsidRPr="00E301A9">
          <w:rPr>
            <w:rStyle w:val="Hyperlink"/>
            <w:noProof/>
            <w:lang w:val="en-US" w:eastAsia="ja-JP"/>
          </w:rPr>
          <w:t>Table of Contents</w:t>
        </w:r>
        <w:r>
          <w:rPr>
            <w:noProof/>
            <w:webHidden/>
          </w:rPr>
          <w:tab/>
        </w:r>
        <w:r>
          <w:rPr>
            <w:noProof/>
            <w:webHidden/>
          </w:rPr>
          <w:fldChar w:fldCharType="begin"/>
        </w:r>
        <w:r>
          <w:rPr>
            <w:noProof/>
            <w:webHidden/>
          </w:rPr>
          <w:instrText xml:space="preserve"> PAGEREF _Toc367801735 \h </w:instrText>
        </w:r>
        <w:r>
          <w:rPr>
            <w:noProof/>
            <w:webHidden/>
          </w:rPr>
        </w:r>
        <w:r>
          <w:rPr>
            <w:noProof/>
            <w:webHidden/>
          </w:rPr>
          <w:fldChar w:fldCharType="separate"/>
        </w:r>
        <w:r w:rsidR="00577E8D">
          <w:rPr>
            <w:noProof/>
            <w:webHidden/>
          </w:rPr>
          <w:t>3</w:t>
        </w:r>
        <w:r>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36" w:history="1">
        <w:r w:rsidR="005D1200" w:rsidRPr="00E301A9">
          <w:rPr>
            <w:rStyle w:val="Hyperlink"/>
            <w:noProof/>
          </w:rPr>
          <w:t>Purpose</w:t>
        </w:r>
        <w:r w:rsidR="005D1200">
          <w:rPr>
            <w:noProof/>
            <w:webHidden/>
          </w:rPr>
          <w:tab/>
        </w:r>
        <w:r w:rsidR="005D1200">
          <w:rPr>
            <w:noProof/>
            <w:webHidden/>
          </w:rPr>
          <w:fldChar w:fldCharType="begin"/>
        </w:r>
        <w:r w:rsidR="005D1200">
          <w:rPr>
            <w:noProof/>
            <w:webHidden/>
          </w:rPr>
          <w:instrText xml:space="preserve"> PAGEREF _Toc367801736 \h </w:instrText>
        </w:r>
        <w:r w:rsidR="005D1200">
          <w:rPr>
            <w:noProof/>
            <w:webHidden/>
          </w:rPr>
        </w:r>
        <w:r w:rsidR="005D1200">
          <w:rPr>
            <w:noProof/>
            <w:webHidden/>
          </w:rPr>
          <w:fldChar w:fldCharType="separate"/>
        </w:r>
        <w:r>
          <w:rPr>
            <w:noProof/>
            <w:webHidden/>
          </w:rPr>
          <w:t>4</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37" w:history="1">
        <w:r w:rsidR="005D1200" w:rsidRPr="00E301A9">
          <w:rPr>
            <w:rStyle w:val="Hyperlink"/>
            <w:noProof/>
          </w:rPr>
          <w:t>Summary</w:t>
        </w:r>
        <w:r w:rsidR="005D1200">
          <w:rPr>
            <w:noProof/>
            <w:webHidden/>
          </w:rPr>
          <w:tab/>
        </w:r>
        <w:r w:rsidR="005D1200">
          <w:rPr>
            <w:noProof/>
            <w:webHidden/>
          </w:rPr>
          <w:fldChar w:fldCharType="begin"/>
        </w:r>
        <w:r w:rsidR="005D1200">
          <w:rPr>
            <w:noProof/>
            <w:webHidden/>
          </w:rPr>
          <w:instrText xml:space="preserve"> PAGEREF _Toc367801737 \h </w:instrText>
        </w:r>
        <w:r w:rsidR="005D1200">
          <w:rPr>
            <w:noProof/>
            <w:webHidden/>
          </w:rPr>
        </w:r>
        <w:r w:rsidR="005D1200">
          <w:rPr>
            <w:noProof/>
            <w:webHidden/>
          </w:rPr>
          <w:fldChar w:fldCharType="separate"/>
        </w:r>
        <w:r>
          <w:rPr>
            <w:noProof/>
            <w:webHidden/>
          </w:rPr>
          <w:t>4</w:t>
        </w:r>
        <w:r w:rsidR="005D1200">
          <w:rPr>
            <w:noProof/>
            <w:webHidden/>
          </w:rPr>
          <w:fldChar w:fldCharType="end"/>
        </w:r>
      </w:hyperlink>
    </w:p>
    <w:p w:rsidR="008352B9" w:rsidRDefault="008352B9">
      <w:pPr>
        <w:pStyle w:val="TOC1"/>
        <w:tabs>
          <w:tab w:val="right" w:leader="dot" w:pos="9016"/>
        </w:tabs>
      </w:pPr>
      <w:r>
        <w:t>Consultation</w:t>
      </w:r>
      <w:r>
        <w:tab/>
        <w:t>5</w:t>
      </w:r>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38" w:history="1">
        <w:r w:rsidR="005D1200" w:rsidRPr="00E301A9">
          <w:rPr>
            <w:rStyle w:val="Hyperlink"/>
            <w:noProof/>
          </w:rPr>
          <w:t>Background</w:t>
        </w:r>
        <w:r w:rsidR="005D1200">
          <w:rPr>
            <w:noProof/>
            <w:webHidden/>
          </w:rPr>
          <w:tab/>
        </w:r>
        <w:r w:rsidR="005D1200">
          <w:rPr>
            <w:noProof/>
            <w:webHidden/>
          </w:rPr>
          <w:fldChar w:fldCharType="begin"/>
        </w:r>
        <w:r w:rsidR="005D1200">
          <w:rPr>
            <w:noProof/>
            <w:webHidden/>
          </w:rPr>
          <w:instrText xml:space="preserve"> PAGEREF _Toc367801738 \h </w:instrText>
        </w:r>
        <w:r w:rsidR="005D1200">
          <w:rPr>
            <w:noProof/>
            <w:webHidden/>
          </w:rPr>
        </w:r>
        <w:r w:rsidR="005D1200">
          <w:rPr>
            <w:noProof/>
            <w:webHidden/>
          </w:rPr>
          <w:fldChar w:fldCharType="separate"/>
        </w:r>
        <w:r>
          <w:rPr>
            <w:noProof/>
            <w:webHidden/>
          </w:rPr>
          <w:t>5</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45" w:history="1">
        <w:r w:rsidR="005D1200" w:rsidRPr="00E301A9">
          <w:rPr>
            <w:rStyle w:val="Hyperlink"/>
            <w:noProof/>
          </w:rPr>
          <w:t>Hazards addressed by the mandatory standard</w:t>
        </w:r>
        <w:r w:rsidR="005D1200">
          <w:rPr>
            <w:noProof/>
            <w:webHidden/>
          </w:rPr>
          <w:tab/>
        </w:r>
        <w:r w:rsidR="005D1200">
          <w:rPr>
            <w:noProof/>
            <w:webHidden/>
          </w:rPr>
          <w:fldChar w:fldCharType="begin"/>
        </w:r>
        <w:r w:rsidR="005D1200">
          <w:rPr>
            <w:noProof/>
            <w:webHidden/>
          </w:rPr>
          <w:instrText xml:space="preserve"> PAGEREF _Toc367801745 \h </w:instrText>
        </w:r>
        <w:r w:rsidR="005D1200">
          <w:rPr>
            <w:noProof/>
            <w:webHidden/>
          </w:rPr>
        </w:r>
        <w:r w:rsidR="005D1200">
          <w:rPr>
            <w:noProof/>
            <w:webHidden/>
          </w:rPr>
          <w:fldChar w:fldCharType="separate"/>
        </w:r>
        <w:r>
          <w:rPr>
            <w:noProof/>
            <w:webHidden/>
          </w:rPr>
          <w:t>6</w:t>
        </w:r>
        <w:r w:rsidR="005D1200">
          <w:rPr>
            <w:noProof/>
            <w:webHidden/>
          </w:rPr>
          <w:fldChar w:fldCharType="end"/>
        </w:r>
      </w:hyperlink>
    </w:p>
    <w:p w:rsidR="005D1200" w:rsidRDefault="00577E8D">
      <w:pPr>
        <w:pStyle w:val="TOC1"/>
        <w:tabs>
          <w:tab w:val="right" w:leader="dot" w:pos="9016"/>
        </w:tabs>
        <w:rPr>
          <w:noProof/>
        </w:rPr>
      </w:pPr>
      <w:hyperlink w:anchor="_Toc367801746" w:history="1">
        <w:r w:rsidR="005D1200" w:rsidRPr="00E301A9">
          <w:rPr>
            <w:rStyle w:val="Hyperlink"/>
            <w:noProof/>
          </w:rPr>
          <w:t>Hazards outside the scope of the current mandatory standard</w:t>
        </w:r>
        <w:r w:rsidR="005D1200">
          <w:rPr>
            <w:noProof/>
            <w:webHidden/>
          </w:rPr>
          <w:tab/>
        </w:r>
        <w:r w:rsidR="005D1200">
          <w:rPr>
            <w:noProof/>
            <w:webHidden/>
          </w:rPr>
          <w:fldChar w:fldCharType="begin"/>
        </w:r>
        <w:r w:rsidR="005D1200">
          <w:rPr>
            <w:noProof/>
            <w:webHidden/>
          </w:rPr>
          <w:instrText xml:space="preserve"> PAGEREF _Toc367801746 \h </w:instrText>
        </w:r>
        <w:r w:rsidR="005D1200">
          <w:rPr>
            <w:noProof/>
            <w:webHidden/>
          </w:rPr>
          <w:fldChar w:fldCharType="separate"/>
        </w:r>
        <w:r>
          <w:rPr>
            <w:b/>
            <w:bCs/>
            <w:noProof/>
            <w:webHidden/>
            <w:lang w:val="en-US"/>
          </w:rPr>
          <w:t>Error! Bookmark not defined.</w:t>
        </w:r>
        <w:r w:rsidR="005D1200">
          <w:rPr>
            <w:noProof/>
            <w:webHidden/>
          </w:rPr>
          <w:fldChar w:fldCharType="end"/>
        </w:r>
      </w:hyperlink>
      <w:r w:rsidR="008352B9">
        <w:rPr>
          <w:noProof/>
        </w:rPr>
        <w:t>7</w:t>
      </w:r>
    </w:p>
    <w:p w:rsidR="008352B9" w:rsidRPr="00EC0F0D" w:rsidRDefault="00577E8D" w:rsidP="00EC0F0D">
      <w:pPr>
        <w:pStyle w:val="TOC1"/>
        <w:tabs>
          <w:tab w:val="right" w:leader="dot" w:pos="9016"/>
        </w:tabs>
        <w:rPr>
          <w:rFonts w:eastAsia="Times New Roman" w:cs="Times New Roman"/>
          <w:noProof/>
          <w:color w:val="auto"/>
          <w:sz w:val="22"/>
          <w:szCs w:val="22"/>
          <w:lang w:eastAsia="en-AU"/>
        </w:rPr>
      </w:pPr>
      <w:hyperlink w:anchor="_Toc367801743" w:history="1">
        <w:r w:rsidR="008352B9" w:rsidRPr="00E301A9">
          <w:rPr>
            <w:rStyle w:val="Hyperlink"/>
            <w:noProof/>
          </w:rPr>
          <w:t>Market</w:t>
        </w:r>
        <w:r w:rsidR="008352B9">
          <w:rPr>
            <w:noProof/>
            <w:webHidden/>
          </w:rPr>
          <w:tab/>
        </w:r>
        <w:r w:rsidR="00EC0F0D">
          <w:rPr>
            <w:noProof/>
            <w:webHidden/>
          </w:rPr>
          <w:t>7</w:t>
        </w:r>
      </w:hyperlink>
    </w:p>
    <w:p w:rsidR="00EC0F0D" w:rsidRPr="00EC0F0D" w:rsidRDefault="00577E8D">
      <w:pPr>
        <w:pStyle w:val="TOC1"/>
        <w:tabs>
          <w:tab w:val="right" w:leader="dot" w:pos="9016"/>
        </w:tabs>
        <w:rPr>
          <w:rFonts w:eastAsia="Times New Roman" w:cs="Times New Roman"/>
          <w:noProof/>
          <w:color w:val="auto"/>
          <w:sz w:val="22"/>
          <w:szCs w:val="22"/>
          <w:lang w:eastAsia="en-AU"/>
        </w:rPr>
      </w:pPr>
      <w:hyperlink w:anchor="_Toc367801744" w:history="1">
        <w:r w:rsidR="00EC0F0D" w:rsidRPr="00E301A9">
          <w:rPr>
            <w:rStyle w:val="Hyperlink"/>
            <w:noProof/>
          </w:rPr>
          <w:t>Compliance</w:t>
        </w:r>
        <w:r w:rsidR="00EC0F0D">
          <w:rPr>
            <w:noProof/>
            <w:webHidden/>
          </w:rPr>
          <w:tab/>
        </w:r>
        <w:r w:rsidR="00EC0F0D">
          <w:rPr>
            <w:noProof/>
            <w:webHidden/>
          </w:rPr>
          <w:fldChar w:fldCharType="begin"/>
        </w:r>
        <w:r w:rsidR="00EC0F0D">
          <w:rPr>
            <w:noProof/>
            <w:webHidden/>
          </w:rPr>
          <w:instrText xml:space="preserve"> PAGEREF _Toc367801744 \h </w:instrText>
        </w:r>
        <w:r w:rsidR="00EC0F0D">
          <w:rPr>
            <w:noProof/>
            <w:webHidden/>
          </w:rPr>
        </w:r>
        <w:r w:rsidR="00EC0F0D">
          <w:rPr>
            <w:noProof/>
            <w:webHidden/>
          </w:rPr>
          <w:fldChar w:fldCharType="separate"/>
        </w:r>
        <w:r>
          <w:rPr>
            <w:noProof/>
            <w:webHidden/>
          </w:rPr>
          <w:t>8</w:t>
        </w:r>
        <w:r w:rsidR="00EC0F0D">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47" w:history="1">
        <w:r w:rsidR="00B15A46">
          <w:rPr>
            <w:rStyle w:val="Hyperlink"/>
            <w:noProof/>
          </w:rPr>
          <w:t>I</w:t>
        </w:r>
        <w:r w:rsidR="005D1200" w:rsidRPr="00E301A9">
          <w:rPr>
            <w:rStyle w:val="Hyperlink"/>
            <w:noProof/>
          </w:rPr>
          <w:t>njury data</w:t>
        </w:r>
        <w:r w:rsidR="005D1200">
          <w:rPr>
            <w:noProof/>
            <w:webHidden/>
          </w:rPr>
          <w:tab/>
        </w:r>
        <w:r w:rsidR="005D1200">
          <w:rPr>
            <w:noProof/>
            <w:webHidden/>
          </w:rPr>
          <w:fldChar w:fldCharType="begin"/>
        </w:r>
        <w:r w:rsidR="005D1200">
          <w:rPr>
            <w:noProof/>
            <w:webHidden/>
          </w:rPr>
          <w:instrText xml:space="preserve"> PAGEREF _Toc367801747 \h </w:instrText>
        </w:r>
        <w:r w:rsidR="005D1200">
          <w:rPr>
            <w:noProof/>
            <w:webHidden/>
          </w:rPr>
        </w:r>
        <w:r w:rsidR="005D1200">
          <w:rPr>
            <w:noProof/>
            <w:webHidden/>
          </w:rPr>
          <w:fldChar w:fldCharType="separate"/>
        </w:r>
        <w:r>
          <w:rPr>
            <w:noProof/>
            <w:webHidden/>
          </w:rPr>
          <w:t>8</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48" w:history="1">
        <w:r w:rsidR="005D1200" w:rsidRPr="00E301A9">
          <w:rPr>
            <w:rStyle w:val="Hyperlink"/>
            <w:noProof/>
          </w:rPr>
          <w:t>National data</w:t>
        </w:r>
        <w:r w:rsidR="005D1200">
          <w:rPr>
            <w:noProof/>
            <w:webHidden/>
          </w:rPr>
          <w:tab/>
        </w:r>
        <w:r w:rsidR="005D1200">
          <w:rPr>
            <w:noProof/>
            <w:webHidden/>
          </w:rPr>
          <w:fldChar w:fldCharType="begin"/>
        </w:r>
        <w:r w:rsidR="005D1200">
          <w:rPr>
            <w:noProof/>
            <w:webHidden/>
          </w:rPr>
          <w:instrText xml:space="preserve"> PAGEREF _Toc367801748 \h </w:instrText>
        </w:r>
        <w:r w:rsidR="005D1200">
          <w:rPr>
            <w:noProof/>
            <w:webHidden/>
          </w:rPr>
        </w:r>
        <w:r w:rsidR="005D1200">
          <w:rPr>
            <w:noProof/>
            <w:webHidden/>
          </w:rPr>
          <w:fldChar w:fldCharType="separate"/>
        </w:r>
        <w:r>
          <w:rPr>
            <w:noProof/>
            <w:webHidden/>
          </w:rPr>
          <w:t>8</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49" w:history="1">
        <w:r w:rsidR="005D1200" w:rsidRPr="00E301A9">
          <w:rPr>
            <w:rStyle w:val="Hyperlink"/>
            <w:noProof/>
          </w:rPr>
          <w:t>Victorian data</w:t>
        </w:r>
        <w:r w:rsidR="005D1200">
          <w:rPr>
            <w:noProof/>
            <w:webHidden/>
          </w:rPr>
          <w:tab/>
        </w:r>
        <w:r w:rsidR="005D1200">
          <w:rPr>
            <w:noProof/>
            <w:webHidden/>
          </w:rPr>
          <w:fldChar w:fldCharType="begin"/>
        </w:r>
        <w:r w:rsidR="005D1200">
          <w:rPr>
            <w:noProof/>
            <w:webHidden/>
          </w:rPr>
          <w:instrText xml:space="preserve"> PAGEREF _Toc367801749 \h </w:instrText>
        </w:r>
        <w:r w:rsidR="005D1200">
          <w:rPr>
            <w:noProof/>
            <w:webHidden/>
          </w:rPr>
        </w:r>
        <w:r w:rsidR="005D1200">
          <w:rPr>
            <w:noProof/>
            <w:webHidden/>
          </w:rPr>
          <w:fldChar w:fldCharType="separate"/>
        </w:r>
        <w:r>
          <w:rPr>
            <w:noProof/>
            <w:webHidden/>
          </w:rPr>
          <w:t>9</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0" w:history="1">
        <w:r w:rsidR="005D1200" w:rsidRPr="00E301A9">
          <w:rPr>
            <w:rStyle w:val="Hyperlink"/>
            <w:noProof/>
          </w:rPr>
          <w:t>Queensland data</w:t>
        </w:r>
        <w:r w:rsidR="005D1200">
          <w:rPr>
            <w:noProof/>
            <w:webHidden/>
          </w:rPr>
          <w:tab/>
        </w:r>
        <w:r w:rsidR="005D1200">
          <w:rPr>
            <w:noProof/>
            <w:webHidden/>
          </w:rPr>
          <w:fldChar w:fldCharType="begin"/>
        </w:r>
        <w:r w:rsidR="005D1200">
          <w:rPr>
            <w:noProof/>
            <w:webHidden/>
          </w:rPr>
          <w:instrText xml:space="preserve"> PAGEREF _Toc367801750 \h </w:instrText>
        </w:r>
        <w:r w:rsidR="005D1200">
          <w:rPr>
            <w:noProof/>
            <w:webHidden/>
          </w:rPr>
        </w:r>
        <w:r w:rsidR="005D1200">
          <w:rPr>
            <w:noProof/>
            <w:webHidden/>
          </w:rPr>
          <w:fldChar w:fldCharType="separate"/>
        </w:r>
        <w:r>
          <w:rPr>
            <w:noProof/>
            <w:webHidden/>
          </w:rPr>
          <w:t>9</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1" w:history="1">
        <w:r w:rsidR="005D1200" w:rsidRPr="00E301A9">
          <w:rPr>
            <w:rStyle w:val="Hyperlink"/>
            <w:noProof/>
          </w:rPr>
          <w:t>US deaths and injuries</w:t>
        </w:r>
        <w:r w:rsidR="005D1200">
          <w:rPr>
            <w:noProof/>
            <w:webHidden/>
          </w:rPr>
          <w:tab/>
        </w:r>
        <w:r w:rsidR="005D1200">
          <w:rPr>
            <w:noProof/>
            <w:webHidden/>
          </w:rPr>
          <w:fldChar w:fldCharType="begin"/>
        </w:r>
        <w:r w:rsidR="005D1200">
          <w:rPr>
            <w:noProof/>
            <w:webHidden/>
          </w:rPr>
          <w:instrText xml:space="preserve"> PAGEREF _Toc367801751 \h </w:instrText>
        </w:r>
        <w:r w:rsidR="005D1200">
          <w:rPr>
            <w:noProof/>
            <w:webHidden/>
          </w:rPr>
        </w:r>
        <w:r w:rsidR="005D1200">
          <w:rPr>
            <w:noProof/>
            <w:webHidden/>
          </w:rPr>
          <w:fldChar w:fldCharType="separate"/>
        </w:r>
        <w:r>
          <w:rPr>
            <w:noProof/>
            <w:webHidden/>
          </w:rPr>
          <w:t>9</w:t>
        </w:r>
        <w:r w:rsidR="005D1200">
          <w:rPr>
            <w:noProof/>
            <w:webHidden/>
          </w:rPr>
          <w:fldChar w:fldCharType="end"/>
        </w:r>
      </w:hyperlink>
    </w:p>
    <w:p w:rsidR="00B15A46" w:rsidRPr="00B15A46" w:rsidRDefault="00577E8D">
      <w:pPr>
        <w:pStyle w:val="TOC1"/>
        <w:tabs>
          <w:tab w:val="right" w:leader="dot" w:pos="9016"/>
        </w:tabs>
        <w:rPr>
          <w:rFonts w:eastAsia="Times New Roman" w:cs="Times New Roman"/>
          <w:noProof/>
          <w:color w:val="auto"/>
          <w:sz w:val="22"/>
          <w:szCs w:val="22"/>
          <w:lang w:eastAsia="en-AU"/>
        </w:rPr>
      </w:pPr>
      <w:hyperlink w:anchor="_Toc367801761" w:history="1">
        <w:r w:rsidR="00B15A46" w:rsidRPr="00E301A9">
          <w:rPr>
            <w:rStyle w:val="Hyperlink"/>
            <w:noProof/>
          </w:rPr>
          <w:t>Is the continuation of regulatory intervention justified?</w:t>
        </w:r>
        <w:r w:rsidR="00B15A46">
          <w:rPr>
            <w:noProof/>
            <w:webHidden/>
          </w:rPr>
          <w:tab/>
          <w:t>10</w:t>
        </w:r>
        <w:r w:rsidR="00B15A46">
          <w:rPr>
            <w:noProof/>
            <w:webHidden/>
          </w:rPr>
          <w:fldChar w:fldCharType="begin"/>
        </w:r>
        <w:r w:rsidR="00B15A46">
          <w:rPr>
            <w:noProof/>
            <w:webHidden/>
          </w:rPr>
          <w:instrText xml:space="preserve"> PAGEREF _Toc367801761 \h </w:instrText>
        </w:r>
        <w:r w:rsidR="00B15A46">
          <w:rPr>
            <w:noProof/>
            <w:webHidden/>
          </w:rPr>
          <w:fldChar w:fldCharType="separate"/>
        </w:r>
        <w:r>
          <w:rPr>
            <w:b/>
            <w:bCs/>
            <w:noProof/>
            <w:webHidden/>
            <w:lang w:val="en-US"/>
          </w:rPr>
          <w:t>Error! Bookmark not defined.</w:t>
        </w:r>
        <w:r w:rsidR="00B15A46">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52" w:history="1">
        <w:r w:rsidR="005D1200" w:rsidRPr="00E301A9">
          <w:rPr>
            <w:rStyle w:val="Hyperlink"/>
            <w:noProof/>
          </w:rPr>
          <w:t>Emerging issues related to household cots</w:t>
        </w:r>
        <w:r w:rsidR="005D1200">
          <w:rPr>
            <w:noProof/>
            <w:webHidden/>
          </w:rPr>
          <w:tab/>
        </w:r>
        <w:r w:rsidR="005D1200">
          <w:rPr>
            <w:noProof/>
            <w:webHidden/>
          </w:rPr>
          <w:fldChar w:fldCharType="begin"/>
        </w:r>
        <w:r w:rsidR="005D1200">
          <w:rPr>
            <w:noProof/>
            <w:webHidden/>
          </w:rPr>
          <w:instrText xml:space="preserve"> PAGEREF _Toc367801752 \h </w:instrText>
        </w:r>
        <w:r w:rsidR="005D1200">
          <w:rPr>
            <w:noProof/>
            <w:webHidden/>
          </w:rPr>
        </w:r>
        <w:r w:rsidR="005D1200">
          <w:rPr>
            <w:noProof/>
            <w:webHidden/>
          </w:rPr>
          <w:fldChar w:fldCharType="separate"/>
        </w:r>
        <w:r>
          <w:rPr>
            <w:noProof/>
            <w:webHidden/>
          </w:rPr>
          <w:t>10</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3" w:history="1">
        <w:r w:rsidR="005D1200" w:rsidRPr="00E301A9">
          <w:rPr>
            <w:rStyle w:val="Hyperlink"/>
            <w:noProof/>
          </w:rPr>
          <w:t>Drop sides</w:t>
        </w:r>
        <w:r w:rsidR="005D1200">
          <w:rPr>
            <w:noProof/>
            <w:webHidden/>
          </w:rPr>
          <w:tab/>
        </w:r>
        <w:r w:rsidR="005D1200">
          <w:rPr>
            <w:noProof/>
            <w:webHidden/>
          </w:rPr>
          <w:fldChar w:fldCharType="begin"/>
        </w:r>
        <w:r w:rsidR="005D1200">
          <w:rPr>
            <w:noProof/>
            <w:webHidden/>
          </w:rPr>
          <w:instrText xml:space="preserve"> PAGEREF _Toc367801753 \h </w:instrText>
        </w:r>
        <w:r w:rsidR="005D1200">
          <w:rPr>
            <w:noProof/>
            <w:webHidden/>
          </w:rPr>
        </w:r>
        <w:r w:rsidR="005D1200">
          <w:rPr>
            <w:noProof/>
            <w:webHidden/>
          </w:rPr>
          <w:fldChar w:fldCharType="separate"/>
        </w:r>
        <w:r>
          <w:rPr>
            <w:noProof/>
            <w:webHidden/>
          </w:rPr>
          <w:t>10</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4" w:history="1">
        <w:r w:rsidR="005D1200" w:rsidRPr="00E301A9">
          <w:rPr>
            <w:rStyle w:val="Hyperlink"/>
            <w:noProof/>
          </w:rPr>
          <w:t>Regulatory developments in the United States</w:t>
        </w:r>
        <w:r w:rsidR="005D1200">
          <w:rPr>
            <w:noProof/>
            <w:webHidden/>
          </w:rPr>
          <w:tab/>
        </w:r>
        <w:r w:rsidR="005D1200">
          <w:rPr>
            <w:noProof/>
            <w:webHidden/>
          </w:rPr>
          <w:fldChar w:fldCharType="begin"/>
        </w:r>
        <w:r w:rsidR="005D1200">
          <w:rPr>
            <w:noProof/>
            <w:webHidden/>
          </w:rPr>
          <w:instrText xml:space="preserve"> PAGEREF _Toc367801754 \h </w:instrText>
        </w:r>
        <w:r w:rsidR="005D1200">
          <w:rPr>
            <w:noProof/>
            <w:webHidden/>
          </w:rPr>
        </w:r>
        <w:r w:rsidR="005D1200">
          <w:rPr>
            <w:noProof/>
            <w:webHidden/>
          </w:rPr>
          <w:fldChar w:fldCharType="separate"/>
        </w:r>
        <w:r>
          <w:rPr>
            <w:noProof/>
            <w:webHidden/>
          </w:rPr>
          <w:t>11</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5" w:history="1">
        <w:r w:rsidR="005D1200" w:rsidRPr="00E301A9">
          <w:rPr>
            <w:rStyle w:val="Hyperlink"/>
            <w:noProof/>
          </w:rPr>
          <w:t>Australian situation</w:t>
        </w:r>
        <w:r w:rsidR="005D1200">
          <w:rPr>
            <w:noProof/>
            <w:webHidden/>
          </w:rPr>
          <w:tab/>
        </w:r>
        <w:r w:rsidR="005D1200">
          <w:rPr>
            <w:noProof/>
            <w:webHidden/>
          </w:rPr>
          <w:fldChar w:fldCharType="begin"/>
        </w:r>
        <w:r w:rsidR="005D1200">
          <w:rPr>
            <w:noProof/>
            <w:webHidden/>
          </w:rPr>
          <w:instrText xml:space="preserve"> PAGEREF _Toc367801755 \h </w:instrText>
        </w:r>
        <w:r w:rsidR="005D1200">
          <w:rPr>
            <w:noProof/>
            <w:webHidden/>
          </w:rPr>
        </w:r>
        <w:r w:rsidR="005D1200">
          <w:rPr>
            <w:noProof/>
            <w:webHidden/>
          </w:rPr>
          <w:fldChar w:fldCharType="separate"/>
        </w:r>
        <w:r>
          <w:rPr>
            <w:noProof/>
            <w:webHidden/>
          </w:rPr>
          <w:t>11</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6" w:history="1">
        <w:r w:rsidR="005D1200" w:rsidRPr="00E301A9">
          <w:rPr>
            <w:rStyle w:val="Hyperlink"/>
            <w:noProof/>
          </w:rPr>
          <w:t>Assessment of mattress firmness</w:t>
        </w:r>
        <w:r w:rsidR="005D1200">
          <w:rPr>
            <w:noProof/>
            <w:webHidden/>
          </w:rPr>
          <w:tab/>
        </w:r>
        <w:r w:rsidR="005D1200">
          <w:rPr>
            <w:noProof/>
            <w:webHidden/>
          </w:rPr>
          <w:fldChar w:fldCharType="begin"/>
        </w:r>
        <w:r w:rsidR="005D1200">
          <w:rPr>
            <w:noProof/>
            <w:webHidden/>
          </w:rPr>
          <w:instrText xml:space="preserve"> PAGEREF _Toc367801756 \h </w:instrText>
        </w:r>
        <w:r w:rsidR="005D1200">
          <w:rPr>
            <w:noProof/>
            <w:webHidden/>
          </w:rPr>
        </w:r>
        <w:r w:rsidR="005D1200">
          <w:rPr>
            <w:noProof/>
            <w:webHidden/>
          </w:rPr>
          <w:fldChar w:fldCharType="separate"/>
        </w:r>
        <w:r>
          <w:rPr>
            <w:noProof/>
            <w:webHidden/>
          </w:rPr>
          <w:t>12</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57" w:history="1">
        <w:r w:rsidR="005D1200" w:rsidRPr="00E301A9">
          <w:rPr>
            <w:rStyle w:val="Hyperlink"/>
            <w:noProof/>
          </w:rPr>
          <w:t>Proposed amendments to the mandatory standard</w:t>
        </w:r>
        <w:r w:rsidR="005D1200">
          <w:rPr>
            <w:noProof/>
            <w:webHidden/>
          </w:rPr>
          <w:tab/>
        </w:r>
        <w:r w:rsidR="005D1200">
          <w:rPr>
            <w:noProof/>
            <w:webHidden/>
          </w:rPr>
          <w:fldChar w:fldCharType="begin"/>
        </w:r>
        <w:r w:rsidR="005D1200">
          <w:rPr>
            <w:noProof/>
            <w:webHidden/>
          </w:rPr>
          <w:instrText xml:space="preserve"> PAGEREF _Toc367801757 \h </w:instrText>
        </w:r>
        <w:r w:rsidR="005D1200">
          <w:rPr>
            <w:noProof/>
            <w:webHidden/>
          </w:rPr>
        </w:r>
        <w:r w:rsidR="005D1200">
          <w:rPr>
            <w:noProof/>
            <w:webHidden/>
          </w:rPr>
          <w:fldChar w:fldCharType="separate"/>
        </w:r>
        <w:r>
          <w:rPr>
            <w:noProof/>
            <w:webHidden/>
          </w:rPr>
          <w:t>12</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8" w:history="1">
        <w:r w:rsidR="005D1200" w:rsidRPr="00E301A9">
          <w:rPr>
            <w:rStyle w:val="Hyperlink"/>
            <w:noProof/>
          </w:rPr>
          <w:t>Definitional amendments</w:t>
        </w:r>
        <w:r w:rsidR="005D1200">
          <w:rPr>
            <w:noProof/>
            <w:webHidden/>
          </w:rPr>
          <w:tab/>
        </w:r>
        <w:r w:rsidR="005D1200">
          <w:rPr>
            <w:noProof/>
            <w:webHidden/>
          </w:rPr>
          <w:fldChar w:fldCharType="begin"/>
        </w:r>
        <w:r w:rsidR="005D1200">
          <w:rPr>
            <w:noProof/>
            <w:webHidden/>
          </w:rPr>
          <w:instrText xml:space="preserve"> PAGEREF _Toc367801758 \h </w:instrText>
        </w:r>
        <w:r w:rsidR="005D1200">
          <w:rPr>
            <w:noProof/>
            <w:webHidden/>
          </w:rPr>
        </w:r>
        <w:r w:rsidR="005D1200">
          <w:rPr>
            <w:noProof/>
            <w:webHidden/>
          </w:rPr>
          <w:fldChar w:fldCharType="separate"/>
        </w:r>
        <w:r>
          <w:rPr>
            <w:noProof/>
            <w:webHidden/>
          </w:rPr>
          <w:t>13</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59" w:history="1">
        <w:r w:rsidR="005D1200" w:rsidRPr="00E301A9">
          <w:rPr>
            <w:rStyle w:val="Hyperlink"/>
            <w:noProof/>
          </w:rPr>
          <w:t>Safety and Performance Requirements</w:t>
        </w:r>
        <w:r w:rsidR="005D1200">
          <w:rPr>
            <w:noProof/>
            <w:webHidden/>
          </w:rPr>
          <w:tab/>
        </w:r>
        <w:r w:rsidR="005D1200">
          <w:rPr>
            <w:noProof/>
            <w:webHidden/>
          </w:rPr>
          <w:fldChar w:fldCharType="begin"/>
        </w:r>
        <w:r w:rsidR="005D1200">
          <w:rPr>
            <w:noProof/>
            <w:webHidden/>
          </w:rPr>
          <w:instrText xml:space="preserve"> PAGEREF _Toc367801759 \h </w:instrText>
        </w:r>
        <w:r w:rsidR="005D1200">
          <w:rPr>
            <w:noProof/>
            <w:webHidden/>
          </w:rPr>
        </w:r>
        <w:r w:rsidR="005D1200">
          <w:rPr>
            <w:noProof/>
            <w:webHidden/>
          </w:rPr>
          <w:fldChar w:fldCharType="separate"/>
        </w:r>
        <w:r>
          <w:rPr>
            <w:noProof/>
            <w:webHidden/>
          </w:rPr>
          <w:t>13</w:t>
        </w:r>
        <w:r w:rsidR="005D1200">
          <w:rPr>
            <w:noProof/>
            <w:webHidden/>
          </w:rPr>
          <w:fldChar w:fldCharType="end"/>
        </w:r>
      </w:hyperlink>
    </w:p>
    <w:p w:rsidR="005D1200" w:rsidRPr="005D1200" w:rsidRDefault="00577E8D">
      <w:pPr>
        <w:pStyle w:val="TOC2"/>
        <w:tabs>
          <w:tab w:val="right" w:leader="dot" w:pos="9016"/>
        </w:tabs>
        <w:rPr>
          <w:rFonts w:eastAsia="Times New Roman"/>
          <w:noProof/>
        </w:rPr>
      </w:pPr>
      <w:hyperlink w:anchor="_Toc367801760" w:history="1">
        <w:r w:rsidR="005D1200" w:rsidRPr="00E301A9">
          <w:rPr>
            <w:rStyle w:val="Hyperlink"/>
            <w:noProof/>
          </w:rPr>
          <w:t>Information and Marking Requirements</w:t>
        </w:r>
        <w:r w:rsidR="005D1200">
          <w:rPr>
            <w:noProof/>
            <w:webHidden/>
          </w:rPr>
          <w:tab/>
        </w:r>
        <w:r w:rsidR="005D1200">
          <w:rPr>
            <w:noProof/>
            <w:webHidden/>
          </w:rPr>
          <w:fldChar w:fldCharType="begin"/>
        </w:r>
        <w:r w:rsidR="005D1200">
          <w:rPr>
            <w:noProof/>
            <w:webHidden/>
          </w:rPr>
          <w:instrText xml:space="preserve"> PAGEREF _Toc367801760 \h </w:instrText>
        </w:r>
        <w:r w:rsidR="005D1200">
          <w:rPr>
            <w:noProof/>
            <w:webHidden/>
          </w:rPr>
        </w:r>
        <w:r w:rsidR="005D1200">
          <w:rPr>
            <w:noProof/>
            <w:webHidden/>
          </w:rPr>
          <w:fldChar w:fldCharType="separate"/>
        </w:r>
        <w:r>
          <w:rPr>
            <w:noProof/>
            <w:webHidden/>
          </w:rPr>
          <w:t>14</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62" w:history="1">
        <w:r w:rsidR="005D1200" w:rsidRPr="00E301A9">
          <w:rPr>
            <w:rStyle w:val="Hyperlink"/>
            <w:noProof/>
          </w:rPr>
          <w:t>Conclusion</w:t>
        </w:r>
        <w:r w:rsidR="005D1200">
          <w:rPr>
            <w:noProof/>
            <w:webHidden/>
          </w:rPr>
          <w:tab/>
        </w:r>
        <w:r w:rsidR="005D1200">
          <w:rPr>
            <w:noProof/>
            <w:webHidden/>
          </w:rPr>
          <w:fldChar w:fldCharType="begin"/>
        </w:r>
        <w:r w:rsidR="005D1200">
          <w:rPr>
            <w:noProof/>
            <w:webHidden/>
          </w:rPr>
          <w:instrText xml:space="preserve"> PAGEREF _Toc367801762 \h </w:instrText>
        </w:r>
        <w:r w:rsidR="005D1200">
          <w:rPr>
            <w:noProof/>
            <w:webHidden/>
          </w:rPr>
        </w:r>
        <w:r w:rsidR="005D1200">
          <w:rPr>
            <w:noProof/>
            <w:webHidden/>
          </w:rPr>
          <w:fldChar w:fldCharType="separate"/>
        </w:r>
        <w:r>
          <w:rPr>
            <w:noProof/>
            <w:webHidden/>
          </w:rPr>
          <w:t>14</w:t>
        </w:r>
        <w:r w:rsidR="005D1200">
          <w:rPr>
            <w:noProof/>
            <w:webHidden/>
          </w:rPr>
          <w:fldChar w:fldCharType="end"/>
        </w:r>
      </w:hyperlink>
    </w:p>
    <w:p w:rsidR="00B15A46" w:rsidRPr="00B15A46" w:rsidRDefault="00577E8D" w:rsidP="00B15A46">
      <w:pPr>
        <w:pStyle w:val="TOC1"/>
        <w:tabs>
          <w:tab w:val="right" w:leader="dot" w:pos="9016"/>
        </w:tabs>
        <w:rPr>
          <w:noProof/>
        </w:rPr>
      </w:pPr>
      <w:hyperlink w:anchor="_Toc367801764" w:history="1">
        <w:r w:rsidR="005D1200" w:rsidRPr="00E301A9">
          <w:rPr>
            <w:rStyle w:val="Hyperlink"/>
            <w:noProof/>
          </w:rPr>
          <w:t>Appendix A- Table of options for stakeholder response</w:t>
        </w:r>
        <w:r w:rsidR="00B15A46">
          <w:rPr>
            <w:rStyle w:val="Hyperlink"/>
            <w:noProof/>
          </w:rPr>
          <w:t xml:space="preserve"> and Hub Questions</w:t>
        </w:r>
        <w:r w:rsidR="005D1200">
          <w:rPr>
            <w:noProof/>
            <w:webHidden/>
          </w:rPr>
          <w:tab/>
        </w:r>
        <w:r w:rsidR="005D1200">
          <w:rPr>
            <w:noProof/>
            <w:webHidden/>
          </w:rPr>
          <w:fldChar w:fldCharType="begin"/>
        </w:r>
        <w:r w:rsidR="005D1200">
          <w:rPr>
            <w:noProof/>
            <w:webHidden/>
          </w:rPr>
          <w:instrText xml:space="preserve"> PAGEREF _Toc367801764 \h </w:instrText>
        </w:r>
        <w:r w:rsidR="005D1200">
          <w:rPr>
            <w:noProof/>
            <w:webHidden/>
          </w:rPr>
        </w:r>
        <w:r w:rsidR="005D1200">
          <w:rPr>
            <w:noProof/>
            <w:webHidden/>
          </w:rPr>
          <w:fldChar w:fldCharType="separate"/>
        </w:r>
        <w:r>
          <w:rPr>
            <w:noProof/>
            <w:webHidden/>
          </w:rPr>
          <w:t>15</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65" w:history="1">
        <w:r w:rsidR="005D1200" w:rsidRPr="00E301A9">
          <w:rPr>
            <w:rStyle w:val="Hyperlink"/>
            <w:noProof/>
          </w:rPr>
          <w:t>Appendix B- Summary of cot recalls and enforcement actions</w:t>
        </w:r>
        <w:r w:rsidR="005D1200">
          <w:rPr>
            <w:noProof/>
            <w:webHidden/>
          </w:rPr>
          <w:tab/>
        </w:r>
        <w:r w:rsidR="005D1200">
          <w:rPr>
            <w:noProof/>
            <w:webHidden/>
          </w:rPr>
          <w:fldChar w:fldCharType="begin"/>
        </w:r>
        <w:r w:rsidR="005D1200">
          <w:rPr>
            <w:noProof/>
            <w:webHidden/>
          </w:rPr>
          <w:instrText xml:space="preserve"> PAGEREF _Toc367801765 \h </w:instrText>
        </w:r>
        <w:r w:rsidR="005D1200">
          <w:rPr>
            <w:noProof/>
            <w:webHidden/>
          </w:rPr>
        </w:r>
        <w:r w:rsidR="005D1200">
          <w:rPr>
            <w:noProof/>
            <w:webHidden/>
          </w:rPr>
          <w:fldChar w:fldCharType="separate"/>
        </w:r>
        <w:r>
          <w:rPr>
            <w:noProof/>
            <w:webHidden/>
          </w:rPr>
          <w:t>17</w:t>
        </w:r>
        <w:r w:rsidR="005D1200">
          <w:rPr>
            <w:noProof/>
            <w:webHidden/>
          </w:rPr>
          <w:fldChar w:fldCharType="end"/>
        </w:r>
      </w:hyperlink>
    </w:p>
    <w:p w:rsidR="005D1200" w:rsidRPr="005D1200" w:rsidRDefault="00577E8D">
      <w:pPr>
        <w:pStyle w:val="TOC1"/>
        <w:tabs>
          <w:tab w:val="right" w:leader="dot" w:pos="9016"/>
        </w:tabs>
        <w:rPr>
          <w:rFonts w:eastAsia="Times New Roman" w:cs="Times New Roman"/>
          <w:noProof/>
          <w:color w:val="auto"/>
          <w:sz w:val="22"/>
          <w:szCs w:val="22"/>
          <w:lang w:eastAsia="en-AU"/>
        </w:rPr>
      </w:pPr>
      <w:hyperlink w:anchor="_Toc367801766" w:history="1">
        <w:r w:rsidR="005D1200" w:rsidRPr="00E301A9">
          <w:rPr>
            <w:rStyle w:val="Hyperlink"/>
            <w:noProof/>
          </w:rPr>
          <w:t>Enforcement actions</w:t>
        </w:r>
        <w:r w:rsidR="005D1200">
          <w:rPr>
            <w:noProof/>
            <w:webHidden/>
          </w:rPr>
          <w:tab/>
        </w:r>
        <w:r w:rsidR="005D1200">
          <w:rPr>
            <w:noProof/>
            <w:webHidden/>
          </w:rPr>
          <w:fldChar w:fldCharType="begin"/>
        </w:r>
        <w:r w:rsidR="005D1200">
          <w:rPr>
            <w:noProof/>
            <w:webHidden/>
          </w:rPr>
          <w:instrText xml:space="preserve"> PAGEREF _Toc367801766 \h </w:instrText>
        </w:r>
        <w:r w:rsidR="005D1200">
          <w:rPr>
            <w:noProof/>
            <w:webHidden/>
          </w:rPr>
        </w:r>
        <w:r w:rsidR="005D1200">
          <w:rPr>
            <w:noProof/>
            <w:webHidden/>
          </w:rPr>
          <w:fldChar w:fldCharType="separate"/>
        </w:r>
        <w:r>
          <w:rPr>
            <w:noProof/>
            <w:webHidden/>
          </w:rPr>
          <w:t>17</w:t>
        </w:r>
        <w:r w:rsidR="005D1200">
          <w:rPr>
            <w:noProof/>
            <w:webHidden/>
          </w:rPr>
          <w:fldChar w:fldCharType="end"/>
        </w:r>
      </w:hyperlink>
    </w:p>
    <w:p w:rsidR="00F42065" w:rsidRDefault="005D1200" w:rsidP="00680C93">
      <w:pPr>
        <w:rPr>
          <w:b/>
          <w:bCs/>
          <w:noProof/>
        </w:rPr>
      </w:pPr>
      <w:r>
        <w:rPr>
          <w:b/>
          <w:bCs/>
          <w:noProof/>
        </w:rPr>
        <w:fldChar w:fldCharType="end"/>
      </w:r>
    </w:p>
    <w:p w:rsidR="008D42A9" w:rsidRDefault="00A03798" w:rsidP="00680C93">
      <w:pPr>
        <w:rPr>
          <w:b/>
          <w:bCs/>
          <w:noProof/>
        </w:rPr>
      </w:pPr>
      <w:r>
        <w:rPr>
          <w:b/>
          <w:bCs/>
          <w:noProof/>
        </w:rPr>
        <w:br w:type="page"/>
      </w:r>
    </w:p>
    <w:p w:rsidR="000B1851" w:rsidRPr="00F42065" w:rsidRDefault="000B1851" w:rsidP="00F42065">
      <w:pPr>
        <w:pStyle w:val="Heading1"/>
      </w:pPr>
      <w:bookmarkStart w:id="6" w:name="_Toc361729956"/>
      <w:bookmarkStart w:id="7" w:name="_Toc367800169"/>
      <w:bookmarkStart w:id="8" w:name="_Toc367800392"/>
      <w:bookmarkStart w:id="9" w:name="_Toc367800955"/>
      <w:bookmarkStart w:id="10" w:name="_Toc367801221"/>
      <w:bookmarkStart w:id="11" w:name="_Toc367801422"/>
      <w:bookmarkStart w:id="12" w:name="_Toc367801613"/>
      <w:bookmarkStart w:id="13" w:name="_Toc367801736"/>
      <w:r w:rsidRPr="00F42065">
        <w:t>Purpose</w:t>
      </w:r>
      <w:bookmarkEnd w:id="6"/>
      <w:bookmarkEnd w:id="7"/>
      <w:bookmarkEnd w:id="8"/>
      <w:bookmarkEnd w:id="9"/>
      <w:bookmarkEnd w:id="10"/>
      <w:bookmarkEnd w:id="11"/>
      <w:bookmarkEnd w:id="12"/>
      <w:bookmarkEnd w:id="13"/>
      <w:r w:rsidRPr="00F42065">
        <w:t xml:space="preserve"> </w:t>
      </w:r>
    </w:p>
    <w:p w:rsidR="00552632" w:rsidRPr="00DE1E24" w:rsidRDefault="00552632" w:rsidP="00552632">
      <w:pPr>
        <w:spacing w:after="240"/>
      </w:pPr>
      <w:r>
        <w:t xml:space="preserve">The purpose of this paper is to consult with stakeholders on the </w:t>
      </w:r>
      <w:r w:rsidR="00CF4BA1">
        <w:t xml:space="preserve">current </w:t>
      </w:r>
      <w:r>
        <w:t>consumer product safety standard for the supply of household cots in Australia</w:t>
      </w:r>
      <w:r w:rsidR="00336F83">
        <w:t>,</w:t>
      </w:r>
      <w:r w:rsidR="00C75065">
        <w:t xml:space="preserve"> </w:t>
      </w:r>
      <w:r w:rsidR="00C75065" w:rsidRPr="00336F83">
        <w:rPr>
          <w:i/>
        </w:rPr>
        <w:t>Consumer Protection Notice No.6 of 2005</w:t>
      </w:r>
      <w:r w:rsidR="00C75065">
        <w:t xml:space="preserve"> </w:t>
      </w:r>
      <w:r w:rsidR="00336F83" w:rsidRPr="00336F83">
        <w:t>(the Standard)</w:t>
      </w:r>
      <w:r w:rsidR="00336F83">
        <w:t xml:space="preserve"> </w:t>
      </w:r>
      <w:r w:rsidR="00C75065">
        <w:t>which references the Australian Standard AS/NZS 2172:2003</w:t>
      </w:r>
      <w:r w:rsidR="00336F83">
        <w:t>,</w:t>
      </w:r>
      <w:r w:rsidR="00CF4BA1">
        <w:t xml:space="preserve"> </w:t>
      </w:r>
      <w:r w:rsidR="00336F83">
        <w:t>a</w:t>
      </w:r>
      <w:r w:rsidR="00CF4BA1">
        <w:t>nd on proposed changes to the Standard</w:t>
      </w:r>
      <w:r>
        <w:t xml:space="preserve">. </w:t>
      </w:r>
    </w:p>
    <w:p w:rsidR="00CF4BA1" w:rsidRDefault="00552632" w:rsidP="00552632">
      <w:pPr>
        <w:spacing w:after="240"/>
      </w:pPr>
      <w:r>
        <w:t xml:space="preserve">This </w:t>
      </w:r>
      <w:r w:rsidRPr="00230555">
        <w:t xml:space="preserve">paper seeks </w:t>
      </w:r>
      <w:r>
        <w:t xml:space="preserve">relevant information and views from interested parties that will assist in determining the optimal approach for the future regulation of household cots under the </w:t>
      </w:r>
      <w:r w:rsidRPr="005842C2">
        <w:rPr>
          <w:i/>
        </w:rPr>
        <w:t>Competition and Consumer Act 2010</w:t>
      </w:r>
      <w:r>
        <w:t xml:space="preserve"> (CCA). Of particular interest is any </w:t>
      </w:r>
      <w:r w:rsidR="00CF4BA1">
        <w:t>evidence</w:t>
      </w:r>
      <w:r>
        <w:t xml:space="preserve"> which will assist in assessing the </w:t>
      </w:r>
      <w:r w:rsidRPr="00230555">
        <w:t xml:space="preserve">potential impacts </w:t>
      </w:r>
      <w:r>
        <w:t xml:space="preserve">and benefits of </w:t>
      </w:r>
      <w:r w:rsidRPr="00230555">
        <w:t xml:space="preserve">each of the </w:t>
      </w:r>
      <w:r>
        <w:t xml:space="preserve">regulatory </w:t>
      </w:r>
      <w:r w:rsidR="00A672B2">
        <w:t>changes</w:t>
      </w:r>
      <w:r>
        <w:t xml:space="preserve">. </w:t>
      </w:r>
      <w:r w:rsidRPr="00325A95">
        <w:t xml:space="preserve"> </w:t>
      </w:r>
    </w:p>
    <w:p w:rsidR="00CF4BA1" w:rsidRDefault="00CF4BA1" w:rsidP="00EF46EE">
      <w:bookmarkStart w:id="14" w:name="_Toc361729957"/>
      <w:bookmarkStart w:id="15" w:name="_Toc367800170"/>
      <w:bookmarkStart w:id="16" w:name="_Toc367800393"/>
      <w:bookmarkStart w:id="17" w:name="_Toc367800956"/>
      <w:bookmarkStart w:id="18" w:name="_Toc367801222"/>
      <w:bookmarkStart w:id="19" w:name="_Toc367801423"/>
      <w:bookmarkStart w:id="20" w:name="_Toc367801614"/>
      <w:bookmarkStart w:id="21" w:name="_Toc367801737"/>
      <w:r w:rsidRPr="00765355">
        <w:t>The consultation process outlined in this paper may be the only opportunity for stakeholders to provide their input into the review process and all interested parties are encouraged to make submissions on the options or other issues relevant to the review</w:t>
      </w:r>
      <w:r w:rsidR="005F564D">
        <w:t>.</w:t>
      </w:r>
      <w:r w:rsidRPr="00765355">
        <w:t xml:space="preserve"> </w:t>
      </w:r>
    </w:p>
    <w:p w:rsidR="00064AEE" w:rsidRPr="00F42065" w:rsidRDefault="00064AEE" w:rsidP="00F42065">
      <w:pPr>
        <w:pStyle w:val="Heading1"/>
      </w:pPr>
      <w:r w:rsidRPr="00F42065">
        <w:t>Summary</w:t>
      </w:r>
      <w:bookmarkEnd w:id="14"/>
      <w:bookmarkEnd w:id="15"/>
      <w:bookmarkEnd w:id="16"/>
      <w:bookmarkEnd w:id="17"/>
      <w:bookmarkEnd w:id="18"/>
      <w:bookmarkEnd w:id="19"/>
      <w:bookmarkEnd w:id="20"/>
      <w:bookmarkEnd w:id="21"/>
    </w:p>
    <w:p w:rsidR="00CF4BA1" w:rsidRDefault="00CF4BA1" w:rsidP="00064AEE">
      <w:pPr>
        <w:autoSpaceDE w:val="0"/>
        <w:autoSpaceDN w:val="0"/>
        <w:adjustRightInd w:val="0"/>
      </w:pPr>
      <w:r>
        <w:t xml:space="preserve">This paper reviews the </w:t>
      </w:r>
      <w:proofErr w:type="gramStart"/>
      <w:r>
        <w:t>Standard</w:t>
      </w:r>
      <w:proofErr w:type="gramEnd"/>
      <w:r>
        <w:t>, levels of supplier compliance, various product issues and relevant injury data.</w:t>
      </w:r>
    </w:p>
    <w:p w:rsidR="00CF4BA1" w:rsidRDefault="00CF4BA1" w:rsidP="00064AEE">
      <w:pPr>
        <w:autoSpaceDE w:val="0"/>
        <w:autoSpaceDN w:val="0"/>
        <w:adjustRightInd w:val="0"/>
      </w:pPr>
    </w:p>
    <w:p w:rsidR="00CF4BA1" w:rsidRDefault="00CF4BA1" w:rsidP="00064AEE">
      <w:pPr>
        <w:autoSpaceDE w:val="0"/>
        <w:autoSpaceDN w:val="0"/>
        <w:adjustRightInd w:val="0"/>
      </w:pPr>
      <w:r>
        <w:t>The discussion</w:t>
      </w:r>
      <w:r w:rsidR="00064AEE">
        <w:t xml:space="preserve"> paper</w:t>
      </w:r>
      <w:r>
        <w:t>:</w:t>
      </w:r>
    </w:p>
    <w:p w:rsidR="00CF4BA1" w:rsidRDefault="00064AEE" w:rsidP="002E34CB">
      <w:pPr>
        <w:numPr>
          <w:ilvl w:val="0"/>
          <w:numId w:val="12"/>
        </w:numPr>
        <w:autoSpaceDE w:val="0"/>
        <w:autoSpaceDN w:val="0"/>
        <w:adjustRightInd w:val="0"/>
      </w:pPr>
      <w:r>
        <w:t>proposes that household cots continue to be regulated via a mandatory standard,</w:t>
      </w:r>
    </w:p>
    <w:p w:rsidR="00CF4BA1" w:rsidRDefault="00064AEE" w:rsidP="002E34CB">
      <w:pPr>
        <w:numPr>
          <w:ilvl w:val="0"/>
          <w:numId w:val="12"/>
        </w:numPr>
        <w:autoSpaceDE w:val="0"/>
        <w:autoSpaceDN w:val="0"/>
        <w:adjustRightInd w:val="0"/>
      </w:pPr>
      <w:r>
        <w:t xml:space="preserve"> </w:t>
      </w:r>
      <w:r w:rsidR="00CF4BA1">
        <w:t>describes</w:t>
      </w:r>
      <w:r>
        <w:t xml:space="preserve"> several amendments to current requirements to better address emerging industry trends, technological and testing advancements a</w:t>
      </w:r>
      <w:r w:rsidR="00CF4BA1">
        <w:t>nd international developments</w:t>
      </w:r>
    </w:p>
    <w:p w:rsidR="00064AEE" w:rsidRDefault="00064AEE" w:rsidP="002E34CB">
      <w:pPr>
        <w:numPr>
          <w:ilvl w:val="0"/>
          <w:numId w:val="12"/>
        </w:numPr>
        <w:autoSpaceDE w:val="0"/>
        <w:autoSpaceDN w:val="0"/>
        <w:adjustRightInd w:val="0"/>
      </w:pPr>
      <w:r>
        <w:t xml:space="preserve">includes </w:t>
      </w:r>
      <w:r w:rsidR="005F564D">
        <w:t xml:space="preserve">essential safety provisions </w:t>
      </w:r>
      <w:r>
        <w:t xml:space="preserve">related to the assessment of the strength and integrity of cots supplied with drop sides (cot sides that can be moved up and down), consistent with the most recent version of the relevant voluntary standard, </w:t>
      </w:r>
      <w:r w:rsidRPr="008B3475">
        <w:rPr>
          <w:i/>
        </w:rPr>
        <w:t>AS/NZS 2172:2013 Cots for Household Use</w:t>
      </w:r>
    </w:p>
    <w:p w:rsidR="00CF4BA1" w:rsidRDefault="00CF4BA1" w:rsidP="002E34CB">
      <w:pPr>
        <w:numPr>
          <w:ilvl w:val="0"/>
          <w:numId w:val="12"/>
        </w:numPr>
        <w:autoSpaceDE w:val="0"/>
        <w:autoSpaceDN w:val="0"/>
        <w:adjustRightInd w:val="0"/>
      </w:pPr>
      <w:r>
        <w:t>seeks stakeholder feedback on these changes</w:t>
      </w:r>
    </w:p>
    <w:p w:rsidR="00CF4BA1" w:rsidRDefault="00CF4BA1" w:rsidP="002E34CB">
      <w:pPr>
        <w:numPr>
          <w:ilvl w:val="0"/>
          <w:numId w:val="12"/>
        </w:numPr>
      </w:pPr>
      <w:r>
        <w:t xml:space="preserve">seeks information to assist in the development of any revised regulation </w:t>
      </w:r>
    </w:p>
    <w:p w:rsidR="00CF4BA1" w:rsidRDefault="00CF4BA1" w:rsidP="002E34CB">
      <w:pPr>
        <w:numPr>
          <w:ilvl w:val="0"/>
          <w:numId w:val="12"/>
        </w:numPr>
      </w:pPr>
      <w:r>
        <w:t>seeks information on potential impacts of the proposed changes</w:t>
      </w:r>
    </w:p>
    <w:p w:rsidR="00064AEE" w:rsidRDefault="00064AEE" w:rsidP="00064AEE">
      <w:pPr>
        <w:autoSpaceDE w:val="0"/>
        <w:autoSpaceDN w:val="0"/>
        <w:adjustRightInd w:val="0"/>
      </w:pPr>
    </w:p>
    <w:p w:rsidR="00CF4BA1" w:rsidRDefault="00CF4BA1" w:rsidP="00CF4BA1">
      <w:pPr>
        <w:autoSpaceDE w:val="0"/>
        <w:autoSpaceDN w:val="0"/>
        <w:adjustRightInd w:val="0"/>
        <w:rPr>
          <w:rStyle w:val="Hyperlink"/>
        </w:rPr>
      </w:pPr>
      <w:r>
        <w:t>Please note: the complete wording of the clauses being referenced is not replicated in this paper.  The full text of the voluntary standard</w:t>
      </w:r>
      <w:r w:rsidDel="00763FA9">
        <w:t xml:space="preserve"> </w:t>
      </w:r>
      <w:r>
        <w:t xml:space="preserve">can be obtained from SAI Global at </w:t>
      </w:r>
      <w:hyperlink r:id="rId12" w:history="1">
        <w:r w:rsidRPr="002D1601">
          <w:rPr>
            <w:rStyle w:val="Hyperlink"/>
          </w:rPr>
          <w:t>www.saiglobal.com.au</w:t>
        </w:r>
      </w:hyperlink>
      <w:r>
        <w:rPr>
          <w:rStyle w:val="Hyperlink"/>
        </w:rPr>
        <w:t>.</w:t>
      </w:r>
    </w:p>
    <w:p w:rsidR="007923B6" w:rsidRDefault="007923B6" w:rsidP="00064AEE">
      <w:pPr>
        <w:autoSpaceDE w:val="0"/>
        <w:autoSpaceDN w:val="0"/>
        <w:adjustRightInd w:val="0"/>
      </w:pPr>
    </w:p>
    <w:p w:rsidR="00870E2F" w:rsidRDefault="00064AEE" w:rsidP="00064AEE">
      <w:pPr>
        <w:autoSpaceDE w:val="0"/>
        <w:autoSpaceDN w:val="0"/>
        <w:adjustRightInd w:val="0"/>
      </w:pPr>
      <w:r>
        <w:t xml:space="preserve">Household cots are a product where foreseeable use or misuse has led to serious injury or death. A mandatory standard establishes minimum safety requirements considered reasonably necessary to reduce this risk. </w:t>
      </w:r>
    </w:p>
    <w:p w:rsidR="00870E2F" w:rsidRDefault="00870E2F" w:rsidP="00064AEE">
      <w:pPr>
        <w:autoSpaceDE w:val="0"/>
        <w:autoSpaceDN w:val="0"/>
        <w:adjustRightInd w:val="0"/>
      </w:pPr>
    </w:p>
    <w:p w:rsidR="00870E2F" w:rsidRDefault="005F564D" w:rsidP="00870E2F">
      <w:pPr>
        <w:autoSpaceDE w:val="0"/>
        <w:autoSpaceDN w:val="0"/>
        <w:adjustRightInd w:val="0"/>
      </w:pPr>
      <w:r>
        <w:t>T</w:t>
      </w:r>
      <w:r w:rsidR="00064AEE">
        <w:t xml:space="preserve">he removal of </w:t>
      </w:r>
      <w:r w:rsidR="009D0595">
        <w:t xml:space="preserve">the </w:t>
      </w:r>
      <w:r>
        <w:t>S</w:t>
      </w:r>
      <w:r w:rsidR="009D0595">
        <w:t>tandard</w:t>
      </w:r>
      <w:r w:rsidR="008F3495">
        <w:t xml:space="preserve"> </w:t>
      </w:r>
      <w:r w:rsidR="00064AEE">
        <w:t>was considered</w:t>
      </w:r>
      <w:r>
        <w:t xml:space="preserve"> and</w:t>
      </w:r>
      <w:r w:rsidR="00C75065">
        <w:t xml:space="preserve"> </w:t>
      </w:r>
      <w:r w:rsidR="00064AEE">
        <w:t>is not recommended.</w:t>
      </w:r>
      <w:r w:rsidR="00870E2F">
        <w:t xml:space="preserve"> The ACCC considers that minimum safety requirements are necessary to continue to reduce the level and risk of injury to children when using household cots.  </w:t>
      </w:r>
    </w:p>
    <w:p w:rsidR="00870E2F" w:rsidRDefault="00870E2F" w:rsidP="00870E2F">
      <w:pPr>
        <w:autoSpaceDE w:val="0"/>
        <w:autoSpaceDN w:val="0"/>
        <w:adjustRightInd w:val="0"/>
      </w:pPr>
    </w:p>
    <w:p w:rsidR="00870E2F" w:rsidRDefault="00870E2F" w:rsidP="00870E2F">
      <w:pPr>
        <w:autoSpaceDE w:val="0"/>
        <w:autoSpaceDN w:val="0"/>
        <w:adjustRightInd w:val="0"/>
      </w:pPr>
      <w:r>
        <w:t xml:space="preserve">Subject to this consultation and Ministerial agreement of a revised </w:t>
      </w:r>
      <w:r w:rsidR="005F564D">
        <w:t>Standard</w:t>
      </w:r>
      <w:r>
        <w:t xml:space="preserve">, household cots sold after a specified date must conform to the new </w:t>
      </w:r>
      <w:r w:rsidR="005F564D">
        <w:t>S</w:t>
      </w:r>
      <w:r>
        <w:t xml:space="preserve">tandard.  It is expected that a lead time of between 12-18 months will be </w:t>
      </w:r>
      <w:r w:rsidR="00D46152">
        <w:t xml:space="preserve">provided </w:t>
      </w:r>
      <w:r>
        <w:t>to allow suppliers to make any necessary changes.</w:t>
      </w:r>
    </w:p>
    <w:p w:rsidR="00870E2F" w:rsidRDefault="00870E2F" w:rsidP="00870E2F">
      <w:pPr>
        <w:autoSpaceDE w:val="0"/>
        <w:autoSpaceDN w:val="0"/>
        <w:adjustRightInd w:val="0"/>
      </w:pPr>
    </w:p>
    <w:p w:rsidR="003E65BE" w:rsidRDefault="00870E2F" w:rsidP="00C87AFF">
      <w:pPr>
        <w:autoSpaceDE w:val="0"/>
        <w:autoSpaceDN w:val="0"/>
        <w:adjustRightInd w:val="0"/>
        <w:rPr>
          <w:b/>
          <w:sz w:val="28"/>
          <w:szCs w:val="28"/>
        </w:rPr>
      </w:pPr>
      <w:r>
        <w:t xml:space="preserve">Feedback is requested on all matters related to the </w:t>
      </w:r>
      <w:r w:rsidR="005F564D">
        <w:t>S</w:t>
      </w:r>
      <w:r>
        <w:t>tandard and particularly on the approach to addressing each issue identified in this paper.</w:t>
      </w:r>
    </w:p>
    <w:p w:rsidR="00CF4BA1" w:rsidRPr="004273F1" w:rsidRDefault="00CF4BA1" w:rsidP="00CF4BA1">
      <w:pPr>
        <w:pStyle w:val="Heading1"/>
      </w:pPr>
      <w:bookmarkStart w:id="22" w:name="_Toc367800171"/>
      <w:bookmarkStart w:id="23" w:name="_Toc367800394"/>
      <w:bookmarkStart w:id="24" w:name="_Toc367800957"/>
      <w:bookmarkStart w:id="25" w:name="_Toc367801223"/>
      <w:bookmarkStart w:id="26" w:name="_Toc367801424"/>
      <w:bookmarkStart w:id="27" w:name="_Toc367801615"/>
      <w:bookmarkStart w:id="28" w:name="_Toc367801738"/>
      <w:bookmarkStart w:id="29" w:name="_Toc361729959"/>
      <w:r>
        <w:lastRenderedPageBreak/>
        <w:t>Consultation</w:t>
      </w:r>
    </w:p>
    <w:p w:rsidR="00CF4BA1" w:rsidRPr="00B47580" w:rsidRDefault="00CF4BA1" w:rsidP="00CF4BA1"/>
    <w:p w:rsidR="00CF4BA1" w:rsidRDefault="00CF4BA1" w:rsidP="00CF4BA1">
      <w:pPr>
        <w:autoSpaceDE w:val="0"/>
        <w:autoSpaceDN w:val="0"/>
        <w:adjustRightInd w:val="0"/>
        <w:spacing w:after="240"/>
      </w:pPr>
      <w:r>
        <w:t xml:space="preserve">Stakeholders are invited </w:t>
      </w:r>
      <w:r w:rsidR="007E40C7">
        <w:t>to make s</w:t>
      </w:r>
      <w:r>
        <w:t xml:space="preserve">ubmissions </w:t>
      </w:r>
      <w:r w:rsidR="007E40C7">
        <w:t>on the proposals set out in this paper</w:t>
      </w:r>
      <w:r>
        <w:t xml:space="preserve">. The closing date for </w:t>
      </w:r>
      <w:r w:rsidRPr="00242ACA">
        <w:t>feedback is</w:t>
      </w:r>
      <w:r w:rsidRPr="00242ACA">
        <w:rPr>
          <w:b/>
          <w:u w:val="single"/>
        </w:rPr>
        <w:t xml:space="preserve"> </w:t>
      </w:r>
      <w:r w:rsidR="008D0E98">
        <w:rPr>
          <w:b/>
          <w:u w:val="single"/>
        </w:rPr>
        <w:t>15</w:t>
      </w:r>
      <w:r w:rsidRPr="00242ACA">
        <w:rPr>
          <w:b/>
          <w:u w:val="single"/>
        </w:rPr>
        <w:t xml:space="preserve"> </w:t>
      </w:r>
      <w:r w:rsidR="008D0E98">
        <w:rPr>
          <w:b/>
          <w:u w:val="single"/>
        </w:rPr>
        <w:t>September</w:t>
      </w:r>
      <w:r w:rsidR="00E853E2" w:rsidRPr="00242ACA">
        <w:rPr>
          <w:b/>
          <w:u w:val="single"/>
        </w:rPr>
        <w:t xml:space="preserve"> </w:t>
      </w:r>
      <w:r w:rsidR="007E40C7" w:rsidRPr="00242ACA">
        <w:rPr>
          <w:b/>
          <w:u w:val="single"/>
        </w:rPr>
        <w:t>2014</w:t>
      </w:r>
      <w:r w:rsidRPr="00242ACA">
        <w:t>.</w:t>
      </w:r>
    </w:p>
    <w:p w:rsidR="00C16BCF" w:rsidRDefault="00C16BCF" w:rsidP="00C16BCF">
      <w:pPr>
        <w:autoSpaceDE w:val="0"/>
        <w:autoSpaceDN w:val="0"/>
        <w:adjustRightInd w:val="0"/>
        <w:spacing w:after="240"/>
      </w:pPr>
      <w:r>
        <w:t xml:space="preserve">You are encouraged to provide feedback by completing the online questionnaire at the ACCC Consultation Hub.  Completing the online questionnaire is the preferred way to provide feedback, though we also welcome written submissions. The form at </w:t>
      </w:r>
      <w:r w:rsidRPr="001D39DD">
        <w:rPr>
          <w:b/>
        </w:rPr>
        <w:t>Appendix A</w:t>
      </w:r>
      <w:r>
        <w:t xml:space="preserve"> provides details of the proposed changes and can also be used to provide feedback.   Any additional feedback would also be welcome.</w:t>
      </w:r>
    </w:p>
    <w:p w:rsidR="00CF4BA1" w:rsidRDefault="00CF4BA1" w:rsidP="00CF4BA1">
      <w:pPr>
        <w:spacing w:after="240"/>
      </w:pPr>
      <w:r>
        <w:t>Submissions can be emailed to:</w:t>
      </w:r>
    </w:p>
    <w:p w:rsidR="00CF4BA1" w:rsidRDefault="00CF4BA1" w:rsidP="00CF4BA1">
      <w:r>
        <w:tab/>
      </w:r>
      <w:r w:rsidRPr="00324BF3">
        <w:rPr>
          <w:b/>
        </w:rPr>
        <w:t>Email</w:t>
      </w:r>
      <w:r>
        <w:t xml:space="preserve">: </w:t>
      </w:r>
      <w:hyperlink r:id="rId13" w:history="1">
        <w:r w:rsidRPr="004944D6">
          <w:rPr>
            <w:rStyle w:val="Hyperlink"/>
          </w:rPr>
          <w:t>productsafety.regulation@accc.gov.au</w:t>
        </w:r>
      </w:hyperlink>
      <w:r>
        <w:t xml:space="preserve"> </w:t>
      </w:r>
    </w:p>
    <w:p w:rsidR="00CF4BA1" w:rsidRDefault="00CF4BA1" w:rsidP="00CF4BA1">
      <w:pPr>
        <w:spacing w:after="240"/>
      </w:pPr>
      <w:r>
        <w:tab/>
      </w:r>
      <w:r w:rsidRPr="00324BF3">
        <w:rPr>
          <w:b/>
        </w:rPr>
        <w:t>Subject</w:t>
      </w:r>
      <w:r>
        <w:t>: Household cot standard review</w:t>
      </w:r>
    </w:p>
    <w:p w:rsidR="00CF4BA1" w:rsidRDefault="00CF4BA1" w:rsidP="00CF4BA1">
      <w:pPr>
        <w:spacing w:after="240"/>
      </w:pPr>
      <w:r>
        <w:t>Alternatively, the mail address is:</w:t>
      </w:r>
    </w:p>
    <w:p w:rsidR="00CF4BA1" w:rsidRDefault="00CF4BA1" w:rsidP="00CF4BA1">
      <w:r>
        <w:tab/>
      </w:r>
      <w:r w:rsidR="007E40C7">
        <w:t>Director</w:t>
      </w:r>
    </w:p>
    <w:p w:rsidR="007E40C7" w:rsidRDefault="00C16BCF" w:rsidP="007E40C7">
      <w:pPr>
        <w:ind w:firstLine="720"/>
      </w:pPr>
      <w:r>
        <w:t>Standards</w:t>
      </w:r>
      <w:r w:rsidR="007E40C7">
        <w:t xml:space="preserve"> and Compliance</w:t>
      </w:r>
      <w:r>
        <w:t xml:space="preserve"> (Children’s and Household Products)</w:t>
      </w:r>
    </w:p>
    <w:p w:rsidR="00CF4BA1" w:rsidRDefault="007E40C7" w:rsidP="00CF4BA1">
      <w:r>
        <w:tab/>
        <w:t>Product Safety Branch</w:t>
      </w:r>
      <w:r w:rsidR="00CF4BA1">
        <w:t xml:space="preserve"> </w:t>
      </w:r>
    </w:p>
    <w:p w:rsidR="00CF4BA1" w:rsidRDefault="00CF4BA1" w:rsidP="00CF4BA1">
      <w:r>
        <w:tab/>
        <w:t>GPO Box 520</w:t>
      </w:r>
    </w:p>
    <w:p w:rsidR="00CF4BA1" w:rsidRDefault="00CF4BA1" w:rsidP="00CF4BA1">
      <w:r>
        <w:tab/>
        <w:t>Melbourne VIC 3001</w:t>
      </w:r>
    </w:p>
    <w:p w:rsidR="00CF4BA1" w:rsidRDefault="00CF4BA1" w:rsidP="00CF4BA1"/>
    <w:p w:rsidR="00CF4BA1" w:rsidRDefault="00CF4BA1" w:rsidP="00CF4BA1">
      <w:pPr>
        <w:rPr>
          <w:rFonts w:cs="Arial"/>
          <w:szCs w:val="24"/>
        </w:rPr>
      </w:pPr>
      <w:r w:rsidRPr="00800FBC">
        <w:t xml:space="preserve">If you consider that any of the information you provide is confidential, sensitive or </w:t>
      </w:r>
      <w:proofErr w:type="gramStart"/>
      <w:r w:rsidRPr="00800FBC">
        <w:t>Commercial</w:t>
      </w:r>
      <w:proofErr w:type="gramEnd"/>
      <w:r w:rsidRPr="00800FBC">
        <w:t xml:space="preserve"> in Confidence, please clearly indicate this on the documentation.  </w:t>
      </w:r>
      <w:r w:rsidRPr="008E3D7E">
        <w:rPr>
          <w:rFonts w:cs="Arial"/>
          <w:szCs w:val="24"/>
        </w:rPr>
        <w:t xml:space="preserve">If the information provided is of a confidential nature, you can be assured that the details provided by you will be treated confidentially. That is, the ACCC will not disclose the confidential information to third parties, other than advisors or consultants engaged directly by the ACCC, without first providing you with notice of its intention to do so, such as where it is compelled to do so by law. </w:t>
      </w:r>
    </w:p>
    <w:p w:rsidR="00CF4BA1" w:rsidRDefault="00CF4BA1" w:rsidP="00CF4BA1"/>
    <w:p w:rsidR="00CF4BA1" w:rsidRPr="00E52383" w:rsidRDefault="00CF4BA1" w:rsidP="00CF4BA1">
      <w:r w:rsidRPr="00E52383">
        <w:t xml:space="preserve">The ACCC may be compelled by law to disclose submissions (for example under subpoena or following a request under the </w:t>
      </w:r>
      <w:r w:rsidRPr="00E52383">
        <w:rPr>
          <w:i/>
        </w:rPr>
        <w:t>Freedom of Information Act 1982</w:t>
      </w:r>
      <w:r w:rsidRPr="00E52383">
        <w:t xml:space="preserve">). For more information see the ACCC-AER Information Policy available via </w:t>
      </w:r>
      <w:hyperlink r:id="rId14" w:history="1">
        <w:r w:rsidRPr="00E52383">
          <w:rPr>
            <w:rStyle w:val="Hyperlink"/>
          </w:rPr>
          <w:t>www.accc.gov.au</w:t>
        </w:r>
      </w:hyperlink>
      <w:r w:rsidRPr="00E52383">
        <w:t xml:space="preserve"> </w:t>
      </w:r>
    </w:p>
    <w:p w:rsidR="00CF4BA1" w:rsidRDefault="00CF4BA1" w:rsidP="00F42065">
      <w:pPr>
        <w:pStyle w:val="Heading1"/>
      </w:pPr>
    </w:p>
    <w:p w:rsidR="007E40C7" w:rsidRDefault="000B1851" w:rsidP="007E40C7">
      <w:pPr>
        <w:pStyle w:val="Heading1"/>
      </w:pPr>
      <w:r w:rsidRPr="009764F7">
        <w:t>Background</w:t>
      </w:r>
      <w:bookmarkStart w:id="30" w:name="_Toc367800172"/>
      <w:bookmarkStart w:id="31" w:name="_Toc367800395"/>
      <w:bookmarkStart w:id="32" w:name="_Toc367800958"/>
      <w:bookmarkStart w:id="33" w:name="_Toc367801224"/>
      <w:bookmarkStart w:id="34" w:name="_Toc367801425"/>
      <w:bookmarkStart w:id="35" w:name="_Toc367801616"/>
      <w:bookmarkStart w:id="36" w:name="_Toc367801739"/>
      <w:bookmarkEnd w:id="22"/>
      <w:bookmarkEnd w:id="23"/>
      <w:bookmarkEnd w:id="24"/>
      <w:bookmarkEnd w:id="25"/>
      <w:bookmarkEnd w:id="26"/>
      <w:bookmarkEnd w:id="27"/>
      <w:bookmarkEnd w:id="28"/>
      <w:r w:rsidR="007E40C7">
        <w:t xml:space="preserve"> </w:t>
      </w:r>
    </w:p>
    <w:p w:rsidR="007E40C7" w:rsidRPr="007E40C7" w:rsidRDefault="007E40C7" w:rsidP="007E40C7">
      <w:pPr>
        <w:pStyle w:val="NoSpacing"/>
      </w:pPr>
    </w:p>
    <w:p w:rsidR="007E40C7" w:rsidRPr="00FB70FA" w:rsidRDefault="007E40C7" w:rsidP="007E40C7">
      <w:pPr>
        <w:pStyle w:val="Heading1"/>
        <w:rPr>
          <w:sz w:val="24"/>
          <w:szCs w:val="24"/>
        </w:rPr>
      </w:pPr>
      <w:r w:rsidRPr="00FB70FA">
        <w:rPr>
          <w:sz w:val="24"/>
          <w:szCs w:val="24"/>
        </w:rPr>
        <w:t xml:space="preserve">The Australian consumer product safety system </w:t>
      </w:r>
    </w:p>
    <w:p w:rsidR="007E40C7" w:rsidRPr="004273F1" w:rsidRDefault="007E40C7" w:rsidP="007E40C7"/>
    <w:p w:rsidR="007E40C7" w:rsidRDefault="007E40C7" w:rsidP="007E40C7">
      <w:pPr>
        <w:spacing w:after="240"/>
      </w:pPr>
      <w:r>
        <w:t xml:space="preserve">Section 105 (1) of the </w:t>
      </w:r>
      <w:r w:rsidR="00EE379A">
        <w:t>Competition and Consumer Act</w:t>
      </w:r>
      <w:r w:rsidR="00493F53">
        <w:t xml:space="preserve"> (</w:t>
      </w:r>
      <w:r w:rsidR="00EE379A">
        <w:t>CCA</w:t>
      </w:r>
      <w:r w:rsidR="00493F53">
        <w:t>)</w:t>
      </w:r>
      <w:r>
        <w:t xml:space="preserve"> allows the Commonwealth Minister to declare an Australian Standard either in whole or part, with additions or variations, to be a safety standard for consumer goods. </w:t>
      </w:r>
    </w:p>
    <w:p w:rsidR="007E40C7" w:rsidRDefault="007E40C7" w:rsidP="007E40C7">
      <w:pPr>
        <w:spacing w:after="240"/>
      </w:pPr>
      <w:r>
        <w:t xml:space="preserve">Section 104 of the </w:t>
      </w:r>
      <w:r w:rsidR="00EE379A">
        <w:t xml:space="preserve">CCA </w:t>
      </w:r>
      <w:r>
        <w:t>allows the Commonwealth Minister to make a safety standard for consumer goods which sets out requirements for those consumer goods which are reasonably necessary to prevent or reduce the risk of injury to any person. Safety standards made under the ACL are co-operatively enforced by the ACCC and state and territory fair trading agencies.</w:t>
      </w:r>
    </w:p>
    <w:p w:rsidR="007E40C7" w:rsidRDefault="007E40C7" w:rsidP="007E40C7">
      <w:pPr>
        <w:spacing w:after="240"/>
      </w:pPr>
      <w:proofErr w:type="gramStart"/>
      <w:r>
        <w:lastRenderedPageBreak/>
        <w:t xml:space="preserve">Section 106 of the </w:t>
      </w:r>
      <w:r w:rsidR="00EE379A">
        <w:t xml:space="preserve">CCA </w:t>
      </w:r>
      <w:r>
        <w:t>states that a person must not in trade or commerce, supply, offer for supply or manufacture for supply, consumer goods of a particular kind if those goods do not comply with a safety standard currently in force for those goods.</w:t>
      </w:r>
      <w:proofErr w:type="gramEnd"/>
    </w:p>
    <w:p w:rsidR="007E40C7" w:rsidRPr="007E40C7" w:rsidRDefault="007E40C7" w:rsidP="007E40C7">
      <w:pPr>
        <w:rPr>
          <w:rFonts w:cs="Calibri"/>
          <w:b/>
          <w:sz w:val="24"/>
          <w:szCs w:val="24"/>
        </w:rPr>
      </w:pPr>
      <w:r>
        <w:t xml:space="preserve">A safety standard for cots regulates the </w:t>
      </w:r>
      <w:r w:rsidRPr="00A93368">
        <w:rPr>
          <w:i/>
        </w:rPr>
        <w:t>supply</w:t>
      </w:r>
      <w:r>
        <w:t xml:space="preserve"> of cots. The term ‘supply’ in relation to consumer goods (such as cots) means to supply by way of sale, exchange, lease, hire or hire-purchase.</w:t>
      </w:r>
      <w:r w:rsidRPr="002072A4">
        <w:t xml:space="preserve"> </w:t>
      </w:r>
    </w:p>
    <w:p w:rsidR="007E40C7" w:rsidRDefault="007E40C7" w:rsidP="00F42065">
      <w:pPr>
        <w:pStyle w:val="Heading2"/>
      </w:pPr>
    </w:p>
    <w:p w:rsidR="000B1851" w:rsidRPr="009764F7" w:rsidRDefault="009E759D" w:rsidP="00F42065">
      <w:pPr>
        <w:pStyle w:val="Heading2"/>
      </w:pPr>
      <w:r w:rsidRPr="009764F7">
        <w:t xml:space="preserve">The </w:t>
      </w:r>
      <w:r w:rsidR="0006260F" w:rsidRPr="009764F7">
        <w:t xml:space="preserve">current </w:t>
      </w:r>
      <w:bookmarkEnd w:id="29"/>
      <w:r w:rsidR="00162814" w:rsidRPr="009764F7">
        <w:t xml:space="preserve">mandatory </w:t>
      </w:r>
      <w:r w:rsidR="00162814" w:rsidRPr="00E856A0">
        <w:t>standard</w:t>
      </w:r>
      <w:bookmarkEnd w:id="30"/>
      <w:bookmarkEnd w:id="31"/>
      <w:bookmarkEnd w:id="32"/>
      <w:bookmarkEnd w:id="33"/>
      <w:bookmarkEnd w:id="34"/>
      <w:bookmarkEnd w:id="35"/>
      <w:bookmarkEnd w:id="36"/>
    </w:p>
    <w:p w:rsidR="000B1851" w:rsidRDefault="000B1851" w:rsidP="000B1851">
      <w:pPr>
        <w:autoSpaceDE w:val="0"/>
        <w:autoSpaceDN w:val="0"/>
        <w:adjustRightInd w:val="0"/>
      </w:pPr>
    </w:p>
    <w:p w:rsidR="00757580" w:rsidRDefault="000B1851" w:rsidP="000B1851">
      <w:pPr>
        <w:autoSpaceDE w:val="0"/>
        <w:autoSpaceDN w:val="0"/>
        <w:adjustRightInd w:val="0"/>
      </w:pPr>
      <w:r>
        <w:t xml:space="preserve">The </w:t>
      </w:r>
      <w:r w:rsidR="00192048">
        <w:t>S</w:t>
      </w:r>
      <w:r w:rsidR="0036295C">
        <w:t>tandard</w:t>
      </w:r>
      <w:r w:rsidR="00AB5F73">
        <w:t xml:space="preserve"> </w:t>
      </w:r>
      <w:r w:rsidR="00AB5F73" w:rsidRPr="0003544E">
        <w:t>commenced on 3 December 2005 and</w:t>
      </w:r>
      <w:r w:rsidR="00954C0F">
        <w:t xml:space="preserve"> </w:t>
      </w:r>
      <w:r w:rsidR="00F7119A">
        <w:t>is based on</w:t>
      </w:r>
      <w:r w:rsidR="00AA16B8">
        <w:t xml:space="preserve"> the </w:t>
      </w:r>
      <w:r w:rsidR="00F7119A">
        <w:t xml:space="preserve">voluntary </w:t>
      </w:r>
      <w:r w:rsidR="00AA16B8">
        <w:t xml:space="preserve">Australian and New Zealand Standard, </w:t>
      </w:r>
      <w:r w:rsidR="00AA16B8" w:rsidRPr="00757580">
        <w:rPr>
          <w:i/>
        </w:rPr>
        <w:t>AS/NZS 2172: 2003</w:t>
      </w:r>
      <w:r w:rsidR="00757580" w:rsidRPr="00757580">
        <w:rPr>
          <w:i/>
        </w:rPr>
        <w:t xml:space="preserve"> Cots for household use</w:t>
      </w:r>
      <w:r w:rsidR="00D46152">
        <w:rPr>
          <w:i/>
        </w:rPr>
        <w:t xml:space="preserve"> </w:t>
      </w:r>
      <w:r w:rsidR="00D46152">
        <w:t>(the voluntary standard</w:t>
      </w:r>
      <w:r w:rsidR="0061201E">
        <w:t>).</w:t>
      </w:r>
    </w:p>
    <w:p w:rsidR="00757580" w:rsidRDefault="00757580" w:rsidP="000B1851">
      <w:pPr>
        <w:autoSpaceDE w:val="0"/>
        <w:autoSpaceDN w:val="0"/>
        <w:adjustRightInd w:val="0"/>
      </w:pPr>
    </w:p>
    <w:p w:rsidR="000B1851" w:rsidRDefault="00AA16B8" w:rsidP="000B1851">
      <w:pPr>
        <w:autoSpaceDE w:val="0"/>
        <w:autoSpaceDN w:val="0"/>
        <w:adjustRightInd w:val="0"/>
      </w:pPr>
      <w:r>
        <w:t xml:space="preserve">The voluntary standard has been revised several times since </w:t>
      </w:r>
      <w:r w:rsidR="007F2A5A">
        <w:t xml:space="preserve">2003, </w:t>
      </w:r>
      <w:r w:rsidR="00757580">
        <w:t xml:space="preserve">including in 2010 </w:t>
      </w:r>
      <w:r w:rsidR="0006260F">
        <w:t xml:space="preserve">and again in 2013. </w:t>
      </w:r>
      <w:r w:rsidR="00F7119A">
        <w:t>The latest</w:t>
      </w:r>
      <w:r w:rsidR="002E231E">
        <w:t xml:space="preserve"> revision </w:t>
      </w:r>
      <w:r w:rsidR="00757580">
        <w:t xml:space="preserve">of the </w:t>
      </w:r>
      <w:r w:rsidR="00E21C2C">
        <w:t xml:space="preserve">voluntary </w:t>
      </w:r>
      <w:r w:rsidR="00757580">
        <w:t>standard</w:t>
      </w:r>
      <w:r w:rsidR="002E231E">
        <w:t xml:space="preserve"> </w:t>
      </w:r>
      <w:r w:rsidR="00F7119A">
        <w:t>was requested</w:t>
      </w:r>
      <w:r w:rsidR="002E231E">
        <w:t xml:space="preserve"> and </w:t>
      </w:r>
      <w:r w:rsidR="00123B76">
        <w:t xml:space="preserve">funded </w:t>
      </w:r>
      <w:r w:rsidR="002E231E">
        <w:t>by the ACCC</w:t>
      </w:r>
      <w:r w:rsidR="0006260F">
        <w:t xml:space="preserve"> and </w:t>
      </w:r>
      <w:r w:rsidR="00D46152">
        <w:t>resulted in changes to</w:t>
      </w:r>
      <w:r w:rsidR="0006260F">
        <w:t xml:space="preserve"> </w:t>
      </w:r>
      <w:r w:rsidR="00336F83">
        <w:t xml:space="preserve">essential safety </w:t>
      </w:r>
      <w:r w:rsidR="002E231E">
        <w:t>provision</w:t>
      </w:r>
      <w:r w:rsidR="00F7119A">
        <w:t>s relating to</w:t>
      </w:r>
      <w:r w:rsidR="002E231E">
        <w:t xml:space="preserve"> </w:t>
      </w:r>
      <w:r w:rsidR="00064AEE">
        <w:t xml:space="preserve">the testing of </w:t>
      </w:r>
      <w:r w:rsidR="002E231E">
        <w:t>drop side</w:t>
      </w:r>
      <w:r w:rsidR="00064AEE">
        <w:t>s</w:t>
      </w:r>
      <w:r w:rsidR="0006260F">
        <w:t>. This was</w:t>
      </w:r>
      <w:r w:rsidR="002E231E">
        <w:t xml:space="preserve"> </w:t>
      </w:r>
      <w:r w:rsidR="00F7119A">
        <w:t xml:space="preserve">as a result of changes in regulation overseas </w:t>
      </w:r>
      <w:r w:rsidR="002E231E">
        <w:t>and changes in product</w:t>
      </w:r>
      <w:r w:rsidR="00F7119A">
        <w:t xml:space="preserve">s in the </w:t>
      </w:r>
      <w:r w:rsidR="00192048">
        <w:t xml:space="preserve">Australian </w:t>
      </w:r>
      <w:r w:rsidR="00F7119A">
        <w:t>market</w:t>
      </w:r>
      <w:r w:rsidR="002E231E">
        <w:t>.</w:t>
      </w:r>
    </w:p>
    <w:p w:rsidR="00162814" w:rsidRDefault="00162814" w:rsidP="000B1851">
      <w:pPr>
        <w:autoSpaceDE w:val="0"/>
        <w:autoSpaceDN w:val="0"/>
        <w:adjustRightInd w:val="0"/>
      </w:pPr>
    </w:p>
    <w:p w:rsidR="00162814" w:rsidRDefault="00162814" w:rsidP="000B1851">
      <w:pPr>
        <w:autoSpaceDE w:val="0"/>
        <w:autoSpaceDN w:val="0"/>
        <w:adjustRightInd w:val="0"/>
      </w:pPr>
      <w:r>
        <w:t>Th</w:t>
      </w:r>
      <w:r w:rsidR="00192048">
        <w:t xml:space="preserve">e ACCC is undertaking a </w:t>
      </w:r>
      <w:r>
        <w:t xml:space="preserve">review of the </w:t>
      </w:r>
      <w:r w:rsidR="00192048">
        <w:t>S</w:t>
      </w:r>
      <w:r>
        <w:t xml:space="preserve">tandard </w:t>
      </w:r>
      <w:r w:rsidR="003578C8">
        <w:t xml:space="preserve">to </w:t>
      </w:r>
      <w:r>
        <w:t xml:space="preserve">ensure </w:t>
      </w:r>
      <w:r w:rsidR="003578C8">
        <w:t xml:space="preserve">that </w:t>
      </w:r>
      <w:r w:rsidR="00192048">
        <w:t xml:space="preserve">its </w:t>
      </w:r>
      <w:r>
        <w:t xml:space="preserve">requirements </w:t>
      </w:r>
      <w:r w:rsidR="00192048">
        <w:t>reflect</w:t>
      </w:r>
      <w:r w:rsidR="00A672B2">
        <w:t xml:space="preserve"> current industry </w:t>
      </w:r>
      <w:r w:rsidR="00192048">
        <w:t xml:space="preserve">safety standards </w:t>
      </w:r>
      <w:r>
        <w:t xml:space="preserve">and also reflect changes to the product and to product testing that have occurred since the </w:t>
      </w:r>
      <w:r w:rsidR="00192048">
        <w:t>S</w:t>
      </w:r>
      <w:r>
        <w:t>tandard was introduced in 2005.</w:t>
      </w:r>
    </w:p>
    <w:p w:rsidR="00162814" w:rsidRDefault="00162814" w:rsidP="000B1851">
      <w:pPr>
        <w:autoSpaceDE w:val="0"/>
        <w:autoSpaceDN w:val="0"/>
        <w:adjustRightInd w:val="0"/>
      </w:pPr>
    </w:p>
    <w:p w:rsidR="00162814" w:rsidRDefault="00203931" w:rsidP="00162814">
      <w:pPr>
        <w:autoSpaceDE w:val="0"/>
        <w:autoSpaceDN w:val="0"/>
        <w:adjustRightInd w:val="0"/>
      </w:pPr>
      <w:r>
        <w:t>The Standard defines a</w:t>
      </w:r>
      <w:r w:rsidR="00162814">
        <w:t xml:space="preserve"> household cot as:</w:t>
      </w:r>
    </w:p>
    <w:p w:rsidR="00162814" w:rsidRDefault="00162814" w:rsidP="00162814">
      <w:pPr>
        <w:autoSpaceDE w:val="0"/>
        <w:autoSpaceDN w:val="0"/>
        <w:adjustRightInd w:val="0"/>
        <w:ind w:left="720"/>
        <w:rPr>
          <w:i/>
        </w:rPr>
      </w:pPr>
    </w:p>
    <w:p w:rsidR="00162814" w:rsidRPr="003921C6" w:rsidRDefault="003578C8" w:rsidP="00162814">
      <w:pPr>
        <w:autoSpaceDE w:val="0"/>
        <w:autoSpaceDN w:val="0"/>
        <w:adjustRightInd w:val="0"/>
        <w:ind w:left="720"/>
        <w:rPr>
          <w:i/>
        </w:rPr>
      </w:pPr>
      <w:r>
        <w:rPr>
          <w:i/>
        </w:rPr>
        <w:t xml:space="preserve">3.4 </w:t>
      </w:r>
      <w:r w:rsidR="00162814" w:rsidRPr="00C32CFD">
        <w:rPr>
          <w:i/>
        </w:rPr>
        <w:t>Product with raised sides and ends designed as an enclosed sleeping facility for infants and babies</w:t>
      </w:r>
      <w:r w:rsidR="00162814">
        <w:rPr>
          <w:i/>
        </w:rPr>
        <w:t>.</w:t>
      </w:r>
    </w:p>
    <w:p w:rsidR="00162814" w:rsidRDefault="00162814" w:rsidP="00162814">
      <w:pPr>
        <w:autoSpaceDE w:val="0"/>
        <w:autoSpaceDN w:val="0"/>
        <w:adjustRightInd w:val="0"/>
      </w:pPr>
    </w:p>
    <w:p w:rsidR="00162814" w:rsidRDefault="00162814" w:rsidP="00162814">
      <w:pPr>
        <w:autoSpaceDE w:val="0"/>
        <w:autoSpaceDN w:val="0"/>
        <w:adjustRightInd w:val="0"/>
      </w:pPr>
      <w:r>
        <w:t>This definition does not include a portable or folding cot</w:t>
      </w:r>
      <w:r w:rsidR="00203931">
        <w:t>,</w:t>
      </w:r>
      <w:r>
        <w:t xml:space="preserve"> which is separately defined and regulated by another standard</w:t>
      </w:r>
      <w:r w:rsidR="00203931">
        <w:t xml:space="preserve"> made under the </w:t>
      </w:r>
      <w:r w:rsidR="00BC7AB9">
        <w:t>CCA</w:t>
      </w:r>
      <w:r>
        <w:t>.</w:t>
      </w:r>
      <w:r w:rsidR="00954C0F">
        <w:rPr>
          <w:rStyle w:val="FootnoteReference"/>
        </w:rPr>
        <w:footnoteReference w:id="1"/>
      </w:r>
      <w:r w:rsidR="00E21C2C">
        <w:t xml:space="preserve"> </w:t>
      </w:r>
      <w:r>
        <w:t xml:space="preserve">This paper </w:t>
      </w:r>
      <w:r w:rsidR="00D46152">
        <w:t>doe</w:t>
      </w:r>
      <w:r>
        <w:t xml:space="preserve">s not </w:t>
      </w:r>
      <w:r w:rsidRPr="00770BEF">
        <w:t>propos</w:t>
      </w:r>
      <w:r w:rsidR="00D46152">
        <w:t>e</w:t>
      </w:r>
      <w:r w:rsidRPr="00770BEF">
        <w:t xml:space="preserve"> to alter the definition of a household cot</w:t>
      </w:r>
      <w:r w:rsidR="00D46152">
        <w:t xml:space="preserve"> within</w:t>
      </w:r>
      <w:r w:rsidR="00954C0F">
        <w:t xml:space="preserve"> </w:t>
      </w:r>
      <w:r w:rsidRPr="00770BEF">
        <w:t xml:space="preserve">the </w:t>
      </w:r>
      <w:r w:rsidR="00203931">
        <w:t>S</w:t>
      </w:r>
      <w:r w:rsidRPr="00770BEF">
        <w:t>tandard.</w:t>
      </w:r>
    </w:p>
    <w:p w:rsidR="000B1851" w:rsidRPr="00AC4738" w:rsidRDefault="000B1851" w:rsidP="00D14888">
      <w:pPr>
        <w:autoSpaceDE w:val="0"/>
        <w:autoSpaceDN w:val="0"/>
        <w:adjustRightInd w:val="0"/>
      </w:pPr>
    </w:p>
    <w:p w:rsidR="009B4279" w:rsidRDefault="009B4279" w:rsidP="009B4279">
      <w:pPr>
        <w:autoSpaceDE w:val="0"/>
        <w:autoSpaceDN w:val="0"/>
        <w:adjustRightInd w:val="0"/>
      </w:pPr>
      <w:r>
        <w:t xml:space="preserve">The </w:t>
      </w:r>
      <w:r w:rsidR="00203931">
        <w:t>S</w:t>
      </w:r>
      <w:r>
        <w:t xml:space="preserve">tandard establishes minimum safety requirements for cots </w:t>
      </w:r>
      <w:r w:rsidR="00203931">
        <w:t>for</w:t>
      </w:r>
      <w:r w:rsidR="00954C0F">
        <w:t xml:space="preserve"> </w:t>
      </w:r>
      <w:r>
        <w:t>construction, design, performance labelling and marking</w:t>
      </w:r>
      <w:r w:rsidR="00203931">
        <w:t>, including</w:t>
      </w:r>
      <w:r>
        <w:t>:</w:t>
      </w:r>
    </w:p>
    <w:p w:rsidR="009B4279" w:rsidRDefault="009B4279" w:rsidP="002E34CB">
      <w:pPr>
        <w:numPr>
          <w:ilvl w:val="0"/>
          <w:numId w:val="9"/>
        </w:numPr>
        <w:autoSpaceDE w:val="0"/>
        <w:autoSpaceDN w:val="0"/>
        <w:adjustRightInd w:val="0"/>
      </w:pPr>
      <w:r>
        <w:t>the minimum height of cot sides to reduce the risk of children falling out</w:t>
      </w:r>
    </w:p>
    <w:p w:rsidR="009B4279" w:rsidRDefault="009B4279" w:rsidP="002E34CB">
      <w:pPr>
        <w:numPr>
          <w:ilvl w:val="0"/>
          <w:numId w:val="9"/>
        </w:numPr>
        <w:autoSpaceDE w:val="0"/>
        <w:autoSpaceDN w:val="0"/>
        <w:adjustRightInd w:val="0"/>
      </w:pPr>
      <w:r>
        <w:t>the size and shape of gaps so as to minimise the risk of entrapment</w:t>
      </w:r>
    </w:p>
    <w:p w:rsidR="009B4279" w:rsidRDefault="009B4279" w:rsidP="002E34CB">
      <w:pPr>
        <w:numPr>
          <w:ilvl w:val="0"/>
          <w:numId w:val="9"/>
        </w:numPr>
        <w:autoSpaceDE w:val="0"/>
        <w:autoSpaceDN w:val="0"/>
        <w:adjustRightInd w:val="0"/>
      </w:pPr>
      <w:r>
        <w:t>protrusions which might catch clothing</w:t>
      </w:r>
    </w:p>
    <w:p w:rsidR="009B4279" w:rsidRDefault="009B4279" w:rsidP="002E34CB">
      <w:pPr>
        <w:numPr>
          <w:ilvl w:val="0"/>
          <w:numId w:val="9"/>
        </w:numPr>
        <w:autoSpaceDE w:val="0"/>
        <w:autoSpaceDN w:val="0"/>
        <w:adjustRightInd w:val="0"/>
      </w:pPr>
      <w:r>
        <w:t>limiting potential footholds which might be used by a child to climb out</w:t>
      </w:r>
    </w:p>
    <w:p w:rsidR="009B4279" w:rsidRDefault="009B4279" w:rsidP="002E34CB">
      <w:pPr>
        <w:numPr>
          <w:ilvl w:val="0"/>
          <w:numId w:val="9"/>
        </w:numPr>
        <w:autoSpaceDE w:val="0"/>
        <w:autoSpaceDN w:val="0"/>
        <w:adjustRightInd w:val="0"/>
      </w:pPr>
      <w:proofErr w:type="gramStart"/>
      <w:r>
        <w:t>the</w:t>
      </w:r>
      <w:proofErr w:type="gramEnd"/>
      <w:r>
        <w:t xml:space="preserve"> strength and integrity of cots.</w:t>
      </w:r>
    </w:p>
    <w:p w:rsidR="001B36A7" w:rsidRDefault="001B36A7" w:rsidP="001B36A7">
      <w:pPr>
        <w:autoSpaceDE w:val="0"/>
        <w:autoSpaceDN w:val="0"/>
        <w:adjustRightInd w:val="0"/>
      </w:pPr>
    </w:p>
    <w:p w:rsidR="001B36A7" w:rsidRDefault="001B36A7" w:rsidP="001B36A7">
      <w:pPr>
        <w:autoSpaceDE w:val="0"/>
        <w:autoSpaceDN w:val="0"/>
        <w:adjustRightInd w:val="0"/>
      </w:pPr>
      <w:r>
        <w:t>The</w:t>
      </w:r>
      <w:r w:rsidR="00203931">
        <w:t xml:space="preserve"> Standard also specifies </w:t>
      </w:r>
      <w:r>
        <w:t>marking and labelling requirements, including:</w:t>
      </w:r>
    </w:p>
    <w:p w:rsidR="001B36A7" w:rsidRPr="00770BEF" w:rsidRDefault="00770BEF" w:rsidP="002E34CB">
      <w:pPr>
        <w:numPr>
          <w:ilvl w:val="0"/>
          <w:numId w:val="10"/>
        </w:numPr>
        <w:autoSpaceDE w:val="0"/>
        <w:autoSpaceDN w:val="0"/>
        <w:adjustRightInd w:val="0"/>
      </w:pPr>
      <w:r>
        <w:t>information in relation to safe use and in particular, the recommended mattress size</w:t>
      </w:r>
    </w:p>
    <w:p w:rsidR="001B36A7" w:rsidRPr="00770BEF" w:rsidRDefault="00770BEF" w:rsidP="002E34CB">
      <w:pPr>
        <w:numPr>
          <w:ilvl w:val="0"/>
          <w:numId w:val="10"/>
        </w:numPr>
        <w:autoSpaceDE w:val="0"/>
        <w:autoSpaceDN w:val="0"/>
        <w:adjustRightInd w:val="0"/>
      </w:pPr>
      <w:r>
        <w:t>cot markings with respect to product origin and warnings</w:t>
      </w:r>
    </w:p>
    <w:p w:rsidR="007E40C7" w:rsidRDefault="007E40C7" w:rsidP="007E40C7">
      <w:pPr>
        <w:pStyle w:val="Heading1"/>
      </w:pPr>
      <w:bookmarkStart w:id="37" w:name="_Toc361729963"/>
      <w:bookmarkStart w:id="38" w:name="_Toc367800178"/>
      <w:bookmarkStart w:id="39" w:name="_Toc367800401"/>
      <w:bookmarkStart w:id="40" w:name="_Toc367800964"/>
      <w:bookmarkStart w:id="41" w:name="_Toc367801230"/>
      <w:bookmarkStart w:id="42" w:name="_Toc367801431"/>
      <w:bookmarkStart w:id="43" w:name="_Toc367801622"/>
      <w:bookmarkStart w:id="44" w:name="_Toc367801745"/>
      <w:bookmarkStart w:id="45" w:name="_Toc361729961"/>
      <w:bookmarkStart w:id="46" w:name="_Toc367800176"/>
      <w:bookmarkStart w:id="47" w:name="_Toc367800399"/>
      <w:bookmarkStart w:id="48" w:name="_Toc367800962"/>
      <w:bookmarkStart w:id="49" w:name="_Toc367801228"/>
      <w:bookmarkStart w:id="50" w:name="_Toc367801429"/>
      <w:bookmarkStart w:id="51" w:name="_Toc367801620"/>
      <w:bookmarkStart w:id="52" w:name="_Toc367801743"/>
    </w:p>
    <w:p w:rsidR="007E40C7" w:rsidRPr="004273F1" w:rsidRDefault="007E40C7" w:rsidP="007E40C7">
      <w:pPr>
        <w:pStyle w:val="Heading1"/>
      </w:pPr>
      <w:r w:rsidRPr="004273F1">
        <w:t xml:space="preserve">Hazards addressed by the </w:t>
      </w:r>
      <w:r w:rsidR="00203931">
        <w:t>S</w:t>
      </w:r>
      <w:r w:rsidRPr="004273F1">
        <w:t>tandard</w:t>
      </w:r>
      <w:bookmarkEnd w:id="37"/>
      <w:bookmarkEnd w:id="38"/>
      <w:bookmarkEnd w:id="39"/>
      <w:bookmarkEnd w:id="40"/>
      <w:bookmarkEnd w:id="41"/>
      <w:bookmarkEnd w:id="42"/>
      <w:bookmarkEnd w:id="43"/>
      <w:bookmarkEnd w:id="44"/>
    </w:p>
    <w:p w:rsidR="007E40C7" w:rsidRDefault="007E40C7" w:rsidP="007E40C7">
      <w:pPr>
        <w:autoSpaceDE w:val="0"/>
        <w:autoSpaceDN w:val="0"/>
        <w:adjustRightInd w:val="0"/>
      </w:pPr>
    </w:p>
    <w:p w:rsidR="007E40C7" w:rsidRDefault="007E40C7" w:rsidP="007E40C7">
      <w:pPr>
        <w:autoSpaceDE w:val="0"/>
        <w:autoSpaceDN w:val="0"/>
        <w:adjustRightInd w:val="0"/>
      </w:pPr>
      <w:r>
        <w:t xml:space="preserve">The hazards (or risks of injury) associated with household cots which the </w:t>
      </w:r>
      <w:r w:rsidR="00203931">
        <w:t>S</w:t>
      </w:r>
      <w:r>
        <w:t>tandard address</w:t>
      </w:r>
      <w:r w:rsidR="00203931">
        <w:t>es</w:t>
      </w:r>
      <w:r>
        <w:t xml:space="preserve"> include:</w:t>
      </w:r>
    </w:p>
    <w:p w:rsidR="007E40C7" w:rsidRDefault="007E40C7" w:rsidP="002E34CB">
      <w:pPr>
        <w:numPr>
          <w:ilvl w:val="0"/>
          <w:numId w:val="1"/>
        </w:numPr>
        <w:autoSpaceDE w:val="0"/>
        <w:autoSpaceDN w:val="0"/>
        <w:adjustRightInd w:val="0"/>
      </w:pPr>
      <w:r>
        <w:lastRenderedPageBreak/>
        <w:t>falls out of the cot as a result of inadequate height requirements, including where a drop side may be left down or a mattress base left up at a level which facilitates movement out of the cot</w:t>
      </w:r>
    </w:p>
    <w:p w:rsidR="007E40C7" w:rsidRDefault="007E40C7" w:rsidP="002E34CB">
      <w:pPr>
        <w:numPr>
          <w:ilvl w:val="0"/>
          <w:numId w:val="1"/>
        </w:numPr>
        <w:autoSpaceDE w:val="0"/>
        <w:autoSpaceDN w:val="0"/>
        <w:adjustRightInd w:val="0"/>
      </w:pPr>
      <w:r>
        <w:t xml:space="preserve">falls out of the cot as a result of footholds designed into the cot </w:t>
      </w:r>
    </w:p>
    <w:p w:rsidR="007E40C7" w:rsidRDefault="007E40C7" w:rsidP="002E34CB">
      <w:pPr>
        <w:numPr>
          <w:ilvl w:val="0"/>
          <w:numId w:val="1"/>
        </w:numPr>
        <w:autoSpaceDE w:val="0"/>
        <w:autoSpaceDN w:val="0"/>
        <w:adjustRightInd w:val="0"/>
      </w:pPr>
      <w:r>
        <w:t>falls inside the cot against dangerous protrusions, points or edges</w:t>
      </w:r>
    </w:p>
    <w:p w:rsidR="007E40C7" w:rsidRDefault="007E40C7" w:rsidP="002E34CB">
      <w:pPr>
        <w:numPr>
          <w:ilvl w:val="0"/>
          <w:numId w:val="1"/>
        </w:numPr>
        <w:autoSpaceDE w:val="0"/>
        <w:autoSpaceDN w:val="0"/>
        <w:adjustRightInd w:val="0"/>
      </w:pPr>
      <w:r>
        <w:t>protrusions which may snag a child’s clothing and result in strangulation</w:t>
      </w:r>
    </w:p>
    <w:p w:rsidR="007E40C7" w:rsidRDefault="007E40C7" w:rsidP="002E34CB">
      <w:pPr>
        <w:numPr>
          <w:ilvl w:val="0"/>
          <w:numId w:val="1"/>
        </w:numPr>
        <w:autoSpaceDE w:val="0"/>
        <w:autoSpaceDN w:val="0"/>
        <w:adjustRightInd w:val="0"/>
      </w:pPr>
      <w:r>
        <w:t>entrapment of a child’s head or limbs in gaps in the cot</w:t>
      </w:r>
    </w:p>
    <w:p w:rsidR="007E40C7" w:rsidRDefault="007E40C7" w:rsidP="002E34CB">
      <w:pPr>
        <w:numPr>
          <w:ilvl w:val="0"/>
          <w:numId w:val="1"/>
        </w:numPr>
        <w:autoSpaceDE w:val="0"/>
        <w:autoSpaceDN w:val="0"/>
        <w:adjustRightInd w:val="0"/>
      </w:pPr>
      <w:r>
        <w:t>entrapment of a child’s face in gaps between the mattress and the side of the cot resulting in suffocation</w:t>
      </w:r>
    </w:p>
    <w:p w:rsidR="007E40C7" w:rsidRDefault="007E40C7" w:rsidP="002E34CB">
      <w:pPr>
        <w:numPr>
          <w:ilvl w:val="0"/>
          <w:numId w:val="1"/>
        </w:numPr>
        <w:autoSpaceDE w:val="0"/>
        <w:autoSpaceDN w:val="0"/>
        <w:adjustRightInd w:val="0"/>
      </w:pPr>
      <w:proofErr w:type="gramStart"/>
      <w:r>
        <w:t>failure</w:t>
      </w:r>
      <w:proofErr w:type="gramEnd"/>
      <w:r>
        <w:t xml:space="preserve"> of cot mechanisms such as drop sides and drop side mechanisms which create roll out or entrapment hazards.</w:t>
      </w:r>
    </w:p>
    <w:p w:rsidR="007E40C7" w:rsidRDefault="007E40C7" w:rsidP="007E40C7">
      <w:pPr>
        <w:autoSpaceDE w:val="0"/>
        <w:autoSpaceDN w:val="0"/>
        <w:adjustRightInd w:val="0"/>
      </w:pPr>
    </w:p>
    <w:p w:rsidR="007E40C7" w:rsidRDefault="007E40C7" w:rsidP="007E40C7">
      <w:pPr>
        <w:autoSpaceDE w:val="0"/>
        <w:autoSpaceDN w:val="0"/>
        <w:adjustRightInd w:val="0"/>
      </w:pPr>
      <w:r>
        <w:t xml:space="preserve">This </w:t>
      </w:r>
      <w:r w:rsidR="00203931">
        <w:t>paper</w:t>
      </w:r>
      <w:r>
        <w:t xml:space="preserve"> </w:t>
      </w:r>
      <w:r w:rsidR="00203931">
        <w:t>considers</w:t>
      </w:r>
      <w:r>
        <w:t xml:space="preserve"> whether the </w:t>
      </w:r>
      <w:r w:rsidR="00203931">
        <w:t>S</w:t>
      </w:r>
      <w:r>
        <w:t>tandard continues to adequately address hazards and the risk of injury related to cots, given changes in the market (including voluntary standards change</w:t>
      </w:r>
      <w:r w:rsidR="00493F53">
        <w:t>s</w:t>
      </w:r>
      <w:r>
        <w:t xml:space="preserve">) since </w:t>
      </w:r>
      <w:r w:rsidR="00203931">
        <w:t>it</w:t>
      </w:r>
      <w:r>
        <w:t xml:space="preserve"> was </w:t>
      </w:r>
      <w:r w:rsidR="003578C8">
        <w:t>introduced</w:t>
      </w:r>
      <w:r w:rsidRPr="002E34CB">
        <w:t xml:space="preserve">. </w:t>
      </w:r>
      <w:r w:rsidR="00734931" w:rsidRPr="002E34CB">
        <w:t xml:space="preserve"> It also considers the effectiveness of the Standard in identifying compliance issues and potentially impacting on injury rates and frequency.</w:t>
      </w:r>
    </w:p>
    <w:p w:rsidR="007E40C7" w:rsidRDefault="007E40C7" w:rsidP="007E40C7">
      <w:pPr>
        <w:autoSpaceDE w:val="0"/>
        <w:autoSpaceDN w:val="0"/>
        <w:adjustRightInd w:val="0"/>
      </w:pPr>
    </w:p>
    <w:p w:rsidR="007E40C7" w:rsidRDefault="007E40C7" w:rsidP="007E40C7">
      <w:pPr>
        <w:autoSpaceDE w:val="0"/>
        <w:autoSpaceDN w:val="0"/>
        <w:adjustRightInd w:val="0"/>
      </w:pPr>
      <w:r>
        <w:t>The ACCC recognises the possibility that cots with drop sides which were intended for larger overseas markets but which may continue to be supplied in Australia</w:t>
      </w:r>
      <w:r w:rsidR="00493F53">
        <w:t>, could generate safety issues</w:t>
      </w:r>
      <w:r>
        <w:t xml:space="preserve"> given the increased concentration of overseas based suppliers towards fixed side cots and the potential to </w:t>
      </w:r>
      <w:r w:rsidR="00493F53">
        <w:t xml:space="preserve">be </w:t>
      </w:r>
      <w:r w:rsidR="003578C8">
        <w:t xml:space="preserve">unaware </w:t>
      </w:r>
      <w:r w:rsidR="00493F53">
        <w:t>of</w:t>
      </w:r>
      <w:r>
        <w:t xml:space="preserve"> local </w:t>
      </w:r>
      <w:r w:rsidR="003578C8">
        <w:t xml:space="preserve">cot and </w:t>
      </w:r>
      <w:r>
        <w:t xml:space="preserve">drop side safety requirements.  </w:t>
      </w:r>
    </w:p>
    <w:p w:rsidR="007E40C7" w:rsidRDefault="007E40C7" w:rsidP="007E40C7">
      <w:pPr>
        <w:autoSpaceDE w:val="0"/>
        <w:autoSpaceDN w:val="0"/>
        <w:adjustRightInd w:val="0"/>
      </w:pPr>
    </w:p>
    <w:p w:rsidR="007E40C7" w:rsidRPr="00493F53" w:rsidRDefault="007E40C7" w:rsidP="00F42065">
      <w:pPr>
        <w:pStyle w:val="Heading1"/>
        <w:rPr>
          <w:rFonts w:eastAsia="Calibri"/>
          <w:b w:val="0"/>
          <w:bCs w:val="0"/>
          <w:kern w:val="0"/>
          <w:sz w:val="22"/>
          <w:szCs w:val="22"/>
        </w:rPr>
      </w:pPr>
      <w:r w:rsidRPr="00493F53">
        <w:rPr>
          <w:b w:val="0"/>
          <w:sz w:val="22"/>
          <w:szCs w:val="22"/>
        </w:rPr>
        <w:t>This review incorporates assessment of safety hazards with respect to entrapment and falls as a result of potential cot drop side failure, particularly over the normal operational life span of the cot</w:t>
      </w:r>
      <w:r w:rsidR="00720438">
        <w:rPr>
          <w:b w:val="0"/>
          <w:sz w:val="22"/>
          <w:szCs w:val="22"/>
        </w:rPr>
        <w:t>,</w:t>
      </w:r>
      <w:r w:rsidRPr="00493F53">
        <w:rPr>
          <w:b w:val="0"/>
          <w:sz w:val="22"/>
          <w:szCs w:val="22"/>
        </w:rPr>
        <w:t xml:space="preserve"> to ensure the ongoing safety of drop side cots supplied in Australia.</w:t>
      </w:r>
    </w:p>
    <w:p w:rsidR="00720438" w:rsidRDefault="00720438" w:rsidP="007E40C7">
      <w:pPr>
        <w:pStyle w:val="Heading1"/>
        <w:tabs>
          <w:tab w:val="left" w:pos="7673"/>
        </w:tabs>
      </w:pPr>
    </w:p>
    <w:p w:rsidR="007E40C7" w:rsidRPr="004273F1" w:rsidRDefault="007E40C7" w:rsidP="007E40C7">
      <w:pPr>
        <w:pStyle w:val="Heading1"/>
        <w:tabs>
          <w:tab w:val="left" w:pos="7673"/>
        </w:tabs>
      </w:pPr>
      <w:r w:rsidRPr="004273F1">
        <w:t>Hazards outside the scope of the current mandatory standard</w:t>
      </w:r>
      <w:r>
        <w:tab/>
      </w:r>
    </w:p>
    <w:p w:rsidR="007E40C7" w:rsidRDefault="007E40C7" w:rsidP="007E40C7">
      <w:pPr>
        <w:autoSpaceDE w:val="0"/>
        <w:autoSpaceDN w:val="0"/>
        <w:adjustRightInd w:val="0"/>
      </w:pPr>
    </w:p>
    <w:p w:rsidR="007E40C7" w:rsidRDefault="007E40C7" w:rsidP="007E40C7">
      <w:pPr>
        <w:autoSpaceDE w:val="0"/>
        <w:autoSpaceDN w:val="0"/>
        <w:adjustRightInd w:val="0"/>
      </w:pPr>
      <w:r>
        <w:t xml:space="preserve">The ACCC is aware of hazards associated with </w:t>
      </w:r>
      <w:r w:rsidR="00720438">
        <w:t xml:space="preserve">the use of </w:t>
      </w:r>
      <w:r>
        <w:t xml:space="preserve">household cots which </w:t>
      </w:r>
      <w:r w:rsidR="00720438">
        <w:t>are</w:t>
      </w:r>
      <w:r>
        <w:t xml:space="preserve"> not captured by </w:t>
      </w:r>
      <w:r w:rsidR="00493F53">
        <w:t xml:space="preserve">the </w:t>
      </w:r>
      <w:r w:rsidR="00720438">
        <w:t>S</w:t>
      </w:r>
      <w:r>
        <w:t xml:space="preserve">tandard.  </w:t>
      </w:r>
      <w:r w:rsidR="00720438">
        <w:t xml:space="preserve">Hazards can be introduced through </w:t>
      </w:r>
      <w:r>
        <w:t xml:space="preserve">the use of bumpers and loose bedding, adding soft pillows or other items like toys to the cot, and positioning cots near or underneath windows or blind cords. </w:t>
      </w:r>
    </w:p>
    <w:p w:rsidR="007E40C7" w:rsidRDefault="007E40C7" w:rsidP="007E40C7">
      <w:pPr>
        <w:autoSpaceDE w:val="0"/>
        <w:autoSpaceDN w:val="0"/>
        <w:adjustRightInd w:val="0"/>
      </w:pPr>
    </w:p>
    <w:p w:rsidR="007E40C7" w:rsidRDefault="007E40C7" w:rsidP="007E40C7">
      <w:pPr>
        <w:autoSpaceDE w:val="0"/>
        <w:autoSpaceDN w:val="0"/>
        <w:adjustRightInd w:val="0"/>
      </w:pPr>
      <w:r w:rsidRPr="002E34CB">
        <w:t xml:space="preserve">This paper does not propose changes to the </w:t>
      </w:r>
      <w:r w:rsidR="00720438" w:rsidRPr="002E34CB">
        <w:t>S</w:t>
      </w:r>
      <w:r w:rsidRPr="002E34CB">
        <w:t xml:space="preserve">tandard to address these hazards as it </w:t>
      </w:r>
      <w:r w:rsidR="00720438" w:rsidRPr="002E34CB">
        <w:t xml:space="preserve">remains </w:t>
      </w:r>
      <w:r w:rsidRPr="002E34CB">
        <w:t>th</w:t>
      </w:r>
      <w:r w:rsidR="00493F53" w:rsidRPr="002E34CB">
        <w:t>e ACCC’s view that they</w:t>
      </w:r>
      <w:r w:rsidRPr="002E34CB">
        <w:t xml:space="preserve"> are </w:t>
      </w:r>
      <w:r w:rsidR="0061201E" w:rsidRPr="002E34CB">
        <w:t xml:space="preserve">largely behavioural in nature, or relate to other products and cannot be </w:t>
      </w:r>
      <w:r w:rsidRPr="002E34CB">
        <w:t xml:space="preserve">addressed </w:t>
      </w:r>
      <w:r w:rsidR="0061201E" w:rsidRPr="002E34CB">
        <w:t>in a cot standard</w:t>
      </w:r>
      <w:r w:rsidRPr="002E34CB">
        <w:t>.</w:t>
      </w:r>
      <w:r>
        <w:t xml:space="preserve">  The ACCC promotes ‘safe sleep’ messages in educative material for parents and carers to complement the work of product safety organisations and agencies such</w:t>
      </w:r>
      <w:r w:rsidR="00493F53">
        <w:t xml:space="preserve"> as SIDS &amp; Kids and </w:t>
      </w:r>
      <w:proofErr w:type="spellStart"/>
      <w:r w:rsidR="00493F53">
        <w:t>Kidsafe</w:t>
      </w:r>
      <w:proofErr w:type="spellEnd"/>
      <w:r w:rsidR="00493F53">
        <w:t>, which</w:t>
      </w:r>
      <w:r>
        <w:t xml:space="preserve"> </w:t>
      </w:r>
      <w:r w:rsidR="00720438">
        <w:t>deliver</w:t>
      </w:r>
      <w:r>
        <w:t xml:space="preserve"> use messages in the community.</w:t>
      </w:r>
    </w:p>
    <w:p w:rsidR="007E40C7" w:rsidRDefault="007E40C7" w:rsidP="00F42065">
      <w:pPr>
        <w:pStyle w:val="Heading1"/>
      </w:pPr>
    </w:p>
    <w:p w:rsidR="00CE24F5" w:rsidRPr="004273F1" w:rsidRDefault="00CE24F5" w:rsidP="00F42065">
      <w:pPr>
        <w:pStyle w:val="Heading1"/>
      </w:pPr>
      <w:r w:rsidRPr="004273F1">
        <w:t>Market</w:t>
      </w:r>
      <w:bookmarkEnd w:id="45"/>
      <w:bookmarkEnd w:id="46"/>
      <w:bookmarkEnd w:id="47"/>
      <w:bookmarkEnd w:id="48"/>
      <w:bookmarkEnd w:id="49"/>
      <w:bookmarkEnd w:id="50"/>
      <w:bookmarkEnd w:id="51"/>
      <w:bookmarkEnd w:id="52"/>
      <w:r w:rsidR="00EF46EE">
        <w:br/>
      </w:r>
    </w:p>
    <w:p w:rsidR="00D67FD6" w:rsidRDefault="00D67FD6" w:rsidP="00D67FD6">
      <w:r>
        <w:t>Around 300,000 children are bor</w:t>
      </w:r>
      <w:r w:rsidR="004955D1">
        <w:t>n in Australia every year (301,</w:t>
      </w:r>
      <w:r>
        <w:t xml:space="preserve">617 in 2011).  </w:t>
      </w:r>
      <w:r w:rsidR="00162814">
        <w:t xml:space="preserve">It </w:t>
      </w:r>
      <w:r>
        <w:t xml:space="preserve">is estimated that </w:t>
      </w:r>
      <w:r w:rsidR="007211D2">
        <w:t xml:space="preserve">around </w:t>
      </w:r>
      <w:r>
        <w:t>170,000 new cots are purchased per annum</w:t>
      </w:r>
      <w:r w:rsidR="00162814">
        <w:t>; with the remainder of newborn children using second hand cots – including ‘hand me downs’ from an older sibling, or cots purchased second hand.</w:t>
      </w:r>
    </w:p>
    <w:p w:rsidR="00D67FD6" w:rsidRDefault="00D67FD6" w:rsidP="00D67FD6"/>
    <w:p w:rsidR="00064AEE" w:rsidRDefault="00162814" w:rsidP="00D67FD6">
      <w:r>
        <w:t>Most h</w:t>
      </w:r>
      <w:r w:rsidR="008E6B8E">
        <w:t>ousehold cots are of timber construction</w:t>
      </w:r>
      <w:r w:rsidR="00064AEE">
        <w:t>,</w:t>
      </w:r>
      <w:r w:rsidR="008E6B8E">
        <w:t xml:space="preserve"> </w:t>
      </w:r>
      <w:r w:rsidR="00064AEE">
        <w:t>are</w:t>
      </w:r>
      <w:r w:rsidR="008E6B8E">
        <w:t xml:space="preserve"> rectangular in shape,</w:t>
      </w:r>
      <w:r w:rsidR="00064AEE">
        <w:t xml:space="preserve"> and</w:t>
      </w:r>
      <w:r w:rsidR="008E6B8E">
        <w:t xml:space="preserve"> are raised with fixed legs or supports</w:t>
      </w:r>
      <w:r>
        <w:t xml:space="preserve">. Some </w:t>
      </w:r>
      <w:r w:rsidR="00064AEE">
        <w:t xml:space="preserve">household cots </w:t>
      </w:r>
      <w:r w:rsidR="008E6B8E">
        <w:t xml:space="preserve">are made of metal or plastic and may be oval.  </w:t>
      </w:r>
    </w:p>
    <w:p w:rsidR="00064AEE" w:rsidRDefault="00064AEE" w:rsidP="00D67FD6"/>
    <w:p w:rsidR="00D67FD6" w:rsidRDefault="00064AEE" w:rsidP="00D67FD6">
      <w:r>
        <w:lastRenderedPageBreak/>
        <w:t xml:space="preserve">Almost all cots sold in Australia </w:t>
      </w:r>
      <w:r w:rsidR="008E6B8E">
        <w:t>are imported.</w:t>
      </w:r>
      <w:r w:rsidR="00162814">
        <w:t xml:space="preserve"> These cots are sold in a variety of outlets, including specialist baby stores as well as </w:t>
      </w:r>
      <w:r w:rsidR="0041496A">
        <w:t xml:space="preserve">in large retail chain </w:t>
      </w:r>
      <w:r w:rsidR="00162814">
        <w:t>stores and online.</w:t>
      </w:r>
    </w:p>
    <w:p w:rsidR="00F1746A" w:rsidRDefault="00F1746A" w:rsidP="00F42065">
      <w:pPr>
        <w:pStyle w:val="Heading1"/>
      </w:pPr>
      <w:bookmarkStart w:id="53" w:name="_Toc361729962"/>
      <w:bookmarkStart w:id="54" w:name="_Toc367800177"/>
      <w:bookmarkStart w:id="55" w:name="_Toc367800400"/>
      <w:bookmarkStart w:id="56" w:name="_Toc367800963"/>
      <w:bookmarkStart w:id="57" w:name="_Toc367801229"/>
      <w:bookmarkStart w:id="58" w:name="_Toc367801430"/>
      <w:bookmarkStart w:id="59" w:name="_Toc367801621"/>
      <w:bookmarkStart w:id="60" w:name="_Toc367801744"/>
    </w:p>
    <w:p w:rsidR="00064AEE" w:rsidRPr="004273F1" w:rsidRDefault="00064AEE" w:rsidP="00F42065">
      <w:pPr>
        <w:pStyle w:val="Heading1"/>
      </w:pPr>
      <w:r w:rsidRPr="004273F1">
        <w:t>Compliance</w:t>
      </w:r>
      <w:bookmarkEnd w:id="53"/>
      <w:bookmarkEnd w:id="54"/>
      <w:bookmarkEnd w:id="55"/>
      <w:bookmarkEnd w:id="56"/>
      <w:bookmarkEnd w:id="57"/>
      <w:bookmarkEnd w:id="58"/>
      <w:bookmarkEnd w:id="59"/>
      <w:bookmarkEnd w:id="60"/>
    </w:p>
    <w:p w:rsidR="00064AEE" w:rsidRDefault="00064AEE" w:rsidP="00E856A0">
      <w:pPr>
        <w:keepNext/>
        <w:keepLines/>
      </w:pPr>
    </w:p>
    <w:p w:rsidR="00AB5F73" w:rsidRPr="001205BC" w:rsidRDefault="00AB5F73" w:rsidP="00E856A0">
      <w:pPr>
        <w:keepNext/>
        <w:keepLines/>
      </w:pPr>
      <w:r w:rsidRPr="001205BC">
        <w:t xml:space="preserve">The effectiveness of the Standard can be assessed by examining levels of compliance </w:t>
      </w:r>
      <w:r w:rsidR="006B6A10" w:rsidRPr="001205BC">
        <w:t xml:space="preserve">(as well as </w:t>
      </w:r>
      <w:r w:rsidRPr="001205BC">
        <w:t>injury rates</w:t>
      </w:r>
      <w:r w:rsidR="006B6A10" w:rsidRPr="001205BC">
        <w:t>, which are analysed later in this paper)</w:t>
      </w:r>
      <w:r w:rsidRPr="001205BC">
        <w:t>.</w:t>
      </w:r>
      <w:r w:rsidR="006B6A10" w:rsidRPr="001205BC">
        <w:t xml:space="preserve"> </w:t>
      </w:r>
    </w:p>
    <w:p w:rsidR="00AB5F73" w:rsidRPr="001205BC" w:rsidRDefault="00AB5F73" w:rsidP="00E856A0">
      <w:pPr>
        <w:keepNext/>
        <w:keepLines/>
      </w:pPr>
    </w:p>
    <w:p w:rsidR="00E2400D" w:rsidRPr="001205BC" w:rsidRDefault="00E2400D" w:rsidP="00E856A0">
      <w:pPr>
        <w:keepNext/>
        <w:keepLines/>
      </w:pPr>
      <w:r w:rsidRPr="001205BC">
        <w:t xml:space="preserve">Supplier compliance with the </w:t>
      </w:r>
      <w:r w:rsidR="00057FF9" w:rsidRPr="001205BC">
        <w:t xml:space="preserve">critical design and performance </w:t>
      </w:r>
      <w:r w:rsidRPr="001205BC">
        <w:t>requirements of the standard has been generally high</w:t>
      </w:r>
      <w:r w:rsidR="00006D53" w:rsidRPr="001205BC">
        <w:t>. At the same time</w:t>
      </w:r>
      <w:r w:rsidR="00A35C8C" w:rsidRPr="001205BC">
        <w:t xml:space="preserve"> non-complia</w:t>
      </w:r>
      <w:r w:rsidR="00006D53" w:rsidRPr="001205BC">
        <w:t>nce with marking requirements has also been high, as evidenced by:</w:t>
      </w:r>
      <w:r w:rsidRPr="001205BC">
        <w:t xml:space="preserve">  </w:t>
      </w:r>
    </w:p>
    <w:p w:rsidR="00E2400D" w:rsidRPr="001205BC" w:rsidRDefault="00E2400D" w:rsidP="00E856A0">
      <w:pPr>
        <w:keepNext/>
        <w:keepLines/>
      </w:pPr>
    </w:p>
    <w:p w:rsidR="00A35C8C" w:rsidRPr="001205BC" w:rsidRDefault="00006D53" w:rsidP="002E34CB">
      <w:pPr>
        <w:numPr>
          <w:ilvl w:val="0"/>
          <w:numId w:val="14"/>
        </w:numPr>
      </w:pPr>
      <w:r w:rsidRPr="001205BC">
        <w:t>ACCC Market Surveillance-</w:t>
      </w:r>
      <w:r w:rsidR="00A35C8C" w:rsidRPr="001205BC">
        <w:t xml:space="preserve"> Analysis of both ACCC surveillance and extensive external cot product testing since October 2009 indicates that non-compliance with informational and marking provisions of the regulation makes up most non-compliance.  </w:t>
      </w:r>
    </w:p>
    <w:p w:rsidR="00A35C8C" w:rsidRPr="001205BC" w:rsidRDefault="00A35C8C" w:rsidP="00A35C8C"/>
    <w:p w:rsidR="00A35C8C" w:rsidRPr="001205BC" w:rsidRDefault="00A35C8C" w:rsidP="007C3651">
      <w:pPr>
        <w:ind w:left="720"/>
      </w:pPr>
      <w:r w:rsidRPr="001205BC">
        <w:t>Three quarters (74%) of the non-compliances identified in the testing conducted since 2009 related to one or both of two information and marking clauses in the Standard:</w:t>
      </w:r>
    </w:p>
    <w:p w:rsidR="00A35C8C" w:rsidRPr="001205BC" w:rsidRDefault="00A35C8C" w:rsidP="00A35C8C"/>
    <w:p w:rsidR="00A35C8C" w:rsidRPr="001205BC" w:rsidRDefault="00A35C8C" w:rsidP="002E34CB">
      <w:pPr>
        <w:numPr>
          <w:ilvl w:val="0"/>
          <w:numId w:val="16"/>
        </w:numPr>
      </w:pPr>
      <w:r w:rsidRPr="001205BC">
        <w:t>Clause 11, which relates to informative labelling and includes requirements for information to be provided with the cot in a leaflet, on a swing tag or label and on the external product packaging; and</w:t>
      </w:r>
    </w:p>
    <w:p w:rsidR="00006D53" w:rsidRPr="001205BC" w:rsidRDefault="00A35C8C" w:rsidP="002E34CB">
      <w:pPr>
        <w:numPr>
          <w:ilvl w:val="0"/>
          <w:numId w:val="16"/>
        </w:numPr>
      </w:pPr>
      <w:r w:rsidRPr="001205BC">
        <w:t>Clause 12, which relates to markings on the cot, as well as the legibility and durability of these markings which should remain on the cot for its typical operational life span.</w:t>
      </w:r>
    </w:p>
    <w:p w:rsidR="00A35C8C" w:rsidRPr="001205BC" w:rsidRDefault="00A35C8C" w:rsidP="007C3651">
      <w:pPr>
        <w:ind w:left="720"/>
      </w:pPr>
    </w:p>
    <w:p w:rsidR="00064AEE" w:rsidRPr="001205BC" w:rsidRDefault="00006D53" w:rsidP="002E34CB">
      <w:pPr>
        <w:keepNext/>
        <w:keepLines/>
        <w:numPr>
          <w:ilvl w:val="0"/>
          <w:numId w:val="13"/>
        </w:numPr>
      </w:pPr>
      <w:r w:rsidRPr="001205BC">
        <w:t>Recalls-</w:t>
      </w:r>
      <w:r w:rsidR="00064AEE" w:rsidRPr="001205BC">
        <w:t>Since 1998 there have been 1</w:t>
      </w:r>
      <w:r w:rsidR="003578C8" w:rsidRPr="001205BC">
        <w:t>9</w:t>
      </w:r>
      <w:r w:rsidR="00064AEE" w:rsidRPr="001205BC">
        <w:t xml:space="preserve"> Australian recalls involving cots and cot mattresses </w:t>
      </w:r>
      <w:r w:rsidR="00C27ADA" w:rsidRPr="001205BC">
        <w:t xml:space="preserve">(see </w:t>
      </w:r>
      <w:r w:rsidR="00C27ADA" w:rsidRPr="001205BC">
        <w:rPr>
          <w:i/>
        </w:rPr>
        <w:t>Appendix B</w:t>
      </w:r>
      <w:r w:rsidR="00C27ADA" w:rsidRPr="001205BC">
        <w:t>)</w:t>
      </w:r>
      <w:r w:rsidR="00064AEE" w:rsidRPr="001205BC">
        <w:t xml:space="preserve">.  Most recalls involved single </w:t>
      </w:r>
      <w:r w:rsidR="00720438" w:rsidRPr="001205BC">
        <w:t xml:space="preserve">safety </w:t>
      </w:r>
      <w:r w:rsidR="00064AEE" w:rsidRPr="001205BC">
        <w:t>issues</w:t>
      </w:r>
      <w:r w:rsidR="0071630D" w:rsidRPr="001205BC">
        <w:t xml:space="preserve"> and related to mandated clauses in the Standard for marking and information and </w:t>
      </w:r>
      <w:r w:rsidRPr="001205BC">
        <w:t xml:space="preserve">requirements for specific </w:t>
      </w:r>
      <w:r w:rsidR="0071630D" w:rsidRPr="001205BC">
        <w:t>cot dimensions</w:t>
      </w:r>
      <w:proofErr w:type="gramStart"/>
      <w:r w:rsidR="0071630D" w:rsidRPr="001205BC">
        <w:t>.</w:t>
      </w:r>
      <w:r w:rsidR="00064AEE" w:rsidRPr="001205BC">
        <w:t>.</w:t>
      </w:r>
      <w:proofErr w:type="gramEnd"/>
    </w:p>
    <w:p w:rsidR="00A35C8C" w:rsidRPr="001205BC" w:rsidRDefault="00A35C8C" w:rsidP="002E34CB">
      <w:pPr>
        <w:keepNext/>
        <w:keepLines/>
        <w:numPr>
          <w:ilvl w:val="0"/>
          <w:numId w:val="13"/>
        </w:numPr>
      </w:pPr>
      <w:r w:rsidRPr="001205BC">
        <w:t>Enforcement actions- since 2007, two court enforceable undertakings have been obtained with suppliers of products with multiple mandated non-compliances.</w:t>
      </w:r>
    </w:p>
    <w:p w:rsidR="00064AEE" w:rsidRDefault="00064AEE" w:rsidP="00064AEE"/>
    <w:p w:rsidR="00064AEE" w:rsidRDefault="00064AEE" w:rsidP="00064AEE"/>
    <w:p w:rsidR="00C47E1A" w:rsidRPr="00EF4CF3" w:rsidRDefault="00F1746A" w:rsidP="00064AEE">
      <w:r>
        <w:t>This r</w:t>
      </w:r>
      <w:r w:rsidR="00003A8F">
        <w:t xml:space="preserve">eview </w:t>
      </w:r>
      <w:r>
        <w:t xml:space="preserve">has considered the </w:t>
      </w:r>
      <w:r w:rsidR="00003A8F">
        <w:t>information</w:t>
      </w:r>
      <w:r w:rsidR="00C47E1A" w:rsidRPr="00EF4CF3">
        <w:t xml:space="preserve"> requirements </w:t>
      </w:r>
      <w:r>
        <w:t xml:space="preserve">to assess whether there is opportunity to </w:t>
      </w:r>
      <w:r w:rsidR="00C47E1A" w:rsidRPr="00EF4CF3">
        <w:t xml:space="preserve">amend </w:t>
      </w:r>
      <w:r w:rsidR="0041496A">
        <w:t>these</w:t>
      </w:r>
      <w:r w:rsidR="00C47E1A" w:rsidRPr="00EF4CF3">
        <w:t xml:space="preserve"> </w:t>
      </w:r>
      <w:r w:rsidR="00C27ADA">
        <w:t xml:space="preserve">provisions </w:t>
      </w:r>
      <w:r w:rsidR="006832A3">
        <w:t xml:space="preserve">to </w:t>
      </w:r>
      <w:r w:rsidR="00003A8F">
        <w:t>minimise</w:t>
      </w:r>
      <w:r w:rsidR="006832A3">
        <w:t xml:space="preserve"> regu</w:t>
      </w:r>
      <w:r w:rsidR="0041496A">
        <w:t>latory complexity</w:t>
      </w:r>
      <w:r w:rsidR="00C27ADA">
        <w:t xml:space="preserve"> and</w:t>
      </w:r>
      <w:r w:rsidR="0041496A">
        <w:t xml:space="preserve"> facilitate </w:t>
      </w:r>
      <w:r w:rsidR="00C47E1A" w:rsidRPr="00EF4CF3">
        <w:t xml:space="preserve">easier </w:t>
      </w:r>
      <w:r w:rsidR="006832A3">
        <w:t>compliance for suppliers</w:t>
      </w:r>
      <w:r w:rsidR="00E2400D">
        <w:t xml:space="preserve"> (see </w:t>
      </w:r>
      <w:r w:rsidR="00057FF9">
        <w:t xml:space="preserve">comments on Information and Marking </w:t>
      </w:r>
      <w:r w:rsidR="00E2400D">
        <w:t>later in the paper)</w:t>
      </w:r>
      <w:r w:rsidR="00C27ADA">
        <w:t>.</w:t>
      </w:r>
    </w:p>
    <w:p w:rsidR="00C47E1A" w:rsidRDefault="00C47E1A" w:rsidP="00064AEE"/>
    <w:p w:rsidR="008606DE" w:rsidRPr="004273F1" w:rsidRDefault="007E40C7" w:rsidP="00A03798">
      <w:pPr>
        <w:pStyle w:val="Heading1"/>
        <w:keepLines/>
      </w:pPr>
      <w:bookmarkStart w:id="61" w:name="_Toc361729965"/>
      <w:bookmarkStart w:id="62" w:name="_Toc367800180"/>
      <w:bookmarkStart w:id="63" w:name="_Toc367800403"/>
      <w:bookmarkStart w:id="64" w:name="_Toc367800966"/>
      <w:bookmarkStart w:id="65" w:name="_Toc367801232"/>
      <w:bookmarkStart w:id="66" w:name="_Toc367801433"/>
      <w:bookmarkStart w:id="67" w:name="_Toc367801624"/>
      <w:bookmarkStart w:id="68" w:name="_Toc367801747"/>
      <w:r>
        <w:t>I</w:t>
      </w:r>
      <w:r w:rsidR="009F6E51">
        <w:t>njury d</w:t>
      </w:r>
      <w:r w:rsidR="002801FF" w:rsidRPr="004273F1">
        <w:t>ata</w:t>
      </w:r>
      <w:bookmarkEnd w:id="61"/>
      <w:bookmarkEnd w:id="62"/>
      <w:bookmarkEnd w:id="63"/>
      <w:bookmarkEnd w:id="64"/>
      <w:bookmarkEnd w:id="65"/>
      <w:bookmarkEnd w:id="66"/>
      <w:bookmarkEnd w:id="67"/>
      <w:bookmarkEnd w:id="68"/>
    </w:p>
    <w:p w:rsidR="009F24D1" w:rsidRDefault="009F24D1" w:rsidP="00A03798">
      <w:pPr>
        <w:keepNext/>
        <w:keepLines/>
        <w:autoSpaceDE w:val="0"/>
        <w:autoSpaceDN w:val="0"/>
        <w:adjustRightInd w:val="0"/>
      </w:pPr>
    </w:p>
    <w:p w:rsidR="00F3682F" w:rsidRPr="003B3F23" w:rsidRDefault="009D0595" w:rsidP="00A03798">
      <w:pPr>
        <w:pStyle w:val="Heading2"/>
        <w:keepLines/>
      </w:pPr>
      <w:bookmarkStart w:id="69" w:name="_Toc367800181"/>
      <w:bookmarkStart w:id="70" w:name="_Toc367800404"/>
      <w:bookmarkStart w:id="71" w:name="_Toc367800967"/>
      <w:bookmarkStart w:id="72" w:name="_Toc367801233"/>
      <w:bookmarkStart w:id="73" w:name="_Toc367801434"/>
      <w:bookmarkStart w:id="74" w:name="_Toc367801625"/>
      <w:bookmarkStart w:id="75" w:name="_Toc367801748"/>
      <w:r w:rsidRPr="003B3F23">
        <w:t>National</w:t>
      </w:r>
      <w:r w:rsidR="009F6E51">
        <w:t xml:space="preserve"> d</w:t>
      </w:r>
      <w:r w:rsidR="00F3682F" w:rsidRPr="003B3F23">
        <w:t>ata</w:t>
      </w:r>
      <w:bookmarkEnd w:id="69"/>
      <w:bookmarkEnd w:id="70"/>
      <w:bookmarkEnd w:id="71"/>
      <w:bookmarkEnd w:id="72"/>
      <w:bookmarkEnd w:id="73"/>
      <w:bookmarkEnd w:id="74"/>
      <w:bookmarkEnd w:id="75"/>
    </w:p>
    <w:p w:rsidR="00F3682F" w:rsidRDefault="00F3682F" w:rsidP="00A03798">
      <w:pPr>
        <w:keepNext/>
        <w:keepLines/>
        <w:autoSpaceDE w:val="0"/>
        <w:autoSpaceDN w:val="0"/>
        <w:adjustRightInd w:val="0"/>
        <w:rPr>
          <w:u w:val="single"/>
        </w:rPr>
      </w:pPr>
    </w:p>
    <w:p w:rsidR="00F3682F" w:rsidRDefault="00842679" w:rsidP="00A03798">
      <w:pPr>
        <w:keepNext/>
        <w:keepLines/>
        <w:autoSpaceDE w:val="0"/>
        <w:autoSpaceDN w:val="0"/>
        <w:adjustRightInd w:val="0"/>
      </w:pPr>
      <w:r>
        <w:t>Since 2000 t</w:t>
      </w:r>
      <w:r w:rsidR="00DA01A5">
        <w:t xml:space="preserve">he </w:t>
      </w:r>
      <w:r w:rsidR="00F3682F">
        <w:t>National C</w:t>
      </w:r>
      <w:r w:rsidR="00DC5AC9">
        <w:t>oronial Information System data</w:t>
      </w:r>
      <w:r w:rsidR="00F3682F">
        <w:t>base</w:t>
      </w:r>
      <w:r w:rsidR="00DA01A5">
        <w:t xml:space="preserve"> has recorded 18 Australian child deaths in cots</w:t>
      </w:r>
      <w:r w:rsidR="00F3682F">
        <w:t xml:space="preserve">, with no deaths since 2007. </w:t>
      </w:r>
      <w:r w:rsidR="005350E0">
        <w:t xml:space="preserve">The introduction of the Standard in 2005 is likely to have contributed to this result and the uniform safety of cots supplied.  </w:t>
      </w:r>
      <w:r w:rsidR="00F3682F">
        <w:t>Seven of the deaths involved cots with m</w:t>
      </w:r>
      <w:r w:rsidR="00770BEF">
        <w:t xml:space="preserve">issing or broken sides or parts, or </w:t>
      </w:r>
      <w:r w:rsidR="00F3682F" w:rsidRPr="00770BEF">
        <w:t>s</w:t>
      </w:r>
      <w:r w:rsidR="00F3682F">
        <w:t>econd hand or modified cots.</w:t>
      </w:r>
    </w:p>
    <w:p w:rsidR="00F3682F" w:rsidRDefault="00F3682F" w:rsidP="009E7485">
      <w:pPr>
        <w:autoSpaceDE w:val="0"/>
        <w:autoSpaceDN w:val="0"/>
        <w:adjustRightInd w:val="0"/>
      </w:pPr>
    </w:p>
    <w:p w:rsidR="00DC5AC9" w:rsidRDefault="002D3EDD" w:rsidP="009E7485">
      <w:pPr>
        <w:autoSpaceDE w:val="0"/>
        <w:autoSpaceDN w:val="0"/>
        <w:adjustRightInd w:val="0"/>
      </w:pPr>
      <w:r>
        <w:t xml:space="preserve">The analysis of causative factors in child deaths involving a cot can be very difficult, especially for children </w:t>
      </w:r>
      <w:r w:rsidR="001125D3">
        <w:t xml:space="preserve">aged </w:t>
      </w:r>
      <w:r>
        <w:t>twelve months</w:t>
      </w:r>
      <w:r w:rsidR="005B62DD">
        <w:t xml:space="preserve"> and under</w:t>
      </w:r>
      <w:r>
        <w:t xml:space="preserve">.  The lack of </w:t>
      </w:r>
      <w:r w:rsidR="00720438">
        <w:t xml:space="preserve">causative </w:t>
      </w:r>
      <w:r>
        <w:t xml:space="preserve">information, the presence of many variables and confounding factors and the difficulty in differentiating deaths at sleep, sudden infant </w:t>
      </w:r>
      <w:r>
        <w:lastRenderedPageBreak/>
        <w:t xml:space="preserve">death syndrome, </w:t>
      </w:r>
      <w:r w:rsidR="009178FC">
        <w:t>oxygen deprivation (</w:t>
      </w:r>
      <w:r>
        <w:t>anoxia</w:t>
      </w:r>
      <w:r w:rsidR="009178FC">
        <w:t>)</w:t>
      </w:r>
      <w:r>
        <w:t xml:space="preserve"> </w:t>
      </w:r>
      <w:r w:rsidR="009178FC">
        <w:t xml:space="preserve">or </w:t>
      </w:r>
      <w:r>
        <w:t xml:space="preserve">suffocation </w:t>
      </w:r>
      <w:r w:rsidR="009178FC">
        <w:t xml:space="preserve">can make identifying and attributing </w:t>
      </w:r>
      <w:r w:rsidR="00B77267">
        <w:t>a</w:t>
      </w:r>
      <w:r w:rsidR="009178FC">
        <w:t xml:space="preserve"> death to problems with cot </w:t>
      </w:r>
      <w:r>
        <w:t xml:space="preserve">design, construction or maintenance </w:t>
      </w:r>
      <w:r w:rsidR="009178FC">
        <w:t xml:space="preserve">highly </w:t>
      </w:r>
      <w:r>
        <w:t xml:space="preserve">problematic. </w:t>
      </w:r>
      <w:r w:rsidR="009123A7">
        <w:t xml:space="preserve"> </w:t>
      </w:r>
    </w:p>
    <w:p w:rsidR="00DC5AC9" w:rsidRDefault="00DC5AC9" w:rsidP="009E7485">
      <w:pPr>
        <w:autoSpaceDE w:val="0"/>
        <w:autoSpaceDN w:val="0"/>
        <w:adjustRightInd w:val="0"/>
      </w:pPr>
    </w:p>
    <w:p w:rsidR="00F3682F" w:rsidRPr="00F3682F" w:rsidRDefault="005B62DD" w:rsidP="009E7485">
      <w:pPr>
        <w:autoSpaceDE w:val="0"/>
        <w:autoSpaceDN w:val="0"/>
        <w:adjustRightInd w:val="0"/>
      </w:pPr>
      <w:r>
        <w:t xml:space="preserve">Nevertheless, </w:t>
      </w:r>
      <w:r w:rsidR="009123A7">
        <w:t xml:space="preserve">the </w:t>
      </w:r>
      <w:proofErr w:type="gramStart"/>
      <w:r w:rsidR="009123A7">
        <w:t>existence</w:t>
      </w:r>
      <w:proofErr w:type="gramEnd"/>
      <w:r w:rsidR="009123A7">
        <w:t xml:space="preserve"> of risks that can be attributable to any design feature </w:t>
      </w:r>
      <w:r w:rsidR="00960E50">
        <w:t>of</w:t>
      </w:r>
      <w:r w:rsidR="009123A7">
        <w:t xml:space="preserve"> a cot need to be </w:t>
      </w:r>
      <w:r>
        <w:t xml:space="preserve">continually </w:t>
      </w:r>
      <w:r w:rsidR="009123A7">
        <w:t>minimised</w:t>
      </w:r>
      <w:r w:rsidR="00720438">
        <w:t>, given the persistence of injury to vulnerable product users</w:t>
      </w:r>
      <w:r w:rsidR="009123A7">
        <w:t>.</w:t>
      </w:r>
    </w:p>
    <w:p w:rsidR="00F3682F" w:rsidRDefault="00F3682F" w:rsidP="009E7485">
      <w:pPr>
        <w:autoSpaceDE w:val="0"/>
        <w:autoSpaceDN w:val="0"/>
        <w:adjustRightInd w:val="0"/>
        <w:rPr>
          <w:u w:val="single"/>
        </w:rPr>
      </w:pPr>
    </w:p>
    <w:p w:rsidR="008606DE" w:rsidRPr="00E856A0" w:rsidRDefault="008606DE" w:rsidP="00F42065">
      <w:pPr>
        <w:pStyle w:val="Heading2"/>
      </w:pPr>
      <w:bookmarkStart w:id="76" w:name="_Toc367800182"/>
      <w:bookmarkStart w:id="77" w:name="_Toc367800405"/>
      <w:bookmarkStart w:id="78" w:name="_Toc367800968"/>
      <w:bookmarkStart w:id="79" w:name="_Toc367801234"/>
      <w:bookmarkStart w:id="80" w:name="_Toc367801435"/>
      <w:bookmarkStart w:id="81" w:name="_Toc367801626"/>
      <w:bookmarkStart w:id="82" w:name="_Toc367801749"/>
      <w:r w:rsidRPr="00E856A0">
        <w:t xml:space="preserve">Victorian </w:t>
      </w:r>
      <w:r w:rsidR="009F6E51" w:rsidRPr="00E856A0">
        <w:t>d</w:t>
      </w:r>
      <w:r w:rsidRPr="00E856A0">
        <w:t>ata</w:t>
      </w:r>
      <w:bookmarkEnd w:id="76"/>
      <w:bookmarkEnd w:id="77"/>
      <w:bookmarkEnd w:id="78"/>
      <w:bookmarkEnd w:id="79"/>
      <w:bookmarkEnd w:id="80"/>
      <w:bookmarkEnd w:id="81"/>
      <w:bookmarkEnd w:id="82"/>
    </w:p>
    <w:p w:rsidR="00F3682F" w:rsidRPr="00CD2D27" w:rsidRDefault="00F3682F" w:rsidP="009E7485">
      <w:pPr>
        <w:autoSpaceDE w:val="0"/>
        <w:autoSpaceDN w:val="0"/>
        <w:adjustRightInd w:val="0"/>
        <w:rPr>
          <w:u w:val="single"/>
        </w:rPr>
      </w:pPr>
    </w:p>
    <w:p w:rsidR="009B2A4F" w:rsidRDefault="000B455D" w:rsidP="000B455D">
      <w:pPr>
        <w:autoSpaceDE w:val="0"/>
        <w:autoSpaceDN w:val="0"/>
        <w:adjustRightInd w:val="0"/>
      </w:pPr>
      <w:r>
        <w:t>I</w:t>
      </w:r>
      <w:r w:rsidR="003F08B9">
        <w:t xml:space="preserve">njury data </w:t>
      </w:r>
      <w:r w:rsidR="002D3EDD">
        <w:t>from</w:t>
      </w:r>
      <w:r w:rsidR="003F08B9">
        <w:t xml:space="preserve"> the Victorian Injury Surveillance Unit (VISU) </w:t>
      </w:r>
      <w:r>
        <w:t xml:space="preserve">covering the six year period 2006/7-2011/12 </w:t>
      </w:r>
      <w:r w:rsidR="003F08B9">
        <w:t>indicates</w:t>
      </w:r>
      <w:r>
        <w:t xml:space="preserve"> </w:t>
      </w:r>
      <w:r w:rsidR="003F08B9">
        <w:t xml:space="preserve">137 hospital </w:t>
      </w:r>
      <w:r w:rsidR="003F08B9" w:rsidRPr="00DB502B">
        <w:t>admissions and a further 492 emergency department presentations</w:t>
      </w:r>
      <w:r w:rsidR="003F08B9">
        <w:t xml:space="preserve"> </w:t>
      </w:r>
      <w:r w:rsidR="00DC5AC9">
        <w:t xml:space="preserve">(not admissions) </w:t>
      </w:r>
      <w:r w:rsidR="003F08B9">
        <w:t>for young children aged 0-4 years old due to injury related to cots</w:t>
      </w:r>
      <w:r>
        <w:t>.</w:t>
      </w:r>
    </w:p>
    <w:p w:rsidR="003F08B9" w:rsidRDefault="000B455D" w:rsidP="000B455D">
      <w:pPr>
        <w:autoSpaceDE w:val="0"/>
        <w:autoSpaceDN w:val="0"/>
        <w:adjustRightInd w:val="0"/>
      </w:pPr>
      <w:r>
        <w:t xml:space="preserve"> Of these:</w:t>
      </w:r>
    </w:p>
    <w:p w:rsidR="003F08B9" w:rsidRDefault="003F08B9" w:rsidP="002E34CB">
      <w:pPr>
        <w:numPr>
          <w:ilvl w:val="0"/>
          <w:numId w:val="2"/>
        </w:numPr>
        <w:autoSpaceDE w:val="0"/>
        <w:autoSpaceDN w:val="0"/>
        <w:adjustRightInd w:val="0"/>
      </w:pPr>
      <w:r>
        <w:t>44% of the admissions related to children aged</w:t>
      </w:r>
      <w:r w:rsidR="00104A19">
        <w:t xml:space="preserve"> up to</w:t>
      </w:r>
      <w:r>
        <w:t xml:space="preserve"> one year</w:t>
      </w:r>
    </w:p>
    <w:p w:rsidR="003F08B9" w:rsidRDefault="003F08B9" w:rsidP="002E34CB">
      <w:pPr>
        <w:numPr>
          <w:ilvl w:val="0"/>
          <w:numId w:val="2"/>
        </w:numPr>
        <w:autoSpaceDE w:val="0"/>
        <w:autoSpaceDN w:val="0"/>
        <w:adjustRightInd w:val="0"/>
      </w:pPr>
      <w:r>
        <w:t xml:space="preserve">55% </w:t>
      </w:r>
      <w:r w:rsidR="00A41CD8">
        <w:t xml:space="preserve">of the admissions </w:t>
      </w:r>
      <w:r>
        <w:t xml:space="preserve">related to injuries </w:t>
      </w:r>
      <w:r w:rsidR="00A41CD8">
        <w:t>to</w:t>
      </w:r>
      <w:r>
        <w:t xml:space="preserve"> the head/face/neck</w:t>
      </w:r>
    </w:p>
    <w:p w:rsidR="003F08B9" w:rsidRDefault="003F08B9" w:rsidP="002E34CB">
      <w:pPr>
        <w:numPr>
          <w:ilvl w:val="0"/>
          <w:numId w:val="2"/>
        </w:numPr>
        <w:autoSpaceDE w:val="0"/>
        <w:autoSpaceDN w:val="0"/>
        <w:adjustRightInd w:val="0"/>
      </w:pPr>
      <w:r>
        <w:t xml:space="preserve">35% of the injury types </w:t>
      </w:r>
      <w:r w:rsidR="00A41CD8">
        <w:t xml:space="preserve">in admissions </w:t>
      </w:r>
      <w:r>
        <w:t>were fractures</w:t>
      </w:r>
    </w:p>
    <w:p w:rsidR="00A41CD8" w:rsidRDefault="00A41CD8" w:rsidP="002E34CB">
      <w:pPr>
        <w:numPr>
          <w:ilvl w:val="0"/>
          <w:numId w:val="2"/>
        </w:numPr>
        <w:autoSpaceDE w:val="0"/>
        <w:autoSpaceDN w:val="0"/>
        <w:adjustRightInd w:val="0"/>
      </w:pPr>
      <w:r>
        <w:t>42% of the presentations related to children aged one year</w:t>
      </w:r>
    </w:p>
    <w:p w:rsidR="00A41CD8" w:rsidRDefault="00753B1B" w:rsidP="002E34CB">
      <w:pPr>
        <w:numPr>
          <w:ilvl w:val="0"/>
          <w:numId w:val="2"/>
        </w:numPr>
        <w:autoSpaceDE w:val="0"/>
        <w:autoSpaceDN w:val="0"/>
        <w:adjustRightInd w:val="0"/>
      </w:pPr>
      <w:r>
        <w:t xml:space="preserve">84% </w:t>
      </w:r>
      <w:r w:rsidR="00A41CD8">
        <w:t xml:space="preserve">of the presentations related to falls from </w:t>
      </w:r>
      <w:r>
        <w:t xml:space="preserve">(71%) or against (13%) </w:t>
      </w:r>
      <w:r w:rsidR="00A41CD8">
        <w:t>the cot</w:t>
      </w:r>
      <w:r w:rsidR="00F019E4">
        <w:t xml:space="preserve"> </w:t>
      </w:r>
    </w:p>
    <w:p w:rsidR="00A41CD8" w:rsidRDefault="00A41CD8" w:rsidP="002E34CB">
      <w:pPr>
        <w:numPr>
          <w:ilvl w:val="0"/>
          <w:numId w:val="2"/>
        </w:numPr>
        <w:autoSpaceDE w:val="0"/>
        <w:autoSpaceDN w:val="0"/>
        <w:adjustRightInd w:val="0"/>
      </w:pPr>
      <w:r>
        <w:t>55% of the presentations related to injuries to the head/face/neck</w:t>
      </w:r>
    </w:p>
    <w:p w:rsidR="00A41CD8" w:rsidRDefault="00A41CD8" w:rsidP="00A41CD8">
      <w:pPr>
        <w:autoSpaceDE w:val="0"/>
        <w:autoSpaceDN w:val="0"/>
        <w:adjustRightInd w:val="0"/>
      </w:pPr>
    </w:p>
    <w:p w:rsidR="008606DE" w:rsidRPr="003B3F23" w:rsidRDefault="008606DE" w:rsidP="00F42065">
      <w:pPr>
        <w:pStyle w:val="Heading2"/>
      </w:pPr>
      <w:bookmarkStart w:id="83" w:name="_Toc367800183"/>
      <w:bookmarkStart w:id="84" w:name="_Toc367800406"/>
      <w:bookmarkStart w:id="85" w:name="_Toc367800969"/>
      <w:bookmarkStart w:id="86" w:name="_Toc367801235"/>
      <w:bookmarkStart w:id="87" w:name="_Toc367801436"/>
      <w:bookmarkStart w:id="88" w:name="_Toc367801627"/>
      <w:bookmarkStart w:id="89" w:name="_Toc367801750"/>
      <w:r w:rsidRPr="003B3F23">
        <w:t xml:space="preserve">Queensland </w:t>
      </w:r>
      <w:r w:rsidR="009F6E51">
        <w:t>d</w:t>
      </w:r>
      <w:r w:rsidRPr="003B3F23">
        <w:t>ata</w:t>
      </w:r>
      <w:bookmarkEnd w:id="83"/>
      <w:bookmarkEnd w:id="84"/>
      <w:bookmarkEnd w:id="85"/>
      <w:bookmarkEnd w:id="86"/>
      <w:bookmarkEnd w:id="87"/>
      <w:bookmarkEnd w:id="88"/>
      <w:bookmarkEnd w:id="89"/>
    </w:p>
    <w:p w:rsidR="008606DE" w:rsidRPr="009F24D1" w:rsidRDefault="008606DE" w:rsidP="009E7485">
      <w:pPr>
        <w:autoSpaceDE w:val="0"/>
        <w:autoSpaceDN w:val="0"/>
        <w:adjustRightInd w:val="0"/>
      </w:pPr>
    </w:p>
    <w:p w:rsidR="003F565F" w:rsidRPr="00A91394" w:rsidRDefault="00E359BA" w:rsidP="009E7485">
      <w:pPr>
        <w:autoSpaceDE w:val="0"/>
        <w:autoSpaceDN w:val="0"/>
        <w:adjustRightInd w:val="0"/>
      </w:pPr>
      <w:r>
        <w:t xml:space="preserve">Data </w:t>
      </w:r>
      <w:r w:rsidR="000B455D">
        <w:t xml:space="preserve">from </w:t>
      </w:r>
      <w:r>
        <w:t xml:space="preserve">the Centre </w:t>
      </w:r>
      <w:r w:rsidR="002D3EDD">
        <w:t>for Accident Research and Road S</w:t>
      </w:r>
      <w:r>
        <w:t xml:space="preserve">afety in Queensland </w:t>
      </w:r>
      <w:r w:rsidR="003A4BF4">
        <w:t xml:space="preserve">(currently representing approximately 72% of all ED presentations) </w:t>
      </w:r>
      <w:r w:rsidR="003B3F23">
        <w:t>demonstrates</w:t>
      </w:r>
      <w:r>
        <w:t xml:space="preserve"> t</w:t>
      </w:r>
      <w:r w:rsidR="00C93F54">
        <w:t xml:space="preserve">hat </w:t>
      </w:r>
      <w:r>
        <w:t>275</w:t>
      </w:r>
      <w:r w:rsidR="00C93F54">
        <w:t xml:space="preserve"> children </w:t>
      </w:r>
      <w:r w:rsidR="000B455D">
        <w:t>presented</w:t>
      </w:r>
      <w:r w:rsidR="00C93F54">
        <w:t xml:space="preserve"> to emergency departments because of</w:t>
      </w:r>
      <w:r>
        <w:t xml:space="preserve"> cot related </w:t>
      </w:r>
      <w:r w:rsidR="00C93F54">
        <w:t xml:space="preserve">injury between 2004 and 2011.  This </w:t>
      </w:r>
      <w:r w:rsidR="00C93F54" w:rsidRPr="00A91394">
        <w:t xml:space="preserve">is </w:t>
      </w:r>
      <w:r w:rsidR="000B455D" w:rsidRPr="00A91394">
        <w:t xml:space="preserve">an average of </w:t>
      </w:r>
      <w:r w:rsidR="00C93F54" w:rsidRPr="00A91394">
        <w:t>55 cases per yea</w:t>
      </w:r>
      <w:r w:rsidR="007211D2">
        <w:t>r.</w:t>
      </w:r>
      <w:r w:rsidR="003F565F" w:rsidRPr="00A91394">
        <w:t xml:space="preserve"> </w:t>
      </w:r>
      <w:r w:rsidRPr="00A91394">
        <w:t>The majority of cases were due to falls from the cot (78%)</w:t>
      </w:r>
      <w:r w:rsidR="00C93F54" w:rsidRPr="00A91394">
        <w:t xml:space="preserve">.  Two thirds of the cases </w:t>
      </w:r>
      <w:r w:rsidRPr="00A91394">
        <w:t xml:space="preserve">of incidents </w:t>
      </w:r>
      <w:r w:rsidR="00C93F54" w:rsidRPr="00A91394">
        <w:t>involved a head injury.</w:t>
      </w:r>
      <w:r w:rsidRPr="00A91394">
        <w:t xml:space="preserve"> </w:t>
      </w:r>
    </w:p>
    <w:p w:rsidR="003F565F" w:rsidRPr="00A91394" w:rsidRDefault="003F565F" w:rsidP="009E7485">
      <w:pPr>
        <w:autoSpaceDE w:val="0"/>
        <w:autoSpaceDN w:val="0"/>
        <w:adjustRightInd w:val="0"/>
      </w:pPr>
    </w:p>
    <w:p w:rsidR="00C93F54" w:rsidRPr="00A91394" w:rsidRDefault="009D0595" w:rsidP="009E7485">
      <w:pPr>
        <w:autoSpaceDE w:val="0"/>
        <w:autoSpaceDN w:val="0"/>
        <w:adjustRightInd w:val="0"/>
      </w:pPr>
      <w:r>
        <w:t>A</w:t>
      </w:r>
      <w:r w:rsidR="003F565F" w:rsidRPr="00A91394">
        <w:t>s this sample covered some but not all Queensland hospitals, the actual number of incidents is likely to be greater than the figures stated above.</w:t>
      </w:r>
      <w:r w:rsidR="00E359BA" w:rsidRPr="00A91394">
        <w:t xml:space="preserve"> </w:t>
      </w:r>
    </w:p>
    <w:p w:rsidR="00C93F54" w:rsidRPr="00A91394" w:rsidRDefault="00C93F54" w:rsidP="009E7485">
      <w:pPr>
        <w:autoSpaceDE w:val="0"/>
        <w:autoSpaceDN w:val="0"/>
        <w:adjustRightInd w:val="0"/>
      </w:pPr>
    </w:p>
    <w:p w:rsidR="00E359BA" w:rsidRDefault="00186713" w:rsidP="009E7485">
      <w:pPr>
        <w:autoSpaceDE w:val="0"/>
        <w:autoSpaceDN w:val="0"/>
        <w:adjustRightInd w:val="0"/>
      </w:pPr>
      <w:r w:rsidRPr="00A91394">
        <w:t xml:space="preserve">A separate dataset from Queensland covering the period 2006 to 2010 shows </w:t>
      </w:r>
      <w:r w:rsidR="00C93F54" w:rsidRPr="00A91394">
        <w:t>106 child</w:t>
      </w:r>
      <w:r w:rsidRPr="00A91394">
        <w:t>ren were admitted</w:t>
      </w:r>
      <w:r w:rsidR="00C93F54" w:rsidRPr="00A91394">
        <w:t xml:space="preserve"> </w:t>
      </w:r>
      <w:r w:rsidR="00E359BA" w:rsidRPr="00A91394">
        <w:t xml:space="preserve">to Queensland hospitals </w:t>
      </w:r>
      <w:r w:rsidRPr="00A91394">
        <w:t xml:space="preserve">due to a cot-related injury </w:t>
      </w:r>
      <w:r w:rsidR="00E359BA" w:rsidRPr="00A91394">
        <w:t>between 2006 and 2010</w:t>
      </w:r>
      <w:r w:rsidR="0055615A" w:rsidRPr="00A91394">
        <w:t xml:space="preserve">. Over </w:t>
      </w:r>
      <w:r w:rsidR="00C93F54" w:rsidRPr="00A91394">
        <w:t xml:space="preserve">half (58%) </w:t>
      </w:r>
      <w:r w:rsidR="0055615A" w:rsidRPr="00A91394">
        <w:t xml:space="preserve">of these </w:t>
      </w:r>
      <w:r w:rsidR="00C93F54" w:rsidRPr="00A91394">
        <w:t>cases</w:t>
      </w:r>
      <w:r w:rsidR="0055615A" w:rsidRPr="00A91394">
        <w:t xml:space="preserve"> </w:t>
      </w:r>
      <w:r w:rsidR="00C93F54" w:rsidRPr="00A91394">
        <w:t>involved</w:t>
      </w:r>
      <w:r w:rsidR="0055615A" w:rsidRPr="00A91394">
        <w:t xml:space="preserve"> injuries to the head and neck region.</w:t>
      </w:r>
      <w:r w:rsidRPr="00A91394">
        <w:t xml:space="preserve"> It is not clear what proportion of these cases related to household cots (vs. for example portable cots)—however based o</w:t>
      </w:r>
      <w:r w:rsidR="003B3F23">
        <w:t xml:space="preserve">n analysis of similar datasets </w:t>
      </w:r>
      <w:r w:rsidR="00EA1F22" w:rsidRPr="00A91394">
        <w:t xml:space="preserve">incidents </w:t>
      </w:r>
      <w:r w:rsidRPr="00A91394">
        <w:t xml:space="preserve">related to household cots </w:t>
      </w:r>
      <w:r w:rsidR="003B3F23">
        <w:t>represent a</w:t>
      </w:r>
      <w:r w:rsidR="00EA1F22" w:rsidRPr="00A91394">
        <w:t xml:space="preserve"> significant majority</w:t>
      </w:r>
      <w:r w:rsidRPr="00A91394">
        <w:t>.</w:t>
      </w:r>
    </w:p>
    <w:p w:rsidR="003560D8" w:rsidRDefault="003560D8" w:rsidP="00104A19">
      <w:pPr>
        <w:autoSpaceDE w:val="0"/>
        <w:autoSpaceDN w:val="0"/>
        <w:adjustRightInd w:val="0"/>
        <w:rPr>
          <w:b/>
          <w:sz w:val="24"/>
          <w:szCs w:val="24"/>
        </w:rPr>
      </w:pPr>
    </w:p>
    <w:p w:rsidR="00104A19" w:rsidRPr="003B3F23" w:rsidRDefault="009F6E51" w:rsidP="00F42065">
      <w:pPr>
        <w:pStyle w:val="Heading2"/>
      </w:pPr>
      <w:bookmarkStart w:id="90" w:name="_Toc367800184"/>
      <w:bookmarkStart w:id="91" w:name="_Toc367800407"/>
      <w:bookmarkStart w:id="92" w:name="_Toc367800970"/>
      <w:bookmarkStart w:id="93" w:name="_Toc367801236"/>
      <w:bookmarkStart w:id="94" w:name="_Toc367801437"/>
      <w:bookmarkStart w:id="95" w:name="_Toc367801628"/>
      <w:bookmarkStart w:id="96" w:name="_Toc367801751"/>
      <w:r>
        <w:t>US deaths and i</w:t>
      </w:r>
      <w:r w:rsidR="00C93F54" w:rsidRPr="003B3F23">
        <w:t>njuries</w:t>
      </w:r>
      <w:bookmarkEnd w:id="90"/>
      <w:bookmarkEnd w:id="91"/>
      <w:bookmarkEnd w:id="92"/>
      <w:bookmarkEnd w:id="93"/>
      <w:bookmarkEnd w:id="94"/>
      <w:bookmarkEnd w:id="95"/>
      <w:bookmarkEnd w:id="96"/>
    </w:p>
    <w:p w:rsidR="00104A19" w:rsidRDefault="00104A19" w:rsidP="00104A19">
      <w:pPr>
        <w:autoSpaceDE w:val="0"/>
        <w:autoSpaceDN w:val="0"/>
        <w:adjustRightInd w:val="0"/>
      </w:pPr>
    </w:p>
    <w:p w:rsidR="00104A19" w:rsidRPr="008B3475" w:rsidRDefault="00C974CE" w:rsidP="00104A19">
      <w:pPr>
        <w:rPr>
          <w:rFonts w:cs="Arial"/>
        </w:rPr>
      </w:pPr>
      <w:r w:rsidRPr="008B3475">
        <w:rPr>
          <w:rFonts w:cs="Arial"/>
        </w:rPr>
        <w:t>T</w:t>
      </w:r>
      <w:r w:rsidR="00104A19" w:rsidRPr="008B3475">
        <w:rPr>
          <w:rFonts w:cs="Arial"/>
        </w:rPr>
        <w:t xml:space="preserve">he United States Consumer Product Safety Commission (CPSC) </w:t>
      </w:r>
      <w:r w:rsidRPr="008B3475">
        <w:rPr>
          <w:rFonts w:cs="Arial"/>
        </w:rPr>
        <w:t xml:space="preserve">reports 147 deaths in full size cots in the 30 months </w:t>
      </w:r>
      <w:r w:rsidR="00104A19" w:rsidRPr="008B3475">
        <w:rPr>
          <w:rFonts w:cs="Arial"/>
        </w:rPr>
        <w:t>between Novemb</w:t>
      </w:r>
      <w:r w:rsidRPr="008B3475">
        <w:rPr>
          <w:rFonts w:cs="Arial"/>
        </w:rPr>
        <w:t xml:space="preserve">er 2007 and April 2010.  </w:t>
      </w:r>
      <w:r w:rsidR="00104A19" w:rsidRPr="008B3475">
        <w:rPr>
          <w:rFonts w:cs="Arial"/>
        </w:rPr>
        <w:t>Of these 40 related to cot failure or design issues—and 18 of these related directly to failures with the cot drop side.</w:t>
      </w:r>
    </w:p>
    <w:p w:rsidR="00104A19" w:rsidRPr="00CD2D27" w:rsidRDefault="00104A19" w:rsidP="009E7485">
      <w:pPr>
        <w:autoSpaceDE w:val="0"/>
        <w:autoSpaceDN w:val="0"/>
        <w:adjustRightInd w:val="0"/>
        <w:rPr>
          <w:u w:val="single"/>
        </w:rPr>
      </w:pPr>
    </w:p>
    <w:p w:rsidR="008606DE" w:rsidRDefault="00C974CE" w:rsidP="009E7485">
      <w:pPr>
        <w:autoSpaceDE w:val="0"/>
        <w:autoSpaceDN w:val="0"/>
        <w:adjustRightInd w:val="0"/>
      </w:pPr>
      <w:r>
        <w:t xml:space="preserve">An </w:t>
      </w:r>
      <w:r w:rsidR="00A41CD8">
        <w:t xml:space="preserve">American Academy of </w:t>
      </w:r>
      <w:proofErr w:type="spellStart"/>
      <w:r w:rsidR="00A41CD8">
        <w:t>Pediatrics</w:t>
      </w:r>
      <w:proofErr w:type="spellEnd"/>
      <w:r w:rsidR="00A41CD8">
        <w:t xml:space="preserve"> </w:t>
      </w:r>
      <w:r>
        <w:t xml:space="preserve">study </w:t>
      </w:r>
      <w:r w:rsidR="00A41CD8">
        <w:t>(</w:t>
      </w:r>
      <w:r w:rsidR="00A41CD8" w:rsidRPr="003F565F">
        <w:rPr>
          <w:i/>
        </w:rPr>
        <w:t>Injuries Associated with Cribs, Playpens and Bassinets Among Young Children in the US, 1990-2008</w:t>
      </w:r>
      <w:r w:rsidRPr="003F565F">
        <w:rPr>
          <w:i/>
        </w:rPr>
        <w:t>, published in 2011</w:t>
      </w:r>
      <w:r>
        <w:t>)</w:t>
      </w:r>
      <w:r w:rsidR="00A41CD8">
        <w:t xml:space="preserve"> </w:t>
      </w:r>
      <w:r w:rsidR="00390E60">
        <w:t>repo</w:t>
      </w:r>
      <w:r w:rsidR="003B3F23">
        <w:t xml:space="preserve">rted </w:t>
      </w:r>
      <w:r w:rsidR="00A41CD8">
        <w:t>that:</w:t>
      </w:r>
    </w:p>
    <w:p w:rsidR="00C974CE" w:rsidRDefault="00C974CE" w:rsidP="009E7485">
      <w:pPr>
        <w:autoSpaceDE w:val="0"/>
        <w:autoSpaceDN w:val="0"/>
        <w:adjustRightInd w:val="0"/>
      </w:pPr>
    </w:p>
    <w:p w:rsidR="000A4165" w:rsidRDefault="000A4165" w:rsidP="002E34CB">
      <w:pPr>
        <w:numPr>
          <w:ilvl w:val="0"/>
          <w:numId w:val="3"/>
        </w:numPr>
        <w:autoSpaceDE w:val="0"/>
        <w:autoSpaceDN w:val="0"/>
        <w:adjustRightInd w:val="0"/>
      </w:pPr>
      <w:r>
        <w:t xml:space="preserve">181,654 children younger than 2 years of age </w:t>
      </w:r>
      <w:r w:rsidR="00C974CE">
        <w:t xml:space="preserve">were </w:t>
      </w:r>
      <w:r>
        <w:t>treated in US emergency departments for injuries related to cribs (cots), playpens and bassinets during the study period</w:t>
      </w:r>
      <w:r w:rsidR="00C974CE">
        <w:t>.  O</w:t>
      </w:r>
      <w:r>
        <w:t xml:space="preserve">f </w:t>
      </w:r>
      <w:r w:rsidR="00C974CE">
        <w:t>these cases:</w:t>
      </w:r>
    </w:p>
    <w:p w:rsidR="00E359BA" w:rsidRDefault="000A4165" w:rsidP="002E34CB">
      <w:pPr>
        <w:numPr>
          <w:ilvl w:val="1"/>
          <w:numId w:val="3"/>
        </w:numPr>
        <w:autoSpaceDE w:val="0"/>
        <w:autoSpaceDN w:val="0"/>
        <w:adjustRightInd w:val="0"/>
      </w:pPr>
      <w:r>
        <w:t>83% involved cots</w:t>
      </w:r>
    </w:p>
    <w:p w:rsidR="00E359BA" w:rsidRDefault="000A4165" w:rsidP="002E34CB">
      <w:pPr>
        <w:numPr>
          <w:ilvl w:val="1"/>
          <w:numId w:val="3"/>
        </w:numPr>
        <w:autoSpaceDE w:val="0"/>
        <w:autoSpaceDN w:val="0"/>
        <w:adjustRightInd w:val="0"/>
      </w:pPr>
      <w:r>
        <w:lastRenderedPageBreak/>
        <w:t xml:space="preserve">Nearly two thirds of </w:t>
      </w:r>
      <w:r w:rsidR="007C1B8E">
        <w:t>cot</w:t>
      </w:r>
      <w:r w:rsidR="00A41CD8">
        <w:t xml:space="preserve"> related injuries resulted from falls</w:t>
      </w:r>
    </w:p>
    <w:p w:rsidR="00E359BA" w:rsidRDefault="000A4165" w:rsidP="002E34CB">
      <w:pPr>
        <w:numPr>
          <w:ilvl w:val="1"/>
          <w:numId w:val="3"/>
        </w:numPr>
        <w:autoSpaceDE w:val="0"/>
        <w:autoSpaceDN w:val="0"/>
        <w:adjustRightInd w:val="0"/>
      </w:pPr>
      <w:r>
        <w:t>40% involved the head or neck as a location of the injury</w:t>
      </w:r>
    </w:p>
    <w:p w:rsidR="00E359BA" w:rsidRDefault="000A4165" w:rsidP="002E34CB">
      <w:pPr>
        <w:numPr>
          <w:ilvl w:val="1"/>
          <w:numId w:val="3"/>
        </w:numPr>
        <w:autoSpaceDE w:val="0"/>
        <w:autoSpaceDN w:val="0"/>
        <w:adjustRightInd w:val="0"/>
      </w:pPr>
      <w:r>
        <w:t>34% involved soft tissue injury as a diagnosis</w:t>
      </w:r>
    </w:p>
    <w:p w:rsidR="008606DE" w:rsidRDefault="008606DE" w:rsidP="009E7485">
      <w:pPr>
        <w:autoSpaceDE w:val="0"/>
        <w:autoSpaceDN w:val="0"/>
        <w:adjustRightInd w:val="0"/>
        <w:rPr>
          <w:b/>
        </w:rPr>
      </w:pPr>
    </w:p>
    <w:p w:rsidR="00C821F8" w:rsidRDefault="003B3F23" w:rsidP="009E7485">
      <w:pPr>
        <w:autoSpaceDE w:val="0"/>
        <w:autoSpaceDN w:val="0"/>
        <w:adjustRightInd w:val="0"/>
      </w:pPr>
      <w:r>
        <w:t>F</w:t>
      </w:r>
      <w:r w:rsidR="009B2A4F">
        <w:t xml:space="preserve">alls from </w:t>
      </w:r>
      <w:r w:rsidR="007211D2" w:rsidRPr="007211D2">
        <w:t xml:space="preserve">cots </w:t>
      </w:r>
      <w:r>
        <w:t>can</w:t>
      </w:r>
      <w:r w:rsidR="007211D2" w:rsidRPr="007211D2">
        <w:t xml:space="preserve"> </w:t>
      </w:r>
      <w:r w:rsidR="00720438">
        <w:t xml:space="preserve">occur when an object is placed </w:t>
      </w:r>
      <w:r w:rsidR="009B2A4F">
        <w:t xml:space="preserve">in the cot (such as </w:t>
      </w:r>
      <w:r w:rsidR="00336F83">
        <w:t>a soft toy</w:t>
      </w:r>
      <w:r w:rsidR="009B2A4F">
        <w:t xml:space="preserve">) which a child </w:t>
      </w:r>
      <w:r w:rsidR="00493F53">
        <w:t>may</w:t>
      </w:r>
      <w:r w:rsidR="009B2A4F">
        <w:t xml:space="preserve"> use to </w:t>
      </w:r>
      <w:r w:rsidR="00493F53">
        <w:t>stand on and</w:t>
      </w:r>
      <w:r w:rsidR="009B2A4F">
        <w:t xml:space="preserve"> climb</w:t>
      </w:r>
      <w:r w:rsidR="007211D2" w:rsidRPr="007211D2">
        <w:t xml:space="preserve"> out.</w:t>
      </w:r>
      <w:r w:rsidR="009B2A4F">
        <w:t xml:space="preserve"> </w:t>
      </w:r>
    </w:p>
    <w:p w:rsidR="00DB502B" w:rsidRDefault="00DB502B" w:rsidP="009E7485">
      <w:pPr>
        <w:autoSpaceDE w:val="0"/>
        <w:autoSpaceDN w:val="0"/>
        <w:adjustRightInd w:val="0"/>
      </w:pPr>
    </w:p>
    <w:p w:rsidR="00161FDB" w:rsidRDefault="00EE7231" w:rsidP="009E7485">
      <w:pPr>
        <w:autoSpaceDE w:val="0"/>
        <w:autoSpaceDN w:val="0"/>
        <w:adjustRightInd w:val="0"/>
      </w:pPr>
      <w:r>
        <w:t>All this data indicates that preventing injuries from cots (based on reducing the incidence of falls out of the product) remains difficult given the behavioural aspects of these incidents.  Ensuring that the cot’s design and performance remains safe continues to be the key focus of regulation.</w:t>
      </w:r>
    </w:p>
    <w:p w:rsidR="00EE7231" w:rsidRPr="002E34CB" w:rsidRDefault="008760F3" w:rsidP="00F42065">
      <w:pPr>
        <w:pStyle w:val="Heading1"/>
        <w:rPr>
          <w:b w:val="0"/>
          <w:sz w:val="22"/>
          <w:szCs w:val="22"/>
        </w:rPr>
      </w:pPr>
      <w:bookmarkStart w:id="97" w:name="_Toc361729966"/>
      <w:bookmarkStart w:id="98" w:name="_Toc367800185"/>
      <w:bookmarkStart w:id="99" w:name="_Toc367800408"/>
      <w:bookmarkStart w:id="100" w:name="_Toc367800971"/>
      <w:bookmarkStart w:id="101" w:name="_Toc367801237"/>
      <w:bookmarkStart w:id="102" w:name="_Toc367801438"/>
      <w:bookmarkStart w:id="103" w:name="_Toc367801629"/>
      <w:bookmarkStart w:id="104" w:name="_Toc367801752"/>
      <w:r w:rsidRPr="002E34CB">
        <w:rPr>
          <w:b w:val="0"/>
          <w:sz w:val="22"/>
          <w:szCs w:val="22"/>
        </w:rPr>
        <w:t xml:space="preserve">Analysis of </w:t>
      </w:r>
      <w:r w:rsidR="0003544E" w:rsidRPr="002E34CB">
        <w:rPr>
          <w:b w:val="0"/>
          <w:sz w:val="22"/>
          <w:szCs w:val="22"/>
        </w:rPr>
        <w:t>i</w:t>
      </w:r>
      <w:r w:rsidRPr="002E34CB">
        <w:rPr>
          <w:b w:val="0"/>
          <w:sz w:val="22"/>
          <w:szCs w:val="22"/>
        </w:rPr>
        <w:t xml:space="preserve">njury data indicates a consistent rate of incidents in </w:t>
      </w:r>
      <w:proofErr w:type="spellStart"/>
      <w:r w:rsidRPr="002E34CB">
        <w:rPr>
          <w:b w:val="0"/>
          <w:sz w:val="22"/>
          <w:szCs w:val="22"/>
        </w:rPr>
        <w:t>cots</w:t>
      </w:r>
      <w:proofErr w:type="spellEnd"/>
      <w:r w:rsidRPr="002E34CB">
        <w:rPr>
          <w:b w:val="0"/>
          <w:sz w:val="22"/>
          <w:szCs w:val="22"/>
        </w:rPr>
        <w:t xml:space="preserve"> related to growing and active children who want to explore their environment, outside the cot.  The recent spike in deaths in the United States has generated the need to maintain a strong performance requirements focus on locally supplied cots. </w:t>
      </w:r>
    </w:p>
    <w:p w:rsidR="00B733B2" w:rsidRPr="002E34CB" w:rsidRDefault="00B733B2" w:rsidP="00B733B2">
      <w:pPr>
        <w:pStyle w:val="Heading1"/>
      </w:pPr>
      <w:r w:rsidRPr="002E34CB">
        <w:t>Is the continuation of regulatory intervention justified?</w:t>
      </w:r>
    </w:p>
    <w:p w:rsidR="00B733B2" w:rsidRPr="002E34CB" w:rsidRDefault="00B733B2" w:rsidP="00B733B2">
      <w:pPr>
        <w:autoSpaceDE w:val="0"/>
        <w:autoSpaceDN w:val="0"/>
        <w:adjustRightInd w:val="0"/>
      </w:pPr>
      <w:r w:rsidRPr="002E34CB">
        <w:t xml:space="preserve">There are a number of requirements in the Standard which </w:t>
      </w:r>
      <w:r w:rsidR="008760F3" w:rsidRPr="002E34CB">
        <w:t>the ACCC proposes to continue.</w:t>
      </w:r>
      <w:r w:rsidRPr="002E34CB">
        <w:t xml:space="preserve"> These include requirements for cot dimensions, footholds, </w:t>
      </w:r>
      <w:proofErr w:type="gramStart"/>
      <w:r w:rsidRPr="002E34CB">
        <w:t>access</w:t>
      </w:r>
      <w:proofErr w:type="gramEnd"/>
      <w:r w:rsidRPr="002E34CB">
        <w:t xml:space="preserve"> fastening devices, protrusions, sharp edges and points and marking.</w:t>
      </w:r>
    </w:p>
    <w:p w:rsidR="00B733B2" w:rsidRPr="002E34CB" w:rsidRDefault="00B733B2" w:rsidP="00B733B2">
      <w:pPr>
        <w:autoSpaceDE w:val="0"/>
        <w:autoSpaceDN w:val="0"/>
        <w:adjustRightInd w:val="0"/>
      </w:pPr>
    </w:p>
    <w:p w:rsidR="00B733B2" w:rsidRPr="002E34CB" w:rsidRDefault="00B733B2" w:rsidP="00B733B2">
      <w:pPr>
        <w:autoSpaceDE w:val="0"/>
        <w:autoSpaceDN w:val="0"/>
        <w:adjustRightInd w:val="0"/>
      </w:pPr>
      <w:r w:rsidRPr="002E34CB">
        <w:t>The ACCC is of the view that continued regulation of household cots remains justified because:</w:t>
      </w:r>
    </w:p>
    <w:p w:rsidR="00B733B2" w:rsidRPr="002E34CB" w:rsidRDefault="00B733B2" w:rsidP="002E34CB">
      <w:pPr>
        <w:numPr>
          <w:ilvl w:val="0"/>
          <w:numId w:val="5"/>
        </w:numPr>
        <w:autoSpaceDE w:val="0"/>
        <w:autoSpaceDN w:val="0"/>
        <w:adjustRightInd w:val="0"/>
      </w:pPr>
      <w:r w:rsidRPr="002E34CB">
        <w:t>Historically cots have been the nursery product item most commonly associated with child death</w:t>
      </w:r>
    </w:p>
    <w:p w:rsidR="00B733B2" w:rsidRPr="002E34CB" w:rsidRDefault="00B733B2" w:rsidP="002E34CB">
      <w:pPr>
        <w:numPr>
          <w:ilvl w:val="0"/>
          <w:numId w:val="5"/>
        </w:numPr>
        <w:autoSpaceDE w:val="0"/>
        <w:autoSpaceDN w:val="0"/>
        <w:adjustRightInd w:val="0"/>
      </w:pPr>
      <w:r w:rsidRPr="002E34CB">
        <w:t>Previous deaths have been associated with issues of basic design</w:t>
      </w:r>
      <w:r w:rsidR="00E33D72" w:rsidRPr="002E34CB">
        <w:t>,</w:t>
      </w:r>
      <w:r w:rsidRPr="002E34CB">
        <w:t xml:space="preserve"> </w:t>
      </w:r>
      <w:r w:rsidR="00E33D72" w:rsidRPr="002E34CB">
        <w:t xml:space="preserve">particularly </w:t>
      </w:r>
      <w:r w:rsidRPr="002E34CB">
        <w:t>gaps and protrusions</w:t>
      </w:r>
    </w:p>
    <w:p w:rsidR="00B733B2" w:rsidRPr="002E34CB" w:rsidRDefault="00B733B2" w:rsidP="002E34CB">
      <w:pPr>
        <w:numPr>
          <w:ilvl w:val="0"/>
          <w:numId w:val="5"/>
        </w:numPr>
        <w:autoSpaceDE w:val="0"/>
        <w:autoSpaceDN w:val="0"/>
        <w:adjustRightInd w:val="0"/>
      </w:pPr>
      <w:r w:rsidRPr="002E34CB">
        <w:t>Causes of injury or death, such as the size of the gap between the mattress and the edge of the cot, will not be immediately apparent to consumers—i.e. caregivers may not recognise the hazard</w:t>
      </w:r>
    </w:p>
    <w:p w:rsidR="00B733B2" w:rsidRPr="002E34CB" w:rsidRDefault="00E33D72" w:rsidP="002E34CB">
      <w:pPr>
        <w:numPr>
          <w:ilvl w:val="0"/>
          <w:numId w:val="5"/>
        </w:numPr>
        <w:autoSpaceDE w:val="0"/>
        <w:autoSpaceDN w:val="0"/>
        <w:adjustRightInd w:val="0"/>
      </w:pPr>
      <w:r w:rsidRPr="002E34CB">
        <w:t xml:space="preserve">Cots </w:t>
      </w:r>
      <w:r w:rsidR="00B733B2" w:rsidRPr="002E34CB">
        <w:t xml:space="preserve">are a product used extensively for extended periods by a most vulnerable group (very young children), most often while they are sleeping and are therefore unsupervised </w:t>
      </w:r>
    </w:p>
    <w:p w:rsidR="00B733B2" w:rsidRPr="002E34CB" w:rsidRDefault="00B733B2" w:rsidP="002E34CB">
      <w:pPr>
        <w:numPr>
          <w:ilvl w:val="0"/>
          <w:numId w:val="5"/>
        </w:numPr>
        <w:autoSpaceDE w:val="0"/>
        <w:autoSpaceDN w:val="0"/>
        <w:adjustRightInd w:val="0"/>
      </w:pPr>
      <w:r w:rsidRPr="002E34CB">
        <w:t>Although current compliance levels in supplied products with critical safety issues are high ongoing vigilance is required in order to continue to minimise injury levels related to cots.</w:t>
      </w:r>
    </w:p>
    <w:p w:rsidR="00B733B2" w:rsidRPr="002E34CB" w:rsidRDefault="00B733B2" w:rsidP="00B733B2">
      <w:pPr>
        <w:autoSpaceDE w:val="0"/>
        <w:autoSpaceDN w:val="0"/>
        <w:adjustRightInd w:val="0"/>
      </w:pPr>
    </w:p>
    <w:p w:rsidR="00B733B2" w:rsidRPr="002E34CB" w:rsidRDefault="00B733B2" w:rsidP="00B733B2">
      <w:pPr>
        <w:autoSpaceDE w:val="0"/>
        <w:autoSpaceDN w:val="0"/>
        <w:adjustRightInd w:val="0"/>
      </w:pPr>
      <w:r w:rsidRPr="002E34CB">
        <w:t>For these reasons, continued regulation, of both the existing product safety requirements and proposed changes to the Standard is considered a reasonably necessary step to maintain compliance levels and to continue to reduce the risk of injury or death related to household cots.</w:t>
      </w:r>
    </w:p>
    <w:p w:rsidR="00B733B2" w:rsidRDefault="00B733B2" w:rsidP="00F42065">
      <w:pPr>
        <w:pStyle w:val="Heading1"/>
      </w:pPr>
    </w:p>
    <w:p w:rsidR="00754EB0" w:rsidRDefault="009C3B34" w:rsidP="00F42065">
      <w:pPr>
        <w:pStyle w:val="Heading1"/>
      </w:pPr>
      <w:r w:rsidRPr="004273F1">
        <w:t>Emerging</w:t>
      </w:r>
      <w:r w:rsidR="00AA16B8" w:rsidRPr="004273F1">
        <w:t xml:space="preserve"> </w:t>
      </w:r>
      <w:r w:rsidR="00FD02E9" w:rsidRPr="004273F1">
        <w:t>issue</w:t>
      </w:r>
      <w:r w:rsidR="00754EB0" w:rsidRPr="004273F1">
        <w:t>s related to household cots</w:t>
      </w:r>
      <w:bookmarkEnd w:id="97"/>
      <w:bookmarkEnd w:id="98"/>
      <w:bookmarkEnd w:id="99"/>
      <w:bookmarkEnd w:id="100"/>
      <w:bookmarkEnd w:id="101"/>
      <w:bookmarkEnd w:id="102"/>
      <w:bookmarkEnd w:id="103"/>
      <w:bookmarkEnd w:id="104"/>
    </w:p>
    <w:p w:rsidR="004273F1" w:rsidRPr="004273F1" w:rsidRDefault="004273F1" w:rsidP="004273F1"/>
    <w:p w:rsidR="00DC5AC9" w:rsidRPr="00DC5AC9" w:rsidRDefault="00DC5AC9" w:rsidP="005B62DD">
      <w:r>
        <w:t xml:space="preserve">Since the mandatory standard was introduced in 2005, potential </w:t>
      </w:r>
      <w:r w:rsidR="00390E60">
        <w:t xml:space="preserve">cot </w:t>
      </w:r>
      <w:r>
        <w:t>safety issues have arisen</w:t>
      </w:r>
      <w:r w:rsidR="00390E60">
        <w:t xml:space="preserve"> through product developments in the areas of </w:t>
      </w:r>
      <w:r>
        <w:t xml:space="preserve">drop sides and mattress firmness. This review is proposing changes to the </w:t>
      </w:r>
      <w:r w:rsidR="008760F3">
        <w:t>S</w:t>
      </w:r>
      <w:r>
        <w:t xml:space="preserve">tandard to address these </w:t>
      </w:r>
      <w:r w:rsidR="00960E50">
        <w:t>potential hazards</w:t>
      </w:r>
      <w:r>
        <w:t>. The changes are considered reasonably necessary to prevent or reduce the risk of injuries to children.</w:t>
      </w:r>
    </w:p>
    <w:p w:rsidR="00DB502B" w:rsidRDefault="00DB502B" w:rsidP="00F42065">
      <w:pPr>
        <w:pStyle w:val="Heading2"/>
      </w:pPr>
      <w:bookmarkStart w:id="105" w:name="_Toc361729967"/>
      <w:bookmarkStart w:id="106" w:name="_Toc367800186"/>
      <w:bookmarkStart w:id="107" w:name="_Toc367800409"/>
      <w:bookmarkStart w:id="108" w:name="_Toc367800972"/>
      <w:bookmarkStart w:id="109" w:name="_Toc367801238"/>
      <w:bookmarkStart w:id="110" w:name="_Toc367801439"/>
      <w:bookmarkStart w:id="111" w:name="_Toc367801630"/>
      <w:bookmarkStart w:id="112" w:name="_Toc367801753"/>
    </w:p>
    <w:p w:rsidR="009E7485" w:rsidRPr="00E856A0" w:rsidRDefault="00754EB0" w:rsidP="00F42065">
      <w:pPr>
        <w:pStyle w:val="Heading2"/>
      </w:pPr>
      <w:r w:rsidRPr="00E856A0">
        <w:t>D</w:t>
      </w:r>
      <w:r w:rsidR="003135D3" w:rsidRPr="00E856A0">
        <w:t>rop side</w:t>
      </w:r>
      <w:r w:rsidRPr="00E856A0">
        <w:t>s</w:t>
      </w:r>
      <w:bookmarkEnd w:id="105"/>
      <w:bookmarkEnd w:id="106"/>
      <w:bookmarkEnd w:id="107"/>
      <w:bookmarkEnd w:id="108"/>
      <w:bookmarkEnd w:id="109"/>
      <w:bookmarkEnd w:id="110"/>
      <w:bookmarkEnd w:id="111"/>
      <w:bookmarkEnd w:id="112"/>
    </w:p>
    <w:p w:rsidR="007211D2" w:rsidRDefault="007211D2" w:rsidP="00754EB0">
      <w:pPr>
        <w:rPr>
          <w:highlight w:val="yellow"/>
        </w:rPr>
      </w:pPr>
    </w:p>
    <w:p w:rsidR="00D24922" w:rsidRDefault="007211D2" w:rsidP="00390E60">
      <w:r w:rsidRPr="007211D2">
        <w:t xml:space="preserve">Many cots feature a side which can be lowered and raised in order to facilitate easy access to the child using the cot. </w:t>
      </w:r>
      <w:r w:rsidR="00D24922">
        <w:t xml:space="preserve"> </w:t>
      </w:r>
      <w:r w:rsidRPr="007211D2">
        <w:t xml:space="preserve">As this feature involves a moving component with associated fasteners and </w:t>
      </w:r>
      <w:r w:rsidRPr="007211D2">
        <w:lastRenderedPageBreak/>
        <w:t xml:space="preserve">hardware, cots with this feature are </w:t>
      </w:r>
      <w:r w:rsidR="003560D8">
        <w:t xml:space="preserve">a potential </w:t>
      </w:r>
      <w:r w:rsidR="001253AE">
        <w:t>safety</w:t>
      </w:r>
      <w:r w:rsidRPr="007211D2">
        <w:t xml:space="preserve"> concern</w:t>
      </w:r>
      <w:r w:rsidR="00947B07">
        <w:t xml:space="preserve"> given the stresses placed on them during operation and use of the cot</w:t>
      </w:r>
      <w:r w:rsidRPr="007211D2">
        <w:t>.</w:t>
      </w:r>
      <w:r w:rsidR="00665B56">
        <w:t xml:space="preserve">  </w:t>
      </w:r>
    </w:p>
    <w:p w:rsidR="00D24922" w:rsidRDefault="00D24922" w:rsidP="00390E60"/>
    <w:p w:rsidR="00390E60" w:rsidRDefault="00390E60" w:rsidP="00390E60">
      <w:r>
        <w:t xml:space="preserve">The </w:t>
      </w:r>
      <w:r w:rsidR="00720438">
        <w:t>S</w:t>
      </w:r>
      <w:r>
        <w:t xml:space="preserve">tandard’s requirements for drop sides are drawn from the 2003 version of the voluntary standard and include requirements related to strength and integrity which were appropriate for the market at the time that version was developed. </w:t>
      </w:r>
    </w:p>
    <w:p w:rsidR="002063D2" w:rsidRDefault="002063D2" w:rsidP="00754EB0"/>
    <w:p w:rsidR="002063D2" w:rsidRDefault="002063D2" w:rsidP="002063D2">
      <w:r>
        <w:t xml:space="preserve">The </w:t>
      </w:r>
      <w:r w:rsidR="003560D8">
        <w:t xml:space="preserve">ongoing </w:t>
      </w:r>
      <w:r>
        <w:t>strength and integrity of the drop side of a cot</w:t>
      </w:r>
      <w:r w:rsidR="003560D8">
        <w:t>,</w:t>
      </w:r>
      <w:r>
        <w:t xml:space="preserve"> </w:t>
      </w:r>
      <w:r w:rsidR="003560D8">
        <w:t>given that the drop side is likely to be subject to repeated force and movement, is</w:t>
      </w:r>
      <w:r>
        <w:t xml:space="preserve"> particularly </w:t>
      </w:r>
      <w:r w:rsidR="003560D8">
        <w:t xml:space="preserve">affected  </w:t>
      </w:r>
      <w:r>
        <w:t xml:space="preserve">by variations in the quality of inputs </w:t>
      </w:r>
      <w:r w:rsidR="003560D8">
        <w:t xml:space="preserve">used </w:t>
      </w:r>
      <w:r>
        <w:t xml:space="preserve">and the </w:t>
      </w:r>
      <w:r w:rsidR="003560D8">
        <w:t xml:space="preserve">production </w:t>
      </w:r>
      <w:r>
        <w:t>processes employed</w:t>
      </w:r>
      <w:r w:rsidR="003560D8">
        <w:t xml:space="preserve"> by suppliers</w:t>
      </w:r>
      <w:r>
        <w:t>.</w:t>
      </w:r>
    </w:p>
    <w:p w:rsidR="002063D2" w:rsidRDefault="002063D2" w:rsidP="002063D2"/>
    <w:p w:rsidR="002063D2" w:rsidRDefault="002063D2" w:rsidP="002063D2">
      <w:r>
        <w:t xml:space="preserve">The quality of timber used in cot construction, the processes used to insert and fix cot filler bars and rails and </w:t>
      </w:r>
      <w:r w:rsidR="001253AE">
        <w:t xml:space="preserve">the </w:t>
      </w:r>
      <w:r w:rsidR="00D24922">
        <w:t xml:space="preserve">mechanisms </w:t>
      </w:r>
      <w:r>
        <w:t>used to operate moving parts can affect the structural soundness and safety of the cot.</w:t>
      </w:r>
    </w:p>
    <w:p w:rsidR="00F931C4" w:rsidRDefault="00F931C4" w:rsidP="002063D2"/>
    <w:p w:rsidR="005519B5" w:rsidRDefault="00F931C4" w:rsidP="002063D2">
      <w:r>
        <w:t xml:space="preserve">The primary risks </w:t>
      </w:r>
      <w:r w:rsidR="00A17D4A">
        <w:t>with</w:t>
      </w:r>
      <w:r>
        <w:t xml:space="preserve"> drop sides </w:t>
      </w:r>
      <w:r w:rsidR="001253AE">
        <w:t>arise</w:t>
      </w:r>
      <w:r w:rsidR="003F5888">
        <w:t xml:space="preserve"> when mechanisms controlling their operation break, or when the drop side is adversely affected by the impact in constant operation, the drop side can separate from the frame of the cot and create dangerous gaps which can entrap a child or cause them to fall out.</w:t>
      </w:r>
    </w:p>
    <w:p w:rsidR="00D24922" w:rsidRDefault="00D24922" w:rsidP="002063D2"/>
    <w:p w:rsidR="002063D2" w:rsidRPr="00754EB0" w:rsidRDefault="00D24922" w:rsidP="00754EB0">
      <w:r>
        <w:t>The voluntary standard referenced by the mandatory standard contains a testing regime which was developed over ten years ago, before any significant issues were evident with drop side failure.</w:t>
      </w:r>
    </w:p>
    <w:p w:rsidR="00D24922" w:rsidRDefault="00D24922" w:rsidP="00AF0946">
      <w:pPr>
        <w:pStyle w:val="HTMLPreformatted"/>
        <w:rPr>
          <w:rFonts w:ascii="Calibri" w:eastAsia="Calibri" w:hAnsi="Calibri" w:cs="Times New Roman"/>
          <w:b/>
          <w:sz w:val="24"/>
          <w:szCs w:val="24"/>
        </w:rPr>
      </w:pPr>
    </w:p>
    <w:p w:rsidR="00AF0946" w:rsidRPr="00E856A0" w:rsidRDefault="00087255" w:rsidP="00F42065">
      <w:pPr>
        <w:pStyle w:val="Heading2"/>
        <w:rPr>
          <w:rFonts w:eastAsia="Calibri"/>
        </w:rPr>
      </w:pPr>
      <w:bookmarkStart w:id="113" w:name="_Toc367800187"/>
      <w:bookmarkStart w:id="114" w:name="_Toc367800410"/>
      <w:bookmarkStart w:id="115" w:name="_Toc367800973"/>
      <w:bookmarkStart w:id="116" w:name="_Toc367801239"/>
      <w:bookmarkStart w:id="117" w:name="_Toc367801440"/>
      <w:bookmarkStart w:id="118" w:name="_Toc367801631"/>
      <w:bookmarkStart w:id="119" w:name="_Toc367801754"/>
      <w:r w:rsidRPr="00E856A0">
        <w:rPr>
          <w:rFonts w:eastAsia="Calibri"/>
        </w:rPr>
        <w:t xml:space="preserve">Regulatory developments </w:t>
      </w:r>
      <w:r w:rsidR="00AF0946" w:rsidRPr="00E856A0">
        <w:rPr>
          <w:rFonts w:eastAsia="Calibri"/>
        </w:rPr>
        <w:t>in the United States</w:t>
      </w:r>
      <w:bookmarkEnd w:id="113"/>
      <w:bookmarkEnd w:id="114"/>
      <w:bookmarkEnd w:id="115"/>
      <w:bookmarkEnd w:id="116"/>
      <w:bookmarkEnd w:id="117"/>
      <w:bookmarkEnd w:id="118"/>
      <w:bookmarkEnd w:id="119"/>
    </w:p>
    <w:p w:rsidR="00AF0946" w:rsidRPr="00CD2D27" w:rsidRDefault="00AF0946" w:rsidP="00AF0946">
      <w:pPr>
        <w:pStyle w:val="HTMLPreformatted"/>
        <w:rPr>
          <w:rFonts w:ascii="Calibri" w:eastAsia="Calibri" w:hAnsi="Calibri" w:cs="Times New Roman"/>
          <w:sz w:val="22"/>
          <w:szCs w:val="22"/>
          <w:u w:val="single"/>
        </w:rPr>
      </w:pPr>
    </w:p>
    <w:p w:rsidR="00AF0946" w:rsidRDefault="00AF0946" w:rsidP="00AF0946">
      <w:pPr>
        <w:autoSpaceDE w:val="0"/>
        <w:autoSpaceDN w:val="0"/>
        <w:adjustRightInd w:val="0"/>
      </w:pPr>
      <w:r>
        <w:t xml:space="preserve">The </w:t>
      </w:r>
      <w:r w:rsidR="00D24922">
        <w:t xml:space="preserve">US </w:t>
      </w:r>
      <w:r>
        <w:t>C</w:t>
      </w:r>
      <w:r w:rsidR="00D24922">
        <w:t xml:space="preserve">onsumer </w:t>
      </w:r>
      <w:r>
        <w:t>P</w:t>
      </w:r>
      <w:r w:rsidR="00D24922">
        <w:t xml:space="preserve">roduct </w:t>
      </w:r>
      <w:r>
        <w:t>S</w:t>
      </w:r>
      <w:r w:rsidR="00D24922">
        <w:t xml:space="preserve">afety </w:t>
      </w:r>
      <w:r>
        <w:t>C</w:t>
      </w:r>
      <w:r w:rsidR="00D24922">
        <w:t>ommission</w:t>
      </w:r>
      <w:r>
        <w:t xml:space="preserve"> issued 46 product recalls covering more than 11 million cots in the period from 2007 to 2010.</w:t>
      </w:r>
    </w:p>
    <w:p w:rsidR="00AF0946" w:rsidRDefault="00AF0946" w:rsidP="00AF0946">
      <w:pPr>
        <w:autoSpaceDE w:val="0"/>
        <w:autoSpaceDN w:val="0"/>
        <w:adjustRightInd w:val="0"/>
      </w:pPr>
    </w:p>
    <w:p w:rsidR="00AF0946" w:rsidRDefault="00AF0946" w:rsidP="00AF0946">
      <w:pPr>
        <w:autoSpaceDE w:val="0"/>
        <w:autoSpaceDN w:val="0"/>
        <w:adjustRightInd w:val="0"/>
      </w:pPr>
      <w:r>
        <w:t xml:space="preserve">Following deaths of children who became trapped in cots with faulty drop sides, or with drop side mechanisms that failed over time, the CPSC moved to ban the manufacture and supply of cots with drop sides in 2011. Cots with folding or movable sides to facilitate access to the child can still be supplied in </w:t>
      </w:r>
      <w:r w:rsidR="00F931C4">
        <w:t>the US</w:t>
      </w:r>
      <w:r>
        <w:t xml:space="preserve"> market, if they comply with a rigorous testing process.</w:t>
      </w:r>
    </w:p>
    <w:p w:rsidR="005519B5" w:rsidRDefault="005519B5" w:rsidP="00AF0946">
      <w:pPr>
        <w:autoSpaceDE w:val="0"/>
        <w:autoSpaceDN w:val="0"/>
        <w:adjustRightInd w:val="0"/>
      </w:pPr>
    </w:p>
    <w:p w:rsidR="005519B5" w:rsidRDefault="005519B5" w:rsidP="005519B5">
      <w:r>
        <w:t xml:space="preserve">The ACCC understands that, in general, the drop side cots subject to recalls (and then ultimately product bans) in the United States used drop side mechanisms </w:t>
      </w:r>
      <w:r w:rsidR="00F931C4">
        <w:t xml:space="preserve">comprising </w:t>
      </w:r>
      <w:r>
        <w:t>of a plastic construction affixed to the outside surface of the frame or corner rail/posts of the cot. The plastic mechanism was then fastened onto the timber by screws.  As a result, the bulk of the weight of the drop side rested on the fastener mechanism – and the strength and durability of the drop side mechanism was critically affected by the quality of the timber to which the mechanism was attached.</w:t>
      </w:r>
    </w:p>
    <w:p w:rsidR="005519B5" w:rsidRDefault="005519B5" w:rsidP="005519B5"/>
    <w:p w:rsidR="005519B5" w:rsidRPr="00947B07" w:rsidRDefault="005519B5" w:rsidP="00F42065">
      <w:pPr>
        <w:pStyle w:val="Heading2"/>
      </w:pPr>
      <w:bookmarkStart w:id="120" w:name="_Toc367800188"/>
      <w:bookmarkStart w:id="121" w:name="_Toc367800411"/>
      <w:bookmarkStart w:id="122" w:name="_Toc367800974"/>
      <w:bookmarkStart w:id="123" w:name="_Toc367801240"/>
      <w:bookmarkStart w:id="124" w:name="_Toc367801441"/>
      <w:bookmarkStart w:id="125" w:name="_Toc367801632"/>
      <w:bookmarkStart w:id="126" w:name="_Toc367801755"/>
      <w:r w:rsidRPr="00947B07">
        <w:t xml:space="preserve">Australian </w:t>
      </w:r>
      <w:r w:rsidR="00D470CC">
        <w:t>situation</w:t>
      </w:r>
      <w:bookmarkEnd w:id="120"/>
      <w:bookmarkEnd w:id="121"/>
      <w:bookmarkEnd w:id="122"/>
      <w:bookmarkEnd w:id="123"/>
      <w:bookmarkEnd w:id="124"/>
      <w:bookmarkEnd w:id="125"/>
      <w:bookmarkEnd w:id="126"/>
    </w:p>
    <w:p w:rsidR="005519B5" w:rsidRDefault="005519B5" w:rsidP="005519B5"/>
    <w:p w:rsidR="00720438" w:rsidRDefault="00720438" w:rsidP="00720438">
      <w:r>
        <w:t>These issues seen in the US do not appear to have been replicated in Australia to date.</w:t>
      </w:r>
    </w:p>
    <w:p w:rsidR="00720438" w:rsidRDefault="00720438" w:rsidP="005519B5"/>
    <w:p w:rsidR="005519B5" w:rsidRDefault="003F5888" w:rsidP="005519B5">
      <w:r>
        <w:t>C</w:t>
      </w:r>
      <w:r w:rsidR="005519B5">
        <w:t xml:space="preserve">ots supplied in the Australian market have </w:t>
      </w:r>
      <w:r>
        <w:t xml:space="preserve">more </w:t>
      </w:r>
      <w:r w:rsidR="005519B5">
        <w:t>typically used a sturdier mechanism made from a combination of metal and plastic components, pins, springs and tracks which are machined and recessed into the cot frame.  As a result, the weight of the drop side is supported by both the frame of the cot as well as by the mechanism itself – thus improving the durability and longevity of the drop side mechanism, maintaining a safe environment for children and reducing the risk of injury.</w:t>
      </w:r>
    </w:p>
    <w:p w:rsidR="00AF0946" w:rsidRDefault="00AF0946" w:rsidP="00AF0946">
      <w:pPr>
        <w:autoSpaceDE w:val="0"/>
        <w:autoSpaceDN w:val="0"/>
        <w:adjustRightInd w:val="0"/>
        <w:rPr>
          <w:b/>
          <w:u w:val="single"/>
        </w:rPr>
      </w:pPr>
    </w:p>
    <w:p w:rsidR="00AF0946" w:rsidRDefault="00AF0946" w:rsidP="00E93A59">
      <w:r>
        <w:lastRenderedPageBreak/>
        <w:t xml:space="preserve">Australian injury data does not appear to suggest a particular safety hazard associated with drop side cots </w:t>
      </w:r>
      <w:r w:rsidR="00D470CC">
        <w:t xml:space="preserve">supplied </w:t>
      </w:r>
      <w:r>
        <w:t>here. However advancements in product innovation and product testing since the 2003 version of the voluntary standard was developed, as well as issues associated with drop side cots emerging in the United States, suggest changes to Australian requirements in this area are timely.</w:t>
      </w:r>
    </w:p>
    <w:p w:rsidR="005519B5" w:rsidRDefault="005519B5" w:rsidP="00E93A59"/>
    <w:p w:rsidR="005519B5" w:rsidRDefault="00390E60" w:rsidP="005519B5">
      <w:r>
        <w:t>A</w:t>
      </w:r>
      <w:r w:rsidR="004B4A3D">
        <w:t xml:space="preserve"> revised version of the voluntary standard was </w:t>
      </w:r>
      <w:r w:rsidR="00665B56">
        <w:t xml:space="preserve">published in April </w:t>
      </w:r>
      <w:r w:rsidR="004B4A3D" w:rsidRPr="00665B56">
        <w:t>2013</w:t>
      </w:r>
      <w:r>
        <w:t xml:space="preserve"> which </w:t>
      </w:r>
      <w:r w:rsidR="005519B5" w:rsidRPr="00665B56">
        <w:t>includes a number of changes t</w:t>
      </w:r>
      <w:r w:rsidR="005519B5">
        <w:t xml:space="preserve">o requirements related to </w:t>
      </w:r>
      <w:r w:rsidR="00665B56">
        <w:t>drop side testing</w:t>
      </w:r>
      <w:r w:rsidR="005519B5">
        <w:t xml:space="preserve">. This ACCC is proposing that these changes be adopted in the </w:t>
      </w:r>
      <w:r w:rsidR="0047047D">
        <w:t xml:space="preserve">revised </w:t>
      </w:r>
      <w:r w:rsidR="00720438">
        <w:t>S</w:t>
      </w:r>
      <w:r w:rsidR="0047047D">
        <w:t>tandard</w:t>
      </w:r>
      <w:r w:rsidR="005519B5">
        <w:t>.</w:t>
      </w:r>
    </w:p>
    <w:p w:rsidR="00E961EE" w:rsidRDefault="00E961EE" w:rsidP="00F42065">
      <w:pPr>
        <w:pStyle w:val="Heading2"/>
      </w:pPr>
      <w:bookmarkStart w:id="127" w:name="_Toc361729968"/>
      <w:bookmarkStart w:id="128" w:name="_Toc367800189"/>
      <w:bookmarkStart w:id="129" w:name="_Toc367800412"/>
      <w:bookmarkStart w:id="130" w:name="_Toc367800975"/>
      <w:bookmarkStart w:id="131" w:name="_Toc367801241"/>
      <w:bookmarkStart w:id="132" w:name="_Toc367801442"/>
      <w:bookmarkStart w:id="133" w:name="_Toc367801633"/>
      <w:bookmarkStart w:id="134" w:name="_Toc367801756"/>
    </w:p>
    <w:p w:rsidR="00313814" w:rsidRPr="00E856A0" w:rsidRDefault="003135D3" w:rsidP="00F42065">
      <w:pPr>
        <w:pStyle w:val="Heading2"/>
      </w:pPr>
      <w:r w:rsidRPr="00E856A0">
        <w:t>Assessment of mattress f</w:t>
      </w:r>
      <w:r w:rsidR="00313814" w:rsidRPr="00E856A0">
        <w:t>irmness</w:t>
      </w:r>
      <w:bookmarkEnd w:id="127"/>
      <w:bookmarkEnd w:id="128"/>
      <w:bookmarkEnd w:id="129"/>
      <w:bookmarkEnd w:id="130"/>
      <w:bookmarkEnd w:id="131"/>
      <w:bookmarkEnd w:id="132"/>
      <w:bookmarkEnd w:id="133"/>
      <w:bookmarkEnd w:id="134"/>
      <w:r w:rsidR="00313814" w:rsidRPr="00E856A0">
        <w:t xml:space="preserve"> </w:t>
      </w:r>
    </w:p>
    <w:p w:rsidR="00390E60" w:rsidRDefault="00390E60" w:rsidP="00E93A59"/>
    <w:p w:rsidR="00947B07" w:rsidRDefault="00947B07" w:rsidP="00EE0A85">
      <w:r>
        <w:t xml:space="preserve">The </w:t>
      </w:r>
      <w:r w:rsidR="00720438">
        <w:t>S</w:t>
      </w:r>
      <w:r>
        <w:t>tandard requires that the cot mattress, where it complies with the recommended size specified, shall not be more than 20mm from the cot side or ends when it is centred in the cot.  This is to reduce the possibility of a child rolling face first into a bigger gap</w:t>
      </w:r>
      <w:r w:rsidR="00161FDB">
        <w:t>,</w:t>
      </w:r>
      <w:r>
        <w:t xml:space="preserve"> </w:t>
      </w:r>
      <w:r w:rsidR="00161FDB">
        <w:t xml:space="preserve">becoming </w:t>
      </w:r>
      <w:r w:rsidR="00BF335A">
        <w:t>wedged in that gap</w:t>
      </w:r>
      <w:r w:rsidR="00847D8C">
        <w:t xml:space="preserve"> </w:t>
      </w:r>
      <w:r>
        <w:t>and suffocating.</w:t>
      </w:r>
      <w:r w:rsidR="00087255" w:rsidRPr="00087255">
        <w:t xml:space="preserve"> </w:t>
      </w:r>
      <w:r w:rsidR="00087255">
        <w:t>The firmness of the mattress of a cot is potentially hazardous due to the increased risk of suffocation with overly soft surfaces.</w:t>
      </w:r>
    </w:p>
    <w:p w:rsidR="00947B07" w:rsidRDefault="00947B07" w:rsidP="00EE0A85"/>
    <w:p w:rsidR="00EE0A85" w:rsidRDefault="00087255" w:rsidP="00EE0A85">
      <w:r>
        <w:t>However, u</w:t>
      </w:r>
      <w:r w:rsidR="00EE0A85">
        <w:t>p until now, the</w:t>
      </w:r>
      <w:r w:rsidR="00390E60">
        <w:t>re has been no accepted method for testing the</w:t>
      </w:r>
      <w:r w:rsidR="00EE0A85">
        <w:t xml:space="preserve"> firmness of mattresses to be used in sleeping products, such as a cot</w:t>
      </w:r>
      <w:r w:rsidR="00390E60">
        <w:t xml:space="preserve"> and so related risks have been solely </w:t>
      </w:r>
      <w:r w:rsidR="00EE0A85">
        <w:t xml:space="preserve">addressed through the provision of general safety advice.  </w:t>
      </w:r>
    </w:p>
    <w:p w:rsidR="00EE0A85" w:rsidRDefault="00EE0A85" w:rsidP="00EE0A85"/>
    <w:p w:rsidR="009E7485" w:rsidRDefault="00EE0A85" w:rsidP="002C1B57">
      <w:r>
        <w:t>A methodology for assessing the firmness of cot mattres</w:t>
      </w:r>
      <w:r w:rsidR="00626C98">
        <w:t xml:space="preserve">ses has now been developed </w:t>
      </w:r>
      <w:r w:rsidR="0071037B">
        <w:t xml:space="preserve">(AS/NZS 8811.1) and incorporated into the </w:t>
      </w:r>
      <w:r>
        <w:t xml:space="preserve">voluntary standard </w:t>
      </w:r>
      <w:r w:rsidR="00C75065">
        <w:t xml:space="preserve">(at clause 9.12) </w:t>
      </w:r>
      <w:r w:rsidR="00D24922">
        <w:t xml:space="preserve">for </w:t>
      </w:r>
      <w:r w:rsidR="0071037B">
        <w:t>use when</w:t>
      </w:r>
      <w:r>
        <w:t xml:space="preserve"> a mattress is supplied</w:t>
      </w:r>
      <w:r w:rsidR="00626C98">
        <w:t xml:space="preserve"> with the cot</w:t>
      </w:r>
      <w:r w:rsidR="002C1B57">
        <w:t>.</w:t>
      </w:r>
    </w:p>
    <w:p w:rsidR="00851CC1" w:rsidRDefault="00851CC1" w:rsidP="002C1B57"/>
    <w:p w:rsidR="00665B56" w:rsidRPr="00665B56" w:rsidRDefault="00665B56" w:rsidP="002C1B57">
      <w:r w:rsidRPr="00665B56">
        <w:t xml:space="preserve">It is proposed </w:t>
      </w:r>
      <w:r w:rsidR="00720438">
        <w:t xml:space="preserve">that the Standard adopt </w:t>
      </w:r>
      <w:r w:rsidR="00231C13">
        <w:t>the AS/NZS 8811.1</w:t>
      </w:r>
      <w:r w:rsidR="00947B07">
        <w:t xml:space="preserve"> test </w:t>
      </w:r>
      <w:r w:rsidR="00231C13">
        <w:t xml:space="preserve">methodology </w:t>
      </w:r>
      <w:r w:rsidR="00947B07">
        <w:t xml:space="preserve">as </w:t>
      </w:r>
      <w:r w:rsidR="00231C13">
        <w:t>part of the</w:t>
      </w:r>
      <w:r w:rsidRPr="00665B56">
        <w:t xml:space="preserve"> </w:t>
      </w:r>
      <w:r w:rsidR="00231C13">
        <w:t xml:space="preserve">mandatory </w:t>
      </w:r>
      <w:r w:rsidR="00A719F8">
        <w:t>standard</w:t>
      </w:r>
      <w:r w:rsidR="00231C13">
        <w:t xml:space="preserve"> so as to </w:t>
      </w:r>
      <w:r w:rsidR="00947B07">
        <w:t xml:space="preserve">provide a </w:t>
      </w:r>
      <w:r w:rsidR="00231C13">
        <w:t xml:space="preserve">further </w:t>
      </w:r>
      <w:r w:rsidR="00947B07">
        <w:t xml:space="preserve">mechanism to </w:t>
      </w:r>
      <w:r w:rsidR="00231C13">
        <w:t>reduce or prevent the risk of injury arising from overly soft mattresses</w:t>
      </w:r>
      <w:r w:rsidRPr="00665B56">
        <w:t>.</w:t>
      </w:r>
      <w:r w:rsidR="00720438">
        <w:t xml:space="preserve"> The ACCC </w:t>
      </w:r>
      <w:r w:rsidR="00BC7AB9">
        <w:t>notes that</w:t>
      </w:r>
      <w:r w:rsidR="00720438">
        <w:t xml:space="preserve"> this test can readily be replicated outside the lab with household products, </w:t>
      </w:r>
      <w:r w:rsidR="00BC7AB9">
        <w:t xml:space="preserve">and so has the potential to </w:t>
      </w:r>
      <w:r w:rsidR="00720438">
        <w:t xml:space="preserve">bring </w:t>
      </w:r>
      <w:r w:rsidR="00BC7AB9">
        <w:t xml:space="preserve">greater product safety </w:t>
      </w:r>
      <w:r w:rsidR="00720438">
        <w:t>benefits to</w:t>
      </w:r>
      <w:r w:rsidR="00BC7AB9">
        <w:t xml:space="preserve"> users of cots once integrated into the ACCC’s product safety consumer awareness materials. </w:t>
      </w:r>
      <w:r w:rsidR="00720438">
        <w:t xml:space="preserve"> </w:t>
      </w:r>
    </w:p>
    <w:p w:rsidR="00665B56" w:rsidRDefault="00665B56" w:rsidP="002C1B57">
      <w:pPr>
        <w:rPr>
          <w:highlight w:val="yellow"/>
        </w:rPr>
      </w:pPr>
    </w:p>
    <w:p w:rsidR="00EE0A85" w:rsidRPr="004273F1" w:rsidRDefault="003B0B1E" w:rsidP="00F42065">
      <w:pPr>
        <w:pStyle w:val="Heading1"/>
      </w:pPr>
      <w:bookmarkStart w:id="135" w:name="_Toc361729969"/>
      <w:bookmarkStart w:id="136" w:name="_Toc367800190"/>
      <w:bookmarkStart w:id="137" w:name="_Toc367800413"/>
      <w:bookmarkStart w:id="138" w:name="_Toc367800976"/>
      <w:bookmarkStart w:id="139" w:name="_Toc367801242"/>
      <w:bookmarkStart w:id="140" w:name="_Toc367801443"/>
      <w:bookmarkStart w:id="141" w:name="_Toc367801634"/>
      <w:bookmarkStart w:id="142" w:name="_Toc367801757"/>
      <w:r w:rsidRPr="004273F1">
        <w:t xml:space="preserve">Proposed amendments to the </w:t>
      </w:r>
      <w:r w:rsidR="00BC7AB9">
        <w:t>S</w:t>
      </w:r>
      <w:r w:rsidRPr="004273F1">
        <w:t>tandard</w:t>
      </w:r>
      <w:bookmarkEnd w:id="135"/>
      <w:bookmarkEnd w:id="136"/>
      <w:bookmarkEnd w:id="137"/>
      <w:bookmarkEnd w:id="138"/>
      <w:bookmarkEnd w:id="139"/>
      <w:bookmarkEnd w:id="140"/>
      <w:bookmarkEnd w:id="141"/>
      <w:bookmarkEnd w:id="142"/>
    </w:p>
    <w:p w:rsidR="00EE0A85" w:rsidRDefault="00EE0A85" w:rsidP="00FC7149"/>
    <w:p w:rsidR="00EE0A85" w:rsidRDefault="00231C13" w:rsidP="00EE0A85">
      <w:r>
        <w:t>The</w:t>
      </w:r>
      <w:r w:rsidR="003B0B1E">
        <w:t xml:space="preserve"> ACCC propos</w:t>
      </w:r>
      <w:r>
        <w:t>es</w:t>
      </w:r>
      <w:r w:rsidR="003B0B1E">
        <w:t xml:space="preserve"> a number of amendments to the </w:t>
      </w:r>
      <w:r w:rsidR="00BC7AB9">
        <w:t>S</w:t>
      </w:r>
      <w:r w:rsidR="003B0B1E">
        <w:t>tandard</w:t>
      </w:r>
      <w:r w:rsidR="008760F3">
        <w:t xml:space="preserve"> in order to </w:t>
      </w:r>
      <w:r w:rsidR="00554D88">
        <w:t xml:space="preserve">better </w:t>
      </w:r>
      <w:r w:rsidR="008760F3">
        <w:t xml:space="preserve">address ongoing risks and </w:t>
      </w:r>
      <w:r w:rsidR="00554D88">
        <w:t xml:space="preserve">the </w:t>
      </w:r>
      <w:r w:rsidR="008760F3">
        <w:t>emerging hazards</w:t>
      </w:r>
      <w:r w:rsidR="00554D88">
        <w:t xml:space="preserve"> identified above</w:t>
      </w:r>
      <w:r w:rsidR="003B0B1E">
        <w:t>.</w:t>
      </w:r>
      <w:r w:rsidR="00D0235A">
        <w:t xml:space="preserve"> These changes </w:t>
      </w:r>
      <w:r w:rsidR="0071037B">
        <w:t xml:space="preserve">reflect new safety developments contained in </w:t>
      </w:r>
      <w:r w:rsidR="00D0235A">
        <w:t>the 2013 version of the voluntary standard</w:t>
      </w:r>
      <w:r w:rsidR="00554D88">
        <w:t>.</w:t>
      </w:r>
      <w:r w:rsidR="00BF335A">
        <w:t xml:space="preserve"> </w:t>
      </w:r>
      <w:r w:rsidR="00554D88">
        <w:t>T</w:t>
      </w:r>
      <w:r w:rsidR="00D0235A">
        <w:t xml:space="preserve">he ACCC understands that many of these requirements </w:t>
      </w:r>
      <w:r w:rsidR="00D0235A" w:rsidRPr="00EE0A85">
        <w:rPr>
          <w:rFonts w:cs="Arial"/>
        </w:rPr>
        <w:t>are already being voluntarily adopted by suppliers.</w:t>
      </w:r>
    </w:p>
    <w:p w:rsidR="00EE0A85" w:rsidRPr="006433BD" w:rsidRDefault="00EE0A85" w:rsidP="00EE0A85">
      <w:pPr>
        <w:autoSpaceDE w:val="0"/>
        <w:autoSpaceDN w:val="0"/>
        <w:adjustRightInd w:val="0"/>
        <w:rPr>
          <w:b/>
        </w:rPr>
      </w:pPr>
    </w:p>
    <w:p w:rsidR="00EE0A85" w:rsidRPr="00EE0A85" w:rsidRDefault="00EE0A85" w:rsidP="00EE0A85">
      <w:pPr>
        <w:rPr>
          <w:rFonts w:cs="Arial"/>
        </w:rPr>
      </w:pPr>
      <w:r w:rsidRPr="00EE0A85">
        <w:rPr>
          <w:rFonts w:cs="Arial"/>
        </w:rPr>
        <w:t xml:space="preserve">Specifically, proposed changes </w:t>
      </w:r>
      <w:r w:rsidR="00BF335A">
        <w:rPr>
          <w:rFonts w:cs="Arial"/>
        </w:rPr>
        <w:t>are</w:t>
      </w:r>
      <w:r w:rsidRPr="00EE0A85">
        <w:rPr>
          <w:rFonts w:cs="Arial"/>
        </w:rPr>
        <w:t>:</w:t>
      </w:r>
      <w:r w:rsidR="00D0235A">
        <w:rPr>
          <w:rFonts w:cs="Arial"/>
        </w:rPr>
        <w:t xml:space="preserve"> </w:t>
      </w:r>
    </w:p>
    <w:p w:rsidR="00EE0A85" w:rsidRPr="00EE0A85" w:rsidRDefault="00EE0A85" w:rsidP="002E34CB">
      <w:pPr>
        <w:numPr>
          <w:ilvl w:val="0"/>
          <w:numId w:val="4"/>
        </w:numPr>
        <w:rPr>
          <w:rFonts w:cs="Arial"/>
        </w:rPr>
      </w:pPr>
      <w:r w:rsidRPr="00EE0A85">
        <w:rPr>
          <w:rFonts w:cs="Arial"/>
        </w:rPr>
        <w:t xml:space="preserve">definitional amendments, such as clarification of certain terms relating to entrapment, for example ‘accessible to the child’ and ‘within the </w:t>
      </w:r>
      <w:r w:rsidR="00130143">
        <w:rPr>
          <w:rFonts w:cs="Arial"/>
        </w:rPr>
        <w:t>cot’ in order to provide more certainty to suppliers about areas of potential harm</w:t>
      </w:r>
    </w:p>
    <w:p w:rsidR="00EE0A85" w:rsidRPr="00EE0A85" w:rsidRDefault="00EE0A85" w:rsidP="002E34CB">
      <w:pPr>
        <w:numPr>
          <w:ilvl w:val="0"/>
          <w:numId w:val="4"/>
        </w:numPr>
        <w:rPr>
          <w:rFonts w:cs="Arial"/>
        </w:rPr>
      </w:pPr>
      <w:r w:rsidRPr="00EE0A85">
        <w:rPr>
          <w:rFonts w:cs="Arial"/>
        </w:rPr>
        <w:t>expansion of the tests for drop sides and reordering of the testing sequence</w:t>
      </w:r>
      <w:r w:rsidR="00130143">
        <w:rPr>
          <w:rFonts w:cs="Arial"/>
        </w:rPr>
        <w:t xml:space="preserve"> to increase the level of rigour of testing of these features</w:t>
      </w:r>
    </w:p>
    <w:p w:rsidR="00EE0A85" w:rsidRPr="0035438C" w:rsidRDefault="00EE0A85" w:rsidP="002E34CB">
      <w:pPr>
        <w:numPr>
          <w:ilvl w:val="0"/>
          <w:numId w:val="4"/>
        </w:numPr>
        <w:rPr>
          <w:rFonts w:cs="Arial"/>
        </w:rPr>
      </w:pPr>
      <w:r w:rsidRPr="0035438C">
        <w:rPr>
          <w:rFonts w:cs="Arial"/>
        </w:rPr>
        <w:t>changes to test procedures in certain</w:t>
      </w:r>
      <w:r>
        <w:rPr>
          <w:rFonts w:cs="Arial"/>
        </w:rPr>
        <w:t xml:space="preserve"> appendices including increases in the test force to be </w:t>
      </w:r>
      <w:r w:rsidRPr="0035438C">
        <w:rPr>
          <w:rFonts w:cs="Arial"/>
        </w:rPr>
        <w:t xml:space="preserve"> applied, </w:t>
      </w:r>
      <w:r>
        <w:rPr>
          <w:rFonts w:cs="Arial"/>
        </w:rPr>
        <w:t xml:space="preserve">changes in </w:t>
      </w:r>
      <w:r w:rsidRPr="0035438C">
        <w:rPr>
          <w:rFonts w:cs="Arial"/>
        </w:rPr>
        <w:t xml:space="preserve">the location of </w:t>
      </w:r>
      <w:r>
        <w:rPr>
          <w:rFonts w:cs="Arial"/>
        </w:rPr>
        <w:t xml:space="preserve">applying </w:t>
      </w:r>
      <w:r w:rsidRPr="0035438C">
        <w:rPr>
          <w:rFonts w:cs="Arial"/>
        </w:rPr>
        <w:t xml:space="preserve">force, the length of time </w:t>
      </w:r>
      <w:r>
        <w:rPr>
          <w:rFonts w:cs="Arial"/>
        </w:rPr>
        <w:t>of application and</w:t>
      </w:r>
      <w:r w:rsidRPr="0035438C">
        <w:rPr>
          <w:rFonts w:cs="Arial"/>
        </w:rPr>
        <w:t xml:space="preserve"> </w:t>
      </w:r>
      <w:r>
        <w:rPr>
          <w:rFonts w:cs="Arial"/>
        </w:rPr>
        <w:t xml:space="preserve">the number of </w:t>
      </w:r>
      <w:r w:rsidRPr="0035438C">
        <w:rPr>
          <w:rFonts w:cs="Arial"/>
        </w:rPr>
        <w:t>repetition</w:t>
      </w:r>
      <w:r>
        <w:rPr>
          <w:rFonts w:cs="Arial"/>
        </w:rPr>
        <w:t xml:space="preserve">s </w:t>
      </w:r>
      <w:r w:rsidRPr="0035438C">
        <w:rPr>
          <w:rFonts w:cs="Arial"/>
        </w:rPr>
        <w:t>and the application of extra weights in certain testing processes</w:t>
      </w:r>
      <w:r w:rsidR="00130143">
        <w:rPr>
          <w:rFonts w:cs="Arial"/>
        </w:rPr>
        <w:t xml:space="preserve"> to ensure a more onerous test regime</w:t>
      </w:r>
    </w:p>
    <w:p w:rsidR="00EE0A85" w:rsidRPr="0035438C" w:rsidRDefault="00EE0A85" w:rsidP="002E34CB">
      <w:pPr>
        <w:numPr>
          <w:ilvl w:val="0"/>
          <w:numId w:val="4"/>
        </w:numPr>
        <w:rPr>
          <w:rFonts w:cs="Arial"/>
        </w:rPr>
      </w:pPr>
      <w:r w:rsidRPr="0035438C">
        <w:rPr>
          <w:rFonts w:cs="Arial"/>
        </w:rPr>
        <w:lastRenderedPageBreak/>
        <w:t xml:space="preserve">an additional test for determining drop side strength </w:t>
      </w:r>
      <w:r>
        <w:rPr>
          <w:rFonts w:cs="Arial"/>
        </w:rPr>
        <w:t xml:space="preserve">involving its removal and suspension </w:t>
      </w:r>
      <w:r w:rsidRPr="0035438C">
        <w:rPr>
          <w:rFonts w:cs="Arial"/>
        </w:rPr>
        <w:t>by the top rail</w:t>
      </w:r>
      <w:r w:rsidR="00130143">
        <w:rPr>
          <w:rFonts w:cs="Arial"/>
        </w:rPr>
        <w:t xml:space="preserve"> </w:t>
      </w:r>
    </w:p>
    <w:p w:rsidR="00EE0A85" w:rsidRPr="00EE0A85" w:rsidRDefault="00EE0A85" w:rsidP="002E34CB">
      <w:pPr>
        <w:numPr>
          <w:ilvl w:val="0"/>
          <w:numId w:val="4"/>
        </w:numPr>
        <w:rPr>
          <w:rFonts w:cs="Arial"/>
        </w:rPr>
      </w:pPr>
      <w:r w:rsidRPr="00EE0A85">
        <w:rPr>
          <w:rFonts w:cs="Arial"/>
        </w:rPr>
        <w:t>clarification of what should be identified and recorded as damage to the drop side as part of the testing</w:t>
      </w:r>
      <w:r w:rsidR="00130143">
        <w:rPr>
          <w:rFonts w:cs="Arial"/>
        </w:rPr>
        <w:t xml:space="preserve"> process to allow for clarity for testing houses and suppliers</w:t>
      </w:r>
    </w:p>
    <w:p w:rsidR="00EE0A85" w:rsidRPr="00EE0A85" w:rsidRDefault="00EE0A85" w:rsidP="002E34CB">
      <w:pPr>
        <w:numPr>
          <w:ilvl w:val="0"/>
          <w:numId w:val="4"/>
        </w:numPr>
        <w:rPr>
          <w:rFonts w:cs="Arial"/>
        </w:rPr>
      </w:pPr>
      <w:r w:rsidRPr="00EE0A85">
        <w:rPr>
          <w:rFonts w:cs="Arial"/>
        </w:rPr>
        <w:t>renaming of certain clauses and appendices to better reflect the test process</w:t>
      </w:r>
    </w:p>
    <w:p w:rsidR="00EE0A85" w:rsidRPr="00EE0A85" w:rsidRDefault="00EE0A85" w:rsidP="002E34CB">
      <w:pPr>
        <w:numPr>
          <w:ilvl w:val="0"/>
          <w:numId w:val="4"/>
        </w:numPr>
        <w:rPr>
          <w:rFonts w:cs="Arial"/>
        </w:rPr>
      </w:pPr>
      <w:r w:rsidRPr="00EE0A85">
        <w:rPr>
          <w:rFonts w:cs="Arial"/>
        </w:rPr>
        <w:t>addition of a requirement for testing the firmness of any mattress supplied with the cot</w:t>
      </w:r>
      <w:r w:rsidR="00130143">
        <w:rPr>
          <w:rFonts w:cs="Arial"/>
        </w:rPr>
        <w:t xml:space="preserve"> to address and clarify a previously unclear requirement</w:t>
      </w:r>
    </w:p>
    <w:p w:rsidR="00EE0A85" w:rsidRPr="00EE0A85" w:rsidRDefault="00EE0A85" w:rsidP="002E34CB">
      <w:pPr>
        <w:numPr>
          <w:ilvl w:val="0"/>
          <w:numId w:val="4"/>
        </w:numPr>
        <w:rPr>
          <w:rFonts w:cs="Arial"/>
        </w:rPr>
      </w:pPr>
      <w:proofErr w:type="gramStart"/>
      <w:r w:rsidRPr="00EE0A85">
        <w:rPr>
          <w:rFonts w:cs="Arial"/>
        </w:rPr>
        <w:t>removal</w:t>
      </w:r>
      <w:proofErr w:type="gramEnd"/>
      <w:r w:rsidRPr="00EE0A85">
        <w:rPr>
          <w:rFonts w:cs="Arial"/>
        </w:rPr>
        <w:t xml:space="preserve"> of </w:t>
      </w:r>
      <w:r w:rsidR="00A719F8">
        <w:rPr>
          <w:rFonts w:cs="Arial"/>
        </w:rPr>
        <w:t xml:space="preserve">a </w:t>
      </w:r>
      <w:r w:rsidR="00BC7AB9">
        <w:rPr>
          <w:rFonts w:cs="Arial"/>
        </w:rPr>
        <w:t>the</w:t>
      </w:r>
      <w:r w:rsidRPr="00EE0A85">
        <w:rPr>
          <w:rFonts w:cs="Arial"/>
        </w:rPr>
        <w:t xml:space="preserve"> requirement for information to be provided on a swing tag or label with the cot</w:t>
      </w:r>
      <w:r w:rsidR="00130143">
        <w:rPr>
          <w:rFonts w:cs="Arial"/>
        </w:rPr>
        <w:t>.</w:t>
      </w:r>
    </w:p>
    <w:p w:rsidR="00D0235A" w:rsidRDefault="00D0235A" w:rsidP="00EE0A85">
      <w:pPr>
        <w:rPr>
          <w:rFonts w:cs="Arial"/>
        </w:rPr>
      </w:pPr>
    </w:p>
    <w:p w:rsidR="00EE0A85" w:rsidRPr="00EE0A85" w:rsidRDefault="00EE0A85" w:rsidP="00EE0A85">
      <w:pPr>
        <w:rPr>
          <w:rFonts w:cs="Arial"/>
        </w:rPr>
      </w:pPr>
      <w:r w:rsidRPr="00EE0A85">
        <w:rPr>
          <w:rFonts w:cs="Arial"/>
        </w:rPr>
        <w:t xml:space="preserve">The proposed changes are set out </w:t>
      </w:r>
      <w:r w:rsidR="00D0235A">
        <w:rPr>
          <w:rFonts w:cs="Arial"/>
        </w:rPr>
        <w:t>in more detail</w:t>
      </w:r>
      <w:r w:rsidR="00D0235A" w:rsidRPr="00EE0A85">
        <w:rPr>
          <w:rFonts w:cs="Arial"/>
        </w:rPr>
        <w:t xml:space="preserve"> </w:t>
      </w:r>
      <w:r w:rsidRPr="00EE0A85">
        <w:rPr>
          <w:rFonts w:cs="Arial"/>
        </w:rPr>
        <w:t>below.</w:t>
      </w:r>
    </w:p>
    <w:p w:rsidR="00EE0A85" w:rsidRPr="007B2CDF" w:rsidRDefault="00EE0A85" w:rsidP="00EE0A85"/>
    <w:p w:rsidR="00EE0A85" w:rsidRPr="00947B07" w:rsidRDefault="00EE0A85" w:rsidP="00F42065">
      <w:pPr>
        <w:pStyle w:val="Heading2"/>
      </w:pPr>
      <w:bookmarkStart w:id="143" w:name="_Toc367800191"/>
      <w:bookmarkStart w:id="144" w:name="_Toc367800414"/>
      <w:bookmarkStart w:id="145" w:name="_Toc367800977"/>
      <w:bookmarkStart w:id="146" w:name="_Toc367801243"/>
      <w:bookmarkStart w:id="147" w:name="_Toc367801444"/>
      <w:bookmarkStart w:id="148" w:name="_Toc367801635"/>
      <w:bookmarkStart w:id="149" w:name="_Toc367801758"/>
      <w:r w:rsidRPr="00947B07">
        <w:t>Definitional amendments</w:t>
      </w:r>
      <w:bookmarkEnd w:id="143"/>
      <w:bookmarkEnd w:id="144"/>
      <w:bookmarkEnd w:id="145"/>
      <w:bookmarkEnd w:id="146"/>
      <w:bookmarkEnd w:id="147"/>
      <w:bookmarkEnd w:id="148"/>
      <w:bookmarkEnd w:id="149"/>
    </w:p>
    <w:p w:rsidR="00EE0A85" w:rsidRDefault="00EE0A85" w:rsidP="00EE0A85"/>
    <w:p w:rsidR="00EE0A85" w:rsidRDefault="00EE0A85" w:rsidP="00EE0A85">
      <w:r>
        <w:t>It is proposed to include the following definitions in Clause 3 of AS/NZS 2172:2013 in the mandatory standard:</w:t>
      </w:r>
    </w:p>
    <w:p w:rsidR="00EE0A85" w:rsidRDefault="00EE0A85" w:rsidP="002E34CB">
      <w:pPr>
        <w:numPr>
          <w:ilvl w:val="0"/>
          <w:numId w:val="6"/>
        </w:numPr>
      </w:pPr>
      <w:r>
        <w:t>Accessible to the child  (clause 3.2)</w:t>
      </w:r>
    </w:p>
    <w:p w:rsidR="00705821" w:rsidRDefault="00705821" w:rsidP="00705821">
      <w:pPr>
        <w:ind w:left="720"/>
      </w:pPr>
      <w:r w:rsidRPr="00B2020F">
        <w:rPr>
          <w:i/>
        </w:rPr>
        <w:t>Within the reach of the child that is inside the cot, including components of the cot that are on the outside to within a distance of 300mm in any direction, except on the underside of the structure of the mattress base and directly beneath the mattress base when it is in lower position</w:t>
      </w:r>
      <w:r>
        <w:t>.</w:t>
      </w:r>
    </w:p>
    <w:p w:rsidR="00EE0A85" w:rsidRDefault="00EE0A85" w:rsidP="002E34CB">
      <w:pPr>
        <w:numPr>
          <w:ilvl w:val="0"/>
          <w:numId w:val="6"/>
        </w:numPr>
      </w:pPr>
      <w:r>
        <w:t>Sleep surface (clause 3.12)</w:t>
      </w:r>
    </w:p>
    <w:p w:rsidR="00705821" w:rsidRPr="00B2020F" w:rsidRDefault="00705821" w:rsidP="00705821">
      <w:pPr>
        <w:ind w:left="720"/>
        <w:rPr>
          <w:i/>
        </w:rPr>
      </w:pPr>
      <w:r w:rsidRPr="00B2020F">
        <w:rPr>
          <w:i/>
        </w:rPr>
        <w:t>That part of the cot on which the infant is intended to rest</w:t>
      </w:r>
    </w:p>
    <w:p w:rsidR="00EE0A85" w:rsidRDefault="00EE0A85" w:rsidP="002E34CB">
      <w:pPr>
        <w:numPr>
          <w:ilvl w:val="0"/>
          <w:numId w:val="6"/>
        </w:numPr>
      </w:pPr>
      <w:r>
        <w:t>Within the cot (clause 3.13)</w:t>
      </w:r>
    </w:p>
    <w:p w:rsidR="00705821" w:rsidRPr="00B2020F" w:rsidRDefault="00705821" w:rsidP="00705821">
      <w:pPr>
        <w:ind w:left="720"/>
        <w:rPr>
          <w:i/>
        </w:rPr>
      </w:pPr>
      <w:r w:rsidRPr="00B2020F">
        <w:rPr>
          <w:i/>
        </w:rPr>
        <w:t>In the internal space bound by the sides of the cot (drop side, fixed side, and ends) forming the walls, and the top surface of the mattress base forming the floor</w:t>
      </w:r>
    </w:p>
    <w:p w:rsidR="00EE0A85" w:rsidRDefault="00EE0A85" w:rsidP="00EE0A85"/>
    <w:p w:rsidR="00EE0A85" w:rsidRDefault="00EE0A85" w:rsidP="00EE0A85">
      <w:r>
        <w:t>Clauses 3.2 and 3.13 are linked and relate to determining the ability of a child in the cot to reach potentially hazardous areas of the cot.  This change is proposed to overcome ambiguity in previous standards.</w:t>
      </w:r>
    </w:p>
    <w:p w:rsidR="00EE0A85" w:rsidRDefault="00EE0A85" w:rsidP="00EE0A85"/>
    <w:p w:rsidR="00EE0A85" w:rsidRDefault="00EE0A85" w:rsidP="00EE0A85">
      <w:r>
        <w:t>Clause 3.12 relates to defining what may be referenced when considering an adequate or safe level of firmness for an infant mattress. The proposal is informed by the development of the new standard for mattress firmness.</w:t>
      </w:r>
    </w:p>
    <w:p w:rsidR="00947B07" w:rsidRDefault="00947B07" w:rsidP="00EE0A85">
      <w:pPr>
        <w:rPr>
          <w:b/>
          <w:u w:val="single"/>
        </w:rPr>
      </w:pPr>
    </w:p>
    <w:p w:rsidR="00EE0A85" w:rsidRPr="00947B07" w:rsidRDefault="00EE0A85" w:rsidP="00F42065">
      <w:pPr>
        <w:pStyle w:val="Heading2"/>
      </w:pPr>
      <w:bookmarkStart w:id="150" w:name="_Toc367800192"/>
      <w:bookmarkStart w:id="151" w:name="_Toc367800415"/>
      <w:bookmarkStart w:id="152" w:name="_Toc367800978"/>
      <w:bookmarkStart w:id="153" w:name="_Toc367801244"/>
      <w:bookmarkStart w:id="154" w:name="_Toc367801445"/>
      <w:bookmarkStart w:id="155" w:name="_Toc367801636"/>
      <w:bookmarkStart w:id="156" w:name="_Toc367801759"/>
      <w:r w:rsidRPr="00947B07">
        <w:t>Safety and Performance Requirements</w:t>
      </w:r>
      <w:bookmarkEnd w:id="150"/>
      <w:bookmarkEnd w:id="151"/>
      <w:bookmarkEnd w:id="152"/>
      <w:bookmarkEnd w:id="153"/>
      <w:bookmarkEnd w:id="154"/>
      <w:bookmarkEnd w:id="155"/>
      <w:bookmarkEnd w:id="156"/>
    </w:p>
    <w:p w:rsidR="00EE0A85" w:rsidRDefault="00EE0A85" w:rsidP="00EE0A85"/>
    <w:p w:rsidR="00EE0A85" w:rsidRDefault="00EE0A85" w:rsidP="00EE0A85">
      <w:r>
        <w:t xml:space="preserve">It is proposed to include clauses from Clause 9 of AS/NZS 2172:2013 with respect to testing of the strength and integrity of cots with drop sides in the </w:t>
      </w:r>
      <w:r w:rsidR="00BC7AB9">
        <w:t>S</w:t>
      </w:r>
      <w:r>
        <w:t>tandard:</w:t>
      </w:r>
    </w:p>
    <w:p w:rsidR="00EE0A85" w:rsidRDefault="00EE0A85" w:rsidP="00EE0A85"/>
    <w:p w:rsidR="00EE0A85" w:rsidRDefault="00EE0A85" w:rsidP="002E34CB">
      <w:pPr>
        <w:numPr>
          <w:ilvl w:val="0"/>
          <w:numId w:val="7"/>
        </w:numPr>
      </w:pPr>
      <w:r>
        <w:t>Clause 9.1 which relates to the proposed sequencing of the testing to be conducted</w:t>
      </w:r>
    </w:p>
    <w:p w:rsidR="00EE0A85" w:rsidRDefault="00EE0A85" w:rsidP="002E34CB">
      <w:pPr>
        <w:numPr>
          <w:ilvl w:val="0"/>
          <w:numId w:val="7"/>
        </w:numPr>
      </w:pPr>
      <w:r>
        <w:t>Clause 9.2 relat</w:t>
      </w:r>
      <w:r w:rsidR="00497C88">
        <w:t>ing</w:t>
      </w:r>
      <w:r>
        <w:t xml:space="preserve"> to </w:t>
      </w:r>
      <w:r w:rsidR="00497C88">
        <w:t xml:space="preserve">limb and head </w:t>
      </w:r>
      <w:r>
        <w:t>entrapment hazards generally</w:t>
      </w:r>
      <w:r w:rsidR="00497C88">
        <w:t xml:space="preserve"> but which can be generated by cots with inadequate strength and integrity </w:t>
      </w:r>
    </w:p>
    <w:p w:rsidR="00EE0A85" w:rsidRDefault="00EE0A85" w:rsidP="002E34CB">
      <w:pPr>
        <w:numPr>
          <w:ilvl w:val="0"/>
          <w:numId w:val="7"/>
        </w:numPr>
      </w:pPr>
      <w:r>
        <w:t xml:space="preserve">Clauses 9.3, 9.4, 9.5, 9.6, 9.7 and 9.8 which replace clauses similar to those in the current mandatory standard, but with more stringent test methodologies </w:t>
      </w:r>
    </w:p>
    <w:p w:rsidR="00EE0A85" w:rsidRDefault="00EE0A85" w:rsidP="002E34CB">
      <w:pPr>
        <w:numPr>
          <w:ilvl w:val="0"/>
          <w:numId w:val="7"/>
        </w:numPr>
      </w:pPr>
      <w:r>
        <w:t>Clause 9.11 which is an additional procedure for testing the drop side of a cot</w:t>
      </w:r>
    </w:p>
    <w:p w:rsidR="00EE0A85" w:rsidRDefault="00EE0A85" w:rsidP="002E34CB">
      <w:pPr>
        <w:numPr>
          <w:ilvl w:val="0"/>
          <w:numId w:val="7"/>
        </w:numPr>
      </w:pPr>
      <w:r>
        <w:t>Clause 9.12 which refers to a methodology for assessing the firmness of an infant sleep surface (and in this specific instance, a cot mattress, if supplied with the cot).</w:t>
      </w:r>
    </w:p>
    <w:p w:rsidR="00EE0A85" w:rsidRDefault="00EE0A85" w:rsidP="00EE0A85"/>
    <w:p w:rsidR="00EE0A85" w:rsidRPr="00EE0A85" w:rsidRDefault="00EE0A85" w:rsidP="00EE0A85">
      <w:r>
        <w:lastRenderedPageBreak/>
        <w:t>These changes are proposed in order to strengthen the testing processes required for determining the structural integrity of cots with drop sides.</w:t>
      </w:r>
      <w:r w:rsidR="00BF335A">
        <w:t xml:space="preserve">  This enhanced test regime should only generate a minimal </w:t>
      </w:r>
      <w:r w:rsidR="00C00735">
        <w:t xml:space="preserve">additional </w:t>
      </w:r>
      <w:r w:rsidR="00BF335A">
        <w:t>cost to suppliers of drop side cots.</w:t>
      </w:r>
    </w:p>
    <w:p w:rsidR="00EE0A85" w:rsidRDefault="00EE0A85" w:rsidP="00EE0A85">
      <w:pPr>
        <w:rPr>
          <w:b/>
          <w:u w:val="single"/>
        </w:rPr>
      </w:pPr>
    </w:p>
    <w:p w:rsidR="00EE0A85" w:rsidRPr="00947B07" w:rsidRDefault="00EE0A85" w:rsidP="00F42065">
      <w:pPr>
        <w:pStyle w:val="Heading2"/>
      </w:pPr>
      <w:bookmarkStart w:id="157" w:name="_Toc367800193"/>
      <w:bookmarkStart w:id="158" w:name="_Toc367800416"/>
      <w:bookmarkStart w:id="159" w:name="_Toc367800979"/>
      <w:bookmarkStart w:id="160" w:name="_Toc367801245"/>
      <w:bookmarkStart w:id="161" w:name="_Toc367801446"/>
      <w:bookmarkStart w:id="162" w:name="_Toc367801637"/>
      <w:bookmarkStart w:id="163" w:name="_Toc367801760"/>
      <w:r w:rsidRPr="00947B07">
        <w:t>Information and Marking Requirements</w:t>
      </w:r>
      <w:bookmarkEnd w:id="157"/>
      <w:bookmarkEnd w:id="158"/>
      <w:bookmarkEnd w:id="159"/>
      <w:bookmarkEnd w:id="160"/>
      <w:bookmarkEnd w:id="161"/>
      <w:bookmarkEnd w:id="162"/>
      <w:bookmarkEnd w:id="163"/>
    </w:p>
    <w:p w:rsidR="00E2400D" w:rsidRDefault="00E2400D" w:rsidP="00E2400D">
      <w:r>
        <w:t xml:space="preserve">The paper is proposing to remove the requirement for a swing tag to be provided with the cot (in line with a change incorporated in the 2013 voluntary standard).  The ACCC understands that this requirement is considered by industry to be no longer relevant in the supply of household cots as most cots are supplied in flat pack form requiring assembly by the consumer (including the attachment of any tag) and the information provided in such a tag or label is adequately provided through other requirements for markings on the cot and the packaging. The ACCC agrees with this position. </w:t>
      </w:r>
    </w:p>
    <w:p w:rsidR="00EE0A85" w:rsidRDefault="00EE0A85" w:rsidP="00EE0A85"/>
    <w:p w:rsidR="00205D90" w:rsidRPr="00947B07" w:rsidRDefault="00EE0A85" w:rsidP="00EE0A85">
      <w:r>
        <w:t xml:space="preserve">It is proposed </w:t>
      </w:r>
      <w:r w:rsidR="0071037B">
        <w:t xml:space="preserve">that </w:t>
      </w:r>
      <w:r>
        <w:t>requirements for information and marking</w:t>
      </w:r>
      <w:r w:rsidR="0071037B">
        <w:t xml:space="preserve"> are modified in the </w:t>
      </w:r>
      <w:r w:rsidR="00BC7AB9">
        <w:t>S</w:t>
      </w:r>
      <w:r w:rsidR="0071037B">
        <w:t xml:space="preserve">tandard by removing </w:t>
      </w:r>
      <w:r>
        <w:t xml:space="preserve">clause 11.2 </w:t>
      </w:r>
      <w:r w:rsidR="0071037B">
        <w:t xml:space="preserve">which </w:t>
      </w:r>
      <w:r>
        <w:t>requir</w:t>
      </w:r>
      <w:r w:rsidR="0071037B">
        <w:t>es</w:t>
      </w:r>
      <w:r>
        <w:t xml:space="preserve"> a swing tag or label on the cot.  This proposal is made on the basis that information required by this clause is duplicated in three other areas (it is required to be marked on the cot, in the informational lea</w:t>
      </w:r>
      <w:r w:rsidR="00947B07">
        <w:t>flet and on the cot packaging).</w:t>
      </w:r>
      <w:r w:rsidR="00BC7AB9">
        <w:t xml:space="preserve"> Views are specifically sought on whether its removal would diminish the strength of current consumer information.</w:t>
      </w:r>
    </w:p>
    <w:p w:rsidR="00A817ED" w:rsidRDefault="00A817ED" w:rsidP="004955D1">
      <w:pPr>
        <w:rPr>
          <w:rFonts w:ascii="Cambria" w:hAnsi="Cambria"/>
          <w:b/>
          <w:sz w:val="28"/>
          <w:szCs w:val="28"/>
        </w:rPr>
      </w:pPr>
    </w:p>
    <w:p w:rsidR="00EE0A85" w:rsidRPr="004273F1" w:rsidRDefault="00EE0A85" w:rsidP="00F42065">
      <w:pPr>
        <w:pStyle w:val="Heading1"/>
      </w:pPr>
      <w:bookmarkStart w:id="164" w:name="_Toc361729971"/>
      <w:bookmarkStart w:id="165" w:name="_Toc367800195"/>
      <w:bookmarkStart w:id="166" w:name="_Toc367800418"/>
      <w:bookmarkStart w:id="167" w:name="_Toc367800981"/>
      <w:bookmarkStart w:id="168" w:name="_Toc367801247"/>
      <w:bookmarkStart w:id="169" w:name="_Toc367801448"/>
      <w:bookmarkStart w:id="170" w:name="_Toc367801639"/>
      <w:bookmarkStart w:id="171" w:name="_Toc367801762"/>
      <w:r w:rsidRPr="004273F1">
        <w:t>Conclusion</w:t>
      </w:r>
      <w:bookmarkEnd w:id="164"/>
      <w:bookmarkEnd w:id="165"/>
      <w:bookmarkEnd w:id="166"/>
      <w:bookmarkEnd w:id="167"/>
      <w:bookmarkEnd w:id="168"/>
      <w:bookmarkEnd w:id="169"/>
      <w:bookmarkEnd w:id="170"/>
      <w:bookmarkEnd w:id="171"/>
    </w:p>
    <w:p w:rsidR="00EE0A85" w:rsidRPr="007019C6" w:rsidRDefault="00EE0A85" w:rsidP="00EE0A85"/>
    <w:p w:rsidR="00EE0A85" w:rsidRDefault="00EE0A85" w:rsidP="00EE0A85">
      <w:r>
        <w:t xml:space="preserve">This paper proposes amendments to the mandatory household cot standard based on the most recent iteration of the voluntary Australian standard for cots, AS/NZS 2172:2013. </w:t>
      </w:r>
    </w:p>
    <w:p w:rsidR="00EE0A85" w:rsidRDefault="00EE0A85" w:rsidP="00EE0A85"/>
    <w:p w:rsidR="00EE0A85" w:rsidRDefault="00EE0A85" w:rsidP="00EE0A85">
      <w:r>
        <w:t>Revisions to the existing mandatory standard which incorporate relevant clauses of the most recent voluntary standard are proposed on the grounds they will improve safety and the functio</w:t>
      </w:r>
      <w:r w:rsidR="00057260">
        <w:t xml:space="preserve">nality of the standard </w:t>
      </w:r>
      <w:r>
        <w:t>by:</w:t>
      </w:r>
    </w:p>
    <w:p w:rsidR="00EE0A85" w:rsidRDefault="00EE0A85" w:rsidP="002E34CB">
      <w:pPr>
        <w:numPr>
          <w:ilvl w:val="0"/>
          <w:numId w:val="8"/>
        </w:numPr>
      </w:pPr>
      <w:r>
        <w:t>Introducing more rigorous tests of the strength and integrity of cot drop sides</w:t>
      </w:r>
    </w:p>
    <w:p w:rsidR="00EE0A85" w:rsidRDefault="00EE0A85" w:rsidP="002E34CB">
      <w:pPr>
        <w:numPr>
          <w:ilvl w:val="0"/>
          <w:numId w:val="8"/>
        </w:numPr>
      </w:pPr>
      <w:r>
        <w:t>Clarifying the test process</w:t>
      </w:r>
    </w:p>
    <w:p w:rsidR="00EE0A85" w:rsidRDefault="00EE0A85" w:rsidP="002E34CB">
      <w:pPr>
        <w:numPr>
          <w:ilvl w:val="0"/>
          <w:numId w:val="8"/>
        </w:numPr>
      </w:pPr>
      <w:r>
        <w:t>Incorporating newly developed testing for mattress firmness</w:t>
      </w:r>
    </w:p>
    <w:p w:rsidR="00EE0A85" w:rsidRDefault="00EE0A85" w:rsidP="002E34CB">
      <w:pPr>
        <w:numPr>
          <w:ilvl w:val="0"/>
          <w:numId w:val="8"/>
        </w:numPr>
      </w:pPr>
      <w:r>
        <w:t>Removing requirement</w:t>
      </w:r>
      <w:r w:rsidR="00057260">
        <w:t>s</w:t>
      </w:r>
      <w:r>
        <w:t xml:space="preserve"> that </w:t>
      </w:r>
      <w:r w:rsidR="00057260">
        <w:t>are</w:t>
      </w:r>
      <w:r>
        <w:t xml:space="preserve"> duplicated elsewhere</w:t>
      </w:r>
      <w:r w:rsidR="00057260">
        <w:t>;</w:t>
      </w:r>
      <w:r>
        <w:t xml:space="preserve"> and</w:t>
      </w:r>
    </w:p>
    <w:p w:rsidR="009E759D" w:rsidRDefault="00EE0A85" w:rsidP="002E34CB">
      <w:pPr>
        <w:numPr>
          <w:ilvl w:val="0"/>
          <w:numId w:val="8"/>
        </w:numPr>
      </w:pPr>
      <w:r>
        <w:t>Making some editorial changes.</w:t>
      </w:r>
    </w:p>
    <w:p w:rsidR="004125EC" w:rsidRPr="004125EC" w:rsidRDefault="004125EC" w:rsidP="004125EC">
      <w:bookmarkStart w:id="172" w:name="_Toc361729958"/>
    </w:p>
    <w:bookmarkEnd w:id="172"/>
    <w:p w:rsidR="009E759D" w:rsidRPr="007019C6" w:rsidRDefault="009E759D" w:rsidP="00FC7149">
      <w:pPr>
        <w:sectPr w:rsidR="009E759D" w:rsidRPr="007019C6" w:rsidSect="00EB16FD">
          <w:footerReference w:type="default" r:id="rId15"/>
          <w:pgSz w:w="11906" w:h="16838"/>
          <w:pgMar w:top="1440" w:right="1440" w:bottom="1440" w:left="1440" w:header="708" w:footer="708" w:gutter="0"/>
          <w:cols w:space="708"/>
          <w:docGrid w:linePitch="360"/>
        </w:sectPr>
      </w:pPr>
    </w:p>
    <w:p w:rsidR="00A27C0A" w:rsidRPr="004273F1" w:rsidRDefault="00A27C0A" w:rsidP="00F42065">
      <w:pPr>
        <w:pStyle w:val="Heading1"/>
      </w:pPr>
      <w:bookmarkStart w:id="173" w:name="_Toc361729972"/>
      <w:bookmarkStart w:id="174" w:name="_Toc367800197"/>
      <w:bookmarkStart w:id="175" w:name="_Toc367800420"/>
      <w:bookmarkStart w:id="176" w:name="_Toc367800983"/>
      <w:bookmarkStart w:id="177" w:name="_Toc367801249"/>
      <w:bookmarkStart w:id="178" w:name="_Toc367801450"/>
      <w:bookmarkStart w:id="179" w:name="_Toc367801641"/>
      <w:bookmarkStart w:id="180" w:name="_Toc367801764"/>
      <w:r w:rsidRPr="004273F1">
        <w:lastRenderedPageBreak/>
        <w:t>Appendix A</w:t>
      </w:r>
      <w:r w:rsidR="000B14B7" w:rsidRPr="004273F1">
        <w:t xml:space="preserve">- </w:t>
      </w:r>
      <w:r w:rsidR="00B166ED" w:rsidRPr="004273F1">
        <w:t>Table of options for stakeholder response</w:t>
      </w:r>
      <w:bookmarkEnd w:id="173"/>
      <w:bookmarkEnd w:id="174"/>
      <w:bookmarkEnd w:id="175"/>
      <w:bookmarkEnd w:id="176"/>
      <w:bookmarkEnd w:id="177"/>
      <w:bookmarkEnd w:id="178"/>
      <w:bookmarkEnd w:id="179"/>
      <w:bookmarkEnd w:id="180"/>
    </w:p>
    <w:p w:rsidR="000E3785" w:rsidRDefault="000E3785" w:rsidP="00FC7149">
      <w:pPr>
        <w:rPr>
          <w:b/>
        </w:rPr>
      </w:pP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4678"/>
        <w:gridCol w:w="4819"/>
        <w:gridCol w:w="1758"/>
      </w:tblGrid>
      <w:tr w:rsidR="00B00D79" w:rsidRPr="00FC7149" w:rsidTr="00B00D79">
        <w:trPr>
          <w:trHeight w:val="551"/>
        </w:trPr>
        <w:tc>
          <w:tcPr>
            <w:tcW w:w="534" w:type="dxa"/>
          </w:tcPr>
          <w:p w:rsidR="00B00D79" w:rsidRPr="00FC7149" w:rsidRDefault="00B00D79" w:rsidP="009265A3">
            <w:pPr>
              <w:rPr>
                <w:b/>
              </w:rPr>
            </w:pPr>
            <w:r w:rsidRPr="00FC7149">
              <w:rPr>
                <w:b/>
              </w:rPr>
              <w:t>#</w:t>
            </w:r>
          </w:p>
        </w:tc>
        <w:tc>
          <w:tcPr>
            <w:tcW w:w="2693" w:type="dxa"/>
          </w:tcPr>
          <w:p w:rsidR="00B00D79" w:rsidRPr="00FC7149" w:rsidRDefault="00B00D79" w:rsidP="00FC7149">
            <w:pPr>
              <w:autoSpaceDE w:val="0"/>
              <w:autoSpaceDN w:val="0"/>
              <w:adjustRightInd w:val="0"/>
              <w:rPr>
                <w:b/>
              </w:rPr>
            </w:pPr>
            <w:r>
              <w:rPr>
                <w:b/>
              </w:rPr>
              <w:t>Issue</w:t>
            </w:r>
          </w:p>
        </w:tc>
        <w:tc>
          <w:tcPr>
            <w:tcW w:w="4678" w:type="dxa"/>
          </w:tcPr>
          <w:p w:rsidR="00B00D79" w:rsidRPr="00FC7149" w:rsidRDefault="00B00D79" w:rsidP="009265A3">
            <w:pPr>
              <w:rPr>
                <w:b/>
              </w:rPr>
            </w:pPr>
            <w:r>
              <w:rPr>
                <w:b/>
              </w:rPr>
              <w:t xml:space="preserve">Existing </w:t>
            </w:r>
            <w:r w:rsidR="00EE0A85">
              <w:rPr>
                <w:b/>
              </w:rPr>
              <w:t xml:space="preserve">mandatory </w:t>
            </w:r>
            <w:r>
              <w:rPr>
                <w:b/>
              </w:rPr>
              <w:t>requirement- AS/NZS 2172 2003 (as modified by CPN No 6 of 2005</w:t>
            </w:r>
            <w:r w:rsidR="00EE0A85">
              <w:rPr>
                <w:b/>
              </w:rPr>
              <w:t>)</w:t>
            </w:r>
          </w:p>
        </w:tc>
        <w:tc>
          <w:tcPr>
            <w:tcW w:w="4819" w:type="dxa"/>
          </w:tcPr>
          <w:p w:rsidR="00B00D79" w:rsidRDefault="00EE0A85" w:rsidP="009265A3">
            <w:pPr>
              <w:rPr>
                <w:b/>
              </w:rPr>
            </w:pPr>
            <w:r>
              <w:rPr>
                <w:b/>
              </w:rPr>
              <w:t>Proposed changes to mandatory r</w:t>
            </w:r>
            <w:r w:rsidR="00B00D79">
              <w:rPr>
                <w:b/>
              </w:rPr>
              <w:t xml:space="preserve">equirement- </w:t>
            </w:r>
            <w:r>
              <w:rPr>
                <w:b/>
              </w:rPr>
              <w:t xml:space="preserve">based on changes to </w:t>
            </w:r>
            <w:r w:rsidR="00B00D79">
              <w:rPr>
                <w:b/>
              </w:rPr>
              <w:t>AS/NZS 2172:2013</w:t>
            </w:r>
          </w:p>
        </w:tc>
        <w:tc>
          <w:tcPr>
            <w:tcW w:w="1758" w:type="dxa"/>
          </w:tcPr>
          <w:p w:rsidR="00B00D79" w:rsidRDefault="001A2305" w:rsidP="001A2305">
            <w:pPr>
              <w:rPr>
                <w:b/>
              </w:rPr>
            </w:pPr>
            <w:r>
              <w:rPr>
                <w:b/>
              </w:rPr>
              <w:t>Agr</w:t>
            </w:r>
            <w:r w:rsidR="005C2E53">
              <w:rPr>
                <w:b/>
              </w:rPr>
              <w:t xml:space="preserve">ee/Disagree with </w:t>
            </w:r>
            <w:r w:rsidR="00EE0A85">
              <w:rPr>
                <w:b/>
              </w:rPr>
              <w:t xml:space="preserve">proposed </w:t>
            </w:r>
            <w:r w:rsidR="005C2E53">
              <w:rPr>
                <w:b/>
              </w:rPr>
              <w:t>change</w:t>
            </w:r>
            <w:r w:rsidR="00EE0A85">
              <w:rPr>
                <w:b/>
              </w:rPr>
              <w:t>s</w:t>
            </w:r>
            <w:r w:rsidR="005C2E53">
              <w:rPr>
                <w:b/>
              </w:rPr>
              <w:t>.</w:t>
            </w:r>
            <w:r w:rsidR="00EE0A85">
              <w:rPr>
                <w:b/>
              </w:rPr>
              <w:t xml:space="preserve"> With</w:t>
            </w:r>
          </w:p>
          <w:p w:rsidR="005C2E53" w:rsidRPr="00FC7149" w:rsidRDefault="00EE0A85" w:rsidP="001A2305">
            <w:pPr>
              <w:rPr>
                <w:b/>
              </w:rPr>
            </w:pPr>
            <w:r>
              <w:rPr>
                <w:b/>
              </w:rPr>
              <w:t>c</w:t>
            </w:r>
            <w:r w:rsidR="005C2E53">
              <w:rPr>
                <w:b/>
              </w:rPr>
              <w:t>omment</w:t>
            </w:r>
            <w:r>
              <w:rPr>
                <w:b/>
              </w:rPr>
              <w:t>s</w:t>
            </w:r>
          </w:p>
        </w:tc>
      </w:tr>
      <w:tr w:rsidR="00B00D79" w:rsidRPr="00FC7149" w:rsidTr="00B00D79">
        <w:trPr>
          <w:trHeight w:val="811"/>
        </w:trPr>
        <w:tc>
          <w:tcPr>
            <w:tcW w:w="534" w:type="dxa"/>
          </w:tcPr>
          <w:p w:rsidR="00B00D79" w:rsidRPr="00FC7149" w:rsidRDefault="00B00D79" w:rsidP="009265A3">
            <w:pPr>
              <w:rPr>
                <w:b/>
              </w:rPr>
            </w:pPr>
            <w:r>
              <w:rPr>
                <w:b/>
              </w:rPr>
              <w:t>1</w:t>
            </w:r>
          </w:p>
        </w:tc>
        <w:tc>
          <w:tcPr>
            <w:tcW w:w="2693" w:type="dxa"/>
          </w:tcPr>
          <w:p w:rsidR="00B00D79" w:rsidRPr="009D6EA1" w:rsidRDefault="00B00D79" w:rsidP="00FC7149">
            <w:pPr>
              <w:autoSpaceDE w:val="0"/>
              <w:autoSpaceDN w:val="0"/>
              <w:adjustRightInd w:val="0"/>
            </w:pPr>
            <w:r>
              <w:t>Definitions</w:t>
            </w:r>
          </w:p>
        </w:tc>
        <w:tc>
          <w:tcPr>
            <w:tcW w:w="4678" w:type="dxa"/>
          </w:tcPr>
          <w:p w:rsidR="00B00D79" w:rsidRPr="00EB5425" w:rsidRDefault="00B00D79" w:rsidP="009265A3">
            <w:r w:rsidRPr="00EB5425">
              <w:t>-</w:t>
            </w:r>
          </w:p>
          <w:p w:rsidR="00E906EF" w:rsidRPr="00EB5425" w:rsidRDefault="00E906EF" w:rsidP="009265A3">
            <w:r w:rsidRPr="00EB5425">
              <w:t>-</w:t>
            </w:r>
          </w:p>
          <w:p w:rsidR="00E906EF" w:rsidRPr="00EB5425" w:rsidRDefault="00E906EF" w:rsidP="009265A3">
            <w:r w:rsidRPr="00EB5425">
              <w:t>3.10 Within the cot</w:t>
            </w:r>
          </w:p>
        </w:tc>
        <w:tc>
          <w:tcPr>
            <w:tcW w:w="4819" w:type="dxa"/>
          </w:tcPr>
          <w:p w:rsidR="00B00D79" w:rsidRPr="00EB5425" w:rsidRDefault="00B00D79" w:rsidP="009265A3">
            <w:r w:rsidRPr="00EB5425">
              <w:t>3.2</w:t>
            </w:r>
            <w:r w:rsidR="00E906EF" w:rsidRPr="00EB5425">
              <w:t xml:space="preserve"> Accessible to the child</w:t>
            </w:r>
          </w:p>
          <w:p w:rsidR="00E906EF" w:rsidRPr="00EB5425" w:rsidRDefault="00E906EF" w:rsidP="009265A3">
            <w:r w:rsidRPr="00EB5425">
              <w:t>3.12 Sleep surface</w:t>
            </w:r>
          </w:p>
          <w:p w:rsidR="00E906EF" w:rsidRPr="00EB5425" w:rsidRDefault="00E906EF" w:rsidP="009265A3">
            <w:r w:rsidRPr="00EB5425">
              <w:t>3.13 Within the cot</w:t>
            </w:r>
          </w:p>
        </w:tc>
        <w:tc>
          <w:tcPr>
            <w:tcW w:w="1758" w:type="dxa"/>
          </w:tcPr>
          <w:p w:rsidR="00B00D79" w:rsidRPr="00FC7149" w:rsidRDefault="00B00D79" w:rsidP="009265A3">
            <w:pPr>
              <w:rPr>
                <w:b/>
              </w:rPr>
            </w:pPr>
          </w:p>
        </w:tc>
      </w:tr>
      <w:tr w:rsidR="00B00D79" w:rsidRPr="00FC7149" w:rsidTr="00B00D79">
        <w:trPr>
          <w:trHeight w:val="275"/>
        </w:trPr>
        <w:tc>
          <w:tcPr>
            <w:tcW w:w="534" w:type="dxa"/>
          </w:tcPr>
          <w:p w:rsidR="00B00D79" w:rsidRPr="00FC7149" w:rsidRDefault="00E906EF" w:rsidP="009265A3">
            <w:pPr>
              <w:rPr>
                <w:b/>
              </w:rPr>
            </w:pPr>
            <w:r>
              <w:rPr>
                <w:b/>
              </w:rPr>
              <w:t>2</w:t>
            </w:r>
          </w:p>
        </w:tc>
        <w:tc>
          <w:tcPr>
            <w:tcW w:w="2693" w:type="dxa"/>
          </w:tcPr>
          <w:p w:rsidR="00B00D79" w:rsidRDefault="00E906EF" w:rsidP="009265A3">
            <w:r>
              <w:t>Safety and performance</w:t>
            </w:r>
          </w:p>
        </w:tc>
        <w:tc>
          <w:tcPr>
            <w:tcW w:w="4678" w:type="dxa"/>
          </w:tcPr>
          <w:p w:rsidR="00B00D79" w:rsidRPr="00EB5425" w:rsidRDefault="00E906EF" w:rsidP="009265A3">
            <w:r w:rsidRPr="00EB5425">
              <w:t>9.1 General</w:t>
            </w:r>
          </w:p>
        </w:tc>
        <w:tc>
          <w:tcPr>
            <w:tcW w:w="4819" w:type="dxa"/>
          </w:tcPr>
          <w:p w:rsidR="00B00D79" w:rsidRPr="00EB5425" w:rsidRDefault="00E906EF" w:rsidP="009265A3">
            <w:r w:rsidRPr="00EB5425">
              <w:t>9.1 General</w:t>
            </w:r>
          </w:p>
        </w:tc>
        <w:tc>
          <w:tcPr>
            <w:tcW w:w="1758" w:type="dxa"/>
          </w:tcPr>
          <w:p w:rsidR="00D66A4F" w:rsidRPr="00FC7149" w:rsidRDefault="00D66A4F" w:rsidP="009265A3">
            <w:pPr>
              <w:rPr>
                <w:b/>
              </w:rPr>
            </w:pPr>
          </w:p>
        </w:tc>
      </w:tr>
      <w:tr w:rsidR="00D66A4F" w:rsidRPr="00FC7149" w:rsidTr="00B00D79">
        <w:trPr>
          <w:trHeight w:val="275"/>
        </w:trPr>
        <w:tc>
          <w:tcPr>
            <w:tcW w:w="534" w:type="dxa"/>
          </w:tcPr>
          <w:p w:rsidR="00D66A4F" w:rsidRDefault="00D66A4F" w:rsidP="009265A3">
            <w:pPr>
              <w:rPr>
                <w:b/>
              </w:rPr>
            </w:pPr>
          </w:p>
        </w:tc>
        <w:tc>
          <w:tcPr>
            <w:tcW w:w="2693" w:type="dxa"/>
          </w:tcPr>
          <w:p w:rsidR="00D66A4F" w:rsidRDefault="00D66A4F" w:rsidP="009265A3"/>
        </w:tc>
        <w:tc>
          <w:tcPr>
            <w:tcW w:w="4678" w:type="dxa"/>
          </w:tcPr>
          <w:p w:rsidR="00D66A4F" w:rsidRPr="00EB5425" w:rsidRDefault="00D66A4F" w:rsidP="009265A3">
            <w:r>
              <w:t>9.2 Entrapment hazard test</w:t>
            </w:r>
          </w:p>
        </w:tc>
        <w:tc>
          <w:tcPr>
            <w:tcW w:w="4819" w:type="dxa"/>
          </w:tcPr>
          <w:p w:rsidR="00D66A4F" w:rsidRPr="00EB5425" w:rsidRDefault="00D66A4F" w:rsidP="009265A3">
            <w:r>
              <w:t>9.2 Entrapment hazard test</w:t>
            </w:r>
          </w:p>
        </w:tc>
        <w:tc>
          <w:tcPr>
            <w:tcW w:w="1758" w:type="dxa"/>
          </w:tcPr>
          <w:p w:rsidR="00D66A4F" w:rsidRPr="00FC7149" w:rsidRDefault="00D66A4F" w:rsidP="009265A3">
            <w:pPr>
              <w:rPr>
                <w:b/>
              </w:rPr>
            </w:pPr>
          </w:p>
        </w:tc>
      </w:tr>
      <w:tr w:rsidR="00B00D79" w:rsidRPr="00FC7149" w:rsidTr="00B00D79">
        <w:trPr>
          <w:trHeight w:val="275"/>
        </w:trPr>
        <w:tc>
          <w:tcPr>
            <w:tcW w:w="534" w:type="dxa"/>
          </w:tcPr>
          <w:p w:rsidR="00B00D79" w:rsidRPr="00FC7149" w:rsidRDefault="00B00D79" w:rsidP="009265A3">
            <w:pPr>
              <w:rPr>
                <w:b/>
              </w:rPr>
            </w:pPr>
          </w:p>
        </w:tc>
        <w:tc>
          <w:tcPr>
            <w:tcW w:w="2693" w:type="dxa"/>
          </w:tcPr>
          <w:p w:rsidR="00B00D79" w:rsidRDefault="00B00D79" w:rsidP="009265A3"/>
        </w:tc>
        <w:tc>
          <w:tcPr>
            <w:tcW w:w="4678" w:type="dxa"/>
          </w:tcPr>
          <w:p w:rsidR="00B00D79" w:rsidRPr="00EB5425" w:rsidRDefault="00E906EF" w:rsidP="009265A3">
            <w:r w:rsidRPr="00EB5425">
              <w:t>9.3 Impact test</w:t>
            </w:r>
            <w:r w:rsidR="004A0922" w:rsidRPr="00EB5425">
              <w:t xml:space="preserve"> (and App B)</w:t>
            </w:r>
          </w:p>
        </w:tc>
        <w:tc>
          <w:tcPr>
            <w:tcW w:w="4819" w:type="dxa"/>
          </w:tcPr>
          <w:p w:rsidR="00B00D79" w:rsidRPr="00EB5425" w:rsidRDefault="00E906EF" w:rsidP="009265A3">
            <w:r w:rsidRPr="00EB5425">
              <w:t>9.3 Impact test (and App B)</w:t>
            </w:r>
          </w:p>
        </w:tc>
        <w:tc>
          <w:tcPr>
            <w:tcW w:w="1758" w:type="dxa"/>
          </w:tcPr>
          <w:p w:rsidR="00B00D79" w:rsidRPr="00FC7149" w:rsidRDefault="00B00D79" w:rsidP="009265A3">
            <w:pPr>
              <w:rPr>
                <w:b/>
              </w:rPr>
            </w:pPr>
          </w:p>
        </w:tc>
      </w:tr>
      <w:tr w:rsidR="00B00D79" w:rsidRPr="00FC7149" w:rsidTr="00B00D79">
        <w:trPr>
          <w:trHeight w:val="551"/>
        </w:trPr>
        <w:tc>
          <w:tcPr>
            <w:tcW w:w="534" w:type="dxa"/>
          </w:tcPr>
          <w:p w:rsidR="00B00D79" w:rsidRPr="00FC7149" w:rsidRDefault="00B00D79" w:rsidP="009265A3">
            <w:pPr>
              <w:rPr>
                <w:b/>
              </w:rPr>
            </w:pPr>
          </w:p>
        </w:tc>
        <w:tc>
          <w:tcPr>
            <w:tcW w:w="2693" w:type="dxa"/>
          </w:tcPr>
          <w:p w:rsidR="00B00D79" w:rsidRPr="009D6EA1" w:rsidRDefault="00B00D79" w:rsidP="009265A3"/>
        </w:tc>
        <w:tc>
          <w:tcPr>
            <w:tcW w:w="4678" w:type="dxa"/>
          </w:tcPr>
          <w:p w:rsidR="00B00D79" w:rsidRPr="00EB5425" w:rsidRDefault="00E906EF" w:rsidP="009265A3">
            <w:r w:rsidRPr="00EB5425">
              <w:t>9.4 Strength test</w:t>
            </w:r>
            <w:r w:rsidR="004A0922" w:rsidRPr="00EB5425">
              <w:t xml:space="preserve"> (and App C)</w:t>
            </w:r>
          </w:p>
        </w:tc>
        <w:tc>
          <w:tcPr>
            <w:tcW w:w="4819" w:type="dxa"/>
          </w:tcPr>
          <w:p w:rsidR="00B00D79" w:rsidRPr="00EB5425" w:rsidRDefault="00E906EF" w:rsidP="009265A3">
            <w:r w:rsidRPr="00EB5425">
              <w:t>9.4 Filler bar, filler panel and corner post strength test</w:t>
            </w:r>
            <w:r w:rsidR="004A0922" w:rsidRPr="00EB5425">
              <w:t xml:space="preserve"> (and App C)</w:t>
            </w:r>
          </w:p>
        </w:tc>
        <w:tc>
          <w:tcPr>
            <w:tcW w:w="1758" w:type="dxa"/>
          </w:tcPr>
          <w:p w:rsidR="00B00D79" w:rsidRPr="00FC7149" w:rsidRDefault="00B00D79" w:rsidP="009265A3">
            <w:pPr>
              <w:rPr>
                <w:b/>
              </w:rPr>
            </w:pPr>
          </w:p>
        </w:tc>
      </w:tr>
      <w:tr w:rsidR="00B00D79" w:rsidRPr="00FC7149" w:rsidTr="00B00D79">
        <w:trPr>
          <w:trHeight w:val="536"/>
        </w:trPr>
        <w:tc>
          <w:tcPr>
            <w:tcW w:w="534" w:type="dxa"/>
          </w:tcPr>
          <w:p w:rsidR="00B00D79" w:rsidRPr="00FC7149" w:rsidRDefault="00B00D79" w:rsidP="009265A3">
            <w:pPr>
              <w:rPr>
                <w:b/>
              </w:rPr>
            </w:pPr>
          </w:p>
        </w:tc>
        <w:tc>
          <w:tcPr>
            <w:tcW w:w="2693" w:type="dxa"/>
          </w:tcPr>
          <w:p w:rsidR="00B00D79" w:rsidRPr="009D6EA1" w:rsidRDefault="00B00D79" w:rsidP="00961711">
            <w:pPr>
              <w:autoSpaceDE w:val="0"/>
              <w:autoSpaceDN w:val="0"/>
              <w:adjustRightInd w:val="0"/>
            </w:pPr>
          </w:p>
        </w:tc>
        <w:tc>
          <w:tcPr>
            <w:tcW w:w="4678" w:type="dxa"/>
          </w:tcPr>
          <w:p w:rsidR="00B00D79" w:rsidRPr="00EB5425" w:rsidRDefault="00E906EF" w:rsidP="009265A3">
            <w:r w:rsidRPr="00EB5425">
              <w:t>9.5</w:t>
            </w:r>
            <w:r w:rsidR="004A0922" w:rsidRPr="00EB5425">
              <w:t xml:space="preserve"> Drop</w:t>
            </w:r>
            <w:r w:rsidR="001A2305">
              <w:t xml:space="preserve"> </w:t>
            </w:r>
            <w:r w:rsidR="004A0922" w:rsidRPr="00EB5425">
              <w:t>side load test (and App D)</w:t>
            </w:r>
          </w:p>
        </w:tc>
        <w:tc>
          <w:tcPr>
            <w:tcW w:w="4819" w:type="dxa"/>
          </w:tcPr>
          <w:p w:rsidR="00B00D79" w:rsidRPr="00EB5425" w:rsidRDefault="004A0922" w:rsidP="009265A3">
            <w:r w:rsidRPr="00EB5425">
              <w:t>9.5 Access fastening device and drop</w:t>
            </w:r>
            <w:r w:rsidR="001A2305">
              <w:t xml:space="preserve"> </w:t>
            </w:r>
            <w:r w:rsidRPr="00EB5425">
              <w:t>side mechanism strength test (and App D)</w:t>
            </w:r>
          </w:p>
        </w:tc>
        <w:tc>
          <w:tcPr>
            <w:tcW w:w="1758" w:type="dxa"/>
          </w:tcPr>
          <w:p w:rsidR="00B00D79" w:rsidRPr="00FC7149" w:rsidRDefault="00B00D79" w:rsidP="009265A3">
            <w:pPr>
              <w:rPr>
                <w:b/>
              </w:rPr>
            </w:pPr>
          </w:p>
        </w:tc>
      </w:tr>
      <w:tr w:rsidR="00B00D79" w:rsidRPr="00FC7149" w:rsidTr="0021779E">
        <w:trPr>
          <w:trHeight w:val="616"/>
        </w:trPr>
        <w:tc>
          <w:tcPr>
            <w:tcW w:w="534" w:type="dxa"/>
          </w:tcPr>
          <w:p w:rsidR="00B00D79" w:rsidRPr="00FC7149" w:rsidRDefault="00B00D79" w:rsidP="009265A3">
            <w:pPr>
              <w:rPr>
                <w:b/>
              </w:rPr>
            </w:pPr>
          </w:p>
        </w:tc>
        <w:tc>
          <w:tcPr>
            <w:tcW w:w="2693" w:type="dxa"/>
          </w:tcPr>
          <w:p w:rsidR="00B00D79" w:rsidRPr="009D6EA1" w:rsidRDefault="00B00D79" w:rsidP="00961711">
            <w:pPr>
              <w:autoSpaceDE w:val="0"/>
              <w:autoSpaceDN w:val="0"/>
              <w:adjustRightInd w:val="0"/>
            </w:pPr>
          </w:p>
        </w:tc>
        <w:tc>
          <w:tcPr>
            <w:tcW w:w="4678" w:type="dxa"/>
          </w:tcPr>
          <w:p w:rsidR="00B00D79" w:rsidRPr="00EB5425" w:rsidRDefault="004A0922" w:rsidP="009265A3">
            <w:r w:rsidRPr="00EB5425">
              <w:t>9.6 Durability of the access fastening devices (and App E)</w:t>
            </w:r>
          </w:p>
        </w:tc>
        <w:tc>
          <w:tcPr>
            <w:tcW w:w="4819" w:type="dxa"/>
          </w:tcPr>
          <w:p w:rsidR="00B00D79" w:rsidRPr="00EB5425" w:rsidRDefault="004A0922" w:rsidP="009265A3">
            <w:r w:rsidRPr="00EB5425">
              <w:t>9.6 Access fastening device durability test (and App E)</w:t>
            </w:r>
          </w:p>
        </w:tc>
        <w:tc>
          <w:tcPr>
            <w:tcW w:w="1758" w:type="dxa"/>
          </w:tcPr>
          <w:p w:rsidR="00B00D79" w:rsidRPr="00FC7149" w:rsidRDefault="00B00D79" w:rsidP="009265A3">
            <w:pPr>
              <w:rPr>
                <w:b/>
              </w:rPr>
            </w:pPr>
          </w:p>
        </w:tc>
      </w:tr>
      <w:tr w:rsidR="00B00D79" w:rsidRPr="00FC7149" w:rsidTr="004A0922">
        <w:trPr>
          <w:trHeight w:val="766"/>
        </w:trPr>
        <w:tc>
          <w:tcPr>
            <w:tcW w:w="534" w:type="dxa"/>
          </w:tcPr>
          <w:p w:rsidR="00B00D79" w:rsidRPr="00FC7149" w:rsidRDefault="00B00D79" w:rsidP="009265A3">
            <w:pPr>
              <w:rPr>
                <w:b/>
              </w:rPr>
            </w:pPr>
          </w:p>
        </w:tc>
        <w:tc>
          <w:tcPr>
            <w:tcW w:w="2693" w:type="dxa"/>
          </w:tcPr>
          <w:p w:rsidR="00B00D79" w:rsidRPr="00F20B6B" w:rsidRDefault="00B00D79" w:rsidP="009265A3"/>
        </w:tc>
        <w:tc>
          <w:tcPr>
            <w:tcW w:w="4678" w:type="dxa"/>
          </w:tcPr>
          <w:p w:rsidR="00B00D79" w:rsidRPr="00EB5425" w:rsidRDefault="004A0922" w:rsidP="009265A3">
            <w:r w:rsidRPr="00EB5425">
              <w:t>9.7 Durability of the drop</w:t>
            </w:r>
            <w:r w:rsidR="001A2305">
              <w:t xml:space="preserve"> </w:t>
            </w:r>
            <w:r w:rsidRPr="00EB5425">
              <w:t xml:space="preserve">side mechanism (and App F) </w:t>
            </w:r>
          </w:p>
        </w:tc>
        <w:tc>
          <w:tcPr>
            <w:tcW w:w="4819" w:type="dxa"/>
          </w:tcPr>
          <w:p w:rsidR="00B00D79" w:rsidRPr="00EB5425" w:rsidRDefault="004A0922" w:rsidP="009265A3">
            <w:r w:rsidRPr="00EB5425">
              <w:t>9.7 Drop</w:t>
            </w:r>
            <w:r w:rsidR="001A2305">
              <w:t xml:space="preserve"> </w:t>
            </w:r>
            <w:r w:rsidRPr="00EB5425">
              <w:t>side mechanism durability test (and App F)</w:t>
            </w:r>
          </w:p>
        </w:tc>
        <w:tc>
          <w:tcPr>
            <w:tcW w:w="1758" w:type="dxa"/>
          </w:tcPr>
          <w:p w:rsidR="00B00D79" w:rsidRPr="00FC7149" w:rsidRDefault="00B00D79" w:rsidP="009265A3">
            <w:pPr>
              <w:rPr>
                <w:b/>
              </w:rPr>
            </w:pPr>
          </w:p>
        </w:tc>
      </w:tr>
      <w:tr w:rsidR="00B00D79" w:rsidRPr="00FC7149" w:rsidTr="004A0922">
        <w:trPr>
          <w:trHeight w:val="565"/>
        </w:trPr>
        <w:tc>
          <w:tcPr>
            <w:tcW w:w="534" w:type="dxa"/>
          </w:tcPr>
          <w:p w:rsidR="00B00D79" w:rsidRPr="00FC7149" w:rsidRDefault="00B00D79" w:rsidP="009265A3">
            <w:pPr>
              <w:rPr>
                <w:b/>
              </w:rPr>
            </w:pPr>
          </w:p>
        </w:tc>
        <w:tc>
          <w:tcPr>
            <w:tcW w:w="2693" w:type="dxa"/>
          </w:tcPr>
          <w:p w:rsidR="00B00D79" w:rsidRPr="00D80D6A" w:rsidRDefault="00B00D79" w:rsidP="00FC7149">
            <w:pPr>
              <w:autoSpaceDE w:val="0"/>
              <w:autoSpaceDN w:val="0"/>
              <w:adjustRightInd w:val="0"/>
            </w:pPr>
          </w:p>
        </w:tc>
        <w:tc>
          <w:tcPr>
            <w:tcW w:w="4678" w:type="dxa"/>
          </w:tcPr>
          <w:p w:rsidR="00B00D79" w:rsidRPr="00EB5425" w:rsidRDefault="004A0922" w:rsidP="009265A3">
            <w:r w:rsidRPr="00EB5425">
              <w:t>9.8 Stability test (and App G)</w:t>
            </w:r>
          </w:p>
        </w:tc>
        <w:tc>
          <w:tcPr>
            <w:tcW w:w="4819" w:type="dxa"/>
          </w:tcPr>
          <w:p w:rsidR="00B00D79" w:rsidRPr="00EB5425" w:rsidRDefault="004A0922" w:rsidP="009265A3">
            <w:r w:rsidRPr="00EB5425">
              <w:t>9.8 Stability test (and App</w:t>
            </w:r>
            <w:r w:rsidR="001A2305">
              <w:t xml:space="preserve"> </w:t>
            </w:r>
            <w:r w:rsidRPr="00EB5425">
              <w:t>G)</w:t>
            </w:r>
          </w:p>
        </w:tc>
        <w:tc>
          <w:tcPr>
            <w:tcW w:w="1758" w:type="dxa"/>
          </w:tcPr>
          <w:p w:rsidR="00B00D79" w:rsidRPr="00FC7149" w:rsidRDefault="00B00D79" w:rsidP="009265A3">
            <w:pPr>
              <w:rPr>
                <w:b/>
              </w:rPr>
            </w:pPr>
          </w:p>
        </w:tc>
      </w:tr>
      <w:tr w:rsidR="00B00D79" w:rsidRPr="00FC7149" w:rsidTr="00B00D79">
        <w:trPr>
          <w:trHeight w:val="551"/>
        </w:trPr>
        <w:tc>
          <w:tcPr>
            <w:tcW w:w="534" w:type="dxa"/>
          </w:tcPr>
          <w:p w:rsidR="00B00D79" w:rsidRPr="00FC7149" w:rsidRDefault="00B00D79" w:rsidP="009265A3">
            <w:pPr>
              <w:rPr>
                <w:b/>
              </w:rPr>
            </w:pPr>
          </w:p>
        </w:tc>
        <w:tc>
          <w:tcPr>
            <w:tcW w:w="2693" w:type="dxa"/>
          </w:tcPr>
          <w:p w:rsidR="00B00D79" w:rsidRPr="00F20B6B" w:rsidRDefault="00B00D79" w:rsidP="00011C7B">
            <w:pPr>
              <w:autoSpaceDE w:val="0"/>
              <w:autoSpaceDN w:val="0"/>
              <w:adjustRightInd w:val="0"/>
            </w:pPr>
          </w:p>
        </w:tc>
        <w:tc>
          <w:tcPr>
            <w:tcW w:w="4678" w:type="dxa"/>
          </w:tcPr>
          <w:p w:rsidR="00B00D79" w:rsidRPr="00EB5425" w:rsidRDefault="00EB5425" w:rsidP="009265A3">
            <w:r w:rsidRPr="00EB5425">
              <w:t>-</w:t>
            </w:r>
          </w:p>
        </w:tc>
        <w:tc>
          <w:tcPr>
            <w:tcW w:w="4819" w:type="dxa"/>
          </w:tcPr>
          <w:p w:rsidR="00B00D79" w:rsidRPr="00EB5425" w:rsidRDefault="00EB5425" w:rsidP="009265A3">
            <w:r w:rsidRPr="00EB5425">
              <w:t>9.11 Drop</w:t>
            </w:r>
            <w:r w:rsidR="001A2305">
              <w:t xml:space="preserve"> </w:t>
            </w:r>
            <w:r w:rsidRPr="00EB5425">
              <w:t>side strength test (and App K)</w:t>
            </w:r>
          </w:p>
        </w:tc>
        <w:tc>
          <w:tcPr>
            <w:tcW w:w="1758" w:type="dxa"/>
          </w:tcPr>
          <w:p w:rsidR="00B00D79" w:rsidRPr="00FC7149" w:rsidRDefault="00B00D79" w:rsidP="009265A3">
            <w:pPr>
              <w:rPr>
                <w:b/>
              </w:rPr>
            </w:pPr>
          </w:p>
        </w:tc>
      </w:tr>
      <w:tr w:rsidR="00B00D79" w:rsidRPr="00FC7149" w:rsidTr="00EB5425">
        <w:trPr>
          <w:trHeight w:val="567"/>
        </w:trPr>
        <w:tc>
          <w:tcPr>
            <w:tcW w:w="534" w:type="dxa"/>
          </w:tcPr>
          <w:p w:rsidR="00B00D79" w:rsidRPr="00FC7149" w:rsidRDefault="00B00D79" w:rsidP="009265A3">
            <w:pPr>
              <w:rPr>
                <w:b/>
              </w:rPr>
            </w:pPr>
          </w:p>
        </w:tc>
        <w:tc>
          <w:tcPr>
            <w:tcW w:w="2693" w:type="dxa"/>
          </w:tcPr>
          <w:p w:rsidR="00B00D79" w:rsidRPr="00D80D6A" w:rsidRDefault="00B00D79" w:rsidP="00A67418">
            <w:pPr>
              <w:autoSpaceDE w:val="0"/>
              <w:autoSpaceDN w:val="0"/>
              <w:adjustRightInd w:val="0"/>
            </w:pPr>
          </w:p>
        </w:tc>
        <w:tc>
          <w:tcPr>
            <w:tcW w:w="4678" w:type="dxa"/>
          </w:tcPr>
          <w:p w:rsidR="00B00D79" w:rsidRPr="00EB5425" w:rsidRDefault="00EB5425" w:rsidP="009265A3">
            <w:r w:rsidRPr="00EB5425">
              <w:t>-</w:t>
            </w:r>
          </w:p>
        </w:tc>
        <w:tc>
          <w:tcPr>
            <w:tcW w:w="4819" w:type="dxa"/>
          </w:tcPr>
          <w:p w:rsidR="00B00D79" w:rsidRPr="00EB5425" w:rsidRDefault="00EB5425" w:rsidP="009265A3">
            <w:r w:rsidRPr="00EB5425">
              <w:t xml:space="preserve">9.12 Mattress or other sleep surface firmness test </w:t>
            </w:r>
          </w:p>
        </w:tc>
        <w:tc>
          <w:tcPr>
            <w:tcW w:w="1758" w:type="dxa"/>
          </w:tcPr>
          <w:p w:rsidR="00B00D79" w:rsidRPr="00FC7149" w:rsidRDefault="00B00D79" w:rsidP="009265A3">
            <w:pPr>
              <w:rPr>
                <w:b/>
              </w:rPr>
            </w:pPr>
          </w:p>
        </w:tc>
      </w:tr>
      <w:tr w:rsidR="00EB5425" w:rsidRPr="00FC7149" w:rsidTr="00EB5425">
        <w:trPr>
          <w:trHeight w:val="561"/>
        </w:trPr>
        <w:tc>
          <w:tcPr>
            <w:tcW w:w="534" w:type="dxa"/>
          </w:tcPr>
          <w:p w:rsidR="00EB5425" w:rsidRPr="00FC7149" w:rsidRDefault="00EB5425" w:rsidP="009265A3">
            <w:pPr>
              <w:rPr>
                <w:b/>
              </w:rPr>
            </w:pPr>
            <w:r>
              <w:rPr>
                <w:b/>
              </w:rPr>
              <w:t>3</w:t>
            </w:r>
          </w:p>
        </w:tc>
        <w:tc>
          <w:tcPr>
            <w:tcW w:w="2693" w:type="dxa"/>
          </w:tcPr>
          <w:p w:rsidR="00EB5425" w:rsidRPr="00D80D6A" w:rsidRDefault="00EB5425" w:rsidP="00A67418">
            <w:pPr>
              <w:autoSpaceDE w:val="0"/>
              <w:autoSpaceDN w:val="0"/>
              <w:adjustRightInd w:val="0"/>
            </w:pPr>
            <w:r>
              <w:t>Informative labelling</w:t>
            </w:r>
          </w:p>
        </w:tc>
        <w:tc>
          <w:tcPr>
            <w:tcW w:w="4678" w:type="dxa"/>
          </w:tcPr>
          <w:p w:rsidR="00EB5425" w:rsidRPr="00EB5425" w:rsidRDefault="00EB5425" w:rsidP="00EB5425">
            <w:r w:rsidRPr="00EB5425">
              <w:t>11.2 Information on swing tag or label</w:t>
            </w:r>
          </w:p>
          <w:p w:rsidR="00EB5425" w:rsidRPr="00EB5425" w:rsidRDefault="00EB5425" w:rsidP="00EB5425"/>
        </w:tc>
        <w:tc>
          <w:tcPr>
            <w:tcW w:w="4819" w:type="dxa"/>
          </w:tcPr>
          <w:p w:rsidR="00EB5425" w:rsidRPr="00EB5425" w:rsidRDefault="00EB5425" w:rsidP="009265A3">
            <w:r w:rsidRPr="00EB5425">
              <w:t>-</w:t>
            </w:r>
          </w:p>
          <w:p w:rsidR="00EB5425" w:rsidRPr="00EB5425" w:rsidRDefault="00EB5425" w:rsidP="009265A3"/>
        </w:tc>
        <w:tc>
          <w:tcPr>
            <w:tcW w:w="1758" w:type="dxa"/>
          </w:tcPr>
          <w:p w:rsidR="00EB5425" w:rsidRPr="00FC7149" w:rsidRDefault="00EB5425" w:rsidP="009265A3">
            <w:pPr>
              <w:rPr>
                <w:b/>
              </w:rPr>
            </w:pPr>
          </w:p>
        </w:tc>
      </w:tr>
    </w:tbl>
    <w:p w:rsidR="007019C6" w:rsidRDefault="007019C6" w:rsidP="0065239D">
      <w:pPr>
        <w:rPr>
          <w:rFonts w:ascii="Arial" w:hAnsi="Arial" w:cs="Arial"/>
          <w:b/>
          <w:sz w:val="28"/>
          <w:szCs w:val="28"/>
        </w:rPr>
      </w:pPr>
    </w:p>
    <w:p w:rsidR="002404A8" w:rsidRDefault="002404A8" w:rsidP="0065239D">
      <w:pPr>
        <w:rPr>
          <w:rFonts w:ascii="Arial" w:hAnsi="Arial" w:cs="Arial"/>
          <w:b/>
          <w:sz w:val="28"/>
          <w:szCs w:val="28"/>
        </w:rPr>
      </w:pPr>
    </w:p>
    <w:p w:rsidR="002404A8" w:rsidRDefault="002404A8" w:rsidP="0065239D">
      <w:pPr>
        <w:rPr>
          <w:rFonts w:ascii="Arial" w:hAnsi="Arial" w:cs="Arial"/>
          <w:b/>
          <w:sz w:val="28"/>
          <w:szCs w:val="28"/>
        </w:rPr>
      </w:pPr>
    </w:p>
    <w:p w:rsidR="002404A8" w:rsidRPr="008352B9" w:rsidRDefault="002404A8" w:rsidP="0065239D">
      <w:pPr>
        <w:rPr>
          <w:rFonts w:cs="Calibri"/>
          <w:b/>
        </w:rPr>
      </w:pPr>
      <w:r w:rsidRPr="008352B9">
        <w:rPr>
          <w:rFonts w:cs="Calibri"/>
          <w:b/>
        </w:rPr>
        <w:t>The use of the ACCC’s Consultation Hub (</w:t>
      </w:r>
      <w:hyperlink r:id="rId16" w:history="1">
        <w:r w:rsidRPr="008352B9">
          <w:rPr>
            <w:rStyle w:val="Hyperlink"/>
            <w:rFonts w:cs="Calibri"/>
            <w:b/>
          </w:rPr>
          <w:t>www.consultation.accc.gov.au</w:t>
        </w:r>
      </w:hyperlink>
      <w:r w:rsidRPr="008352B9">
        <w:rPr>
          <w:rFonts w:cs="Calibri"/>
          <w:b/>
        </w:rPr>
        <w:t>) by stakeholders in providing responses is encouraged.</w:t>
      </w:r>
    </w:p>
    <w:p w:rsidR="002404A8" w:rsidRPr="008352B9" w:rsidRDefault="002404A8" w:rsidP="0065239D">
      <w:pPr>
        <w:rPr>
          <w:rFonts w:cs="Calibri"/>
          <w:b/>
        </w:rPr>
      </w:pPr>
    </w:p>
    <w:p w:rsidR="002404A8" w:rsidRPr="008352B9" w:rsidRDefault="002404A8" w:rsidP="0065239D">
      <w:pPr>
        <w:rPr>
          <w:rFonts w:cs="Calibri"/>
          <w:b/>
        </w:rPr>
      </w:pPr>
      <w:r w:rsidRPr="008352B9">
        <w:rPr>
          <w:rFonts w:cs="Calibri"/>
          <w:b/>
        </w:rPr>
        <w:t>For convenience and ease of reference, the key questions posed on the Hub are replicated below.</w:t>
      </w:r>
    </w:p>
    <w:p w:rsidR="002404A8" w:rsidRPr="008352B9" w:rsidRDefault="002404A8" w:rsidP="0065239D">
      <w:pPr>
        <w:rPr>
          <w:rFonts w:cs="Calibri"/>
          <w:b/>
        </w:rPr>
      </w:pPr>
    </w:p>
    <w:p w:rsidR="002404A8" w:rsidRPr="008352B9" w:rsidRDefault="002404A8" w:rsidP="002E34CB">
      <w:pPr>
        <w:numPr>
          <w:ilvl w:val="0"/>
          <w:numId w:val="15"/>
        </w:numPr>
        <w:rPr>
          <w:rFonts w:cs="Calibri"/>
        </w:rPr>
      </w:pPr>
      <w:r w:rsidRPr="008352B9">
        <w:rPr>
          <w:rFonts w:cs="Calibri"/>
        </w:rPr>
        <w:t>Do you support all of the proposals listed in Appendix A of the consultation paper, being: reference to the new definitions (‘accessible the child’, ‘sleep surface’ and ‘within the cot’); the range of new strength and integrity tests in various clauses under clause 9 (and related appendices) and removal of swing tag requirements?</w:t>
      </w:r>
    </w:p>
    <w:p w:rsidR="002404A8" w:rsidRPr="008352B9" w:rsidRDefault="002404A8" w:rsidP="002E34CB">
      <w:pPr>
        <w:numPr>
          <w:ilvl w:val="0"/>
          <w:numId w:val="15"/>
        </w:numPr>
        <w:rPr>
          <w:rFonts w:cs="Calibri"/>
        </w:rPr>
      </w:pPr>
      <w:r w:rsidRPr="008352B9">
        <w:rPr>
          <w:rFonts w:cs="Calibri"/>
        </w:rPr>
        <w:t>Do you support some of the options in Appendix A of the consultation paper and if so which ones?</w:t>
      </w:r>
    </w:p>
    <w:p w:rsidR="002404A8" w:rsidRPr="008352B9" w:rsidRDefault="002404A8" w:rsidP="002E34CB">
      <w:pPr>
        <w:numPr>
          <w:ilvl w:val="0"/>
          <w:numId w:val="15"/>
        </w:numPr>
        <w:rPr>
          <w:rFonts w:cs="Calibri"/>
        </w:rPr>
      </w:pPr>
      <w:r w:rsidRPr="008352B9">
        <w:rPr>
          <w:rFonts w:cs="Calibri"/>
        </w:rPr>
        <w:t>Do you support introducing the various clauses from the voluntary standard AS/NZS 2172:2013 relating to the strength and integrity of drop sides and the revised entrapment clauses into the mandatory standard?</w:t>
      </w:r>
    </w:p>
    <w:p w:rsidR="002404A8" w:rsidRPr="008352B9" w:rsidRDefault="002404A8" w:rsidP="002E34CB">
      <w:pPr>
        <w:numPr>
          <w:ilvl w:val="0"/>
          <w:numId w:val="15"/>
        </w:numPr>
        <w:rPr>
          <w:rFonts w:cs="Calibri"/>
        </w:rPr>
      </w:pPr>
      <w:r w:rsidRPr="008352B9">
        <w:rPr>
          <w:rFonts w:cs="Calibri"/>
        </w:rPr>
        <w:t xml:space="preserve">Do you have any comments on the introduction of </w:t>
      </w:r>
      <w:r w:rsidR="002A274B" w:rsidRPr="008352B9">
        <w:rPr>
          <w:rFonts w:cs="Calibri"/>
        </w:rPr>
        <w:t>these performance requirements into the mandatory standard? Are these revised requirements sufficient?</w:t>
      </w:r>
    </w:p>
    <w:p w:rsidR="002A274B" w:rsidRPr="008352B9" w:rsidRDefault="002A274B" w:rsidP="002E34CB">
      <w:pPr>
        <w:numPr>
          <w:ilvl w:val="0"/>
          <w:numId w:val="15"/>
        </w:numPr>
        <w:rPr>
          <w:rFonts w:cs="Calibri"/>
        </w:rPr>
      </w:pPr>
      <w:r w:rsidRPr="008352B9">
        <w:rPr>
          <w:rFonts w:cs="Calibri"/>
        </w:rPr>
        <w:t>(Several clauses of the mandatory standard remain unchanged).</w:t>
      </w:r>
      <w:r w:rsidR="0017101B">
        <w:rPr>
          <w:rFonts w:cs="Calibri"/>
        </w:rPr>
        <w:t xml:space="preserve"> </w:t>
      </w:r>
      <w:r w:rsidRPr="008352B9">
        <w:rPr>
          <w:rFonts w:cs="Calibri"/>
        </w:rPr>
        <w:t xml:space="preserve">Do you support </w:t>
      </w:r>
      <w:r w:rsidR="00794F28">
        <w:rPr>
          <w:rFonts w:cs="Calibri"/>
        </w:rPr>
        <w:t>t</w:t>
      </w:r>
      <w:r w:rsidRPr="008352B9">
        <w:rPr>
          <w:rFonts w:cs="Calibri"/>
        </w:rPr>
        <w:t>he continuation of the inclusion of the existing clauses in the mandatory standard?</w:t>
      </w:r>
    </w:p>
    <w:p w:rsidR="002A274B" w:rsidRPr="008352B9" w:rsidRDefault="002A274B" w:rsidP="002E34CB">
      <w:pPr>
        <w:numPr>
          <w:ilvl w:val="0"/>
          <w:numId w:val="15"/>
        </w:numPr>
        <w:rPr>
          <w:rFonts w:cs="Calibri"/>
        </w:rPr>
      </w:pPr>
      <w:r w:rsidRPr="008352B9">
        <w:rPr>
          <w:rFonts w:cs="Calibri"/>
        </w:rPr>
        <w:t>Do you have any other comments about the requirements of a revised Consumer Protection Notice referencing the Australian standard for household cots AS/NZS 2172? Are there other issues which you believe should be part of the mandatory standard?</w:t>
      </w:r>
    </w:p>
    <w:p w:rsidR="002A274B" w:rsidRDefault="002A274B" w:rsidP="002E34CB">
      <w:pPr>
        <w:numPr>
          <w:ilvl w:val="0"/>
          <w:numId w:val="15"/>
        </w:numPr>
        <w:rPr>
          <w:rFonts w:cs="Calibri"/>
        </w:rPr>
      </w:pPr>
      <w:r w:rsidRPr="008352B9">
        <w:rPr>
          <w:rFonts w:cs="Calibri"/>
        </w:rPr>
        <w:t>Do you agree with the proposal to remove the swing tag or label requirement from the mandatory standard?</w:t>
      </w:r>
    </w:p>
    <w:p w:rsidR="002E44E6" w:rsidRPr="008352B9" w:rsidRDefault="002E44E6" w:rsidP="002E34CB">
      <w:pPr>
        <w:numPr>
          <w:ilvl w:val="0"/>
          <w:numId w:val="15"/>
        </w:numPr>
        <w:rPr>
          <w:rFonts w:cs="Calibri"/>
        </w:rPr>
      </w:pPr>
      <w:r>
        <w:rPr>
          <w:rFonts w:cs="Calibri"/>
        </w:rPr>
        <w:t>Would you like to make any comments on whether the regulatory changes will create any additional compliance costs for your business?  If so, would these be greater than any costs associated with the current voluntary standard?</w:t>
      </w:r>
      <w:r w:rsidR="00477C17">
        <w:rPr>
          <w:rFonts w:cs="Calibri"/>
        </w:rPr>
        <w:t xml:space="preserve"> How would you quantify the costs?</w:t>
      </w:r>
    </w:p>
    <w:p w:rsidR="002404A8" w:rsidRPr="008352B9" w:rsidRDefault="002404A8" w:rsidP="002404A8">
      <w:pPr>
        <w:rPr>
          <w:rFonts w:cs="Calibri"/>
        </w:rPr>
      </w:pPr>
    </w:p>
    <w:p w:rsidR="002404A8" w:rsidRPr="008352B9" w:rsidRDefault="002404A8" w:rsidP="00071F84">
      <w:pPr>
        <w:ind w:left="720"/>
        <w:rPr>
          <w:rFonts w:cs="Calibri"/>
        </w:rPr>
        <w:sectPr w:rsidR="002404A8" w:rsidRPr="008352B9" w:rsidSect="007019C6">
          <w:pgSz w:w="16838" w:h="11906" w:orient="landscape"/>
          <w:pgMar w:top="1440" w:right="1440" w:bottom="1440" w:left="1440" w:header="708" w:footer="708" w:gutter="0"/>
          <w:cols w:space="708"/>
          <w:docGrid w:linePitch="360"/>
        </w:sectPr>
      </w:pPr>
    </w:p>
    <w:p w:rsidR="0065239D" w:rsidRPr="004273F1" w:rsidRDefault="0065239D" w:rsidP="00F42065">
      <w:pPr>
        <w:pStyle w:val="Heading1"/>
      </w:pPr>
      <w:bookmarkStart w:id="181" w:name="_Toc361729973"/>
      <w:bookmarkStart w:id="182" w:name="_Toc367800198"/>
      <w:bookmarkStart w:id="183" w:name="_Toc367800421"/>
      <w:bookmarkStart w:id="184" w:name="_Toc367800984"/>
      <w:bookmarkStart w:id="185" w:name="_Toc367801250"/>
      <w:bookmarkStart w:id="186" w:name="_Toc367801451"/>
      <w:bookmarkStart w:id="187" w:name="_Toc367801642"/>
      <w:bookmarkStart w:id="188" w:name="_Toc367801765"/>
      <w:r w:rsidRPr="004273F1">
        <w:lastRenderedPageBreak/>
        <w:t xml:space="preserve">Appendix </w:t>
      </w:r>
      <w:r w:rsidR="00A27C0A" w:rsidRPr="004273F1">
        <w:t>B</w:t>
      </w:r>
      <w:r w:rsidR="000B14B7" w:rsidRPr="004273F1">
        <w:t xml:space="preserve">- </w:t>
      </w:r>
      <w:r w:rsidR="00B166ED" w:rsidRPr="004273F1">
        <w:t>Summary of cot recalls</w:t>
      </w:r>
      <w:r w:rsidR="004955D1" w:rsidRPr="004273F1">
        <w:t xml:space="preserve"> and enforcement actions</w:t>
      </w:r>
      <w:bookmarkEnd w:id="181"/>
      <w:bookmarkEnd w:id="182"/>
      <w:bookmarkEnd w:id="183"/>
      <w:bookmarkEnd w:id="184"/>
      <w:bookmarkEnd w:id="185"/>
      <w:bookmarkEnd w:id="186"/>
      <w:bookmarkEnd w:id="187"/>
      <w:bookmarkEnd w:id="188"/>
    </w:p>
    <w:p w:rsidR="004955D1" w:rsidRDefault="004955D1" w:rsidP="004955D1">
      <w:pPr>
        <w:pStyle w:val="Heading3"/>
      </w:pPr>
      <w:bookmarkStart w:id="189" w:name="_Toc361729974"/>
      <w:bookmarkStart w:id="190" w:name="_Toc367800199"/>
      <w:bookmarkStart w:id="191" w:name="_Toc367800422"/>
      <w:bookmarkStart w:id="192" w:name="_Toc367801251"/>
      <w:r>
        <w:t>Recalls</w:t>
      </w:r>
      <w:bookmarkEnd w:id="189"/>
      <w:bookmarkEnd w:id="190"/>
      <w:bookmarkEnd w:id="191"/>
      <w:bookmarkEnd w:id="192"/>
    </w:p>
    <w:p w:rsidR="00CB7475" w:rsidRPr="0011651C" w:rsidRDefault="00CB7475" w:rsidP="00CB7475">
      <w:pPr>
        <w:rPr>
          <w:b/>
        </w:rPr>
      </w:pPr>
      <w:r w:rsidRPr="0011651C">
        <w:rPr>
          <w:b/>
        </w:rPr>
        <w:t>Year</w:t>
      </w:r>
      <w:r w:rsidRPr="0011651C">
        <w:rPr>
          <w:b/>
        </w:rPr>
        <w:tab/>
        <w:t>Supplier and model</w:t>
      </w:r>
      <w:r w:rsidRPr="0011651C">
        <w:rPr>
          <w:b/>
        </w:rPr>
        <w:tab/>
      </w:r>
      <w:r w:rsidRPr="0011651C">
        <w:rPr>
          <w:b/>
        </w:rPr>
        <w:tab/>
      </w:r>
      <w:r w:rsidRPr="0011651C">
        <w:rPr>
          <w:b/>
        </w:rPr>
        <w:tab/>
      </w:r>
      <w:r w:rsidRPr="0011651C">
        <w:rPr>
          <w:b/>
        </w:rPr>
        <w:tab/>
      </w:r>
      <w:r w:rsidRPr="0011651C">
        <w:rPr>
          <w:b/>
        </w:rPr>
        <w:tab/>
        <w:t>Issues</w:t>
      </w:r>
    </w:p>
    <w:p w:rsidR="00CB7475" w:rsidRDefault="00CB7475" w:rsidP="00CB7475"/>
    <w:p w:rsidR="00CB7475" w:rsidRDefault="00CB7475" w:rsidP="00CB7475">
      <w:r>
        <w:t>1998</w:t>
      </w:r>
      <w:r>
        <w:tab/>
        <w:t>Target- Metro and Abbotsford cots</w:t>
      </w:r>
      <w:r>
        <w:tab/>
      </w:r>
      <w:r>
        <w:tab/>
      </w:r>
      <w:r w:rsidR="004A01C5">
        <w:tab/>
      </w:r>
      <w:r w:rsidR="00E316E0">
        <w:t>Rails in drop</w:t>
      </w:r>
      <w:r w:rsidR="001A78F8">
        <w:t xml:space="preserve"> </w:t>
      </w:r>
      <w:r w:rsidR="00E316E0">
        <w:t>side loosening (glue)</w:t>
      </w:r>
    </w:p>
    <w:p w:rsidR="00CB7475" w:rsidRDefault="00CB7475" w:rsidP="00CB7475">
      <w:r>
        <w:tab/>
        <w:t>Australian Nursery Distributors- Contemporary</w:t>
      </w:r>
      <w:r w:rsidR="00E316E0">
        <w:tab/>
      </w:r>
      <w:r w:rsidR="00E316E0">
        <w:tab/>
        <w:t>Entrapment- rail and base</w:t>
      </w:r>
    </w:p>
    <w:p w:rsidR="00CB7475" w:rsidRDefault="00CB7475" w:rsidP="00CB7475">
      <w:r>
        <w:tab/>
      </w:r>
      <w:proofErr w:type="gramStart"/>
      <w:r>
        <w:t>and</w:t>
      </w:r>
      <w:proofErr w:type="gramEnd"/>
      <w:r>
        <w:t xml:space="preserve"> San Remo cot</w:t>
      </w:r>
      <w:r>
        <w:tab/>
      </w:r>
      <w:r>
        <w:tab/>
      </w:r>
      <w:r>
        <w:tab/>
      </w:r>
      <w:r>
        <w:tab/>
      </w:r>
    </w:p>
    <w:p w:rsidR="00CB7475" w:rsidRDefault="00CB7475" w:rsidP="00CB7475"/>
    <w:p w:rsidR="00CB7475" w:rsidRDefault="00CB7475" w:rsidP="00CB7475">
      <w:r>
        <w:t>1999</w:t>
      </w:r>
      <w:r>
        <w:tab/>
        <w:t>Endeavour Emily cot</w:t>
      </w:r>
      <w:r>
        <w:tab/>
      </w:r>
      <w:r>
        <w:tab/>
      </w:r>
      <w:r>
        <w:tab/>
      </w:r>
      <w:r>
        <w:tab/>
      </w:r>
      <w:r>
        <w:tab/>
      </w:r>
      <w:r w:rsidR="00E316E0">
        <w:t>Drop side slats detaching</w:t>
      </w:r>
    </w:p>
    <w:p w:rsidR="00CB7475" w:rsidRDefault="00CB7475" w:rsidP="00CB7475"/>
    <w:p w:rsidR="00CB7475" w:rsidRDefault="00CB7475" w:rsidP="00CB7475">
      <w:r>
        <w:t>2003</w:t>
      </w:r>
      <w:r>
        <w:tab/>
      </w:r>
      <w:proofErr w:type="spellStart"/>
      <w:r>
        <w:t>BabyLove</w:t>
      </w:r>
      <w:proofErr w:type="spellEnd"/>
      <w:r>
        <w:t>- Wooden cot</w:t>
      </w:r>
      <w:r>
        <w:tab/>
      </w:r>
      <w:r>
        <w:tab/>
      </w:r>
      <w:r>
        <w:tab/>
      </w:r>
      <w:r>
        <w:tab/>
      </w:r>
      <w:r>
        <w:tab/>
      </w:r>
      <w:r w:rsidR="00E316E0">
        <w:t>Protrusions</w:t>
      </w:r>
    </w:p>
    <w:p w:rsidR="00CB7475" w:rsidRDefault="00CB7475" w:rsidP="00CB7475">
      <w:r>
        <w:tab/>
      </w:r>
      <w:proofErr w:type="spellStart"/>
      <w:r>
        <w:t>GroYears</w:t>
      </w:r>
      <w:proofErr w:type="spellEnd"/>
      <w:proofErr w:type="gramStart"/>
      <w:r>
        <w:t>-  Infant</w:t>
      </w:r>
      <w:proofErr w:type="gramEnd"/>
      <w:r>
        <w:t xml:space="preserve"> cot</w:t>
      </w:r>
      <w:r>
        <w:tab/>
      </w:r>
      <w:r>
        <w:tab/>
      </w:r>
      <w:r>
        <w:tab/>
      </w:r>
      <w:r>
        <w:tab/>
      </w:r>
      <w:r>
        <w:tab/>
      </w:r>
      <w:r w:rsidR="00E316E0">
        <w:t>Small parts</w:t>
      </w:r>
    </w:p>
    <w:p w:rsidR="00CB7475" w:rsidRDefault="00CB7475" w:rsidP="00CB7475"/>
    <w:p w:rsidR="00CB7475" w:rsidRDefault="00CB7475" w:rsidP="00CB7475">
      <w:r>
        <w:t>2004</w:t>
      </w:r>
      <w:r>
        <w:tab/>
      </w:r>
      <w:proofErr w:type="spellStart"/>
      <w:r>
        <w:t>Boori</w:t>
      </w:r>
      <w:proofErr w:type="spellEnd"/>
      <w:r>
        <w:t>- Paddington cot</w:t>
      </w:r>
      <w:r>
        <w:tab/>
      </w:r>
      <w:r>
        <w:tab/>
      </w:r>
      <w:r>
        <w:tab/>
      </w:r>
      <w:r>
        <w:tab/>
      </w:r>
      <w:r>
        <w:tab/>
      </w:r>
      <w:r w:rsidR="00E316E0">
        <w:t>Assembly- wrong assembly</w:t>
      </w:r>
    </w:p>
    <w:p w:rsidR="00CB7475" w:rsidRDefault="00CB7475" w:rsidP="00CB7475"/>
    <w:p w:rsidR="00CB7475" w:rsidRDefault="00CB7475" w:rsidP="00CB7475">
      <w:r>
        <w:t>2005</w:t>
      </w:r>
      <w:r>
        <w:tab/>
        <w:t>Skippy Australia- cot model 507 and 512</w:t>
      </w:r>
      <w:r>
        <w:tab/>
      </w:r>
      <w:r>
        <w:tab/>
      </w:r>
      <w:r>
        <w:tab/>
      </w:r>
      <w:proofErr w:type="gramStart"/>
      <w:r w:rsidR="00E316E0">
        <w:t>Multiple</w:t>
      </w:r>
      <w:proofErr w:type="gramEnd"/>
      <w:r w:rsidR="00E316E0">
        <w:t xml:space="preserve"> issues</w:t>
      </w:r>
      <w:r>
        <w:tab/>
      </w:r>
    </w:p>
    <w:p w:rsidR="00CB7475" w:rsidRDefault="00CB7475" w:rsidP="00CB7475"/>
    <w:p w:rsidR="00CB7475" w:rsidRDefault="00CB7475" w:rsidP="00CB7475">
      <w:r>
        <w:t>2006</w:t>
      </w:r>
      <w:r>
        <w:tab/>
        <w:t>34 Degrees South- Home Creation cot</w:t>
      </w:r>
      <w:r>
        <w:tab/>
      </w:r>
      <w:r>
        <w:tab/>
      </w:r>
      <w:r>
        <w:tab/>
      </w:r>
      <w:r w:rsidR="00E316E0">
        <w:t>Mattress size info incorrect</w:t>
      </w:r>
    </w:p>
    <w:p w:rsidR="00CB7475" w:rsidRDefault="00CB7475" w:rsidP="00CB7475">
      <w:r>
        <w:tab/>
        <w:t>Oz Auction- Wooden cot</w:t>
      </w:r>
      <w:r>
        <w:tab/>
      </w:r>
      <w:r>
        <w:tab/>
      </w:r>
      <w:r>
        <w:tab/>
      </w:r>
      <w:r>
        <w:tab/>
      </w:r>
      <w:r w:rsidR="00E316E0">
        <w:t>Multiple issues</w:t>
      </w:r>
    </w:p>
    <w:p w:rsidR="00CB7475" w:rsidRDefault="00CB7475" w:rsidP="00CB7475"/>
    <w:p w:rsidR="00CB7475" w:rsidRDefault="00CB7475" w:rsidP="00CB7475">
      <w:r>
        <w:t>2007</w:t>
      </w:r>
      <w:r>
        <w:tab/>
        <w:t>IGC Dorel- Mothers choice cot mattress</w:t>
      </w:r>
      <w:r>
        <w:tab/>
      </w:r>
      <w:r>
        <w:tab/>
      </w:r>
      <w:r>
        <w:tab/>
      </w:r>
      <w:proofErr w:type="spellStart"/>
      <w:r w:rsidR="00E316E0">
        <w:t>Mattress</w:t>
      </w:r>
      <w:proofErr w:type="spellEnd"/>
      <w:r w:rsidR="00E316E0">
        <w:t xml:space="preserve"> size info incorrect</w:t>
      </w:r>
    </w:p>
    <w:p w:rsidR="00CB7475" w:rsidRDefault="00CB7475" w:rsidP="00CB7475"/>
    <w:p w:rsidR="00CB7475" w:rsidRDefault="00CB7475" w:rsidP="00071F84">
      <w:r>
        <w:t>2008</w:t>
      </w:r>
      <w:r>
        <w:tab/>
        <w:t>DVN- Pinewood cot</w:t>
      </w:r>
      <w:r>
        <w:tab/>
      </w:r>
      <w:r>
        <w:tab/>
      </w:r>
      <w:r>
        <w:tab/>
      </w:r>
      <w:r>
        <w:tab/>
      </w:r>
      <w:r>
        <w:tab/>
      </w:r>
      <w:r w:rsidR="00071F84">
        <w:t xml:space="preserve">Dimensional and </w:t>
      </w:r>
    </w:p>
    <w:p w:rsidR="00071F84" w:rsidRDefault="00071F84" w:rsidP="00071F84">
      <w:r>
        <w:tab/>
      </w:r>
      <w:r>
        <w:tab/>
      </w:r>
      <w:r>
        <w:tab/>
      </w:r>
      <w:r>
        <w:tab/>
      </w:r>
      <w:r>
        <w:tab/>
      </w:r>
      <w:r>
        <w:tab/>
      </w:r>
      <w:r>
        <w:tab/>
      </w:r>
      <w:r>
        <w:tab/>
        <w:t>Informational issues</w:t>
      </w:r>
    </w:p>
    <w:p w:rsidR="00CB7475" w:rsidRDefault="00CB7475" w:rsidP="00CB7475"/>
    <w:p w:rsidR="00CB7475" w:rsidRDefault="00CB7475" w:rsidP="00CB7475">
      <w:r>
        <w:t>2009</w:t>
      </w:r>
      <w:r>
        <w:tab/>
        <w:t>IGC Dorel- Kensington cot</w:t>
      </w:r>
      <w:r>
        <w:tab/>
      </w:r>
      <w:r>
        <w:tab/>
      </w:r>
      <w:r>
        <w:tab/>
      </w:r>
      <w:r w:rsidR="00E316E0">
        <w:tab/>
        <w:t>Slats loosening</w:t>
      </w:r>
    </w:p>
    <w:p w:rsidR="00CB7475" w:rsidRDefault="00CB7475" w:rsidP="00CB7475"/>
    <w:p w:rsidR="00CB7475" w:rsidRDefault="00CB7475" w:rsidP="00CB7475">
      <w:r>
        <w:t>2011</w:t>
      </w:r>
      <w:r>
        <w:tab/>
      </w:r>
      <w:proofErr w:type="spellStart"/>
      <w:r>
        <w:t>Boori</w:t>
      </w:r>
      <w:proofErr w:type="spellEnd"/>
      <w:r>
        <w:t xml:space="preserve">- </w:t>
      </w:r>
      <w:proofErr w:type="spellStart"/>
      <w:r>
        <w:t>Kingparrot</w:t>
      </w:r>
      <w:proofErr w:type="spellEnd"/>
      <w:r>
        <w:t xml:space="preserve"> cot mattress</w:t>
      </w:r>
      <w:r>
        <w:tab/>
      </w:r>
      <w:r>
        <w:tab/>
      </w:r>
      <w:r>
        <w:tab/>
      </w:r>
      <w:r>
        <w:tab/>
      </w:r>
      <w:proofErr w:type="spellStart"/>
      <w:r w:rsidR="00E316E0">
        <w:t>Mattress</w:t>
      </w:r>
      <w:proofErr w:type="spellEnd"/>
      <w:r w:rsidR="00E316E0">
        <w:t xml:space="preserve"> size incorrect</w:t>
      </w:r>
    </w:p>
    <w:p w:rsidR="00CB7475" w:rsidRDefault="00CB7475" w:rsidP="00CB7475">
      <w:r>
        <w:tab/>
        <w:t xml:space="preserve">Bobby </w:t>
      </w:r>
      <w:proofErr w:type="spellStart"/>
      <w:r>
        <w:t>Bebe</w:t>
      </w:r>
      <w:proofErr w:type="spellEnd"/>
      <w:r>
        <w:t>- Tee Baby Rimu cot</w:t>
      </w:r>
      <w:r>
        <w:tab/>
      </w:r>
      <w:r>
        <w:tab/>
      </w:r>
      <w:r>
        <w:tab/>
      </w:r>
      <w:r>
        <w:tab/>
      </w:r>
      <w:r w:rsidR="00E316E0">
        <w:t>Entrapment gaps</w:t>
      </w:r>
    </w:p>
    <w:p w:rsidR="00CB7475" w:rsidRDefault="00CB7475" w:rsidP="00CB7475"/>
    <w:p w:rsidR="00CB7475" w:rsidRDefault="00CB7475" w:rsidP="00CB7475">
      <w:proofErr w:type="gramStart"/>
      <w:r>
        <w:t>2012</w:t>
      </w:r>
      <w:r>
        <w:tab/>
        <w:t>Super A Mart- Sweet Dream</w:t>
      </w:r>
      <w:proofErr w:type="gramEnd"/>
      <w:r>
        <w:t xml:space="preserve"> cot and mattress</w:t>
      </w:r>
      <w:r w:rsidR="00E316E0">
        <w:tab/>
      </w:r>
      <w:r w:rsidR="00E316E0">
        <w:tab/>
      </w:r>
      <w:proofErr w:type="spellStart"/>
      <w:r w:rsidR="00E316E0">
        <w:t>Mattress</w:t>
      </w:r>
      <w:proofErr w:type="spellEnd"/>
      <w:r w:rsidR="00E316E0">
        <w:t xml:space="preserve"> size issues</w:t>
      </w:r>
    </w:p>
    <w:p w:rsidR="00BA1CDE" w:rsidRDefault="00BA1CDE" w:rsidP="00CB7475"/>
    <w:p w:rsidR="00BA1CDE" w:rsidRDefault="00BA1CDE" w:rsidP="00CB7475">
      <w:r>
        <w:t xml:space="preserve">2013 </w:t>
      </w:r>
      <w:r>
        <w:tab/>
      </w:r>
      <w:proofErr w:type="spellStart"/>
      <w:r>
        <w:t>Incy</w:t>
      </w:r>
      <w:proofErr w:type="spellEnd"/>
      <w:r>
        <w:t xml:space="preserve"> Interiors- 5 models</w:t>
      </w:r>
      <w:r>
        <w:tab/>
      </w:r>
      <w:r>
        <w:tab/>
      </w:r>
      <w:r>
        <w:tab/>
      </w:r>
      <w:r>
        <w:tab/>
      </w:r>
      <w:r>
        <w:tab/>
        <w:t>Gaps and entrapment issues</w:t>
      </w:r>
    </w:p>
    <w:p w:rsidR="00B06E49" w:rsidRDefault="00B06E49" w:rsidP="00CB7475">
      <w:r>
        <w:tab/>
        <w:t>Oz Plaza Living- Wooden Sleigh 3 in 1</w:t>
      </w:r>
      <w:r>
        <w:tab/>
      </w:r>
      <w:r>
        <w:tab/>
      </w:r>
      <w:r>
        <w:tab/>
        <w:t xml:space="preserve">Limb entrapment and labelling </w:t>
      </w:r>
    </w:p>
    <w:p w:rsidR="00B06E49" w:rsidRDefault="00B06E49" w:rsidP="00CB7475">
      <w:r>
        <w:tab/>
        <w:t>Savin</w:t>
      </w:r>
      <w:r w:rsidR="00576FE8">
        <w:t>g</w:t>
      </w:r>
      <w:r>
        <w:t xml:space="preserve"> for Aussie- Canterbury cot</w:t>
      </w:r>
      <w:r>
        <w:tab/>
      </w:r>
      <w:r>
        <w:tab/>
      </w:r>
      <w:r>
        <w:tab/>
        <w:t>Depth of cot and labelling</w:t>
      </w:r>
    </w:p>
    <w:p w:rsidR="005A066A" w:rsidRDefault="005A066A" w:rsidP="00CB7475"/>
    <w:p w:rsidR="007019C6" w:rsidRPr="008352B9" w:rsidRDefault="003578C8" w:rsidP="00CB7475">
      <w:pPr>
        <w:rPr>
          <w:rFonts w:cs="Calibri"/>
        </w:rPr>
      </w:pPr>
      <w:r w:rsidRPr="008352B9">
        <w:rPr>
          <w:rFonts w:cs="Calibri"/>
        </w:rPr>
        <w:t>2014</w:t>
      </w:r>
      <w:r w:rsidRPr="008352B9">
        <w:rPr>
          <w:rFonts w:cs="Calibri"/>
        </w:rPr>
        <w:tab/>
        <w:t>Koala Securities- Avoca Baby Cot</w:t>
      </w:r>
      <w:r w:rsidRPr="008352B9">
        <w:rPr>
          <w:rFonts w:cs="Calibri"/>
        </w:rPr>
        <w:tab/>
      </w:r>
      <w:r w:rsidRPr="008352B9">
        <w:rPr>
          <w:rFonts w:cs="Calibri"/>
        </w:rPr>
        <w:tab/>
      </w:r>
      <w:r w:rsidRPr="008352B9">
        <w:rPr>
          <w:rFonts w:cs="Calibri"/>
        </w:rPr>
        <w:tab/>
        <w:t>Missing label</w:t>
      </w:r>
    </w:p>
    <w:p w:rsidR="003578C8" w:rsidRDefault="003578C8" w:rsidP="00F42065">
      <w:pPr>
        <w:pStyle w:val="Heading1"/>
      </w:pPr>
      <w:bookmarkStart w:id="193" w:name="_Toc360606972"/>
      <w:bookmarkStart w:id="194" w:name="_Toc361729975"/>
      <w:bookmarkStart w:id="195" w:name="_Toc367800200"/>
      <w:bookmarkStart w:id="196" w:name="_Toc367800423"/>
      <w:bookmarkStart w:id="197" w:name="_Toc367800985"/>
      <w:bookmarkStart w:id="198" w:name="_Toc367801252"/>
      <w:bookmarkStart w:id="199" w:name="_Toc367801452"/>
      <w:bookmarkStart w:id="200" w:name="_Toc367801643"/>
      <w:bookmarkStart w:id="201" w:name="_Toc367801766"/>
    </w:p>
    <w:p w:rsidR="005A066A" w:rsidRPr="004273F1" w:rsidRDefault="004955D1" w:rsidP="00F42065">
      <w:pPr>
        <w:pStyle w:val="Heading1"/>
      </w:pPr>
      <w:r w:rsidRPr="004273F1">
        <w:t>E</w:t>
      </w:r>
      <w:r w:rsidR="00B166ED" w:rsidRPr="004273F1">
        <w:t>nforcement action</w:t>
      </w:r>
      <w:bookmarkEnd w:id="193"/>
      <w:r w:rsidRPr="004273F1">
        <w:t>s</w:t>
      </w:r>
      <w:bookmarkEnd w:id="194"/>
      <w:bookmarkEnd w:id="195"/>
      <w:bookmarkEnd w:id="196"/>
      <w:bookmarkEnd w:id="197"/>
      <w:bookmarkEnd w:id="198"/>
      <w:bookmarkEnd w:id="199"/>
      <w:bookmarkEnd w:id="200"/>
      <w:bookmarkEnd w:id="201"/>
    </w:p>
    <w:p w:rsidR="002C1B57" w:rsidRDefault="002C1B57" w:rsidP="00CB7475">
      <w:pPr>
        <w:rPr>
          <w:b/>
        </w:rPr>
      </w:pPr>
    </w:p>
    <w:p w:rsidR="005A066A" w:rsidRPr="00D57CA2" w:rsidRDefault="005A066A" w:rsidP="00CB7475">
      <w:pPr>
        <w:rPr>
          <w:b/>
        </w:rPr>
      </w:pPr>
      <w:proofErr w:type="spellStart"/>
      <w:r w:rsidRPr="00D57CA2">
        <w:rPr>
          <w:b/>
        </w:rPr>
        <w:t>Jinlong</w:t>
      </w:r>
      <w:proofErr w:type="spellEnd"/>
      <w:r w:rsidRPr="00D57CA2">
        <w:rPr>
          <w:b/>
        </w:rPr>
        <w:t xml:space="preserve"> </w:t>
      </w:r>
      <w:proofErr w:type="spellStart"/>
      <w:r w:rsidRPr="00D57CA2">
        <w:rPr>
          <w:b/>
        </w:rPr>
        <w:t>Sten</w:t>
      </w:r>
      <w:proofErr w:type="spellEnd"/>
      <w:r w:rsidRPr="00D57CA2">
        <w:rPr>
          <w:b/>
        </w:rPr>
        <w:t xml:space="preserve"> and ATI Enterprises Pty Ltd</w:t>
      </w:r>
      <w:r w:rsidR="00B166ED">
        <w:rPr>
          <w:b/>
        </w:rPr>
        <w:t xml:space="preserve"> (April 2008)</w:t>
      </w:r>
    </w:p>
    <w:p w:rsidR="005A066A" w:rsidRPr="00D57CA2" w:rsidRDefault="005A066A" w:rsidP="00CB7475">
      <w:r w:rsidRPr="00D57CA2">
        <w:t>Issues</w:t>
      </w:r>
      <w:r w:rsidR="00B166ED">
        <w:t>:</w:t>
      </w:r>
      <w:r w:rsidRPr="00D57CA2">
        <w:t xml:space="preserve"> sharp points and edges, protrusions, limb entrapments, footholds, incorrect height requirements, strength, impact and durability issues, lack of information and labelling</w:t>
      </w:r>
      <w:r w:rsidR="00104F74">
        <w:t>- court enforceable undertakings and product recall</w:t>
      </w:r>
    </w:p>
    <w:p w:rsidR="005A066A" w:rsidRPr="00D57CA2" w:rsidRDefault="005A066A" w:rsidP="00CB7475"/>
    <w:p w:rsidR="005A066A" w:rsidRPr="00D57CA2" w:rsidRDefault="005A066A" w:rsidP="00CB7475">
      <w:pPr>
        <w:rPr>
          <w:b/>
        </w:rPr>
      </w:pPr>
      <w:proofErr w:type="spellStart"/>
      <w:r w:rsidRPr="00D57CA2">
        <w:rPr>
          <w:b/>
        </w:rPr>
        <w:t>Ausia</w:t>
      </w:r>
      <w:proofErr w:type="spellEnd"/>
      <w:r w:rsidRPr="00D57CA2">
        <w:rPr>
          <w:b/>
        </w:rPr>
        <w:t xml:space="preserve"> Australia Pty Ltd</w:t>
      </w:r>
      <w:r w:rsidR="00B166ED">
        <w:rPr>
          <w:b/>
        </w:rPr>
        <w:t xml:space="preserve"> (March 2</w:t>
      </w:r>
      <w:r w:rsidR="002C1B57">
        <w:rPr>
          <w:b/>
        </w:rPr>
        <w:t>0</w:t>
      </w:r>
      <w:r w:rsidR="00B166ED">
        <w:rPr>
          <w:b/>
        </w:rPr>
        <w:t>07)</w:t>
      </w:r>
    </w:p>
    <w:p w:rsidR="00104F74" w:rsidRPr="00D57CA2" w:rsidRDefault="005A066A" w:rsidP="00104F74">
      <w:r w:rsidRPr="00D57CA2">
        <w:t>Issues</w:t>
      </w:r>
      <w:r w:rsidR="00B166ED">
        <w:t>:</w:t>
      </w:r>
      <w:r w:rsidRPr="00D57CA2">
        <w:t xml:space="preserve"> protrusions, incorrect height requirements, lack of information and labelling</w:t>
      </w:r>
      <w:r w:rsidR="00104F74" w:rsidRPr="00104F74">
        <w:t xml:space="preserve"> </w:t>
      </w:r>
      <w:r w:rsidR="00104F74">
        <w:t>-court enforceable undertakings and product recall</w:t>
      </w:r>
    </w:p>
    <w:p w:rsidR="005A066A" w:rsidRPr="005A066A" w:rsidRDefault="005A066A" w:rsidP="00CB7475">
      <w:pPr>
        <w:rPr>
          <w:rFonts w:ascii="Arial" w:hAnsi="Arial" w:cs="Arial"/>
        </w:rPr>
      </w:pPr>
    </w:p>
    <w:sectPr w:rsidR="005A066A" w:rsidRPr="005A066A" w:rsidSect="007019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74" w:rsidRDefault="00104F74" w:rsidP="00A710CC">
      <w:r>
        <w:separator/>
      </w:r>
    </w:p>
  </w:endnote>
  <w:endnote w:type="continuationSeparator" w:id="0">
    <w:p w:rsidR="00104F74" w:rsidRDefault="00104F74" w:rsidP="00A7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74" w:rsidRDefault="00104F74">
    <w:pPr>
      <w:pStyle w:val="Footer"/>
    </w:pPr>
    <w:r>
      <w:fldChar w:fldCharType="begin"/>
    </w:r>
    <w:r>
      <w:instrText xml:space="preserve"> PAGE   \* MERGEFORMAT </w:instrText>
    </w:r>
    <w:r>
      <w:fldChar w:fldCharType="separate"/>
    </w:r>
    <w:r w:rsidR="00577E8D">
      <w:rPr>
        <w:noProof/>
      </w:rPr>
      <w:t>1</w:t>
    </w:r>
    <w:r>
      <w:rPr>
        <w:noProof/>
      </w:rPr>
      <w:fldChar w:fldCharType="end"/>
    </w:r>
  </w:p>
  <w:p w:rsidR="00104F74" w:rsidRDefault="00104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74" w:rsidRDefault="00104F74" w:rsidP="00A710CC">
      <w:r>
        <w:separator/>
      </w:r>
    </w:p>
  </w:footnote>
  <w:footnote w:type="continuationSeparator" w:id="0">
    <w:p w:rsidR="00104F74" w:rsidRDefault="00104F74" w:rsidP="00A710CC">
      <w:r>
        <w:continuationSeparator/>
      </w:r>
    </w:p>
  </w:footnote>
  <w:footnote w:id="1">
    <w:p w:rsidR="00104F74" w:rsidRDefault="00104F74">
      <w:pPr>
        <w:pStyle w:val="FootnoteText"/>
      </w:pPr>
      <w:r>
        <w:rPr>
          <w:rStyle w:val="FootnoteReference"/>
        </w:rPr>
        <w:footnoteRef/>
      </w:r>
      <w:r>
        <w:t xml:space="preserve"> See Consumer Protection Notice No 4 of 2008 which references AS/NZS 2195:1999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247"/>
    <w:multiLevelType w:val="hybridMultilevel"/>
    <w:tmpl w:val="6C6E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BD1E9D"/>
    <w:multiLevelType w:val="hybridMultilevel"/>
    <w:tmpl w:val="48AA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2B6AE6"/>
    <w:multiLevelType w:val="hybridMultilevel"/>
    <w:tmpl w:val="8CA4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A612F"/>
    <w:multiLevelType w:val="hybridMultilevel"/>
    <w:tmpl w:val="3064C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C5650E"/>
    <w:multiLevelType w:val="hybridMultilevel"/>
    <w:tmpl w:val="22B4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B04B9E"/>
    <w:multiLevelType w:val="hybridMultilevel"/>
    <w:tmpl w:val="80E2E4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5B704B3"/>
    <w:multiLevelType w:val="hybridMultilevel"/>
    <w:tmpl w:val="FCC0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AA53B5"/>
    <w:multiLevelType w:val="hybridMultilevel"/>
    <w:tmpl w:val="1B40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355FBB"/>
    <w:multiLevelType w:val="hybridMultilevel"/>
    <w:tmpl w:val="B53A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0245AC"/>
    <w:multiLevelType w:val="hybridMultilevel"/>
    <w:tmpl w:val="E28A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130D00"/>
    <w:multiLevelType w:val="hybridMultilevel"/>
    <w:tmpl w:val="E512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4F11E8"/>
    <w:multiLevelType w:val="hybridMultilevel"/>
    <w:tmpl w:val="5ADCF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CE0039"/>
    <w:multiLevelType w:val="multilevel"/>
    <w:tmpl w:val="71F8C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26B7D17"/>
    <w:multiLevelType w:val="hybridMultilevel"/>
    <w:tmpl w:val="4746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7673B4"/>
    <w:multiLevelType w:val="hybridMultilevel"/>
    <w:tmpl w:val="3012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457144"/>
    <w:multiLevelType w:val="hybridMultilevel"/>
    <w:tmpl w:val="3B881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1272FA"/>
    <w:multiLevelType w:val="hybridMultilevel"/>
    <w:tmpl w:val="56EAA77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7"/>
  </w:num>
  <w:num w:numId="6">
    <w:abstractNumId w:val="0"/>
  </w:num>
  <w:num w:numId="7">
    <w:abstractNumId w:val="13"/>
  </w:num>
  <w:num w:numId="8">
    <w:abstractNumId w:val="15"/>
  </w:num>
  <w:num w:numId="9">
    <w:abstractNumId w:val="14"/>
  </w:num>
  <w:num w:numId="10">
    <w:abstractNumId w:val="2"/>
  </w:num>
  <w:num w:numId="11">
    <w:abstractNumId w:val="8"/>
  </w:num>
  <w:num w:numId="12">
    <w:abstractNumId w:val="16"/>
  </w:num>
  <w:num w:numId="13">
    <w:abstractNumId w:val="3"/>
  </w:num>
  <w:num w:numId="14">
    <w:abstractNumId w:val="1"/>
  </w:num>
  <w:num w:numId="15">
    <w:abstractNumId w:val="9"/>
  </w:num>
  <w:num w:numId="16">
    <w:abstractNumId w:val="5"/>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780\D14 18404[V2]  PSB Household Cot Consultation Paper- Final 2014.DOCX"/>
  </w:docVars>
  <w:rsids>
    <w:rsidRoot w:val="00A710CC"/>
    <w:rsid w:val="00002D13"/>
    <w:rsid w:val="00003A8F"/>
    <w:rsid w:val="00003D51"/>
    <w:rsid w:val="00006D53"/>
    <w:rsid w:val="00011C7B"/>
    <w:rsid w:val="00020012"/>
    <w:rsid w:val="00021CB2"/>
    <w:rsid w:val="00022052"/>
    <w:rsid w:val="0002383E"/>
    <w:rsid w:val="0003544E"/>
    <w:rsid w:val="00041F0A"/>
    <w:rsid w:val="000535B5"/>
    <w:rsid w:val="000564D6"/>
    <w:rsid w:val="00057260"/>
    <w:rsid w:val="00057FF9"/>
    <w:rsid w:val="000602DB"/>
    <w:rsid w:val="0006260F"/>
    <w:rsid w:val="00064AEE"/>
    <w:rsid w:val="0006791D"/>
    <w:rsid w:val="00070673"/>
    <w:rsid w:val="00071F84"/>
    <w:rsid w:val="0007257A"/>
    <w:rsid w:val="00087255"/>
    <w:rsid w:val="0009041F"/>
    <w:rsid w:val="00094BE7"/>
    <w:rsid w:val="00095EA5"/>
    <w:rsid w:val="000A18BB"/>
    <w:rsid w:val="000A4165"/>
    <w:rsid w:val="000B01A2"/>
    <w:rsid w:val="000B14B7"/>
    <w:rsid w:val="000B1851"/>
    <w:rsid w:val="000B455D"/>
    <w:rsid w:val="000B48CC"/>
    <w:rsid w:val="000B4D75"/>
    <w:rsid w:val="000C0CB1"/>
    <w:rsid w:val="000C3E28"/>
    <w:rsid w:val="000D4348"/>
    <w:rsid w:val="000D634A"/>
    <w:rsid w:val="000E2079"/>
    <w:rsid w:val="000E3785"/>
    <w:rsid w:val="000E455B"/>
    <w:rsid w:val="000F2AAD"/>
    <w:rsid w:val="00100237"/>
    <w:rsid w:val="00102DCA"/>
    <w:rsid w:val="00104A19"/>
    <w:rsid w:val="00104C53"/>
    <w:rsid w:val="00104F1B"/>
    <w:rsid w:val="00104F74"/>
    <w:rsid w:val="00107C62"/>
    <w:rsid w:val="001125D3"/>
    <w:rsid w:val="001141D7"/>
    <w:rsid w:val="0011633F"/>
    <w:rsid w:val="0011651C"/>
    <w:rsid w:val="001205BC"/>
    <w:rsid w:val="00122E0F"/>
    <w:rsid w:val="00123B76"/>
    <w:rsid w:val="001253AE"/>
    <w:rsid w:val="00130143"/>
    <w:rsid w:val="001337E5"/>
    <w:rsid w:val="00133B6F"/>
    <w:rsid w:val="00141D14"/>
    <w:rsid w:val="00145362"/>
    <w:rsid w:val="0015556B"/>
    <w:rsid w:val="00155C0B"/>
    <w:rsid w:val="0015786A"/>
    <w:rsid w:val="00157DC6"/>
    <w:rsid w:val="00161FDB"/>
    <w:rsid w:val="0016263C"/>
    <w:rsid w:val="00162814"/>
    <w:rsid w:val="001655A3"/>
    <w:rsid w:val="0017101B"/>
    <w:rsid w:val="00171386"/>
    <w:rsid w:val="00175323"/>
    <w:rsid w:val="00176D20"/>
    <w:rsid w:val="00181488"/>
    <w:rsid w:val="00186713"/>
    <w:rsid w:val="00187A89"/>
    <w:rsid w:val="00192048"/>
    <w:rsid w:val="001927CF"/>
    <w:rsid w:val="001A2305"/>
    <w:rsid w:val="001A45F0"/>
    <w:rsid w:val="001A6AD8"/>
    <w:rsid w:val="001A78F8"/>
    <w:rsid w:val="001B36A7"/>
    <w:rsid w:val="001B4745"/>
    <w:rsid w:val="001B490A"/>
    <w:rsid w:val="001B4E06"/>
    <w:rsid w:val="001B71B4"/>
    <w:rsid w:val="001C384D"/>
    <w:rsid w:val="001C4148"/>
    <w:rsid w:val="001D3E09"/>
    <w:rsid w:val="001D7133"/>
    <w:rsid w:val="001E63CB"/>
    <w:rsid w:val="001F6DEC"/>
    <w:rsid w:val="00203931"/>
    <w:rsid w:val="00205D90"/>
    <w:rsid w:val="002063D2"/>
    <w:rsid w:val="00211081"/>
    <w:rsid w:val="002145C1"/>
    <w:rsid w:val="0021779E"/>
    <w:rsid w:val="00217BB8"/>
    <w:rsid w:val="00221E2D"/>
    <w:rsid w:val="00231C13"/>
    <w:rsid w:val="00234DDF"/>
    <w:rsid w:val="002404A8"/>
    <w:rsid w:val="00242ACA"/>
    <w:rsid w:val="00242B8F"/>
    <w:rsid w:val="00247F42"/>
    <w:rsid w:val="00254A36"/>
    <w:rsid w:val="00260A83"/>
    <w:rsid w:val="0026211D"/>
    <w:rsid w:val="002658F3"/>
    <w:rsid w:val="00267146"/>
    <w:rsid w:val="00267329"/>
    <w:rsid w:val="00267C31"/>
    <w:rsid w:val="002801FF"/>
    <w:rsid w:val="00290048"/>
    <w:rsid w:val="00295442"/>
    <w:rsid w:val="00297069"/>
    <w:rsid w:val="002A274B"/>
    <w:rsid w:val="002A7466"/>
    <w:rsid w:val="002B67C4"/>
    <w:rsid w:val="002B720F"/>
    <w:rsid w:val="002C0BD8"/>
    <w:rsid w:val="002C1B57"/>
    <w:rsid w:val="002C1E72"/>
    <w:rsid w:val="002C3395"/>
    <w:rsid w:val="002D0C0B"/>
    <w:rsid w:val="002D0D56"/>
    <w:rsid w:val="002D1151"/>
    <w:rsid w:val="002D3EDD"/>
    <w:rsid w:val="002D7D01"/>
    <w:rsid w:val="002E0567"/>
    <w:rsid w:val="002E0C1C"/>
    <w:rsid w:val="002E231E"/>
    <w:rsid w:val="002E34CB"/>
    <w:rsid w:val="002E44E6"/>
    <w:rsid w:val="002E6C25"/>
    <w:rsid w:val="002E734B"/>
    <w:rsid w:val="002E73EA"/>
    <w:rsid w:val="002F21CB"/>
    <w:rsid w:val="002F5E66"/>
    <w:rsid w:val="00305839"/>
    <w:rsid w:val="00310E46"/>
    <w:rsid w:val="003135D3"/>
    <w:rsid w:val="00313814"/>
    <w:rsid w:val="00314DC1"/>
    <w:rsid w:val="00315C88"/>
    <w:rsid w:val="00322BE3"/>
    <w:rsid w:val="00325A95"/>
    <w:rsid w:val="003272AF"/>
    <w:rsid w:val="00336F83"/>
    <w:rsid w:val="0034057B"/>
    <w:rsid w:val="00350964"/>
    <w:rsid w:val="00352698"/>
    <w:rsid w:val="00355DAE"/>
    <w:rsid w:val="003560D8"/>
    <w:rsid w:val="00357196"/>
    <w:rsid w:val="003578C8"/>
    <w:rsid w:val="00360B2A"/>
    <w:rsid w:val="0036295C"/>
    <w:rsid w:val="00371C03"/>
    <w:rsid w:val="00372401"/>
    <w:rsid w:val="0038220F"/>
    <w:rsid w:val="00390E60"/>
    <w:rsid w:val="003921C6"/>
    <w:rsid w:val="003A2525"/>
    <w:rsid w:val="003A4BF4"/>
    <w:rsid w:val="003A74E3"/>
    <w:rsid w:val="003B0B1E"/>
    <w:rsid w:val="003B30A5"/>
    <w:rsid w:val="003B3F23"/>
    <w:rsid w:val="003C3298"/>
    <w:rsid w:val="003C6964"/>
    <w:rsid w:val="003D3B63"/>
    <w:rsid w:val="003E50F7"/>
    <w:rsid w:val="003E65BE"/>
    <w:rsid w:val="003E78A0"/>
    <w:rsid w:val="003F08B9"/>
    <w:rsid w:val="003F565F"/>
    <w:rsid w:val="003F5888"/>
    <w:rsid w:val="00403952"/>
    <w:rsid w:val="004039E1"/>
    <w:rsid w:val="00410F25"/>
    <w:rsid w:val="004125EC"/>
    <w:rsid w:val="00413636"/>
    <w:rsid w:val="0041496A"/>
    <w:rsid w:val="004168BD"/>
    <w:rsid w:val="00426046"/>
    <w:rsid w:val="00426B6F"/>
    <w:rsid w:val="004273F1"/>
    <w:rsid w:val="00430083"/>
    <w:rsid w:val="004368D6"/>
    <w:rsid w:val="00446D86"/>
    <w:rsid w:val="0045129E"/>
    <w:rsid w:val="00456415"/>
    <w:rsid w:val="00456AE8"/>
    <w:rsid w:val="0047047D"/>
    <w:rsid w:val="00477C17"/>
    <w:rsid w:val="00481E31"/>
    <w:rsid w:val="00493F53"/>
    <w:rsid w:val="00494E81"/>
    <w:rsid w:val="004955D1"/>
    <w:rsid w:val="00497C88"/>
    <w:rsid w:val="004A01C5"/>
    <w:rsid w:val="004A0212"/>
    <w:rsid w:val="004A0922"/>
    <w:rsid w:val="004A0C18"/>
    <w:rsid w:val="004A61B3"/>
    <w:rsid w:val="004B02CC"/>
    <w:rsid w:val="004B3B57"/>
    <w:rsid w:val="004B4A3D"/>
    <w:rsid w:val="004B738F"/>
    <w:rsid w:val="004C09C0"/>
    <w:rsid w:val="004C380A"/>
    <w:rsid w:val="004D28F4"/>
    <w:rsid w:val="004E1DFD"/>
    <w:rsid w:val="004E2864"/>
    <w:rsid w:val="004E602E"/>
    <w:rsid w:val="004E7C09"/>
    <w:rsid w:val="004F17E5"/>
    <w:rsid w:val="004F203A"/>
    <w:rsid w:val="004F4549"/>
    <w:rsid w:val="00510C40"/>
    <w:rsid w:val="00510EC9"/>
    <w:rsid w:val="0051252E"/>
    <w:rsid w:val="00512886"/>
    <w:rsid w:val="00512C84"/>
    <w:rsid w:val="00521B17"/>
    <w:rsid w:val="00527360"/>
    <w:rsid w:val="005350E0"/>
    <w:rsid w:val="005375FD"/>
    <w:rsid w:val="005519B5"/>
    <w:rsid w:val="00552632"/>
    <w:rsid w:val="005543E2"/>
    <w:rsid w:val="00554D88"/>
    <w:rsid w:val="0055615A"/>
    <w:rsid w:val="00561318"/>
    <w:rsid w:val="005614DE"/>
    <w:rsid w:val="005619E4"/>
    <w:rsid w:val="005624BD"/>
    <w:rsid w:val="0057019F"/>
    <w:rsid w:val="0057071A"/>
    <w:rsid w:val="005769F7"/>
    <w:rsid w:val="00576FE8"/>
    <w:rsid w:val="00577E8D"/>
    <w:rsid w:val="005962A1"/>
    <w:rsid w:val="005A066A"/>
    <w:rsid w:val="005A11E3"/>
    <w:rsid w:val="005A2120"/>
    <w:rsid w:val="005A289C"/>
    <w:rsid w:val="005B62DD"/>
    <w:rsid w:val="005C2E53"/>
    <w:rsid w:val="005C3809"/>
    <w:rsid w:val="005C4C23"/>
    <w:rsid w:val="005D0317"/>
    <w:rsid w:val="005D0DB7"/>
    <w:rsid w:val="005D1200"/>
    <w:rsid w:val="005D6B56"/>
    <w:rsid w:val="005E1940"/>
    <w:rsid w:val="005F1171"/>
    <w:rsid w:val="005F49A5"/>
    <w:rsid w:val="005F564D"/>
    <w:rsid w:val="005F69D1"/>
    <w:rsid w:val="00604036"/>
    <w:rsid w:val="0061201E"/>
    <w:rsid w:val="00612524"/>
    <w:rsid w:val="006148F7"/>
    <w:rsid w:val="00614972"/>
    <w:rsid w:val="006163F8"/>
    <w:rsid w:val="00626C98"/>
    <w:rsid w:val="00631ADA"/>
    <w:rsid w:val="00641860"/>
    <w:rsid w:val="006433BD"/>
    <w:rsid w:val="00643DAF"/>
    <w:rsid w:val="0064531D"/>
    <w:rsid w:val="0065239D"/>
    <w:rsid w:val="00653FB7"/>
    <w:rsid w:val="006540E9"/>
    <w:rsid w:val="006572D2"/>
    <w:rsid w:val="00665B56"/>
    <w:rsid w:val="00666A28"/>
    <w:rsid w:val="00677CD3"/>
    <w:rsid w:val="00680C93"/>
    <w:rsid w:val="006832A3"/>
    <w:rsid w:val="00690BE0"/>
    <w:rsid w:val="006947ED"/>
    <w:rsid w:val="00695255"/>
    <w:rsid w:val="006A001C"/>
    <w:rsid w:val="006A40CE"/>
    <w:rsid w:val="006B057E"/>
    <w:rsid w:val="006B213E"/>
    <w:rsid w:val="006B5013"/>
    <w:rsid w:val="006B6A10"/>
    <w:rsid w:val="006B6F14"/>
    <w:rsid w:val="006B7872"/>
    <w:rsid w:val="006C2899"/>
    <w:rsid w:val="006C45AF"/>
    <w:rsid w:val="006E30A1"/>
    <w:rsid w:val="006E3C02"/>
    <w:rsid w:val="006F3622"/>
    <w:rsid w:val="007019C6"/>
    <w:rsid w:val="0070481C"/>
    <w:rsid w:val="00705821"/>
    <w:rsid w:val="00707C0B"/>
    <w:rsid w:val="0071037B"/>
    <w:rsid w:val="00713134"/>
    <w:rsid w:val="007154C1"/>
    <w:rsid w:val="0071630D"/>
    <w:rsid w:val="00716C12"/>
    <w:rsid w:val="00720438"/>
    <w:rsid w:val="0072074C"/>
    <w:rsid w:val="007211D2"/>
    <w:rsid w:val="007227A3"/>
    <w:rsid w:val="00734931"/>
    <w:rsid w:val="00735350"/>
    <w:rsid w:val="00740B19"/>
    <w:rsid w:val="00753B1B"/>
    <w:rsid w:val="00754EB0"/>
    <w:rsid w:val="00757580"/>
    <w:rsid w:val="007602C4"/>
    <w:rsid w:val="00765D7C"/>
    <w:rsid w:val="00770BEF"/>
    <w:rsid w:val="00772370"/>
    <w:rsid w:val="00782302"/>
    <w:rsid w:val="00790242"/>
    <w:rsid w:val="007923B6"/>
    <w:rsid w:val="007926D1"/>
    <w:rsid w:val="00793283"/>
    <w:rsid w:val="00794F28"/>
    <w:rsid w:val="0079538F"/>
    <w:rsid w:val="007969C7"/>
    <w:rsid w:val="00796CF4"/>
    <w:rsid w:val="007A3BF1"/>
    <w:rsid w:val="007B2CDF"/>
    <w:rsid w:val="007C1B22"/>
    <w:rsid w:val="007C1B8E"/>
    <w:rsid w:val="007C3651"/>
    <w:rsid w:val="007C4263"/>
    <w:rsid w:val="007D520B"/>
    <w:rsid w:val="007D5EFB"/>
    <w:rsid w:val="007E40C7"/>
    <w:rsid w:val="007E4214"/>
    <w:rsid w:val="007F2A5A"/>
    <w:rsid w:val="00813632"/>
    <w:rsid w:val="008168E0"/>
    <w:rsid w:val="00817388"/>
    <w:rsid w:val="008240C3"/>
    <w:rsid w:val="00831C36"/>
    <w:rsid w:val="00833715"/>
    <w:rsid w:val="008352B9"/>
    <w:rsid w:val="00840DCF"/>
    <w:rsid w:val="00841C74"/>
    <w:rsid w:val="00841C92"/>
    <w:rsid w:val="00842679"/>
    <w:rsid w:val="008465C5"/>
    <w:rsid w:val="00847D8C"/>
    <w:rsid w:val="00851CC1"/>
    <w:rsid w:val="00852E5C"/>
    <w:rsid w:val="00854595"/>
    <w:rsid w:val="00856659"/>
    <w:rsid w:val="008606DE"/>
    <w:rsid w:val="00860E9F"/>
    <w:rsid w:val="00870E2F"/>
    <w:rsid w:val="008760F3"/>
    <w:rsid w:val="0089033D"/>
    <w:rsid w:val="0089256E"/>
    <w:rsid w:val="00896ECF"/>
    <w:rsid w:val="008A0562"/>
    <w:rsid w:val="008B01AC"/>
    <w:rsid w:val="008B18AC"/>
    <w:rsid w:val="008B3475"/>
    <w:rsid w:val="008B46F4"/>
    <w:rsid w:val="008B727E"/>
    <w:rsid w:val="008B7B2A"/>
    <w:rsid w:val="008C584F"/>
    <w:rsid w:val="008C63F7"/>
    <w:rsid w:val="008D0E98"/>
    <w:rsid w:val="008D42A9"/>
    <w:rsid w:val="008D65D4"/>
    <w:rsid w:val="008D6BC9"/>
    <w:rsid w:val="008D6E98"/>
    <w:rsid w:val="008E2B47"/>
    <w:rsid w:val="008E4B7C"/>
    <w:rsid w:val="008E6B31"/>
    <w:rsid w:val="008E6B8E"/>
    <w:rsid w:val="008F1E67"/>
    <w:rsid w:val="008F2A66"/>
    <w:rsid w:val="008F3495"/>
    <w:rsid w:val="008F507C"/>
    <w:rsid w:val="008F6ADF"/>
    <w:rsid w:val="009035D7"/>
    <w:rsid w:val="00907B33"/>
    <w:rsid w:val="00910FC5"/>
    <w:rsid w:val="0091135B"/>
    <w:rsid w:val="009123A7"/>
    <w:rsid w:val="0091786E"/>
    <w:rsid w:val="009178FC"/>
    <w:rsid w:val="009265A3"/>
    <w:rsid w:val="0092713D"/>
    <w:rsid w:val="009327D0"/>
    <w:rsid w:val="00933A15"/>
    <w:rsid w:val="00936B10"/>
    <w:rsid w:val="00941D78"/>
    <w:rsid w:val="009420FA"/>
    <w:rsid w:val="009428FE"/>
    <w:rsid w:val="009461AB"/>
    <w:rsid w:val="00947B07"/>
    <w:rsid w:val="00954C0F"/>
    <w:rsid w:val="00960E50"/>
    <w:rsid w:val="00961711"/>
    <w:rsid w:val="00961B7F"/>
    <w:rsid w:val="00963698"/>
    <w:rsid w:val="00975BD7"/>
    <w:rsid w:val="009764F7"/>
    <w:rsid w:val="00985B6E"/>
    <w:rsid w:val="00993B1B"/>
    <w:rsid w:val="00994445"/>
    <w:rsid w:val="00995281"/>
    <w:rsid w:val="009A0AE2"/>
    <w:rsid w:val="009A0EA1"/>
    <w:rsid w:val="009A5231"/>
    <w:rsid w:val="009B2A4F"/>
    <w:rsid w:val="009B4279"/>
    <w:rsid w:val="009B7896"/>
    <w:rsid w:val="009C3B34"/>
    <w:rsid w:val="009D0595"/>
    <w:rsid w:val="009D22DA"/>
    <w:rsid w:val="009D5898"/>
    <w:rsid w:val="009D6EA1"/>
    <w:rsid w:val="009D70CC"/>
    <w:rsid w:val="009E7485"/>
    <w:rsid w:val="009E759D"/>
    <w:rsid w:val="009F11F5"/>
    <w:rsid w:val="009F18AD"/>
    <w:rsid w:val="009F24D1"/>
    <w:rsid w:val="009F3B5A"/>
    <w:rsid w:val="009F408F"/>
    <w:rsid w:val="009F6E51"/>
    <w:rsid w:val="00A03798"/>
    <w:rsid w:val="00A1327A"/>
    <w:rsid w:val="00A16EAC"/>
    <w:rsid w:val="00A17881"/>
    <w:rsid w:val="00A17D4A"/>
    <w:rsid w:val="00A26E5F"/>
    <w:rsid w:val="00A27C0A"/>
    <w:rsid w:val="00A329CA"/>
    <w:rsid w:val="00A35C8C"/>
    <w:rsid w:val="00A36583"/>
    <w:rsid w:val="00A41CD8"/>
    <w:rsid w:val="00A44CA1"/>
    <w:rsid w:val="00A473E0"/>
    <w:rsid w:val="00A574C1"/>
    <w:rsid w:val="00A672B2"/>
    <w:rsid w:val="00A67418"/>
    <w:rsid w:val="00A710CC"/>
    <w:rsid w:val="00A719F8"/>
    <w:rsid w:val="00A722D0"/>
    <w:rsid w:val="00A76347"/>
    <w:rsid w:val="00A77573"/>
    <w:rsid w:val="00A817ED"/>
    <w:rsid w:val="00A91394"/>
    <w:rsid w:val="00A924F7"/>
    <w:rsid w:val="00A92BE5"/>
    <w:rsid w:val="00A970D6"/>
    <w:rsid w:val="00AA0CB0"/>
    <w:rsid w:val="00AA16B8"/>
    <w:rsid w:val="00AA51B6"/>
    <w:rsid w:val="00AB3373"/>
    <w:rsid w:val="00AB4620"/>
    <w:rsid w:val="00AB5F73"/>
    <w:rsid w:val="00AC368E"/>
    <w:rsid w:val="00AC4738"/>
    <w:rsid w:val="00AC6369"/>
    <w:rsid w:val="00AD1FC9"/>
    <w:rsid w:val="00AE44F2"/>
    <w:rsid w:val="00AF0946"/>
    <w:rsid w:val="00B00D79"/>
    <w:rsid w:val="00B032C4"/>
    <w:rsid w:val="00B06E49"/>
    <w:rsid w:val="00B079D5"/>
    <w:rsid w:val="00B15A46"/>
    <w:rsid w:val="00B166ED"/>
    <w:rsid w:val="00B2020F"/>
    <w:rsid w:val="00B21130"/>
    <w:rsid w:val="00B270C9"/>
    <w:rsid w:val="00B314F5"/>
    <w:rsid w:val="00B34CA8"/>
    <w:rsid w:val="00B35788"/>
    <w:rsid w:val="00B40836"/>
    <w:rsid w:val="00B46623"/>
    <w:rsid w:val="00B47580"/>
    <w:rsid w:val="00B5466F"/>
    <w:rsid w:val="00B558C8"/>
    <w:rsid w:val="00B60358"/>
    <w:rsid w:val="00B63BA1"/>
    <w:rsid w:val="00B715D6"/>
    <w:rsid w:val="00B733B2"/>
    <w:rsid w:val="00B7413C"/>
    <w:rsid w:val="00B77267"/>
    <w:rsid w:val="00B8362A"/>
    <w:rsid w:val="00B85D4B"/>
    <w:rsid w:val="00B93523"/>
    <w:rsid w:val="00B94552"/>
    <w:rsid w:val="00B96EF6"/>
    <w:rsid w:val="00BA0BB9"/>
    <w:rsid w:val="00BA1CDE"/>
    <w:rsid w:val="00BA1F75"/>
    <w:rsid w:val="00BA3076"/>
    <w:rsid w:val="00BA6C6B"/>
    <w:rsid w:val="00BB147D"/>
    <w:rsid w:val="00BB2AB6"/>
    <w:rsid w:val="00BC3CEE"/>
    <w:rsid w:val="00BC5015"/>
    <w:rsid w:val="00BC7AB9"/>
    <w:rsid w:val="00BD2DC8"/>
    <w:rsid w:val="00BF335A"/>
    <w:rsid w:val="00BF3A8F"/>
    <w:rsid w:val="00C00735"/>
    <w:rsid w:val="00C057AA"/>
    <w:rsid w:val="00C16BCF"/>
    <w:rsid w:val="00C24754"/>
    <w:rsid w:val="00C24CE1"/>
    <w:rsid w:val="00C2559C"/>
    <w:rsid w:val="00C27ADA"/>
    <w:rsid w:val="00C32CFD"/>
    <w:rsid w:val="00C37A73"/>
    <w:rsid w:val="00C40389"/>
    <w:rsid w:val="00C47E1A"/>
    <w:rsid w:val="00C54A55"/>
    <w:rsid w:val="00C75065"/>
    <w:rsid w:val="00C75CC9"/>
    <w:rsid w:val="00C77EFD"/>
    <w:rsid w:val="00C821F8"/>
    <w:rsid w:val="00C85249"/>
    <w:rsid w:val="00C875D1"/>
    <w:rsid w:val="00C87AFF"/>
    <w:rsid w:val="00C924F4"/>
    <w:rsid w:val="00C93F54"/>
    <w:rsid w:val="00C94777"/>
    <w:rsid w:val="00C95C16"/>
    <w:rsid w:val="00C974CE"/>
    <w:rsid w:val="00CA2ACA"/>
    <w:rsid w:val="00CA7DD6"/>
    <w:rsid w:val="00CB3D49"/>
    <w:rsid w:val="00CB7475"/>
    <w:rsid w:val="00CB7557"/>
    <w:rsid w:val="00CC2505"/>
    <w:rsid w:val="00CC3CE3"/>
    <w:rsid w:val="00CC4E7C"/>
    <w:rsid w:val="00CD1C33"/>
    <w:rsid w:val="00CD2D27"/>
    <w:rsid w:val="00CD45F0"/>
    <w:rsid w:val="00CE24F5"/>
    <w:rsid w:val="00CF1B74"/>
    <w:rsid w:val="00CF4BA1"/>
    <w:rsid w:val="00CF5548"/>
    <w:rsid w:val="00CF61E1"/>
    <w:rsid w:val="00D0235A"/>
    <w:rsid w:val="00D06CEF"/>
    <w:rsid w:val="00D14888"/>
    <w:rsid w:val="00D148F4"/>
    <w:rsid w:val="00D151D2"/>
    <w:rsid w:val="00D16361"/>
    <w:rsid w:val="00D21BCB"/>
    <w:rsid w:val="00D244C3"/>
    <w:rsid w:val="00D24922"/>
    <w:rsid w:val="00D41693"/>
    <w:rsid w:val="00D46152"/>
    <w:rsid w:val="00D470CC"/>
    <w:rsid w:val="00D52D01"/>
    <w:rsid w:val="00D547AE"/>
    <w:rsid w:val="00D553A4"/>
    <w:rsid w:val="00D57CA2"/>
    <w:rsid w:val="00D66A4F"/>
    <w:rsid w:val="00D67FD6"/>
    <w:rsid w:val="00D72C78"/>
    <w:rsid w:val="00D80D6A"/>
    <w:rsid w:val="00D81125"/>
    <w:rsid w:val="00D93C77"/>
    <w:rsid w:val="00D9629F"/>
    <w:rsid w:val="00DA01A5"/>
    <w:rsid w:val="00DB502B"/>
    <w:rsid w:val="00DC5AC9"/>
    <w:rsid w:val="00DC6129"/>
    <w:rsid w:val="00DE13CF"/>
    <w:rsid w:val="00DE1E24"/>
    <w:rsid w:val="00DE533B"/>
    <w:rsid w:val="00DE6E4B"/>
    <w:rsid w:val="00DE6E7B"/>
    <w:rsid w:val="00DE72EF"/>
    <w:rsid w:val="00DF0BDC"/>
    <w:rsid w:val="00DF41B7"/>
    <w:rsid w:val="00DF4F44"/>
    <w:rsid w:val="00DF58FA"/>
    <w:rsid w:val="00E01EFA"/>
    <w:rsid w:val="00E02A1F"/>
    <w:rsid w:val="00E04252"/>
    <w:rsid w:val="00E06F8C"/>
    <w:rsid w:val="00E21C2C"/>
    <w:rsid w:val="00E2400D"/>
    <w:rsid w:val="00E27715"/>
    <w:rsid w:val="00E304D1"/>
    <w:rsid w:val="00E307D6"/>
    <w:rsid w:val="00E316E0"/>
    <w:rsid w:val="00E333CA"/>
    <w:rsid w:val="00E33D72"/>
    <w:rsid w:val="00E359BA"/>
    <w:rsid w:val="00E45A32"/>
    <w:rsid w:val="00E6089C"/>
    <w:rsid w:val="00E6592A"/>
    <w:rsid w:val="00E659DE"/>
    <w:rsid w:val="00E667B3"/>
    <w:rsid w:val="00E71571"/>
    <w:rsid w:val="00E73F0D"/>
    <w:rsid w:val="00E757AC"/>
    <w:rsid w:val="00E76DB3"/>
    <w:rsid w:val="00E8021C"/>
    <w:rsid w:val="00E835FE"/>
    <w:rsid w:val="00E843ED"/>
    <w:rsid w:val="00E853E2"/>
    <w:rsid w:val="00E856A0"/>
    <w:rsid w:val="00E865A7"/>
    <w:rsid w:val="00E87C54"/>
    <w:rsid w:val="00E906EF"/>
    <w:rsid w:val="00E9366D"/>
    <w:rsid w:val="00E93A59"/>
    <w:rsid w:val="00E961EE"/>
    <w:rsid w:val="00EA1F22"/>
    <w:rsid w:val="00EA495F"/>
    <w:rsid w:val="00EA4ED3"/>
    <w:rsid w:val="00EB16FD"/>
    <w:rsid w:val="00EB1857"/>
    <w:rsid w:val="00EB2804"/>
    <w:rsid w:val="00EB4DB6"/>
    <w:rsid w:val="00EB5425"/>
    <w:rsid w:val="00EC0F0D"/>
    <w:rsid w:val="00EC2685"/>
    <w:rsid w:val="00ED0DC5"/>
    <w:rsid w:val="00ED1DB7"/>
    <w:rsid w:val="00EE0A85"/>
    <w:rsid w:val="00EE379A"/>
    <w:rsid w:val="00EE7231"/>
    <w:rsid w:val="00EF12D6"/>
    <w:rsid w:val="00EF46EE"/>
    <w:rsid w:val="00EF4CF3"/>
    <w:rsid w:val="00F019E4"/>
    <w:rsid w:val="00F1318C"/>
    <w:rsid w:val="00F1746A"/>
    <w:rsid w:val="00F20B6B"/>
    <w:rsid w:val="00F2453B"/>
    <w:rsid w:val="00F2545C"/>
    <w:rsid w:val="00F26A1F"/>
    <w:rsid w:val="00F3682F"/>
    <w:rsid w:val="00F42065"/>
    <w:rsid w:val="00F442B8"/>
    <w:rsid w:val="00F45CDA"/>
    <w:rsid w:val="00F55C0A"/>
    <w:rsid w:val="00F624C5"/>
    <w:rsid w:val="00F630E9"/>
    <w:rsid w:val="00F7119A"/>
    <w:rsid w:val="00F77488"/>
    <w:rsid w:val="00F84D33"/>
    <w:rsid w:val="00F860D5"/>
    <w:rsid w:val="00F931C4"/>
    <w:rsid w:val="00F944C9"/>
    <w:rsid w:val="00FA1AFC"/>
    <w:rsid w:val="00FA4B3F"/>
    <w:rsid w:val="00FA5477"/>
    <w:rsid w:val="00FB24AA"/>
    <w:rsid w:val="00FC419A"/>
    <w:rsid w:val="00FC5284"/>
    <w:rsid w:val="00FC7149"/>
    <w:rsid w:val="00FD02E9"/>
    <w:rsid w:val="00FD71D8"/>
    <w:rsid w:val="00FE6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CC"/>
    <w:rPr>
      <w:sz w:val="22"/>
      <w:szCs w:val="22"/>
    </w:rPr>
  </w:style>
  <w:style w:type="paragraph" w:styleId="Heading1">
    <w:name w:val="heading 1"/>
    <w:basedOn w:val="Normal"/>
    <w:next w:val="NoSpacing"/>
    <w:link w:val="Heading1Char"/>
    <w:qFormat/>
    <w:rsid w:val="00F42065"/>
    <w:pPr>
      <w:keepNext/>
      <w:spacing w:before="6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F42065"/>
    <w:pPr>
      <w:keepNext/>
      <w:spacing w:before="60" w:after="60"/>
      <w:outlineLvl w:val="1"/>
    </w:pPr>
    <w:rPr>
      <w:rFonts w:eastAsia="Times New Roman"/>
      <w:b/>
      <w:bCs/>
      <w:iCs/>
      <w:sz w:val="24"/>
      <w:szCs w:val="28"/>
    </w:rPr>
  </w:style>
  <w:style w:type="paragraph" w:styleId="Heading3">
    <w:name w:val="heading 3"/>
    <w:basedOn w:val="Normal"/>
    <w:next w:val="Normal"/>
    <w:link w:val="Heading3Char"/>
    <w:qFormat/>
    <w:rsid w:val="00E856A0"/>
    <w:pPr>
      <w:keepNext/>
      <w:spacing w:before="240" w:after="60"/>
      <w:outlineLvl w:val="2"/>
    </w:pPr>
    <w:rPr>
      <w:rFonts w:eastAsia="Times New Roman" w:cs="Arial"/>
      <w:b/>
      <w:bCs/>
      <w:sz w:val="24"/>
      <w:szCs w:val="26"/>
    </w:rPr>
  </w:style>
  <w:style w:type="paragraph" w:styleId="Heading4">
    <w:name w:val="heading 4"/>
    <w:basedOn w:val="Normal"/>
    <w:next w:val="Normal"/>
    <w:link w:val="Heading4Char"/>
    <w:uiPriority w:val="9"/>
    <w:unhideWhenUsed/>
    <w:qFormat/>
    <w:rsid w:val="00680C9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E856A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0CC"/>
    <w:rPr>
      <w:color w:val="0000FF"/>
      <w:u w:val="single"/>
    </w:rPr>
  </w:style>
  <w:style w:type="paragraph" w:styleId="FootnoteText">
    <w:name w:val="footnote text"/>
    <w:basedOn w:val="Normal"/>
    <w:link w:val="FootnoteTextChar"/>
    <w:uiPriority w:val="99"/>
    <w:unhideWhenUsed/>
    <w:rsid w:val="008F6ADF"/>
    <w:rPr>
      <w:sz w:val="16"/>
      <w:szCs w:val="20"/>
    </w:rPr>
  </w:style>
  <w:style w:type="character" w:customStyle="1" w:styleId="FootnoteTextChar">
    <w:name w:val="Footnote Text Char"/>
    <w:link w:val="FootnoteText"/>
    <w:uiPriority w:val="99"/>
    <w:rsid w:val="008F6ADF"/>
    <w:rPr>
      <w:sz w:val="16"/>
    </w:rPr>
  </w:style>
  <w:style w:type="character" w:styleId="FootnoteReference">
    <w:name w:val="footnote reference"/>
    <w:uiPriority w:val="99"/>
    <w:semiHidden/>
    <w:unhideWhenUsed/>
    <w:rsid w:val="00A710CC"/>
    <w:rPr>
      <w:vertAlign w:val="superscript"/>
    </w:rPr>
  </w:style>
  <w:style w:type="paragraph" w:styleId="HTMLPreformatted">
    <w:name w:val="HTML Preformatted"/>
    <w:basedOn w:val="Normal"/>
    <w:link w:val="HTMLPreformattedChar"/>
    <w:uiPriority w:val="99"/>
    <w:unhideWhenUsed/>
    <w:rsid w:val="00A7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710CC"/>
    <w:rPr>
      <w:rFonts w:ascii="Courier New" w:eastAsia="Times New Roman" w:hAnsi="Courier New" w:cs="Courier New"/>
      <w:sz w:val="20"/>
      <w:szCs w:val="20"/>
      <w:lang w:eastAsia="en-AU"/>
    </w:rPr>
  </w:style>
  <w:style w:type="paragraph" w:styleId="NormalWeb">
    <w:name w:val="Normal (Web)"/>
    <w:basedOn w:val="Normal"/>
    <w:uiPriority w:val="99"/>
    <w:rsid w:val="00A710CC"/>
    <w:pPr>
      <w:spacing w:before="100" w:beforeAutospacing="1" w:after="100" w:afterAutospacing="1"/>
    </w:pPr>
    <w:rPr>
      <w:rFonts w:ascii="Times New Roman" w:eastAsia="Times New Roman" w:hAnsi="Times New Roman"/>
      <w:sz w:val="24"/>
      <w:szCs w:val="24"/>
    </w:rPr>
  </w:style>
  <w:style w:type="character" w:customStyle="1" w:styleId="contentossregulation">
    <w:name w:val="contentossregulation"/>
    <w:basedOn w:val="DefaultParagraphFont"/>
    <w:rsid w:val="00A710CC"/>
  </w:style>
  <w:style w:type="paragraph" w:styleId="ListParagraph">
    <w:name w:val="List Paragraph"/>
    <w:basedOn w:val="Normal"/>
    <w:uiPriority w:val="34"/>
    <w:qFormat/>
    <w:rsid w:val="00A710CC"/>
    <w:pPr>
      <w:spacing w:after="200" w:line="276" w:lineRule="auto"/>
      <w:ind w:left="720"/>
      <w:contextualSpacing/>
    </w:pPr>
    <w:rPr>
      <w:lang w:eastAsia="en-US"/>
    </w:rPr>
  </w:style>
  <w:style w:type="character" w:customStyle="1" w:styleId="Heading3Char">
    <w:name w:val="Heading 3 Char"/>
    <w:link w:val="Heading3"/>
    <w:rsid w:val="00E856A0"/>
    <w:rPr>
      <w:rFonts w:eastAsia="Times New Roman" w:cs="Arial"/>
      <w:b/>
      <w:bCs/>
      <w:sz w:val="24"/>
      <w:szCs w:val="26"/>
    </w:rPr>
  </w:style>
  <w:style w:type="character" w:styleId="CommentReference">
    <w:name w:val="annotation reference"/>
    <w:semiHidden/>
    <w:unhideWhenUsed/>
    <w:rsid w:val="00481E31"/>
    <w:rPr>
      <w:sz w:val="16"/>
      <w:szCs w:val="16"/>
    </w:rPr>
  </w:style>
  <w:style w:type="paragraph" w:styleId="CommentText">
    <w:name w:val="annotation text"/>
    <w:basedOn w:val="Normal"/>
    <w:link w:val="CommentTextChar"/>
    <w:semiHidden/>
    <w:unhideWhenUsed/>
    <w:rsid w:val="00481E31"/>
    <w:rPr>
      <w:sz w:val="20"/>
      <w:szCs w:val="20"/>
    </w:rPr>
  </w:style>
  <w:style w:type="character" w:customStyle="1" w:styleId="CommentTextChar">
    <w:name w:val="Comment Text Char"/>
    <w:basedOn w:val="DefaultParagraphFont"/>
    <w:link w:val="CommentText"/>
    <w:semiHidden/>
    <w:rsid w:val="00481E31"/>
  </w:style>
  <w:style w:type="paragraph" w:styleId="CommentSubject">
    <w:name w:val="annotation subject"/>
    <w:basedOn w:val="CommentText"/>
    <w:next w:val="CommentText"/>
    <w:link w:val="CommentSubjectChar"/>
    <w:uiPriority w:val="99"/>
    <w:semiHidden/>
    <w:unhideWhenUsed/>
    <w:rsid w:val="00481E31"/>
    <w:rPr>
      <w:b/>
      <w:bCs/>
    </w:rPr>
  </w:style>
  <w:style w:type="character" w:customStyle="1" w:styleId="CommentSubjectChar">
    <w:name w:val="Comment Subject Char"/>
    <w:link w:val="CommentSubject"/>
    <w:uiPriority w:val="99"/>
    <w:semiHidden/>
    <w:rsid w:val="00481E31"/>
    <w:rPr>
      <w:b/>
      <w:bCs/>
    </w:rPr>
  </w:style>
  <w:style w:type="paragraph" w:styleId="BalloonText">
    <w:name w:val="Balloon Text"/>
    <w:basedOn w:val="Normal"/>
    <w:link w:val="BalloonTextChar"/>
    <w:uiPriority w:val="99"/>
    <w:semiHidden/>
    <w:unhideWhenUsed/>
    <w:rsid w:val="00481E31"/>
    <w:rPr>
      <w:rFonts w:ascii="Tahoma" w:hAnsi="Tahoma" w:cs="Tahoma"/>
      <w:sz w:val="16"/>
      <w:szCs w:val="16"/>
    </w:rPr>
  </w:style>
  <w:style w:type="character" w:customStyle="1" w:styleId="BalloonTextChar">
    <w:name w:val="Balloon Text Char"/>
    <w:link w:val="BalloonText"/>
    <w:uiPriority w:val="99"/>
    <w:semiHidden/>
    <w:rsid w:val="00481E31"/>
    <w:rPr>
      <w:rFonts w:ascii="Tahoma" w:hAnsi="Tahoma" w:cs="Tahoma"/>
      <w:sz w:val="16"/>
      <w:szCs w:val="16"/>
    </w:rPr>
  </w:style>
  <w:style w:type="character" w:customStyle="1" w:styleId="Heading1Char">
    <w:name w:val="Heading 1 Char"/>
    <w:link w:val="Heading1"/>
    <w:rsid w:val="00F42065"/>
    <w:rPr>
      <w:rFonts w:eastAsia="Times New Roman"/>
      <w:b/>
      <w:bCs/>
      <w:kern w:val="32"/>
      <w:sz w:val="28"/>
      <w:szCs w:val="32"/>
    </w:rPr>
  </w:style>
  <w:style w:type="paragraph" w:customStyle="1" w:styleId="Default">
    <w:name w:val="Default"/>
    <w:rsid w:val="00D06CEF"/>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59"/>
    <w:rsid w:val="009D6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vrrreviewtext">
    <w:name w:val="bvrrreviewtext"/>
    <w:basedOn w:val="DefaultParagraphFont"/>
    <w:rsid w:val="00D80D6A"/>
  </w:style>
  <w:style w:type="paragraph" w:styleId="Header">
    <w:name w:val="header"/>
    <w:basedOn w:val="Normal"/>
    <w:link w:val="HeaderChar"/>
    <w:uiPriority w:val="99"/>
    <w:unhideWhenUsed/>
    <w:rsid w:val="00666A28"/>
    <w:pPr>
      <w:tabs>
        <w:tab w:val="center" w:pos="4513"/>
        <w:tab w:val="right" w:pos="9026"/>
      </w:tabs>
    </w:pPr>
  </w:style>
  <w:style w:type="character" w:customStyle="1" w:styleId="HeaderChar">
    <w:name w:val="Header Char"/>
    <w:link w:val="Header"/>
    <w:uiPriority w:val="99"/>
    <w:rsid w:val="00666A28"/>
    <w:rPr>
      <w:sz w:val="22"/>
      <w:szCs w:val="22"/>
    </w:rPr>
  </w:style>
  <w:style w:type="paragraph" w:styleId="Footer">
    <w:name w:val="footer"/>
    <w:basedOn w:val="Normal"/>
    <w:link w:val="FooterChar"/>
    <w:uiPriority w:val="99"/>
    <w:unhideWhenUsed/>
    <w:rsid w:val="00666A28"/>
    <w:pPr>
      <w:tabs>
        <w:tab w:val="center" w:pos="4513"/>
        <w:tab w:val="right" w:pos="9026"/>
      </w:tabs>
    </w:pPr>
  </w:style>
  <w:style w:type="character" w:customStyle="1" w:styleId="FooterChar">
    <w:name w:val="Footer Char"/>
    <w:link w:val="Footer"/>
    <w:uiPriority w:val="99"/>
    <w:rsid w:val="00666A28"/>
    <w:rPr>
      <w:sz w:val="22"/>
      <w:szCs w:val="22"/>
    </w:rPr>
  </w:style>
  <w:style w:type="paragraph" w:styleId="TOCHeading">
    <w:name w:val="TOC Heading"/>
    <w:basedOn w:val="Heading1"/>
    <w:next w:val="Normal"/>
    <w:uiPriority w:val="39"/>
    <w:semiHidden/>
    <w:unhideWhenUsed/>
    <w:qFormat/>
    <w:rsid w:val="008B3475"/>
    <w:pPr>
      <w:keepLines/>
      <w:spacing w:before="480" w:after="0" w:line="276" w:lineRule="auto"/>
      <w:outlineLvl w:val="9"/>
    </w:pPr>
    <w:rPr>
      <w:rFonts w:eastAsia="MS Gothic"/>
      <w:color w:val="365F91"/>
      <w:kern w:val="0"/>
      <w:szCs w:val="28"/>
      <w:lang w:val="en-US" w:eastAsia="ja-JP"/>
    </w:rPr>
  </w:style>
  <w:style w:type="paragraph" w:styleId="TOC1">
    <w:name w:val="toc 1"/>
    <w:basedOn w:val="Default"/>
    <w:next w:val="Heading2"/>
    <w:autoRedefine/>
    <w:uiPriority w:val="39"/>
    <w:unhideWhenUsed/>
    <w:qFormat/>
    <w:rsid w:val="005D1200"/>
    <w:rPr>
      <w:rFonts w:ascii="Calibri" w:hAnsi="Calibri"/>
      <w:sz w:val="20"/>
    </w:rPr>
  </w:style>
  <w:style w:type="character" w:customStyle="1" w:styleId="Heading4Char">
    <w:name w:val="Heading 4 Char"/>
    <w:link w:val="Heading4"/>
    <w:uiPriority w:val="9"/>
    <w:rsid w:val="00680C93"/>
    <w:rPr>
      <w:rFonts w:ascii="Calibri" w:eastAsia="Times New Roman" w:hAnsi="Calibri" w:cs="Times New Roman"/>
      <w:b/>
      <w:bCs/>
      <w:sz w:val="28"/>
      <w:szCs w:val="28"/>
    </w:rPr>
  </w:style>
  <w:style w:type="paragraph" w:styleId="TOC3">
    <w:name w:val="toc 3"/>
    <w:basedOn w:val="Normal"/>
    <w:next w:val="Normal"/>
    <w:autoRedefine/>
    <w:uiPriority w:val="39"/>
    <w:unhideWhenUsed/>
    <w:qFormat/>
    <w:rsid w:val="002D1151"/>
    <w:pPr>
      <w:ind w:left="440"/>
    </w:pPr>
  </w:style>
  <w:style w:type="character" w:customStyle="1" w:styleId="Heading2Char">
    <w:name w:val="Heading 2 Char"/>
    <w:link w:val="Heading2"/>
    <w:uiPriority w:val="9"/>
    <w:rsid w:val="00F42065"/>
    <w:rPr>
      <w:rFonts w:eastAsia="Times New Roman"/>
      <w:b/>
      <w:bCs/>
      <w:iCs/>
      <w:sz w:val="24"/>
      <w:szCs w:val="28"/>
    </w:rPr>
  </w:style>
  <w:style w:type="character" w:styleId="Strong">
    <w:name w:val="Strong"/>
    <w:uiPriority w:val="22"/>
    <w:qFormat/>
    <w:rsid w:val="009764F7"/>
    <w:rPr>
      <w:b/>
      <w:bCs/>
    </w:rPr>
  </w:style>
  <w:style w:type="character" w:customStyle="1" w:styleId="Heading5Char">
    <w:name w:val="Heading 5 Char"/>
    <w:link w:val="Heading5"/>
    <w:uiPriority w:val="9"/>
    <w:rsid w:val="00E856A0"/>
    <w:rPr>
      <w:rFonts w:ascii="Calibri" w:eastAsia="Times New Roman" w:hAnsi="Calibri" w:cs="Times New Roman"/>
      <w:b/>
      <w:bCs/>
      <w:i/>
      <w:iCs/>
      <w:sz w:val="26"/>
      <w:szCs w:val="26"/>
    </w:rPr>
  </w:style>
  <w:style w:type="paragraph" w:styleId="TOC2">
    <w:name w:val="toc 2"/>
    <w:basedOn w:val="Normal"/>
    <w:next w:val="Normal"/>
    <w:autoRedefine/>
    <w:uiPriority w:val="39"/>
    <w:unhideWhenUsed/>
    <w:qFormat/>
    <w:rsid w:val="00F42065"/>
    <w:pPr>
      <w:ind w:left="220"/>
    </w:pPr>
  </w:style>
  <w:style w:type="paragraph" w:styleId="NoSpacing">
    <w:name w:val="No Spacing"/>
    <w:uiPriority w:val="1"/>
    <w:qFormat/>
    <w:rsid w:val="00F4206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4197">
      <w:bodyDiv w:val="1"/>
      <w:marLeft w:val="0"/>
      <w:marRight w:val="0"/>
      <w:marTop w:val="0"/>
      <w:marBottom w:val="0"/>
      <w:divBdr>
        <w:top w:val="none" w:sz="0" w:space="0" w:color="auto"/>
        <w:left w:val="none" w:sz="0" w:space="0" w:color="auto"/>
        <w:bottom w:val="none" w:sz="0" w:space="0" w:color="auto"/>
        <w:right w:val="none" w:sz="0" w:space="0" w:color="auto"/>
      </w:divBdr>
    </w:div>
    <w:div w:id="351499178">
      <w:bodyDiv w:val="1"/>
      <w:marLeft w:val="0"/>
      <w:marRight w:val="0"/>
      <w:marTop w:val="0"/>
      <w:marBottom w:val="0"/>
      <w:divBdr>
        <w:top w:val="none" w:sz="0" w:space="0" w:color="auto"/>
        <w:left w:val="none" w:sz="0" w:space="0" w:color="auto"/>
        <w:bottom w:val="none" w:sz="0" w:space="0" w:color="auto"/>
        <w:right w:val="none" w:sz="0" w:space="0" w:color="auto"/>
      </w:divBdr>
      <w:divsChild>
        <w:div w:id="908423330">
          <w:marLeft w:val="0"/>
          <w:marRight w:val="0"/>
          <w:marTop w:val="0"/>
          <w:marBottom w:val="0"/>
          <w:divBdr>
            <w:top w:val="none" w:sz="0" w:space="0" w:color="auto"/>
            <w:left w:val="none" w:sz="0" w:space="0" w:color="auto"/>
            <w:bottom w:val="none" w:sz="0" w:space="0" w:color="auto"/>
            <w:right w:val="none" w:sz="0" w:space="0" w:color="auto"/>
          </w:divBdr>
          <w:divsChild>
            <w:div w:id="1508325608">
              <w:marLeft w:val="0"/>
              <w:marRight w:val="0"/>
              <w:marTop w:val="0"/>
              <w:marBottom w:val="0"/>
              <w:divBdr>
                <w:top w:val="none" w:sz="0" w:space="0" w:color="auto"/>
                <w:left w:val="none" w:sz="0" w:space="0" w:color="auto"/>
                <w:bottom w:val="none" w:sz="0" w:space="0" w:color="auto"/>
                <w:right w:val="none" w:sz="0" w:space="0" w:color="auto"/>
              </w:divBdr>
              <w:divsChild>
                <w:div w:id="1365132448">
                  <w:marLeft w:val="0"/>
                  <w:marRight w:val="0"/>
                  <w:marTop w:val="0"/>
                  <w:marBottom w:val="0"/>
                  <w:divBdr>
                    <w:top w:val="none" w:sz="0" w:space="0" w:color="auto"/>
                    <w:left w:val="none" w:sz="0" w:space="0" w:color="auto"/>
                    <w:bottom w:val="none" w:sz="0" w:space="0" w:color="auto"/>
                    <w:right w:val="none" w:sz="0" w:space="0" w:color="auto"/>
                  </w:divBdr>
                  <w:divsChild>
                    <w:div w:id="1205019656">
                      <w:marLeft w:val="0"/>
                      <w:marRight w:val="0"/>
                      <w:marTop w:val="0"/>
                      <w:marBottom w:val="0"/>
                      <w:divBdr>
                        <w:top w:val="none" w:sz="0" w:space="0" w:color="auto"/>
                        <w:left w:val="none" w:sz="0" w:space="0" w:color="auto"/>
                        <w:bottom w:val="none" w:sz="0" w:space="0" w:color="auto"/>
                        <w:right w:val="none" w:sz="0" w:space="0" w:color="auto"/>
                      </w:divBdr>
                      <w:divsChild>
                        <w:div w:id="931470380">
                          <w:marLeft w:val="0"/>
                          <w:marRight w:val="0"/>
                          <w:marTop w:val="0"/>
                          <w:marBottom w:val="0"/>
                          <w:divBdr>
                            <w:top w:val="single" w:sz="2" w:space="0" w:color="828282"/>
                            <w:left w:val="single" w:sz="2" w:space="0" w:color="828282"/>
                            <w:bottom w:val="single" w:sz="2" w:space="0" w:color="828282"/>
                            <w:right w:val="single" w:sz="2" w:space="0" w:color="828282"/>
                          </w:divBdr>
                          <w:divsChild>
                            <w:div w:id="1960256866">
                              <w:marLeft w:val="0"/>
                              <w:marRight w:val="0"/>
                              <w:marTop w:val="0"/>
                              <w:marBottom w:val="0"/>
                              <w:divBdr>
                                <w:top w:val="none" w:sz="0" w:space="0" w:color="auto"/>
                                <w:left w:val="none" w:sz="0" w:space="0" w:color="auto"/>
                                <w:bottom w:val="none" w:sz="0" w:space="0" w:color="auto"/>
                                <w:right w:val="none" w:sz="0" w:space="0" w:color="auto"/>
                              </w:divBdr>
                              <w:divsChild>
                                <w:div w:id="673654850">
                                  <w:marLeft w:val="0"/>
                                  <w:marRight w:val="0"/>
                                  <w:marTop w:val="0"/>
                                  <w:marBottom w:val="0"/>
                                  <w:divBdr>
                                    <w:top w:val="none" w:sz="0" w:space="0" w:color="auto"/>
                                    <w:left w:val="none" w:sz="0" w:space="0" w:color="auto"/>
                                    <w:bottom w:val="none" w:sz="0" w:space="0" w:color="auto"/>
                                    <w:right w:val="none" w:sz="0" w:space="0" w:color="auto"/>
                                  </w:divBdr>
                                  <w:divsChild>
                                    <w:div w:id="1601797707">
                                      <w:marLeft w:val="0"/>
                                      <w:marRight w:val="0"/>
                                      <w:marTop w:val="0"/>
                                      <w:marBottom w:val="0"/>
                                      <w:divBdr>
                                        <w:top w:val="none" w:sz="0" w:space="0" w:color="auto"/>
                                        <w:left w:val="none" w:sz="0" w:space="0" w:color="auto"/>
                                        <w:bottom w:val="none" w:sz="0" w:space="0" w:color="auto"/>
                                        <w:right w:val="none" w:sz="0" w:space="0" w:color="auto"/>
                                      </w:divBdr>
                                      <w:divsChild>
                                        <w:div w:id="1261529051">
                                          <w:marLeft w:val="0"/>
                                          <w:marRight w:val="0"/>
                                          <w:marTop w:val="0"/>
                                          <w:marBottom w:val="0"/>
                                          <w:divBdr>
                                            <w:top w:val="none" w:sz="0" w:space="0" w:color="auto"/>
                                            <w:left w:val="none" w:sz="0" w:space="0" w:color="auto"/>
                                            <w:bottom w:val="none" w:sz="0" w:space="0" w:color="auto"/>
                                            <w:right w:val="none" w:sz="0" w:space="0" w:color="auto"/>
                                          </w:divBdr>
                                          <w:divsChild>
                                            <w:div w:id="1461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490070">
      <w:bodyDiv w:val="1"/>
      <w:marLeft w:val="0"/>
      <w:marRight w:val="0"/>
      <w:marTop w:val="0"/>
      <w:marBottom w:val="0"/>
      <w:divBdr>
        <w:top w:val="none" w:sz="0" w:space="0" w:color="auto"/>
        <w:left w:val="none" w:sz="0" w:space="0" w:color="auto"/>
        <w:bottom w:val="none" w:sz="0" w:space="0" w:color="auto"/>
        <w:right w:val="none" w:sz="0" w:space="0" w:color="auto"/>
      </w:divBdr>
      <w:divsChild>
        <w:div w:id="1982073778">
          <w:marLeft w:val="0"/>
          <w:marRight w:val="0"/>
          <w:marTop w:val="0"/>
          <w:marBottom w:val="0"/>
          <w:divBdr>
            <w:top w:val="none" w:sz="0" w:space="0" w:color="auto"/>
            <w:left w:val="none" w:sz="0" w:space="0" w:color="auto"/>
            <w:bottom w:val="none" w:sz="0" w:space="0" w:color="auto"/>
            <w:right w:val="none" w:sz="0" w:space="0" w:color="auto"/>
          </w:divBdr>
          <w:divsChild>
            <w:div w:id="998575762">
              <w:marLeft w:val="0"/>
              <w:marRight w:val="0"/>
              <w:marTop w:val="0"/>
              <w:marBottom w:val="0"/>
              <w:divBdr>
                <w:top w:val="none" w:sz="0" w:space="0" w:color="auto"/>
                <w:left w:val="none" w:sz="0" w:space="0" w:color="auto"/>
                <w:bottom w:val="none" w:sz="0" w:space="0" w:color="auto"/>
                <w:right w:val="none" w:sz="0" w:space="0" w:color="auto"/>
              </w:divBdr>
              <w:divsChild>
                <w:div w:id="1380128397">
                  <w:marLeft w:val="0"/>
                  <w:marRight w:val="0"/>
                  <w:marTop w:val="0"/>
                  <w:marBottom w:val="0"/>
                  <w:divBdr>
                    <w:top w:val="none" w:sz="0" w:space="0" w:color="auto"/>
                    <w:left w:val="none" w:sz="0" w:space="0" w:color="auto"/>
                    <w:bottom w:val="none" w:sz="0" w:space="0" w:color="auto"/>
                    <w:right w:val="none" w:sz="0" w:space="0" w:color="auto"/>
                  </w:divBdr>
                  <w:divsChild>
                    <w:div w:id="2038770019">
                      <w:marLeft w:val="0"/>
                      <w:marRight w:val="0"/>
                      <w:marTop w:val="0"/>
                      <w:marBottom w:val="0"/>
                      <w:divBdr>
                        <w:top w:val="none" w:sz="0" w:space="0" w:color="auto"/>
                        <w:left w:val="none" w:sz="0" w:space="0" w:color="auto"/>
                        <w:bottom w:val="none" w:sz="0" w:space="0" w:color="auto"/>
                        <w:right w:val="none" w:sz="0" w:space="0" w:color="auto"/>
                      </w:divBdr>
                      <w:divsChild>
                        <w:div w:id="260919845">
                          <w:marLeft w:val="0"/>
                          <w:marRight w:val="0"/>
                          <w:marTop w:val="0"/>
                          <w:marBottom w:val="0"/>
                          <w:divBdr>
                            <w:top w:val="single" w:sz="2" w:space="0" w:color="828282"/>
                            <w:left w:val="single" w:sz="2" w:space="0" w:color="828282"/>
                            <w:bottom w:val="single" w:sz="2" w:space="0" w:color="828282"/>
                            <w:right w:val="single" w:sz="2" w:space="0" w:color="828282"/>
                          </w:divBdr>
                          <w:divsChild>
                            <w:div w:id="277949617">
                              <w:marLeft w:val="0"/>
                              <w:marRight w:val="0"/>
                              <w:marTop w:val="0"/>
                              <w:marBottom w:val="0"/>
                              <w:divBdr>
                                <w:top w:val="none" w:sz="0" w:space="0" w:color="auto"/>
                                <w:left w:val="none" w:sz="0" w:space="0" w:color="auto"/>
                                <w:bottom w:val="none" w:sz="0" w:space="0" w:color="auto"/>
                                <w:right w:val="none" w:sz="0" w:space="0" w:color="auto"/>
                              </w:divBdr>
                              <w:divsChild>
                                <w:div w:id="620768419">
                                  <w:marLeft w:val="0"/>
                                  <w:marRight w:val="0"/>
                                  <w:marTop w:val="0"/>
                                  <w:marBottom w:val="0"/>
                                  <w:divBdr>
                                    <w:top w:val="none" w:sz="0" w:space="0" w:color="auto"/>
                                    <w:left w:val="none" w:sz="0" w:space="0" w:color="auto"/>
                                    <w:bottom w:val="none" w:sz="0" w:space="0" w:color="auto"/>
                                    <w:right w:val="none" w:sz="0" w:space="0" w:color="auto"/>
                                  </w:divBdr>
                                  <w:divsChild>
                                    <w:div w:id="600182886">
                                      <w:marLeft w:val="0"/>
                                      <w:marRight w:val="0"/>
                                      <w:marTop w:val="0"/>
                                      <w:marBottom w:val="0"/>
                                      <w:divBdr>
                                        <w:top w:val="none" w:sz="0" w:space="0" w:color="auto"/>
                                        <w:left w:val="none" w:sz="0" w:space="0" w:color="auto"/>
                                        <w:bottom w:val="none" w:sz="0" w:space="0" w:color="auto"/>
                                        <w:right w:val="none" w:sz="0" w:space="0" w:color="auto"/>
                                      </w:divBdr>
                                      <w:divsChild>
                                        <w:div w:id="390464737">
                                          <w:marLeft w:val="0"/>
                                          <w:marRight w:val="0"/>
                                          <w:marTop w:val="0"/>
                                          <w:marBottom w:val="0"/>
                                          <w:divBdr>
                                            <w:top w:val="none" w:sz="0" w:space="0" w:color="auto"/>
                                            <w:left w:val="none" w:sz="0" w:space="0" w:color="auto"/>
                                            <w:bottom w:val="none" w:sz="0" w:space="0" w:color="auto"/>
                                            <w:right w:val="none" w:sz="0" w:space="0" w:color="auto"/>
                                          </w:divBdr>
                                          <w:divsChild>
                                            <w:div w:id="915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ductsafety.regulation@acc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iglobal.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tion.acc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cc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519C7-4E48-4530-84E2-BF5E1632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F1459362.dotm</Template>
  <TotalTime>1</TotalTime>
  <Pages>17</Pages>
  <Words>5970</Words>
  <Characters>34031</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39922</CharactersWithSpaces>
  <SharedDoc>false</SharedDoc>
  <HLinks>
    <vt:vector size="60" baseType="variant">
      <vt:variant>
        <vt:i4>5636189</vt:i4>
      </vt:variant>
      <vt:variant>
        <vt:i4>66</vt:i4>
      </vt:variant>
      <vt:variant>
        <vt:i4>0</vt:i4>
      </vt:variant>
      <vt:variant>
        <vt:i4>5</vt:i4>
      </vt:variant>
      <vt:variant>
        <vt:lpwstr>http://www.bigbeanbags.co.uk/u.php?20</vt:lpwstr>
      </vt:variant>
      <vt:variant>
        <vt:lpwstr/>
      </vt:variant>
      <vt:variant>
        <vt:i4>6094943</vt:i4>
      </vt:variant>
      <vt:variant>
        <vt:i4>60</vt:i4>
      </vt:variant>
      <vt:variant>
        <vt:i4>0</vt:i4>
      </vt:variant>
      <vt:variant>
        <vt:i4>5</vt:i4>
      </vt:variant>
      <vt:variant>
        <vt:lpwstr>http://www.sitbackandrelax.com.au/product_info.php?cPath=31&amp;products_id=95</vt:lpwstr>
      </vt:variant>
      <vt:variant>
        <vt:lpwstr/>
      </vt:variant>
      <vt:variant>
        <vt:i4>6488091</vt:i4>
      </vt:variant>
      <vt:variant>
        <vt:i4>51</vt:i4>
      </vt:variant>
      <vt:variant>
        <vt:i4>0</vt:i4>
      </vt:variant>
      <vt:variant>
        <vt:i4>5</vt:i4>
      </vt:variant>
      <vt:variant>
        <vt:lpwstr>http://cgi.ebay.com.au/Baby-Bean-Bag-GPO-BNWT_W0QQitemZ260396757922QQcmdZViewItemQQptZAU_Prams_Strollers?hash=item260396757922&amp;_trksid=p3286.c0.m14&amp;_trkparms=66%3A2%7C65%3A1%7C39%3A1%7C240%3A1318</vt:lpwstr>
      </vt:variant>
      <vt:variant>
        <vt:lpwstr>ebayphotohosting#ebayphotohosting</vt:lpwstr>
      </vt:variant>
      <vt:variant>
        <vt:i4>5046386</vt:i4>
      </vt:variant>
      <vt:variant>
        <vt:i4>36</vt:i4>
      </vt:variant>
      <vt:variant>
        <vt:i4>0</vt:i4>
      </vt:variant>
      <vt:variant>
        <vt:i4>5</vt:i4>
      </vt:variant>
      <vt:variant>
        <vt:lpwstr>http://www.tinos.com.au/epages/tinos.sf/en_AU/?ObjectPath=/Shops/tinos/Products/Mojo-Bean-Bag-UFO/SubProducts/Mojo-Bean-Bag-UFO-Aqua</vt:lpwstr>
      </vt:variant>
      <vt:variant>
        <vt:lpwstr/>
      </vt:variant>
      <vt:variant>
        <vt:i4>4718630</vt:i4>
      </vt:variant>
      <vt:variant>
        <vt:i4>15</vt:i4>
      </vt:variant>
      <vt:variant>
        <vt:i4>0</vt:i4>
      </vt:variant>
      <vt:variant>
        <vt:i4>5</vt:i4>
      </vt:variant>
      <vt:variant>
        <vt:lpwstr>http://homemaster.en.ec21.com/Microbead_Frog_Pillow--714131_1880594.html</vt:lpwstr>
      </vt:variant>
      <vt:variant>
        <vt:lpwstr/>
      </vt:variant>
      <vt:variant>
        <vt:i4>3670065</vt:i4>
      </vt:variant>
      <vt:variant>
        <vt:i4>9</vt:i4>
      </vt:variant>
      <vt:variant>
        <vt:i4>0</vt:i4>
      </vt:variant>
      <vt:variant>
        <vt:i4>5</vt:i4>
      </vt:variant>
      <vt:variant>
        <vt:lpwstr>http://massagerxm.en.ec21.com/Microbead_Neck_Massage_Pillow--1902738_1902748.html</vt:lpwstr>
      </vt:variant>
      <vt:variant>
        <vt:lpwstr/>
      </vt:variant>
      <vt:variant>
        <vt:i4>5242998</vt:i4>
      </vt:variant>
      <vt:variant>
        <vt:i4>3</vt:i4>
      </vt:variant>
      <vt:variant>
        <vt:i4>0</vt:i4>
      </vt:variant>
      <vt:variant>
        <vt:i4>5</vt:i4>
      </vt:variant>
      <vt:variant>
        <vt:lpwstr>http://leadershow.en.ec21.com/Big_V_Maternity_Pillow_with--1821616_1821681.html</vt:lpwstr>
      </vt:variant>
      <vt:variant>
        <vt:lpwstr/>
      </vt:variant>
      <vt:variant>
        <vt:i4>7667771</vt:i4>
      </vt:variant>
      <vt:variant>
        <vt:i4>3</vt:i4>
      </vt:variant>
      <vt:variant>
        <vt:i4>0</vt:i4>
      </vt:variant>
      <vt:variant>
        <vt:i4>5</vt:i4>
      </vt:variant>
      <vt:variant>
        <vt:lpwstr>http://www.cpsc.gov/en/Recalls/1995/CPSC-Baseline-Design-Recall-Bean-Bag-Chair-Following-Death/</vt:lpwstr>
      </vt:variant>
      <vt:variant>
        <vt:lpwstr/>
      </vt:variant>
      <vt:variant>
        <vt:i4>2031651</vt:i4>
      </vt:variant>
      <vt:variant>
        <vt:i4>0</vt:i4>
      </vt:variant>
      <vt:variant>
        <vt:i4>0</vt:i4>
      </vt:variant>
      <vt:variant>
        <vt:i4>5</vt:i4>
      </vt:variant>
      <vt:variant>
        <vt:lpwstr>http://www.cpsc.gov//PageFiles/117218/cpsr_nws05.pdf</vt:lpwstr>
      </vt:variant>
      <vt:variant>
        <vt:lpwstr/>
      </vt:variant>
      <vt:variant>
        <vt:i4>2359314</vt:i4>
      </vt:variant>
      <vt:variant>
        <vt:i4>28679</vt:i4>
      </vt:variant>
      <vt:variant>
        <vt:i4>1036</vt:i4>
      </vt:variant>
      <vt:variant>
        <vt:i4>1</vt:i4>
      </vt:variant>
      <vt:variant>
        <vt:lpwstr>http://www.tinos.com.au/WebRoot/ecdb4/Shops/tinos/492D/1601/5798/E230/1FF4/C0A8/D218/C6FC/Mojo-Doggie-Style-Maxi-Bean-Bag-Dark-Green_h.jpg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gmiln</dc:creator>
  <cp:keywords/>
  <dc:description/>
  <cp:lastModifiedBy>Polmear, Erin</cp:lastModifiedBy>
  <cp:revision>2</cp:revision>
  <cp:lastPrinted>2014-08-01T01:06:00Z</cp:lastPrinted>
  <dcterms:created xsi:type="dcterms:W3CDTF">2014-08-01T01:07:00Z</dcterms:created>
  <dcterms:modified xsi:type="dcterms:W3CDTF">2014-08-01T01:07:00Z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H:\TRIMDATA\TRIM\TEMP\HPTRIM.4780\D14 18404[V2]  PSB Household Cot Consultation Paper- Final 2014.DOCX</vt:lpwstr>
  </property>
</Properties>
</file>