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49" w:rsidRDefault="00F12C20" w:rsidP="00935D49">
      <w:bookmarkStart w:id="0" w:name="_GoBack"/>
      <w:bookmarkEnd w:id="0"/>
      <w:r>
        <w:rPr>
          <w:noProof/>
        </w:rPr>
        <w:pict>
          <v:rect id="Rectangle 7" o:spid="_x0000_s1026" style="position:absolute;margin-left:-51pt;margin-top:-50.5pt;width:555.75pt;height:800.2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" fillcolor="#d5d6d2" stroked="f" strokeweight="2pt"/>
        </w:pict>
      </w:r>
      <w:r w:rsidR="00935D49">
        <w:t xml:space="preserve"> </w:t>
      </w: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Title: ACCC Logo" style="width:213pt;height:46.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">
            <v:imagedata r:id="rId10" o:title=""/>
          </v:shape>
        </w:pict>
      </w:r>
    </w:p>
    <w:p w:rsidR="00935D49" w:rsidRPr="005E6C0E" w:rsidRDefault="00935D49" w:rsidP="00935D49"/>
    <w:tbl>
      <w:tblPr>
        <w:tblW w:w="0" w:type="auto"/>
        <w:tblLook w:val="0400" w:firstRow="0" w:lastRow="0" w:firstColumn="0" w:lastColumn="0" w:noHBand="0" w:noVBand="1"/>
      </w:tblPr>
      <w:tblGrid>
        <w:gridCol w:w="9242"/>
      </w:tblGrid>
      <w:tr w:rsidR="00935D49" w:rsidRPr="00DD7648" w:rsidTr="00DD7648">
        <w:trPr>
          <w:trHeight w:val="3135"/>
        </w:trPr>
        <w:tc>
          <w:tcPr>
            <w:tcW w:w="9242" w:type="dxa"/>
            <w:shd w:val="clear" w:color="auto" w:fill="auto"/>
          </w:tcPr>
          <w:p w:rsidR="00935D49" w:rsidRPr="00DD7648" w:rsidRDefault="00935D49" w:rsidP="00DD7648">
            <w:pPr>
              <w:spacing w:before="720" w:after="60"/>
              <w:contextualSpacing/>
              <w:outlineLvl w:val="0"/>
              <w:rPr>
                <w:rFonts w:ascii="Lucida Fax" w:eastAsia="Times New Roman" w:hAnsi="Lucida Fax"/>
                <w:color w:val="4F2D7D"/>
                <w:spacing w:val="5"/>
                <w:kern w:val="28"/>
                <w:sz w:val="72"/>
                <w:szCs w:val="52"/>
              </w:rPr>
            </w:pPr>
          </w:p>
        </w:tc>
      </w:tr>
      <w:tr w:rsidR="00935D49" w:rsidRPr="00DD7648" w:rsidTr="00DD7648">
        <w:tc>
          <w:tcPr>
            <w:tcW w:w="9242" w:type="dxa"/>
            <w:shd w:val="clear" w:color="auto" w:fill="auto"/>
          </w:tcPr>
          <w:p w:rsidR="00935D49" w:rsidRPr="00DD7648" w:rsidRDefault="00935D49" w:rsidP="00242590">
            <w:pPr>
              <w:pStyle w:val="NoSpacing"/>
              <w:spacing w:before="60" w:after="60"/>
              <w:rPr>
                <w:rFonts w:ascii="Lucida Fax" w:hAnsi="Lucida Fax"/>
                <w:color w:val="4F2D7D"/>
                <w:sz w:val="72"/>
                <w:szCs w:val="72"/>
              </w:rPr>
            </w:pPr>
            <w:r w:rsidRPr="00DD7648">
              <w:rPr>
                <w:rFonts w:ascii="Lucida Fax" w:hAnsi="Lucida Fax"/>
                <w:color w:val="4F2D7D"/>
                <w:sz w:val="72"/>
                <w:szCs w:val="72"/>
              </w:rPr>
              <w:t xml:space="preserve">Review of </w:t>
            </w:r>
            <w:r w:rsidR="00426A70">
              <w:rPr>
                <w:rFonts w:ascii="Lucida Fax" w:hAnsi="Lucida Fax"/>
                <w:color w:val="4F2D7D"/>
                <w:sz w:val="72"/>
                <w:szCs w:val="72"/>
              </w:rPr>
              <w:t xml:space="preserve">the </w:t>
            </w:r>
            <w:r w:rsidR="00242590" w:rsidRPr="00426A70">
              <w:rPr>
                <w:rFonts w:ascii="Lucida Fax" w:hAnsi="Lucida Fax"/>
                <w:color w:val="4F2D7D"/>
                <w:sz w:val="72"/>
                <w:szCs w:val="72"/>
              </w:rPr>
              <w:t xml:space="preserve">mandatory </w:t>
            </w:r>
            <w:r w:rsidR="003A4CB3" w:rsidRPr="00426A70">
              <w:rPr>
                <w:rFonts w:ascii="Lucida Fax" w:hAnsi="Lucida Fax"/>
                <w:color w:val="4F2D7D"/>
                <w:sz w:val="72"/>
                <w:szCs w:val="72"/>
              </w:rPr>
              <w:t xml:space="preserve">safety </w:t>
            </w:r>
            <w:r w:rsidR="00242590" w:rsidRPr="00426A70">
              <w:rPr>
                <w:rFonts w:ascii="Lucida Fax" w:hAnsi="Lucida Fax"/>
                <w:color w:val="4F2D7D"/>
                <w:sz w:val="72"/>
                <w:szCs w:val="72"/>
              </w:rPr>
              <w:t>standard</w:t>
            </w:r>
            <w:r w:rsidR="003A4CB3">
              <w:rPr>
                <w:rFonts w:ascii="Lucida Fax" w:hAnsi="Lucida Fax"/>
                <w:color w:val="4F2D7D"/>
                <w:sz w:val="72"/>
                <w:szCs w:val="72"/>
              </w:rPr>
              <w:t xml:space="preserve"> for </w:t>
            </w:r>
            <w:r w:rsidR="00426A70">
              <w:rPr>
                <w:rFonts w:ascii="Lucida Fax" w:hAnsi="Lucida Fax"/>
                <w:color w:val="4F2D7D"/>
                <w:sz w:val="72"/>
                <w:szCs w:val="72"/>
              </w:rPr>
              <w:t>basketball rings and backboards</w:t>
            </w:r>
          </w:p>
          <w:p w:rsidR="00935D49" w:rsidRPr="00DD7648" w:rsidRDefault="00935D49" w:rsidP="00DD7648">
            <w:pPr>
              <w:pStyle w:val="NoSpacing"/>
              <w:spacing w:before="60" w:after="60"/>
              <w:rPr>
                <w:rFonts w:ascii="Lucida Fax" w:hAnsi="Lucida Fax"/>
                <w:color w:val="4F2D7D"/>
                <w:sz w:val="52"/>
                <w:szCs w:val="52"/>
              </w:rPr>
            </w:pPr>
          </w:p>
          <w:p w:rsidR="00935D49" w:rsidRPr="00DD7648" w:rsidRDefault="00935D49" w:rsidP="00DD7648">
            <w:pPr>
              <w:pStyle w:val="NoSpacing"/>
              <w:spacing w:before="60" w:after="60"/>
              <w:rPr>
                <w:rFonts w:ascii="Lucida Fax" w:hAnsi="Lucida Fax"/>
                <w:color w:val="4F2D7D"/>
                <w:sz w:val="52"/>
                <w:szCs w:val="52"/>
              </w:rPr>
            </w:pPr>
            <w:r w:rsidRPr="00DD7648">
              <w:rPr>
                <w:rFonts w:ascii="Lucida Fax" w:hAnsi="Lucida Fax"/>
                <w:color w:val="4F2D7D"/>
                <w:sz w:val="52"/>
                <w:szCs w:val="52"/>
              </w:rPr>
              <w:t xml:space="preserve">Consultation </w:t>
            </w:r>
            <w:r w:rsidR="00063F9F">
              <w:rPr>
                <w:rFonts w:ascii="Lucida Fax" w:hAnsi="Lucida Fax"/>
                <w:color w:val="4F2D7D"/>
                <w:sz w:val="52"/>
                <w:szCs w:val="52"/>
              </w:rPr>
              <w:t>paper</w:t>
            </w:r>
          </w:p>
          <w:p w:rsidR="00D44E1E" w:rsidRPr="009C4E52" w:rsidRDefault="00C251C1" w:rsidP="009C4E52">
            <w:pPr>
              <w:pStyle w:val="NoSpacing"/>
              <w:spacing w:before="60" w:after="60"/>
              <w:rPr>
                <w:rFonts w:ascii="Lucida Fax" w:hAnsi="Lucida Fax"/>
                <w:color w:val="FF0000"/>
                <w:sz w:val="24"/>
                <w:szCs w:val="24"/>
              </w:rPr>
            </w:pPr>
            <w:r>
              <w:rPr>
                <w:rFonts w:ascii="Lucida Fax" w:hAnsi="Lucida Fax"/>
                <w:color w:val="FF0000"/>
                <w:sz w:val="24"/>
                <w:szCs w:val="24"/>
              </w:rPr>
              <w:t>October</w:t>
            </w:r>
            <w:r w:rsidR="00D44E1E" w:rsidRPr="00D44E1E">
              <w:rPr>
                <w:rFonts w:ascii="Lucida Fax" w:hAnsi="Lucida Fax"/>
                <w:color w:val="FF0000"/>
                <w:sz w:val="24"/>
                <w:szCs w:val="24"/>
              </w:rPr>
              <w:t xml:space="preserve"> 2016</w:t>
            </w:r>
          </w:p>
        </w:tc>
      </w:tr>
      <w:tr w:rsidR="00935D49" w:rsidRPr="00DD7648" w:rsidTr="00DD7648">
        <w:tc>
          <w:tcPr>
            <w:tcW w:w="9242" w:type="dxa"/>
            <w:shd w:val="clear" w:color="auto" w:fill="auto"/>
          </w:tcPr>
          <w:p w:rsidR="00935D49" w:rsidRPr="00DD7648" w:rsidRDefault="00F12C20" w:rsidP="00F46191">
            <w:pPr>
              <w:pStyle w:val="CoverDate"/>
              <w:spacing w:before="60" w:after="60"/>
              <w:jc w:val="center"/>
            </w:pPr>
            <w:r>
              <w:pict w14:anchorId="305D0D5F">
                <v:shape id="_x0000_i1026" type="#_x0000_t75" style="width:189pt;height:189.75pt;mso-left-percent:-10001;mso-top-percent:-10001;mso-position-horizontal:absolute;mso-position-horizontal-relative:char;mso-position-vertical:absolute;mso-position-vertical-relative:line;mso-left-percent:-10001;mso-top-percent:-10001">
                  <v:imagedata r:id="rId11" o:title=""/>
                </v:shape>
              </w:pict>
            </w:r>
          </w:p>
        </w:tc>
      </w:tr>
    </w:tbl>
    <w:p w:rsidR="00935D49" w:rsidRPr="003A624C" w:rsidRDefault="00935D49" w:rsidP="003A624C">
      <w:pPr>
        <w:jc w:val="center"/>
        <w:rPr>
          <w:rFonts w:eastAsia="Calibri" w:cs="Arial"/>
          <w:u w:val="single"/>
          <w:lang w:val="en-GB"/>
        </w:rPr>
      </w:pPr>
    </w:p>
    <w:p w:rsidR="0022438B" w:rsidRPr="003A624C" w:rsidRDefault="0022438B" w:rsidP="003A624C">
      <w:pPr>
        <w:jc w:val="center"/>
        <w:rPr>
          <w:rFonts w:eastAsia="Calibri" w:cs="Arial"/>
          <w:u w:val="single"/>
          <w:lang w:val="en-GB"/>
        </w:rPr>
      </w:pPr>
    </w:p>
    <w:p w:rsidR="0022438B" w:rsidRPr="003A624C" w:rsidRDefault="0022438B" w:rsidP="003A624C">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D57582" w:rsidRDefault="00D57582"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9C4E52" w:rsidRDefault="009C4E52" w:rsidP="0022438B">
      <w:pPr>
        <w:jc w:val="center"/>
        <w:rPr>
          <w:rFonts w:eastAsia="Calibri" w:cs="Arial"/>
          <w:u w:val="single"/>
          <w:lang w:val="en-GB"/>
        </w:rPr>
      </w:pPr>
    </w:p>
    <w:p w:rsidR="009C4E52" w:rsidRDefault="009C4E52" w:rsidP="0022438B">
      <w:pPr>
        <w:jc w:val="center"/>
        <w:rPr>
          <w:rFonts w:eastAsia="Calibri" w:cs="Arial"/>
          <w:u w:val="single"/>
          <w:lang w:val="en-GB"/>
        </w:rPr>
      </w:pPr>
    </w:p>
    <w:p w:rsidR="009C4E52" w:rsidRDefault="009C4E52" w:rsidP="0022438B">
      <w:pPr>
        <w:jc w:val="center"/>
        <w:rPr>
          <w:rFonts w:eastAsia="Calibri" w:cs="Arial"/>
          <w:u w:val="single"/>
          <w:lang w:val="en-GB"/>
        </w:rPr>
      </w:pPr>
    </w:p>
    <w:p w:rsidR="009C4E52" w:rsidRDefault="009C4E52" w:rsidP="0022438B">
      <w:pPr>
        <w:jc w:val="center"/>
        <w:rPr>
          <w:rFonts w:eastAsia="Calibri" w:cs="Arial"/>
          <w:u w:val="single"/>
          <w:lang w:val="en-GB"/>
        </w:rPr>
      </w:pPr>
    </w:p>
    <w:p w:rsidR="00242590" w:rsidRDefault="00242590" w:rsidP="0022438B">
      <w:pPr>
        <w:jc w:val="center"/>
        <w:rPr>
          <w:rFonts w:eastAsia="Calibri" w:cs="Arial"/>
          <w:u w:val="single"/>
          <w:lang w:val="en-GB"/>
        </w:rPr>
      </w:pPr>
    </w:p>
    <w:p w:rsidR="0022438B" w:rsidRPr="0022438B" w:rsidRDefault="0022438B" w:rsidP="0022438B">
      <w:pPr>
        <w:jc w:val="center"/>
        <w:rPr>
          <w:rFonts w:eastAsia="Calibri" w:cs="Arial"/>
          <w:u w:val="single"/>
          <w:lang w:val="en-GB"/>
        </w:rPr>
      </w:pPr>
      <w:r w:rsidRPr="0022438B">
        <w:rPr>
          <w:rFonts w:eastAsia="Calibri" w:cs="Arial"/>
          <w:u w:val="single"/>
          <w:lang w:val="en-GB"/>
        </w:rPr>
        <w:t>Disclaimer</w:t>
      </w:r>
    </w:p>
    <w:p w:rsidR="0022438B" w:rsidRDefault="0022438B">
      <w:pPr>
        <w:pStyle w:val="TOC1"/>
        <w:rPr>
          <w:b/>
        </w:rPr>
      </w:pPr>
    </w:p>
    <w:p w:rsidR="0022438B" w:rsidRDefault="00F12C20">
      <w:pPr>
        <w:pStyle w:val="TOC1"/>
        <w:rPr>
          <w:b/>
        </w:rPr>
      </w:pPr>
      <w:r>
        <w:pict>
          <v:shapetype id="_x0000_t202" coordsize="21600,21600" o:spt="202" path="m,l,21600r21600,l21600,xe">
            <v:stroke joinstyle="miter"/>
            <v:path gradientshapeok="t" o:connecttype="rect"/>
          </v:shapetype>
          <v:shape id="_x0000_s1034" type="#_x0000_t202" style="position:absolute;margin-left:0;margin-top:0;width:2in;height:2in;z-index:251661824;mso-wrap-style:none;mso-position-horizontal-relative:text;mso-position-vertical-relative:text">
            <v:textbox style="mso-next-textbox:#_x0000_s1034;mso-fit-shape-to-text:t">
              <w:txbxContent>
                <w:p w:rsidR="005A13AA" w:rsidRPr="004F2078" w:rsidRDefault="005A13AA" w:rsidP="0022438B">
                  <w:pPr>
                    <w:spacing w:before="120" w:after="120"/>
                    <w:rPr>
                      <w:rFonts w:eastAsia="Calibri" w:cs="Arial"/>
                      <w:sz w:val="20"/>
                      <w:szCs w:val="20"/>
                      <w:lang w:val="en-GB"/>
                    </w:rPr>
                  </w:pPr>
                  <w:r w:rsidRPr="004F2078">
                    <w:rPr>
                      <w:rFonts w:eastAsia="Calibri" w:cs="Arial"/>
                      <w:sz w:val="20"/>
                      <w:szCs w:val="20"/>
                      <w:lang w:val="en-GB"/>
                    </w:rPr>
                    <w:t xml:space="preserve">The Australian Competition &amp; Consumer Commission (ACCC) has developed this consultation paper to seek the views of stakeholders about the mandatory safety standard for </w:t>
                  </w:r>
                  <w:r>
                    <w:rPr>
                      <w:rFonts w:eastAsia="Calibri" w:cs="Arial"/>
                      <w:sz w:val="20"/>
                      <w:szCs w:val="20"/>
                      <w:lang w:val="en-GB"/>
                    </w:rPr>
                    <w:t>basketball rings and backboards</w:t>
                  </w:r>
                  <w:r w:rsidRPr="004F2078">
                    <w:rPr>
                      <w:rFonts w:eastAsia="Calibri" w:cs="Arial"/>
                      <w:sz w:val="20"/>
                      <w:szCs w:val="20"/>
                      <w:lang w:val="en-GB"/>
                    </w:rPr>
                    <w:t>.</w:t>
                  </w:r>
                </w:p>
                <w:p w:rsidR="005A13AA" w:rsidRPr="004F2078" w:rsidRDefault="005A13AA" w:rsidP="007F469E">
                  <w:pPr>
                    <w:spacing w:before="120" w:after="120"/>
                    <w:rPr>
                      <w:rFonts w:eastAsia="Calibri" w:cs="Arial"/>
                      <w:sz w:val="20"/>
                      <w:szCs w:val="20"/>
                    </w:rPr>
                  </w:pPr>
                  <w:r w:rsidRPr="004F2078">
                    <w:rPr>
                      <w:rFonts w:eastAsia="Calibri" w:cs="Arial"/>
                      <w:sz w:val="20"/>
                      <w:szCs w:val="20"/>
                    </w:rPr>
                    <w:t xml:space="preserve">© Commonwealth of Australia 2016. </w:t>
                  </w:r>
                  <w:r w:rsidRPr="004F2078">
                    <w:rPr>
                      <w:rFonts w:eastAsia="Calibri" w:cs="Arial"/>
                      <w:sz w:val="20"/>
                      <w:szCs w:val="20"/>
                      <w:lang w:val="en-GB"/>
                    </w:rPr>
                    <w:t>All material contained within this work is provided under a Creative Commons Attribution 3.0 Australia licence (</w:t>
                  </w:r>
                  <w:hyperlink r:id="rId12" w:history="1">
                    <w:r w:rsidRPr="004F2078">
                      <w:rPr>
                        <w:rFonts w:eastAsia="Calibri" w:cs="Arial"/>
                        <w:color w:val="0000FF"/>
                        <w:sz w:val="20"/>
                        <w:szCs w:val="20"/>
                        <w:u w:val="single"/>
                        <w:lang w:val="en-GB"/>
                      </w:rPr>
                      <w:t>creativecommons.org.au/</w:t>
                    </w:r>
                  </w:hyperlink>
                  <w:r w:rsidRPr="004F2078">
                    <w:rPr>
                      <w:rFonts w:eastAsia="Calibri" w:cs="Arial"/>
                      <w:sz w:val="20"/>
                      <w:szCs w:val="20"/>
                      <w:lang w:val="en-GB"/>
                    </w:rPr>
                    <w:t>), with the exception of any logos, illustrations or images. You may forward or otherwise distribute the paper. You may re-use the text in other formats, provided the ACCC is acknowledged as the source of the material and directions to access the full document are provided. You may not copy or reproduce any logos, illustrations or images. For more information, contact the Director Corporate Communications, ACCC, GPO Box 3131, Canberra ACT 2601</w:t>
                  </w:r>
                </w:p>
              </w:txbxContent>
            </v:textbox>
            <w10:wrap type="square"/>
          </v:shape>
        </w:pict>
      </w:r>
    </w:p>
    <w:p w:rsidR="00AF2073" w:rsidRDefault="00AF2073">
      <w:pPr>
        <w:pStyle w:val="TOC1"/>
        <w:rPr>
          <w:rFonts w:eastAsia="Calibri"/>
        </w:rPr>
      </w:pPr>
      <w:r w:rsidRPr="00DB6C88">
        <w:rPr>
          <w:b/>
        </w:rPr>
        <w:lastRenderedPageBreak/>
        <w:t>Table of contents</w:t>
      </w:r>
    </w:p>
    <w:p w:rsidR="004E4FEC" w:rsidRDefault="0086325C">
      <w:pPr>
        <w:pStyle w:val="TOC1"/>
        <w:rPr>
          <w:rFonts w:asciiTheme="minorHAnsi" w:eastAsiaTheme="minorEastAsia" w:hAnsiTheme="minorHAnsi" w:cstheme="minorBidi"/>
          <w:lang w:val="en-AU" w:eastAsia="en-AU"/>
        </w:rPr>
      </w:pPr>
      <w:r w:rsidRPr="00242590">
        <w:rPr>
          <w:rFonts w:eastAsia="Calibri" w:cs="Arial"/>
          <w:sz w:val="20"/>
          <w:szCs w:val="20"/>
        </w:rPr>
        <w:fldChar w:fldCharType="begin"/>
      </w:r>
      <w:r w:rsidRPr="00242590">
        <w:rPr>
          <w:rFonts w:cs="Arial"/>
          <w:sz w:val="20"/>
          <w:szCs w:val="20"/>
        </w:rPr>
        <w:instrText xml:space="preserve"> TOC \o \h \z \u </w:instrText>
      </w:r>
      <w:r w:rsidRPr="00242590">
        <w:rPr>
          <w:rFonts w:eastAsia="Calibri" w:cs="Arial"/>
          <w:sz w:val="20"/>
          <w:szCs w:val="20"/>
        </w:rPr>
        <w:fldChar w:fldCharType="separate"/>
      </w:r>
      <w:hyperlink w:anchor="_Toc463614192" w:history="1">
        <w:r w:rsidR="004E4FEC" w:rsidRPr="004C642C">
          <w:rPr>
            <w:rStyle w:val="Hyperlink"/>
          </w:rPr>
          <w:t>1.</w:t>
        </w:r>
        <w:r w:rsidR="004E4FEC">
          <w:rPr>
            <w:rFonts w:asciiTheme="minorHAnsi" w:eastAsiaTheme="minorEastAsia" w:hAnsiTheme="minorHAnsi" w:cstheme="minorBidi"/>
            <w:lang w:val="en-AU" w:eastAsia="en-AU"/>
          </w:rPr>
          <w:tab/>
        </w:r>
        <w:r w:rsidR="004E4FEC" w:rsidRPr="004C642C">
          <w:rPr>
            <w:rStyle w:val="Hyperlink"/>
          </w:rPr>
          <w:t>Introduction</w:t>
        </w:r>
        <w:r w:rsidR="004E4FEC">
          <w:rPr>
            <w:webHidden/>
          </w:rPr>
          <w:tab/>
        </w:r>
        <w:r w:rsidR="004E4FEC">
          <w:rPr>
            <w:webHidden/>
          </w:rPr>
          <w:fldChar w:fldCharType="begin"/>
        </w:r>
        <w:r w:rsidR="004E4FEC">
          <w:rPr>
            <w:webHidden/>
          </w:rPr>
          <w:instrText xml:space="preserve"> PAGEREF _Toc463614192 \h </w:instrText>
        </w:r>
        <w:r w:rsidR="004E4FEC">
          <w:rPr>
            <w:webHidden/>
          </w:rPr>
        </w:r>
        <w:r w:rsidR="004E4FEC">
          <w:rPr>
            <w:webHidden/>
          </w:rPr>
          <w:fldChar w:fldCharType="separate"/>
        </w:r>
        <w:r w:rsidR="003F1C8E">
          <w:rPr>
            <w:webHidden/>
          </w:rPr>
          <w:t>3</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193" w:history="1">
        <w:r w:rsidR="004E4FEC" w:rsidRPr="004C642C">
          <w:rPr>
            <w:rStyle w:val="Hyperlink"/>
          </w:rPr>
          <w:t>2.</w:t>
        </w:r>
        <w:r w:rsidR="004E4FEC">
          <w:rPr>
            <w:rFonts w:asciiTheme="minorHAnsi" w:eastAsiaTheme="minorEastAsia" w:hAnsiTheme="minorHAnsi" w:cstheme="minorBidi"/>
            <w:lang w:val="en-AU" w:eastAsia="en-AU"/>
          </w:rPr>
          <w:tab/>
        </w:r>
        <w:r w:rsidR="004E4FEC" w:rsidRPr="004C642C">
          <w:rPr>
            <w:rStyle w:val="Hyperlink"/>
          </w:rPr>
          <w:t>Policy options</w:t>
        </w:r>
        <w:r w:rsidR="004E4FEC">
          <w:rPr>
            <w:webHidden/>
          </w:rPr>
          <w:tab/>
        </w:r>
        <w:r w:rsidR="004E4FEC">
          <w:rPr>
            <w:webHidden/>
          </w:rPr>
          <w:fldChar w:fldCharType="begin"/>
        </w:r>
        <w:r w:rsidR="004E4FEC">
          <w:rPr>
            <w:webHidden/>
          </w:rPr>
          <w:instrText xml:space="preserve"> PAGEREF _Toc463614193 \h </w:instrText>
        </w:r>
        <w:r w:rsidR="004E4FEC">
          <w:rPr>
            <w:webHidden/>
          </w:rPr>
        </w:r>
        <w:r w:rsidR="004E4FEC">
          <w:rPr>
            <w:webHidden/>
          </w:rPr>
          <w:fldChar w:fldCharType="separate"/>
        </w:r>
        <w:r w:rsidR="003F1C8E">
          <w:rPr>
            <w:webHidden/>
          </w:rPr>
          <w:t>3</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194" w:history="1">
        <w:r w:rsidR="004E4FEC" w:rsidRPr="004C642C">
          <w:rPr>
            <w:rStyle w:val="Hyperlink"/>
          </w:rPr>
          <w:t>3.</w:t>
        </w:r>
        <w:r w:rsidR="004E4FEC">
          <w:rPr>
            <w:rFonts w:asciiTheme="minorHAnsi" w:eastAsiaTheme="minorEastAsia" w:hAnsiTheme="minorHAnsi" w:cstheme="minorBidi"/>
            <w:lang w:val="en-AU" w:eastAsia="en-AU"/>
          </w:rPr>
          <w:tab/>
        </w:r>
        <w:r w:rsidR="004E4FEC" w:rsidRPr="004C642C">
          <w:rPr>
            <w:rStyle w:val="Hyperlink"/>
          </w:rPr>
          <w:t>Background</w:t>
        </w:r>
        <w:r w:rsidR="004E4FEC">
          <w:rPr>
            <w:webHidden/>
          </w:rPr>
          <w:tab/>
        </w:r>
        <w:r w:rsidR="004E4FEC">
          <w:rPr>
            <w:webHidden/>
          </w:rPr>
          <w:fldChar w:fldCharType="begin"/>
        </w:r>
        <w:r w:rsidR="004E4FEC">
          <w:rPr>
            <w:webHidden/>
          </w:rPr>
          <w:instrText xml:space="preserve"> PAGEREF _Toc463614194 \h </w:instrText>
        </w:r>
        <w:r w:rsidR="004E4FEC">
          <w:rPr>
            <w:webHidden/>
          </w:rPr>
        </w:r>
        <w:r w:rsidR="004E4FEC">
          <w:rPr>
            <w:webHidden/>
          </w:rPr>
          <w:fldChar w:fldCharType="separate"/>
        </w:r>
        <w:r w:rsidR="003F1C8E">
          <w:rPr>
            <w:webHidden/>
          </w:rPr>
          <w:t>3</w:t>
        </w:r>
        <w:r w:rsidR="004E4FEC">
          <w:rPr>
            <w:webHidden/>
          </w:rPr>
          <w:fldChar w:fldCharType="end"/>
        </w:r>
      </w:hyperlink>
    </w:p>
    <w:p w:rsidR="004E4FEC" w:rsidRDefault="00F12C20">
      <w:pPr>
        <w:pStyle w:val="TOC2"/>
        <w:rPr>
          <w:rFonts w:asciiTheme="minorHAnsi" w:eastAsiaTheme="minorEastAsia" w:hAnsiTheme="minorHAnsi" w:cstheme="minorBidi"/>
          <w:lang w:eastAsia="en-AU"/>
        </w:rPr>
      </w:pPr>
      <w:hyperlink w:anchor="_Toc463614195" w:history="1">
        <w:r w:rsidR="004E4FEC" w:rsidRPr="004C642C">
          <w:rPr>
            <w:rStyle w:val="Hyperlink"/>
          </w:rPr>
          <w:t>3.1</w:t>
        </w:r>
        <w:r w:rsidR="004E4FEC">
          <w:rPr>
            <w:rFonts w:asciiTheme="minorHAnsi" w:eastAsiaTheme="minorEastAsia" w:hAnsiTheme="minorHAnsi" w:cstheme="minorBidi"/>
            <w:lang w:eastAsia="en-AU"/>
          </w:rPr>
          <w:tab/>
        </w:r>
        <w:r w:rsidR="004E4FEC" w:rsidRPr="004C642C">
          <w:rPr>
            <w:rStyle w:val="Hyperlink"/>
          </w:rPr>
          <w:t>Basketball rings and backboards in Australia</w:t>
        </w:r>
        <w:r w:rsidR="004E4FEC">
          <w:rPr>
            <w:webHidden/>
          </w:rPr>
          <w:tab/>
        </w:r>
        <w:r w:rsidR="004E4FEC">
          <w:rPr>
            <w:webHidden/>
          </w:rPr>
          <w:fldChar w:fldCharType="begin"/>
        </w:r>
        <w:r w:rsidR="004E4FEC">
          <w:rPr>
            <w:webHidden/>
          </w:rPr>
          <w:instrText xml:space="preserve"> PAGEREF _Toc463614195 \h </w:instrText>
        </w:r>
        <w:r w:rsidR="004E4FEC">
          <w:rPr>
            <w:webHidden/>
          </w:rPr>
        </w:r>
        <w:r w:rsidR="004E4FEC">
          <w:rPr>
            <w:webHidden/>
          </w:rPr>
          <w:fldChar w:fldCharType="separate"/>
        </w:r>
        <w:r w:rsidR="003F1C8E">
          <w:rPr>
            <w:webHidden/>
          </w:rPr>
          <w:t>3</w:t>
        </w:r>
        <w:r w:rsidR="004E4FEC">
          <w:rPr>
            <w:webHidden/>
          </w:rPr>
          <w:fldChar w:fldCharType="end"/>
        </w:r>
      </w:hyperlink>
    </w:p>
    <w:p w:rsidR="004E4FEC" w:rsidRDefault="00F12C20">
      <w:pPr>
        <w:pStyle w:val="TOC2"/>
        <w:rPr>
          <w:rFonts w:asciiTheme="minorHAnsi" w:eastAsiaTheme="minorEastAsia" w:hAnsiTheme="minorHAnsi" w:cstheme="minorBidi"/>
          <w:lang w:eastAsia="en-AU"/>
        </w:rPr>
      </w:pPr>
      <w:hyperlink w:anchor="_Toc463614199" w:history="1">
        <w:r w:rsidR="004E4FEC" w:rsidRPr="004C642C">
          <w:rPr>
            <w:rStyle w:val="Hyperlink"/>
          </w:rPr>
          <w:t>3.2</w:t>
        </w:r>
        <w:r w:rsidR="004E4FEC">
          <w:rPr>
            <w:rFonts w:asciiTheme="minorHAnsi" w:eastAsiaTheme="minorEastAsia" w:hAnsiTheme="minorHAnsi" w:cstheme="minorBidi"/>
            <w:lang w:eastAsia="en-AU"/>
          </w:rPr>
          <w:tab/>
        </w:r>
        <w:r w:rsidR="004E4FEC" w:rsidRPr="004C642C">
          <w:rPr>
            <w:rStyle w:val="Hyperlink"/>
          </w:rPr>
          <w:t>Injuries and deaths involving basketball rings and backboards</w:t>
        </w:r>
        <w:r w:rsidR="004E4FEC">
          <w:rPr>
            <w:webHidden/>
          </w:rPr>
          <w:tab/>
        </w:r>
        <w:r w:rsidR="004E4FEC">
          <w:rPr>
            <w:webHidden/>
          </w:rPr>
          <w:fldChar w:fldCharType="begin"/>
        </w:r>
        <w:r w:rsidR="004E4FEC">
          <w:rPr>
            <w:webHidden/>
          </w:rPr>
          <w:instrText xml:space="preserve"> PAGEREF _Toc463614199 \h </w:instrText>
        </w:r>
        <w:r w:rsidR="004E4FEC">
          <w:rPr>
            <w:webHidden/>
          </w:rPr>
        </w:r>
        <w:r w:rsidR="004E4FEC">
          <w:rPr>
            <w:webHidden/>
          </w:rPr>
          <w:fldChar w:fldCharType="separate"/>
        </w:r>
        <w:r w:rsidR="003F1C8E">
          <w:rPr>
            <w:webHidden/>
          </w:rPr>
          <w:t>4</w:t>
        </w:r>
        <w:r w:rsidR="004E4FEC">
          <w:rPr>
            <w:webHidden/>
          </w:rPr>
          <w:fldChar w:fldCharType="end"/>
        </w:r>
      </w:hyperlink>
    </w:p>
    <w:p w:rsidR="004E4FEC" w:rsidRDefault="00F12C20">
      <w:pPr>
        <w:pStyle w:val="TOC2"/>
        <w:rPr>
          <w:rFonts w:asciiTheme="minorHAnsi" w:eastAsiaTheme="minorEastAsia" w:hAnsiTheme="minorHAnsi" w:cstheme="minorBidi"/>
          <w:lang w:eastAsia="en-AU"/>
        </w:rPr>
      </w:pPr>
      <w:hyperlink w:anchor="_Toc463614200" w:history="1">
        <w:r w:rsidR="004E4FEC" w:rsidRPr="004C642C">
          <w:rPr>
            <w:rStyle w:val="Hyperlink"/>
          </w:rPr>
          <w:t>3.3</w:t>
        </w:r>
        <w:r w:rsidR="004E4FEC">
          <w:rPr>
            <w:rFonts w:asciiTheme="minorHAnsi" w:eastAsiaTheme="minorEastAsia" w:hAnsiTheme="minorHAnsi" w:cstheme="minorBidi"/>
            <w:lang w:eastAsia="en-AU"/>
          </w:rPr>
          <w:tab/>
        </w:r>
        <w:r w:rsidR="004E4FEC" w:rsidRPr="004C642C">
          <w:rPr>
            <w:rStyle w:val="Hyperlink"/>
          </w:rPr>
          <w:t>The mandatory safety standard</w:t>
        </w:r>
        <w:r w:rsidR="004E4FEC">
          <w:rPr>
            <w:webHidden/>
          </w:rPr>
          <w:tab/>
        </w:r>
        <w:r w:rsidR="004E4FEC">
          <w:rPr>
            <w:webHidden/>
          </w:rPr>
          <w:fldChar w:fldCharType="begin"/>
        </w:r>
        <w:r w:rsidR="004E4FEC">
          <w:rPr>
            <w:webHidden/>
          </w:rPr>
          <w:instrText xml:space="preserve"> PAGEREF _Toc463614200 \h </w:instrText>
        </w:r>
        <w:r w:rsidR="004E4FEC">
          <w:rPr>
            <w:webHidden/>
          </w:rPr>
        </w:r>
        <w:r w:rsidR="004E4FEC">
          <w:rPr>
            <w:webHidden/>
          </w:rPr>
          <w:fldChar w:fldCharType="separate"/>
        </w:r>
        <w:r w:rsidR="003F1C8E">
          <w:rPr>
            <w:webHidden/>
          </w:rPr>
          <w:t>5</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205" w:history="1">
        <w:r w:rsidR="004E4FEC" w:rsidRPr="004C642C">
          <w:rPr>
            <w:rStyle w:val="Hyperlink"/>
          </w:rPr>
          <w:t>4.</w:t>
        </w:r>
        <w:r w:rsidR="004E4FEC">
          <w:rPr>
            <w:rFonts w:asciiTheme="minorHAnsi" w:eastAsiaTheme="minorEastAsia" w:hAnsiTheme="minorHAnsi" w:cstheme="minorBidi"/>
            <w:lang w:val="en-AU" w:eastAsia="en-AU"/>
          </w:rPr>
          <w:tab/>
        </w:r>
        <w:r w:rsidR="004E4FEC" w:rsidRPr="004C642C">
          <w:rPr>
            <w:rStyle w:val="Hyperlink"/>
          </w:rPr>
          <w:t>International standards</w:t>
        </w:r>
        <w:r w:rsidR="004E4FEC">
          <w:rPr>
            <w:webHidden/>
          </w:rPr>
          <w:tab/>
        </w:r>
        <w:r w:rsidR="004E4FEC">
          <w:rPr>
            <w:webHidden/>
          </w:rPr>
          <w:fldChar w:fldCharType="begin"/>
        </w:r>
        <w:r w:rsidR="004E4FEC">
          <w:rPr>
            <w:webHidden/>
          </w:rPr>
          <w:instrText xml:space="preserve"> PAGEREF _Toc463614205 \h </w:instrText>
        </w:r>
        <w:r w:rsidR="004E4FEC">
          <w:rPr>
            <w:webHidden/>
          </w:rPr>
        </w:r>
        <w:r w:rsidR="004E4FEC">
          <w:rPr>
            <w:webHidden/>
          </w:rPr>
          <w:fldChar w:fldCharType="separate"/>
        </w:r>
        <w:r w:rsidR="003F1C8E">
          <w:rPr>
            <w:webHidden/>
          </w:rPr>
          <w:t>6</w:t>
        </w:r>
        <w:r w:rsidR="004E4FEC">
          <w:rPr>
            <w:webHidden/>
          </w:rPr>
          <w:fldChar w:fldCharType="end"/>
        </w:r>
      </w:hyperlink>
    </w:p>
    <w:p w:rsidR="004E4FEC" w:rsidRDefault="00F12C20">
      <w:pPr>
        <w:pStyle w:val="TOC2"/>
        <w:rPr>
          <w:rFonts w:asciiTheme="minorHAnsi" w:eastAsiaTheme="minorEastAsia" w:hAnsiTheme="minorHAnsi" w:cstheme="minorBidi"/>
          <w:lang w:eastAsia="en-AU"/>
        </w:rPr>
      </w:pPr>
      <w:hyperlink w:anchor="_Toc463614206" w:history="1">
        <w:r w:rsidR="004E4FEC" w:rsidRPr="004C642C">
          <w:rPr>
            <w:rStyle w:val="Hyperlink"/>
          </w:rPr>
          <w:t>4.1</w:t>
        </w:r>
        <w:r w:rsidR="004E4FEC">
          <w:rPr>
            <w:rFonts w:asciiTheme="minorHAnsi" w:eastAsiaTheme="minorEastAsia" w:hAnsiTheme="minorHAnsi" w:cstheme="minorBidi"/>
            <w:lang w:eastAsia="en-AU"/>
          </w:rPr>
          <w:tab/>
        </w:r>
        <w:r w:rsidR="004E4FEC" w:rsidRPr="004C642C">
          <w:rPr>
            <w:rStyle w:val="Hyperlink"/>
          </w:rPr>
          <w:t>The US standard</w:t>
        </w:r>
        <w:r w:rsidR="004E4FEC">
          <w:rPr>
            <w:webHidden/>
          </w:rPr>
          <w:tab/>
        </w:r>
        <w:r w:rsidR="004E4FEC">
          <w:rPr>
            <w:webHidden/>
          </w:rPr>
          <w:fldChar w:fldCharType="begin"/>
        </w:r>
        <w:r w:rsidR="004E4FEC">
          <w:rPr>
            <w:webHidden/>
          </w:rPr>
          <w:instrText xml:space="preserve"> PAGEREF _Toc463614206 \h </w:instrText>
        </w:r>
        <w:r w:rsidR="004E4FEC">
          <w:rPr>
            <w:webHidden/>
          </w:rPr>
        </w:r>
        <w:r w:rsidR="004E4FEC">
          <w:rPr>
            <w:webHidden/>
          </w:rPr>
          <w:fldChar w:fldCharType="separate"/>
        </w:r>
        <w:r w:rsidR="003F1C8E">
          <w:rPr>
            <w:webHidden/>
          </w:rPr>
          <w:t>6</w:t>
        </w:r>
        <w:r w:rsidR="004E4FEC">
          <w:rPr>
            <w:webHidden/>
          </w:rPr>
          <w:fldChar w:fldCharType="end"/>
        </w:r>
      </w:hyperlink>
    </w:p>
    <w:p w:rsidR="004E4FEC" w:rsidRDefault="00F12C20">
      <w:pPr>
        <w:pStyle w:val="TOC2"/>
        <w:rPr>
          <w:rFonts w:asciiTheme="minorHAnsi" w:eastAsiaTheme="minorEastAsia" w:hAnsiTheme="minorHAnsi" w:cstheme="minorBidi"/>
          <w:lang w:eastAsia="en-AU"/>
        </w:rPr>
      </w:pPr>
      <w:hyperlink w:anchor="_Toc463614207" w:history="1">
        <w:r w:rsidR="004E4FEC" w:rsidRPr="004C642C">
          <w:rPr>
            <w:rStyle w:val="Hyperlink"/>
          </w:rPr>
          <w:t>4.2</w:t>
        </w:r>
        <w:r w:rsidR="004E4FEC">
          <w:rPr>
            <w:rFonts w:asciiTheme="minorHAnsi" w:eastAsiaTheme="minorEastAsia" w:hAnsiTheme="minorHAnsi" w:cstheme="minorBidi"/>
            <w:lang w:eastAsia="en-AU"/>
          </w:rPr>
          <w:tab/>
        </w:r>
        <w:r w:rsidR="004E4FEC" w:rsidRPr="004C642C">
          <w:rPr>
            <w:rStyle w:val="Hyperlink"/>
          </w:rPr>
          <w:t>The European standard</w:t>
        </w:r>
        <w:r w:rsidR="004E4FEC">
          <w:rPr>
            <w:webHidden/>
          </w:rPr>
          <w:tab/>
        </w:r>
        <w:r w:rsidR="004E4FEC">
          <w:rPr>
            <w:webHidden/>
          </w:rPr>
          <w:fldChar w:fldCharType="begin"/>
        </w:r>
        <w:r w:rsidR="004E4FEC">
          <w:rPr>
            <w:webHidden/>
          </w:rPr>
          <w:instrText xml:space="preserve"> PAGEREF _Toc463614207 \h </w:instrText>
        </w:r>
        <w:r w:rsidR="004E4FEC">
          <w:rPr>
            <w:webHidden/>
          </w:rPr>
        </w:r>
        <w:r w:rsidR="004E4FEC">
          <w:rPr>
            <w:webHidden/>
          </w:rPr>
          <w:fldChar w:fldCharType="separate"/>
        </w:r>
        <w:r w:rsidR="003F1C8E">
          <w:rPr>
            <w:webHidden/>
          </w:rPr>
          <w:t>6</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208" w:history="1">
        <w:r w:rsidR="004E4FEC" w:rsidRPr="004C642C">
          <w:rPr>
            <w:rStyle w:val="Hyperlink"/>
            <w:lang w:val="en-GB"/>
          </w:rPr>
          <w:t>5.</w:t>
        </w:r>
        <w:r w:rsidR="004E4FEC">
          <w:rPr>
            <w:rFonts w:asciiTheme="minorHAnsi" w:eastAsiaTheme="minorEastAsia" w:hAnsiTheme="minorHAnsi" w:cstheme="minorBidi"/>
            <w:lang w:val="en-AU" w:eastAsia="en-AU"/>
          </w:rPr>
          <w:tab/>
        </w:r>
        <w:r w:rsidR="004E4FEC" w:rsidRPr="004C642C">
          <w:rPr>
            <w:rStyle w:val="Hyperlink"/>
            <w:lang w:val="en-GB"/>
          </w:rPr>
          <w:t>Installation issues</w:t>
        </w:r>
        <w:r w:rsidR="004E4FEC">
          <w:rPr>
            <w:webHidden/>
          </w:rPr>
          <w:tab/>
        </w:r>
        <w:r w:rsidR="004E4FEC">
          <w:rPr>
            <w:webHidden/>
          </w:rPr>
          <w:fldChar w:fldCharType="begin"/>
        </w:r>
        <w:r w:rsidR="004E4FEC">
          <w:rPr>
            <w:webHidden/>
          </w:rPr>
          <w:instrText xml:space="preserve"> PAGEREF _Toc463614208 \h </w:instrText>
        </w:r>
        <w:r w:rsidR="004E4FEC">
          <w:rPr>
            <w:webHidden/>
          </w:rPr>
        </w:r>
        <w:r w:rsidR="004E4FEC">
          <w:rPr>
            <w:webHidden/>
          </w:rPr>
          <w:fldChar w:fldCharType="separate"/>
        </w:r>
        <w:r w:rsidR="003F1C8E">
          <w:rPr>
            <w:webHidden/>
          </w:rPr>
          <w:t>7</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209" w:history="1">
        <w:r w:rsidR="004E4FEC" w:rsidRPr="004C642C">
          <w:rPr>
            <w:rStyle w:val="Hyperlink"/>
            <w:lang w:val="en-GB"/>
          </w:rPr>
          <w:t>6.</w:t>
        </w:r>
        <w:r w:rsidR="004E4FEC">
          <w:rPr>
            <w:rFonts w:asciiTheme="minorHAnsi" w:eastAsiaTheme="minorEastAsia" w:hAnsiTheme="minorHAnsi" w:cstheme="minorBidi"/>
            <w:lang w:val="en-AU" w:eastAsia="en-AU"/>
          </w:rPr>
          <w:tab/>
        </w:r>
        <w:r w:rsidR="004E4FEC" w:rsidRPr="004C642C">
          <w:rPr>
            <w:rStyle w:val="Hyperlink"/>
            <w:lang w:val="en-GB"/>
          </w:rPr>
          <w:t>Detailed description of policy options</w:t>
        </w:r>
        <w:r w:rsidR="004E4FEC">
          <w:rPr>
            <w:webHidden/>
          </w:rPr>
          <w:tab/>
        </w:r>
        <w:r w:rsidR="004E4FEC">
          <w:rPr>
            <w:webHidden/>
          </w:rPr>
          <w:fldChar w:fldCharType="begin"/>
        </w:r>
        <w:r w:rsidR="004E4FEC">
          <w:rPr>
            <w:webHidden/>
          </w:rPr>
          <w:instrText xml:space="preserve"> PAGEREF _Toc463614209 \h </w:instrText>
        </w:r>
        <w:r w:rsidR="004E4FEC">
          <w:rPr>
            <w:webHidden/>
          </w:rPr>
        </w:r>
        <w:r w:rsidR="004E4FEC">
          <w:rPr>
            <w:webHidden/>
          </w:rPr>
          <w:fldChar w:fldCharType="separate"/>
        </w:r>
        <w:r w:rsidR="003F1C8E">
          <w:rPr>
            <w:webHidden/>
          </w:rPr>
          <w:t>7</w:t>
        </w:r>
        <w:r w:rsidR="004E4FEC">
          <w:rPr>
            <w:webHidden/>
          </w:rPr>
          <w:fldChar w:fldCharType="end"/>
        </w:r>
      </w:hyperlink>
    </w:p>
    <w:p w:rsidR="004E4FEC" w:rsidRDefault="00F12C20">
      <w:pPr>
        <w:pStyle w:val="TOC2"/>
        <w:rPr>
          <w:rFonts w:asciiTheme="minorHAnsi" w:eastAsiaTheme="minorEastAsia" w:hAnsiTheme="minorHAnsi" w:cstheme="minorBidi"/>
          <w:lang w:eastAsia="en-AU"/>
        </w:rPr>
      </w:pPr>
      <w:hyperlink w:anchor="_Toc463614210" w:history="1">
        <w:r w:rsidR="004E4FEC" w:rsidRPr="004C642C">
          <w:rPr>
            <w:rStyle w:val="Hyperlink"/>
          </w:rPr>
          <w:t>Option 1 - Keep the current mandatory standard (status quo)</w:t>
        </w:r>
        <w:r w:rsidR="004E4FEC">
          <w:rPr>
            <w:webHidden/>
          </w:rPr>
          <w:tab/>
        </w:r>
        <w:r w:rsidR="004E4FEC">
          <w:rPr>
            <w:webHidden/>
          </w:rPr>
          <w:fldChar w:fldCharType="begin"/>
        </w:r>
        <w:r w:rsidR="004E4FEC">
          <w:rPr>
            <w:webHidden/>
          </w:rPr>
          <w:instrText xml:space="preserve"> PAGEREF _Toc463614210 \h </w:instrText>
        </w:r>
        <w:r w:rsidR="004E4FEC">
          <w:rPr>
            <w:webHidden/>
          </w:rPr>
        </w:r>
        <w:r w:rsidR="004E4FEC">
          <w:rPr>
            <w:webHidden/>
          </w:rPr>
          <w:fldChar w:fldCharType="separate"/>
        </w:r>
        <w:r w:rsidR="003F1C8E">
          <w:rPr>
            <w:webHidden/>
          </w:rPr>
          <w:t>7</w:t>
        </w:r>
        <w:r w:rsidR="004E4FEC">
          <w:rPr>
            <w:webHidden/>
          </w:rPr>
          <w:fldChar w:fldCharType="end"/>
        </w:r>
      </w:hyperlink>
    </w:p>
    <w:p w:rsidR="004E4FEC" w:rsidRDefault="00F12C20">
      <w:pPr>
        <w:pStyle w:val="TOC2"/>
        <w:rPr>
          <w:rFonts w:asciiTheme="minorHAnsi" w:eastAsiaTheme="minorEastAsia" w:hAnsiTheme="minorHAnsi" w:cstheme="minorBidi"/>
          <w:lang w:eastAsia="en-AU"/>
        </w:rPr>
      </w:pPr>
      <w:hyperlink w:anchor="_Toc463614214" w:history="1">
        <w:r w:rsidR="004E4FEC" w:rsidRPr="004C642C">
          <w:rPr>
            <w:rStyle w:val="Hyperlink"/>
          </w:rPr>
          <w:t>Option 2 - Exclude portable basketball systems</w:t>
        </w:r>
        <w:r w:rsidR="004E4FEC">
          <w:rPr>
            <w:webHidden/>
          </w:rPr>
          <w:tab/>
        </w:r>
        <w:r w:rsidR="004E4FEC">
          <w:rPr>
            <w:webHidden/>
          </w:rPr>
          <w:fldChar w:fldCharType="begin"/>
        </w:r>
        <w:r w:rsidR="004E4FEC">
          <w:rPr>
            <w:webHidden/>
          </w:rPr>
          <w:instrText xml:space="preserve"> PAGEREF _Toc463614214 \h </w:instrText>
        </w:r>
        <w:r w:rsidR="004E4FEC">
          <w:rPr>
            <w:webHidden/>
          </w:rPr>
        </w:r>
        <w:r w:rsidR="004E4FEC">
          <w:rPr>
            <w:webHidden/>
          </w:rPr>
          <w:fldChar w:fldCharType="separate"/>
        </w:r>
        <w:r w:rsidR="003F1C8E">
          <w:rPr>
            <w:webHidden/>
          </w:rPr>
          <w:t>8</w:t>
        </w:r>
        <w:r w:rsidR="004E4FEC">
          <w:rPr>
            <w:webHidden/>
          </w:rPr>
          <w:fldChar w:fldCharType="end"/>
        </w:r>
      </w:hyperlink>
    </w:p>
    <w:p w:rsidR="004E4FEC" w:rsidRDefault="00F12C20">
      <w:pPr>
        <w:pStyle w:val="TOC2"/>
        <w:rPr>
          <w:rFonts w:asciiTheme="minorHAnsi" w:eastAsiaTheme="minorEastAsia" w:hAnsiTheme="minorHAnsi" w:cstheme="minorBidi"/>
          <w:lang w:eastAsia="en-AU"/>
        </w:rPr>
      </w:pPr>
      <w:hyperlink w:anchor="_Toc463614218" w:history="1">
        <w:r w:rsidR="004E4FEC" w:rsidRPr="004C642C">
          <w:rPr>
            <w:rStyle w:val="Hyperlink"/>
          </w:rPr>
          <w:t>Option 3 - Require safe installation instructions</w:t>
        </w:r>
        <w:r w:rsidR="004E4FEC">
          <w:rPr>
            <w:webHidden/>
          </w:rPr>
          <w:tab/>
        </w:r>
        <w:r w:rsidR="004E4FEC">
          <w:rPr>
            <w:webHidden/>
          </w:rPr>
          <w:fldChar w:fldCharType="begin"/>
        </w:r>
        <w:r w:rsidR="004E4FEC">
          <w:rPr>
            <w:webHidden/>
          </w:rPr>
          <w:instrText xml:space="preserve"> PAGEREF _Toc463614218 \h </w:instrText>
        </w:r>
        <w:r w:rsidR="004E4FEC">
          <w:rPr>
            <w:webHidden/>
          </w:rPr>
        </w:r>
        <w:r w:rsidR="004E4FEC">
          <w:rPr>
            <w:webHidden/>
          </w:rPr>
          <w:fldChar w:fldCharType="separate"/>
        </w:r>
        <w:r w:rsidR="003F1C8E">
          <w:rPr>
            <w:webHidden/>
          </w:rPr>
          <w:t>9</w:t>
        </w:r>
        <w:r w:rsidR="004E4FEC">
          <w:rPr>
            <w:webHidden/>
          </w:rPr>
          <w:fldChar w:fldCharType="end"/>
        </w:r>
      </w:hyperlink>
    </w:p>
    <w:p w:rsidR="004E4FEC" w:rsidRDefault="00F12C20">
      <w:pPr>
        <w:pStyle w:val="TOC2"/>
        <w:rPr>
          <w:rFonts w:asciiTheme="minorHAnsi" w:eastAsiaTheme="minorEastAsia" w:hAnsiTheme="minorHAnsi" w:cstheme="minorBidi"/>
          <w:lang w:eastAsia="en-AU"/>
        </w:rPr>
      </w:pPr>
      <w:hyperlink w:anchor="_Toc463614222" w:history="1">
        <w:r w:rsidR="004E4FEC" w:rsidRPr="004C642C">
          <w:rPr>
            <w:rStyle w:val="Hyperlink"/>
          </w:rPr>
          <w:t>Option 4 - Revoke the mandatory safety standard</w:t>
        </w:r>
        <w:r w:rsidR="004E4FEC">
          <w:rPr>
            <w:webHidden/>
          </w:rPr>
          <w:tab/>
        </w:r>
        <w:r w:rsidR="004E4FEC">
          <w:rPr>
            <w:webHidden/>
          </w:rPr>
          <w:fldChar w:fldCharType="begin"/>
        </w:r>
        <w:r w:rsidR="004E4FEC">
          <w:rPr>
            <w:webHidden/>
          </w:rPr>
          <w:instrText xml:space="preserve"> PAGEREF _Toc463614222 \h </w:instrText>
        </w:r>
        <w:r w:rsidR="004E4FEC">
          <w:rPr>
            <w:webHidden/>
          </w:rPr>
        </w:r>
        <w:r w:rsidR="004E4FEC">
          <w:rPr>
            <w:webHidden/>
          </w:rPr>
          <w:fldChar w:fldCharType="separate"/>
        </w:r>
        <w:r w:rsidR="003F1C8E">
          <w:rPr>
            <w:webHidden/>
          </w:rPr>
          <w:t>10</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226" w:history="1">
        <w:r w:rsidR="004E4FEC" w:rsidRPr="004C642C">
          <w:rPr>
            <w:rStyle w:val="Hyperlink"/>
          </w:rPr>
          <w:t>7.</w:t>
        </w:r>
        <w:r w:rsidR="004E4FEC">
          <w:rPr>
            <w:rFonts w:asciiTheme="minorHAnsi" w:eastAsiaTheme="minorEastAsia" w:hAnsiTheme="minorHAnsi" w:cstheme="minorBidi"/>
            <w:lang w:val="en-AU" w:eastAsia="en-AU"/>
          </w:rPr>
          <w:tab/>
        </w:r>
        <w:r w:rsidR="004E4FEC" w:rsidRPr="004C642C">
          <w:rPr>
            <w:rStyle w:val="Hyperlink"/>
          </w:rPr>
          <w:t>Preliminary position</w:t>
        </w:r>
        <w:r w:rsidR="004E4FEC">
          <w:rPr>
            <w:webHidden/>
          </w:rPr>
          <w:tab/>
        </w:r>
        <w:r w:rsidR="004E4FEC">
          <w:rPr>
            <w:webHidden/>
          </w:rPr>
          <w:fldChar w:fldCharType="begin"/>
        </w:r>
        <w:r w:rsidR="004E4FEC">
          <w:rPr>
            <w:webHidden/>
          </w:rPr>
          <w:instrText xml:space="preserve"> PAGEREF _Toc463614226 \h </w:instrText>
        </w:r>
        <w:r w:rsidR="004E4FEC">
          <w:rPr>
            <w:webHidden/>
          </w:rPr>
        </w:r>
        <w:r w:rsidR="004E4FEC">
          <w:rPr>
            <w:webHidden/>
          </w:rPr>
          <w:fldChar w:fldCharType="separate"/>
        </w:r>
        <w:r w:rsidR="003F1C8E">
          <w:rPr>
            <w:webHidden/>
          </w:rPr>
          <w:t>10</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227" w:history="1">
        <w:r w:rsidR="004E4FEC" w:rsidRPr="004C642C">
          <w:rPr>
            <w:rStyle w:val="Hyperlink"/>
          </w:rPr>
          <w:t>8.</w:t>
        </w:r>
        <w:r w:rsidR="004E4FEC">
          <w:rPr>
            <w:rFonts w:asciiTheme="minorHAnsi" w:eastAsiaTheme="minorEastAsia" w:hAnsiTheme="minorHAnsi" w:cstheme="minorBidi"/>
            <w:lang w:val="en-AU" w:eastAsia="en-AU"/>
          </w:rPr>
          <w:tab/>
        </w:r>
        <w:r w:rsidR="004E4FEC" w:rsidRPr="004C642C">
          <w:rPr>
            <w:rStyle w:val="Hyperlink"/>
          </w:rPr>
          <w:t>Consultation questions</w:t>
        </w:r>
        <w:r w:rsidR="004E4FEC">
          <w:rPr>
            <w:webHidden/>
          </w:rPr>
          <w:tab/>
        </w:r>
        <w:r w:rsidR="004E4FEC">
          <w:rPr>
            <w:webHidden/>
          </w:rPr>
          <w:fldChar w:fldCharType="begin"/>
        </w:r>
        <w:r w:rsidR="004E4FEC">
          <w:rPr>
            <w:webHidden/>
          </w:rPr>
          <w:instrText xml:space="preserve"> PAGEREF _Toc463614227 \h </w:instrText>
        </w:r>
        <w:r w:rsidR="004E4FEC">
          <w:rPr>
            <w:webHidden/>
          </w:rPr>
        </w:r>
        <w:r w:rsidR="004E4FEC">
          <w:rPr>
            <w:webHidden/>
          </w:rPr>
          <w:fldChar w:fldCharType="separate"/>
        </w:r>
        <w:r w:rsidR="003F1C8E">
          <w:rPr>
            <w:webHidden/>
          </w:rPr>
          <w:t>11</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228" w:history="1">
        <w:r w:rsidR="004E4FEC" w:rsidRPr="004C642C">
          <w:rPr>
            <w:rStyle w:val="Hyperlink"/>
          </w:rPr>
          <w:t>9.</w:t>
        </w:r>
        <w:r w:rsidR="004E4FEC">
          <w:rPr>
            <w:rFonts w:asciiTheme="minorHAnsi" w:eastAsiaTheme="minorEastAsia" w:hAnsiTheme="minorHAnsi" w:cstheme="minorBidi"/>
            <w:lang w:val="en-AU" w:eastAsia="en-AU"/>
          </w:rPr>
          <w:tab/>
        </w:r>
        <w:r w:rsidR="004E4FEC" w:rsidRPr="004C642C">
          <w:rPr>
            <w:rStyle w:val="Hyperlink"/>
          </w:rPr>
          <w:t>Have your say</w:t>
        </w:r>
        <w:r w:rsidR="004E4FEC">
          <w:rPr>
            <w:webHidden/>
          </w:rPr>
          <w:tab/>
        </w:r>
        <w:r w:rsidR="004E4FEC">
          <w:rPr>
            <w:webHidden/>
          </w:rPr>
          <w:fldChar w:fldCharType="begin"/>
        </w:r>
        <w:r w:rsidR="004E4FEC">
          <w:rPr>
            <w:webHidden/>
          </w:rPr>
          <w:instrText xml:space="preserve"> PAGEREF _Toc463614228 \h </w:instrText>
        </w:r>
        <w:r w:rsidR="004E4FEC">
          <w:rPr>
            <w:webHidden/>
          </w:rPr>
        </w:r>
        <w:r w:rsidR="004E4FEC">
          <w:rPr>
            <w:webHidden/>
          </w:rPr>
          <w:fldChar w:fldCharType="separate"/>
        </w:r>
        <w:r w:rsidR="003F1C8E">
          <w:rPr>
            <w:webHidden/>
          </w:rPr>
          <w:t>11</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229" w:history="1">
        <w:r w:rsidR="004E4FEC" w:rsidRPr="004C642C">
          <w:rPr>
            <w:rStyle w:val="Hyperlink"/>
          </w:rPr>
          <w:t>Appendix A - Basketball rings and backboards injuries</w:t>
        </w:r>
        <w:r w:rsidR="004E4FEC">
          <w:rPr>
            <w:webHidden/>
          </w:rPr>
          <w:tab/>
        </w:r>
        <w:r w:rsidR="004E4FEC">
          <w:rPr>
            <w:webHidden/>
          </w:rPr>
          <w:fldChar w:fldCharType="begin"/>
        </w:r>
        <w:r w:rsidR="004E4FEC">
          <w:rPr>
            <w:webHidden/>
          </w:rPr>
          <w:instrText xml:space="preserve"> PAGEREF _Toc463614229 \h </w:instrText>
        </w:r>
        <w:r w:rsidR="004E4FEC">
          <w:rPr>
            <w:webHidden/>
          </w:rPr>
        </w:r>
        <w:r w:rsidR="004E4FEC">
          <w:rPr>
            <w:webHidden/>
          </w:rPr>
          <w:fldChar w:fldCharType="separate"/>
        </w:r>
        <w:r w:rsidR="003F1C8E">
          <w:rPr>
            <w:webHidden/>
          </w:rPr>
          <w:t>12</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236" w:history="1">
        <w:r w:rsidR="004E4FEC" w:rsidRPr="004C642C">
          <w:rPr>
            <w:rStyle w:val="Hyperlink"/>
          </w:rPr>
          <w:t>Appendix B - ACCC 2005 Safety Alert</w:t>
        </w:r>
        <w:r w:rsidR="004E4FEC">
          <w:rPr>
            <w:webHidden/>
          </w:rPr>
          <w:tab/>
        </w:r>
        <w:r w:rsidR="004E4FEC">
          <w:rPr>
            <w:webHidden/>
          </w:rPr>
          <w:fldChar w:fldCharType="begin"/>
        </w:r>
        <w:r w:rsidR="004E4FEC">
          <w:rPr>
            <w:webHidden/>
          </w:rPr>
          <w:instrText xml:space="preserve"> PAGEREF _Toc463614236 \h </w:instrText>
        </w:r>
        <w:r w:rsidR="004E4FEC">
          <w:rPr>
            <w:webHidden/>
          </w:rPr>
        </w:r>
        <w:r w:rsidR="004E4FEC">
          <w:rPr>
            <w:webHidden/>
          </w:rPr>
          <w:fldChar w:fldCharType="separate"/>
        </w:r>
        <w:r w:rsidR="003F1C8E">
          <w:rPr>
            <w:webHidden/>
          </w:rPr>
          <w:t>13</w:t>
        </w:r>
        <w:r w:rsidR="004E4FEC">
          <w:rPr>
            <w:webHidden/>
          </w:rPr>
          <w:fldChar w:fldCharType="end"/>
        </w:r>
      </w:hyperlink>
    </w:p>
    <w:p w:rsidR="004E4FEC" w:rsidRDefault="00F12C20">
      <w:pPr>
        <w:pStyle w:val="TOC1"/>
        <w:rPr>
          <w:rFonts w:asciiTheme="minorHAnsi" w:eastAsiaTheme="minorEastAsia" w:hAnsiTheme="minorHAnsi" w:cstheme="minorBidi"/>
          <w:lang w:val="en-AU" w:eastAsia="en-AU"/>
        </w:rPr>
      </w:pPr>
      <w:hyperlink w:anchor="_Toc463614237" w:history="1">
        <w:r w:rsidR="004E4FEC" w:rsidRPr="004C642C">
          <w:rPr>
            <w:rStyle w:val="Hyperlink"/>
            <w:rFonts w:eastAsia="Calibri"/>
          </w:rPr>
          <w:t>Glossary</w:t>
        </w:r>
        <w:r w:rsidR="004E4FEC">
          <w:rPr>
            <w:webHidden/>
          </w:rPr>
          <w:tab/>
        </w:r>
        <w:r w:rsidR="004E4FEC">
          <w:rPr>
            <w:webHidden/>
          </w:rPr>
          <w:fldChar w:fldCharType="begin"/>
        </w:r>
        <w:r w:rsidR="004E4FEC">
          <w:rPr>
            <w:webHidden/>
          </w:rPr>
          <w:instrText xml:space="preserve"> PAGEREF _Toc463614237 \h </w:instrText>
        </w:r>
        <w:r w:rsidR="004E4FEC">
          <w:rPr>
            <w:webHidden/>
          </w:rPr>
        </w:r>
        <w:r w:rsidR="004E4FEC">
          <w:rPr>
            <w:webHidden/>
          </w:rPr>
          <w:fldChar w:fldCharType="separate"/>
        </w:r>
        <w:r w:rsidR="003F1C8E">
          <w:rPr>
            <w:webHidden/>
          </w:rPr>
          <w:t>15</w:t>
        </w:r>
        <w:r w:rsidR="004E4FEC">
          <w:rPr>
            <w:webHidden/>
          </w:rPr>
          <w:fldChar w:fldCharType="end"/>
        </w:r>
      </w:hyperlink>
    </w:p>
    <w:p w:rsidR="00935D49" w:rsidRPr="00654B71" w:rsidRDefault="0086325C" w:rsidP="00654B71">
      <w:pPr>
        <w:pStyle w:val="Numbered1"/>
      </w:pPr>
      <w:r w:rsidRPr="00242590">
        <w:rPr>
          <w:rFonts w:cs="Arial"/>
          <w:bCs w:val="0"/>
          <w:sz w:val="20"/>
          <w:szCs w:val="20"/>
        </w:rPr>
        <w:fldChar w:fldCharType="end"/>
      </w:r>
      <w:bookmarkStart w:id="1" w:name="_Toc453759776"/>
      <w:bookmarkStart w:id="2" w:name="_Toc453749322"/>
      <w:r w:rsidR="00782C4B">
        <w:br w:type="page"/>
      </w:r>
      <w:bookmarkStart w:id="3" w:name="_Toc463614192"/>
      <w:bookmarkEnd w:id="1"/>
      <w:bookmarkEnd w:id="2"/>
      <w:r w:rsidR="00654B71">
        <w:lastRenderedPageBreak/>
        <w:t>1.</w:t>
      </w:r>
      <w:r w:rsidR="00654B71">
        <w:tab/>
        <w:t>Introduction</w:t>
      </w:r>
      <w:bookmarkEnd w:id="3"/>
    </w:p>
    <w:p w:rsidR="00242590" w:rsidRDefault="00935D49" w:rsidP="00426A70">
      <w:r w:rsidRPr="004421B4">
        <w:t>The</w:t>
      </w:r>
      <w:r>
        <w:t xml:space="preserve"> ACCC is reviewing the mandatory safet</w:t>
      </w:r>
      <w:r w:rsidR="00DE37CD">
        <w:t xml:space="preserve">y </w:t>
      </w:r>
      <w:r w:rsidR="00DE37CD" w:rsidRPr="008311AF">
        <w:t xml:space="preserve">standard </w:t>
      </w:r>
      <w:r w:rsidRPr="008311AF">
        <w:t xml:space="preserve">for </w:t>
      </w:r>
      <w:r w:rsidR="00426A70" w:rsidRPr="008311AF">
        <w:t>basketball rings and backboards</w:t>
      </w:r>
      <w:r w:rsidR="00426A70">
        <w:t xml:space="preserve"> </w:t>
      </w:r>
      <w:bookmarkStart w:id="4" w:name="_Toc453749323"/>
      <w:r w:rsidR="00426A70">
        <w:t>because t</w:t>
      </w:r>
      <w:r w:rsidR="00242590">
        <w:t>he market has changed since the mandatory safety standard</w:t>
      </w:r>
      <w:r w:rsidR="00426A70">
        <w:t xml:space="preserve"> was introduced.</w:t>
      </w:r>
    </w:p>
    <w:p w:rsidR="000D123D" w:rsidRDefault="000D123D" w:rsidP="00426A70">
      <w:r>
        <w:t xml:space="preserve">The ACCC is considering whether portable basketball systems should be excluded from the mandatory </w:t>
      </w:r>
      <w:r w:rsidR="00CC5D51">
        <w:t xml:space="preserve">safety </w:t>
      </w:r>
      <w:r>
        <w:t>standard and whether installation instructions should be provided with traditional basketball rings and backboards.</w:t>
      </w:r>
    </w:p>
    <w:p w:rsidR="00426A70" w:rsidRDefault="00426A70" w:rsidP="00426A70">
      <w:pPr>
        <w:pStyle w:val="Bulletpoint"/>
        <w:numPr>
          <w:ilvl w:val="0"/>
          <w:numId w:val="0"/>
        </w:numPr>
      </w:pPr>
      <w:r>
        <w:t>The ACCC seeks stakeholder information that could assist in the review.</w:t>
      </w:r>
    </w:p>
    <w:p w:rsidR="00023664" w:rsidRDefault="00F12C20" w:rsidP="00023664">
      <w:pPr>
        <w:pStyle w:val="ListParagraph"/>
        <w:numPr>
          <w:ilvl w:val="0"/>
          <w:numId w:val="0"/>
        </w:numPr>
        <w:ind w:left="340" w:hanging="340"/>
      </w:pPr>
      <w:r>
        <w:rPr>
          <w:noProof/>
        </w:rPr>
        <w:pict>
          <v:shape id="Text Box 2" o:spid="_x0000_s1037" type="#_x0000_t202" style="position:absolute;left:0;text-align:left;margin-left:-1.6pt;margin-top:14.55pt;width:447.75pt;height:69.7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NNJQIAAE0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">
            <v:textbox style="mso-next-textbox:#Text Box 2">
              <w:txbxContent>
                <w:p w:rsidR="005A13AA" w:rsidRDefault="005A13AA" w:rsidP="00023664">
                  <w:pPr>
                    <w:jc w:val="both"/>
                    <w:rPr>
                      <w:b/>
                    </w:rPr>
                  </w:pPr>
                  <w:r w:rsidRPr="00396799">
                    <w:rPr>
                      <w:b/>
                    </w:rPr>
                    <w:t xml:space="preserve">The consultation process outlined in this paper may be the only opportunity for </w:t>
                  </w:r>
                  <w:r>
                    <w:rPr>
                      <w:b/>
                    </w:rPr>
                    <w:t>you</w:t>
                  </w:r>
                  <w:r w:rsidRPr="00396799">
                    <w:rPr>
                      <w:b/>
                    </w:rPr>
                    <w:t xml:space="preserve"> to provide </w:t>
                  </w:r>
                  <w:r>
                    <w:rPr>
                      <w:b/>
                    </w:rPr>
                    <w:t>input into this review.</w:t>
                  </w:r>
                </w:p>
                <w:p w:rsidR="005A13AA" w:rsidRDefault="005A13AA" w:rsidP="00023664">
                  <w:pPr>
                    <w:jc w:val="both"/>
                    <w:rPr>
                      <w:b/>
                    </w:rPr>
                  </w:pPr>
                  <w:r>
                    <w:rPr>
                      <w:b/>
                    </w:rPr>
                    <w:t>You</w:t>
                  </w:r>
                  <w:r w:rsidRPr="00396799">
                    <w:rPr>
                      <w:b/>
                    </w:rPr>
                    <w:t xml:space="preserve"> are encouraged to make submissions</w:t>
                  </w:r>
                  <w:r>
                    <w:rPr>
                      <w:b/>
                    </w:rPr>
                    <w:t>.</w:t>
                  </w:r>
                </w:p>
                <w:p w:rsidR="005A13AA" w:rsidRDefault="005A13AA" w:rsidP="00023664">
                  <w:pPr>
                    <w:jc w:val="both"/>
                  </w:pPr>
                </w:p>
              </w:txbxContent>
            </v:textbox>
          </v:shape>
        </w:pict>
      </w:r>
    </w:p>
    <w:p w:rsidR="00023664" w:rsidRDefault="00023664" w:rsidP="00023664">
      <w:pPr>
        <w:pStyle w:val="ListParagraph"/>
        <w:numPr>
          <w:ilvl w:val="0"/>
          <w:numId w:val="0"/>
        </w:numPr>
        <w:ind w:left="340" w:hanging="340"/>
      </w:pPr>
    </w:p>
    <w:p w:rsidR="00023664" w:rsidRDefault="00023664" w:rsidP="00023664">
      <w:pPr>
        <w:pStyle w:val="ListParagraph"/>
        <w:numPr>
          <w:ilvl w:val="0"/>
          <w:numId w:val="0"/>
        </w:numPr>
        <w:ind w:left="340" w:hanging="340"/>
      </w:pPr>
    </w:p>
    <w:p w:rsidR="00023664" w:rsidRDefault="00023664" w:rsidP="00023664">
      <w:pPr>
        <w:pStyle w:val="ListParagraph"/>
        <w:numPr>
          <w:ilvl w:val="0"/>
          <w:numId w:val="0"/>
        </w:numPr>
        <w:ind w:left="340" w:hanging="340"/>
      </w:pPr>
    </w:p>
    <w:p w:rsidR="00052FA7" w:rsidRDefault="00052FA7" w:rsidP="00023664">
      <w:pPr>
        <w:pStyle w:val="ListParagraph"/>
        <w:numPr>
          <w:ilvl w:val="0"/>
          <w:numId w:val="0"/>
        </w:numPr>
        <w:ind w:left="340" w:hanging="340"/>
      </w:pPr>
    </w:p>
    <w:p w:rsidR="00F47A7B" w:rsidRPr="00F47A7B" w:rsidRDefault="00F47A7B" w:rsidP="00654B71">
      <w:pPr>
        <w:pStyle w:val="Numbered1"/>
        <w:numPr>
          <w:ilvl w:val="0"/>
          <w:numId w:val="27"/>
        </w:numPr>
      </w:pPr>
      <w:bookmarkStart w:id="5" w:name="_Toc463614193"/>
      <w:r w:rsidRPr="00F47A7B">
        <w:t xml:space="preserve">Policy </w:t>
      </w:r>
      <w:r w:rsidRPr="00382011">
        <w:t>options</w:t>
      </w:r>
      <w:bookmarkEnd w:id="4"/>
      <w:bookmarkEnd w:id="5"/>
    </w:p>
    <w:p w:rsidR="00426A70" w:rsidRDefault="00426A70" w:rsidP="00426A70">
      <w:pPr>
        <w:spacing w:after="240"/>
      </w:pPr>
      <w:r>
        <w:t xml:space="preserve">This consultation paper discusses </w:t>
      </w:r>
      <w:r w:rsidR="00861F86">
        <w:t>four</w:t>
      </w:r>
      <w:r>
        <w:t xml:space="preserve"> policy options:</w:t>
      </w:r>
    </w:p>
    <w:p w:rsidR="00426A70" w:rsidRDefault="00426A70" w:rsidP="007B7D27">
      <w:pPr>
        <w:spacing w:after="240"/>
      </w:pPr>
      <w:r>
        <w:t>Option 1</w:t>
      </w:r>
      <w:r>
        <w:tab/>
        <w:t xml:space="preserve">Keep the </w:t>
      </w:r>
      <w:r w:rsidR="00861298">
        <w:t xml:space="preserve">current </w:t>
      </w:r>
      <w:r>
        <w:t>mandatory safety standard</w:t>
      </w:r>
    </w:p>
    <w:p w:rsidR="00426A70" w:rsidRDefault="00426A70" w:rsidP="007B7D27">
      <w:pPr>
        <w:spacing w:after="240"/>
        <w:ind w:left="1020" w:hanging="1020"/>
      </w:pPr>
      <w:r>
        <w:t>Option 2</w:t>
      </w:r>
      <w:r>
        <w:tab/>
      </w:r>
      <w:r w:rsidR="00276854">
        <w:t>E</w:t>
      </w:r>
      <w:r>
        <w:t>xcl</w:t>
      </w:r>
      <w:r w:rsidR="00E2586B">
        <w:t>ude portable basketball systems</w:t>
      </w:r>
    </w:p>
    <w:p w:rsidR="00E2586B" w:rsidRDefault="00E2586B" w:rsidP="007B7D27">
      <w:pPr>
        <w:spacing w:after="240"/>
        <w:ind w:left="1020" w:hanging="1020"/>
      </w:pPr>
      <w:r>
        <w:t>Option 3</w:t>
      </w:r>
      <w:r>
        <w:tab/>
      </w:r>
      <w:r w:rsidR="00276854">
        <w:t>Require</w:t>
      </w:r>
      <w:r w:rsidR="002D3772">
        <w:t xml:space="preserve"> s</w:t>
      </w:r>
      <w:r w:rsidR="00BA6DC4">
        <w:t xml:space="preserve">afe </w:t>
      </w:r>
      <w:r>
        <w:t>installa</w:t>
      </w:r>
      <w:r w:rsidR="002D3772">
        <w:t>tion instructions</w:t>
      </w:r>
    </w:p>
    <w:p w:rsidR="00426A70" w:rsidRDefault="00426A70" w:rsidP="007B7D27">
      <w:pPr>
        <w:spacing w:after="240"/>
      </w:pPr>
      <w:r>
        <w:t xml:space="preserve">Option </w:t>
      </w:r>
      <w:r w:rsidR="00E2586B">
        <w:t>4</w:t>
      </w:r>
      <w:r>
        <w:tab/>
        <w:t>Revoke the mandatory safety standard</w:t>
      </w:r>
      <w:r w:rsidR="00F46191">
        <w:t>.</w:t>
      </w:r>
    </w:p>
    <w:p w:rsidR="00CE6BCF" w:rsidRPr="00AC1FB8" w:rsidRDefault="00CE6BCF" w:rsidP="00630646">
      <w:pPr>
        <w:pStyle w:val="Numbered1"/>
        <w:numPr>
          <w:ilvl w:val="0"/>
          <w:numId w:val="27"/>
        </w:numPr>
        <w:ind w:left="680" w:hanging="680"/>
      </w:pPr>
      <w:bookmarkStart w:id="6" w:name="_Toc448397925"/>
      <w:bookmarkStart w:id="7" w:name="_Toc453749325"/>
      <w:bookmarkStart w:id="8" w:name="_Toc463614194"/>
      <w:r w:rsidRPr="00382011">
        <w:t>Background</w:t>
      </w:r>
      <w:bookmarkEnd w:id="6"/>
      <w:bookmarkEnd w:id="7"/>
      <w:bookmarkEnd w:id="8"/>
    </w:p>
    <w:p w:rsidR="00426A70" w:rsidRDefault="00426A70" w:rsidP="00426A70">
      <w:r w:rsidRPr="00D1537F">
        <w:t xml:space="preserve">The key </w:t>
      </w:r>
      <w:r>
        <w:t>risk</w:t>
      </w:r>
      <w:r w:rsidRPr="00D1537F">
        <w:t xml:space="preserve"> with basketball rings and backboards</w:t>
      </w:r>
      <w:r>
        <w:t xml:space="preserve"> arises from </w:t>
      </w:r>
      <w:r w:rsidRPr="00D1537F">
        <w:t xml:space="preserve">their installation. </w:t>
      </w:r>
      <w:r w:rsidR="00F46191">
        <w:t>Deaths</w:t>
      </w:r>
      <w:r>
        <w:t xml:space="preserve"> and serious injuries </w:t>
      </w:r>
      <w:r w:rsidR="006F5525">
        <w:t>occur</w:t>
      </w:r>
      <w:r>
        <w:t xml:space="preserve"> </w:t>
      </w:r>
      <w:r w:rsidRPr="00D1537F">
        <w:t xml:space="preserve">when </w:t>
      </w:r>
      <w:r>
        <w:t xml:space="preserve">a basketball ring or backboard </w:t>
      </w:r>
      <w:r w:rsidR="007A0B63">
        <w:t xml:space="preserve">is </w:t>
      </w:r>
      <w:r>
        <w:t xml:space="preserve">attached to a structure such as </w:t>
      </w:r>
      <w:r w:rsidR="009E2403">
        <w:t>the</w:t>
      </w:r>
      <w:r w:rsidR="00E2390E">
        <w:t xml:space="preserve"> </w:t>
      </w:r>
      <w:r>
        <w:t>brick wall of a garage. The</w:t>
      </w:r>
      <w:r w:rsidR="00504BB6">
        <w:t>se</w:t>
      </w:r>
      <w:r>
        <w:t xml:space="preserve"> walls </w:t>
      </w:r>
      <w:r w:rsidR="007A0B63">
        <w:t>cannot</w:t>
      </w:r>
      <w:r>
        <w:t xml:space="preserve"> cope with the stresses placed on them when users perform ‘slam dunks’ –</w:t>
      </w:r>
      <w:r w:rsidR="00F46191">
        <w:t xml:space="preserve"> </w:t>
      </w:r>
      <w:r>
        <w:t>where the player hangs and swings from the basketball ring.</w:t>
      </w:r>
    </w:p>
    <w:p w:rsidR="007A0B63" w:rsidRDefault="007A0B63" w:rsidP="00426A70">
      <w:r>
        <w:t>When basketball rings and backboards are placed under pressure from continual play the installations can weaken. Fatal and serious injuries then result when the brick walls collapse, causing debris such as heavy bricks and sharp guttering to fall onto the player.</w:t>
      </w:r>
    </w:p>
    <w:p w:rsidR="00426A70" w:rsidRDefault="005E368E" w:rsidP="00426A70">
      <w:r w:rsidRPr="00D1537F">
        <w:t xml:space="preserve">The mandatory </w:t>
      </w:r>
      <w:r>
        <w:t xml:space="preserve">safety </w:t>
      </w:r>
      <w:r w:rsidRPr="00D1537F">
        <w:t xml:space="preserve">standard for </w:t>
      </w:r>
      <w:r>
        <w:t>b</w:t>
      </w:r>
      <w:r w:rsidRPr="00D1537F">
        <w:t>asketball rings and backboards was introduced in 2005 based on a</w:t>
      </w:r>
      <w:r>
        <w:t xml:space="preserve"> </w:t>
      </w:r>
      <w:r w:rsidRPr="00D1537F">
        <w:t>Victorian regulation.</w:t>
      </w:r>
      <w:r>
        <w:t xml:space="preserve"> </w:t>
      </w:r>
      <w:r w:rsidR="00426A70" w:rsidRPr="00D1537F">
        <w:t xml:space="preserve">The purpose of the </w:t>
      </w:r>
      <w:r w:rsidR="00426A70">
        <w:t>mandatory safety standard</w:t>
      </w:r>
      <w:r w:rsidR="00426A70" w:rsidRPr="00D1537F">
        <w:t xml:space="preserve"> is to </w:t>
      </w:r>
      <w:r w:rsidR="000A2D5A">
        <w:t>reduce</w:t>
      </w:r>
      <w:r w:rsidR="00426A70" w:rsidRPr="00D1537F">
        <w:t xml:space="preserve"> </w:t>
      </w:r>
      <w:r w:rsidRPr="00D1537F">
        <w:t>deaths and serious injuries</w:t>
      </w:r>
      <w:r>
        <w:t xml:space="preserve"> from </w:t>
      </w:r>
      <w:r w:rsidR="00F46191">
        <w:t>unsafe</w:t>
      </w:r>
      <w:r w:rsidR="00426A70">
        <w:t xml:space="preserve"> </w:t>
      </w:r>
      <w:r w:rsidR="00426A70" w:rsidRPr="00D1537F">
        <w:t>us</w:t>
      </w:r>
      <w:r w:rsidR="00426A70">
        <w:t>e (</w:t>
      </w:r>
      <w:r>
        <w:t>‘</w:t>
      </w:r>
      <w:r w:rsidR="00426A70">
        <w:t>slam dunking</w:t>
      </w:r>
      <w:r>
        <w:t>’</w:t>
      </w:r>
      <w:r w:rsidR="00426A70">
        <w:t>) and inappropriate installation.</w:t>
      </w:r>
    </w:p>
    <w:p w:rsidR="005E368E" w:rsidRPr="008311AF" w:rsidRDefault="005E368E" w:rsidP="00426111">
      <w:pPr>
        <w:pStyle w:val="Numbered11"/>
        <w:numPr>
          <w:ilvl w:val="1"/>
          <w:numId w:val="43"/>
        </w:numPr>
        <w:tabs>
          <w:tab w:val="clear" w:pos="1021"/>
          <w:tab w:val="left" w:pos="709"/>
        </w:tabs>
      </w:pPr>
      <w:bookmarkStart w:id="9" w:name="_Toc448397926"/>
      <w:bookmarkStart w:id="10" w:name="_Toc453749080"/>
      <w:bookmarkStart w:id="11" w:name="_Toc453749326"/>
      <w:bookmarkStart w:id="12" w:name="_Toc453749376"/>
      <w:bookmarkStart w:id="13" w:name="_Toc453759781"/>
      <w:bookmarkStart w:id="14" w:name="_Toc453763179"/>
      <w:bookmarkStart w:id="15" w:name="_Toc453763864"/>
      <w:bookmarkStart w:id="16" w:name="_Toc453765774"/>
      <w:bookmarkStart w:id="17" w:name="_Toc454443989"/>
      <w:bookmarkStart w:id="18" w:name="_Toc454544413"/>
      <w:bookmarkStart w:id="19" w:name="_Toc455579995"/>
      <w:bookmarkStart w:id="20" w:name="_Toc456277613"/>
      <w:bookmarkStart w:id="21" w:name="_Toc456278982"/>
      <w:bookmarkStart w:id="22" w:name="_Toc457311805"/>
      <w:bookmarkStart w:id="23" w:name="_Toc463614195"/>
      <w:bookmarkStart w:id="24" w:name="_Toc460406428"/>
      <w:bookmarkStart w:id="25" w:name="_Toc460407457"/>
      <w:bookmarkStart w:id="26" w:name="_Toc460425485"/>
      <w:bookmarkStart w:id="27" w:name="_Toc460589672"/>
      <w:r w:rsidRPr="008311AF">
        <w:t>Basketball rings and backboards in Australia</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bookmarkEnd w:id="24"/>
    <w:bookmarkEnd w:id="25"/>
    <w:bookmarkEnd w:id="26"/>
    <w:bookmarkEnd w:id="27"/>
    <w:p w:rsidR="00426A70" w:rsidRDefault="00F46191" w:rsidP="000216BB">
      <w:r>
        <w:t>There are two kinds of b</w:t>
      </w:r>
      <w:r w:rsidR="00426A70">
        <w:t>asketball rings and backboards</w:t>
      </w:r>
      <w:r>
        <w:t>:</w:t>
      </w:r>
      <w:r w:rsidR="000216BB">
        <w:t xml:space="preserve"> </w:t>
      </w:r>
      <w:r w:rsidR="00426A70">
        <w:t>traditional basketball rings and backboards</w:t>
      </w:r>
      <w:r w:rsidR="00072BEF">
        <w:t>,</w:t>
      </w:r>
      <w:r w:rsidR="000216BB">
        <w:t xml:space="preserve"> and </w:t>
      </w:r>
      <w:r w:rsidR="00426A70">
        <w:t>portable basketball systems.</w:t>
      </w:r>
    </w:p>
    <w:p w:rsidR="00426A70" w:rsidRDefault="00426A70" w:rsidP="00426A70">
      <w:pPr>
        <w:pStyle w:val="Heading4"/>
      </w:pPr>
      <w:bookmarkStart w:id="28" w:name="_Toc460425486"/>
      <w:bookmarkStart w:id="29" w:name="_Toc460589673"/>
      <w:bookmarkStart w:id="30" w:name="_Toc461088748"/>
      <w:bookmarkStart w:id="31" w:name="_Toc461101938"/>
      <w:bookmarkStart w:id="32" w:name="_Toc461184832"/>
      <w:bookmarkStart w:id="33" w:name="_Toc461188075"/>
      <w:bookmarkStart w:id="34" w:name="_Toc461791296"/>
      <w:bookmarkStart w:id="35" w:name="_Toc463601267"/>
      <w:bookmarkStart w:id="36" w:name="_Toc463603320"/>
      <w:bookmarkStart w:id="37" w:name="_Toc463605642"/>
      <w:bookmarkStart w:id="38" w:name="_Toc463614196"/>
      <w:r>
        <w:t>Traditional basketball rings and backboards</w:t>
      </w:r>
      <w:bookmarkEnd w:id="28"/>
      <w:bookmarkEnd w:id="29"/>
      <w:bookmarkEnd w:id="30"/>
      <w:bookmarkEnd w:id="31"/>
      <w:bookmarkEnd w:id="32"/>
      <w:bookmarkEnd w:id="33"/>
      <w:bookmarkEnd w:id="34"/>
      <w:bookmarkEnd w:id="35"/>
      <w:bookmarkEnd w:id="36"/>
      <w:bookmarkEnd w:id="37"/>
      <w:bookmarkEnd w:id="38"/>
    </w:p>
    <w:p w:rsidR="000D123D" w:rsidRDefault="00C56244" w:rsidP="00426A70">
      <w:r w:rsidRPr="00C56244">
        <w:t>Traditional basketball rings and backboards</w:t>
      </w:r>
      <w:r w:rsidRPr="00C56244" w:rsidDel="00C56244">
        <w:t xml:space="preserve"> </w:t>
      </w:r>
      <w:r w:rsidR="00426A70">
        <w:t xml:space="preserve">need to be mounted or fixed at an appropriate height above the ground. They were commonly installed by users onto metal posts that were fixed either into or onto the ground. However, a less complex and more convenient way to </w:t>
      </w:r>
      <w:r w:rsidR="00426A70">
        <w:lastRenderedPageBreak/>
        <w:t>install these traditional basketball rings and backboards was to mount them onto existing structures such as a brick wall of a garage or home.</w:t>
      </w:r>
    </w:p>
    <w:p w:rsidR="000D123D" w:rsidRDefault="000D123D" w:rsidP="000D123D">
      <w:pPr>
        <w:pStyle w:val="Heading4"/>
      </w:pPr>
      <w:bookmarkStart w:id="39" w:name="_Toc460425487"/>
      <w:bookmarkStart w:id="40" w:name="_Toc460589674"/>
      <w:bookmarkStart w:id="41" w:name="_Toc461088749"/>
      <w:bookmarkStart w:id="42" w:name="_Toc461101939"/>
      <w:bookmarkStart w:id="43" w:name="_Toc461184833"/>
      <w:bookmarkStart w:id="44" w:name="_Toc461188076"/>
      <w:bookmarkStart w:id="45" w:name="_Toc461791297"/>
      <w:bookmarkStart w:id="46" w:name="_Toc463601268"/>
      <w:bookmarkStart w:id="47" w:name="_Toc463603321"/>
      <w:bookmarkStart w:id="48" w:name="_Toc463605643"/>
      <w:bookmarkStart w:id="49" w:name="_Toc463614197"/>
      <w:r>
        <w:t>Portable basketball systems</w:t>
      </w:r>
      <w:bookmarkEnd w:id="39"/>
      <w:bookmarkEnd w:id="40"/>
      <w:bookmarkEnd w:id="41"/>
      <w:bookmarkEnd w:id="42"/>
      <w:bookmarkEnd w:id="43"/>
      <w:bookmarkEnd w:id="44"/>
      <w:bookmarkEnd w:id="45"/>
      <w:bookmarkEnd w:id="46"/>
      <w:bookmarkEnd w:id="47"/>
      <w:bookmarkEnd w:id="48"/>
      <w:bookmarkEnd w:id="49"/>
    </w:p>
    <w:p w:rsidR="00426A70" w:rsidRPr="006541A8" w:rsidRDefault="00C56244" w:rsidP="00426A70">
      <w:pPr>
        <w:rPr>
          <w:rStyle w:val="TabletitleChar"/>
          <w:b w:val="0"/>
          <w:szCs w:val="22"/>
        </w:rPr>
      </w:pPr>
      <w:r w:rsidRPr="00C56244">
        <w:t>Portable basketball systems</w:t>
      </w:r>
      <w:r w:rsidRPr="00C56244" w:rsidDel="00C56244">
        <w:t xml:space="preserve"> </w:t>
      </w:r>
      <w:r w:rsidR="00426A70">
        <w:t>usually require some form of initial assembly. They generally have a hollow plastic base that needs to be filled with sand or water to keep the system st</w:t>
      </w:r>
      <w:r w:rsidR="009E2403">
        <w:t>able</w:t>
      </w:r>
      <w:r w:rsidR="00426A70">
        <w:t xml:space="preserve"> and prevent it from falling over. They often have wheels on the base </w:t>
      </w:r>
      <w:r w:rsidR="009E2403">
        <w:t xml:space="preserve">that </w:t>
      </w:r>
      <w:r w:rsidR="00426A70">
        <w:t xml:space="preserve">allow the system to be put away after use or be used in various outdoor locations around the home. The </w:t>
      </w:r>
      <w:r w:rsidR="000216BB">
        <w:t xml:space="preserve">height of the ring is </w:t>
      </w:r>
      <w:r w:rsidR="00426A70">
        <w:t xml:space="preserve">often </w:t>
      </w:r>
      <w:r w:rsidR="00341746">
        <w:t xml:space="preserve">adjustable </w:t>
      </w:r>
      <w:r w:rsidR="009E2403">
        <w:t>to accommodate</w:t>
      </w:r>
      <w:r w:rsidR="00341746">
        <w:t xml:space="preserve"> users of </w:t>
      </w:r>
      <w:r w:rsidR="00E2390E">
        <w:t xml:space="preserve">different </w:t>
      </w:r>
      <w:r w:rsidR="000216BB">
        <w:t>age</w:t>
      </w:r>
      <w:r w:rsidR="00E2390E">
        <w:t>s</w:t>
      </w:r>
      <w:r w:rsidR="00341746">
        <w:t>, height</w:t>
      </w:r>
      <w:r w:rsidR="00E2390E">
        <w:t>s</w:t>
      </w:r>
      <w:r w:rsidR="00341746">
        <w:t xml:space="preserve"> and skill levels.</w:t>
      </w:r>
    </w:p>
    <w:p w:rsidR="00426A70" w:rsidRPr="006541A8" w:rsidRDefault="00426A70" w:rsidP="005E368E">
      <w:pPr>
        <w:pStyle w:val="Heading4"/>
      </w:pPr>
      <w:bookmarkStart w:id="50" w:name="_Toc460406429"/>
      <w:bookmarkStart w:id="51" w:name="_Toc460407458"/>
      <w:bookmarkStart w:id="52" w:name="_Toc460425488"/>
      <w:bookmarkStart w:id="53" w:name="_Toc460589675"/>
      <w:bookmarkStart w:id="54" w:name="_Toc461088750"/>
      <w:bookmarkStart w:id="55" w:name="_Toc461101940"/>
      <w:bookmarkStart w:id="56" w:name="_Toc461184834"/>
      <w:bookmarkStart w:id="57" w:name="_Toc461188077"/>
      <w:bookmarkStart w:id="58" w:name="_Toc461791298"/>
      <w:bookmarkStart w:id="59" w:name="_Toc463601269"/>
      <w:bookmarkStart w:id="60" w:name="_Toc463603322"/>
      <w:bookmarkStart w:id="61" w:name="_Toc463605644"/>
      <w:bookmarkStart w:id="62" w:name="_Toc463614198"/>
      <w:r w:rsidRPr="006541A8">
        <w:t>The market</w:t>
      </w:r>
      <w:bookmarkEnd w:id="50"/>
      <w:bookmarkEnd w:id="51"/>
      <w:bookmarkEnd w:id="52"/>
      <w:bookmarkEnd w:id="53"/>
      <w:bookmarkEnd w:id="54"/>
      <w:bookmarkEnd w:id="55"/>
      <w:bookmarkEnd w:id="56"/>
      <w:bookmarkEnd w:id="57"/>
      <w:bookmarkEnd w:id="58"/>
      <w:bookmarkEnd w:id="59"/>
      <w:bookmarkEnd w:id="60"/>
      <w:bookmarkEnd w:id="61"/>
      <w:bookmarkEnd w:id="62"/>
    </w:p>
    <w:p w:rsidR="00426A70" w:rsidRDefault="00426A70" w:rsidP="00426A70">
      <w:r>
        <w:t>Basketball rings and backboards are widely available in a range of stores throughout Australia and online. Most products aimed at consumers are manufactured in China and the US</w:t>
      </w:r>
      <w:r w:rsidR="009E2403">
        <w:t>A</w:t>
      </w:r>
      <w:r>
        <w:t>. There are a number of Australian manufacturers</w:t>
      </w:r>
      <w:r w:rsidR="009E2403">
        <w:t xml:space="preserve"> whose</w:t>
      </w:r>
      <w:r>
        <w:t xml:space="preserve"> products are </w:t>
      </w:r>
      <w:r w:rsidR="009E2403">
        <w:t xml:space="preserve">mostly </w:t>
      </w:r>
      <w:r>
        <w:t>optimised for club</w:t>
      </w:r>
      <w:r w:rsidR="009E2403">
        <w:t>s</w:t>
      </w:r>
      <w:r>
        <w:t xml:space="preserve"> or institution</w:t>
      </w:r>
      <w:r w:rsidR="009E2403">
        <w:t xml:space="preserve">s, </w:t>
      </w:r>
      <w:r w:rsidR="00C56244">
        <w:t>rather than home use</w:t>
      </w:r>
      <w:r>
        <w:t>.</w:t>
      </w:r>
    </w:p>
    <w:p w:rsidR="00426A70" w:rsidRPr="00751E28" w:rsidRDefault="00274A09" w:rsidP="00426A70">
      <w:r>
        <w:t xml:space="preserve">Since the </w:t>
      </w:r>
      <w:r w:rsidRPr="00D1537F">
        <w:t xml:space="preserve">mandatory </w:t>
      </w:r>
      <w:r>
        <w:t xml:space="preserve">safety </w:t>
      </w:r>
      <w:r w:rsidRPr="00D1537F">
        <w:t xml:space="preserve">standard </w:t>
      </w:r>
      <w:r w:rsidR="009E2403">
        <w:t>was implemented</w:t>
      </w:r>
      <w:r w:rsidR="000216BB">
        <w:t xml:space="preserve"> in 2005</w:t>
      </w:r>
      <w:r>
        <w:t>,</w:t>
      </w:r>
      <w:r w:rsidRPr="00D1537F">
        <w:t xml:space="preserve"> </w:t>
      </w:r>
      <w:r>
        <w:t xml:space="preserve">the </w:t>
      </w:r>
      <w:r w:rsidR="00426A70">
        <w:t xml:space="preserve">retail market for basketball rings and backboards in Australia has moved </w:t>
      </w:r>
      <w:r w:rsidR="000216BB">
        <w:t xml:space="preserve">predominantly </w:t>
      </w:r>
      <w:r w:rsidR="00426A70">
        <w:t>to portable basketball systems and away from traditional b</w:t>
      </w:r>
      <w:r w:rsidR="003E6F96">
        <w:t>asketball rings and backboards.</w:t>
      </w:r>
    </w:p>
    <w:p w:rsidR="00426A70" w:rsidRPr="00751E28" w:rsidRDefault="000216BB" w:rsidP="000216BB">
      <w:r>
        <w:t>We surveyed</w:t>
      </w:r>
      <w:r w:rsidR="00426A70" w:rsidRPr="00751E28">
        <w:t xml:space="preserve"> basketball products </w:t>
      </w:r>
      <w:r w:rsidR="00426A70">
        <w:t>sold online</w:t>
      </w:r>
      <w:r w:rsidR="00426A70" w:rsidRPr="00751E28">
        <w:t xml:space="preserve"> </w:t>
      </w:r>
      <w:r>
        <w:t>and found</w:t>
      </w:r>
      <w:r w:rsidR="00426A70" w:rsidRPr="00751E28">
        <w:t xml:space="preserve"> </w:t>
      </w:r>
      <w:r>
        <w:t>that</w:t>
      </w:r>
      <w:r w:rsidR="00426A70" w:rsidRPr="00751E28">
        <w:t xml:space="preserve"> 90</w:t>
      </w:r>
      <w:r w:rsidR="00426A70">
        <w:t> per cent</w:t>
      </w:r>
      <w:r w:rsidR="00426A70" w:rsidRPr="00751E28">
        <w:t xml:space="preserve"> are portable basketball systems and 10</w:t>
      </w:r>
      <w:r w:rsidR="00426A70">
        <w:t> per cent</w:t>
      </w:r>
      <w:r w:rsidR="00426A70" w:rsidRPr="00751E28">
        <w:t xml:space="preserve"> are </w:t>
      </w:r>
      <w:r>
        <w:t>traditional</w:t>
      </w:r>
      <w:r w:rsidR="00426A70" w:rsidRPr="00751E28">
        <w:t xml:space="preserve"> basketball rings and backboards.</w:t>
      </w:r>
      <w:r>
        <w:t xml:space="preserve"> T</w:t>
      </w:r>
      <w:r w:rsidR="00426A70" w:rsidRPr="00751E28">
        <w:t>wo leading Australian suppliers indicate</w:t>
      </w:r>
      <w:r w:rsidR="00620E30">
        <w:t>d</w:t>
      </w:r>
      <w:r>
        <w:t xml:space="preserve"> that</w:t>
      </w:r>
      <w:r w:rsidR="00426A70" w:rsidRPr="00751E28">
        <w:t xml:space="preserve"> </w:t>
      </w:r>
      <w:r w:rsidRPr="00751E28">
        <w:t>80-</w:t>
      </w:r>
      <w:r>
        <w:t>9</w:t>
      </w:r>
      <w:r w:rsidRPr="00751E28">
        <w:t>0</w:t>
      </w:r>
      <w:r>
        <w:t> </w:t>
      </w:r>
      <w:r w:rsidRPr="00751E28">
        <w:t>per</w:t>
      </w:r>
      <w:r>
        <w:t> </w:t>
      </w:r>
      <w:r w:rsidRPr="00751E28">
        <w:t>cent of the</w:t>
      </w:r>
      <w:r>
        <w:t>ir</w:t>
      </w:r>
      <w:r w:rsidRPr="00751E28">
        <w:t xml:space="preserve"> </w:t>
      </w:r>
      <w:r>
        <w:t>sales</w:t>
      </w:r>
      <w:r w:rsidRPr="00751E28">
        <w:t xml:space="preserve"> </w:t>
      </w:r>
      <w:r>
        <w:t xml:space="preserve">are </w:t>
      </w:r>
      <w:r w:rsidR="00426A70" w:rsidRPr="00751E28">
        <w:t xml:space="preserve">portable basketball systems </w:t>
      </w:r>
      <w:r w:rsidR="00620E30">
        <w:t xml:space="preserve">while </w:t>
      </w:r>
      <w:r w:rsidR="00426A70" w:rsidRPr="00751E28">
        <w:t>10-20</w:t>
      </w:r>
      <w:r w:rsidR="00426A70">
        <w:t> </w:t>
      </w:r>
      <w:r w:rsidR="00426A70" w:rsidRPr="00751E28">
        <w:t>per</w:t>
      </w:r>
      <w:r w:rsidR="00426A70">
        <w:t> </w:t>
      </w:r>
      <w:r w:rsidR="00426A70" w:rsidRPr="00751E28">
        <w:t>cent</w:t>
      </w:r>
      <w:r w:rsidR="00620E30">
        <w:t xml:space="preserve"> </w:t>
      </w:r>
      <w:r w:rsidR="001D479B">
        <w:t>are</w:t>
      </w:r>
      <w:r w:rsidR="00620E30" w:rsidRPr="00751E28">
        <w:t xml:space="preserve"> </w:t>
      </w:r>
      <w:r w:rsidR="00620E30">
        <w:t xml:space="preserve">traditional </w:t>
      </w:r>
      <w:r w:rsidR="00620E30" w:rsidRPr="00751E28">
        <w:t>basketball rings and backboards</w:t>
      </w:r>
      <w:r w:rsidR="00620E30">
        <w:t>.</w:t>
      </w:r>
      <w:r w:rsidR="00426A70" w:rsidRPr="00751E28">
        <w:t xml:space="preserve"> These suppliers also </w:t>
      </w:r>
      <w:r>
        <w:t>said</w:t>
      </w:r>
      <w:r w:rsidR="00426A70" w:rsidRPr="00751E28">
        <w:t xml:space="preserve"> there </w:t>
      </w:r>
      <w:r w:rsidR="00620E30">
        <w:t>has been</w:t>
      </w:r>
      <w:r w:rsidR="00426A70" w:rsidRPr="00751E28">
        <w:t xml:space="preserve"> a spike in sales of portable basketball systems </w:t>
      </w:r>
      <w:r w:rsidR="00620E30">
        <w:t>between</w:t>
      </w:r>
      <w:r w:rsidR="00426A70" w:rsidRPr="00751E28">
        <w:t xml:space="preserve"> 2013 </w:t>
      </w:r>
      <w:r w:rsidR="00620E30">
        <w:t>and</w:t>
      </w:r>
      <w:r w:rsidR="00426A70" w:rsidRPr="00751E28">
        <w:t xml:space="preserve"> 2015.</w:t>
      </w:r>
    </w:p>
    <w:p w:rsidR="00A037E9" w:rsidRDefault="00A037E9" w:rsidP="00426111">
      <w:pPr>
        <w:pStyle w:val="Numbered11"/>
        <w:numPr>
          <w:ilvl w:val="1"/>
          <w:numId w:val="43"/>
        </w:numPr>
        <w:tabs>
          <w:tab w:val="clear" w:pos="1021"/>
          <w:tab w:val="left" w:pos="709"/>
        </w:tabs>
      </w:pPr>
      <w:bookmarkStart w:id="63" w:name="_Toc457311806"/>
      <w:bookmarkStart w:id="64" w:name="_Toc457222699"/>
      <w:bookmarkStart w:id="65" w:name="_Toc440455032"/>
      <w:bookmarkStart w:id="66" w:name="_Toc457220018"/>
      <w:bookmarkStart w:id="67" w:name="_Toc463614199"/>
      <w:r>
        <w:t xml:space="preserve">Injuries and deaths involving </w:t>
      </w:r>
      <w:r w:rsidR="00426A70">
        <w:t>basketball rings and backboards</w:t>
      </w:r>
      <w:bookmarkEnd w:id="63"/>
      <w:bookmarkEnd w:id="64"/>
      <w:bookmarkEnd w:id="65"/>
      <w:bookmarkEnd w:id="66"/>
      <w:bookmarkEnd w:id="67"/>
    </w:p>
    <w:p w:rsidR="00426A70" w:rsidRDefault="00865DE3" w:rsidP="00426A70">
      <w:r>
        <w:t>Before</w:t>
      </w:r>
      <w:r w:rsidR="00426A70" w:rsidRPr="000716FE">
        <w:t xml:space="preserve"> the mandatory </w:t>
      </w:r>
      <w:r w:rsidR="00426A70">
        <w:t xml:space="preserve">safety </w:t>
      </w:r>
      <w:r w:rsidR="00426A70" w:rsidRPr="000716FE">
        <w:t xml:space="preserve">standard </w:t>
      </w:r>
      <w:r w:rsidR="00165492">
        <w:t xml:space="preserve">was introduced </w:t>
      </w:r>
      <w:r w:rsidR="00426A70">
        <w:t xml:space="preserve">in 2005 </w:t>
      </w:r>
      <w:r w:rsidR="00426A70" w:rsidRPr="000716FE">
        <w:t xml:space="preserve">there were three known </w:t>
      </w:r>
      <w:r>
        <w:t>deaths</w:t>
      </w:r>
      <w:r w:rsidR="00426A70" w:rsidRPr="000716FE">
        <w:t xml:space="preserve"> </w:t>
      </w:r>
      <w:r w:rsidRPr="000716FE">
        <w:t xml:space="preserve">in Australia </w:t>
      </w:r>
      <w:r w:rsidR="00426A70" w:rsidRPr="000716FE">
        <w:t xml:space="preserve">associated with the use of </w:t>
      </w:r>
      <w:r w:rsidR="00057B2A">
        <w:t xml:space="preserve">traditional </w:t>
      </w:r>
      <w:r w:rsidR="00426A70" w:rsidRPr="000716FE">
        <w:t>basketball rings and backboards. These occurred in 1996, 1998 and 2002.</w:t>
      </w:r>
      <w:r w:rsidR="00426A70">
        <w:t xml:space="preserve"> </w:t>
      </w:r>
      <w:r w:rsidR="00426A70" w:rsidRPr="000716FE">
        <w:t xml:space="preserve">Since </w:t>
      </w:r>
      <w:r w:rsidR="00847258">
        <w:t>2005</w:t>
      </w:r>
      <w:r>
        <w:t>,</w:t>
      </w:r>
      <w:r w:rsidR="00426A70" w:rsidRPr="000716FE">
        <w:t xml:space="preserve"> there has been one </w:t>
      </w:r>
      <w:r>
        <w:t>death</w:t>
      </w:r>
      <w:r w:rsidR="00426A70" w:rsidRPr="000716FE">
        <w:t xml:space="preserve"> </w:t>
      </w:r>
      <w:r w:rsidRPr="000716FE">
        <w:t xml:space="preserve">associated with </w:t>
      </w:r>
      <w:r>
        <w:t xml:space="preserve">a traditional </w:t>
      </w:r>
      <w:r w:rsidRPr="000716FE">
        <w:t>basketball ring and backboard</w:t>
      </w:r>
      <w:r w:rsidR="00620E30">
        <w:t xml:space="preserve">. This was </w:t>
      </w:r>
      <w:r w:rsidR="00620E30" w:rsidRPr="000716FE">
        <w:t>in 2012</w:t>
      </w:r>
      <w:r w:rsidR="00620E30">
        <w:t xml:space="preserve"> and involved a product</w:t>
      </w:r>
      <w:r w:rsidR="00847258">
        <w:t xml:space="preserve"> that complied with the </w:t>
      </w:r>
      <w:r w:rsidR="00847258" w:rsidRPr="000716FE">
        <w:t xml:space="preserve">mandatory </w:t>
      </w:r>
      <w:r w:rsidR="00847258">
        <w:t xml:space="preserve">safety </w:t>
      </w:r>
      <w:r w:rsidR="00847258" w:rsidRPr="000716FE">
        <w:t>standard</w:t>
      </w:r>
      <w:r w:rsidR="00426A70">
        <w:t>.</w:t>
      </w:r>
    </w:p>
    <w:p w:rsidR="00057B2A" w:rsidRDefault="00057B2A" w:rsidP="00426A70">
      <w:r>
        <w:t>Portable basketball systems do not appear to present the same hazard as traditional basketball rings and backboards. Despite their popularity, no deaths have been associated with portable basketball systems.</w:t>
      </w:r>
    </w:p>
    <w:p w:rsidR="00426A70" w:rsidRPr="000716FE" w:rsidRDefault="00D42D92" w:rsidP="00426A70">
      <w:r>
        <w:t>Although the rate of deaths decreased</w:t>
      </w:r>
      <w:r w:rsidR="00620E30">
        <w:t xml:space="preserve"> since 2005</w:t>
      </w:r>
      <w:r>
        <w:t xml:space="preserve">, the rate of </w:t>
      </w:r>
      <w:r w:rsidR="00426A70" w:rsidRPr="000716FE">
        <w:t xml:space="preserve">injuries </w:t>
      </w:r>
      <w:r>
        <w:t xml:space="preserve">associated with </w:t>
      </w:r>
      <w:r w:rsidR="0038283C">
        <w:t xml:space="preserve">all </w:t>
      </w:r>
      <w:r w:rsidRPr="000716FE">
        <w:t>basketball ring</w:t>
      </w:r>
      <w:r>
        <w:t>s</w:t>
      </w:r>
      <w:r w:rsidRPr="000716FE">
        <w:t xml:space="preserve"> and backboard</w:t>
      </w:r>
      <w:r>
        <w:t>s</w:t>
      </w:r>
      <w:r w:rsidRPr="000716FE">
        <w:t xml:space="preserve"> </w:t>
      </w:r>
      <w:r>
        <w:t xml:space="preserve">has </w:t>
      </w:r>
      <w:r w:rsidR="00426A70" w:rsidRPr="000716FE">
        <w:t>increased</w:t>
      </w:r>
      <w:r w:rsidR="0038283C">
        <w:t xml:space="preserve"> (see Appendix A for more details)</w:t>
      </w:r>
      <w:r w:rsidR="00426A70" w:rsidRPr="000716FE">
        <w:t xml:space="preserve">. </w:t>
      </w:r>
      <w:r w:rsidR="00D57992">
        <w:t>T</w:t>
      </w:r>
      <w:r w:rsidR="00D57992" w:rsidRPr="000716FE">
        <w:t>he likely reason for the increase</w:t>
      </w:r>
      <w:r w:rsidR="00D57992">
        <w:t>d</w:t>
      </w:r>
      <w:r w:rsidR="00D57992" w:rsidRPr="000716FE">
        <w:t xml:space="preserve"> injuries </w:t>
      </w:r>
      <w:r w:rsidR="00D57992">
        <w:t xml:space="preserve">is </w:t>
      </w:r>
      <w:r w:rsidR="00620E30">
        <w:t xml:space="preserve">the </w:t>
      </w:r>
      <w:r w:rsidR="00D57992">
        <w:t xml:space="preserve">greatly increased </w:t>
      </w:r>
      <w:r w:rsidR="00620E30">
        <w:t xml:space="preserve">rate of participation in </w:t>
      </w:r>
      <w:r w:rsidR="00D57992" w:rsidRPr="000716FE">
        <w:t xml:space="preserve">basketball </w:t>
      </w:r>
      <w:r w:rsidR="00D57992">
        <w:t>and an</w:t>
      </w:r>
      <w:r w:rsidR="00D57992" w:rsidRPr="000716FE">
        <w:t xml:space="preserve"> </w:t>
      </w:r>
      <w:r w:rsidR="00D57992">
        <w:t xml:space="preserve">associated </w:t>
      </w:r>
      <w:r w:rsidR="00426A70" w:rsidRPr="000716FE">
        <w:t xml:space="preserve">increase in the supply and use of </w:t>
      </w:r>
      <w:r w:rsidR="00252D26">
        <w:t xml:space="preserve">portable </w:t>
      </w:r>
      <w:r w:rsidR="00426A70" w:rsidRPr="000716FE">
        <w:t>basketball systems.</w:t>
      </w:r>
    </w:p>
    <w:p w:rsidR="00072BEF" w:rsidRDefault="00887A92" w:rsidP="00D57992">
      <w:r w:rsidRPr="00887A92">
        <w:t xml:space="preserve">However, </w:t>
      </w:r>
      <w:r w:rsidR="00E2390E">
        <w:t xml:space="preserve">the majority of </w:t>
      </w:r>
      <w:r w:rsidRPr="00887A92">
        <w:t xml:space="preserve">basketball ring and backboard injuries </w:t>
      </w:r>
      <w:r w:rsidR="00E2390E">
        <w:t xml:space="preserve">happen </w:t>
      </w:r>
      <w:r w:rsidR="00435BB4">
        <w:t xml:space="preserve">away from </w:t>
      </w:r>
      <w:r w:rsidR="00E2390E">
        <w:t>h</w:t>
      </w:r>
      <w:r w:rsidR="007B7D27">
        <w:t xml:space="preserve">ome at </w:t>
      </w:r>
      <w:r w:rsidR="00435BB4">
        <w:t xml:space="preserve">sports arenas, </w:t>
      </w:r>
      <w:r w:rsidR="007B7D27">
        <w:t xml:space="preserve">basketball courts and </w:t>
      </w:r>
      <w:r w:rsidR="00435BB4">
        <w:t>other non-domestic settings</w:t>
      </w:r>
      <w:r w:rsidR="00620E30">
        <w:t>. Mo</w:t>
      </w:r>
      <w:r w:rsidR="007B7D27">
        <w:t xml:space="preserve">st injuries </w:t>
      </w:r>
      <w:r w:rsidRPr="00887A92">
        <w:t xml:space="preserve">are not severe. </w:t>
      </w:r>
      <w:r w:rsidR="0038283C" w:rsidRPr="000716FE">
        <w:t>Victoria</w:t>
      </w:r>
      <w:r w:rsidR="0038283C">
        <w:t>n</w:t>
      </w:r>
      <w:r w:rsidR="0038283C" w:rsidRPr="000716FE">
        <w:t xml:space="preserve"> </w:t>
      </w:r>
      <w:r w:rsidR="0038283C">
        <w:t>e</w:t>
      </w:r>
      <w:r w:rsidR="0038283C" w:rsidRPr="000716FE">
        <w:t xml:space="preserve">mergency </w:t>
      </w:r>
      <w:r w:rsidR="0038283C">
        <w:t>d</w:t>
      </w:r>
      <w:r w:rsidR="0038283C" w:rsidRPr="000716FE">
        <w:t>epartment</w:t>
      </w:r>
      <w:r w:rsidR="0038283C">
        <w:t>s</w:t>
      </w:r>
      <w:r w:rsidR="0038283C" w:rsidRPr="000716FE">
        <w:t xml:space="preserve"> treat </w:t>
      </w:r>
      <w:r w:rsidR="005E368E">
        <w:t>most</w:t>
      </w:r>
      <w:r w:rsidR="0038283C">
        <w:t xml:space="preserve"> </w:t>
      </w:r>
      <w:r w:rsidR="0038283C" w:rsidRPr="00072BEF">
        <w:t>basketball ring and backboard</w:t>
      </w:r>
      <w:r w:rsidR="0038283C">
        <w:t xml:space="preserve"> injury</w:t>
      </w:r>
      <w:r w:rsidR="0038283C" w:rsidRPr="000716FE">
        <w:t xml:space="preserve"> </w:t>
      </w:r>
      <w:r w:rsidR="0038283C">
        <w:t>p</w:t>
      </w:r>
      <w:r w:rsidR="0038283C" w:rsidRPr="000716FE">
        <w:t xml:space="preserve">resentations </w:t>
      </w:r>
      <w:r w:rsidR="00072BEF">
        <w:t>and send</w:t>
      </w:r>
      <w:r w:rsidR="00072BEF" w:rsidRPr="000716FE">
        <w:t xml:space="preserve"> </w:t>
      </w:r>
      <w:r w:rsidR="00072BEF">
        <w:t xml:space="preserve">them </w:t>
      </w:r>
      <w:r w:rsidR="00072BEF" w:rsidRPr="000716FE">
        <w:t>home</w:t>
      </w:r>
      <w:r w:rsidR="00072BEF">
        <w:t xml:space="preserve"> </w:t>
      </w:r>
      <w:r w:rsidR="007B7D27">
        <w:t>without</w:t>
      </w:r>
      <w:r w:rsidRPr="000716FE">
        <w:t xml:space="preserve"> </w:t>
      </w:r>
      <w:r w:rsidR="00072BEF" w:rsidRPr="000716FE">
        <w:t xml:space="preserve">hospital </w:t>
      </w:r>
      <w:r w:rsidR="00072BEF">
        <w:t>admission (Appendix A)</w:t>
      </w:r>
      <w:r w:rsidR="003E6F96">
        <w:t>.</w:t>
      </w:r>
    </w:p>
    <w:p w:rsidR="000D123D" w:rsidRDefault="005E368E" w:rsidP="00D57992">
      <w:r>
        <w:t>Basketballers</w:t>
      </w:r>
      <w:r w:rsidR="00072BEF">
        <w:t xml:space="preserve"> can</w:t>
      </w:r>
      <w:r w:rsidR="00D57992" w:rsidRPr="00072BEF">
        <w:t xml:space="preserve"> </w:t>
      </w:r>
      <w:r w:rsidR="00072BEF">
        <w:t>be</w:t>
      </w:r>
      <w:r w:rsidR="00D57992" w:rsidRPr="00072BEF">
        <w:t xml:space="preserve"> injur</w:t>
      </w:r>
      <w:r w:rsidR="00072BEF">
        <w:t>ed</w:t>
      </w:r>
      <w:r w:rsidR="00D57992" w:rsidRPr="00072BEF">
        <w:t xml:space="preserve"> </w:t>
      </w:r>
      <w:r w:rsidR="00072BEF" w:rsidRPr="00072BEF">
        <w:t>using</w:t>
      </w:r>
      <w:r w:rsidR="00D57992" w:rsidRPr="00072BEF">
        <w:t xml:space="preserve"> </w:t>
      </w:r>
      <w:r w:rsidR="00072BEF">
        <w:t xml:space="preserve">traditional </w:t>
      </w:r>
      <w:r w:rsidR="00072BEF" w:rsidRPr="000716FE">
        <w:t>basketball rings and backboards</w:t>
      </w:r>
      <w:r w:rsidR="00072BEF" w:rsidRPr="00072BEF">
        <w:t xml:space="preserve"> </w:t>
      </w:r>
      <w:r w:rsidR="00072BEF">
        <w:t xml:space="preserve">or </w:t>
      </w:r>
      <w:r w:rsidR="00D57992" w:rsidRPr="00072BEF">
        <w:t>portable basketball system</w:t>
      </w:r>
      <w:r w:rsidR="00072BEF">
        <w:t>s</w:t>
      </w:r>
      <w:r w:rsidR="00D57992" w:rsidRPr="00072BEF">
        <w:t xml:space="preserve">, </w:t>
      </w:r>
      <w:r w:rsidR="00620E30">
        <w:t xml:space="preserve">either </w:t>
      </w:r>
      <w:r w:rsidR="00D57992" w:rsidRPr="00072BEF">
        <w:t xml:space="preserve">from normal use or doing a </w:t>
      </w:r>
      <w:r w:rsidR="00072BEF">
        <w:t>‘</w:t>
      </w:r>
      <w:r w:rsidR="00D57992" w:rsidRPr="00072BEF">
        <w:t>slam dunk</w:t>
      </w:r>
      <w:r w:rsidR="00072BEF">
        <w:t>’</w:t>
      </w:r>
      <w:r w:rsidR="00D57992" w:rsidRPr="00072BEF">
        <w:t xml:space="preserve">. However, injuries are likely to be far less serious if a portable basketball system falls onto a </w:t>
      </w:r>
      <w:r w:rsidR="00072BEF" w:rsidRPr="00072BEF">
        <w:t>user</w:t>
      </w:r>
      <w:r w:rsidR="00620E30">
        <w:t>. T</w:t>
      </w:r>
      <w:r w:rsidR="00D57992" w:rsidRPr="00072BEF">
        <w:t xml:space="preserve">hese systems </w:t>
      </w:r>
      <w:r w:rsidR="00D57992" w:rsidRPr="00072BEF">
        <w:lastRenderedPageBreak/>
        <w:t xml:space="preserve">are </w:t>
      </w:r>
      <w:r w:rsidR="00072BEF">
        <w:t>much</w:t>
      </w:r>
      <w:r w:rsidR="00D57992" w:rsidRPr="00072BEF">
        <w:t xml:space="preserve"> lighter than </w:t>
      </w:r>
      <w:r w:rsidR="00620E30">
        <w:t xml:space="preserve">the </w:t>
      </w:r>
      <w:r w:rsidR="00D57992" w:rsidRPr="00072BEF">
        <w:t>brick walls or similar structures</w:t>
      </w:r>
      <w:r w:rsidR="00072BEF">
        <w:t xml:space="preserve"> that have killed users of traditional </w:t>
      </w:r>
      <w:r w:rsidR="00072BEF" w:rsidRPr="000716FE">
        <w:t>basketball rings and backboards</w:t>
      </w:r>
      <w:r w:rsidR="00D57992" w:rsidRPr="00072BEF">
        <w:t>.</w:t>
      </w:r>
    </w:p>
    <w:p w:rsidR="000D123D" w:rsidRDefault="000D123D" w:rsidP="000D123D">
      <w:pPr>
        <w:pStyle w:val="Numbered11"/>
        <w:numPr>
          <w:ilvl w:val="1"/>
          <w:numId w:val="43"/>
        </w:numPr>
        <w:tabs>
          <w:tab w:val="clear" w:pos="1021"/>
          <w:tab w:val="left" w:pos="709"/>
        </w:tabs>
      </w:pPr>
      <w:bookmarkStart w:id="68" w:name="_Toc448397928"/>
      <w:bookmarkStart w:id="69" w:name="_Toc453749081"/>
      <w:bookmarkStart w:id="70" w:name="_Toc453749327"/>
      <w:bookmarkStart w:id="71" w:name="_Toc453749377"/>
      <w:bookmarkStart w:id="72" w:name="_Toc453759782"/>
      <w:bookmarkStart w:id="73" w:name="_Toc453763180"/>
      <w:bookmarkStart w:id="74" w:name="_Toc453763865"/>
      <w:bookmarkStart w:id="75" w:name="_Toc453765775"/>
      <w:bookmarkStart w:id="76" w:name="_Toc454443990"/>
      <w:bookmarkStart w:id="77" w:name="_Toc454544414"/>
      <w:bookmarkStart w:id="78" w:name="_Toc455579996"/>
      <w:bookmarkStart w:id="79" w:name="_Toc456277614"/>
      <w:bookmarkStart w:id="80" w:name="_Toc456278983"/>
      <w:bookmarkStart w:id="81" w:name="_Toc457311807"/>
      <w:bookmarkStart w:id="82" w:name="_Toc463614200"/>
      <w:r w:rsidRPr="00382011">
        <w:t>The mandatory safety standard</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9F0D4C" w:rsidRDefault="009F0D4C" w:rsidP="006F5525">
      <w:pPr>
        <w:pStyle w:val="Heading4"/>
      </w:pPr>
      <w:bookmarkStart w:id="83" w:name="_Toc463601272"/>
      <w:bookmarkStart w:id="84" w:name="_Toc463603325"/>
      <w:bookmarkStart w:id="85" w:name="_Toc463605647"/>
      <w:bookmarkStart w:id="86" w:name="_Toc463614201"/>
      <w:r>
        <w:t>Requirements</w:t>
      </w:r>
      <w:bookmarkEnd w:id="83"/>
      <w:bookmarkEnd w:id="84"/>
      <w:bookmarkEnd w:id="85"/>
      <w:bookmarkEnd w:id="86"/>
    </w:p>
    <w:p w:rsidR="009F0D4C" w:rsidRDefault="009F0D4C" w:rsidP="009F0D4C">
      <w:r>
        <w:t>There are no performance requirements for basketball rings and backboards. The mandatory safety standard prescribes warning label and information requirements only.</w:t>
      </w:r>
    </w:p>
    <w:p w:rsidR="009F0D4C" w:rsidRDefault="009F0D4C" w:rsidP="009F0D4C">
      <w:pPr>
        <w:pStyle w:val="Heading4"/>
      </w:pPr>
      <w:bookmarkStart w:id="87" w:name="_Toc463601273"/>
      <w:bookmarkStart w:id="88" w:name="_Toc463603326"/>
      <w:bookmarkStart w:id="89" w:name="_Toc463605648"/>
      <w:bookmarkStart w:id="90" w:name="_Toc463614202"/>
      <w:r>
        <w:t>On the product</w:t>
      </w:r>
      <w:bookmarkEnd w:id="87"/>
      <w:bookmarkEnd w:id="88"/>
      <w:bookmarkEnd w:id="89"/>
      <w:bookmarkEnd w:id="90"/>
    </w:p>
    <w:p w:rsidR="009F0D4C" w:rsidRDefault="009F0D4C" w:rsidP="009F0D4C">
      <w:pPr>
        <w:spacing w:before="120"/>
      </w:pPr>
      <w:r>
        <w:t>A basketball backboard must be permanently marked with the following warning:</w:t>
      </w:r>
    </w:p>
    <w:p w:rsidR="009F0D4C" w:rsidRDefault="009F0D4C" w:rsidP="009F0D4C">
      <w:pPr>
        <w:ind w:left="340"/>
      </w:pPr>
      <w:r>
        <w:t>WARNING: SWINGING ON THE RING MAY CAUSE SERIOUS INJURY OR DEATH</w:t>
      </w:r>
    </w:p>
    <w:p w:rsidR="009F0D4C" w:rsidRDefault="009F0D4C" w:rsidP="009F0D4C">
      <w:pPr>
        <w:pStyle w:val="Heading4"/>
      </w:pPr>
      <w:bookmarkStart w:id="91" w:name="_Toc463601274"/>
      <w:bookmarkStart w:id="92" w:name="_Toc463603327"/>
      <w:bookmarkStart w:id="93" w:name="_Toc463605649"/>
      <w:bookmarkStart w:id="94" w:name="_Toc463614203"/>
      <w:r>
        <w:t>With the product</w:t>
      </w:r>
      <w:bookmarkEnd w:id="91"/>
      <w:bookmarkEnd w:id="92"/>
      <w:bookmarkEnd w:id="93"/>
      <w:bookmarkEnd w:id="94"/>
    </w:p>
    <w:p w:rsidR="009F0D4C" w:rsidRDefault="009F0D4C" w:rsidP="009F0D4C">
      <w:r>
        <w:t>A basketball ring or backboard must be accompanied</w:t>
      </w:r>
      <w:r w:rsidR="00E3793D">
        <w:t xml:space="preserve"> by </w:t>
      </w:r>
      <w:r w:rsidR="00B107C0">
        <w:t>certain</w:t>
      </w:r>
      <w:r w:rsidR="00B46AC6">
        <w:t xml:space="preserve"> information </w:t>
      </w:r>
      <w:r w:rsidR="00B107C0">
        <w:t xml:space="preserve">that </w:t>
      </w:r>
      <w:r w:rsidR="00B46AC6">
        <w:t xml:space="preserve">must be marked on or affixed to the packaging. If the basketball ring or backboard is not supplied in packaging, the information must either be marked on the </w:t>
      </w:r>
      <w:r w:rsidR="006F5525">
        <w:t>product</w:t>
      </w:r>
      <w:r w:rsidR="00B46AC6">
        <w:t xml:space="preserve"> or on a label or tag attached to the product.</w:t>
      </w:r>
      <w:r w:rsidR="00B107C0">
        <w:t xml:space="preserve"> This information must be:</w:t>
      </w:r>
    </w:p>
    <w:p w:rsidR="009F0D4C" w:rsidRDefault="009F0D4C" w:rsidP="009F0D4C">
      <w:pPr>
        <w:pStyle w:val="LegalNumbering"/>
      </w:pPr>
      <w:r>
        <w:t>a warning that must contain the following words (in red text on a white background):</w:t>
      </w:r>
    </w:p>
    <w:p w:rsidR="009F0D4C" w:rsidRPr="000D123D" w:rsidRDefault="009F0D4C" w:rsidP="009F0D4C">
      <w:pPr>
        <w:spacing w:before="120"/>
        <w:ind w:left="340"/>
        <w:rPr>
          <w:color w:val="FF0000"/>
        </w:rPr>
      </w:pPr>
      <w:r w:rsidRPr="000D123D">
        <w:rPr>
          <w:color w:val="FF0000"/>
        </w:rPr>
        <w:t>WARNING: IMPROPER INSTALLATION OR SWINGING ON THE RING MAY CAUSE SERIOUS INJURY OR DEATH</w:t>
      </w:r>
    </w:p>
    <w:p w:rsidR="009F0D4C" w:rsidRDefault="009F0D4C" w:rsidP="009F0D4C">
      <w:pPr>
        <w:pStyle w:val="LegalNumbering"/>
      </w:pPr>
      <w:r>
        <w:t>a warning symbol that is a stick figure hanging from the ring, in a red circle with a red line through it:</w:t>
      </w:r>
    </w:p>
    <w:p w:rsidR="009F0D4C" w:rsidRDefault="00F12C20" w:rsidP="009F0D4C">
      <w:pPr>
        <w:jc w:val="center"/>
        <w:rPr>
          <w:noProof/>
          <w:lang w:eastAsia="en-AU"/>
        </w:rPr>
      </w:pPr>
      <w:r>
        <w:rPr>
          <w:noProof/>
          <w:lang w:eastAsia="en-AU"/>
        </w:rPr>
        <w:pict>
          <v:shape id="_x0000_i1027" type="#_x0000_t75" style="width:135.75pt;height:135.75pt;visibility:visible;mso-wrap-style:square">
            <v:imagedata r:id="rId13" o:title=""/>
          </v:shape>
        </w:pict>
      </w:r>
    </w:p>
    <w:p w:rsidR="009F0D4C" w:rsidRDefault="009F0D4C" w:rsidP="006F5525">
      <w:pPr>
        <w:pStyle w:val="Heading4"/>
      </w:pPr>
      <w:bookmarkStart w:id="95" w:name="_Toc463601275"/>
      <w:bookmarkStart w:id="96" w:name="_Toc463603328"/>
      <w:bookmarkStart w:id="97" w:name="_Toc463605650"/>
      <w:bookmarkStart w:id="98" w:name="_Toc463614204"/>
      <w:r>
        <w:t>Definition</w:t>
      </w:r>
      <w:bookmarkEnd w:id="95"/>
      <w:bookmarkEnd w:id="96"/>
      <w:bookmarkEnd w:id="97"/>
      <w:bookmarkEnd w:id="98"/>
    </w:p>
    <w:p w:rsidR="00426A70" w:rsidRDefault="00426A70" w:rsidP="00426A70">
      <w:r>
        <w:t>The mandatory safety standard does not defin</w:t>
      </w:r>
      <w:r w:rsidR="005E368E">
        <w:t>e</w:t>
      </w:r>
      <w:r>
        <w:t xml:space="preserve"> basketball rings and backboards</w:t>
      </w:r>
      <w:r w:rsidR="00620E30">
        <w:t>. S</w:t>
      </w:r>
      <w:r w:rsidR="00560531">
        <w:t xml:space="preserve">hortly after it was introduced </w:t>
      </w:r>
      <w:r w:rsidR="000D123D">
        <w:t xml:space="preserve">there was some confusion </w:t>
      </w:r>
      <w:r w:rsidR="00620E30">
        <w:t>among</w:t>
      </w:r>
      <w:r w:rsidR="00560531">
        <w:t xml:space="preserve"> suppliers </w:t>
      </w:r>
      <w:r>
        <w:t>about whether it applied to toy basketball rings and portable basketball systems.</w:t>
      </w:r>
    </w:p>
    <w:p w:rsidR="00426A70" w:rsidRDefault="00426A70" w:rsidP="00426A70">
      <w:r>
        <w:t xml:space="preserve">The ACCC </w:t>
      </w:r>
      <w:r w:rsidR="00847258">
        <w:t xml:space="preserve">resolved the </w:t>
      </w:r>
      <w:r w:rsidR="00620E30">
        <w:t>uncertainty</w:t>
      </w:r>
      <w:r w:rsidR="00847258">
        <w:t xml:space="preserve"> and published</w:t>
      </w:r>
      <w:r>
        <w:t xml:space="preserve"> guidance on the Product Safety Australia website</w:t>
      </w:r>
      <w:r w:rsidR="00907851">
        <w:t xml:space="preserve"> to clarify that:</w:t>
      </w:r>
    </w:p>
    <w:p w:rsidR="00426A70" w:rsidRDefault="00426A70" w:rsidP="007B7D27">
      <w:pPr>
        <w:numPr>
          <w:ilvl w:val="0"/>
          <w:numId w:val="42"/>
        </w:numPr>
        <w:spacing w:before="120"/>
      </w:pPr>
      <w:r>
        <w:t xml:space="preserve">toy basketball rings and backboards </w:t>
      </w:r>
      <w:r w:rsidRPr="00791E1A">
        <w:t>are not</w:t>
      </w:r>
      <w:r>
        <w:t xml:space="preserve"> captured by the mandatory safety standard</w:t>
      </w:r>
    </w:p>
    <w:p w:rsidR="00426A70" w:rsidRDefault="00426A70" w:rsidP="007B7D27">
      <w:pPr>
        <w:numPr>
          <w:ilvl w:val="0"/>
          <w:numId w:val="42"/>
        </w:numPr>
        <w:spacing w:before="120"/>
      </w:pPr>
      <w:r>
        <w:t xml:space="preserve">portable basketball systems </w:t>
      </w:r>
      <w:r w:rsidRPr="00791E1A">
        <w:t>are</w:t>
      </w:r>
      <w:r>
        <w:t xml:space="preserve"> captured by the mandatory safety standard.</w:t>
      </w:r>
    </w:p>
    <w:p w:rsidR="002B1ABD" w:rsidRDefault="007F469E" w:rsidP="00D86B5D">
      <w:pPr>
        <w:pStyle w:val="Numbered1"/>
        <w:keepNext/>
        <w:numPr>
          <w:ilvl w:val="0"/>
          <w:numId w:val="37"/>
        </w:numPr>
        <w:ind w:left="357" w:hanging="357"/>
      </w:pPr>
      <w:bookmarkStart w:id="99" w:name="_Toc455066801"/>
      <w:bookmarkStart w:id="100" w:name="_Toc455066836"/>
      <w:bookmarkStart w:id="101" w:name="_Toc455499192"/>
      <w:bookmarkStart w:id="102" w:name="_Toc455756327"/>
      <w:bookmarkStart w:id="103" w:name="_Toc456098882"/>
      <w:bookmarkStart w:id="104" w:name="_Toc456623858"/>
      <w:bookmarkStart w:id="105" w:name="_Toc457222705"/>
      <w:bookmarkStart w:id="106" w:name="_Toc463614205"/>
      <w:r>
        <w:lastRenderedPageBreak/>
        <w:t>I</w:t>
      </w:r>
      <w:r w:rsidR="002B1ABD" w:rsidRPr="00844B87">
        <w:t>nternational standards</w:t>
      </w:r>
      <w:bookmarkEnd w:id="99"/>
      <w:bookmarkEnd w:id="100"/>
      <w:bookmarkEnd w:id="101"/>
      <w:bookmarkEnd w:id="102"/>
      <w:bookmarkEnd w:id="103"/>
      <w:bookmarkEnd w:id="104"/>
      <w:bookmarkEnd w:id="105"/>
      <w:bookmarkEnd w:id="106"/>
    </w:p>
    <w:p w:rsidR="00426A70" w:rsidRPr="003D0B16" w:rsidRDefault="00426A70" w:rsidP="00426A70">
      <w:bookmarkStart w:id="107" w:name="_Toc453749097"/>
      <w:bookmarkStart w:id="108" w:name="_Toc453749343"/>
      <w:bookmarkStart w:id="109" w:name="_Toc453759796"/>
      <w:bookmarkStart w:id="110" w:name="_Toc453763881"/>
      <w:bookmarkStart w:id="111" w:name="_Toc453765791"/>
      <w:bookmarkStart w:id="112" w:name="_Toc454544419"/>
      <w:bookmarkStart w:id="113" w:name="_Toc455580002"/>
      <w:bookmarkStart w:id="114" w:name="_Toc456277620"/>
      <w:bookmarkStart w:id="115" w:name="_Toc456278989"/>
      <w:r w:rsidRPr="003D0B16">
        <w:t>T</w:t>
      </w:r>
      <w:r w:rsidR="007B7D27">
        <w:t xml:space="preserve">here </w:t>
      </w:r>
      <w:r w:rsidR="00FF1672">
        <w:t xml:space="preserve">is no Australian voluntary standard for basketball rings but there </w:t>
      </w:r>
      <w:r w:rsidR="007B7D27">
        <w:t>are t</w:t>
      </w:r>
      <w:r w:rsidRPr="003D0B16">
        <w:t>wo relevant international standa</w:t>
      </w:r>
      <w:r>
        <w:t>rds:</w:t>
      </w:r>
    </w:p>
    <w:p w:rsidR="00426A70" w:rsidRPr="003D0B16" w:rsidRDefault="00426A70" w:rsidP="007B7D27">
      <w:pPr>
        <w:numPr>
          <w:ilvl w:val="0"/>
          <w:numId w:val="42"/>
        </w:numPr>
        <w:spacing w:before="120"/>
      </w:pPr>
      <w:r w:rsidRPr="003D0B16">
        <w:t xml:space="preserve">US standard ASTM F1882 </w:t>
      </w:r>
      <w:r w:rsidRPr="00791E1A">
        <w:t>Standard specification for residential basketball systems</w:t>
      </w:r>
    </w:p>
    <w:p w:rsidR="00426A70" w:rsidRPr="003D0B16" w:rsidRDefault="00426A70" w:rsidP="007B7D27">
      <w:pPr>
        <w:numPr>
          <w:ilvl w:val="0"/>
          <w:numId w:val="42"/>
        </w:numPr>
        <w:spacing w:before="120"/>
      </w:pPr>
      <w:r w:rsidRPr="003D0B16">
        <w:t xml:space="preserve">European standard EN 1270:2005 </w:t>
      </w:r>
      <w:r w:rsidRPr="004A340C">
        <w:t>Playing field equipment – Basketball equipment – Functional and sa</w:t>
      </w:r>
      <w:r w:rsidR="00A25F4C">
        <w:t>fety requirements, test methods.</w:t>
      </w:r>
    </w:p>
    <w:p w:rsidR="002B1ABD" w:rsidRPr="00DB6C88" w:rsidRDefault="002B1ABD" w:rsidP="002B1ABD">
      <w:r w:rsidRPr="00DB6C88">
        <w:t>The ACCC uses the following criteria when assessing whether international standards are appropriate for use in product safety standards in Australia:</w:t>
      </w:r>
      <w:r w:rsidRPr="00DB6C88">
        <w:rPr>
          <w:vertAlign w:val="superscript"/>
        </w:rPr>
        <w:footnoteReference w:id="1"/>
      </w:r>
    </w:p>
    <w:p w:rsidR="002B1ABD" w:rsidRPr="00DB6C88" w:rsidRDefault="002B1ABD" w:rsidP="00630646">
      <w:pPr>
        <w:pStyle w:val="Bulletpoint"/>
        <w:numPr>
          <w:ilvl w:val="0"/>
          <w:numId w:val="32"/>
        </w:numPr>
      </w:pPr>
      <w:r w:rsidRPr="00DB6C88">
        <w:t>Addressing safety concerns: Is there evidence that the international standard provides an acceptable level of consumer safety?</w:t>
      </w:r>
    </w:p>
    <w:p w:rsidR="002B1ABD" w:rsidRDefault="002B1ABD" w:rsidP="00630646">
      <w:pPr>
        <w:pStyle w:val="Bulletpoint"/>
        <w:numPr>
          <w:ilvl w:val="0"/>
          <w:numId w:val="32"/>
        </w:numPr>
      </w:pPr>
      <w:r w:rsidRPr="00EE5651">
        <w:t xml:space="preserve">Comparable jurisdiction to Australia: </w:t>
      </w:r>
      <w:r w:rsidRPr="00DB6C88">
        <w:t>Is the international standard published or developed by a legitimate standards body or government agency from an economy or nation with comparable economic and regulatory processes to Australia?</w:t>
      </w:r>
    </w:p>
    <w:p w:rsidR="002B1ABD" w:rsidRDefault="002B1ABD" w:rsidP="00630646">
      <w:pPr>
        <w:pStyle w:val="Bulletpoint"/>
        <w:numPr>
          <w:ilvl w:val="0"/>
          <w:numId w:val="32"/>
        </w:numPr>
      </w:pPr>
      <w:r w:rsidRPr="00EE5651">
        <w:t>Applicability to the Australian context:</w:t>
      </w:r>
      <w:r w:rsidRPr="009256BA">
        <w:rPr>
          <w:bCs/>
        </w:rPr>
        <w:t xml:space="preserve"> </w:t>
      </w:r>
      <w:r w:rsidRPr="00DB6C88">
        <w:t>Is the international standard applicable and sufficient in the Australian context?</w:t>
      </w:r>
    </w:p>
    <w:p w:rsidR="008311AF" w:rsidRPr="001936BA" w:rsidRDefault="008311AF" w:rsidP="00F87CDB">
      <w:pPr>
        <w:pStyle w:val="Numbered11"/>
        <w:numPr>
          <w:ilvl w:val="1"/>
          <w:numId w:val="37"/>
        </w:numPr>
        <w:tabs>
          <w:tab w:val="clear" w:pos="1021"/>
          <w:tab w:val="left" w:pos="709"/>
        </w:tabs>
      </w:pPr>
      <w:bookmarkStart w:id="116" w:name="_Toc460425500"/>
      <w:bookmarkStart w:id="117" w:name="_Toc460589682"/>
      <w:bookmarkStart w:id="118" w:name="_Toc461088754"/>
      <w:bookmarkStart w:id="119" w:name="_Toc461101944"/>
      <w:bookmarkStart w:id="120" w:name="_Toc461184838"/>
      <w:bookmarkStart w:id="121" w:name="_Toc463614206"/>
      <w:bookmarkEnd w:id="107"/>
      <w:bookmarkEnd w:id="108"/>
      <w:bookmarkEnd w:id="109"/>
      <w:bookmarkEnd w:id="110"/>
      <w:bookmarkEnd w:id="111"/>
      <w:bookmarkEnd w:id="112"/>
      <w:bookmarkEnd w:id="113"/>
      <w:bookmarkEnd w:id="114"/>
      <w:bookmarkEnd w:id="115"/>
      <w:r w:rsidRPr="001936BA">
        <w:t xml:space="preserve">The </w:t>
      </w:r>
      <w:r>
        <w:t>US</w:t>
      </w:r>
      <w:r w:rsidRPr="001936BA">
        <w:t xml:space="preserve"> standard</w:t>
      </w:r>
      <w:bookmarkEnd w:id="116"/>
      <w:bookmarkEnd w:id="117"/>
      <w:bookmarkEnd w:id="118"/>
      <w:bookmarkEnd w:id="119"/>
      <w:bookmarkEnd w:id="120"/>
      <w:bookmarkEnd w:id="121"/>
    </w:p>
    <w:p w:rsidR="007F469E" w:rsidRDefault="008311AF" w:rsidP="007F469E">
      <w:r w:rsidRPr="003D0B16">
        <w:t xml:space="preserve">The US standard </w:t>
      </w:r>
      <w:r w:rsidR="007F469E">
        <w:t>differs from</w:t>
      </w:r>
      <w:r w:rsidR="007F469E" w:rsidRPr="003D0B16">
        <w:t xml:space="preserve"> </w:t>
      </w:r>
      <w:r w:rsidR="007F469E">
        <w:t>the mandatory</w:t>
      </w:r>
      <w:r w:rsidR="007F469E" w:rsidRPr="003D0B16">
        <w:t xml:space="preserve"> </w:t>
      </w:r>
      <w:r w:rsidR="007F469E">
        <w:t xml:space="preserve">safety </w:t>
      </w:r>
      <w:r w:rsidR="007F469E" w:rsidRPr="003D0B16">
        <w:t>standard because</w:t>
      </w:r>
      <w:r w:rsidR="007F469E">
        <w:t xml:space="preserve"> the</w:t>
      </w:r>
      <w:r w:rsidR="007F469E" w:rsidRPr="003D0B16">
        <w:t xml:space="preserve"> primary conce</w:t>
      </w:r>
      <w:r w:rsidR="007F469E">
        <w:t xml:space="preserve">rn </w:t>
      </w:r>
      <w:r w:rsidR="006B51C7">
        <w:t>in</w:t>
      </w:r>
      <w:r w:rsidR="007F469E">
        <w:t xml:space="preserve"> the Australian context is</w:t>
      </w:r>
      <w:r w:rsidR="007F469E" w:rsidRPr="003D0B16">
        <w:t xml:space="preserve"> basketball rings affixed to </w:t>
      </w:r>
      <w:r w:rsidR="006B51C7">
        <w:t xml:space="preserve">a </w:t>
      </w:r>
      <w:r w:rsidR="007F469E" w:rsidRPr="003D0B16">
        <w:t>wall for home use</w:t>
      </w:r>
      <w:r w:rsidR="007F469E">
        <w:t xml:space="preserve">. The US standard </w:t>
      </w:r>
      <w:r w:rsidRPr="003D0B16">
        <w:t>excludes basketball rings that are affixed to a wall</w:t>
      </w:r>
      <w:r w:rsidR="007F469E">
        <w:t>.</w:t>
      </w:r>
      <w:r w:rsidRPr="003D0B16">
        <w:t xml:space="preserve"> </w:t>
      </w:r>
      <w:r w:rsidR="007F469E">
        <w:t>I</w:t>
      </w:r>
      <w:r w:rsidRPr="003D0B16">
        <w:t xml:space="preserve">t applies to free standing basketball ring systems </w:t>
      </w:r>
      <w:r w:rsidR="00EE32CD">
        <w:t xml:space="preserve">(i.e. including portable basketball systems) </w:t>
      </w:r>
      <w:r w:rsidRPr="003D0B16">
        <w:t>and requires prominent and detailed warnings that are visible to players. It also includes a range of performance and d</w:t>
      </w:r>
      <w:r>
        <w:t>esign specifications.</w:t>
      </w:r>
    </w:p>
    <w:p w:rsidR="007B7D27" w:rsidRPr="003D0B16" w:rsidRDefault="007B7D27" w:rsidP="007F469E">
      <w:r>
        <w:t xml:space="preserve">The US standard does not address the primary safety concern </w:t>
      </w:r>
      <w:r w:rsidR="00FF1672">
        <w:t>of</w:t>
      </w:r>
      <w:r>
        <w:t xml:space="preserve"> the mandatory safety standard</w:t>
      </w:r>
      <w:r w:rsidR="00FF1672">
        <w:t>. The US standard is not applicable in this context and we do not consider it further.</w:t>
      </w:r>
    </w:p>
    <w:p w:rsidR="008311AF" w:rsidRPr="001936BA" w:rsidRDefault="008311AF" w:rsidP="00F87CDB">
      <w:pPr>
        <w:pStyle w:val="Numbered11"/>
        <w:numPr>
          <w:ilvl w:val="1"/>
          <w:numId w:val="37"/>
        </w:numPr>
        <w:tabs>
          <w:tab w:val="clear" w:pos="1021"/>
          <w:tab w:val="left" w:pos="709"/>
        </w:tabs>
      </w:pPr>
      <w:bookmarkStart w:id="122" w:name="_Toc460425501"/>
      <w:bookmarkStart w:id="123" w:name="_Toc460589683"/>
      <w:bookmarkStart w:id="124" w:name="_Toc461088755"/>
      <w:bookmarkStart w:id="125" w:name="_Toc461101945"/>
      <w:bookmarkStart w:id="126" w:name="_Toc461184839"/>
      <w:bookmarkStart w:id="127" w:name="_Toc463614207"/>
      <w:r w:rsidRPr="001936BA">
        <w:t xml:space="preserve">The </w:t>
      </w:r>
      <w:r>
        <w:t>European</w:t>
      </w:r>
      <w:r w:rsidRPr="001936BA">
        <w:t xml:space="preserve"> standard</w:t>
      </w:r>
      <w:bookmarkEnd w:id="122"/>
      <w:bookmarkEnd w:id="123"/>
      <w:bookmarkEnd w:id="124"/>
      <w:bookmarkEnd w:id="125"/>
      <w:bookmarkEnd w:id="126"/>
      <w:bookmarkEnd w:id="127"/>
    </w:p>
    <w:p w:rsidR="008311AF" w:rsidRDefault="00A17E97" w:rsidP="008311AF">
      <w:r w:rsidRPr="003D0B16">
        <w:t xml:space="preserve">The </w:t>
      </w:r>
      <w:r>
        <w:t>European</w:t>
      </w:r>
      <w:r w:rsidRPr="003D0B16">
        <w:t xml:space="preserve"> standard </w:t>
      </w:r>
      <w:r>
        <w:t>differs from</w:t>
      </w:r>
      <w:r w:rsidRPr="003D0B16">
        <w:t xml:space="preserve"> </w:t>
      </w:r>
      <w:r>
        <w:t>the mandatory</w:t>
      </w:r>
      <w:r w:rsidRPr="003D0B16">
        <w:t xml:space="preserve"> </w:t>
      </w:r>
      <w:r>
        <w:t xml:space="preserve">safety </w:t>
      </w:r>
      <w:r w:rsidRPr="003D0B16">
        <w:t>standard because</w:t>
      </w:r>
      <w:r>
        <w:t xml:space="preserve"> the</w:t>
      </w:r>
      <w:r w:rsidRPr="003D0B16">
        <w:t xml:space="preserve"> primary conce</w:t>
      </w:r>
      <w:r>
        <w:t xml:space="preserve">rn </w:t>
      </w:r>
      <w:r w:rsidR="006B51C7">
        <w:t>in</w:t>
      </w:r>
      <w:r>
        <w:t xml:space="preserve"> the Australian context is</w:t>
      </w:r>
      <w:r w:rsidRPr="003D0B16">
        <w:t xml:space="preserve"> basketball rings that are affixed to walls for home use</w:t>
      </w:r>
      <w:r>
        <w:t xml:space="preserve">. </w:t>
      </w:r>
      <w:r w:rsidR="006B51C7">
        <w:t>T</w:t>
      </w:r>
      <w:r w:rsidR="008311AF" w:rsidRPr="003D0B16">
        <w:t>he European standard does not apply to home</w:t>
      </w:r>
      <w:r w:rsidR="007F469E">
        <w:t xml:space="preserve"> basketball equipment and it </w:t>
      </w:r>
      <w:r w:rsidR="008311AF" w:rsidRPr="003D0B16">
        <w:t>consider</w:t>
      </w:r>
      <w:r w:rsidR="007F469E">
        <w:t>s</w:t>
      </w:r>
      <w:r w:rsidR="008311AF" w:rsidRPr="003D0B16">
        <w:t xml:space="preserve"> </w:t>
      </w:r>
      <w:r w:rsidR="007F469E">
        <w:t xml:space="preserve">such equipment </w:t>
      </w:r>
      <w:r w:rsidR="007F469E" w:rsidRPr="003D0B16">
        <w:t>a</w:t>
      </w:r>
      <w:r w:rsidR="007F469E">
        <w:t xml:space="preserve"> toy</w:t>
      </w:r>
      <w:r w:rsidR="008311AF" w:rsidRPr="003D0B16">
        <w:t xml:space="preserve">. </w:t>
      </w:r>
      <w:r>
        <w:t>The European toy standard</w:t>
      </w:r>
      <w:r w:rsidR="008311AF" w:rsidRPr="003D0B16">
        <w:t>, EN 71.1:2014 S</w:t>
      </w:r>
      <w:r w:rsidR="008311AF" w:rsidRPr="003D0B16">
        <w:rPr>
          <w:i/>
        </w:rPr>
        <w:t>afety of toys Part 1 – Mechanical and physical properties</w:t>
      </w:r>
      <w:r w:rsidR="007F469E">
        <w:rPr>
          <w:i/>
        </w:rPr>
        <w:t>,</w:t>
      </w:r>
      <w:r w:rsidR="008311AF" w:rsidRPr="003D0B16">
        <w:rPr>
          <w:i/>
        </w:rPr>
        <w:t xml:space="preserve"> </w:t>
      </w:r>
      <w:r w:rsidR="007F469E" w:rsidRPr="003D0B16">
        <w:t>does not refer</w:t>
      </w:r>
      <w:r w:rsidR="007F469E">
        <w:t xml:space="preserve"> to basketball rings </w:t>
      </w:r>
      <w:r w:rsidR="008311AF" w:rsidRPr="003D0B16">
        <w:t>and does</w:t>
      </w:r>
      <w:r w:rsidR="007F469E">
        <w:t xml:space="preserve"> not include sporting equipment.</w:t>
      </w:r>
      <w:r w:rsidR="008311AF" w:rsidRPr="003D0B16">
        <w:t xml:space="preserve"> </w:t>
      </w:r>
      <w:r w:rsidR="008311AF">
        <w:t xml:space="preserve">The European standard </w:t>
      </w:r>
      <w:r w:rsidR="008311AF" w:rsidRPr="003D0B16">
        <w:t>includes a range of performance and design specifications</w:t>
      </w:r>
      <w:r>
        <w:t xml:space="preserve"> for basketball equipment not intended for home use</w:t>
      </w:r>
      <w:r w:rsidR="008311AF" w:rsidRPr="003D0B16">
        <w:t>.</w:t>
      </w:r>
    </w:p>
    <w:p w:rsidR="00FF1672" w:rsidRDefault="00FF1672" w:rsidP="008311AF">
      <w:r>
        <w:t>The European standard does not address the primary safety concern of the mandatory safety standard. The European standard is not applicable in this context and</w:t>
      </w:r>
      <w:r w:rsidR="003129E2">
        <w:t xml:space="preserve"> we do not consider it further.</w:t>
      </w:r>
    </w:p>
    <w:p w:rsidR="005A13AA" w:rsidRPr="00861F86" w:rsidRDefault="005A13AA" w:rsidP="005A13AA">
      <w:pPr>
        <w:pStyle w:val="Numbered1"/>
        <w:numPr>
          <w:ilvl w:val="0"/>
          <w:numId w:val="38"/>
        </w:numPr>
        <w:rPr>
          <w:lang w:val="en-GB"/>
        </w:rPr>
      </w:pPr>
      <w:r>
        <w:br w:type="page"/>
      </w:r>
      <w:bookmarkStart w:id="128" w:name="_Toc463614208"/>
      <w:r w:rsidRPr="00861F86">
        <w:rPr>
          <w:lang w:val="en-GB"/>
        </w:rPr>
        <w:lastRenderedPageBreak/>
        <w:t>Installation issues</w:t>
      </w:r>
      <w:bookmarkEnd w:id="128"/>
    </w:p>
    <w:p w:rsidR="00DA32C2" w:rsidRPr="00EF6964" w:rsidRDefault="00DA32C2" w:rsidP="00EF6964">
      <w:bookmarkStart w:id="129" w:name="_Toc422996123"/>
      <w:bookmarkStart w:id="130" w:name="_Toc430872767"/>
      <w:bookmarkStart w:id="131" w:name="_Toc453749354"/>
      <w:bookmarkStart w:id="132" w:name="_Toc455580019"/>
      <w:r w:rsidRPr="00EF6964">
        <w:t>As previously</w:t>
      </w:r>
      <w:r w:rsidR="00756707">
        <w:t xml:space="preserve"> discussed</w:t>
      </w:r>
      <w:r w:rsidRPr="00EF6964">
        <w:t xml:space="preserve">, the main danger associated with </w:t>
      </w:r>
      <w:r w:rsidR="00EF6964" w:rsidRPr="00EF6964">
        <w:t xml:space="preserve">basketball rings and backboards </w:t>
      </w:r>
      <w:r w:rsidRPr="00EF6964">
        <w:t xml:space="preserve">arises from their installation and from users performing </w:t>
      </w:r>
      <w:r w:rsidR="00FF1672">
        <w:t>‘</w:t>
      </w:r>
      <w:r w:rsidRPr="00EF6964">
        <w:t>slam dunks</w:t>
      </w:r>
      <w:r w:rsidR="00FF1672">
        <w:t>’</w:t>
      </w:r>
      <w:r w:rsidRPr="00EF6964">
        <w:t>.</w:t>
      </w:r>
    </w:p>
    <w:p w:rsidR="00593CB3" w:rsidRPr="00DA32C2" w:rsidRDefault="006663AA" w:rsidP="00593CB3">
      <w:r>
        <w:t>V</w:t>
      </w:r>
      <w:r w:rsidRPr="00593CB3">
        <w:t xml:space="preserve">arious </w:t>
      </w:r>
      <w:r w:rsidR="00593CB3">
        <w:t>stakeholders</w:t>
      </w:r>
      <w:r w:rsidR="00593CB3" w:rsidRPr="00593CB3">
        <w:t xml:space="preserve"> </w:t>
      </w:r>
      <w:r>
        <w:t xml:space="preserve">have published </w:t>
      </w:r>
      <w:r w:rsidR="00593CB3" w:rsidRPr="00593CB3">
        <w:t xml:space="preserve">information </w:t>
      </w:r>
      <w:r>
        <w:t>about</w:t>
      </w:r>
      <w:r w:rsidRPr="00593CB3">
        <w:t xml:space="preserve"> </w:t>
      </w:r>
      <w:r w:rsidR="00593CB3" w:rsidRPr="00593CB3">
        <w:t>ways to install b</w:t>
      </w:r>
      <w:r w:rsidR="00D85365">
        <w:t xml:space="preserve">asketball rings and backboards. </w:t>
      </w:r>
      <w:r>
        <w:t>T</w:t>
      </w:r>
      <w:r w:rsidRPr="00DA32C2">
        <w:t xml:space="preserve">he </w:t>
      </w:r>
      <w:r w:rsidR="00593CB3" w:rsidRPr="00DA32C2">
        <w:t xml:space="preserve">ACCC published a Safety Alert </w:t>
      </w:r>
      <w:r w:rsidR="004C371D">
        <w:t>in 2005 (Appendix B</w:t>
      </w:r>
      <w:r>
        <w:t xml:space="preserve">, </w:t>
      </w:r>
      <w:r w:rsidR="004C371D">
        <w:t xml:space="preserve">still </w:t>
      </w:r>
      <w:r w:rsidR="00593CB3" w:rsidRPr="00DA32C2">
        <w:t xml:space="preserve">available </w:t>
      </w:r>
      <w:r>
        <w:t xml:space="preserve">at </w:t>
      </w:r>
      <w:hyperlink r:id="rId14" w:history="1">
        <w:r w:rsidRPr="000476CC">
          <w:rPr>
            <w:rStyle w:val="Hyperlink"/>
          </w:rPr>
          <w:t>www.productsafety.gov.au</w:t>
        </w:r>
      </w:hyperlink>
      <w:r>
        <w:t>)</w:t>
      </w:r>
      <w:r w:rsidRPr="00DA32C2">
        <w:t xml:space="preserve"> </w:t>
      </w:r>
      <w:r>
        <w:t>t</w:t>
      </w:r>
      <w:r w:rsidRPr="00DA32C2">
        <w:t xml:space="preserve">o raise consumer awareness </w:t>
      </w:r>
      <w:r>
        <w:t>and</w:t>
      </w:r>
      <w:r w:rsidRPr="00DA32C2">
        <w:t xml:space="preserve"> </w:t>
      </w:r>
      <w:r w:rsidR="00593CB3" w:rsidRPr="00DA32C2">
        <w:t>provide guidance:</w:t>
      </w:r>
    </w:p>
    <w:p w:rsidR="00593CB3" w:rsidRPr="00DA32C2" w:rsidRDefault="00593CB3" w:rsidP="00593CB3">
      <w:pPr>
        <w:pStyle w:val="ListParagraph"/>
        <w:numPr>
          <w:ilvl w:val="0"/>
          <w:numId w:val="36"/>
        </w:numPr>
      </w:pPr>
      <w:r w:rsidRPr="00DA32C2">
        <w:t>on how deaths and serious injuries occur</w:t>
      </w:r>
    </w:p>
    <w:p w:rsidR="00593CB3" w:rsidRPr="00DA32C2" w:rsidRDefault="00593CB3" w:rsidP="00593CB3">
      <w:pPr>
        <w:pStyle w:val="ListParagraph"/>
        <w:numPr>
          <w:ilvl w:val="0"/>
          <w:numId w:val="36"/>
        </w:numPr>
      </w:pPr>
      <w:r w:rsidRPr="00DA32C2">
        <w:t>to not use basketball rings and backboards mounted on brickwork</w:t>
      </w:r>
    </w:p>
    <w:p w:rsidR="00593CB3" w:rsidRPr="00DA32C2" w:rsidRDefault="00593CB3" w:rsidP="00593CB3">
      <w:pPr>
        <w:pStyle w:val="ListParagraph"/>
        <w:numPr>
          <w:ilvl w:val="0"/>
          <w:numId w:val="36"/>
        </w:numPr>
      </w:pPr>
      <w:r w:rsidRPr="00DA32C2">
        <w:t>to remove basketball rings and backboards that are installed on brick walls</w:t>
      </w:r>
    </w:p>
    <w:p w:rsidR="00593CB3" w:rsidRPr="00DA32C2" w:rsidRDefault="00593CB3" w:rsidP="00593CB3">
      <w:pPr>
        <w:pStyle w:val="ListParagraph"/>
        <w:numPr>
          <w:ilvl w:val="0"/>
          <w:numId w:val="36"/>
        </w:numPr>
      </w:pPr>
      <w:r w:rsidRPr="00DA32C2">
        <w:t>to not install basketball rings onto brickwork</w:t>
      </w:r>
    </w:p>
    <w:p w:rsidR="00593CB3" w:rsidRPr="00DA32C2" w:rsidRDefault="00593CB3" w:rsidP="00593CB3">
      <w:pPr>
        <w:pStyle w:val="ListParagraph"/>
        <w:numPr>
          <w:ilvl w:val="0"/>
          <w:numId w:val="36"/>
        </w:numPr>
      </w:pPr>
      <w:r w:rsidRPr="00DA32C2">
        <w:t>to never hang or swing from a basketball ring</w:t>
      </w:r>
    </w:p>
    <w:p w:rsidR="00593CB3" w:rsidRPr="00DA32C2" w:rsidRDefault="00593CB3" w:rsidP="00593CB3">
      <w:pPr>
        <w:pStyle w:val="ListParagraph"/>
        <w:numPr>
          <w:ilvl w:val="0"/>
          <w:numId w:val="36"/>
        </w:numPr>
      </w:pPr>
      <w:r w:rsidRPr="00DA32C2">
        <w:t>on how to install a basketball ring and backboard onto a steel post</w:t>
      </w:r>
    </w:p>
    <w:p w:rsidR="00593CB3" w:rsidRPr="00DA32C2" w:rsidRDefault="00593CB3" w:rsidP="00593CB3">
      <w:pPr>
        <w:pStyle w:val="ListParagraph"/>
        <w:numPr>
          <w:ilvl w:val="0"/>
          <w:numId w:val="36"/>
        </w:numPr>
      </w:pPr>
      <w:r w:rsidRPr="00DA32C2">
        <w:t>on how to install the steel post into concrete footings</w:t>
      </w:r>
    </w:p>
    <w:p w:rsidR="00593CB3" w:rsidRPr="00DA32C2" w:rsidRDefault="00593CB3" w:rsidP="00593CB3">
      <w:pPr>
        <w:pStyle w:val="ListParagraph"/>
        <w:numPr>
          <w:ilvl w:val="0"/>
          <w:numId w:val="36"/>
        </w:numPr>
      </w:pPr>
      <w:r w:rsidRPr="00DA32C2">
        <w:t>to consult a structural engineer if in any doubt about the safety or stability of the installation.</w:t>
      </w:r>
    </w:p>
    <w:p w:rsidR="00D85365" w:rsidRDefault="00593CB3" w:rsidP="00593CB3">
      <w:r w:rsidRPr="00D85365">
        <w:t xml:space="preserve">The current mandatory safety standard </w:t>
      </w:r>
      <w:r w:rsidR="00835A05">
        <w:t xml:space="preserve">requires a warning to </w:t>
      </w:r>
      <w:r w:rsidRPr="00D85365">
        <w:t xml:space="preserve">consumers </w:t>
      </w:r>
      <w:r w:rsidR="00835A05">
        <w:t>that improper installation may result in serious injury or death</w:t>
      </w:r>
      <w:r w:rsidRPr="00D85365">
        <w:t>. However, there is no requirement for suppliers to provide detailed installation instructions</w:t>
      </w:r>
      <w:r w:rsidR="00427B42">
        <w:t xml:space="preserve"> on how to install a basketball ring and backboard</w:t>
      </w:r>
      <w:r w:rsidR="00835A05" w:rsidRPr="00835A05">
        <w:t xml:space="preserve"> </w:t>
      </w:r>
      <w:r w:rsidR="00835A05">
        <w:t>so that it can be used safely, accounting for foreseeable use and misuse</w:t>
      </w:r>
      <w:r w:rsidR="00427B42">
        <w:t>.</w:t>
      </w:r>
    </w:p>
    <w:p w:rsidR="00427B42" w:rsidRPr="00D85365" w:rsidRDefault="00A24404" w:rsidP="00593CB3">
      <w:r>
        <w:t xml:space="preserve">A </w:t>
      </w:r>
      <w:r w:rsidR="00427B42">
        <w:t>require</w:t>
      </w:r>
      <w:r w:rsidR="00C97BFF">
        <w:t xml:space="preserve">ment </w:t>
      </w:r>
      <w:r>
        <w:t xml:space="preserve">to provide </w:t>
      </w:r>
      <w:r w:rsidR="00427B42">
        <w:t xml:space="preserve">installation instructions </w:t>
      </w:r>
      <w:r w:rsidR="00C97BFF">
        <w:t>on</w:t>
      </w:r>
      <w:r w:rsidR="0039464E">
        <w:t xml:space="preserve"> how a consumer should install the basketball ring and backboard </w:t>
      </w:r>
      <w:r>
        <w:t>so</w:t>
      </w:r>
      <w:r w:rsidR="0039464E">
        <w:t xml:space="preserve"> the installation is safe</w:t>
      </w:r>
      <w:r w:rsidRPr="00A24404">
        <w:t xml:space="preserve"> </w:t>
      </w:r>
      <w:r>
        <w:t>could enhance</w:t>
      </w:r>
      <w:r w:rsidRPr="00A24404">
        <w:t xml:space="preserve"> </w:t>
      </w:r>
      <w:r>
        <w:t>the current warning about improper installation</w:t>
      </w:r>
      <w:r w:rsidR="0039464E">
        <w:t xml:space="preserve">. </w:t>
      </w:r>
      <w:r w:rsidR="00C97BFF">
        <w:t xml:space="preserve">This </w:t>
      </w:r>
      <w:r w:rsidR="0039464E">
        <w:t>could specify:</w:t>
      </w:r>
    </w:p>
    <w:p w:rsidR="008311AF" w:rsidRPr="00D85365" w:rsidRDefault="008311AF" w:rsidP="00630646">
      <w:pPr>
        <w:pStyle w:val="ListParagraph"/>
        <w:numPr>
          <w:ilvl w:val="0"/>
          <w:numId w:val="35"/>
        </w:numPr>
      </w:pPr>
      <w:r w:rsidRPr="00D85365">
        <w:t xml:space="preserve">the type of structure that </w:t>
      </w:r>
      <w:r w:rsidR="003101A4" w:rsidRPr="00D85365">
        <w:t xml:space="preserve">the </w:t>
      </w:r>
      <w:r w:rsidRPr="00D85365">
        <w:t xml:space="preserve">basketball ring </w:t>
      </w:r>
      <w:r w:rsidR="003101A4" w:rsidRPr="00D85365">
        <w:t xml:space="preserve">or </w:t>
      </w:r>
      <w:r w:rsidRPr="00D85365">
        <w:t>backboard must be installed on – such as a metal post concreted into the ground</w:t>
      </w:r>
      <w:r w:rsidR="0039464E">
        <w:t>, including the size of the concrete footing</w:t>
      </w:r>
    </w:p>
    <w:p w:rsidR="008311AF" w:rsidRPr="00D85365" w:rsidRDefault="008311AF" w:rsidP="00630646">
      <w:pPr>
        <w:pStyle w:val="ListParagraph"/>
        <w:numPr>
          <w:ilvl w:val="0"/>
          <w:numId w:val="35"/>
        </w:numPr>
      </w:pPr>
      <w:r w:rsidRPr="00D85365">
        <w:t xml:space="preserve">the type of structure that must not be used – such as a brick wall, unless </w:t>
      </w:r>
      <w:r w:rsidR="00A13FFF" w:rsidRPr="00D85365">
        <w:t>a structural e</w:t>
      </w:r>
      <w:r w:rsidR="0039464E">
        <w:t>ngineer has approved the installation</w:t>
      </w:r>
    </w:p>
    <w:p w:rsidR="00D1421B" w:rsidRDefault="008311AF" w:rsidP="007B1A64">
      <w:pPr>
        <w:pStyle w:val="ListParagraph"/>
        <w:numPr>
          <w:ilvl w:val="0"/>
          <w:numId w:val="35"/>
        </w:numPr>
      </w:pPr>
      <w:r w:rsidRPr="00D85365">
        <w:t>how to achieve an installation that</w:t>
      </w:r>
      <w:r w:rsidR="003101A4" w:rsidRPr="00D85365">
        <w:t xml:space="preserve"> </w:t>
      </w:r>
      <w:r w:rsidRPr="00D85365">
        <w:t xml:space="preserve">does not </w:t>
      </w:r>
      <w:r w:rsidR="000F368C" w:rsidRPr="00D85365">
        <w:t>fail</w:t>
      </w:r>
      <w:r w:rsidRPr="00D85365">
        <w:t xml:space="preserve"> or</w:t>
      </w:r>
      <w:r w:rsidR="003101A4" w:rsidRPr="00D85365">
        <w:t xml:space="preserve"> that </w:t>
      </w:r>
      <w:r w:rsidRPr="00D85365">
        <w:t>fails safely</w:t>
      </w:r>
      <w:r w:rsidR="00A13FFF" w:rsidRPr="00D85365">
        <w:t>,</w:t>
      </w:r>
      <w:r w:rsidRPr="00D85365">
        <w:t xml:space="preserve"> if a user swings on the ring.</w:t>
      </w:r>
    </w:p>
    <w:p w:rsidR="008A7E47" w:rsidRPr="008311AF" w:rsidRDefault="008A7E47" w:rsidP="00630646">
      <w:pPr>
        <w:pStyle w:val="Numbered1"/>
        <w:numPr>
          <w:ilvl w:val="0"/>
          <w:numId w:val="38"/>
        </w:numPr>
        <w:rPr>
          <w:lang w:val="en-GB"/>
        </w:rPr>
      </w:pPr>
      <w:bookmarkStart w:id="133" w:name="_Toc463614209"/>
      <w:r w:rsidRPr="008311AF">
        <w:rPr>
          <w:lang w:val="en-GB"/>
        </w:rPr>
        <w:t xml:space="preserve">Detailed </w:t>
      </w:r>
      <w:r w:rsidR="00F63587" w:rsidRPr="008311AF">
        <w:rPr>
          <w:lang w:val="en-GB"/>
        </w:rPr>
        <w:t>d</w:t>
      </w:r>
      <w:r w:rsidRPr="008311AF">
        <w:rPr>
          <w:lang w:val="en-GB"/>
        </w:rPr>
        <w:t xml:space="preserve">escription of </w:t>
      </w:r>
      <w:r w:rsidR="00F63587" w:rsidRPr="008311AF">
        <w:rPr>
          <w:lang w:val="en-GB"/>
        </w:rPr>
        <w:t>p</w:t>
      </w:r>
      <w:r w:rsidR="00935D49" w:rsidRPr="008311AF">
        <w:rPr>
          <w:lang w:val="en-GB"/>
        </w:rPr>
        <w:t>olicy options</w:t>
      </w:r>
      <w:bookmarkStart w:id="134" w:name="_Toc448397937"/>
      <w:bookmarkEnd w:id="129"/>
      <w:bookmarkEnd w:id="130"/>
      <w:bookmarkEnd w:id="131"/>
      <w:bookmarkEnd w:id="132"/>
      <w:bookmarkEnd w:id="133"/>
    </w:p>
    <w:p w:rsidR="008A7E47" w:rsidRPr="00297D3B" w:rsidRDefault="008A7E47" w:rsidP="00F96A85">
      <w:pPr>
        <w:pStyle w:val="Heading2"/>
        <w:rPr>
          <w:b w:val="0"/>
        </w:rPr>
      </w:pPr>
      <w:bookmarkStart w:id="135" w:name="_Toc453749109"/>
      <w:bookmarkStart w:id="136" w:name="_Toc453749355"/>
      <w:bookmarkStart w:id="137" w:name="_Toc453759808"/>
      <w:bookmarkStart w:id="138" w:name="_Toc453763206"/>
      <w:bookmarkStart w:id="139" w:name="_Toc453763893"/>
      <w:bookmarkStart w:id="140" w:name="_Toc453765803"/>
      <w:bookmarkStart w:id="141" w:name="_Toc454544436"/>
      <w:bookmarkStart w:id="142" w:name="_Toc455580020"/>
      <w:bookmarkStart w:id="143" w:name="_Toc456277638"/>
      <w:bookmarkStart w:id="144" w:name="_Toc456279007"/>
      <w:bookmarkStart w:id="145" w:name="_Toc457311817"/>
      <w:bookmarkStart w:id="146" w:name="_Toc460425507"/>
      <w:bookmarkStart w:id="147" w:name="_Toc460589689"/>
      <w:bookmarkStart w:id="148" w:name="_Toc461088758"/>
      <w:bookmarkStart w:id="149" w:name="_Toc461101948"/>
      <w:bookmarkStart w:id="150" w:name="_Toc461184842"/>
      <w:bookmarkStart w:id="151" w:name="_Toc461188085"/>
      <w:bookmarkStart w:id="152" w:name="_Toc463614210"/>
      <w:r w:rsidRPr="00297D3B">
        <w:rPr>
          <w:b w:val="0"/>
        </w:rPr>
        <w:t>Option 1 - Keep the current mandatory standard (status quo)</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8A7E47" w:rsidRDefault="008A7E47" w:rsidP="006F5525">
      <w:pPr>
        <w:pStyle w:val="Heading4"/>
      </w:pPr>
      <w:bookmarkStart w:id="153" w:name="_Toc453749110"/>
      <w:bookmarkStart w:id="154" w:name="_Toc453749356"/>
      <w:bookmarkStart w:id="155" w:name="_Toc453763894"/>
      <w:bookmarkStart w:id="156" w:name="_Toc453765804"/>
      <w:bookmarkStart w:id="157" w:name="_Toc454444014"/>
      <w:bookmarkStart w:id="158" w:name="_Toc454544437"/>
      <w:bookmarkStart w:id="159" w:name="_Toc455580021"/>
      <w:bookmarkStart w:id="160" w:name="_Toc456277639"/>
      <w:bookmarkStart w:id="161" w:name="_Toc456279008"/>
      <w:bookmarkStart w:id="162" w:name="_Toc457311818"/>
      <w:bookmarkStart w:id="163" w:name="_Toc460425508"/>
      <w:bookmarkStart w:id="164" w:name="_Toc460589690"/>
      <w:bookmarkStart w:id="165" w:name="_Toc461088759"/>
      <w:bookmarkStart w:id="166" w:name="_Toc461101949"/>
      <w:bookmarkStart w:id="167" w:name="_Toc461184843"/>
      <w:bookmarkStart w:id="168" w:name="_Toc461188086"/>
      <w:bookmarkStart w:id="169" w:name="_Toc461791307"/>
      <w:bookmarkStart w:id="170" w:name="_Toc463601282"/>
      <w:bookmarkStart w:id="171" w:name="_Toc463603335"/>
      <w:bookmarkStart w:id="172" w:name="_Toc463605657"/>
      <w:bookmarkStart w:id="173" w:name="_Toc463614211"/>
      <w:r w:rsidRPr="009C2938">
        <w:t>Description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E01197" w:rsidRDefault="00E01197" w:rsidP="00E01197">
      <w:pPr>
        <w:keepNext/>
      </w:pPr>
      <w:r w:rsidRPr="00C06821">
        <w:t xml:space="preserve">Maintaining the status quo </w:t>
      </w:r>
      <w:r>
        <w:t xml:space="preserve">would </w:t>
      </w:r>
      <w:r w:rsidRPr="00C06821">
        <w:t>mean no changes to the m</w:t>
      </w:r>
      <w:r>
        <w:t>andatory safety standard</w:t>
      </w:r>
      <w:r w:rsidRPr="00C06821">
        <w:t xml:space="preserve"> for </w:t>
      </w:r>
      <w:r>
        <w:t>basketball rings and backboards. The mandatory safety standard</w:t>
      </w:r>
      <w:r w:rsidRPr="00C06821">
        <w:t xml:space="preserve"> </w:t>
      </w:r>
      <w:r>
        <w:t>would</w:t>
      </w:r>
      <w:r w:rsidRPr="00C06821">
        <w:t xml:space="preserve"> </w:t>
      </w:r>
      <w:r>
        <w:t>continue to apply to both traditional basketball rings and backboards and</w:t>
      </w:r>
      <w:r w:rsidR="006B51C7">
        <w:t xml:space="preserve"> to</w:t>
      </w:r>
      <w:r>
        <w:t xml:space="preserve"> portable basketball systems. It would continue to prescribe warning label and information requirements only.</w:t>
      </w:r>
    </w:p>
    <w:p w:rsidR="008A7E47" w:rsidRDefault="008A7E47" w:rsidP="006F5525">
      <w:pPr>
        <w:pStyle w:val="Heading4"/>
      </w:pPr>
      <w:bookmarkStart w:id="174" w:name="_Toc453749111"/>
      <w:bookmarkStart w:id="175" w:name="_Toc453749357"/>
      <w:bookmarkStart w:id="176" w:name="_Toc453763895"/>
      <w:bookmarkStart w:id="177" w:name="_Toc453765805"/>
      <w:bookmarkStart w:id="178" w:name="_Toc454444015"/>
      <w:bookmarkStart w:id="179" w:name="_Toc454544438"/>
      <w:bookmarkStart w:id="180" w:name="_Toc455580022"/>
      <w:bookmarkStart w:id="181" w:name="_Toc456277640"/>
      <w:bookmarkStart w:id="182" w:name="_Toc456279009"/>
      <w:bookmarkStart w:id="183" w:name="_Toc457311819"/>
      <w:bookmarkStart w:id="184" w:name="_Toc460425509"/>
      <w:bookmarkStart w:id="185" w:name="_Toc460589691"/>
      <w:bookmarkStart w:id="186" w:name="_Toc461088760"/>
      <w:bookmarkStart w:id="187" w:name="_Toc461101950"/>
      <w:bookmarkStart w:id="188" w:name="_Toc461184844"/>
      <w:bookmarkStart w:id="189" w:name="_Toc461188087"/>
      <w:bookmarkStart w:id="190" w:name="_Toc461791308"/>
      <w:bookmarkStart w:id="191" w:name="_Toc463601283"/>
      <w:bookmarkStart w:id="192" w:name="_Toc463603336"/>
      <w:bookmarkStart w:id="193" w:name="_Toc463605658"/>
      <w:bookmarkStart w:id="194" w:name="_Toc463614212"/>
      <w:r w:rsidRPr="0095683B">
        <w:t>Benefits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6E5A74" w:rsidRDefault="006E5A74" w:rsidP="00E01197">
      <w:r>
        <w:t xml:space="preserve">The mandatory safety standard has been effective </w:t>
      </w:r>
      <w:r w:rsidR="00913601">
        <w:t>and</w:t>
      </w:r>
      <w:r>
        <w:t xml:space="preserve"> </w:t>
      </w:r>
      <w:r w:rsidR="00913601">
        <w:t>there have been fewer</w:t>
      </w:r>
      <w:r>
        <w:t xml:space="preserve"> death</w:t>
      </w:r>
      <w:r w:rsidR="00913601">
        <w:t>s</w:t>
      </w:r>
      <w:r>
        <w:t xml:space="preserve"> associated with b</w:t>
      </w:r>
      <w:r w:rsidRPr="00BD4E72">
        <w:t>asketball rings and backboards</w:t>
      </w:r>
      <w:r w:rsidR="00913601">
        <w:t>.</w:t>
      </w:r>
      <w:r w:rsidRPr="00BD4E72">
        <w:t xml:space="preserve"> </w:t>
      </w:r>
      <w:r w:rsidR="00913601">
        <w:t>T</w:t>
      </w:r>
      <w:r>
        <w:t xml:space="preserve">hese benefits </w:t>
      </w:r>
      <w:r w:rsidR="00913601">
        <w:t>would</w:t>
      </w:r>
      <w:r>
        <w:t xml:space="preserve"> continue.</w:t>
      </w:r>
    </w:p>
    <w:p w:rsidR="00921DE8" w:rsidRDefault="00921DE8" w:rsidP="006F5525">
      <w:pPr>
        <w:pStyle w:val="Heading4"/>
      </w:pPr>
      <w:bookmarkStart w:id="195" w:name="_Toc457311820"/>
      <w:bookmarkStart w:id="196" w:name="_Toc460425510"/>
      <w:bookmarkStart w:id="197" w:name="_Toc460589692"/>
      <w:bookmarkStart w:id="198" w:name="_Toc461088761"/>
      <w:bookmarkStart w:id="199" w:name="_Toc461101951"/>
      <w:bookmarkStart w:id="200" w:name="_Toc461184845"/>
      <w:bookmarkStart w:id="201" w:name="_Toc461188088"/>
      <w:bookmarkStart w:id="202" w:name="_Toc461791309"/>
      <w:bookmarkStart w:id="203" w:name="_Toc463601284"/>
      <w:bookmarkStart w:id="204" w:name="_Toc463603337"/>
      <w:bookmarkStart w:id="205" w:name="_Toc463605659"/>
      <w:bookmarkStart w:id="206" w:name="_Toc463614213"/>
      <w:r>
        <w:lastRenderedPageBreak/>
        <w:t>Limitations</w:t>
      </w:r>
      <w:bookmarkEnd w:id="195"/>
      <w:bookmarkEnd w:id="196"/>
      <w:bookmarkEnd w:id="197"/>
      <w:bookmarkEnd w:id="198"/>
      <w:bookmarkEnd w:id="199"/>
      <w:bookmarkEnd w:id="200"/>
      <w:bookmarkEnd w:id="201"/>
      <w:bookmarkEnd w:id="202"/>
      <w:bookmarkEnd w:id="203"/>
      <w:bookmarkEnd w:id="204"/>
      <w:bookmarkEnd w:id="205"/>
      <w:bookmarkEnd w:id="206"/>
    </w:p>
    <w:p w:rsidR="00913601" w:rsidRDefault="00913601" w:rsidP="00913601">
      <w:r w:rsidRPr="00BD4E72">
        <w:t xml:space="preserve">Basketball rings and backboards </w:t>
      </w:r>
      <w:r>
        <w:t>would</w:t>
      </w:r>
      <w:r w:rsidRPr="00BD4E72">
        <w:t xml:space="preserve"> still be subject to the same mandatory safety standard that suppliers must currently meet before they can legally supply them, with the same regulatory burden.</w:t>
      </w:r>
    </w:p>
    <w:p w:rsidR="00913601" w:rsidRDefault="00913601" w:rsidP="00913601">
      <w:r>
        <w:t>There would be no additional costs to government beyond those already incurred in administering the mandatory safety standard.</w:t>
      </w:r>
    </w:p>
    <w:p w:rsidR="00D03310" w:rsidRDefault="00D03310" w:rsidP="00D03310">
      <w:r>
        <w:t>Suppliers would continue to supply products with specific warnings for the Australian market. Suppliers would continue to re-label products designed for other markets since international standards do not address the primary concern about basketball rings and backboards installed on walls around the home. The cost of continued compliance is likely to be low as the mandatory safety standard does not impose performance requirements.</w:t>
      </w:r>
    </w:p>
    <w:p w:rsidR="008C3E1E" w:rsidRDefault="00D03310" w:rsidP="00D03310">
      <w:r>
        <w:t>Suppliers of portable basketball systems would continue to incur compliance costs even though these systems do not appear to present the same hazard as traditional basketball rings and backboards and the regulation was not intended to capture these products. Although compliance costs are limited to warning labels and information requirements, portable basketball systems account for most of the market and unnecessary</w:t>
      </w:r>
      <w:r w:rsidRPr="00C078F6">
        <w:t xml:space="preserve"> </w:t>
      </w:r>
      <w:r>
        <w:t>compliance costs paid by suppliers</w:t>
      </w:r>
      <w:r w:rsidRPr="00C078F6">
        <w:t xml:space="preserve"> </w:t>
      </w:r>
      <w:r>
        <w:t>may distort the market.</w:t>
      </w:r>
    </w:p>
    <w:p w:rsidR="008C3E1E" w:rsidRPr="00E01197" w:rsidRDefault="008C3E1E" w:rsidP="008C3E1E">
      <w:pPr>
        <w:pStyle w:val="Heading2"/>
        <w:rPr>
          <w:b w:val="0"/>
        </w:rPr>
      </w:pPr>
      <w:bookmarkStart w:id="207" w:name="_Toc460425511"/>
      <w:bookmarkStart w:id="208" w:name="_Toc460589693"/>
      <w:bookmarkStart w:id="209" w:name="_Toc461088762"/>
      <w:bookmarkStart w:id="210" w:name="_Toc461101952"/>
      <w:bookmarkStart w:id="211" w:name="_Toc461184846"/>
      <w:bookmarkStart w:id="212" w:name="_Toc461188089"/>
      <w:bookmarkStart w:id="213" w:name="_Toc463614214"/>
      <w:r w:rsidRPr="00BE3C42">
        <w:rPr>
          <w:b w:val="0"/>
        </w:rPr>
        <w:t xml:space="preserve">Option </w:t>
      </w:r>
      <w:r>
        <w:rPr>
          <w:b w:val="0"/>
        </w:rPr>
        <w:t>2</w:t>
      </w:r>
      <w:r w:rsidRPr="00BE3C42">
        <w:rPr>
          <w:b w:val="0"/>
        </w:rPr>
        <w:t xml:space="preserve"> - </w:t>
      </w:r>
      <w:r w:rsidR="00276854">
        <w:rPr>
          <w:b w:val="0"/>
        </w:rPr>
        <w:t>E</w:t>
      </w:r>
      <w:r w:rsidRPr="00E01197">
        <w:rPr>
          <w:b w:val="0"/>
        </w:rPr>
        <w:t>xclude portable basketball systems</w:t>
      </w:r>
      <w:bookmarkEnd w:id="207"/>
      <w:bookmarkEnd w:id="208"/>
      <w:bookmarkEnd w:id="209"/>
      <w:bookmarkEnd w:id="210"/>
      <w:bookmarkEnd w:id="211"/>
      <w:bookmarkEnd w:id="212"/>
      <w:bookmarkEnd w:id="213"/>
    </w:p>
    <w:p w:rsidR="00630646" w:rsidRDefault="00630646" w:rsidP="006F5525">
      <w:pPr>
        <w:pStyle w:val="Heading4"/>
      </w:pPr>
      <w:bookmarkStart w:id="214" w:name="_Toc453749114"/>
      <w:bookmarkStart w:id="215" w:name="_Toc453749360"/>
      <w:bookmarkStart w:id="216" w:name="_Toc453763898"/>
      <w:bookmarkStart w:id="217" w:name="_Toc453765808"/>
      <w:bookmarkStart w:id="218" w:name="_Toc454444018"/>
      <w:bookmarkStart w:id="219" w:name="_Toc454544441"/>
      <w:bookmarkStart w:id="220" w:name="_Toc455580025"/>
      <w:bookmarkStart w:id="221" w:name="_Toc456277643"/>
      <w:bookmarkStart w:id="222" w:name="_Toc456279012"/>
      <w:bookmarkStart w:id="223" w:name="_Toc457311822"/>
      <w:bookmarkStart w:id="224" w:name="_Toc460425512"/>
      <w:bookmarkStart w:id="225" w:name="_Toc460589694"/>
      <w:bookmarkStart w:id="226" w:name="_Toc461088763"/>
      <w:bookmarkStart w:id="227" w:name="_Toc461101953"/>
      <w:bookmarkStart w:id="228" w:name="_Toc461184847"/>
      <w:bookmarkStart w:id="229" w:name="_Toc461188090"/>
      <w:bookmarkStart w:id="230" w:name="_Toc461791311"/>
      <w:bookmarkStart w:id="231" w:name="_Toc463601286"/>
      <w:bookmarkStart w:id="232" w:name="_Toc463603339"/>
      <w:bookmarkStart w:id="233" w:name="_Toc463605661"/>
      <w:bookmarkStart w:id="234" w:name="_Toc463614215"/>
      <w:bookmarkStart w:id="235" w:name="_Toc453749113"/>
      <w:bookmarkStart w:id="236" w:name="_Toc453749359"/>
      <w:bookmarkStart w:id="237" w:name="_Toc453759809"/>
      <w:bookmarkStart w:id="238" w:name="_Toc453763207"/>
      <w:bookmarkStart w:id="239" w:name="_Toc453763897"/>
      <w:bookmarkStart w:id="240" w:name="_Toc453765807"/>
      <w:bookmarkStart w:id="241" w:name="_Toc454544440"/>
      <w:bookmarkStart w:id="242" w:name="_Toc455580024"/>
      <w:bookmarkStart w:id="243" w:name="_Toc456277642"/>
      <w:bookmarkStart w:id="244" w:name="_Toc456279011"/>
      <w:bookmarkStart w:id="245" w:name="_Toc457311821"/>
      <w:r w:rsidRPr="00297D3B">
        <w:t>Description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E01197" w:rsidRDefault="00E01197" w:rsidP="00E01197">
      <w:r>
        <w:t xml:space="preserve">This option would retain the mandatory safety standard for traditional basketball rings and backboards but amend the standard to exclude portable basketball systems. There is no evidence to indicate </w:t>
      </w:r>
      <w:r w:rsidR="006B51C7">
        <w:t xml:space="preserve">that </w:t>
      </w:r>
      <w:r>
        <w:t xml:space="preserve">portable basketball systems present the same hazard as </w:t>
      </w:r>
      <w:r w:rsidR="006B51C7">
        <w:t xml:space="preserve">the </w:t>
      </w:r>
      <w:r>
        <w:t xml:space="preserve">traditional basketball rings and backboards that prompted the introduction of the mandatory </w:t>
      </w:r>
      <w:r w:rsidR="00D03310">
        <w:t xml:space="preserve">safety </w:t>
      </w:r>
      <w:r>
        <w:t>standard.</w:t>
      </w:r>
    </w:p>
    <w:p w:rsidR="00630646" w:rsidRDefault="00630646" w:rsidP="006F5525">
      <w:pPr>
        <w:pStyle w:val="Heading4"/>
      </w:pPr>
      <w:bookmarkStart w:id="246" w:name="_Toc453749115"/>
      <w:bookmarkStart w:id="247" w:name="_Toc453749361"/>
      <w:bookmarkStart w:id="248" w:name="_Toc453763899"/>
      <w:bookmarkStart w:id="249" w:name="_Toc453765809"/>
      <w:bookmarkStart w:id="250" w:name="_Toc454444019"/>
      <w:bookmarkStart w:id="251" w:name="_Toc454544442"/>
      <w:bookmarkStart w:id="252" w:name="_Toc455580026"/>
      <w:bookmarkStart w:id="253" w:name="_Toc456277644"/>
      <w:bookmarkStart w:id="254" w:name="_Toc456279013"/>
      <w:bookmarkStart w:id="255" w:name="_Toc457311823"/>
      <w:bookmarkStart w:id="256" w:name="_Toc460425513"/>
      <w:bookmarkStart w:id="257" w:name="_Toc460589695"/>
      <w:bookmarkStart w:id="258" w:name="_Toc461088764"/>
      <w:bookmarkStart w:id="259" w:name="_Toc461101954"/>
      <w:bookmarkStart w:id="260" w:name="_Toc461184848"/>
      <w:bookmarkStart w:id="261" w:name="_Toc461188091"/>
      <w:bookmarkStart w:id="262" w:name="_Toc461791312"/>
      <w:bookmarkStart w:id="263" w:name="_Toc463601287"/>
      <w:bookmarkStart w:id="264" w:name="_Toc463603340"/>
      <w:bookmarkStart w:id="265" w:name="_Toc463605662"/>
      <w:bookmarkStart w:id="266" w:name="_Toc463614216"/>
      <w:r w:rsidRPr="00297D3B">
        <w:t>Benefits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D03310" w:rsidRDefault="00D03310" w:rsidP="00D03310">
      <w:r>
        <w:t>The reduc</w:t>
      </w:r>
      <w:r w:rsidR="00913601">
        <w:t>ed</w:t>
      </w:r>
      <w:r>
        <w:t xml:space="preserve"> rates of death associated with traditional basketball rings and backboards </w:t>
      </w:r>
      <w:r w:rsidR="006B51C7">
        <w:t xml:space="preserve">are </w:t>
      </w:r>
      <w:r w:rsidR="00913601">
        <w:t xml:space="preserve">likely to </w:t>
      </w:r>
      <w:r>
        <w:t>continue.</w:t>
      </w:r>
    </w:p>
    <w:p w:rsidR="00D03310" w:rsidRDefault="00D03310" w:rsidP="00D03310">
      <w:r>
        <w:t>Suppliers of portable basketball systems, inadvertently captured by the regulation, would no longer need to comply with the mandatory safety standard. This would reduce regulatory costs for those suppliers – which is most of the market. Some suppliers could choose to continue to supply portable basketball systems with the current warning and information.</w:t>
      </w:r>
    </w:p>
    <w:p w:rsidR="00D03310" w:rsidRDefault="00D03310" w:rsidP="00D03310">
      <w:r>
        <w:t>The general provisions of the A</w:t>
      </w:r>
      <w:r w:rsidR="00913601">
        <w:t xml:space="preserve">ustralian </w:t>
      </w:r>
      <w:r>
        <w:t>C</w:t>
      </w:r>
      <w:r w:rsidR="00913601">
        <w:t xml:space="preserve">onsumer </w:t>
      </w:r>
      <w:r>
        <w:t>L</w:t>
      </w:r>
      <w:r w:rsidR="00913601">
        <w:t>aw</w:t>
      </w:r>
      <w:r>
        <w:t xml:space="preserve"> </w:t>
      </w:r>
      <w:r w:rsidR="00913601">
        <w:t xml:space="preserve">(ACL) </w:t>
      </w:r>
      <w:r>
        <w:t>would remain available to consumers and the ACCC when dealing with suppliers of portable basketball systems.</w:t>
      </w:r>
    </w:p>
    <w:p w:rsidR="00E01197" w:rsidRDefault="00D03310" w:rsidP="00E01197">
      <w:r>
        <w:t>The ACCC would still be able to pursue suppliers of traditional basketball rings and backboards – the products of concern – with penalties under the ACL if they breach the mandatory safety standard.</w:t>
      </w:r>
    </w:p>
    <w:p w:rsidR="00630646" w:rsidRPr="006F5525" w:rsidRDefault="00630646" w:rsidP="006F5525">
      <w:pPr>
        <w:pStyle w:val="Heading4"/>
      </w:pPr>
      <w:bookmarkStart w:id="267" w:name="_Toc463601288"/>
      <w:bookmarkStart w:id="268" w:name="_Toc463603341"/>
      <w:bookmarkStart w:id="269" w:name="_Toc463605663"/>
      <w:bookmarkStart w:id="270" w:name="_Toc463614217"/>
      <w:r w:rsidRPr="006F5525">
        <w:t>Limitations</w:t>
      </w:r>
      <w:bookmarkEnd w:id="267"/>
      <w:bookmarkEnd w:id="268"/>
      <w:bookmarkEnd w:id="269"/>
      <w:bookmarkEnd w:id="270"/>
    </w:p>
    <w:p w:rsidR="007B1A64" w:rsidRDefault="00D03310" w:rsidP="00D03310">
      <w:r>
        <w:t>Despite their popularity, no deaths have been associated wi</w:t>
      </w:r>
      <w:r w:rsidR="003E6F96">
        <w:t>th portable basketball systems.</w:t>
      </w:r>
    </w:p>
    <w:p w:rsidR="00D03310" w:rsidRDefault="00D03310" w:rsidP="00D03310">
      <w:r>
        <w:t xml:space="preserve">Basketballers may risk injury if they hang and swing from the ring of a portable basketball system but available injury data does not indicate that this is a significant safety problem. </w:t>
      </w:r>
      <w:r>
        <w:lastRenderedPageBreak/>
        <w:t xml:space="preserve">However, there is a </w:t>
      </w:r>
      <w:r w:rsidR="00F97E28">
        <w:t xml:space="preserve">small </w:t>
      </w:r>
      <w:r>
        <w:t>risk that without the currently mandated warnings, there may be more injuries associated with these products.</w:t>
      </w:r>
    </w:p>
    <w:p w:rsidR="00E01197" w:rsidRDefault="00D03310" w:rsidP="00E01197">
      <w:r>
        <w:t xml:space="preserve">There would also be awareness and education costs associated with changing the standard to ensure that suppliers and consumers understand the relative risks associated with both traditional </w:t>
      </w:r>
      <w:r w:rsidR="00755791">
        <w:t xml:space="preserve">basketball rings and backboards </w:t>
      </w:r>
      <w:r>
        <w:t>and portable basketball systems.</w:t>
      </w:r>
    </w:p>
    <w:p w:rsidR="005A13AA" w:rsidRDefault="00F12C20" w:rsidP="00E01197">
      <w:r>
        <w:rPr>
          <w:noProof/>
        </w:rPr>
        <w:pict>
          <v:shape id="_x0000_s1043" type="#_x0000_t202" style="position:absolute;margin-left:-1.6pt;margin-top:11.35pt;width:447.75pt;height:45.35pt;z-index:251667968;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NNJQIAAE0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">
            <v:textbox style="mso-next-textbox:#_x0000_s1043">
              <w:txbxContent>
                <w:p w:rsidR="005A13AA" w:rsidRDefault="005A13AA" w:rsidP="00FE49CE">
                  <w:pPr>
                    <w:pStyle w:val="ListParagraph"/>
                    <w:numPr>
                      <w:ilvl w:val="0"/>
                      <w:numId w:val="0"/>
                    </w:numPr>
                  </w:pPr>
                  <w:r>
                    <w:rPr>
                      <w:b/>
                    </w:rPr>
                    <w:t>We encourage s</w:t>
                  </w:r>
                  <w:r w:rsidRPr="00D1421B">
                    <w:rPr>
                      <w:b/>
                    </w:rPr>
                    <w:t xml:space="preserve">uppliers to </w:t>
                  </w:r>
                  <w:r>
                    <w:rPr>
                      <w:b/>
                    </w:rPr>
                    <w:t>comment on</w:t>
                  </w:r>
                  <w:r w:rsidRPr="00D1421B">
                    <w:rPr>
                      <w:b/>
                    </w:rPr>
                    <w:t xml:space="preserve"> </w:t>
                  </w:r>
                  <w:r>
                    <w:rPr>
                      <w:b/>
                    </w:rPr>
                    <w:t>any</w:t>
                  </w:r>
                  <w:r w:rsidRPr="00D1421B">
                    <w:rPr>
                      <w:b/>
                    </w:rPr>
                    <w:t xml:space="preserve"> </w:t>
                  </w:r>
                  <w:r>
                    <w:rPr>
                      <w:b/>
                    </w:rPr>
                    <w:t>reduced compliance costs if portable basketball systems</w:t>
                  </w:r>
                  <w:r w:rsidRPr="00D1421B">
                    <w:rPr>
                      <w:b/>
                    </w:rPr>
                    <w:t xml:space="preserve"> </w:t>
                  </w:r>
                  <w:r>
                    <w:rPr>
                      <w:b/>
                    </w:rPr>
                    <w:t>were excluded from the mandatory safety standard.</w:t>
                  </w:r>
                </w:p>
              </w:txbxContent>
            </v:textbox>
          </v:shape>
        </w:pict>
      </w:r>
    </w:p>
    <w:p w:rsidR="005A13AA" w:rsidRDefault="005A13AA" w:rsidP="00E01197"/>
    <w:p w:rsidR="00FE49CE" w:rsidRDefault="00FE49CE" w:rsidP="005A13AA">
      <w:pPr>
        <w:pStyle w:val="ListParagraph"/>
        <w:numPr>
          <w:ilvl w:val="0"/>
          <w:numId w:val="0"/>
        </w:numPr>
      </w:pPr>
    </w:p>
    <w:p w:rsidR="00975792" w:rsidRPr="00BA6DC4" w:rsidRDefault="00975792" w:rsidP="00975792">
      <w:pPr>
        <w:pStyle w:val="Heading2"/>
        <w:keepNext/>
        <w:rPr>
          <w:b w:val="0"/>
        </w:rPr>
      </w:pPr>
      <w:bookmarkStart w:id="271" w:name="_Toc461101955"/>
      <w:bookmarkStart w:id="272" w:name="_Toc461184849"/>
      <w:bookmarkStart w:id="273" w:name="_Toc461188092"/>
      <w:bookmarkStart w:id="274" w:name="_Toc463614218"/>
      <w:r w:rsidRPr="00BA6DC4">
        <w:rPr>
          <w:b w:val="0"/>
        </w:rPr>
        <w:t xml:space="preserve">Option 3 </w:t>
      </w:r>
      <w:r w:rsidR="00923F15" w:rsidRPr="00BE3C42">
        <w:rPr>
          <w:b w:val="0"/>
        </w:rPr>
        <w:t>-</w:t>
      </w:r>
      <w:r w:rsidR="00276854">
        <w:rPr>
          <w:b w:val="0"/>
        </w:rPr>
        <w:t xml:space="preserve"> Require</w:t>
      </w:r>
      <w:r w:rsidR="00BA6DC4" w:rsidRPr="00BA6DC4">
        <w:rPr>
          <w:b w:val="0"/>
        </w:rPr>
        <w:t xml:space="preserve"> safe installation instructions</w:t>
      </w:r>
      <w:bookmarkEnd w:id="271"/>
      <w:bookmarkEnd w:id="272"/>
      <w:bookmarkEnd w:id="273"/>
      <w:bookmarkEnd w:id="274"/>
    </w:p>
    <w:p w:rsidR="00975792" w:rsidRDefault="00975792" w:rsidP="006F5525">
      <w:pPr>
        <w:pStyle w:val="Heading4"/>
      </w:pPr>
      <w:bookmarkStart w:id="275" w:name="_Toc461101956"/>
      <w:bookmarkStart w:id="276" w:name="_Toc461184850"/>
      <w:bookmarkStart w:id="277" w:name="_Toc461188093"/>
      <w:bookmarkStart w:id="278" w:name="_Toc461791314"/>
      <w:bookmarkStart w:id="279" w:name="_Toc463601290"/>
      <w:bookmarkStart w:id="280" w:name="_Toc463603343"/>
      <w:bookmarkStart w:id="281" w:name="_Toc463605665"/>
      <w:bookmarkStart w:id="282" w:name="_Toc463614219"/>
      <w:r w:rsidRPr="00F82104">
        <w:t>Description</w:t>
      </w:r>
      <w:bookmarkEnd w:id="275"/>
      <w:bookmarkEnd w:id="276"/>
      <w:bookmarkEnd w:id="277"/>
      <w:bookmarkEnd w:id="278"/>
      <w:bookmarkEnd w:id="279"/>
      <w:bookmarkEnd w:id="280"/>
      <w:bookmarkEnd w:id="281"/>
      <w:bookmarkEnd w:id="282"/>
    </w:p>
    <w:p w:rsidR="00BD55A5" w:rsidRDefault="00BD55A5" w:rsidP="00BD55A5">
      <w:r>
        <w:t>The mandatory safety standard</w:t>
      </w:r>
      <w:r w:rsidRPr="00C06821">
        <w:t xml:space="preserve"> </w:t>
      </w:r>
      <w:r>
        <w:t>would</w:t>
      </w:r>
      <w:r w:rsidRPr="00C06821">
        <w:t xml:space="preserve"> </w:t>
      </w:r>
      <w:r>
        <w:t xml:space="preserve">continue to apply to both traditional basketball rings and backboards and </w:t>
      </w:r>
      <w:r w:rsidR="006B51C7">
        <w:t xml:space="preserve">to </w:t>
      </w:r>
      <w:r>
        <w:t>portable basketball systems. It would continue to prescribe warning label and information requirements.</w:t>
      </w:r>
    </w:p>
    <w:p w:rsidR="00FE5D3F" w:rsidRDefault="00EE4417" w:rsidP="00BA6DC4">
      <w:r>
        <w:t xml:space="preserve">This option would include an additional requirement </w:t>
      </w:r>
      <w:r w:rsidR="00AA2627">
        <w:t xml:space="preserve">to provide </w:t>
      </w:r>
      <w:r>
        <w:t>safe installation instructions with traditional basketball rings and backboards</w:t>
      </w:r>
      <w:r w:rsidR="006B51C7">
        <w:t>. This requirement</w:t>
      </w:r>
      <w:r>
        <w:t xml:space="preserve"> would not extend to portable basketball systems.</w:t>
      </w:r>
    </w:p>
    <w:p w:rsidR="00975792" w:rsidRDefault="00975792" w:rsidP="006F5525">
      <w:pPr>
        <w:pStyle w:val="Heading4"/>
      </w:pPr>
      <w:bookmarkStart w:id="283" w:name="_Toc461101957"/>
      <w:bookmarkStart w:id="284" w:name="_Toc461184851"/>
      <w:bookmarkStart w:id="285" w:name="_Toc461188094"/>
      <w:bookmarkStart w:id="286" w:name="_Toc461791315"/>
      <w:bookmarkStart w:id="287" w:name="_Toc463601291"/>
      <w:bookmarkStart w:id="288" w:name="_Toc463603344"/>
      <w:bookmarkStart w:id="289" w:name="_Toc463605666"/>
      <w:bookmarkStart w:id="290" w:name="_Toc463614220"/>
      <w:r w:rsidRPr="00492F94">
        <w:t>Benefits</w:t>
      </w:r>
      <w:bookmarkEnd w:id="283"/>
      <w:bookmarkEnd w:id="284"/>
      <w:bookmarkEnd w:id="285"/>
      <w:bookmarkEnd w:id="286"/>
      <w:bookmarkEnd w:id="287"/>
      <w:bookmarkEnd w:id="288"/>
      <w:bookmarkEnd w:id="289"/>
      <w:bookmarkEnd w:id="290"/>
    </w:p>
    <w:p w:rsidR="003A4339" w:rsidRDefault="004707BB" w:rsidP="003A4339">
      <w:r>
        <w:t xml:space="preserve">The </w:t>
      </w:r>
      <w:r w:rsidR="003A4339">
        <w:t xml:space="preserve">requirement for safe installation instructions would enhance the </w:t>
      </w:r>
      <w:r w:rsidR="00EE4417">
        <w:t xml:space="preserve">current </w:t>
      </w:r>
      <w:r w:rsidR="003A4339">
        <w:t xml:space="preserve">mandatory safety standard </w:t>
      </w:r>
      <w:r>
        <w:t xml:space="preserve">by </w:t>
      </w:r>
      <w:r w:rsidR="003A4339">
        <w:t>provid</w:t>
      </w:r>
      <w:r>
        <w:t xml:space="preserve">ing </w:t>
      </w:r>
      <w:r w:rsidR="003A4339">
        <w:t xml:space="preserve">consumers with information on how to achieve a safe installation. </w:t>
      </w:r>
      <w:r>
        <w:t>This would enhance the effectiveness of the mandatory safety standard in red</w:t>
      </w:r>
      <w:r w:rsidR="00EF484A">
        <w:t>ucing deaths and serious injury that arise from unsafe installations.</w:t>
      </w:r>
    </w:p>
    <w:p w:rsidR="00975792" w:rsidRDefault="00975792" w:rsidP="006F5525">
      <w:pPr>
        <w:pStyle w:val="Heading4"/>
      </w:pPr>
      <w:bookmarkStart w:id="291" w:name="_Toc461101958"/>
      <w:bookmarkStart w:id="292" w:name="_Toc461184852"/>
      <w:bookmarkStart w:id="293" w:name="_Toc461188095"/>
      <w:bookmarkStart w:id="294" w:name="_Toc461791316"/>
      <w:bookmarkStart w:id="295" w:name="_Toc463601292"/>
      <w:bookmarkStart w:id="296" w:name="_Toc463603345"/>
      <w:bookmarkStart w:id="297" w:name="_Toc463605667"/>
      <w:bookmarkStart w:id="298" w:name="_Toc463614221"/>
      <w:r>
        <w:t>Limitations</w:t>
      </w:r>
      <w:bookmarkEnd w:id="291"/>
      <w:bookmarkEnd w:id="292"/>
      <w:bookmarkEnd w:id="293"/>
      <w:bookmarkEnd w:id="294"/>
      <w:bookmarkEnd w:id="295"/>
      <w:bookmarkEnd w:id="296"/>
      <w:bookmarkEnd w:id="297"/>
      <w:bookmarkEnd w:id="298"/>
    </w:p>
    <w:p w:rsidR="00633633" w:rsidRDefault="00633633" w:rsidP="00633633">
      <w:r>
        <w:t>Suppliers of traditional b</w:t>
      </w:r>
      <w:r w:rsidRPr="00BD4E72">
        <w:t xml:space="preserve">asketball rings and backboards </w:t>
      </w:r>
      <w:r>
        <w:t>would</w:t>
      </w:r>
      <w:r w:rsidRPr="00BD4E72">
        <w:t xml:space="preserve"> be subject to </w:t>
      </w:r>
      <w:r>
        <w:t>increased regulatory burden.</w:t>
      </w:r>
      <w:r w:rsidR="001B70FE" w:rsidRPr="001B70FE">
        <w:t xml:space="preserve"> </w:t>
      </w:r>
      <w:r w:rsidR="001B70FE">
        <w:t xml:space="preserve">The cost of compliance </w:t>
      </w:r>
      <w:r w:rsidR="00AA2627">
        <w:t>may</w:t>
      </w:r>
      <w:r w:rsidR="001B70FE">
        <w:t xml:space="preserve"> increase </w:t>
      </w:r>
      <w:r w:rsidR="00AA2627">
        <w:t>by a small amount</w:t>
      </w:r>
      <w:r w:rsidR="001B70FE">
        <w:t xml:space="preserve">, but remain relatively low </w:t>
      </w:r>
      <w:r w:rsidR="00AA2627">
        <w:t>overall,</w:t>
      </w:r>
      <w:r w:rsidR="001B70FE">
        <w:t xml:space="preserve"> as the mandatory safety standard does not impose performance requirements.</w:t>
      </w:r>
    </w:p>
    <w:p w:rsidR="00633633" w:rsidRDefault="00633633" w:rsidP="00633633">
      <w:r>
        <w:t xml:space="preserve">Suppliers would continue to supply products with specific warnings for the Australian market, </w:t>
      </w:r>
      <w:r w:rsidR="001B70FE">
        <w:t>and</w:t>
      </w:r>
      <w:r>
        <w:t xml:space="preserve"> they would also be required to provide safe installation instructions.</w:t>
      </w:r>
    </w:p>
    <w:p w:rsidR="00633633" w:rsidRDefault="00633633" w:rsidP="00633633">
      <w:r>
        <w:t>Suppliers would continue to re-label products designed for other markets since international standards do not address the primary concern about basketball rings and backboards installed on walls around the home.</w:t>
      </w:r>
    </w:p>
    <w:p w:rsidR="00AA2627" w:rsidRDefault="00AA2627" w:rsidP="00AA2627">
      <w:r>
        <w:t>There would also be awareness and education costs associated with changing the standard to ensure that suppliers and consumers understand the relative risks associated with both traditional basketball rings and backboards and portable basketball systems.</w:t>
      </w:r>
    </w:p>
    <w:p w:rsidR="007B1A64" w:rsidRDefault="00F12C20" w:rsidP="007B1A64">
      <w:pPr>
        <w:pStyle w:val="ListParagraph"/>
        <w:numPr>
          <w:ilvl w:val="0"/>
          <w:numId w:val="35"/>
        </w:numPr>
      </w:pPr>
      <w:r>
        <w:rPr>
          <w:noProof/>
        </w:rPr>
        <w:pict>
          <v:shape id="_x0000_s1044" type="#_x0000_t202" style="position:absolute;left:0;text-align:left;margin-left:-1.6pt;margin-top:9.25pt;width:447.75pt;height:55.75pt;z-index:25167001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">
            <v:textbox style="mso-next-textbox:#_x0000_s1044">
              <w:txbxContent>
                <w:p w:rsidR="005A13AA" w:rsidRDefault="005A13AA" w:rsidP="00AA2627">
                  <w:pPr>
                    <w:pStyle w:val="ListParagraph"/>
                    <w:numPr>
                      <w:ilvl w:val="0"/>
                      <w:numId w:val="0"/>
                    </w:numPr>
                  </w:pPr>
                  <w:r>
                    <w:rPr>
                      <w:b/>
                    </w:rPr>
                    <w:t>We encourage s</w:t>
                  </w:r>
                  <w:r w:rsidRPr="00D1421B">
                    <w:rPr>
                      <w:b/>
                    </w:rPr>
                    <w:t xml:space="preserve">uppliers to </w:t>
                  </w:r>
                  <w:r>
                    <w:rPr>
                      <w:b/>
                    </w:rPr>
                    <w:t>comment on</w:t>
                  </w:r>
                  <w:r w:rsidRPr="00D1421B">
                    <w:rPr>
                      <w:b/>
                    </w:rPr>
                    <w:t xml:space="preserve"> </w:t>
                  </w:r>
                  <w:r>
                    <w:rPr>
                      <w:b/>
                    </w:rPr>
                    <w:t>any</w:t>
                  </w:r>
                  <w:r w:rsidRPr="00D1421B">
                    <w:rPr>
                      <w:b/>
                    </w:rPr>
                    <w:t xml:space="preserve"> </w:t>
                  </w:r>
                  <w:r>
                    <w:rPr>
                      <w:b/>
                    </w:rPr>
                    <w:t xml:space="preserve">compliance difficulties and costs to </w:t>
                  </w:r>
                  <w:r w:rsidRPr="00D1421B">
                    <w:rPr>
                      <w:b/>
                    </w:rPr>
                    <w:t>provid</w:t>
                  </w:r>
                  <w:r>
                    <w:rPr>
                      <w:b/>
                    </w:rPr>
                    <w:t>e</w:t>
                  </w:r>
                  <w:r w:rsidRPr="00D1421B">
                    <w:rPr>
                      <w:b/>
                    </w:rPr>
                    <w:t xml:space="preserve"> </w:t>
                  </w:r>
                  <w:r>
                    <w:rPr>
                      <w:b/>
                    </w:rPr>
                    <w:t xml:space="preserve">safe </w:t>
                  </w:r>
                  <w:r w:rsidRPr="00D1421B">
                    <w:rPr>
                      <w:b/>
                    </w:rPr>
                    <w:t>installation instructions</w:t>
                  </w:r>
                  <w:r>
                    <w:rPr>
                      <w:b/>
                    </w:rPr>
                    <w:t xml:space="preserve"> with </w:t>
                  </w:r>
                  <w:r w:rsidRPr="00AA2627">
                    <w:rPr>
                      <w:b/>
                    </w:rPr>
                    <w:t>traditional basketball rings and backboards</w:t>
                  </w:r>
                  <w:r w:rsidRPr="00D1421B">
                    <w:rPr>
                      <w:b/>
                    </w:rPr>
                    <w:t>.</w:t>
                  </w:r>
                </w:p>
              </w:txbxContent>
            </v:textbox>
          </v:shape>
        </w:pict>
      </w:r>
    </w:p>
    <w:p w:rsidR="007B1A64" w:rsidRDefault="007B1A64" w:rsidP="007B1A64">
      <w:pPr>
        <w:pStyle w:val="ListParagraph"/>
        <w:numPr>
          <w:ilvl w:val="0"/>
          <w:numId w:val="0"/>
        </w:numPr>
      </w:pPr>
    </w:p>
    <w:p w:rsidR="007B1A64" w:rsidRDefault="007B1A64" w:rsidP="00EE4417"/>
    <w:p w:rsidR="008A7E47" w:rsidRPr="00297D3B" w:rsidRDefault="00630646" w:rsidP="00654B71">
      <w:pPr>
        <w:pStyle w:val="Heading2"/>
        <w:keepNext/>
        <w:rPr>
          <w:b w:val="0"/>
        </w:rPr>
      </w:pPr>
      <w:bookmarkStart w:id="299" w:name="_Toc460425514"/>
      <w:bookmarkStart w:id="300" w:name="_Toc460589696"/>
      <w:bookmarkStart w:id="301" w:name="_Toc461088765"/>
      <w:bookmarkStart w:id="302" w:name="_Toc461101959"/>
      <w:bookmarkStart w:id="303" w:name="_Toc461184853"/>
      <w:bookmarkStart w:id="304" w:name="_Toc461188096"/>
      <w:bookmarkStart w:id="305" w:name="_Toc463614222"/>
      <w:r>
        <w:rPr>
          <w:b w:val="0"/>
        </w:rPr>
        <w:lastRenderedPageBreak/>
        <w:t xml:space="preserve">Option </w:t>
      </w:r>
      <w:r w:rsidR="00975792">
        <w:rPr>
          <w:b w:val="0"/>
        </w:rPr>
        <w:t>4</w:t>
      </w:r>
      <w:r w:rsidR="008A7E47" w:rsidRPr="00297D3B">
        <w:rPr>
          <w:b w:val="0"/>
        </w:rPr>
        <w:t xml:space="preserve"> - Revoke the mandatory safety standard</w:t>
      </w:r>
      <w:bookmarkEnd w:id="134"/>
      <w:bookmarkEnd w:id="235"/>
      <w:bookmarkEnd w:id="236"/>
      <w:bookmarkEnd w:id="237"/>
      <w:bookmarkEnd w:id="238"/>
      <w:bookmarkEnd w:id="239"/>
      <w:bookmarkEnd w:id="240"/>
      <w:bookmarkEnd w:id="241"/>
      <w:bookmarkEnd w:id="242"/>
      <w:bookmarkEnd w:id="243"/>
      <w:bookmarkEnd w:id="244"/>
      <w:bookmarkEnd w:id="245"/>
      <w:bookmarkEnd w:id="299"/>
      <w:bookmarkEnd w:id="300"/>
      <w:bookmarkEnd w:id="301"/>
      <w:bookmarkEnd w:id="302"/>
      <w:bookmarkEnd w:id="303"/>
      <w:bookmarkEnd w:id="304"/>
      <w:bookmarkEnd w:id="305"/>
    </w:p>
    <w:p w:rsidR="008A7E47" w:rsidRDefault="008A7E47" w:rsidP="006F5525">
      <w:pPr>
        <w:pStyle w:val="Heading4"/>
      </w:pPr>
      <w:bookmarkStart w:id="306" w:name="_Toc453749122"/>
      <w:bookmarkStart w:id="307" w:name="_Toc453749368"/>
      <w:bookmarkStart w:id="308" w:name="_Toc453763906"/>
      <w:bookmarkStart w:id="309" w:name="_Toc453765816"/>
      <w:bookmarkStart w:id="310" w:name="_Toc454444026"/>
      <w:bookmarkStart w:id="311" w:name="_Toc454544449"/>
      <w:bookmarkStart w:id="312" w:name="_Toc455580033"/>
      <w:bookmarkStart w:id="313" w:name="_Toc456277651"/>
      <w:bookmarkStart w:id="314" w:name="_Toc456279020"/>
      <w:bookmarkStart w:id="315" w:name="_Toc457311829"/>
      <w:bookmarkStart w:id="316" w:name="_Toc460425515"/>
      <w:bookmarkStart w:id="317" w:name="_Toc460589697"/>
      <w:bookmarkStart w:id="318" w:name="_Toc461088766"/>
      <w:bookmarkStart w:id="319" w:name="_Toc461101960"/>
      <w:bookmarkStart w:id="320" w:name="_Toc461184854"/>
      <w:bookmarkStart w:id="321" w:name="_Toc461188097"/>
      <w:bookmarkStart w:id="322" w:name="_Toc461791318"/>
      <w:bookmarkStart w:id="323" w:name="_Toc463601294"/>
      <w:bookmarkStart w:id="324" w:name="_Toc463603347"/>
      <w:bookmarkStart w:id="325" w:name="_Toc463605669"/>
      <w:bookmarkStart w:id="326" w:name="_Toc463614223"/>
      <w:r w:rsidRPr="00F82104">
        <w:t>Description</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1147E0" w:rsidRDefault="001147E0" w:rsidP="001147E0">
      <w:r>
        <w:t xml:space="preserve">Most consumer goods in Australia are not regulated by mandatory safety standards. Revoking the mandatory safety standard would mean suppliers would still need to have regard to the consumer protection provisions of the Australian Consumer Law (ACL). The ACL provides consumers with specific protections for consumer transactions called statutory consumer guarantees </w:t>
      </w:r>
      <w:r w:rsidR="005016DF">
        <w:t xml:space="preserve">that apply </w:t>
      </w:r>
      <w:r>
        <w:t xml:space="preserve">every time they </w:t>
      </w:r>
      <w:r w:rsidR="003D1175">
        <w:t xml:space="preserve">purchase </w:t>
      </w:r>
      <w:r>
        <w:t>goods or services. One of those guarantees is that goods will be of acceptable quality, meaning they are safe and fit for purpose.</w:t>
      </w:r>
    </w:p>
    <w:p w:rsidR="009B2B84" w:rsidRDefault="001147E0" w:rsidP="001147E0">
      <w:r>
        <w:t xml:space="preserve">Consumer protections also exist to safeguard against suppliers engaging in conduct that is likely to be misleading or deceptive. Additionally, there are provisions for injury reporting, recalls and product liability. These provisions give suppliers an incentive to ensure that the goods they supply are safe. The ACCC would still be able to take safety action </w:t>
      </w:r>
      <w:r w:rsidR="002877CB">
        <w:t>if needed – for example, through recalls.</w:t>
      </w:r>
    </w:p>
    <w:p w:rsidR="009B2B84" w:rsidRDefault="009B2B84" w:rsidP="006F5525">
      <w:pPr>
        <w:pStyle w:val="Heading4"/>
      </w:pPr>
      <w:bookmarkStart w:id="327" w:name="_Toc453749123"/>
      <w:bookmarkStart w:id="328" w:name="_Toc453749369"/>
      <w:bookmarkStart w:id="329" w:name="_Toc453763907"/>
      <w:bookmarkStart w:id="330" w:name="_Toc453765817"/>
      <w:bookmarkStart w:id="331" w:name="_Toc454444027"/>
      <w:bookmarkStart w:id="332" w:name="_Toc454544450"/>
      <w:bookmarkStart w:id="333" w:name="_Toc455580034"/>
      <w:bookmarkStart w:id="334" w:name="_Toc456277652"/>
      <w:bookmarkStart w:id="335" w:name="_Toc456279021"/>
      <w:bookmarkStart w:id="336" w:name="_Toc457311830"/>
      <w:bookmarkStart w:id="337" w:name="_Toc460425516"/>
      <w:bookmarkStart w:id="338" w:name="_Toc460589698"/>
      <w:bookmarkStart w:id="339" w:name="_Toc461088767"/>
      <w:bookmarkStart w:id="340" w:name="_Toc461101961"/>
      <w:bookmarkStart w:id="341" w:name="_Toc461184855"/>
      <w:bookmarkStart w:id="342" w:name="_Toc461188098"/>
      <w:bookmarkStart w:id="343" w:name="_Toc461791319"/>
      <w:bookmarkStart w:id="344" w:name="_Toc463601295"/>
      <w:bookmarkStart w:id="345" w:name="_Toc463603348"/>
      <w:bookmarkStart w:id="346" w:name="_Toc463605670"/>
      <w:bookmarkStart w:id="347" w:name="_Toc463614224"/>
      <w:r w:rsidRPr="00492F94">
        <w:t>Benefits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rsidR="003D1175" w:rsidRPr="003D1175" w:rsidRDefault="003D1175" w:rsidP="003D1175">
      <w:r>
        <w:t xml:space="preserve">There would be no direct compliance costs for industry under this option. </w:t>
      </w:r>
      <w:r w:rsidR="00CD3FCE" w:rsidRPr="00CD3FCE">
        <w:t>Any compliance implications for suppliers importing products into Australia would be removed, which may result in lower prices and</w:t>
      </w:r>
      <w:r w:rsidR="00CD3FCE">
        <w:t xml:space="preserve"> </w:t>
      </w:r>
      <w:r>
        <w:t>a wider range of products becoming available to Australian consumers.</w:t>
      </w:r>
    </w:p>
    <w:p w:rsidR="008A7E47" w:rsidRDefault="00285E42" w:rsidP="006F5525">
      <w:pPr>
        <w:pStyle w:val="Heading4"/>
      </w:pPr>
      <w:bookmarkStart w:id="348" w:name="_Toc457311831"/>
      <w:bookmarkStart w:id="349" w:name="_Toc460425517"/>
      <w:bookmarkStart w:id="350" w:name="_Toc460589699"/>
      <w:bookmarkStart w:id="351" w:name="_Toc461088768"/>
      <w:bookmarkStart w:id="352" w:name="_Toc461101962"/>
      <w:bookmarkStart w:id="353" w:name="_Toc461184856"/>
      <w:bookmarkStart w:id="354" w:name="_Toc461188099"/>
      <w:bookmarkStart w:id="355" w:name="_Toc461791320"/>
      <w:bookmarkStart w:id="356" w:name="_Toc463601296"/>
      <w:bookmarkStart w:id="357" w:name="_Toc463603349"/>
      <w:bookmarkStart w:id="358" w:name="_Toc463605671"/>
      <w:bookmarkStart w:id="359" w:name="_Toc463614225"/>
      <w:r>
        <w:t>Limitations</w:t>
      </w:r>
      <w:bookmarkEnd w:id="348"/>
      <w:bookmarkEnd w:id="349"/>
      <w:bookmarkEnd w:id="350"/>
      <w:bookmarkEnd w:id="351"/>
      <w:bookmarkEnd w:id="352"/>
      <w:bookmarkEnd w:id="353"/>
      <w:bookmarkEnd w:id="354"/>
      <w:bookmarkEnd w:id="355"/>
      <w:bookmarkEnd w:id="356"/>
      <w:bookmarkEnd w:id="357"/>
      <w:bookmarkEnd w:id="358"/>
      <w:bookmarkEnd w:id="359"/>
    </w:p>
    <w:p w:rsidR="00010A09" w:rsidRDefault="005D1642" w:rsidP="005D1642">
      <w:r>
        <w:t>Without the mandatory safety standard, the general ACL provisions may be insufficient</w:t>
      </w:r>
      <w:r w:rsidR="00010A09">
        <w:t xml:space="preserve">. A lack of consumer awareness around the hazards associated with the installation of basketball rings and backboards and users swinging from the ring, </w:t>
      </w:r>
      <w:r>
        <w:t xml:space="preserve">could lead to an increase in death and injury. Consumers may also need to assess the safety of basketball rings and backboards in more detail. This could reduce consumer and retailer confidence in the </w:t>
      </w:r>
      <w:r w:rsidR="00010A09">
        <w:t xml:space="preserve">recreational use of </w:t>
      </w:r>
      <w:r>
        <w:t xml:space="preserve">basketball </w:t>
      </w:r>
      <w:r w:rsidR="00010A09">
        <w:t>rings and backboards and in the safety of these products.</w:t>
      </w:r>
    </w:p>
    <w:p w:rsidR="0041713D" w:rsidRDefault="0041713D" w:rsidP="00166148">
      <w:pPr>
        <w:pStyle w:val="Numbered1"/>
        <w:numPr>
          <w:ilvl w:val="0"/>
          <w:numId w:val="28"/>
        </w:numPr>
      </w:pPr>
      <w:bookmarkStart w:id="360" w:name="_Toc463614226"/>
      <w:r>
        <w:t>Preliminary position</w:t>
      </w:r>
      <w:bookmarkEnd w:id="360"/>
    </w:p>
    <w:p w:rsidR="00B77FAF" w:rsidRDefault="00E01197" w:rsidP="00E01197">
      <w:r w:rsidRPr="00380F2B">
        <w:t xml:space="preserve">The ACCC is currently of the </w:t>
      </w:r>
      <w:r w:rsidRPr="00D8525E">
        <w:t xml:space="preserve">view that </w:t>
      </w:r>
      <w:r w:rsidR="00A45705" w:rsidRPr="00380F2B">
        <w:t>the greatest net benefit for consumers, suppliers and regulators</w:t>
      </w:r>
      <w:r w:rsidR="00A45705" w:rsidRPr="00D8525E">
        <w:t xml:space="preserve"> is likely</w:t>
      </w:r>
      <w:r w:rsidR="00A45705" w:rsidRPr="00380F2B">
        <w:t xml:space="preserve"> to </w:t>
      </w:r>
      <w:r w:rsidR="00A45705">
        <w:t xml:space="preserve">come from combining Option 2 and Option 3. </w:t>
      </w:r>
      <w:r w:rsidR="00B52CD7">
        <w:t xml:space="preserve">This would </w:t>
      </w:r>
      <w:r w:rsidR="00A45705">
        <w:t xml:space="preserve">exclude portable basketball systems from </w:t>
      </w:r>
      <w:r w:rsidR="001760E1">
        <w:t xml:space="preserve">the mandatory safety standard </w:t>
      </w:r>
      <w:r w:rsidR="00B52CD7">
        <w:t xml:space="preserve">and </w:t>
      </w:r>
      <w:r w:rsidR="00E27D95">
        <w:t xml:space="preserve">require </w:t>
      </w:r>
      <w:r w:rsidR="00A45705">
        <w:t xml:space="preserve">suppliers to provide </w:t>
      </w:r>
      <w:r w:rsidR="00B52CD7">
        <w:t xml:space="preserve">safe </w:t>
      </w:r>
      <w:r w:rsidR="00AD6F7C">
        <w:t>installation instructions</w:t>
      </w:r>
      <w:r w:rsidR="00B52CD7">
        <w:t xml:space="preserve"> for traditional basketball rings and backboards.</w:t>
      </w:r>
    </w:p>
    <w:p w:rsidR="00B77FAF" w:rsidRDefault="0011213A" w:rsidP="00E01197">
      <w:r>
        <w:t>The</w:t>
      </w:r>
      <w:r w:rsidR="006E2500">
        <w:t xml:space="preserve"> </w:t>
      </w:r>
      <w:r>
        <w:t xml:space="preserve">reduced regulatory costs for portable basketball system suppliers could offset the </w:t>
      </w:r>
      <w:r w:rsidR="006E2500">
        <w:t xml:space="preserve">increased costs </w:t>
      </w:r>
      <w:r>
        <w:t xml:space="preserve">for </w:t>
      </w:r>
      <w:r w:rsidR="00E27D95">
        <w:t>suppliers</w:t>
      </w:r>
      <w:r w:rsidR="00254200">
        <w:t xml:space="preserve"> </w:t>
      </w:r>
      <w:r>
        <w:t xml:space="preserve">to provide </w:t>
      </w:r>
      <w:r w:rsidR="00254200">
        <w:t>safe installation instructions</w:t>
      </w:r>
      <w:r w:rsidR="00247F9C">
        <w:t xml:space="preserve"> for traditional basketball rings and backboards</w:t>
      </w:r>
      <w:r w:rsidR="00D520D8">
        <w:t xml:space="preserve">. </w:t>
      </w:r>
      <w:r>
        <w:t>We encourage s</w:t>
      </w:r>
      <w:r w:rsidR="00E27D95">
        <w:t xml:space="preserve">uppliers to provide </w:t>
      </w:r>
      <w:r>
        <w:t>us with</w:t>
      </w:r>
      <w:r w:rsidR="00B52CD7">
        <w:t xml:space="preserve"> </w:t>
      </w:r>
      <w:r>
        <w:t xml:space="preserve">their </w:t>
      </w:r>
      <w:r w:rsidR="00E27D95">
        <w:t>estimate</w:t>
      </w:r>
      <w:r>
        <w:t>s</w:t>
      </w:r>
      <w:r w:rsidR="00E27D95">
        <w:t xml:space="preserve"> of </w:t>
      </w:r>
      <w:r w:rsidR="00D520D8">
        <w:t xml:space="preserve">any </w:t>
      </w:r>
      <w:r w:rsidR="006E2500">
        <w:t xml:space="preserve">reduction in costs under </w:t>
      </w:r>
      <w:r>
        <w:t xml:space="preserve">Option </w:t>
      </w:r>
      <w:r w:rsidR="006E2500">
        <w:t xml:space="preserve">2 and any </w:t>
      </w:r>
      <w:r w:rsidR="00E27D95">
        <w:t>increase</w:t>
      </w:r>
      <w:r w:rsidR="006E2500">
        <w:t xml:space="preserve"> in costs </w:t>
      </w:r>
      <w:r w:rsidR="00E27D95">
        <w:t>under Option 3</w:t>
      </w:r>
      <w:r w:rsidR="00B52CD7">
        <w:t>.</w:t>
      </w:r>
    </w:p>
    <w:p w:rsidR="00E01197" w:rsidRDefault="00E01197" w:rsidP="00E01197">
      <w:r w:rsidRPr="00596042">
        <w:t xml:space="preserve">Stakeholder submissions to this consultation will help us </w:t>
      </w:r>
      <w:r w:rsidR="003B24CC">
        <w:t>test th</w:t>
      </w:r>
      <w:r w:rsidR="00AD6F7C">
        <w:t xml:space="preserve">e above </w:t>
      </w:r>
      <w:r w:rsidR="003B24CC">
        <w:t>position</w:t>
      </w:r>
      <w:r w:rsidR="00AD6F7C">
        <w:t>s</w:t>
      </w:r>
      <w:r w:rsidRPr="00596042">
        <w:t xml:space="preserve"> and to recommend the most appropriate option to the Minister.</w:t>
      </w:r>
    </w:p>
    <w:p w:rsidR="002C17C8" w:rsidRDefault="00E01197" w:rsidP="00E01197">
      <w:r w:rsidRPr="00D77880">
        <w:t xml:space="preserve">The Office of Best Practice Regulation (OBPR) has advised that a Regulation Impact Statement (RIS) </w:t>
      </w:r>
      <w:r w:rsidR="00A45705">
        <w:t xml:space="preserve">may </w:t>
      </w:r>
      <w:r w:rsidR="00AD6F7C">
        <w:t xml:space="preserve">not be required as the </w:t>
      </w:r>
      <w:r w:rsidR="008321A7">
        <w:t xml:space="preserve">proposed </w:t>
      </w:r>
      <w:r w:rsidR="00AD6F7C">
        <w:t xml:space="preserve">changes are </w:t>
      </w:r>
      <w:r w:rsidR="00A45705">
        <w:t xml:space="preserve">likely to be </w:t>
      </w:r>
      <w:r w:rsidRPr="00D77880">
        <w:t>administrative and minor.</w:t>
      </w:r>
    </w:p>
    <w:p w:rsidR="009E5FC7" w:rsidRDefault="00E4197A" w:rsidP="0011213A">
      <w:pPr>
        <w:pStyle w:val="Numbered1"/>
        <w:keepNext/>
        <w:numPr>
          <w:ilvl w:val="0"/>
          <w:numId w:val="28"/>
        </w:numPr>
        <w:ind w:left="680" w:hanging="680"/>
      </w:pPr>
      <w:bookmarkStart w:id="361" w:name="_Toc453749371"/>
      <w:bookmarkStart w:id="362" w:name="_Toc463614227"/>
      <w:r>
        <w:lastRenderedPageBreak/>
        <w:t>C</w:t>
      </w:r>
      <w:r w:rsidR="009E5FC7" w:rsidRPr="002B2F74">
        <w:t>onsultation</w:t>
      </w:r>
      <w:r w:rsidR="009E5FC7">
        <w:t xml:space="preserve"> questions</w:t>
      </w:r>
      <w:bookmarkEnd w:id="361"/>
      <w:bookmarkEnd w:id="362"/>
    </w:p>
    <w:p w:rsidR="005A13AA" w:rsidRDefault="00F12C20" w:rsidP="005A13AA">
      <w:r>
        <w:rPr>
          <w:noProof/>
        </w:rPr>
        <w:pict>
          <v:shape id="Text Box 11" o:spid="_x0000_s1064" type="#_x0000_t202" style="position:absolute;margin-left:.6pt;margin-top:8.15pt;width:462.1pt;height:252.3pt;z-index:2516741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">
            <v:textbox style="mso-next-textbox:#Text Box 11">
              <w:txbxContent>
                <w:p w:rsidR="005A13AA" w:rsidRDefault="005A13AA" w:rsidP="005A13AA">
                  <w:r w:rsidRPr="00B110FC">
                    <w:t>Please consider the following questions when making a submission:</w:t>
                  </w:r>
                </w:p>
                <w:p w:rsidR="00230298" w:rsidRPr="00230298" w:rsidRDefault="00230298" w:rsidP="00230298">
                  <w:pPr>
                    <w:numPr>
                      <w:ilvl w:val="0"/>
                      <w:numId w:val="45"/>
                    </w:numPr>
                  </w:pPr>
                  <w:r w:rsidRPr="00230298">
                    <w:t>Should we exclude portable basketball systems from the</w:t>
                  </w:r>
                  <w:r w:rsidR="00E71D71">
                    <w:t xml:space="preserve"> mandatory safety standard, and</w:t>
                  </w:r>
                  <w:r w:rsidRPr="00230298">
                    <w:t xml:space="preserve"> why? </w:t>
                  </w:r>
                </w:p>
                <w:p w:rsidR="00230298" w:rsidRPr="00230298" w:rsidRDefault="00230298" w:rsidP="00230298">
                  <w:pPr>
                    <w:numPr>
                      <w:ilvl w:val="0"/>
                      <w:numId w:val="45"/>
                    </w:numPr>
                  </w:pPr>
                  <w:r w:rsidRPr="00230298">
                    <w:t>How much would this reduce compliance costs?</w:t>
                  </w:r>
                </w:p>
                <w:p w:rsidR="00230298" w:rsidRPr="00230298" w:rsidRDefault="00230298" w:rsidP="00230298">
                  <w:pPr>
                    <w:numPr>
                      <w:ilvl w:val="0"/>
                      <w:numId w:val="45"/>
                    </w:numPr>
                  </w:pPr>
                  <w:r w:rsidRPr="00230298">
                    <w:t>Should we require suppliers to provide safe installation instructions with traditional basketball rings and backboards, and why?</w:t>
                  </w:r>
                </w:p>
                <w:p w:rsidR="00230298" w:rsidRPr="00230298" w:rsidRDefault="00230298" w:rsidP="00230298">
                  <w:pPr>
                    <w:numPr>
                      <w:ilvl w:val="0"/>
                      <w:numId w:val="45"/>
                    </w:numPr>
                  </w:pPr>
                  <w:r w:rsidRPr="00230298">
                    <w:t>How much would this increase compliance costs?</w:t>
                  </w:r>
                </w:p>
                <w:p w:rsidR="00230298" w:rsidRPr="00230298" w:rsidRDefault="00230298" w:rsidP="00230298">
                  <w:pPr>
                    <w:numPr>
                      <w:ilvl w:val="0"/>
                      <w:numId w:val="45"/>
                    </w:numPr>
                  </w:pPr>
                  <w:r w:rsidRPr="00230298">
                    <w:t>Should suppliers improve the consumer warnings on traditional basketball rings and backboards?</w:t>
                  </w:r>
                </w:p>
                <w:p w:rsidR="00230298" w:rsidRPr="00230298" w:rsidRDefault="00230298" w:rsidP="00230298">
                  <w:pPr>
                    <w:numPr>
                      <w:ilvl w:val="0"/>
                      <w:numId w:val="45"/>
                    </w:numPr>
                  </w:pPr>
                  <w:r w:rsidRPr="00230298">
                    <w:t>What option do you prefer, and why?</w:t>
                  </w:r>
                </w:p>
                <w:p w:rsidR="00230298" w:rsidRPr="00230298" w:rsidRDefault="00230298" w:rsidP="00230298">
                  <w:pPr>
                    <w:numPr>
                      <w:ilvl w:val="0"/>
                      <w:numId w:val="45"/>
                    </w:numPr>
                  </w:pPr>
                  <w:r w:rsidRPr="00230298">
                    <w:t>Are there any other safety issues or policy options that the ACCC should consider?</w:t>
                  </w:r>
                </w:p>
                <w:p w:rsidR="00230298" w:rsidRPr="00230298" w:rsidRDefault="00230298" w:rsidP="00230298">
                  <w:pPr>
                    <w:numPr>
                      <w:ilvl w:val="0"/>
                      <w:numId w:val="45"/>
                    </w:numPr>
                  </w:pPr>
                  <w:r w:rsidRPr="00230298">
                    <w:t>Do you have any other comments?</w:t>
                  </w:r>
                </w:p>
                <w:p w:rsidR="00230298" w:rsidRDefault="00230298" w:rsidP="005A13AA">
                  <w:pPr>
                    <w:pStyle w:val="LegalNumbering"/>
                    <w:numPr>
                      <w:ilvl w:val="0"/>
                      <w:numId w:val="45"/>
                    </w:numPr>
                  </w:pPr>
                </w:p>
              </w:txbxContent>
            </v:textbox>
          </v:shape>
        </w:pict>
      </w:r>
    </w:p>
    <w:p w:rsidR="005A13AA" w:rsidRDefault="005A13AA" w:rsidP="005A13AA"/>
    <w:p w:rsidR="005A13AA" w:rsidRDefault="005A13AA" w:rsidP="005A13AA"/>
    <w:p w:rsidR="005A13AA" w:rsidRPr="005A13AA" w:rsidRDefault="005A13AA" w:rsidP="005A13AA"/>
    <w:p w:rsidR="005A13AA" w:rsidRDefault="005A13AA" w:rsidP="005A13AA"/>
    <w:p w:rsidR="005A13AA" w:rsidRDefault="005A13AA" w:rsidP="005A13AA"/>
    <w:p w:rsidR="005A13AA" w:rsidRDefault="005A13AA" w:rsidP="005A13AA"/>
    <w:p w:rsidR="005A13AA" w:rsidRDefault="005A13AA" w:rsidP="005A13AA"/>
    <w:p w:rsidR="005A13AA" w:rsidRPr="005A13AA" w:rsidRDefault="005A13AA" w:rsidP="005A13AA"/>
    <w:p w:rsidR="005A13AA" w:rsidRDefault="005A13AA" w:rsidP="005A13AA">
      <w:pPr>
        <w:pStyle w:val="LegalNumbering"/>
        <w:keepNext/>
        <w:numPr>
          <w:ilvl w:val="0"/>
          <w:numId w:val="29"/>
        </w:numPr>
        <w:pBdr>
          <w:top w:val="single" w:sz="4" w:space="1" w:color="auto"/>
          <w:left w:val="single" w:sz="4" w:space="15" w:color="auto"/>
          <w:bottom w:val="single" w:sz="4" w:space="1" w:color="auto"/>
          <w:right w:val="single" w:sz="4" w:space="4" w:color="auto"/>
        </w:pBdr>
      </w:pPr>
      <w:r>
        <w:t xml:space="preserve">Please consider the </w:t>
      </w:r>
    </w:p>
    <w:p w:rsidR="005A13AA" w:rsidRDefault="005A13AA" w:rsidP="005A13AA">
      <w:pPr>
        <w:pStyle w:val="Numbered1"/>
      </w:pPr>
      <w:bookmarkStart w:id="363" w:name="_Toc453749078"/>
      <w:bookmarkStart w:id="364" w:name="_Toc453749324"/>
    </w:p>
    <w:p w:rsidR="00BE0A1D" w:rsidRPr="005A60B4" w:rsidRDefault="00BE0A1D" w:rsidP="00630646">
      <w:pPr>
        <w:pStyle w:val="Numbered1"/>
        <w:numPr>
          <w:ilvl w:val="0"/>
          <w:numId w:val="28"/>
        </w:numPr>
        <w:ind w:left="680" w:hanging="680"/>
      </w:pPr>
      <w:bookmarkStart w:id="365" w:name="_Toc463614228"/>
      <w:r w:rsidRPr="005A60B4">
        <w:t xml:space="preserve">Have </w:t>
      </w:r>
      <w:r w:rsidRPr="00382011">
        <w:t>your</w:t>
      </w:r>
      <w:r w:rsidRPr="005A60B4">
        <w:t xml:space="preserve"> say</w:t>
      </w:r>
      <w:bookmarkEnd w:id="363"/>
      <w:bookmarkEnd w:id="364"/>
      <w:bookmarkEnd w:id="365"/>
    </w:p>
    <w:p w:rsidR="00EA5E10" w:rsidRDefault="00EA5E10" w:rsidP="00EA5E10">
      <w:r w:rsidRPr="002B2F74">
        <w:t>The ACCC invites</w:t>
      </w:r>
      <w:r>
        <w:t xml:space="preserve"> stakeholders and</w:t>
      </w:r>
      <w:r w:rsidRPr="002B2F74">
        <w:t xml:space="preserve"> interested parties to</w:t>
      </w:r>
      <w:r>
        <w:t xml:space="preserve"> comment on these policy options.</w:t>
      </w:r>
    </w:p>
    <w:p w:rsidR="00EA5E10" w:rsidRDefault="00EA5E10" w:rsidP="00EA5E10">
      <w:r>
        <w:t>Consultation is open fro</w:t>
      </w:r>
      <w:r w:rsidRPr="007F68F7">
        <w:t xml:space="preserve">m </w:t>
      </w:r>
      <w:r w:rsidR="00913C3B" w:rsidRPr="00D86B5D">
        <w:t>12</w:t>
      </w:r>
      <w:r w:rsidR="00E3793D" w:rsidRPr="00D86B5D">
        <w:t xml:space="preserve"> October</w:t>
      </w:r>
      <w:r w:rsidR="00EE32CD" w:rsidRPr="00D86B5D">
        <w:t xml:space="preserve"> 2016</w:t>
      </w:r>
      <w:r w:rsidR="00EE32CD" w:rsidRPr="00913C3B">
        <w:t xml:space="preserve"> to </w:t>
      </w:r>
      <w:r w:rsidR="00913C3B" w:rsidRPr="00D86B5D">
        <w:t>25</w:t>
      </w:r>
      <w:r w:rsidR="00E3793D" w:rsidRPr="00D86B5D">
        <w:t xml:space="preserve"> </w:t>
      </w:r>
      <w:r w:rsidR="00EE32CD" w:rsidRPr="00D86B5D">
        <w:t>November</w:t>
      </w:r>
      <w:r w:rsidR="007A1D6D">
        <w:t xml:space="preserve"> 2016</w:t>
      </w:r>
      <w:r w:rsidR="00EE32CD">
        <w:t>.</w:t>
      </w:r>
    </w:p>
    <w:p w:rsidR="00EA5E10" w:rsidRDefault="00EA5E10" w:rsidP="00EA5E10">
      <w:r>
        <w:t xml:space="preserve">The ACCC prefers submissions via the </w:t>
      </w:r>
      <w:r w:rsidRPr="0039574F">
        <w:t>ACCC consultation hub</w:t>
      </w:r>
      <w:r>
        <w:t xml:space="preserve"> at </w:t>
      </w:r>
      <w:hyperlink r:id="rId15" w:history="1">
        <w:r w:rsidRPr="00020736">
          <w:rPr>
            <w:rStyle w:val="Hyperlink"/>
          </w:rPr>
          <w:t>consultation.accc.gov.au</w:t>
        </w:r>
      </w:hyperlink>
      <w:r>
        <w:t xml:space="preserve">. </w:t>
      </w:r>
    </w:p>
    <w:p w:rsidR="00EA5E10" w:rsidRDefault="00EA5E10" w:rsidP="00EA5E10">
      <w:r>
        <w:t xml:space="preserve">The ACCC will </w:t>
      </w:r>
      <w:r w:rsidRPr="007A03C1">
        <w:t xml:space="preserve">alert stakeholders and interested parties to the consultation through the Product Safety Australia website </w:t>
      </w:r>
      <w:hyperlink r:id="rId16" w:history="1">
        <w:r w:rsidRPr="007A03C1">
          <w:rPr>
            <w:rStyle w:val="Hyperlink"/>
          </w:rPr>
          <w:t>www.productsafety.gov.au</w:t>
        </w:r>
      </w:hyperlink>
      <w:r w:rsidRPr="007A03C1">
        <w:t xml:space="preserve"> and </w:t>
      </w:r>
      <w:hyperlink r:id="rId17" w:history="1">
        <w:r w:rsidRPr="007A03C1">
          <w:rPr>
            <w:rStyle w:val="Hyperlink"/>
          </w:rPr>
          <w:t>business.gov.au</w:t>
        </w:r>
      </w:hyperlink>
      <w:r w:rsidRPr="007A03C1">
        <w:t>.</w:t>
      </w:r>
      <w:r>
        <w:t xml:space="preserve"> </w:t>
      </w:r>
    </w:p>
    <w:p w:rsidR="00EA5E10" w:rsidRDefault="00EA5E10" w:rsidP="00EA5E10">
      <w:r>
        <w:t xml:space="preserve">Alternatively, email submissions to </w:t>
      </w:r>
      <w:hyperlink r:id="rId18" w:history="1">
        <w:r w:rsidRPr="007556AB">
          <w:rPr>
            <w:rStyle w:val="Hyperlink"/>
          </w:rPr>
          <w:t>productsafety.regulation@accc.gov.au</w:t>
        </w:r>
      </w:hyperlink>
      <w:r>
        <w:t xml:space="preserve"> or via post:</w:t>
      </w:r>
    </w:p>
    <w:p w:rsidR="00EA5E10" w:rsidRDefault="00EA5E10" w:rsidP="00EA5E10">
      <w:pPr>
        <w:ind w:left="340"/>
      </w:pPr>
      <w:r>
        <w:t>Director</w:t>
      </w:r>
      <w:r>
        <w:br/>
      </w:r>
      <w:r w:rsidRPr="00A07FB8">
        <w:t>Standards</w:t>
      </w:r>
      <w:r>
        <w:t xml:space="preserve"> and Policy</w:t>
      </w:r>
      <w:r>
        <w:br/>
        <w:t>Consumer Product Safety Branch</w:t>
      </w:r>
      <w:r>
        <w:br/>
        <w:t>Australian Competition and Consumer Commission</w:t>
      </w:r>
      <w:r>
        <w:br/>
        <w:t>GPO Box 3131</w:t>
      </w:r>
      <w:r>
        <w:br/>
        <w:t>CANBERRA ACT 2601</w:t>
      </w:r>
    </w:p>
    <w:p w:rsidR="005E368E" w:rsidRDefault="00E01197" w:rsidP="005E368E">
      <w:pPr>
        <w:pStyle w:val="Numbered1"/>
      </w:pPr>
      <w:r>
        <w:rPr>
          <w:rFonts w:eastAsia="Calibri"/>
          <w:b/>
        </w:rPr>
        <w:br w:type="page"/>
      </w:r>
      <w:bookmarkStart w:id="366" w:name="_Toc463614229"/>
      <w:r w:rsidR="005E368E">
        <w:lastRenderedPageBreak/>
        <w:t xml:space="preserve">Appendix A </w:t>
      </w:r>
      <w:r w:rsidR="00D87354" w:rsidRPr="00297D3B">
        <w:t>-</w:t>
      </w:r>
      <w:r w:rsidR="005E368E">
        <w:t xml:space="preserve"> Basketball ring</w:t>
      </w:r>
      <w:r w:rsidR="00AF6BF8">
        <w:t>s</w:t>
      </w:r>
      <w:r w:rsidR="005E368E">
        <w:t xml:space="preserve"> and backboard</w:t>
      </w:r>
      <w:r w:rsidR="00AF6BF8">
        <w:t>s</w:t>
      </w:r>
      <w:r w:rsidR="005E368E">
        <w:t xml:space="preserve"> injuries</w:t>
      </w:r>
      <w:bookmarkEnd w:id="366"/>
    </w:p>
    <w:p w:rsidR="005E368E" w:rsidRDefault="005E368E" w:rsidP="005E368E">
      <w:r>
        <w:t>Source: a</w:t>
      </w:r>
      <w:r w:rsidRPr="000716FE">
        <w:t xml:space="preserve"> </w:t>
      </w:r>
      <w:r w:rsidR="002E1280">
        <w:t>2013</w:t>
      </w:r>
      <w:r>
        <w:t xml:space="preserve"> </w:t>
      </w:r>
      <w:r w:rsidRPr="000716FE">
        <w:t>Victorian Injury Surveillance Unit (VISU)</w:t>
      </w:r>
      <w:r>
        <w:t xml:space="preserve"> report</w:t>
      </w:r>
    </w:p>
    <w:p w:rsidR="005E368E" w:rsidRDefault="005E368E" w:rsidP="005E368E">
      <w:r w:rsidRPr="000716FE">
        <w:t xml:space="preserve">The report </w:t>
      </w:r>
      <w:r>
        <w:t xml:space="preserve">does not distinguish between </w:t>
      </w:r>
      <w:r w:rsidRPr="000716FE">
        <w:t>portable basketball systems</w:t>
      </w:r>
      <w:r>
        <w:t xml:space="preserve"> and traditional basketball rings and backboards</w:t>
      </w:r>
      <w:r w:rsidRPr="000716FE">
        <w:t>.</w:t>
      </w:r>
    </w:p>
    <w:p w:rsidR="005E368E" w:rsidRPr="000716FE" w:rsidRDefault="005E368E" w:rsidP="005E368E">
      <w:r w:rsidRPr="000716FE">
        <w:t xml:space="preserve">The </w:t>
      </w:r>
      <w:r>
        <w:t>report</w:t>
      </w:r>
      <w:r w:rsidRPr="000716FE">
        <w:t xml:space="preserve"> provides the following key injury statistics</w:t>
      </w:r>
      <w:r>
        <w:t>:</w:t>
      </w:r>
    </w:p>
    <w:p w:rsidR="005E368E" w:rsidRPr="000716FE" w:rsidRDefault="005E368E" w:rsidP="00D86B5D">
      <w:pPr>
        <w:pStyle w:val="Heading4"/>
      </w:pPr>
      <w:bookmarkStart w:id="367" w:name="_Toc460425490"/>
      <w:bookmarkStart w:id="368" w:name="_Toc463601301"/>
      <w:bookmarkStart w:id="369" w:name="_Toc463603354"/>
      <w:bookmarkStart w:id="370" w:name="_Toc463605676"/>
      <w:bookmarkStart w:id="371" w:name="_Toc463614230"/>
      <w:r>
        <w:t>Annual i</w:t>
      </w:r>
      <w:r w:rsidRPr="000716FE">
        <w:t>njury rates</w:t>
      </w:r>
      <w:bookmarkEnd w:id="367"/>
      <w:bookmarkEnd w:id="368"/>
      <w:bookmarkEnd w:id="369"/>
      <w:bookmarkEnd w:id="370"/>
      <w:bookmarkEnd w:id="371"/>
    </w:p>
    <w:p w:rsidR="005E368E" w:rsidRPr="000716FE" w:rsidRDefault="005E368E" w:rsidP="005E368E">
      <w:pPr>
        <w:pStyle w:val="Bulletpoint"/>
        <w:keepNext/>
        <w:rPr>
          <w:lang w:val="en-GB"/>
        </w:rPr>
      </w:pPr>
      <w:r>
        <w:rPr>
          <w:lang w:val="en-GB"/>
        </w:rPr>
        <w:t>Before</w:t>
      </w:r>
      <w:r w:rsidRPr="000716FE">
        <w:rPr>
          <w:lang w:val="en-GB"/>
        </w:rPr>
        <w:t xml:space="preserve"> July 2005</w:t>
      </w:r>
      <w:r>
        <w:rPr>
          <w:lang w:val="en-GB"/>
        </w:rPr>
        <w:t>,</w:t>
      </w:r>
      <w:r w:rsidRPr="000716FE">
        <w:rPr>
          <w:lang w:val="en-GB"/>
        </w:rPr>
        <w:t xml:space="preserve"> there was an average of 13 injuries per year in Victoria</w:t>
      </w:r>
      <w:r>
        <w:rPr>
          <w:lang w:val="en-GB"/>
        </w:rPr>
        <w:t>.</w:t>
      </w:r>
    </w:p>
    <w:p w:rsidR="005E368E" w:rsidRPr="000716FE" w:rsidRDefault="005E368E" w:rsidP="005E368E">
      <w:pPr>
        <w:pStyle w:val="Bulletpoint"/>
        <w:keepNext/>
        <w:rPr>
          <w:lang w:val="en-GB"/>
        </w:rPr>
      </w:pPr>
      <w:r>
        <w:rPr>
          <w:lang w:val="en-GB"/>
        </w:rPr>
        <w:t>A</w:t>
      </w:r>
      <w:r w:rsidRPr="000716FE">
        <w:rPr>
          <w:lang w:val="en-GB"/>
        </w:rPr>
        <w:t>fter July 2005</w:t>
      </w:r>
      <w:r>
        <w:rPr>
          <w:lang w:val="en-GB"/>
        </w:rPr>
        <w:t>,</w:t>
      </w:r>
      <w:r w:rsidRPr="000716FE">
        <w:rPr>
          <w:lang w:val="en-GB"/>
        </w:rPr>
        <w:t xml:space="preserve"> there has been an average of 20 injuries per year in Victoria</w:t>
      </w:r>
      <w:r>
        <w:rPr>
          <w:lang w:val="en-GB"/>
        </w:rPr>
        <w:t>.</w:t>
      </w:r>
    </w:p>
    <w:p w:rsidR="005E368E" w:rsidRPr="000716FE" w:rsidRDefault="005E368E" w:rsidP="00D86B5D">
      <w:pPr>
        <w:pStyle w:val="Heading4"/>
      </w:pPr>
      <w:bookmarkStart w:id="372" w:name="_Toc460425491"/>
      <w:bookmarkStart w:id="373" w:name="_Toc463601302"/>
      <w:bookmarkStart w:id="374" w:name="_Toc463603355"/>
      <w:bookmarkStart w:id="375" w:name="_Toc463605677"/>
      <w:bookmarkStart w:id="376" w:name="_Toc463614231"/>
      <w:r w:rsidRPr="000716FE">
        <w:t>Location of injury</w:t>
      </w:r>
      <w:bookmarkEnd w:id="372"/>
      <w:bookmarkEnd w:id="373"/>
      <w:bookmarkEnd w:id="374"/>
      <w:bookmarkEnd w:id="375"/>
      <w:bookmarkEnd w:id="376"/>
    </w:p>
    <w:p w:rsidR="00A800C4" w:rsidRDefault="00A800C4" w:rsidP="00A800C4">
      <w:pPr>
        <w:pStyle w:val="Bulletpoint"/>
        <w:keepNext/>
        <w:rPr>
          <w:lang w:val="en-GB"/>
        </w:rPr>
      </w:pPr>
      <w:r>
        <w:rPr>
          <w:lang w:val="en-GB"/>
        </w:rPr>
        <w:t>38 per cent</w:t>
      </w:r>
      <w:r w:rsidRPr="000716FE">
        <w:rPr>
          <w:lang w:val="en-GB"/>
        </w:rPr>
        <w:t xml:space="preserve"> occurred in sports arenas</w:t>
      </w:r>
      <w:r>
        <w:rPr>
          <w:lang w:val="en-GB"/>
        </w:rPr>
        <w:t xml:space="preserve"> or </w:t>
      </w:r>
      <w:r w:rsidRPr="000716FE">
        <w:rPr>
          <w:lang w:val="en-GB"/>
        </w:rPr>
        <w:t>basketball courts</w:t>
      </w:r>
    </w:p>
    <w:p w:rsidR="005E368E" w:rsidRPr="000716FE" w:rsidRDefault="004B1591" w:rsidP="005E368E">
      <w:pPr>
        <w:pStyle w:val="Bulletpoint"/>
        <w:keepNext/>
        <w:rPr>
          <w:lang w:val="en-GB"/>
        </w:rPr>
      </w:pPr>
      <w:r>
        <w:rPr>
          <w:lang w:val="en-GB"/>
        </w:rPr>
        <w:t>3</w:t>
      </w:r>
      <w:r w:rsidR="006F5525">
        <w:rPr>
          <w:lang w:val="en-GB"/>
        </w:rPr>
        <w:t>8</w:t>
      </w:r>
      <w:r w:rsidR="005E368E">
        <w:rPr>
          <w:lang w:val="en-GB"/>
        </w:rPr>
        <w:t xml:space="preserve"> per cent</w:t>
      </w:r>
      <w:r w:rsidR="005E368E" w:rsidRPr="000716FE">
        <w:rPr>
          <w:lang w:val="en-GB"/>
        </w:rPr>
        <w:t xml:space="preserve"> occurred at home</w:t>
      </w:r>
    </w:p>
    <w:p w:rsidR="004B1591" w:rsidRDefault="004B1591" w:rsidP="005E368E">
      <w:pPr>
        <w:pStyle w:val="Bulletpoint"/>
        <w:keepNext/>
        <w:rPr>
          <w:lang w:val="en-GB"/>
        </w:rPr>
      </w:pPr>
      <w:r>
        <w:rPr>
          <w:lang w:val="en-GB"/>
        </w:rPr>
        <w:t>10 per cent occurred at schools and other educational institutions</w:t>
      </w:r>
    </w:p>
    <w:p w:rsidR="004B1591" w:rsidRPr="000716FE" w:rsidRDefault="004B1591" w:rsidP="005E368E">
      <w:pPr>
        <w:pStyle w:val="Bulletpoint"/>
        <w:keepNext/>
        <w:rPr>
          <w:lang w:val="en-GB"/>
        </w:rPr>
      </w:pPr>
      <w:r>
        <w:rPr>
          <w:lang w:val="en-GB"/>
        </w:rPr>
        <w:t>14 per cent occurred in other settings</w:t>
      </w:r>
    </w:p>
    <w:p w:rsidR="005E368E" w:rsidRPr="000716FE" w:rsidRDefault="005E368E" w:rsidP="00D86B5D">
      <w:pPr>
        <w:pStyle w:val="Heading4"/>
      </w:pPr>
      <w:bookmarkStart w:id="377" w:name="_Toc460425492"/>
      <w:bookmarkStart w:id="378" w:name="_Toc463601303"/>
      <w:bookmarkStart w:id="379" w:name="_Toc463603356"/>
      <w:bookmarkStart w:id="380" w:name="_Toc463605678"/>
      <w:bookmarkStart w:id="381" w:name="_Toc463614232"/>
      <w:r w:rsidRPr="000716FE">
        <w:t>Mechanism of injury</w:t>
      </w:r>
      <w:bookmarkEnd w:id="377"/>
      <w:bookmarkEnd w:id="378"/>
      <w:bookmarkEnd w:id="379"/>
      <w:bookmarkEnd w:id="380"/>
      <w:bookmarkEnd w:id="381"/>
    </w:p>
    <w:p w:rsidR="005E368E" w:rsidRPr="000716FE" w:rsidRDefault="005E368E" w:rsidP="005E368E">
      <w:pPr>
        <w:pStyle w:val="Bulletpoint"/>
        <w:keepNext/>
        <w:rPr>
          <w:lang w:val="en-GB"/>
        </w:rPr>
      </w:pPr>
      <w:r w:rsidRPr="000716FE">
        <w:rPr>
          <w:lang w:val="en-GB"/>
        </w:rPr>
        <w:t>28</w:t>
      </w:r>
      <w:r>
        <w:rPr>
          <w:lang w:val="en-GB"/>
        </w:rPr>
        <w:t xml:space="preserve"> per cent</w:t>
      </w:r>
      <w:r w:rsidRPr="000716FE">
        <w:rPr>
          <w:lang w:val="en-GB"/>
        </w:rPr>
        <w:t xml:space="preserve"> occurred </w:t>
      </w:r>
      <w:r>
        <w:rPr>
          <w:lang w:val="en-GB"/>
        </w:rPr>
        <w:t>when</w:t>
      </w:r>
      <w:r w:rsidRPr="000716FE">
        <w:rPr>
          <w:lang w:val="en-GB"/>
        </w:rPr>
        <w:t xml:space="preserve"> the basketball ring</w:t>
      </w:r>
      <w:r>
        <w:rPr>
          <w:lang w:val="en-GB"/>
        </w:rPr>
        <w:t xml:space="preserve"> or </w:t>
      </w:r>
      <w:r w:rsidRPr="000716FE">
        <w:rPr>
          <w:lang w:val="en-GB"/>
        </w:rPr>
        <w:t xml:space="preserve">backboard </w:t>
      </w:r>
      <w:r>
        <w:rPr>
          <w:lang w:val="en-GB"/>
        </w:rPr>
        <w:t>fell</w:t>
      </w:r>
      <w:r w:rsidRPr="000716FE">
        <w:rPr>
          <w:lang w:val="en-GB"/>
        </w:rPr>
        <w:t xml:space="preserve"> onto the user</w:t>
      </w:r>
    </w:p>
    <w:p w:rsidR="005E368E" w:rsidRPr="000716FE" w:rsidRDefault="005E368E" w:rsidP="005E368E">
      <w:pPr>
        <w:pStyle w:val="Bulletpoint"/>
        <w:keepNext/>
        <w:rPr>
          <w:lang w:val="en-GB"/>
        </w:rPr>
      </w:pPr>
      <w:r w:rsidRPr="000716FE">
        <w:rPr>
          <w:lang w:val="en-GB"/>
        </w:rPr>
        <w:t>26</w:t>
      </w:r>
      <w:r>
        <w:rPr>
          <w:lang w:val="en-GB"/>
        </w:rPr>
        <w:t xml:space="preserve"> per cent</w:t>
      </w:r>
      <w:r w:rsidRPr="000716FE">
        <w:rPr>
          <w:lang w:val="en-GB"/>
        </w:rPr>
        <w:t xml:space="preserve"> occurred when a user fell onto or against a basketball ring</w:t>
      </w:r>
      <w:r>
        <w:rPr>
          <w:lang w:val="en-GB"/>
        </w:rPr>
        <w:t xml:space="preserve"> or </w:t>
      </w:r>
      <w:r w:rsidRPr="000716FE">
        <w:rPr>
          <w:lang w:val="en-GB"/>
        </w:rPr>
        <w:t>backboard</w:t>
      </w:r>
    </w:p>
    <w:p w:rsidR="005E368E" w:rsidRPr="000716FE" w:rsidRDefault="005E368E" w:rsidP="00D86B5D">
      <w:pPr>
        <w:pStyle w:val="Heading4"/>
      </w:pPr>
      <w:bookmarkStart w:id="382" w:name="_Toc463601304"/>
      <w:bookmarkStart w:id="383" w:name="_Toc463603357"/>
      <w:bookmarkStart w:id="384" w:name="_Toc463605679"/>
      <w:bookmarkStart w:id="385" w:name="_Toc463614233"/>
      <w:bookmarkStart w:id="386" w:name="_Toc460425493"/>
      <w:r>
        <w:t>Nature of</w:t>
      </w:r>
      <w:r w:rsidRPr="000716FE">
        <w:t xml:space="preserve"> </w:t>
      </w:r>
      <w:r>
        <w:t>treatment</w:t>
      </w:r>
      <w:bookmarkEnd w:id="382"/>
      <w:bookmarkEnd w:id="383"/>
      <w:bookmarkEnd w:id="384"/>
      <w:bookmarkEnd w:id="385"/>
    </w:p>
    <w:p w:rsidR="005E368E" w:rsidRDefault="005E368E" w:rsidP="005E368E">
      <w:pPr>
        <w:pStyle w:val="Bulletpoint"/>
        <w:keepNext/>
        <w:rPr>
          <w:lang w:val="en-GB"/>
        </w:rPr>
      </w:pPr>
      <w:r>
        <w:rPr>
          <w:lang w:val="en-GB"/>
        </w:rPr>
        <w:t>11 per cent</w:t>
      </w:r>
      <w:r w:rsidRPr="000716FE">
        <w:rPr>
          <w:lang w:val="en-GB"/>
        </w:rPr>
        <w:t xml:space="preserve"> </w:t>
      </w:r>
      <w:r>
        <w:rPr>
          <w:lang w:val="en-GB"/>
        </w:rPr>
        <w:t>were admitted to hospital for treatment</w:t>
      </w:r>
    </w:p>
    <w:p w:rsidR="005E368E" w:rsidRPr="000716FE" w:rsidRDefault="005E368E" w:rsidP="005E368E">
      <w:pPr>
        <w:pStyle w:val="Bulletpoint"/>
        <w:keepNext/>
        <w:rPr>
          <w:lang w:val="en-GB"/>
        </w:rPr>
      </w:pPr>
      <w:r>
        <w:rPr>
          <w:lang w:val="en-GB"/>
        </w:rPr>
        <w:t>89 per cent were treated in the emergency department and sent home</w:t>
      </w:r>
    </w:p>
    <w:p w:rsidR="005E368E" w:rsidRPr="000716FE" w:rsidRDefault="005E368E" w:rsidP="00D86B5D">
      <w:pPr>
        <w:pStyle w:val="Heading4"/>
      </w:pPr>
      <w:bookmarkStart w:id="387" w:name="_Toc463601305"/>
      <w:bookmarkStart w:id="388" w:name="_Toc463603358"/>
      <w:bookmarkStart w:id="389" w:name="_Toc463605680"/>
      <w:bookmarkStart w:id="390" w:name="_Toc463614234"/>
      <w:r w:rsidRPr="000716FE">
        <w:t>Nature of injury</w:t>
      </w:r>
      <w:bookmarkEnd w:id="386"/>
      <w:bookmarkEnd w:id="387"/>
      <w:bookmarkEnd w:id="388"/>
      <w:bookmarkEnd w:id="389"/>
      <w:bookmarkEnd w:id="390"/>
    </w:p>
    <w:p w:rsidR="005E368E" w:rsidRPr="000716FE" w:rsidRDefault="005E368E" w:rsidP="005E368E">
      <w:pPr>
        <w:pStyle w:val="Bulletpoint"/>
        <w:keepNext/>
        <w:rPr>
          <w:lang w:val="en-GB"/>
        </w:rPr>
      </w:pPr>
      <w:r w:rsidRPr="000716FE">
        <w:rPr>
          <w:lang w:val="en-GB"/>
        </w:rPr>
        <w:t>39</w:t>
      </w:r>
      <w:r>
        <w:rPr>
          <w:lang w:val="en-GB"/>
        </w:rPr>
        <w:t xml:space="preserve"> per cent</w:t>
      </w:r>
      <w:r w:rsidRPr="000716FE">
        <w:rPr>
          <w:lang w:val="en-GB"/>
        </w:rPr>
        <w:t xml:space="preserve"> </w:t>
      </w:r>
      <w:r>
        <w:rPr>
          <w:lang w:val="en-GB"/>
        </w:rPr>
        <w:t>were open wounds</w:t>
      </w:r>
    </w:p>
    <w:p w:rsidR="005E368E" w:rsidRPr="000716FE" w:rsidRDefault="005E368E" w:rsidP="005E368E">
      <w:pPr>
        <w:pStyle w:val="Bulletpoint"/>
        <w:keepNext/>
        <w:rPr>
          <w:lang w:val="en-GB"/>
        </w:rPr>
      </w:pPr>
      <w:r w:rsidRPr="000716FE">
        <w:rPr>
          <w:lang w:val="en-GB"/>
        </w:rPr>
        <w:t>21</w:t>
      </w:r>
      <w:r>
        <w:rPr>
          <w:lang w:val="en-GB"/>
        </w:rPr>
        <w:t xml:space="preserve"> per cent</w:t>
      </w:r>
      <w:r w:rsidRPr="000716FE">
        <w:rPr>
          <w:lang w:val="en-GB"/>
        </w:rPr>
        <w:t xml:space="preserve"> </w:t>
      </w:r>
      <w:r>
        <w:rPr>
          <w:lang w:val="en-GB"/>
        </w:rPr>
        <w:t>were fractures</w:t>
      </w:r>
    </w:p>
    <w:p w:rsidR="005E368E" w:rsidRPr="000716FE" w:rsidRDefault="005E368E" w:rsidP="005E368E">
      <w:pPr>
        <w:pStyle w:val="Bulletpoint"/>
        <w:keepNext/>
        <w:rPr>
          <w:lang w:val="en-GB"/>
        </w:rPr>
      </w:pPr>
      <w:r w:rsidRPr="000716FE">
        <w:rPr>
          <w:lang w:val="en-GB"/>
        </w:rPr>
        <w:t>13</w:t>
      </w:r>
      <w:r>
        <w:rPr>
          <w:lang w:val="en-GB"/>
        </w:rPr>
        <w:t xml:space="preserve"> per cent</w:t>
      </w:r>
      <w:r w:rsidRPr="000716FE">
        <w:rPr>
          <w:lang w:val="en-GB"/>
        </w:rPr>
        <w:t xml:space="preserve"> </w:t>
      </w:r>
      <w:r>
        <w:rPr>
          <w:lang w:val="en-GB"/>
        </w:rPr>
        <w:t>were d</w:t>
      </w:r>
      <w:r w:rsidRPr="000716FE">
        <w:rPr>
          <w:lang w:val="en-GB"/>
        </w:rPr>
        <w:t>i</w:t>
      </w:r>
      <w:r>
        <w:rPr>
          <w:lang w:val="en-GB"/>
        </w:rPr>
        <w:t>slocations, sprains and strains</w:t>
      </w:r>
    </w:p>
    <w:p w:rsidR="005E368E" w:rsidRPr="000716FE" w:rsidRDefault="005E368E" w:rsidP="005E368E">
      <w:pPr>
        <w:pStyle w:val="Bulletpoint"/>
        <w:keepNext/>
        <w:rPr>
          <w:lang w:val="en-GB"/>
        </w:rPr>
      </w:pPr>
      <w:r w:rsidRPr="000716FE">
        <w:rPr>
          <w:lang w:val="en-GB"/>
        </w:rPr>
        <w:t>5</w:t>
      </w:r>
      <w:r>
        <w:rPr>
          <w:lang w:val="en-GB"/>
        </w:rPr>
        <w:t xml:space="preserve"> per cent</w:t>
      </w:r>
      <w:r w:rsidRPr="000716FE">
        <w:rPr>
          <w:lang w:val="en-GB"/>
        </w:rPr>
        <w:t xml:space="preserve"> </w:t>
      </w:r>
      <w:r>
        <w:rPr>
          <w:lang w:val="en-GB"/>
        </w:rPr>
        <w:t>were intracranial injuries</w:t>
      </w:r>
    </w:p>
    <w:p w:rsidR="005E368E" w:rsidRPr="000716FE" w:rsidRDefault="005E368E" w:rsidP="00D86B5D">
      <w:pPr>
        <w:pStyle w:val="Heading4"/>
      </w:pPr>
      <w:bookmarkStart w:id="391" w:name="_Toc460425494"/>
      <w:bookmarkStart w:id="392" w:name="_Toc463601306"/>
      <w:bookmarkStart w:id="393" w:name="_Toc463603359"/>
      <w:bookmarkStart w:id="394" w:name="_Toc463605681"/>
      <w:bookmarkStart w:id="395" w:name="_Toc463614235"/>
      <w:r w:rsidRPr="000716FE">
        <w:t>Body region injured</w:t>
      </w:r>
      <w:bookmarkEnd w:id="391"/>
      <w:bookmarkEnd w:id="392"/>
      <w:bookmarkEnd w:id="393"/>
      <w:bookmarkEnd w:id="394"/>
      <w:bookmarkEnd w:id="395"/>
    </w:p>
    <w:p w:rsidR="005E368E" w:rsidRPr="000716FE" w:rsidRDefault="005E368E" w:rsidP="005E368E">
      <w:pPr>
        <w:pStyle w:val="Bulletpoint"/>
        <w:keepNext/>
        <w:rPr>
          <w:lang w:val="en-GB"/>
        </w:rPr>
      </w:pPr>
      <w:r w:rsidRPr="000716FE">
        <w:rPr>
          <w:lang w:val="en-GB"/>
        </w:rPr>
        <w:t>39</w:t>
      </w:r>
      <w:r>
        <w:rPr>
          <w:lang w:val="en-GB"/>
        </w:rPr>
        <w:t xml:space="preserve"> per cent</w:t>
      </w:r>
      <w:r w:rsidRPr="000716FE">
        <w:rPr>
          <w:lang w:val="en-GB"/>
        </w:rPr>
        <w:t xml:space="preserve"> were to the head</w:t>
      </w:r>
      <w:r>
        <w:rPr>
          <w:lang w:val="en-GB"/>
        </w:rPr>
        <w:t xml:space="preserve">, </w:t>
      </w:r>
      <w:r w:rsidRPr="000716FE">
        <w:rPr>
          <w:lang w:val="en-GB"/>
        </w:rPr>
        <w:t>face</w:t>
      </w:r>
      <w:r>
        <w:rPr>
          <w:lang w:val="en-GB"/>
        </w:rPr>
        <w:t xml:space="preserve"> or </w:t>
      </w:r>
      <w:r w:rsidRPr="000716FE">
        <w:rPr>
          <w:lang w:val="en-GB"/>
        </w:rPr>
        <w:t>neck</w:t>
      </w:r>
    </w:p>
    <w:p w:rsidR="005E368E" w:rsidRPr="000716FE" w:rsidRDefault="005E368E" w:rsidP="005E368E">
      <w:pPr>
        <w:pStyle w:val="Bulletpoint"/>
        <w:keepNext/>
        <w:rPr>
          <w:lang w:val="en-GB"/>
        </w:rPr>
      </w:pPr>
      <w:r w:rsidRPr="000716FE">
        <w:rPr>
          <w:lang w:val="en-GB"/>
        </w:rPr>
        <w:t>36</w:t>
      </w:r>
      <w:r>
        <w:rPr>
          <w:lang w:val="en-GB"/>
        </w:rPr>
        <w:t xml:space="preserve"> per cent</w:t>
      </w:r>
      <w:r w:rsidRPr="000716FE">
        <w:rPr>
          <w:lang w:val="en-GB"/>
        </w:rPr>
        <w:t xml:space="preserve"> were to the wrist</w:t>
      </w:r>
      <w:r>
        <w:rPr>
          <w:lang w:val="en-GB"/>
        </w:rPr>
        <w:t xml:space="preserve"> or </w:t>
      </w:r>
      <w:r w:rsidRPr="000716FE">
        <w:rPr>
          <w:lang w:val="en-GB"/>
        </w:rPr>
        <w:t>hand</w:t>
      </w:r>
    </w:p>
    <w:p w:rsidR="005E368E" w:rsidRDefault="005E368E" w:rsidP="005E368E">
      <w:pPr>
        <w:pStyle w:val="Bulletpoint"/>
        <w:keepNext/>
        <w:rPr>
          <w:lang w:val="en-GB"/>
        </w:rPr>
      </w:pPr>
      <w:r w:rsidRPr="000716FE">
        <w:rPr>
          <w:lang w:val="en-GB"/>
        </w:rPr>
        <w:t>10</w:t>
      </w:r>
      <w:r>
        <w:rPr>
          <w:lang w:val="en-GB"/>
        </w:rPr>
        <w:t xml:space="preserve"> per cent</w:t>
      </w:r>
      <w:r w:rsidRPr="000716FE">
        <w:rPr>
          <w:lang w:val="en-GB"/>
        </w:rPr>
        <w:t xml:space="preserve"> were to the elbow</w:t>
      </w:r>
      <w:r>
        <w:rPr>
          <w:lang w:val="en-GB"/>
        </w:rPr>
        <w:t xml:space="preserve"> or </w:t>
      </w:r>
      <w:r w:rsidRPr="000716FE">
        <w:rPr>
          <w:lang w:val="en-GB"/>
        </w:rPr>
        <w:t>forearm</w:t>
      </w:r>
      <w:r>
        <w:rPr>
          <w:lang w:val="en-GB"/>
        </w:rPr>
        <w:t>.</w:t>
      </w:r>
    </w:p>
    <w:p w:rsidR="007D422D" w:rsidRDefault="007D422D" w:rsidP="007D422D">
      <w:pPr>
        <w:pStyle w:val="Numbered1"/>
      </w:pPr>
      <w:r>
        <w:rPr>
          <w:rFonts w:eastAsia="Calibri"/>
        </w:rPr>
        <w:br w:type="page"/>
      </w:r>
      <w:bookmarkStart w:id="396" w:name="_Toc463614236"/>
      <w:r>
        <w:lastRenderedPageBreak/>
        <w:t xml:space="preserve">Appendix B </w:t>
      </w:r>
      <w:r w:rsidR="00D87354" w:rsidRPr="00297D3B">
        <w:t>-</w:t>
      </w:r>
      <w:r>
        <w:t xml:space="preserve"> ACCC 2005 Safety Alert</w:t>
      </w:r>
      <w:bookmarkEnd w:id="396"/>
    </w:p>
    <w:p w:rsidR="0066471C" w:rsidRDefault="0066471C" w:rsidP="00D86B5D">
      <w:r>
        <w:t>(Part 1 of 2)</w:t>
      </w:r>
    </w:p>
    <w:p w:rsidR="00E866D0" w:rsidRDefault="0066471C" w:rsidP="00D86B5D">
      <w:r>
        <w:object w:dxaOrig="14070" w:dyaOrig="21255">
          <v:shape id="_x0000_i1028" type="#_x0000_t75" style="width:416.25pt;height:627.75pt" o:ole="">
            <v:imagedata r:id="rId19" o:title=""/>
          </v:shape>
          <o:OLEObject Type="Embed" ProgID="AcroExch.Document.11" ShapeID="_x0000_i1028" DrawAspect="Content" ObjectID="_1537782267" r:id="rId20"/>
        </w:object>
      </w:r>
    </w:p>
    <w:p w:rsidR="0066471C" w:rsidRDefault="0066471C" w:rsidP="00D86B5D">
      <w:r>
        <w:lastRenderedPageBreak/>
        <w:t>(Part 2 of 2)</w:t>
      </w:r>
    </w:p>
    <w:p w:rsidR="0066471C" w:rsidRDefault="0066471C" w:rsidP="00D86B5D">
      <w:r>
        <w:object w:dxaOrig="7185" w:dyaOrig="21255">
          <v:shape id="_x0000_i1029" type="#_x0000_t75" style="width:225.75pt;height:670.5pt" o:ole="">
            <v:imagedata r:id="rId21" o:title=""/>
          </v:shape>
          <o:OLEObject Type="Embed" ProgID="AcroExch.Document.11" ShapeID="_x0000_i1029" DrawAspect="Content" ObjectID="_1537782268" r:id="rId22"/>
        </w:object>
      </w:r>
    </w:p>
    <w:p w:rsidR="00DC65CF" w:rsidRDefault="005E368E" w:rsidP="00BF2D2D">
      <w:pPr>
        <w:pStyle w:val="Numbered1"/>
        <w:rPr>
          <w:rFonts w:eastAsia="Calibri"/>
        </w:rPr>
      </w:pPr>
      <w:r>
        <w:rPr>
          <w:rFonts w:eastAsia="Calibri"/>
        </w:rPr>
        <w:br w:type="page"/>
      </w:r>
      <w:bookmarkStart w:id="397" w:name="_Toc463614237"/>
      <w:r w:rsidR="00DC65CF" w:rsidRPr="00382011">
        <w:rPr>
          <w:rFonts w:eastAsia="Calibri"/>
        </w:rPr>
        <w:lastRenderedPageBreak/>
        <w:t>Glossary</w:t>
      </w:r>
      <w:bookmarkEnd w:id="397"/>
    </w:p>
    <w:p w:rsidR="00BF2D2D" w:rsidRPr="00BF2D2D" w:rsidRDefault="00BF2D2D" w:rsidP="00BF2D2D"/>
    <w:tbl>
      <w:tblPr>
        <w:tblW w:w="0" w:type="auto"/>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Look w:val="04A0" w:firstRow="1" w:lastRow="0" w:firstColumn="1" w:lastColumn="0" w:noHBand="0" w:noVBand="1"/>
      </w:tblPr>
      <w:tblGrid>
        <w:gridCol w:w="3227"/>
        <w:gridCol w:w="6015"/>
      </w:tblGrid>
      <w:tr w:rsidR="00DC65CF" w:rsidTr="000E0975">
        <w:tc>
          <w:tcPr>
            <w:tcW w:w="3227"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382011" w:rsidRDefault="00DC65CF" w:rsidP="007F469E">
            <w:pPr>
              <w:spacing w:after="120"/>
              <w:rPr>
                <w:b/>
                <w:bCs/>
                <w:sz w:val="20"/>
                <w:szCs w:val="20"/>
              </w:rPr>
            </w:pPr>
            <w:r w:rsidRPr="00382011">
              <w:rPr>
                <w:b/>
                <w:bCs/>
                <w:sz w:val="20"/>
                <w:szCs w:val="20"/>
              </w:rPr>
              <w:t>Term</w:t>
            </w:r>
          </w:p>
        </w:tc>
        <w:tc>
          <w:tcPr>
            <w:tcW w:w="6015" w:type="dxa"/>
            <w:tcBorders>
              <w:top w:val="single" w:sz="4" w:space="0" w:color="D5D6D2"/>
              <w:left w:val="single" w:sz="4" w:space="0" w:color="D5D6D2"/>
              <w:bottom w:val="single" w:sz="4" w:space="0" w:color="D5D6D2"/>
              <w:right w:val="single" w:sz="4" w:space="0" w:color="D5D6D2"/>
            </w:tcBorders>
            <w:shd w:val="clear" w:color="auto" w:fill="auto"/>
            <w:vAlign w:val="center"/>
          </w:tcPr>
          <w:p w:rsidR="00DC65CF" w:rsidRPr="00382011" w:rsidRDefault="00DC65CF" w:rsidP="007F469E">
            <w:pPr>
              <w:spacing w:after="120"/>
              <w:rPr>
                <w:b/>
                <w:bCs/>
                <w:sz w:val="20"/>
                <w:szCs w:val="20"/>
              </w:rPr>
            </w:pPr>
            <w:r w:rsidRPr="00382011">
              <w:rPr>
                <w:b/>
                <w:bCs/>
                <w:sz w:val="20"/>
                <w:szCs w:val="20"/>
              </w:rPr>
              <w:t>Definition</w:t>
            </w:r>
          </w:p>
        </w:tc>
      </w:tr>
      <w:tr w:rsidR="00DC65CF" w:rsidTr="000E0975">
        <w:tc>
          <w:tcPr>
            <w:tcW w:w="3227" w:type="dxa"/>
            <w:shd w:val="clear" w:color="auto" w:fill="auto"/>
            <w:vAlign w:val="center"/>
          </w:tcPr>
          <w:p w:rsidR="00DC65CF" w:rsidRPr="00382011" w:rsidRDefault="00E01197" w:rsidP="007F469E">
            <w:pPr>
              <w:spacing w:after="120"/>
              <w:rPr>
                <w:b/>
                <w:bCs/>
                <w:sz w:val="20"/>
                <w:szCs w:val="20"/>
              </w:rPr>
            </w:pPr>
            <w:r w:rsidRPr="006E6D6A">
              <w:rPr>
                <w:szCs w:val="20"/>
              </w:rPr>
              <w:t>Mandatory safety standard</w:t>
            </w:r>
          </w:p>
        </w:tc>
        <w:tc>
          <w:tcPr>
            <w:tcW w:w="6015" w:type="dxa"/>
            <w:shd w:val="clear" w:color="auto" w:fill="auto"/>
            <w:vAlign w:val="center"/>
          </w:tcPr>
          <w:p w:rsidR="00435BB4" w:rsidRDefault="00E01197" w:rsidP="00435BB4">
            <w:pPr>
              <w:spacing w:after="120"/>
            </w:pPr>
            <w:r w:rsidRPr="006E6D6A">
              <w:rPr>
                <w:szCs w:val="20"/>
              </w:rPr>
              <w:t xml:space="preserve">The Australian </w:t>
            </w:r>
            <w:r>
              <w:rPr>
                <w:szCs w:val="20"/>
              </w:rPr>
              <w:t>mandatory safety standard for basketball rings and backboards</w:t>
            </w:r>
            <w:r w:rsidRPr="00715C76">
              <w:t xml:space="preserve"> </w:t>
            </w:r>
          </w:p>
          <w:p w:rsidR="00DC65CF" w:rsidRPr="00382011" w:rsidRDefault="00F12C20" w:rsidP="00435BB4">
            <w:pPr>
              <w:spacing w:after="120"/>
              <w:rPr>
                <w:sz w:val="20"/>
                <w:szCs w:val="20"/>
              </w:rPr>
            </w:pPr>
            <w:hyperlink r:id="rId23" w:history="1">
              <w:r w:rsidR="00E01197" w:rsidRPr="00DB7F83">
                <w:rPr>
                  <w:rStyle w:val="Hyperlink"/>
                </w:rPr>
                <w:t>Trade Practices (Consumer Product Safety Standard) (Basketball Rings and Backboards) Regulations 2005</w:t>
              </w:r>
            </w:hyperlink>
          </w:p>
        </w:tc>
      </w:tr>
      <w:tr w:rsidR="00DC65CF" w:rsidTr="000E0975">
        <w:tc>
          <w:tcPr>
            <w:tcW w:w="3227" w:type="dxa"/>
            <w:shd w:val="clear" w:color="auto" w:fill="auto"/>
            <w:vAlign w:val="center"/>
          </w:tcPr>
          <w:p w:rsidR="00DC65CF" w:rsidRPr="00382011" w:rsidRDefault="00E01197" w:rsidP="007F469E">
            <w:pPr>
              <w:spacing w:after="120"/>
              <w:rPr>
                <w:b/>
                <w:bCs/>
                <w:sz w:val="20"/>
                <w:szCs w:val="20"/>
              </w:rPr>
            </w:pPr>
            <w:r w:rsidRPr="006E6D6A">
              <w:rPr>
                <w:szCs w:val="20"/>
              </w:rPr>
              <w:t>US standard</w:t>
            </w:r>
          </w:p>
        </w:tc>
        <w:tc>
          <w:tcPr>
            <w:tcW w:w="6015" w:type="dxa"/>
            <w:shd w:val="clear" w:color="auto" w:fill="auto"/>
            <w:vAlign w:val="center"/>
          </w:tcPr>
          <w:p w:rsidR="00DC65CF" w:rsidRPr="00382011" w:rsidRDefault="00E01197" w:rsidP="007F469E">
            <w:pPr>
              <w:spacing w:after="120"/>
              <w:rPr>
                <w:sz w:val="20"/>
                <w:szCs w:val="20"/>
              </w:rPr>
            </w:pPr>
            <w:r w:rsidRPr="006E6D6A">
              <w:rPr>
                <w:szCs w:val="20"/>
              </w:rPr>
              <w:t>AS</w:t>
            </w:r>
            <w:r>
              <w:rPr>
                <w:szCs w:val="20"/>
              </w:rPr>
              <w:t>TM F1882 Standard specification for residential basketball systems</w:t>
            </w:r>
          </w:p>
        </w:tc>
      </w:tr>
      <w:tr w:rsidR="00DC65CF" w:rsidTr="000E0975">
        <w:tc>
          <w:tcPr>
            <w:tcW w:w="3227" w:type="dxa"/>
            <w:shd w:val="clear" w:color="auto" w:fill="auto"/>
            <w:vAlign w:val="center"/>
          </w:tcPr>
          <w:p w:rsidR="00DC65CF" w:rsidRPr="00382011" w:rsidRDefault="00E01197" w:rsidP="007F469E">
            <w:pPr>
              <w:spacing w:after="120"/>
              <w:rPr>
                <w:b/>
                <w:bCs/>
                <w:sz w:val="20"/>
                <w:szCs w:val="20"/>
              </w:rPr>
            </w:pPr>
            <w:r w:rsidRPr="00AC7AC1">
              <w:rPr>
                <w:szCs w:val="20"/>
              </w:rPr>
              <w:t>European standard</w:t>
            </w:r>
          </w:p>
        </w:tc>
        <w:tc>
          <w:tcPr>
            <w:tcW w:w="6015" w:type="dxa"/>
            <w:shd w:val="clear" w:color="auto" w:fill="auto"/>
            <w:vAlign w:val="center"/>
          </w:tcPr>
          <w:p w:rsidR="00DC65CF" w:rsidRPr="00382011" w:rsidRDefault="00E01197" w:rsidP="007F469E">
            <w:pPr>
              <w:spacing w:after="120"/>
              <w:rPr>
                <w:sz w:val="20"/>
                <w:szCs w:val="20"/>
              </w:rPr>
            </w:pPr>
            <w:r>
              <w:rPr>
                <w:szCs w:val="20"/>
              </w:rPr>
              <w:t>EN 1270:2005 Playing field equipment – Basketball equipment – Functional and safety requirements, test methods</w:t>
            </w:r>
          </w:p>
        </w:tc>
      </w:tr>
      <w:tr w:rsidR="00D66C69" w:rsidTr="00540ED6">
        <w:tc>
          <w:tcPr>
            <w:tcW w:w="3227" w:type="dxa"/>
            <w:shd w:val="clear" w:color="auto" w:fill="auto"/>
          </w:tcPr>
          <w:p w:rsidR="00540ED6" w:rsidRPr="00AC7AC1" w:rsidRDefault="00F12C20" w:rsidP="00540ED6">
            <w:pPr>
              <w:rPr>
                <w:szCs w:val="20"/>
              </w:rPr>
            </w:pPr>
            <w:r>
              <w:rPr>
                <w:noProof/>
                <w:szCs w:val="20"/>
                <w:lang w:eastAsia="en-AU"/>
              </w:rPr>
              <w:pict w14:anchorId="08C06598">
                <v:shape id="_x0000_s1057" type="#_x0000_t75" style="position:absolute;margin-left:23.1pt;margin-top:28.35pt;width:103.5pt;height:103.5pt;z-index:251672064;mso-position-horizontal-relative:text;mso-position-vertical-relative:text">
                  <v:imagedata r:id="rId24" o:title=""/>
                </v:shape>
              </w:pict>
            </w:r>
            <w:r w:rsidR="00D66C69" w:rsidRPr="00540ED6">
              <w:t>Portable basketball system</w:t>
            </w:r>
          </w:p>
        </w:tc>
        <w:tc>
          <w:tcPr>
            <w:tcW w:w="6015" w:type="dxa"/>
            <w:shd w:val="clear" w:color="auto" w:fill="auto"/>
            <w:vAlign w:val="center"/>
          </w:tcPr>
          <w:p w:rsidR="00D66C69" w:rsidRDefault="00D66C69" w:rsidP="000E0975">
            <w:r>
              <w:t xml:space="preserve">A </w:t>
            </w:r>
            <w:r w:rsidRPr="00C56244">
              <w:t>system</w:t>
            </w:r>
            <w:r>
              <w:t xml:space="preserve"> </w:t>
            </w:r>
            <w:r w:rsidR="00540ED6">
              <w:t xml:space="preserve">typically consisting of a base, pole, backboard and ring. Usually </w:t>
            </w:r>
            <w:r>
              <w:t xml:space="preserve">requiring some form of initial assembly. </w:t>
            </w:r>
            <w:r w:rsidR="00540ED6">
              <w:t>The base is g</w:t>
            </w:r>
            <w:r>
              <w:t xml:space="preserve">enerally hollow </w:t>
            </w:r>
            <w:r w:rsidR="00540ED6">
              <w:t xml:space="preserve">and </w:t>
            </w:r>
            <w:r>
              <w:t xml:space="preserve">needs to be filled with sand or water to keep the system sturdy and to prevent it from falling over. They often have wheels on the base to allow the system to be put away after use or </w:t>
            </w:r>
            <w:r w:rsidR="00540ED6">
              <w:t xml:space="preserve">to </w:t>
            </w:r>
            <w:r>
              <w:t>be used in various outdoor locations around the home. The height of the ring is often adjustable to accommodate users of different ages, heights and skill levels.</w:t>
            </w:r>
          </w:p>
          <w:p w:rsidR="000E0975" w:rsidRDefault="000E0975" w:rsidP="000E0975">
            <w:pPr>
              <w:rPr>
                <w:szCs w:val="20"/>
              </w:rPr>
            </w:pPr>
          </w:p>
        </w:tc>
      </w:tr>
      <w:tr w:rsidR="00D66C69" w:rsidTr="00540ED6">
        <w:tc>
          <w:tcPr>
            <w:tcW w:w="3227" w:type="dxa"/>
            <w:shd w:val="clear" w:color="auto" w:fill="auto"/>
          </w:tcPr>
          <w:p w:rsidR="00D66C69" w:rsidRPr="00AC7AC1" w:rsidRDefault="00F12C20" w:rsidP="00540ED6">
            <w:pPr>
              <w:rPr>
                <w:szCs w:val="20"/>
              </w:rPr>
            </w:pPr>
            <w:r>
              <w:rPr>
                <w:noProof/>
                <w:lang w:eastAsia="en-AU"/>
              </w:rPr>
              <w:pict>
                <v:shape id="_x0000_s1056" type="#_x0000_t75" style="position:absolute;margin-left:3.2pt;margin-top:34.75pt;width:144.35pt;height:120.65pt;z-index:251671040;mso-position-horizontal-relative:text;mso-position-vertical-relative:text">
                  <v:imagedata r:id="rId25" o:title=""/>
                </v:shape>
              </w:pict>
            </w:r>
            <w:r w:rsidR="00D66C69" w:rsidRPr="000E0975">
              <w:t>Traditional basketball rings and backboards</w:t>
            </w:r>
          </w:p>
        </w:tc>
        <w:tc>
          <w:tcPr>
            <w:tcW w:w="6015" w:type="dxa"/>
            <w:shd w:val="clear" w:color="auto" w:fill="auto"/>
            <w:vAlign w:val="center"/>
          </w:tcPr>
          <w:p w:rsidR="00D66C69" w:rsidRDefault="00BA3E64" w:rsidP="000E0975">
            <w:r>
              <w:t>B</w:t>
            </w:r>
            <w:r w:rsidR="00B1474A" w:rsidRPr="00C56244">
              <w:t>asketball rings and backboards</w:t>
            </w:r>
            <w:r w:rsidR="00B1474A" w:rsidRPr="00C56244" w:rsidDel="00C56244">
              <w:t xml:space="preserve"> </w:t>
            </w:r>
            <w:r w:rsidR="000E0975">
              <w:t xml:space="preserve">for domestic use </w:t>
            </w:r>
            <w:r w:rsidR="00A7739E">
              <w:t xml:space="preserve">and </w:t>
            </w:r>
            <w:r w:rsidR="000E0975">
              <w:t xml:space="preserve">intended to be </w:t>
            </w:r>
            <w:r w:rsidR="00B1474A">
              <w:t>mounted or fixed at an appropriate height above the ground. Commonly i</w:t>
            </w:r>
            <w:r w:rsidR="000E0975">
              <w:t xml:space="preserve">nstalled </w:t>
            </w:r>
            <w:r w:rsidR="00B1474A">
              <w:t>onto metal posts fixed</w:t>
            </w:r>
            <w:r w:rsidR="000E0975">
              <w:t xml:space="preserve"> either into or onto the ground, although sometimes installed onto brick walls around the home/garage.</w:t>
            </w:r>
          </w:p>
          <w:p w:rsidR="000E0975" w:rsidRDefault="000E0975" w:rsidP="000E0975"/>
          <w:p w:rsidR="00540ED6" w:rsidRDefault="00540ED6" w:rsidP="000E0975"/>
          <w:p w:rsidR="00BA3E64" w:rsidRDefault="00BA3E64" w:rsidP="000E0975"/>
          <w:p w:rsidR="00540ED6" w:rsidRPr="000E0975" w:rsidRDefault="00540ED6" w:rsidP="000E0975"/>
        </w:tc>
      </w:tr>
    </w:tbl>
    <w:p w:rsidR="00AB6528" w:rsidRDefault="00AB6528" w:rsidP="00D87354">
      <w:pPr>
        <w:pStyle w:val="ListNumber"/>
        <w:numPr>
          <w:ilvl w:val="0"/>
          <w:numId w:val="0"/>
        </w:numPr>
        <w:ind w:left="340" w:hanging="340"/>
      </w:pPr>
    </w:p>
    <w:sectPr w:rsidR="00AB6528" w:rsidSect="00782C4B">
      <w:footerReference w:type="default" r:id="rId26"/>
      <w:footerReference w:type="first" r:id="rId27"/>
      <w:pgSz w:w="11906" w:h="16838"/>
      <w:pgMar w:top="1276"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AA" w:rsidRDefault="005A13AA" w:rsidP="004B4412">
      <w:pPr>
        <w:spacing w:before="0"/>
      </w:pPr>
      <w:r>
        <w:separator/>
      </w:r>
    </w:p>
  </w:endnote>
  <w:endnote w:type="continuationSeparator" w:id="0">
    <w:p w:rsidR="005A13AA" w:rsidRDefault="005A13AA"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AA" w:rsidRDefault="005A13AA">
    <w:pPr>
      <w:pStyle w:val="Footer"/>
      <w:jc w:val="right"/>
    </w:pPr>
    <w:r>
      <w:fldChar w:fldCharType="begin"/>
    </w:r>
    <w:r>
      <w:instrText xml:space="preserve"> PAGE   \* MERGEFORMAT </w:instrText>
    </w:r>
    <w:r>
      <w:fldChar w:fldCharType="separate"/>
    </w:r>
    <w:r w:rsidR="00F12C20">
      <w:rPr>
        <w:noProof/>
      </w:rPr>
      <w:t>15</w:t>
    </w:r>
    <w:r>
      <w:rPr>
        <w:noProof/>
      </w:rPr>
      <w:fldChar w:fldCharType="end"/>
    </w:r>
  </w:p>
  <w:p w:rsidR="005A13AA" w:rsidRPr="00586FBE" w:rsidRDefault="005A13AA" w:rsidP="00783ECA">
    <w:pPr>
      <w:pStyle w:val="Footer"/>
      <w:jc w:val="center"/>
      <w:rPr>
        <w:sz w:val="20"/>
        <w:szCs w:val="20"/>
      </w:rPr>
    </w:pPr>
    <w:r w:rsidRPr="00586FBE">
      <w:rPr>
        <w:sz w:val="20"/>
        <w:szCs w:val="20"/>
      </w:rPr>
      <w:t>Review of the mandatory safety standard for</w:t>
    </w:r>
    <w:r>
      <w:rPr>
        <w:sz w:val="20"/>
        <w:szCs w:val="20"/>
      </w:rPr>
      <w:t xml:space="preserve"> basketball rings and backboards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AA" w:rsidRDefault="005A13AA">
    <w:pPr>
      <w:pStyle w:val="Footer"/>
      <w:jc w:val="right"/>
    </w:pPr>
    <w:r>
      <w:fldChar w:fldCharType="begin"/>
    </w:r>
    <w:r>
      <w:instrText xml:space="preserve"> PAGE   \* MERGEFORMAT </w:instrText>
    </w:r>
    <w:r>
      <w:fldChar w:fldCharType="separate"/>
    </w:r>
    <w:r>
      <w:rPr>
        <w:noProof/>
      </w:rPr>
      <w:t>2</w:t>
    </w:r>
    <w:r>
      <w:rPr>
        <w:noProof/>
      </w:rPr>
      <w:fldChar w:fldCharType="end"/>
    </w:r>
  </w:p>
  <w:p w:rsidR="005A13AA" w:rsidRDefault="005A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AA" w:rsidRDefault="005A13AA" w:rsidP="004B4412">
      <w:pPr>
        <w:spacing w:before="0"/>
      </w:pPr>
      <w:r>
        <w:separator/>
      </w:r>
    </w:p>
  </w:footnote>
  <w:footnote w:type="continuationSeparator" w:id="0">
    <w:p w:rsidR="005A13AA" w:rsidRDefault="005A13AA" w:rsidP="004B4412">
      <w:pPr>
        <w:spacing w:before="0"/>
      </w:pPr>
      <w:r>
        <w:continuationSeparator/>
      </w:r>
    </w:p>
  </w:footnote>
  <w:footnote w:id="1">
    <w:p w:rsidR="005A13AA" w:rsidRDefault="005A13AA" w:rsidP="002B1ABD">
      <w:pPr>
        <w:pStyle w:val="FootnoteText"/>
      </w:pPr>
      <w:r>
        <w:rPr>
          <w:rStyle w:val="FootnoteReference"/>
        </w:rPr>
        <w:footnoteRef/>
      </w:r>
      <w:r>
        <w:t xml:space="preserve"> ACCC, </w:t>
      </w:r>
      <w:r w:rsidRPr="000268CC">
        <w:rPr>
          <w:szCs w:val="16"/>
        </w:rPr>
        <w:t xml:space="preserve">International standards for the safety of consumer products - criteria for acceptance, ACCC policy principles, 22 July 2015, </w:t>
      </w:r>
      <w:hyperlink r:id="rId1" w:history="1">
        <w:r w:rsidRPr="00625A3A">
          <w:rPr>
            <w:rStyle w:val="Hyperlink"/>
            <w:sz w:val="16"/>
            <w:szCs w:val="16"/>
          </w:rPr>
          <w:t>www.productsafety.gov.au/content/index.phtml/itemId/1014180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68875E"/>
    <w:lvl w:ilvl="0">
      <w:start w:val="1"/>
      <w:numFmt w:val="decimal"/>
      <w:pStyle w:val="ListNumber"/>
      <w:lvlText w:val="%1."/>
      <w:lvlJc w:val="left"/>
      <w:pPr>
        <w:tabs>
          <w:tab w:val="num" w:pos="340"/>
        </w:tabs>
        <w:ind w:left="340" w:hanging="340"/>
      </w:pPr>
      <w:rPr>
        <w:rFonts w:hint="default"/>
      </w:rPr>
    </w:lvl>
  </w:abstractNum>
  <w:abstractNum w:abstractNumId="9">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0EDA66A8"/>
    <w:multiLevelType w:val="hybridMultilevel"/>
    <w:tmpl w:val="7F3820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31C50D6"/>
    <w:multiLevelType w:val="multilevel"/>
    <w:tmpl w:val="3138919C"/>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88675E0"/>
    <w:multiLevelType w:val="hybridMultilevel"/>
    <w:tmpl w:val="8E7256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8F179D2"/>
    <w:multiLevelType w:val="multilevel"/>
    <w:tmpl w:val="BBA06170"/>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197F5754"/>
    <w:multiLevelType w:val="multilevel"/>
    <w:tmpl w:val="0066C496"/>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D267EB8"/>
    <w:multiLevelType w:val="hybridMultilevel"/>
    <w:tmpl w:val="011CF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DB96CAD"/>
    <w:multiLevelType w:val="multilevel"/>
    <w:tmpl w:val="7B2A70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F10527"/>
    <w:multiLevelType w:val="hybridMultilevel"/>
    <w:tmpl w:val="FE9C41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EF93320"/>
    <w:multiLevelType w:val="hybridMultilevel"/>
    <w:tmpl w:val="6CE4C56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2">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3">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5">
    <w:nsid w:val="3FA615F5"/>
    <w:multiLevelType w:val="hybridMultilevel"/>
    <w:tmpl w:val="0AFCDC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86E58D0"/>
    <w:multiLevelType w:val="hybridMultilevel"/>
    <w:tmpl w:val="BB80A1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684946"/>
    <w:multiLevelType w:val="hybridMultilevel"/>
    <w:tmpl w:val="DDC6B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6A1D46"/>
    <w:multiLevelType w:val="hybridMultilevel"/>
    <w:tmpl w:val="99BC48FE"/>
    <w:lvl w:ilvl="0" w:tplc="0C09000F">
      <w:start w:val="1"/>
      <w:numFmt w:val="decimal"/>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0">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1">
    <w:nsid w:val="5A163A7C"/>
    <w:multiLevelType w:val="multilevel"/>
    <w:tmpl w:val="A380D538"/>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5DCF11E2"/>
    <w:multiLevelType w:val="hybridMultilevel"/>
    <w:tmpl w:val="E43EE298"/>
    <w:lvl w:ilvl="0" w:tplc="0C09000F">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33">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66DC52CE"/>
    <w:multiLevelType w:val="hybridMultilevel"/>
    <w:tmpl w:val="05ACFE50"/>
    <w:lvl w:ilvl="0" w:tplc="5CD829E8">
      <w:start w:val="1"/>
      <w:numFmt w:val="decimal"/>
      <w:pStyle w:val="Heading9"/>
      <w:lvlText w:val="Table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36">
    <w:nsid w:val="6BA617F9"/>
    <w:multiLevelType w:val="multilevel"/>
    <w:tmpl w:val="C5AE560E"/>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8">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9">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0">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1">
    <w:nsid w:val="7C4D742B"/>
    <w:multiLevelType w:val="multilevel"/>
    <w:tmpl w:val="572CA96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CB86F55"/>
    <w:multiLevelType w:val="hybridMultilevel"/>
    <w:tmpl w:val="C2744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EDA32D5"/>
    <w:multiLevelType w:val="hybridMultilevel"/>
    <w:tmpl w:val="B2168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43"/>
  </w:num>
  <w:num w:numId="3">
    <w:abstractNumId w:val="7"/>
  </w:num>
  <w:num w:numId="4">
    <w:abstractNumId w:val="6"/>
  </w:num>
  <w:num w:numId="5">
    <w:abstractNumId w:val="5"/>
  </w:num>
  <w:num w:numId="6">
    <w:abstractNumId w:val="4"/>
  </w:num>
  <w:num w:numId="7">
    <w:abstractNumId w:val="1"/>
  </w:num>
  <w:num w:numId="8">
    <w:abstractNumId w:val="0"/>
  </w:num>
  <w:num w:numId="9">
    <w:abstractNumId w:val="35"/>
  </w:num>
  <w:num w:numId="10">
    <w:abstractNumId w:val="23"/>
  </w:num>
  <w:num w:numId="11">
    <w:abstractNumId w:val="9"/>
  </w:num>
  <w:num w:numId="12">
    <w:abstractNumId w:val="22"/>
  </w:num>
  <w:num w:numId="13">
    <w:abstractNumId w:val="2"/>
  </w:num>
  <w:num w:numId="14">
    <w:abstractNumId w:val="37"/>
  </w:num>
  <w:num w:numId="15">
    <w:abstractNumId w:val="40"/>
  </w:num>
  <w:num w:numId="16">
    <w:abstractNumId w:val="39"/>
  </w:num>
  <w:num w:numId="17">
    <w:abstractNumId w:val="30"/>
  </w:num>
  <w:num w:numId="18">
    <w:abstractNumId w:val="21"/>
  </w:num>
  <w:num w:numId="19">
    <w:abstractNumId w:val="24"/>
  </w:num>
  <w:num w:numId="20">
    <w:abstractNumId w:val="38"/>
  </w:num>
  <w:num w:numId="21">
    <w:abstractNumId w:val="33"/>
  </w:num>
  <w:num w:numId="22">
    <w:abstractNumId w:val="8"/>
  </w:num>
  <w:num w:numId="23">
    <w:abstractNumId w:val="3"/>
  </w:num>
  <w:num w:numId="24">
    <w:abstractNumId w:val="27"/>
  </w:num>
  <w:num w:numId="25">
    <w:abstractNumId w:val="13"/>
  </w:num>
  <w:num w:numId="26">
    <w:abstractNumId w:val="34"/>
  </w:num>
  <w:num w:numId="27">
    <w:abstractNumId w:val="15"/>
  </w:num>
  <w:num w:numId="28">
    <w:abstractNumId w:val="11"/>
  </w:num>
  <w:num w:numId="29">
    <w:abstractNumId w:val="29"/>
  </w:num>
  <w:num w:numId="30">
    <w:abstractNumId w:val="19"/>
  </w:num>
  <w:num w:numId="31">
    <w:abstractNumId w:val="20"/>
  </w:num>
  <w:num w:numId="32">
    <w:abstractNumId w:val="18"/>
  </w:num>
  <w:num w:numId="33">
    <w:abstractNumId w:val="36"/>
  </w:num>
  <w:num w:numId="34">
    <w:abstractNumId w:val="44"/>
  </w:num>
  <w:num w:numId="35">
    <w:abstractNumId w:val="25"/>
  </w:num>
  <w:num w:numId="36">
    <w:abstractNumId w:val="42"/>
  </w:num>
  <w:num w:numId="37">
    <w:abstractNumId w:val="31"/>
  </w:num>
  <w:num w:numId="38">
    <w:abstractNumId w:val="41"/>
  </w:num>
  <w:num w:numId="39">
    <w:abstractNumId w:val="32"/>
  </w:num>
  <w:num w:numId="40">
    <w:abstractNumId w:val="10"/>
  </w:num>
  <w:num w:numId="41">
    <w:abstractNumId w:val="26"/>
  </w:num>
  <w:num w:numId="42">
    <w:abstractNumId w:val="17"/>
  </w:num>
  <w:num w:numId="43">
    <w:abstractNumId w:val="16"/>
  </w:num>
  <w:num w:numId="44">
    <w:abstractNumId w:val="28"/>
  </w:num>
  <w:num w:numId="45">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Moves/>
  <w:defaultTabStop w:val="340"/>
  <w:characterSpacingControl w:val="doNotCompress"/>
  <w:hdrShapeDefaults>
    <o:shapedefaults v:ext="edit" spidmax="1914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H:\trimdata\TRIM\TEMP\HPTRIM.6692\D16 131225  CPS - SP - Basketball rings and backboards - Consultation paper - Review of the mandatory safety standard - Final.DOCX"/>
  </w:docVars>
  <w:rsids>
    <w:rsidRoot w:val="00935D49"/>
    <w:rsid w:val="00002D01"/>
    <w:rsid w:val="00005966"/>
    <w:rsid w:val="00010A09"/>
    <w:rsid w:val="000123DD"/>
    <w:rsid w:val="00014359"/>
    <w:rsid w:val="00017DA1"/>
    <w:rsid w:val="0002115F"/>
    <w:rsid w:val="00021202"/>
    <w:rsid w:val="000216BB"/>
    <w:rsid w:val="000225C4"/>
    <w:rsid w:val="00023664"/>
    <w:rsid w:val="00023EAC"/>
    <w:rsid w:val="00033A6D"/>
    <w:rsid w:val="00033E57"/>
    <w:rsid w:val="0003578C"/>
    <w:rsid w:val="000415DA"/>
    <w:rsid w:val="000500CA"/>
    <w:rsid w:val="00052A9F"/>
    <w:rsid w:val="00052FA7"/>
    <w:rsid w:val="0005336A"/>
    <w:rsid w:val="00053EB8"/>
    <w:rsid w:val="000570F3"/>
    <w:rsid w:val="00057B2A"/>
    <w:rsid w:val="00063247"/>
    <w:rsid w:val="00063BE6"/>
    <w:rsid w:val="00063F9F"/>
    <w:rsid w:val="000643B6"/>
    <w:rsid w:val="00067951"/>
    <w:rsid w:val="00070F9F"/>
    <w:rsid w:val="0007137B"/>
    <w:rsid w:val="00072BEF"/>
    <w:rsid w:val="00084813"/>
    <w:rsid w:val="00085663"/>
    <w:rsid w:val="00085EBF"/>
    <w:rsid w:val="00093119"/>
    <w:rsid w:val="000A2D5A"/>
    <w:rsid w:val="000B2A5A"/>
    <w:rsid w:val="000B66DD"/>
    <w:rsid w:val="000C16A1"/>
    <w:rsid w:val="000C5EE8"/>
    <w:rsid w:val="000D122C"/>
    <w:rsid w:val="000D123D"/>
    <w:rsid w:val="000D3868"/>
    <w:rsid w:val="000D65D2"/>
    <w:rsid w:val="000D72BE"/>
    <w:rsid w:val="000D7C9A"/>
    <w:rsid w:val="000E0975"/>
    <w:rsid w:val="000E1819"/>
    <w:rsid w:val="000E4338"/>
    <w:rsid w:val="000E57D9"/>
    <w:rsid w:val="000E6C72"/>
    <w:rsid w:val="000E7F3F"/>
    <w:rsid w:val="000F2368"/>
    <w:rsid w:val="000F368C"/>
    <w:rsid w:val="00102C0C"/>
    <w:rsid w:val="0011213A"/>
    <w:rsid w:val="001147E0"/>
    <w:rsid w:val="00116EB2"/>
    <w:rsid w:val="001240B5"/>
    <w:rsid w:val="00124609"/>
    <w:rsid w:val="00125BA1"/>
    <w:rsid w:val="00132DAF"/>
    <w:rsid w:val="001417FE"/>
    <w:rsid w:val="00146A47"/>
    <w:rsid w:val="00147F1E"/>
    <w:rsid w:val="00150167"/>
    <w:rsid w:val="001573E4"/>
    <w:rsid w:val="00160756"/>
    <w:rsid w:val="00165492"/>
    <w:rsid w:val="00165C35"/>
    <w:rsid w:val="00166148"/>
    <w:rsid w:val="00166B41"/>
    <w:rsid w:val="0017232E"/>
    <w:rsid w:val="00172B84"/>
    <w:rsid w:val="00174102"/>
    <w:rsid w:val="00174935"/>
    <w:rsid w:val="001760E1"/>
    <w:rsid w:val="00180157"/>
    <w:rsid w:val="00180E2D"/>
    <w:rsid w:val="00181223"/>
    <w:rsid w:val="00183645"/>
    <w:rsid w:val="00186F77"/>
    <w:rsid w:val="00187BA3"/>
    <w:rsid w:val="001913A0"/>
    <w:rsid w:val="001926A4"/>
    <w:rsid w:val="001936BA"/>
    <w:rsid w:val="00193922"/>
    <w:rsid w:val="00195D8C"/>
    <w:rsid w:val="001A3A19"/>
    <w:rsid w:val="001A6DAB"/>
    <w:rsid w:val="001B246B"/>
    <w:rsid w:val="001B313A"/>
    <w:rsid w:val="001B45A0"/>
    <w:rsid w:val="001B65AA"/>
    <w:rsid w:val="001B70FE"/>
    <w:rsid w:val="001C18EE"/>
    <w:rsid w:val="001C62C1"/>
    <w:rsid w:val="001D055E"/>
    <w:rsid w:val="001D07BE"/>
    <w:rsid w:val="001D479B"/>
    <w:rsid w:val="001D4CDD"/>
    <w:rsid w:val="001D6E42"/>
    <w:rsid w:val="001E4369"/>
    <w:rsid w:val="001F2F13"/>
    <w:rsid w:val="001F3AD4"/>
    <w:rsid w:val="001F492E"/>
    <w:rsid w:val="001F6520"/>
    <w:rsid w:val="001F6DA3"/>
    <w:rsid w:val="002008C0"/>
    <w:rsid w:val="002019B5"/>
    <w:rsid w:val="002065B1"/>
    <w:rsid w:val="002124FE"/>
    <w:rsid w:val="00212737"/>
    <w:rsid w:val="002135C9"/>
    <w:rsid w:val="00215EF4"/>
    <w:rsid w:val="00224295"/>
    <w:rsid w:val="0022438B"/>
    <w:rsid w:val="00224DB9"/>
    <w:rsid w:val="00225425"/>
    <w:rsid w:val="00230298"/>
    <w:rsid w:val="00242590"/>
    <w:rsid w:val="00246408"/>
    <w:rsid w:val="00247779"/>
    <w:rsid w:val="00247F9C"/>
    <w:rsid w:val="00251745"/>
    <w:rsid w:val="00252D26"/>
    <w:rsid w:val="00253F53"/>
    <w:rsid w:val="00254200"/>
    <w:rsid w:val="0025430F"/>
    <w:rsid w:val="0026284D"/>
    <w:rsid w:val="00262A59"/>
    <w:rsid w:val="00263AC0"/>
    <w:rsid w:val="0026772D"/>
    <w:rsid w:val="002712AA"/>
    <w:rsid w:val="00271931"/>
    <w:rsid w:val="00274A09"/>
    <w:rsid w:val="00276854"/>
    <w:rsid w:val="0028290F"/>
    <w:rsid w:val="00283E58"/>
    <w:rsid w:val="00285E42"/>
    <w:rsid w:val="00286874"/>
    <w:rsid w:val="002877CB"/>
    <w:rsid w:val="002935DA"/>
    <w:rsid w:val="0029508A"/>
    <w:rsid w:val="0029535F"/>
    <w:rsid w:val="00296B65"/>
    <w:rsid w:val="00296F53"/>
    <w:rsid w:val="00296F8D"/>
    <w:rsid w:val="00297D3B"/>
    <w:rsid w:val="002A1973"/>
    <w:rsid w:val="002A3878"/>
    <w:rsid w:val="002A5960"/>
    <w:rsid w:val="002A71AA"/>
    <w:rsid w:val="002A7DEF"/>
    <w:rsid w:val="002B1ABD"/>
    <w:rsid w:val="002B1BA7"/>
    <w:rsid w:val="002B2200"/>
    <w:rsid w:val="002C0C82"/>
    <w:rsid w:val="002C17C8"/>
    <w:rsid w:val="002D0C4D"/>
    <w:rsid w:val="002D15A7"/>
    <w:rsid w:val="002D3772"/>
    <w:rsid w:val="002D3776"/>
    <w:rsid w:val="002D4961"/>
    <w:rsid w:val="002E067C"/>
    <w:rsid w:val="002E1280"/>
    <w:rsid w:val="002E56EA"/>
    <w:rsid w:val="002F447C"/>
    <w:rsid w:val="002F7986"/>
    <w:rsid w:val="00303C4A"/>
    <w:rsid w:val="00304EB9"/>
    <w:rsid w:val="00307F6D"/>
    <w:rsid w:val="003101A4"/>
    <w:rsid w:val="003120D4"/>
    <w:rsid w:val="003129E2"/>
    <w:rsid w:val="00312DEB"/>
    <w:rsid w:val="003139DB"/>
    <w:rsid w:val="00314196"/>
    <w:rsid w:val="003177A2"/>
    <w:rsid w:val="00317E3B"/>
    <w:rsid w:val="003241F5"/>
    <w:rsid w:val="003271B5"/>
    <w:rsid w:val="003301BA"/>
    <w:rsid w:val="00330715"/>
    <w:rsid w:val="00330CA0"/>
    <w:rsid w:val="00331264"/>
    <w:rsid w:val="0033433E"/>
    <w:rsid w:val="00334C8D"/>
    <w:rsid w:val="00340655"/>
    <w:rsid w:val="00341746"/>
    <w:rsid w:val="003459E6"/>
    <w:rsid w:val="00350ABB"/>
    <w:rsid w:val="00351389"/>
    <w:rsid w:val="003518B3"/>
    <w:rsid w:val="003523A2"/>
    <w:rsid w:val="00364E4B"/>
    <w:rsid w:val="00365A32"/>
    <w:rsid w:val="00367AAF"/>
    <w:rsid w:val="0037012D"/>
    <w:rsid w:val="003703E4"/>
    <w:rsid w:val="00370B8F"/>
    <w:rsid w:val="00371641"/>
    <w:rsid w:val="0037565E"/>
    <w:rsid w:val="0037572F"/>
    <w:rsid w:val="00382011"/>
    <w:rsid w:val="00382184"/>
    <w:rsid w:val="0038283C"/>
    <w:rsid w:val="003846F1"/>
    <w:rsid w:val="00392827"/>
    <w:rsid w:val="0039464E"/>
    <w:rsid w:val="0039574F"/>
    <w:rsid w:val="003A4339"/>
    <w:rsid w:val="003A4903"/>
    <w:rsid w:val="003A4CB3"/>
    <w:rsid w:val="003A53AB"/>
    <w:rsid w:val="003A624C"/>
    <w:rsid w:val="003A673F"/>
    <w:rsid w:val="003B24CC"/>
    <w:rsid w:val="003B334F"/>
    <w:rsid w:val="003B3A60"/>
    <w:rsid w:val="003B5A70"/>
    <w:rsid w:val="003B64FE"/>
    <w:rsid w:val="003C4908"/>
    <w:rsid w:val="003C4CFD"/>
    <w:rsid w:val="003D0732"/>
    <w:rsid w:val="003D1175"/>
    <w:rsid w:val="003D45FD"/>
    <w:rsid w:val="003E114F"/>
    <w:rsid w:val="003E349F"/>
    <w:rsid w:val="003E454A"/>
    <w:rsid w:val="003E6F96"/>
    <w:rsid w:val="003E7D13"/>
    <w:rsid w:val="003F1C8E"/>
    <w:rsid w:val="003F604E"/>
    <w:rsid w:val="004032B5"/>
    <w:rsid w:val="0041713D"/>
    <w:rsid w:val="004211D4"/>
    <w:rsid w:val="00423003"/>
    <w:rsid w:val="00424548"/>
    <w:rsid w:val="00424AE4"/>
    <w:rsid w:val="00425040"/>
    <w:rsid w:val="00426111"/>
    <w:rsid w:val="00426A70"/>
    <w:rsid w:val="00427B42"/>
    <w:rsid w:val="0043256D"/>
    <w:rsid w:val="00435BB4"/>
    <w:rsid w:val="00442DFA"/>
    <w:rsid w:val="004438EC"/>
    <w:rsid w:val="00447CD6"/>
    <w:rsid w:val="00451126"/>
    <w:rsid w:val="00453E07"/>
    <w:rsid w:val="00454028"/>
    <w:rsid w:val="00462F92"/>
    <w:rsid w:val="0046316B"/>
    <w:rsid w:val="00465C89"/>
    <w:rsid w:val="004664A7"/>
    <w:rsid w:val="004707BB"/>
    <w:rsid w:val="00475DDE"/>
    <w:rsid w:val="004762F9"/>
    <w:rsid w:val="00477244"/>
    <w:rsid w:val="0047737C"/>
    <w:rsid w:val="004804BE"/>
    <w:rsid w:val="00480B4B"/>
    <w:rsid w:val="00483BD5"/>
    <w:rsid w:val="00485DC4"/>
    <w:rsid w:val="004872AD"/>
    <w:rsid w:val="0049212B"/>
    <w:rsid w:val="00492F94"/>
    <w:rsid w:val="00496AF8"/>
    <w:rsid w:val="00496C4C"/>
    <w:rsid w:val="00497C7E"/>
    <w:rsid w:val="004A1654"/>
    <w:rsid w:val="004A340C"/>
    <w:rsid w:val="004B02E6"/>
    <w:rsid w:val="004B0528"/>
    <w:rsid w:val="004B1591"/>
    <w:rsid w:val="004B23D6"/>
    <w:rsid w:val="004B4412"/>
    <w:rsid w:val="004B552E"/>
    <w:rsid w:val="004C348C"/>
    <w:rsid w:val="004C371D"/>
    <w:rsid w:val="004C6A5C"/>
    <w:rsid w:val="004D3B5C"/>
    <w:rsid w:val="004D55BA"/>
    <w:rsid w:val="004D6831"/>
    <w:rsid w:val="004E1A12"/>
    <w:rsid w:val="004E285D"/>
    <w:rsid w:val="004E4FEC"/>
    <w:rsid w:val="004F0A93"/>
    <w:rsid w:val="004F14F2"/>
    <w:rsid w:val="004F2078"/>
    <w:rsid w:val="004F3AEA"/>
    <w:rsid w:val="004F465F"/>
    <w:rsid w:val="004F7BFC"/>
    <w:rsid w:val="00501692"/>
    <w:rsid w:val="005016DF"/>
    <w:rsid w:val="005038DB"/>
    <w:rsid w:val="00504BB6"/>
    <w:rsid w:val="00505B58"/>
    <w:rsid w:val="0050656C"/>
    <w:rsid w:val="00515357"/>
    <w:rsid w:val="0052379B"/>
    <w:rsid w:val="00526E83"/>
    <w:rsid w:val="00530128"/>
    <w:rsid w:val="00532467"/>
    <w:rsid w:val="00534AEE"/>
    <w:rsid w:val="00540ED6"/>
    <w:rsid w:val="00542C91"/>
    <w:rsid w:val="00547BA2"/>
    <w:rsid w:val="00547CCF"/>
    <w:rsid w:val="00550681"/>
    <w:rsid w:val="00555A70"/>
    <w:rsid w:val="00555F84"/>
    <w:rsid w:val="00560531"/>
    <w:rsid w:val="00564A4D"/>
    <w:rsid w:val="0056786E"/>
    <w:rsid w:val="00571801"/>
    <w:rsid w:val="00571B35"/>
    <w:rsid w:val="00571C9F"/>
    <w:rsid w:val="00573932"/>
    <w:rsid w:val="00573D7B"/>
    <w:rsid w:val="00577A09"/>
    <w:rsid w:val="00580B78"/>
    <w:rsid w:val="00581D21"/>
    <w:rsid w:val="005823D9"/>
    <w:rsid w:val="00584D8F"/>
    <w:rsid w:val="00585FB8"/>
    <w:rsid w:val="00586FBE"/>
    <w:rsid w:val="00591EBC"/>
    <w:rsid w:val="00593CB3"/>
    <w:rsid w:val="00595360"/>
    <w:rsid w:val="00596D42"/>
    <w:rsid w:val="005A13AA"/>
    <w:rsid w:val="005A404D"/>
    <w:rsid w:val="005A5BC5"/>
    <w:rsid w:val="005A60B4"/>
    <w:rsid w:val="005A7FFE"/>
    <w:rsid w:val="005B1E3C"/>
    <w:rsid w:val="005B74F1"/>
    <w:rsid w:val="005C24AC"/>
    <w:rsid w:val="005C26CC"/>
    <w:rsid w:val="005C59D1"/>
    <w:rsid w:val="005C5F8C"/>
    <w:rsid w:val="005C7264"/>
    <w:rsid w:val="005D1342"/>
    <w:rsid w:val="005D1642"/>
    <w:rsid w:val="005D185E"/>
    <w:rsid w:val="005D4B28"/>
    <w:rsid w:val="005D50F6"/>
    <w:rsid w:val="005D5694"/>
    <w:rsid w:val="005E216C"/>
    <w:rsid w:val="005E368E"/>
    <w:rsid w:val="005E53E0"/>
    <w:rsid w:val="005E6636"/>
    <w:rsid w:val="005E6C0E"/>
    <w:rsid w:val="005F0D33"/>
    <w:rsid w:val="005F19B6"/>
    <w:rsid w:val="005F26C4"/>
    <w:rsid w:val="00603892"/>
    <w:rsid w:val="00605D6C"/>
    <w:rsid w:val="0061252F"/>
    <w:rsid w:val="00615C6B"/>
    <w:rsid w:val="00617053"/>
    <w:rsid w:val="00620E30"/>
    <w:rsid w:val="00626D3D"/>
    <w:rsid w:val="00627374"/>
    <w:rsid w:val="00630646"/>
    <w:rsid w:val="006313B8"/>
    <w:rsid w:val="00632D6D"/>
    <w:rsid w:val="00633633"/>
    <w:rsid w:val="0063437B"/>
    <w:rsid w:val="0063778D"/>
    <w:rsid w:val="006417EE"/>
    <w:rsid w:val="00642C3E"/>
    <w:rsid w:val="006456B6"/>
    <w:rsid w:val="00646025"/>
    <w:rsid w:val="006468F8"/>
    <w:rsid w:val="00650DE9"/>
    <w:rsid w:val="00654B71"/>
    <w:rsid w:val="00655773"/>
    <w:rsid w:val="00655E68"/>
    <w:rsid w:val="00660D0C"/>
    <w:rsid w:val="00663DAD"/>
    <w:rsid w:val="0066471C"/>
    <w:rsid w:val="00665069"/>
    <w:rsid w:val="006663AA"/>
    <w:rsid w:val="006668D6"/>
    <w:rsid w:val="006749E0"/>
    <w:rsid w:val="00676679"/>
    <w:rsid w:val="00677EDB"/>
    <w:rsid w:val="00682F7B"/>
    <w:rsid w:val="006847DF"/>
    <w:rsid w:val="00687649"/>
    <w:rsid w:val="00691616"/>
    <w:rsid w:val="00694802"/>
    <w:rsid w:val="006A19B3"/>
    <w:rsid w:val="006A312D"/>
    <w:rsid w:val="006A595C"/>
    <w:rsid w:val="006B4CF9"/>
    <w:rsid w:val="006B51C7"/>
    <w:rsid w:val="006B6FE1"/>
    <w:rsid w:val="006B7AC8"/>
    <w:rsid w:val="006C63D5"/>
    <w:rsid w:val="006C6EAC"/>
    <w:rsid w:val="006C756C"/>
    <w:rsid w:val="006D110A"/>
    <w:rsid w:val="006D112C"/>
    <w:rsid w:val="006D550F"/>
    <w:rsid w:val="006D77F3"/>
    <w:rsid w:val="006E2500"/>
    <w:rsid w:val="006E5A74"/>
    <w:rsid w:val="006F5525"/>
    <w:rsid w:val="007015B8"/>
    <w:rsid w:val="00701CAB"/>
    <w:rsid w:val="007022AA"/>
    <w:rsid w:val="007051CE"/>
    <w:rsid w:val="00706C4D"/>
    <w:rsid w:val="00707098"/>
    <w:rsid w:val="00707340"/>
    <w:rsid w:val="00707563"/>
    <w:rsid w:val="00711AFB"/>
    <w:rsid w:val="007123B4"/>
    <w:rsid w:val="00715C76"/>
    <w:rsid w:val="00720577"/>
    <w:rsid w:val="00722AF4"/>
    <w:rsid w:val="0072348C"/>
    <w:rsid w:val="00724A37"/>
    <w:rsid w:val="00726F0E"/>
    <w:rsid w:val="00727DEF"/>
    <w:rsid w:val="007303C3"/>
    <w:rsid w:val="00730DCF"/>
    <w:rsid w:val="00732C01"/>
    <w:rsid w:val="00733BE6"/>
    <w:rsid w:val="00734AC9"/>
    <w:rsid w:val="00743223"/>
    <w:rsid w:val="00746E01"/>
    <w:rsid w:val="00746F01"/>
    <w:rsid w:val="00747A29"/>
    <w:rsid w:val="007512C9"/>
    <w:rsid w:val="00751696"/>
    <w:rsid w:val="00755791"/>
    <w:rsid w:val="00756707"/>
    <w:rsid w:val="0075688B"/>
    <w:rsid w:val="00757944"/>
    <w:rsid w:val="00763E5D"/>
    <w:rsid w:val="0076627B"/>
    <w:rsid w:val="007663B4"/>
    <w:rsid w:val="00766C5E"/>
    <w:rsid w:val="00767740"/>
    <w:rsid w:val="00767A00"/>
    <w:rsid w:val="00772FA3"/>
    <w:rsid w:val="00777EE6"/>
    <w:rsid w:val="00782C4B"/>
    <w:rsid w:val="00782EEA"/>
    <w:rsid w:val="00783000"/>
    <w:rsid w:val="00783ECA"/>
    <w:rsid w:val="007852DE"/>
    <w:rsid w:val="00785FF4"/>
    <w:rsid w:val="00787463"/>
    <w:rsid w:val="00791BB3"/>
    <w:rsid w:val="007928AA"/>
    <w:rsid w:val="007A0B63"/>
    <w:rsid w:val="007A1D6D"/>
    <w:rsid w:val="007A6F2A"/>
    <w:rsid w:val="007A7F02"/>
    <w:rsid w:val="007B1A64"/>
    <w:rsid w:val="007B2C72"/>
    <w:rsid w:val="007B62B1"/>
    <w:rsid w:val="007B7D27"/>
    <w:rsid w:val="007C0DFE"/>
    <w:rsid w:val="007C1C53"/>
    <w:rsid w:val="007C3314"/>
    <w:rsid w:val="007C4A6C"/>
    <w:rsid w:val="007C5BE9"/>
    <w:rsid w:val="007D275E"/>
    <w:rsid w:val="007D422D"/>
    <w:rsid w:val="007D43C1"/>
    <w:rsid w:val="007E1347"/>
    <w:rsid w:val="007E26A9"/>
    <w:rsid w:val="007E4904"/>
    <w:rsid w:val="007E4CB5"/>
    <w:rsid w:val="007E5E03"/>
    <w:rsid w:val="007F066B"/>
    <w:rsid w:val="007F469E"/>
    <w:rsid w:val="007F46C8"/>
    <w:rsid w:val="007F68F7"/>
    <w:rsid w:val="007F6A63"/>
    <w:rsid w:val="008033C4"/>
    <w:rsid w:val="00804060"/>
    <w:rsid w:val="00806C88"/>
    <w:rsid w:val="0081018D"/>
    <w:rsid w:val="0081034E"/>
    <w:rsid w:val="008107F7"/>
    <w:rsid w:val="0081524E"/>
    <w:rsid w:val="00816A49"/>
    <w:rsid w:val="00816CC1"/>
    <w:rsid w:val="008207AF"/>
    <w:rsid w:val="00825899"/>
    <w:rsid w:val="008311AF"/>
    <w:rsid w:val="008321A7"/>
    <w:rsid w:val="008344F6"/>
    <w:rsid w:val="0083510F"/>
    <w:rsid w:val="00835A05"/>
    <w:rsid w:val="00836B15"/>
    <w:rsid w:val="008404BC"/>
    <w:rsid w:val="00840AF6"/>
    <w:rsid w:val="00841513"/>
    <w:rsid w:val="00842D92"/>
    <w:rsid w:val="00847258"/>
    <w:rsid w:val="00851209"/>
    <w:rsid w:val="00852112"/>
    <w:rsid w:val="00854BF0"/>
    <w:rsid w:val="00854CEE"/>
    <w:rsid w:val="00861298"/>
    <w:rsid w:val="00861F86"/>
    <w:rsid w:val="0086325C"/>
    <w:rsid w:val="00863CC2"/>
    <w:rsid w:val="00865DE3"/>
    <w:rsid w:val="00877985"/>
    <w:rsid w:val="0088007E"/>
    <w:rsid w:val="00881EDE"/>
    <w:rsid w:val="008823D0"/>
    <w:rsid w:val="0088362E"/>
    <w:rsid w:val="0088377C"/>
    <w:rsid w:val="008837AC"/>
    <w:rsid w:val="00887A92"/>
    <w:rsid w:val="00890A5A"/>
    <w:rsid w:val="008945B4"/>
    <w:rsid w:val="0089538C"/>
    <w:rsid w:val="008A2330"/>
    <w:rsid w:val="008A587D"/>
    <w:rsid w:val="008A7E47"/>
    <w:rsid w:val="008B0088"/>
    <w:rsid w:val="008B62D6"/>
    <w:rsid w:val="008C16BB"/>
    <w:rsid w:val="008C3E1E"/>
    <w:rsid w:val="008C5486"/>
    <w:rsid w:val="008C5CBB"/>
    <w:rsid w:val="008D48E3"/>
    <w:rsid w:val="008D5626"/>
    <w:rsid w:val="008E7031"/>
    <w:rsid w:val="008E7ECD"/>
    <w:rsid w:val="008F34C2"/>
    <w:rsid w:val="008F7CD3"/>
    <w:rsid w:val="00906798"/>
    <w:rsid w:val="00907851"/>
    <w:rsid w:val="009120A1"/>
    <w:rsid w:val="00913601"/>
    <w:rsid w:val="00913C3B"/>
    <w:rsid w:val="00913E47"/>
    <w:rsid w:val="00915DCD"/>
    <w:rsid w:val="00921DE8"/>
    <w:rsid w:val="00922C95"/>
    <w:rsid w:val="009233EE"/>
    <w:rsid w:val="00923F15"/>
    <w:rsid w:val="0092755B"/>
    <w:rsid w:val="00933143"/>
    <w:rsid w:val="00935D49"/>
    <w:rsid w:val="00936630"/>
    <w:rsid w:val="00941858"/>
    <w:rsid w:val="00945095"/>
    <w:rsid w:val="009453F9"/>
    <w:rsid w:val="00945F50"/>
    <w:rsid w:val="00955269"/>
    <w:rsid w:val="00955E60"/>
    <w:rsid w:val="0095683B"/>
    <w:rsid w:val="0095704E"/>
    <w:rsid w:val="009661DE"/>
    <w:rsid w:val="00967670"/>
    <w:rsid w:val="00971C4D"/>
    <w:rsid w:val="00972E73"/>
    <w:rsid w:val="00975792"/>
    <w:rsid w:val="00980F47"/>
    <w:rsid w:val="009814BE"/>
    <w:rsid w:val="009827EB"/>
    <w:rsid w:val="00984235"/>
    <w:rsid w:val="009856B7"/>
    <w:rsid w:val="0098602B"/>
    <w:rsid w:val="00991B3B"/>
    <w:rsid w:val="00993BF6"/>
    <w:rsid w:val="0099438B"/>
    <w:rsid w:val="009962BA"/>
    <w:rsid w:val="009A0A2B"/>
    <w:rsid w:val="009A1588"/>
    <w:rsid w:val="009B254D"/>
    <w:rsid w:val="009B2B84"/>
    <w:rsid w:val="009B72E4"/>
    <w:rsid w:val="009B74B0"/>
    <w:rsid w:val="009C1EAE"/>
    <w:rsid w:val="009C2938"/>
    <w:rsid w:val="009C4A7F"/>
    <w:rsid w:val="009C4E52"/>
    <w:rsid w:val="009C6F21"/>
    <w:rsid w:val="009D4414"/>
    <w:rsid w:val="009D6B46"/>
    <w:rsid w:val="009E11DD"/>
    <w:rsid w:val="009E2403"/>
    <w:rsid w:val="009E5FC7"/>
    <w:rsid w:val="009E7EEA"/>
    <w:rsid w:val="009F0D4C"/>
    <w:rsid w:val="009F4940"/>
    <w:rsid w:val="009F77DD"/>
    <w:rsid w:val="00A037E9"/>
    <w:rsid w:val="00A03AEA"/>
    <w:rsid w:val="00A03C5C"/>
    <w:rsid w:val="00A07335"/>
    <w:rsid w:val="00A13FFF"/>
    <w:rsid w:val="00A14B6A"/>
    <w:rsid w:val="00A15600"/>
    <w:rsid w:val="00A1665B"/>
    <w:rsid w:val="00A17E97"/>
    <w:rsid w:val="00A22CEF"/>
    <w:rsid w:val="00A24404"/>
    <w:rsid w:val="00A24C82"/>
    <w:rsid w:val="00A256E2"/>
    <w:rsid w:val="00A25F4C"/>
    <w:rsid w:val="00A26920"/>
    <w:rsid w:val="00A37CE5"/>
    <w:rsid w:val="00A407FB"/>
    <w:rsid w:val="00A4478A"/>
    <w:rsid w:val="00A44852"/>
    <w:rsid w:val="00A45705"/>
    <w:rsid w:val="00A4724F"/>
    <w:rsid w:val="00A478CF"/>
    <w:rsid w:val="00A47C24"/>
    <w:rsid w:val="00A506AF"/>
    <w:rsid w:val="00A57D04"/>
    <w:rsid w:val="00A60A26"/>
    <w:rsid w:val="00A61598"/>
    <w:rsid w:val="00A6611D"/>
    <w:rsid w:val="00A6693D"/>
    <w:rsid w:val="00A66D3E"/>
    <w:rsid w:val="00A67030"/>
    <w:rsid w:val="00A736A8"/>
    <w:rsid w:val="00A7739E"/>
    <w:rsid w:val="00A77DC2"/>
    <w:rsid w:val="00A800C4"/>
    <w:rsid w:val="00A81A8A"/>
    <w:rsid w:val="00A84F46"/>
    <w:rsid w:val="00A85CA9"/>
    <w:rsid w:val="00A871F4"/>
    <w:rsid w:val="00A911FC"/>
    <w:rsid w:val="00A92F23"/>
    <w:rsid w:val="00A95514"/>
    <w:rsid w:val="00AA2627"/>
    <w:rsid w:val="00AA36E7"/>
    <w:rsid w:val="00AA51E0"/>
    <w:rsid w:val="00AB310D"/>
    <w:rsid w:val="00AB4B90"/>
    <w:rsid w:val="00AB537D"/>
    <w:rsid w:val="00AB6528"/>
    <w:rsid w:val="00AC1B2C"/>
    <w:rsid w:val="00AC1FB8"/>
    <w:rsid w:val="00AC3264"/>
    <w:rsid w:val="00AC3378"/>
    <w:rsid w:val="00AC6F01"/>
    <w:rsid w:val="00AC7784"/>
    <w:rsid w:val="00AD0B30"/>
    <w:rsid w:val="00AD16C0"/>
    <w:rsid w:val="00AD24CF"/>
    <w:rsid w:val="00AD3382"/>
    <w:rsid w:val="00AD5A88"/>
    <w:rsid w:val="00AD6F7C"/>
    <w:rsid w:val="00AE0FE2"/>
    <w:rsid w:val="00AE16B5"/>
    <w:rsid w:val="00AE1BF1"/>
    <w:rsid w:val="00AE269D"/>
    <w:rsid w:val="00AE3223"/>
    <w:rsid w:val="00AE3A6F"/>
    <w:rsid w:val="00AF0DD2"/>
    <w:rsid w:val="00AF2073"/>
    <w:rsid w:val="00AF29ED"/>
    <w:rsid w:val="00AF6BF8"/>
    <w:rsid w:val="00B07BBE"/>
    <w:rsid w:val="00B10314"/>
    <w:rsid w:val="00B107C0"/>
    <w:rsid w:val="00B10E48"/>
    <w:rsid w:val="00B13048"/>
    <w:rsid w:val="00B145BE"/>
    <w:rsid w:val="00B1474A"/>
    <w:rsid w:val="00B15998"/>
    <w:rsid w:val="00B16838"/>
    <w:rsid w:val="00B1716D"/>
    <w:rsid w:val="00B17A1D"/>
    <w:rsid w:val="00B207A0"/>
    <w:rsid w:val="00B23856"/>
    <w:rsid w:val="00B279DD"/>
    <w:rsid w:val="00B31BF6"/>
    <w:rsid w:val="00B46AC6"/>
    <w:rsid w:val="00B50BC9"/>
    <w:rsid w:val="00B52CD7"/>
    <w:rsid w:val="00B55E50"/>
    <w:rsid w:val="00B56E03"/>
    <w:rsid w:val="00B573B7"/>
    <w:rsid w:val="00B60F5D"/>
    <w:rsid w:val="00B636D5"/>
    <w:rsid w:val="00B6475E"/>
    <w:rsid w:val="00B67E91"/>
    <w:rsid w:val="00B71EF9"/>
    <w:rsid w:val="00B72765"/>
    <w:rsid w:val="00B73C53"/>
    <w:rsid w:val="00B76790"/>
    <w:rsid w:val="00B77FAF"/>
    <w:rsid w:val="00B8080B"/>
    <w:rsid w:val="00B81452"/>
    <w:rsid w:val="00B87C39"/>
    <w:rsid w:val="00B951CE"/>
    <w:rsid w:val="00B97D27"/>
    <w:rsid w:val="00BA1262"/>
    <w:rsid w:val="00BA3E64"/>
    <w:rsid w:val="00BA4665"/>
    <w:rsid w:val="00BA5784"/>
    <w:rsid w:val="00BA6DC4"/>
    <w:rsid w:val="00BB2965"/>
    <w:rsid w:val="00BB2FB2"/>
    <w:rsid w:val="00BB3304"/>
    <w:rsid w:val="00BB429F"/>
    <w:rsid w:val="00BD1465"/>
    <w:rsid w:val="00BD3446"/>
    <w:rsid w:val="00BD4F7D"/>
    <w:rsid w:val="00BD55A5"/>
    <w:rsid w:val="00BE0A1D"/>
    <w:rsid w:val="00BE1F1B"/>
    <w:rsid w:val="00BE3C42"/>
    <w:rsid w:val="00BE47B5"/>
    <w:rsid w:val="00BE4C99"/>
    <w:rsid w:val="00BF1FFB"/>
    <w:rsid w:val="00BF2D2D"/>
    <w:rsid w:val="00BF3ED7"/>
    <w:rsid w:val="00BF661B"/>
    <w:rsid w:val="00C058AB"/>
    <w:rsid w:val="00C06739"/>
    <w:rsid w:val="00C144E0"/>
    <w:rsid w:val="00C14A5C"/>
    <w:rsid w:val="00C16994"/>
    <w:rsid w:val="00C17052"/>
    <w:rsid w:val="00C2064D"/>
    <w:rsid w:val="00C23298"/>
    <w:rsid w:val="00C251C1"/>
    <w:rsid w:val="00C25A65"/>
    <w:rsid w:val="00C26937"/>
    <w:rsid w:val="00C305CD"/>
    <w:rsid w:val="00C31B07"/>
    <w:rsid w:val="00C34CF8"/>
    <w:rsid w:val="00C35A55"/>
    <w:rsid w:val="00C36573"/>
    <w:rsid w:val="00C369F4"/>
    <w:rsid w:val="00C410E3"/>
    <w:rsid w:val="00C412AB"/>
    <w:rsid w:val="00C4151B"/>
    <w:rsid w:val="00C47524"/>
    <w:rsid w:val="00C538A9"/>
    <w:rsid w:val="00C53B5A"/>
    <w:rsid w:val="00C54F5A"/>
    <w:rsid w:val="00C56244"/>
    <w:rsid w:val="00C6681E"/>
    <w:rsid w:val="00C72C99"/>
    <w:rsid w:val="00C7408D"/>
    <w:rsid w:val="00C755AD"/>
    <w:rsid w:val="00C81346"/>
    <w:rsid w:val="00C8389C"/>
    <w:rsid w:val="00C86679"/>
    <w:rsid w:val="00C93DC7"/>
    <w:rsid w:val="00C96F55"/>
    <w:rsid w:val="00C97BFF"/>
    <w:rsid w:val="00CA130D"/>
    <w:rsid w:val="00CA2F26"/>
    <w:rsid w:val="00CA37CA"/>
    <w:rsid w:val="00CB0F0C"/>
    <w:rsid w:val="00CB666B"/>
    <w:rsid w:val="00CB75D7"/>
    <w:rsid w:val="00CB7638"/>
    <w:rsid w:val="00CC07AA"/>
    <w:rsid w:val="00CC1643"/>
    <w:rsid w:val="00CC2659"/>
    <w:rsid w:val="00CC5D51"/>
    <w:rsid w:val="00CD1AC8"/>
    <w:rsid w:val="00CD2373"/>
    <w:rsid w:val="00CD252C"/>
    <w:rsid w:val="00CD3FCE"/>
    <w:rsid w:val="00CD443A"/>
    <w:rsid w:val="00CD4F4E"/>
    <w:rsid w:val="00CD614C"/>
    <w:rsid w:val="00CE6BCF"/>
    <w:rsid w:val="00CF0739"/>
    <w:rsid w:val="00CF23EB"/>
    <w:rsid w:val="00CF39BC"/>
    <w:rsid w:val="00CF4762"/>
    <w:rsid w:val="00CF5CF4"/>
    <w:rsid w:val="00CF799E"/>
    <w:rsid w:val="00D0062C"/>
    <w:rsid w:val="00D01A6E"/>
    <w:rsid w:val="00D01CF0"/>
    <w:rsid w:val="00D0253C"/>
    <w:rsid w:val="00D03310"/>
    <w:rsid w:val="00D0442A"/>
    <w:rsid w:val="00D06837"/>
    <w:rsid w:val="00D07FBB"/>
    <w:rsid w:val="00D106E6"/>
    <w:rsid w:val="00D1293B"/>
    <w:rsid w:val="00D1421B"/>
    <w:rsid w:val="00D16700"/>
    <w:rsid w:val="00D203E1"/>
    <w:rsid w:val="00D205E8"/>
    <w:rsid w:val="00D20609"/>
    <w:rsid w:val="00D2102F"/>
    <w:rsid w:val="00D25035"/>
    <w:rsid w:val="00D256E0"/>
    <w:rsid w:val="00D257EE"/>
    <w:rsid w:val="00D25E41"/>
    <w:rsid w:val="00D3516E"/>
    <w:rsid w:val="00D42D92"/>
    <w:rsid w:val="00D44E1E"/>
    <w:rsid w:val="00D45CEF"/>
    <w:rsid w:val="00D461CF"/>
    <w:rsid w:val="00D507D3"/>
    <w:rsid w:val="00D520D8"/>
    <w:rsid w:val="00D52317"/>
    <w:rsid w:val="00D52E21"/>
    <w:rsid w:val="00D530B4"/>
    <w:rsid w:val="00D537C5"/>
    <w:rsid w:val="00D544B8"/>
    <w:rsid w:val="00D57582"/>
    <w:rsid w:val="00D57992"/>
    <w:rsid w:val="00D61388"/>
    <w:rsid w:val="00D61A54"/>
    <w:rsid w:val="00D64DEA"/>
    <w:rsid w:val="00D66C69"/>
    <w:rsid w:val="00D73E67"/>
    <w:rsid w:val="00D75BC0"/>
    <w:rsid w:val="00D7776D"/>
    <w:rsid w:val="00D80893"/>
    <w:rsid w:val="00D828C1"/>
    <w:rsid w:val="00D829A9"/>
    <w:rsid w:val="00D83459"/>
    <w:rsid w:val="00D85365"/>
    <w:rsid w:val="00D85E96"/>
    <w:rsid w:val="00D86B5D"/>
    <w:rsid w:val="00D87354"/>
    <w:rsid w:val="00D90F43"/>
    <w:rsid w:val="00D92752"/>
    <w:rsid w:val="00D92CF1"/>
    <w:rsid w:val="00D92D38"/>
    <w:rsid w:val="00D94B9E"/>
    <w:rsid w:val="00D950F5"/>
    <w:rsid w:val="00D96549"/>
    <w:rsid w:val="00D965A8"/>
    <w:rsid w:val="00DA32C2"/>
    <w:rsid w:val="00DB08B9"/>
    <w:rsid w:val="00DB0F93"/>
    <w:rsid w:val="00DB7F83"/>
    <w:rsid w:val="00DC18A0"/>
    <w:rsid w:val="00DC390E"/>
    <w:rsid w:val="00DC542F"/>
    <w:rsid w:val="00DC5623"/>
    <w:rsid w:val="00DC5EF4"/>
    <w:rsid w:val="00DC65CF"/>
    <w:rsid w:val="00DC7314"/>
    <w:rsid w:val="00DC7981"/>
    <w:rsid w:val="00DD2499"/>
    <w:rsid w:val="00DD7648"/>
    <w:rsid w:val="00DE0450"/>
    <w:rsid w:val="00DE37CD"/>
    <w:rsid w:val="00DE4EFA"/>
    <w:rsid w:val="00DE5520"/>
    <w:rsid w:val="00DE5B43"/>
    <w:rsid w:val="00DE7CA0"/>
    <w:rsid w:val="00DF389A"/>
    <w:rsid w:val="00E01197"/>
    <w:rsid w:val="00E0130C"/>
    <w:rsid w:val="00E01A14"/>
    <w:rsid w:val="00E04818"/>
    <w:rsid w:val="00E06442"/>
    <w:rsid w:val="00E12412"/>
    <w:rsid w:val="00E16FF7"/>
    <w:rsid w:val="00E2390E"/>
    <w:rsid w:val="00E23993"/>
    <w:rsid w:val="00E2546F"/>
    <w:rsid w:val="00E2586B"/>
    <w:rsid w:val="00E25B8C"/>
    <w:rsid w:val="00E27D95"/>
    <w:rsid w:val="00E34830"/>
    <w:rsid w:val="00E3513F"/>
    <w:rsid w:val="00E35713"/>
    <w:rsid w:val="00E3793D"/>
    <w:rsid w:val="00E4197A"/>
    <w:rsid w:val="00E44210"/>
    <w:rsid w:val="00E4674F"/>
    <w:rsid w:val="00E50575"/>
    <w:rsid w:val="00E530BF"/>
    <w:rsid w:val="00E532A8"/>
    <w:rsid w:val="00E5501C"/>
    <w:rsid w:val="00E55910"/>
    <w:rsid w:val="00E614CF"/>
    <w:rsid w:val="00E65C85"/>
    <w:rsid w:val="00E66199"/>
    <w:rsid w:val="00E71D71"/>
    <w:rsid w:val="00E71DE6"/>
    <w:rsid w:val="00E72CF9"/>
    <w:rsid w:val="00E755EC"/>
    <w:rsid w:val="00E7624D"/>
    <w:rsid w:val="00E77110"/>
    <w:rsid w:val="00E7774B"/>
    <w:rsid w:val="00E80D20"/>
    <w:rsid w:val="00E82BDD"/>
    <w:rsid w:val="00E866D0"/>
    <w:rsid w:val="00E97082"/>
    <w:rsid w:val="00E97960"/>
    <w:rsid w:val="00EA034D"/>
    <w:rsid w:val="00EA0388"/>
    <w:rsid w:val="00EA3D42"/>
    <w:rsid w:val="00EA417D"/>
    <w:rsid w:val="00EA5E10"/>
    <w:rsid w:val="00EA6B1B"/>
    <w:rsid w:val="00EB2D19"/>
    <w:rsid w:val="00EB35A9"/>
    <w:rsid w:val="00EB4255"/>
    <w:rsid w:val="00EC1068"/>
    <w:rsid w:val="00EC2671"/>
    <w:rsid w:val="00ED3A3F"/>
    <w:rsid w:val="00ED7300"/>
    <w:rsid w:val="00EE28F3"/>
    <w:rsid w:val="00EE32CD"/>
    <w:rsid w:val="00EE3F3C"/>
    <w:rsid w:val="00EE4417"/>
    <w:rsid w:val="00EE7DA4"/>
    <w:rsid w:val="00EF0061"/>
    <w:rsid w:val="00EF103D"/>
    <w:rsid w:val="00EF484A"/>
    <w:rsid w:val="00EF5110"/>
    <w:rsid w:val="00EF6942"/>
    <w:rsid w:val="00EF6964"/>
    <w:rsid w:val="00F033B3"/>
    <w:rsid w:val="00F064D5"/>
    <w:rsid w:val="00F12C20"/>
    <w:rsid w:val="00F13704"/>
    <w:rsid w:val="00F15882"/>
    <w:rsid w:val="00F15B98"/>
    <w:rsid w:val="00F1773B"/>
    <w:rsid w:val="00F20771"/>
    <w:rsid w:val="00F20BD3"/>
    <w:rsid w:val="00F24F0B"/>
    <w:rsid w:val="00F3693D"/>
    <w:rsid w:val="00F373A5"/>
    <w:rsid w:val="00F41835"/>
    <w:rsid w:val="00F46191"/>
    <w:rsid w:val="00F47559"/>
    <w:rsid w:val="00F47A7B"/>
    <w:rsid w:val="00F5353A"/>
    <w:rsid w:val="00F57300"/>
    <w:rsid w:val="00F60BE4"/>
    <w:rsid w:val="00F60F2D"/>
    <w:rsid w:val="00F61B84"/>
    <w:rsid w:val="00F63587"/>
    <w:rsid w:val="00F64C7B"/>
    <w:rsid w:val="00F671BE"/>
    <w:rsid w:val="00F676DD"/>
    <w:rsid w:val="00F67D05"/>
    <w:rsid w:val="00F75A26"/>
    <w:rsid w:val="00F81FA1"/>
    <w:rsid w:val="00F82104"/>
    <w:rsid w:val="00F83A0E"/>
    <w:rsid w:val="00F83FAD"/>
    <w:rsid w:val="00F87CDB"/>
    <w:rsid w:val="00F90E23"/>
    <w:rsid w:val="00F91DC6"/>
    <w:rsid w:val="00F921FB"/>
    <w:rsid w:val="00F952A0"/>
    <w:rsid w:val="00F96A85"/>
    <w:rsid w:val="00F97E28"/>
    <w:rsid w:val="00FA1C20"/>
    <w:rsid w:val="00FA3C7F"/>
    <w:rsid w:val="00FA6A33"/>
    <w:rsid w:val="00FB01E5"/>
    <w:rsid w:val="00FB1A65"/>
    <w:rsid w:val="00FB52D7"/>
    <w:rsid w:val="00FB6617"/>
    <w:rsid w:val="00FB74E2"/>
    <w:rsid w:val="00FC4780"/>
    <w:rsid w:val="00FD273B"/>
    <w:rsid w:val="00FD5614"/>
    <w:rsid w:val="00FD60E3"/>
    <w:rsid w:val="00FD7474"/>
    <w:rsid w:val="00FE0BE1"/>
    <w:rsid w:val="00FE1164"/>
    <w:rsid w:val="00FE1DE9"/>
    <w:rsid w:val="00FE39C2"/>
    <w:rsid w:val="00FE49CE"/>
    <w:rsid w:val="00FE4D7B"/>
    <w:rsid w:val="00FE5D3F"/>
    <w:rsid w:val="00FE5E61"/>
    <w:rsid w:val="00FE6417"/>
    <w:rsid w:val="00FE64AE"/>
    <w:rsid w:val="00FF16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2"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E6F96"/>
    <w:pPr>
      <w:spacing w:before="200"/>
    </w:pPr>
    <w:rPr>
      <w:sz w:val="22"/>
      <w:szCs w:val="22"/>
      <w:lang w:eastAsia="en-US"/>
    </w:rPr>
  </w:style>
  <w:style w:type="paragraph" w:styleId="Heading1">
    <w:name w:val="heading 1"/>
    <w:basedOn w:val="Normal"/>
    <w:next w:val="Normal"/>
    <w:link w:val="Heading1Char"/>
    <w:qFormat/>
    <w:rsid w:val="009D6B46"/>
    <w:pPr>
      <w:spacing w:before="240"/>
      <w:outlineLvl w:val="0"/>
    </w:pPr>
    <w:rPr>
      <w:rFonts w:ascii="Lucida Fax" w:eastAsia="Times New Roman" w:hAnsi="Lucida Fax"/>
      <w:bCs/>
      <w:color w:val="51626F"/>
      <w:sz w:val="32"/>
      <w:szCs w:val="28"/>
    </w:rPr>
  </w:style>
  <w:style w:type="paragraph" w:styleId="Heading2">
    <w:name w:val="heading 2"/>
    <w:next w:val="Normal"/>
    <w:link w:val="Heading2Char"/>
    <w:qFormat/>
    <w:rsid w:val="009D6B46"/>
    <w:pPr>
      <w:spacing w:before="200" w:line="240" w:lineRule="atLeast"/>
      <w:outlineLvl w:val="1"/>
    </w:pPr>
    <w:rPr>
      <w:rFonts w:eastAsia="Times New Roman"/>
      <w:b/>
      <w:bCs/>
      <w:color w:val="51626F"/>
      <w:sz w:val="28"/>
      <w:szCs w:val="26"/>
      <w:lang w:eastAsia="en-US"/>
    </w:rPr>
  </w:style>
  <w:style w:type="paragraph" w:styleId="Heading3">
    <w:name w:val="heading 3"/>
    <w:basedOn w:val="Normal"/>
    <w:next w:val="Normal"/>
    <w:link w:val="Heading3Char"/>
    <w:qFormat/>
    <w:rsid w:val="009D6B46"/>
    <w:pPr>
      <w:spacing w:before="240"/>
      <w:outlineLvl w:val="2"/>
    </w:pPr>
    <w:rPr>
      <w:rFonts w:eastAsia="Times New Roman"/>
      <w:b/>
      <w:bCs/>
      <w:color w:val="000000"/>
      <w:sz w:val="24"/>
    </w:rPr>
  </w:style>
  <w:style w:type="paragraph" w:styleId="Heading4">
    <w:name w:val="heading 4"/>
    <w:basedOn w:val="Normal"/>
    <w:next w:val="Normal"/>
    <w:link w:val="Heading4Char"/>
    <w:qFormat/>
    <w:rsid w:val="009D6B46"/>
    <w:pPr>
      <w:spacing w:before="240"/>
      <w:outlineLvl w:val="3"/>
    </w:pPr>
    <w:rPr>
      <w:rFonts w:eastAsia="Times New Roman"/>
      <w:b/>
      <w:bCs/>
      <w:i/>
      <w:iCs/>
      <w:color w:val="51626F"/>
      <w:sz w:val="24"/>
    </w:rPr>
  </w:style>
  <w:style w:type="paragraph" w:styleId="Heading5">
    <w:name w:val="heading 5"/>
    <w:next w:val="Normal"/>
    <w:link w:val="Heading5Char"/>
    <w:uiPriority w:val="2"/>
    <w:qFormat/>
    <w:rsid w:val="009D6B46"/>
    <w:pPr>
      <w:spacing w:before="200" w:line="240" w:lineRule="atLeast"/>
      <w:outlineLvl w:val="4"/>
    </w:pPr>
    <w:rPr>
      <w:rFonts w:eastAsia="Times New Roman"/>
      <w:b/>
      <w:color w:val="283037"/>
      <w:sz w:val="22"/>
      <w:szCs w:val="22"/>
      <w:lang w:eastAsia="en-US"/>
    </w:rPr>
  </w:style>
  <w:style w:type="paragraph" w:styleId="Heading6">
    <w:name w:val="heading 6"/>
    <w:basedOn w:val="Normal"/>
    <w:next w:val="Normal"/>
    <w:link w:val="Heading6Char"/>
    <w:uiPriority w:val="2"/>
    <w:qFormat/>
    <w:rsid w:val="009D6B46"/>
    <w:pPr>
      <w:spacing w:before="240"/>
      <w:outlineLvl w:val="5"/>
    </w:pPr>
    <w:rPr>
      <w:rFonts w:eastAsia="Times New Roman"/>
      <w:b/>
      <w:i/>
      <w:iCs/>
    </w:rPr>
  </w:style>
  <w:style w:type="paragraph" w:styleId="Heading7">
    <w:name w:val="heading 7"/>
    <w:basedOn w:val="Normal"/>
    <w:next w:val="Normal"/>
    <w:link w:val="Heading7Char"/>
    <w:uiPriority w:val="2"/>
    <w:qFormat/>
    <w:rsid w:val="009D6B46"/>
    <w:pPr>
      <w:spacing w:before="240"/>
      <w:outlineLvl w:val="6"/>
    </w:pPr>
    <w:rPr>
      <w:rFonts w:eastAsia="Times New Roman"/>
      <w:i/>
      <w:iCs/>
      <w:color w:val="404040"/>
    </w:rPr>
  </w:style>
  <w:style w:type="paragraph" w:styleId="Heading8">
    <w:name w:val="heading 8"/>
    <w:basedOn w:val="Normal"/>
    <w:next w:val="Normal"/>
    <w:link w:val="Heading8Char"/>
    <w:uiPriority w:val="2"/>
    <w:qFormat/>
    <w:rsid w:val="009D6B46"/>
    <w:pPr>
      <w:spacing w:before="240"/>
      <w:outlineLvl w:val="7"/>
    </w:pPr>
    <w:rPr>
      <w:rFonts w:eastAsia="Times New Roman"/>
      <w:color w:val="51626F"/>
      <w:szCs w:val="20"/>
    </w:rPr>
  </w:style>
  <w:style w:type="paragraph" w:styleId="Heading9">
    <w:name w:val="heading 9"/>
    <w:aliases w:val="Numbered Table"/>
    <w:basedOn w:val="Normal"/>
    <w:next w:val="Normal"/>
    <w:link w:val="Heading9Char"/>
    <w:uiPriority w:val="2"/>
    <w:qFormat/>
    <w:rsid w:val="00646025"/>
    <w:pPr>
      <w:numPr>
        <w:numId w:val="26"/>
      </w:numPr>
      <w:tabs>
        <w:tab w:val="left" w:pos="340"/>
      </w:tabs>
      <w:spacing w:before="240" w:after="120"/>
      <w:outlineLvl w:val="8"/>
    </w:pPr>
    <w:rPr>
      <w:rFonts w:eastAsia="Times New Roman"/>
      <w:b/>
      <w:i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6B46"/>
    <w:rPr>
      <w:rFonts w:ascii="Lucida Fax" w:eastAsia="Times New Roman" w:hAnsi="Lucida Fax" w:cs="Times New Roman"/>
      <w:bCs/>
      <w:color w:val="51626F"/>
      <w:sz w:val="32"/>
      <w:szCs w:val="28"/>
    </w:rPr>
  </w:style>
  <w:style w:type="character" w:customStyle="1" w:styleId="Heading2Char">
    <w:name w:val="Heading 2 Char"/>
    <w:link w:val="Heading2"/>
    <w:rsid w:val="009D6B46"/>
    <w:rPr>
      <w:rFonts w:ascii="Arial" w:eastAsia="Times New Roman" w:hAnsi="Arial" w:cs="Times New Roman"/>
      <w:b/>
      <w:bCs/>
      <w:color w:val="51626F"/>
      <w:sz w:val="28"/>
      <w:szCs w:val="26"/>
    </w:rPr>
  </w:style>
  <w:style w:type="character" w:customStyle="1" w:styleId="Heading3Char">
    <w:name w:val="Heading 3 Char"/>
    <w:link w:val="Heading3"/>
    <w:rsid w:val="009D6B46"/>
    <w:rPr>
      <w:rFonts w:ascii="Arial" w:eastAsia="Times New Roman" w:hAnsi="Arial" w:cs="Times New Roman"/>
      <w:b/>
      <w:bCs/>
      <w:color w:val="000000"/>
      <w:sz w:val="24"/>
    </w:rPr>
  </w:style>
  <w:style w:type="character" w:customStyle="1" w:styleId="Heading4Char">
    <w:name w:val="Heading 4 Char"/>
    <w:link w:val="Heading4"/>
    <w:rsid w:val="009D6B46"/>
    <w:rPr>
      <w:rFonts w:ascii="Arial" w:eastAsia="Times New Roman" w:hAnsi="Arial" w:cs="Times New Roman"/>
      <w:b/>
      <w:bCs/>
      <w:i/>
      <w:iCs/>
      <w:color w:val="51626F"/>
      <w:sz w:val="24"/>
    </w:rPr>
  </w:style>
  <w:style w:type="character" w:customStyle="1" w:styleId="Heading5Char">
    <w:name w:val="Heading 5 Char"/>
    <w:link w:val="Heading5"/>
    <w:uiPriority w:val="2"/>
    <w:rsid w:val="009D6B46"/>
    <w:rPr>
      <w:rFonts w:ascii="Arial" w:eastAsia="Times New Roman" w:hAnsi="Arial" w:cs="Times New Roman"/>
      <w:b/>
      <w:color w:val="283037"/>
    </w:rPr>
  </w:style>
  <w:style w:type="character" w:customStyle="1" w:styleId="Heading6Char">
    <w:name w:val="Heading 6 Char"/>
    <w:link w:val="Heading6"/>
    <w:uiPriority w:val="2"/>
    <w:rsid w:val="009D6B46"/>
    <w:rPr>
      <w:rFonts w:ascii="Arial" w:eastAsia="Times New Roman" w:hAnsi="Arial" w:cs="Times New Roman"/>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sz w:val="16"/>
      <w:szCs w:val="16"/>
    </w:rPr>
  </w:style>
  <w:style w:type="character" w:customStyle="1" w:styleId="CopyrighttextChar">
    <w:name w:val="Copyright text Char"/>
    <w:link w:val="Copyrighttext"/>
    <w:uiPriority w:val="2"/>
    <w:rsid w:val="00724A37"/>
    <w:rPr>
      <w:rFonts w:ascii="Arial" w:hAnsi="Arial"/>
      <w:color w:val="51626F"/>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tabs>
        <w:tab w:val="left" w:pos="680"/>
      </w:tabs>
    </w:pPr>
  </w:style>
  <w:style w:type="paragraph" w:customStyle="1" w:styleId="Numbered11">
    <w:name w:val="Numbered 1.1"/>
    <w:basedOn w:val="Heading2"/>
    <w:next w:val="Normal"/>
    <w:qFormat/>
    <w:rsid w:val="00F61B84"/>
    <w:pPr>
      <w:tabs>
        <w:tab w:val="left" w:pos="1021"/>
      </w:tabs>
    </w:pPr>
    <w:rPr>
      <w:rFonts w:cs="Arial"/>
      <w:b w:val="0"/>
    </w:rPr>
  </w:style>
  <w:style w:type="paragraph" w:customStyle="1" w:styleId="Numbered111">
    <w:name w:val="Numbered 1.1.1"/>
    <w:basedOn w:val="Heading3"/>
    <w:next w:val="Normal"/>
    <w:qFormat/>
    <w:rsid w:val="00F61B84"/>
    <w:pPr>
      <w:tabs>
        <w:tab w:val="left" w:pos="1361"/>
      </w:tabs>
      <w:contextualSpacing/>
    </w:pPr>
  </w:style>
  <w:style w:type="paragraph" w:customStyle="1" w:styleId="Numbered1111">
    <w:name w:val="Numbered 1.1.1.1"/>
    <w:basedOn w:val="Heading4"/>
    <w:next w:val="Normal"/>
    <w:rsid w:val="00F61B84"/>
    <w:pPr>
      <w:tabs>
        <w:tab w:val="left" w:pos="1361"/>
      </w:tabs>
    </w:pPr>
  </w:style>
  <w:style w:type="paragraph" w:customStyle="1" w:styleId="Numbered11111">
    <w:name w:val="Numbered 1.1.1.1.1"/>
    <w:basedOn w:val="Heading5"/>
    <w:next w:val="Normal"/>
    <w:uiPriority w:val="2"/>
    <w:rsid w:val="00F61B84"/>
    <w:pPr>
      <w:tabs>
        <w:tab w:val="left" w:pos="1701"/>
      </w:tabs>
    </w:pPr>
  </w:style>
  <w:style w:type="paragraph" w:customStyle="1" w:styleId="Numbered111111">
    <w:name w:val="Numbered 1.1.1.1.1.1"/>
    <w:basedOn w:val="Heading6"/>
    <w:next w:val="Normal"/>
    <w:uiPriority w:val="2"/>
    <w:rsid w:val="00F61B84"/>
    <w:p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sz w:val="18"/>
    </w:rPr>
  </w:style>
  <w:style w:type="character" w:customStyle="1" w:styleId="HeaderChar">
    <w:name w:val="Header Char"/>
    <w:link w:val="Header"/>
    <w:uiPriority w:val="99"/>
    <w:rsid w:val="008344F6"/>
    <w:rPr>
      <w:rFonts w:ascii="Arial" w:hAnsi="Arial"/>
      <w:color w:val="51626F"/>
      <w:sz w:val="18"/>
    </w:rPr>
  </w:style>
  <w:style w:type="paragraph" w:styleId="NoSpacing">
    <w:name w:val="No Spacing"/>
    <w:uiPriority w:val="1"/>
    <w:qFormat/>
    <w:rsid w:val="00724A37"/>
    <w:rPr>
      <w:sz w:val="22"/>
      <w:szCs w:val="22"/>
      <w:lang w:eastAsia="en-US"/>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left w:val="single" w:sz="4" w:space="4" w:color="FFFFFF"/>
        <w:bottom w:val="single" w:sz="4" w:space="1" w:color="FFFFFF"/>
        <w:right w:val="single" w:sz="4" w:space="4" w:color="FFFFFF"/>
      </w:pBdr>
      <w:shd w:val="clear" w:color="auto" w:fill="F2F2F2"/>
      <w:spacing w:after="240"/>
    </w:pPr>
    <w:rPr>
      <w:szCs w:val="20"/>
    </w:rPr>
  </w:style>
  <w:style w:type="character" w:customStyle="1" w:styleId="BoxedtextChar">
    <w:name w:val="Boxed text Char"/>
    <w:link w:val="Boxedtext"/>
    <w:uiPriority w:val="1"/>
    <w:rsid w:val="00AE1BF1"/>
    <w:rPr>
      <w:rFonts w:ascii="Arial" w:hAnsi="Arial"/>
      <w:szCs w:val="20"/>
      <w:shd w:val="clear" w:color="auto" w:fill="F2F2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 w:val="22"/>
      <w:szCs w:val="24"/>
      <w:lang w:eastAsia="en-US"/>
    </w:rPr>
  </w:style>
  <w:style w:type="character" w:customStyle="1" w:styleId="PullquotetextChar">
    <w:name w:val="Pull quote text 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rPr>
  </w:style>
  <w:style w:type="character" w:customStyle="1" w:styleId="QuoteChar">
    <w:name w:val="Quote Char"/>
    <w:link w:val="Quote"/>
    <w:uiPriority w:val="29"/>
    <w:rsid w:val="001D055E"/>
    <w:rPr>
      <w:rFonts w:ascii="Arial" w:hAnsi="Arial"/>
      <w:i/>
      <w:iCs/>
      <w:color w:val="000000"/>
    </w:rPr>
  </w:style>
  <w:style w:type="paragraph" w:customStyle="1" w:styleId="Bulletpoint">
    <w:name w:val="Bullet point"/>
    <w:basedOn w:val="ListBullet"/>
    <w:qFormat/>
    <w:rsid w:val="00E4674F"/>
    <w:pPr>
      <w:numPr>
        <w:numId w:val="2"/>
      </w:numPr>
    </w:p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2"/>
      </w:numPr>
      <w:spacing w:before="120"/>
    </w:pPr>
    <w:rPr>
      <w:color w:val="000000"/>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imes New Roman" w:hAnsi="Lucida Fax"/>
      <w:bCs/>
      <w:color w:val="51626F"/>
      <w:sz w:val="32"/>
      <w:szCs w:val="28"/>
      <w:lang w:val="en-US" w:eastAsia="ja-JP"/>
    </w:rPr>
  </w:style>
  <w:style w:type="paragraph" w:styleId="ListNumber2">
    <w:name w:val="List Number 2"/>
    <w:next w:val="Normal"/>
    <w:uiPriority w:val="99"/>
    <w:rsid w:val="00BE4C99"/>
    <w:pPr>
      <w:numPr>
        <w:numId w:val="23"/>
      </w:numPr>
      <w:tabs>
        <w:tab w:val="left" w:pos="680"/>
      </w:tabs>
      <w:spacing w:before="120"/>
    </w:pPr>
    <w:rPr>
      <w:sz w:val="22"/>
      <w:szCs w:val="22"/>
      <w:lang w:eastAsia="en-US"/>
    </w:rPr>
  </w:style>
  <w:style w:type="character" w:styleId="Hyperlink">
    <w:name w:val="Hyperlink"/>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sz w:val="18"/>
    </w:rPr>
  </w:style>
  <w:style w:type="character" w:customStyle="1" w:styleId="FooterChar">
    <w:name w:val="Footer Char"/>
    <w:link w:val="Footer"/>
    <w:uiPriority w:val="99"/>
    <w:rsid w:val="00A57D04"/>
    <w:rPr>
      <w:rFonts w:ascii="Arial" w:hAnsi="Arial"/>
      <w:color w:val="51626F"/>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link w:val="Heading7"/>
    <w:uiPriority w:val="2"/>
    <w:rsid w:val="009D6B46"/>
    <w:rPr>
      <w:rFonts w:ascii="Arial" w:eastAsia="Times New Roman" w:hAnsi="Arial" w:cs="Times New Roman"/>
      <w:i/>
      <w:iCs/>
      <w:color w:val="404040"/>
    </w:rPr>
  </w:style>
  <w:style w:type="character" w:customStyle="1" w:styleId="Heading8Char">
    <w:name w:val="Heading 8 Char"/>
    <w:link w:val="Heading8"/>
    <w:uiPriority w:val="2"/>
    <w:rsid w:val="009D6B46"/>
    <w:rPr>
      <w:rFonts w:ascii="Arial" w:eastAsia="Times New Roman" w:hAnsi="Arial" w:cs="Times New Roman"/>
      <w:color w:val="51626F"/>
      <w:szCs w:val="20"/>
    </w:rPr>
  </w:style>
  <w:style w:type="character" w:customStyle="1" w:styleId="Heading9Char">
    <w:name w:val="Heading 9 Char"/>
    <w:aliases w:val="Numbered Table Char"/>
    <w:link w:val="Heading9"/>
    <w:uiPriority w:val="2"/>
    <w:rsid w:val="00646025"/>
    <w:rPr>
      <w:rFonts w:eastAsia="Times New Roman"/>
      <w:b/>
      <w:iCs/>
      <w:color w:val="000000"/>
      <w:sz w:val="24"/>
      <w:lang w:eastAsia="en-US"/>
    </w:rPr>
  </w:style>
  <w:style w:type="paragraph" w:customStyle="1" w:styleId="Numbered1111111">
    <w:name w:val="Numbered 1.1.1.1.1.1.1"/>
    <w:basedOn w:val="Heading7"/>
    <w:next w:val="Normal"/>
    <w:uiPriority w:val="2"/>
    <w:rsid w:val="00F61B84"/>
    <w:pPr>
      <w:tabs>
        <w:tab w:val="left" w:pos="2041"/>
      </w:tabs>
    </w:pPr>
  </w:style>
  <w:style w:type="paragraph" w:customStyle="1" w:styleId="Numbered11111111">
    <w:name w:val="Numbered 1.1.1.1.1.1.1.1"/>
    <w:basedOn w:val="Heading8"/>
    <w:next w:val="Normal"/>
    <w:uiPriority w:val="2"/>
    <w:rsid w:val="00F61B84"/>
    <w:pPr>
      <w:tabs>
        <w:tab w:val="left" w:pos="2041"/>
      </w:tabs>
    </w:pPr>
  </w:style>
  <w:style w:type="table" w:styleId="TableGrid">
    <w:name w:val="Table Grid"/>
    <w:aliases w:val="ACCC Table"/>
    <w:basedOn w:val="TableNormal"/>
    <w:uiPriority w:val="59"/>
    <w:rsid w:val="00C53B5A"/>
    <w:pPr>
      <w:spacing w:before="60" w:after="60"/>
    </w:p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tblPr>
      <w:tblBorders>
        <w:top w:val="single" w:sz="4" w:space="0" w:color="D5D6D2"/>
        <w:left w:val="single" w:sz="4" w:space="0" w:color="D5D6D2"/>
        <w:bottom w:val="single" w:sz="4" w:space="0" w:color="D5D6D2"/>
        <w:right w:val="single" w:sz="4" w:space="0" w:color="D5D6D2"/>
        <w:insideH w:val="single" w:sz="4" w:space="0" w:color="D5D6D2"/>
        <w:insideV w:val="single" w:sz="4" w:space="0" w:color="D5D6D2"/>
      </w:tblBorders>
    </w:tblPr>
    <w:tcPr>
      <w:shd w:val="clear" w:color="auto" w:fill="auto"/>
      <w:vAlign w:val="center"/>
    </w:tcPr>
    <w:tblStylePr w:type="firstRow">
      <w:pPr>
        <w:wordWrap/>
        <w:spacing w:beforeLines="0" w:before="120" w:beforeAutospacing="0" w:afterLines="0" w:after="120" w:afterAutospacing="0" w:line="240" w:lineRule="auto"/>
      </w:pPr>
      <w:rPr>
        <w:rFonts w:ascii="Arial" w:hAnsi="Arial"/>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left w:val="single" w:sz="4" w:space="0" w:color="D5D6D2"/>
          <w:bottom w:val="single" w:sz="4" w:space="0" w:color="D5D6D2"/>
          <w:right w:val="single" w:sz="4" w:space="0" w:color="D5D6D2"/>
          <w:insideH w:val="single" w:sz="4" w:space="0" w:color="D5D6D2"/>
          <w:insideV w:val="single" w:sz="4" w:space="0" w:color="D5D6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rPr>
      <w:color w:val="3C4953"/>
    </w:rPr>
    <w:tblPr>
      <w:tblStyleRowBandSize w:val="1"/>
      <w:tblStyleColBandSize w:val="1"/>
      <w:tblBorders>
        <w:top w:val="single" w:sz="8" w:space="0" w:color="51626F"/>
        <w:bottom w:val="single" w:sz="8" w:space="0" w:color="51626F"/>
      </w:tblBorders>
    </w:tblPr>
    <w:tblStylePr w:type="fir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lastRow">
      <w:pPr>
        <w:spacing w:before="0" w:after="0" w:line="240" w:lineRule="auto"/>
      </w:pPr>
      <w:rPr>
        <w:b/>
        <w:bCs/>
      </w:rPr>
      <w:tblPr/>
      <w:tcPr>
        <w:tcBorders>
          <w:top w:val="single" w:sz="8" w:space="0" w:color="51626F"/>
          <w:left w:val="nil"/>
          <w:bottom w:val="single" w:sz="8" w:space="0" w:color="5162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cPr>
    </w:tblStylePr>
    <w:tblStylePr w:type="band1Horz">
      <w:tblPr/>
      <w:tcPr>
        <w:tcBorders>
          <w:left w:val="nil"/>
          <w:right w:val="nil"/>
          <w:insideH w:val="nil"/>
          <w:insideV w:val="nil"/>
        </w:tcBorders>
        <w:shd w:val="clear" w:color="auto" w:fill="D1D8DD"/>
      </w:tcPr>
    </w:tblStylePr>
  </w:style>
  <w:style w:type="table" w:styleId="LightShading-Accent2">
    <w:name w:val="Light Shading Accent 2"/>
    <w:basedOn w:val="TableNormal"/>
    <w:uiPriority w:val="60"/>
    <w:rsid w:val="00746E01"/>
    <w:rPr>
      <w:color w:val="000000"/>
    </w:rPr>
    <w:tblPr>
      <w:tblBorders>
        <w:top w:val="single" w:sz="4" w:space="0" w:color="B71202"/>
        <w:left w:val="single" w:sz="4" w:space="0" w:color="B71202"/>
        <w:bottom w:val="single" w:sz="4" w:space="0" w:color="B71202"/>
        <w:right w:val="single" w:sz="4" w:space="0" w:color="B71202"/>
        <w:insideH w:val="single" w:sz="4" w:space="0" w:color="B71202"/>
        <w:insideV w:val="single" w:sz="4" w:space="0" w:color="B71202"/>
      </w:tblBorders>
    </w:tblPr>
    <w:tcPr>
      <w:vAlign w:val="center"/>
    </w:tcPr>
    <w:tblStylePr w:type="fir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l2br w:val="nil"/>
          <w:tr2bl w:val="nil"/>
        </w:tcBorders>
      </w:tcPr>
    </w:tblStylePr>
    <w:tblStylePr w:type="lastRow">
      <w:pPr>
        <w:spacing w:before="0" w:after="0" w:line="240" w:lineRule="auto"/>
      </w:pPr>
      <w:rPr>
        <w:b w:val="0"/>
        <w:bCs/>
      </w:rPr>
      <w:tblPr/>
      <w:tcPr>
        <w:tcBorders>
          <w:top w:val="single" w:sz="4" w:space="0" w:color="B71202"/>
          <w:left w:val="single" w:sz="4" w:space="0" w:color="B71202"/>
          <w:bottom w:val="single" w:sz="4" w:space="0" w:color="B71202"/>
          <w:right w:val="single" w:sz="4" w:space="0" w:color="B71202"/>
          <w:insideH w:val="single" w:sz="4" w:space="0" w:color="B71202"/>
          <w:insideV w:val="single" w:sz="4" w:space="0" w:color="B71202"/>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rPr>
      <w:color w:val="007192"/>
    </w:rPr>
    <w:tblPr>
      <w:tblStyleRowBandSize w:val="1"/>
      <w:tblStyleColBandSize w:val="1"/>
      <w:tblBorders>
        <w:top w:val="single" w:sz="8" w:space="0" w:color="0098C3"/>
        <w:bottom w:val="single" w:sz="8" w:space="0" w:color="0098C3"/>
      </w:tblBorders>
    </w:tblPr>
    <w:tblStylePr w:type="fir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lastRow">
      <w:pPr>
        <w:spacing w:before="0" w:after="0" w:line="240" w:lineRule="auto"/>
      </w:pPr>
      <w:rPr>
        <w:b/>
        <w:bCs/>
      </w:rPr>
      <w:tblPr/>
      <w:tcPr>
        <w:tcBorders>
          <w:top w:val="single" w:sz="8" w:space="0" w:color="0098C3"/>
          <w:left w:val="nil"/>
          <w:bottom w:val="single" w:sz="8" w:space="0" w:color="0098C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cPr>
    </w:tblStylePr>
    <w:tblStylePr w:type="band1Horz">
      <w:tblPr/>
      <w:tcPr>
        <w:tcBorders>
          <w:left w:val="nil"/>
          <w:right w:val="nil"/>
          <w:insideH w:val="nil"/>
          <w:insideV w:val="nil"/>
        </w:tcBorders>
        <w:shd w:val="clear" w:color="auto" w:fill="B1EDFF"/>
      </w:tcPr>
    </w:tblStylePr>
  </w:style>
  <w:style w:type="table" w:styleId="LightGrid-Accent6">
    <w:name w:val="Light Grid Accent 6"/>
    <w:basedOn w:val="TableNormal"/>
    <w:uiPriority w:val="62"/>
    <w:rsid w:val="00A871F4"/>
    <w:tblPr>
      <w:tblStyleRowBandSize w:val="1"/>
      <w:tblStyleColBandSize w:val="1"/>
      <w:tblBorders>
        <w:top w:val="single" w:sz="8" w:space="0" w:color="DC5034"/>
        <w:left w:val="single" w:sz="8" w:space="0" w:color="DC5034"/>
        <w:bottom w:val="single" w:sz="8" w:space="0" w:color="DC5034"/>
        <w:right w:val="single" w:sz="8" w:space="0" w:color="DC5034"/>
        <w:insideH w:val="single" w:sz="8" w:space="0" w:color="DC5034"/>
        <w:insideV w:val="single" w:sz="8" w:space="0" w:color="DC5034"/>
      </w:tblBorders>
    </w:tblPr>
    <w:tblStylePr w:type="firstRow">
      <w:pPr>
        <w:spacing w:before="0" w:after="0" w:line="240" w:lineRule="auto"/>
      </w:pPr>
      <w:rPr>
        <w:rFonts w:ascii="Lucida Fax" w:eastAsia="Times New Roman" w:hAnsi="Lucida Fax" w:cs="Times New Roman"/>
        <w:b/>
        <w:bCs/>
      </w:rPr>
      <w:tblPr/>
      <w:tcPr>
        <w:tcBorders>
          <w:top w:val="single" w:sz="8" w:space="0" w:color="DC5034"/>
          <w:left w:val="single" w:sz="8" w:space="0" w:color="DC5034"/>
          <w:bottom w:val="single" w:sz="18" w:space="0" w:color="DC5034"/>
          <w:right w:val="single" w:sz="8" w:space="0" w:color="DC5034"/>
          <w:insideH w:val="nil"/>
          <w:insideV w:val="single" w:sz="8" w:space="0" w:color="DC5034"/>
        </w:tcBorders>
      </w:tcPr>
    </w:tblStylePr>
    <w:tblStylePr w:type="lastRow">
      <w:pPr>
        <w:spacing w:before="0" w:after="0" w:line="240" w:lineRule="auto"/>
      </w:pPr>
      <w:rPr>
        <w:rFonts w:ascii="Lucida Fax" w:eastAsia="Times New Roman" w:hAnsi="Lucida Fax" w:cs="Times New Roman"/>
        <w:b/>
        <w:bCs/>
      </w:rPr>
      <w:tblPr/>
      <w:tcPr>
        <w:tcBorders>
          <w:top w:val="double" w:sz="6" w:space="0" w:color="DC5034"/>
          <w:left w:val="single" w:sz="8" w:space="0" w:color="DC5034"/>
          <w:bottom w:val="single" w:sz="8" w:space="0" w:color="DC5034"/>
          <w:right w:val="single" w:sz="8" w:space="0" w:color="DC5034"/>
          <w:insideH w:val="nil"/>
          <w:insideV w:val="single" w:sz="8" w:space="0" w:color="DC5034"/>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DC5034"/>
          <w:left w:val="single" w:sz="8" w:space="0" w:color="DC5034"/>
          <w:bottom w:val="single" w:sz="8" w:space="0" w:color="DC5034"/>
          <w:right w:val="single" w:sz="8" w:space="0" w:color="DC5034"/>
        </w:tcBorders>
      </w:tcPr>
    </w:tblStylePr>
    <w:tblStylePr w:type="band1Vert">
      <w:tblPr/>
      <w:tcPr>
        <w:tcBorders>
          <w:top w:val="single" w:sz="8" w:space="0" w:color="DC5034"/>
          <w:left w:val="single" w:sz="8" w:space="0" w:color="DC5034"/>
          <w:bottom w:val="single" w:sz="8" w:space="0" w:color="DC5034"/>
          <w:right w:val="single" w:sz="8" w:space="0" w:color="DC5034"/>
        </w:tcBorders>
        <w:shd w:val="clear" w:color="auto" w:fill="F6D3CC"/>
      </w:tcPr>
    </w:tblStylePr>
    <w:tblStylePr w:type="band1Horz">
      <w:tblPr/>
      <w:tcPr>
        <w:tcBorders>
          <w:top w:val="single" w:sz="8" w:space="0" w:color="DC5034"/>
          <w:left w:val="single" w:sz="8" w:space="0" w:color="DC5034"/>
          <w:bottom w:val="single" w:sz="8" w:space="0" w:color="DC5034"/>
          <w:right w:val="single" w:sz="8" w:space="0" w:color="DC5034"/>
          <w:insideV w:val="single" w:sz="8" w:space="0" w:color="DC5034"/>
        </w:tcBorders>
        <w:shd w:val="clear" w:color="auto" w:fill="F6D3CC"/>
      </w:tcPr>
    </w:tblStylePr>
    <w:tblStylePr w:type="band2Horz">
      <w:tblPr/>
      <w:tcPr>
        <w:tcBorders>
          <w:top w:val="single" w:sz="8" w:space="0" w:color="DC5034"/>
          <w:left w:val="single" w:sz="8" w:space="0" w:color="DC5034"/>
          <w:bottom w:val="single" w:sz="8" w:space="0" w:color="DC5034"/>
          <w:right w:val="single" w:sz="8" w:space="0" w:color="DC5034"/>
          <w:insideV w:val="single" w:sz="8" w:space="0" w:color="DC5034"/>
        </w:tcBorders>
      </w:tcPr>
    </w:tblStylePr>
  </w:style>
  <w:style w:type="table" w:styleId="MediumShading1">
    <w:name w:val="Medium Shading 1"/>
    <w:basedOn w:val="TableNormal"/>
    <w:uiPriority w:val="63"/>
    <w:rsid w:val="00A871F4"/>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tblPr>
      <w:tblStyleRowBandSize w:val="1"/>
      <w:tblStyleColBandSize w:val="1"/>
      <w:tblBorders>
        <w:top w:val="single" w:sz="8" w:space="0" w:color="758A9A"/>
        <w:left w:val="single" w:sz="8" w:space="0" w:color="758A9A"/>
        <w:bottom w:val="single" w:sz="8" w:space="0" w:color="758A9A"/>
        <w:right w:val="single" w:sz="8" w:space="0" w:color="758A9A"/>
        <w:insideH w:val="single" w:sz="8" w:space="0" w:color="758A9A"/>
      </w:tblBorders>
    </w:tblPr>
    <w:tblStylePr w:type="firstRow">
      <w:pPr>
        <w:spacing w:before="0" w:after="0" w:line="240" w:lineRule="auto"/>
      </w:pPr>
      <w:rPr>
        <w:b/>
        <w:bCs/>
        <w:color w:val="FFFFFF"/>
      </w:rPr>
      <w:tblPr/>
      <w:tcPr>
        <w:tcBorders>
          <w:top w:val="single" w:sz="8" w:space="0" w:color="758A9A"/>
          <w:left w:val="single" w:sz="8" w:space="0" w:color="758A9A"/>
          <w:bottom w:val="single" w:sz="8" w:space="0" w:color="758A9A"/>
          <w:right w:val="single" w:sz="8" w:space="0" w:color="758A9A"/>
          <w:insideH w:val="nil"/>
          <w:insideV w:val="nil"/>
        </w:tcBorders>
        <w:shd w:val="clear" w:color="auto" w:fill="51626F"/>
      </w:tcPr>
    </w:tblStylePr>
    <w:tblStylePr w:type="lastRow">
      <w:pPr>
        <w:spacing w:before="0" w:after="0" w:line="240" w:lineRule="auto"/>
      </w:pPr>
      <w:rPr>
        <w:b/>
        <w:bCs/>
      </w:rPr>
      <w:tblPr/>
      <w:tcPr>
        <w:tcBorders>
          <w:top w:val="double" w:sz="6" w:space="0" w:color="758A9A"/>
          <w:left w:val="single" w:sz="8" w:space="0" w:color="758A9A"/>
          <w:bottom w:val="single" w:sz="8" w:space="0" w:color="758A9A"/>
          <w:right w:val="single" w:sz="8" w:space="0" w:color="758A9A"/>
          <w:insideH w:val="nil"/>
          <w:insideV w:val="nil"/>
        </w:tcBorders>
      </w:tcPr>
    </w:tblStylePr>
    <w:tblStylePr w:type="firstCol">
      <w:rPr>
        <w:b/>
        <w:bCs/>
      </w:rPr>
    </w:tblStylePr>
    <w:tblStylePr w:type="lastCol">
      <w:rPr>
        <w:b/>
        <w:bCs/>
      </w:rPr>
    </w:tblStylePr>
    <w:tblStylePr w:type="band1Vert">
      <w:tblPr/>
      <w:tcPr>
        <w:shd w:val="clear" w:color="auto" w:fill="D1D8DD"/>
      </w:tcPr>
    </w:tblStylePr>
    <w:tblStylePr w:type="band1Horz">
      <w:tblPr/>
      <w:tcPr>
        <w:tcBorders>
          <w:insideH w:val="nil"/>
          <w:insideV w:val="nil"/>
        </w:tcBorders>
        <w:shd w:val="clear" w:color="auto" w:fill="D1D8DD"/>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tblPr>
      <w:tblStyleRowBandSize w:val="1"/>
      <w:tblStyleColBandSize w:val="1"/>
      <w:tblBorders>
        <w:top w:val="single" w:sz="8" w:space="0" w:color="7643BB"/>
        <w:left w:val="single" w:sz="8" w:space="0" w:color="7643BB"/>
        <w:bottom w:val="single" w:sz="8" w:space="0" w:color="7643BB"/>
        <w:right w:val="single" w:sz="8" w:space="0" w:color="7643BB"/>
        <w:insideH w:val="single" w:sz="8" w:space="0" w:color="7643BB"/>
      </w:tblBorders>
    </w:tblPr>
    <w:tblStylePr w:type="firstRow">
      <w:pPr>
        <w:spacing w:before="0" w:after="0" w:line="240" w:lineRule="auto"/>
      </w:pPr>
      <w:rPr>
        <w:b/>
        <w:bCs/>
        <w:color w:val="FFFFFF"/>
      </w:rPr>
      <w:tblPr/>
      <w:tcPr>
        <w:tcBorders>
          <w:top w:val="single" w:sz="8" w:space="0" w:color="7643BB"/>
          <w:left w:val="single" w:sz="8" w:space="0" w:color="7643BB"/>
          <w:bottom w:val="single" w:sz="8" w:space="0" w:color="7643BB"/>
          <w:right w:val="single" w:sz="8" w:space="0" w:color="7643BB"/>
          <w:insideH w:val="nil"/>
          <w:insideV w:val="nil"/>
        </w:tcBorders>
        <w:shd w:val="clear" w:color="auto" w:fill="4F2D7D"/>
      </w:tcPr>
    </w:tblStylePr>
    <w:tblStylePr w:type="lastRow">
      <w:pPr>
        <w:spacing w:before="0" w:after="0" w:line="240" w:lineRule="auto"/>
      </w:pPr>
      <w:rPr>
        <w:b/>
        <w:bCs/>
      </w:rPr>
      <w:tblPr/>
      <w:tcPr>
        <w:tcBorders>
          <w:top w:val="double" w:sz="6" w:space="0" w:color="7643BB"/>
          <w:left w:val="single" w:sz="8" w:space="0" w:color="7643BB"/>
          <w:bottom w:val="single" w:sz="8" w:space="0" w:color="7643BB"/>
          <w:right w:val="single" w:sz="8" w:space="0" w:color="7643BB"/>
          <w:insideH w:val="nil"/>
          <w:insideV w:val="nil"/>
        </w:tcBorders>
      </w:tcPr>
    </w:tblStylePr>
    <w:tblStylePr w:type="firstCol">
      <w:rPr>
        <w:b/>
        <w:bCs/>
      </w:rPr>
    </w:tblStylePr>
    <w:tblStylePr w:type="lastCol">
      <w:rPr>
        <w:b/>
        <w:bCs/>
      </w:rPr>
    </w:tblStylePr>
    <w:tblStylePr w:type="band1Vert">
      <w:tblPr/>
      <w:tcPr>
        <w:shd w:val="clear" w:color="auto" w:fill="D1C1E8"/>
      </w:tcPr>
    </w:tblStylePr>
    <w:tblStylePr w:type="band1Horz">
      <w:tblPr/>
      <w:tcPr>
        <w:tcBorders>
          <w:insideH w:val="nil"/>
          <w:insideV w:val="nil"/>
        </w:tcBorders>
        <w:shd w:val="clear" w:color="auto" w:fill="D1C1E8"/>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tblPr>
      <w:tblStyleRowBandSize w:val="1"/>
      <w:tblStyleColBandSize w:val="1"/>
      <w:tblBorders>
        <w:top w:val="single" w:sz="8" w:space="0" w:color="13CAFF"/>
        <w:left w:val="single" w:sz="8" w:space="0" w:color="13CAFF"/>
        <w:bottom w:val="single" w:sz="8" w:space="0" w:color="13CAFF"/>
        <w:right w:val="single" w:sz="8" w:space="0" w:color="13CAFF"/>
        <w:insideH w:val="single" w:sz="8" w:space="0" w:color="13CAFF"/>
      </w:tblBorders>
    </w:tblPr>
    <w:tblStylePr w:type="firstRow">
      <w:pPr>
        <w:spacing w:before="0" w:after="0" w:line="240" w:lineRule="auto"/>
      </w:pPr>
      <w:rPr>
        <w:b/>
        <w:bCs/>
        <w:color w:val="FFFFFF"/>
      </w:rPr>
      <w:tblPr/>
      <w:tcPr>
        <w:tcBorders>
          <w:top w:val="single" w:sz="8" w:space="0" w:color="13CAFF"/>
          <w:left w:val="single" w:sz="8" w:space="0" w:color="13CAFF"/>
          <w:bottom w:val="single" w:sz="8" w:space="0" w:color="13CAFF"/>
          <w:right w:val="single" w:sz="8" w:space="0" w:color="13CAFF"/>
          <w:insideH w:val="nil"/>
          <w:insideV w:val="nil"/>
        </w:tcBorders>
        <w:shd w:val="clear" w:color="auto" w:fill="0098C3"/>
      </w:tcPr>
    </w:tblStylePr>
    <w:tblStylePr w:type="lastRow">
      <w:pPr>
        <w:spacing w:before="0" w:after="0" w:line="240" w:lineRule="auto"/>
      </w:pPr>
      <w:rPr>
        <w:b/>
        <w:bCs/>
      </w:rPr>
      <w:tblPr/>
      <w:tcPr>
        <w:tcBorders>
          <w:top w:val="double" w:sz="6" w:space="0" w:color="13CAFF"/>
          <w:left w:val="single" w:sz="8" w:space="0" w:color="13CAFF"/>
          <w:bottom w:val="single" w:sz="8" w:space="0" w:color="13CAFF"/>
          <w:right w:val="single" w:sz="8" w:space="0" w:color="13CAFF"/>
          <w:insideH w:val="nil"/>
          <w:insideV w:val="nil"/>
        </w:tcBorders>
      </w:tcPr>
    </w:tblStylePr>
    <w:tblStylePr w:type="firstCol">
      <w:rPr>
        <w:b/>
        <w:bCs/>
      </w:rPr>
    </w:tblStylePr>
    <w:tblStylePr w:type="lastCol">
      <w:rPr>
        <w:b/>
        <w:bCs/>
      </w:rPr>
    </w:tblStylePr>
    <w:tblStylePr w:type="band1Vert">
      <w:tblPr/>
      <w:tcPr>
        <w:shd w:val="clear" w:color="auto" w:fill="B1EDFF"/>
      </w:tcPr>
    </w:tblStylePr>
    <w:tblStylePr w:type="band1Horz">
      <w:tblPr/>
      <w:tcPr>
        <w:tcBorders>
          <w:insideH w:val="nil"/>
          <w:insideV w:val="nil"/>
        </w:tcBorders>
        <w:shd w:val="clear" w:color="auto" w:fill="B1EDF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tblPr>
      <w:tblStyleRowBandSize w:val="1"/>
      <w:tblStyleColBandSize w:val="1"/>
      <w:tblBorders>
        <w:top w:val="single" w:sz="8" w:space="0" w:color="B7DAF0"/>
        <w:left w:val="single" w:sz="8" w:space="0" w:color="B7DAF0"/>
        <w:bottom w:val="single" w:sz="8" w:space="0" w:color="B7DAF0"/>
        <w:right w:val="single" w:sz="8" w:space="0" w:color="B7DAF0"/>
        <w:insideH w:val="single" w:sz="8" w:space="0" w:color="B7DAF0"/>
      </w:tblBorders>
    </w:tblPr>
    <w:tblStylePr w:type="firstRow">
      <w:pPr>
        <w:spacing w:before="0" w:after="0" w:line="240" w:lineRule="auto"/>
      </w:pPr>
      <w:rPr>
        <w:b/>
        <w:bCs/>
        <w:color w:val="FFFFFF"/>
      </w:rPr>
      <w:tblPr/>
      <w:tcPr>
        <w:tcBorders>
          <w:top w:val="single" w:sz="8" w:space="0" w:color="B7DAF0"/>
          <w:left w:val="single" w:sz="8" w:space="0" w:color="B7DAF0"/>
          <w:bottom w:val="single" w:sz="8" w:space="0" w:color="B7DAF0"/>
          <w:right w:val="single" w:sz="8" w:space="0" w:color="B7DAF0"/>
          <w:insideH w:val="nil"/>
          <w:insideV w:val="nil"/>
        </w:tcBorders>
        <w:shd w:val="clear" w:color="auto" w:fill="A0CFEB"/>
      </w:tcPr>
    </w:tblStylePr>
    <w:tblStylePr w:type="lastRow">
      <w:pPr>
        <w:spacing w:before="0" w:after="0" w:line="240" w:lineRule="auto"/>
      </w:pPr>
      <w:rPr>
        <w:b/>
        <w:bCs/>
      </w:rPr>
      <w:tblPr/>
      <w:tcPr>
        <w:tcBorders>
          <w:top w:val="double" w:sz="6" w:space="0" w:color="B7DAF0"/>
          <w:left w:val="single" w:sz="8" w:space="0" w:color="B7DAF0"/>
          <w:bottom w:val="single" w:sz="8" w:space="0" w:color="B7DAF0"/>
          <w:right w:val="single" w:sz="8" w:space="0" w:color="B7DAF0"/>
          <w:insideH w:val="nil"/>
          <w:insideV w:val="nil"/>
        </w:tcBorders>
      </w:tcPr>
    </w:tblStylePr>
    <w:tblStylePr w:type="firstCol">
      <w:rPr>
        <w:b/>
        <w:bCs/>
      </w:rPr>
    </w:tblStylePr>
    <w:tblStylePr w:type="lastCol">
      <w:rPr>
        <w:b/>
        <w:bCs/>
      </w:rPr>
    </w:tblStylePr>
    <w:tblStylePr w:type="band1Vert">
      <w:tblPr/>
      <w:tcPr>
        <w:shd w:val="clear" w:color="auto" w:fill="E7F3FA"/>
      </w:tcPr>
    </w:tblStylePr>
    <w:tblStylePr w:type="band1Horz">
      <w:tblPr/>
      <w:tcPr>
        <w:tcBorders>
          <w:insideH w:val="nil"/>
          <w:insideV w:val="nil"/>
        </w:tcBorders>
        <w:shd w:val="clear" w:color="auto" w:fill="E7F3FA"/>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tblPr>
      <w:tblStyleRowBandSize w:val="1"/>
      <w:tblStyleColBandSize w:val="1"/>
      <w:tblBorders>
        <w:top w:val="single" w:sz="8" w:space="0" w:color="FC220E"/>
        <w:left w:val="single" w:sz="8" w:space="0" w:color="FC220E"/>
        <w:bottom w:val="single" w:sz="8" w:space="0" w:color="FC220E"/>
        <w:right w:val="single" w:sz="8" w:space="0" w:color="FC220E"/>
        <w:insideH w:val="single" w:sz="8" w:space="0" w:color="FC220E"/>
      </w:tblBorders>
    </w:tblPr>
    <w:tblStylePr w:type="firstRow">
      <w:pPr>
        <w:spacing w:before="0" w:after="0" w:line="240" w:lineRule="auto"/>
      </w:pPr>
      <w:rPr>
        <w:b/>
        <w:bCs/>
        <w:color w:val="FFFFFF"/>
      </w:rPr>
      <w:tblPr/>
      <w:tcPr>
        <w:tcBorders>
          <w:top w:val="single" w:sz="8" w:space="0" w:color="FC220E"/>
          <w:left w:val="single" w:sz="8" w:space="0" w:color="FC220E"/>
          <w:bottom w:val="single" w:sz="8" w:space="0" w:color="FC220E"/>
          <w:right w:val="single" w:sz="8" w:space="0" w:color="FC220E"/>
          <w:insideH w:val="nil"/>
          <w:insideV w:val="nil"/>
        </w:tcBorders>
        <w:shd w:val="clear" w:color="auto" w:fill="B71202"/>
      </w:tcPr>
    </w:tblStylePr>
    <w:tblStylePr w:type="lastRow">
      <w:pPr>
        <w:spacing w:before="0" w:after="0" w:line="240" w:lineRule="auto"/>
      </w:pPr>
      <w:rPr>
        <w:b/>
        <w:bCs/>
      </w:rPr>
      <w:tblPr/>
      <w:tcPr>
        <w:tcBorders>
          <w:top w:val="double" w:sz="6" w:space="0" w:color="FC220E"/>
          <w:left w:val="single" w:sz="8" w:space="0" w:color="FC220E"/>
          <w:bottom w:val="single" w:sz="8" w:space="0" w:color="FC220E"/>
          <w:right w:val="single" w:sz="8" w:space="0" w:color="FC220E"/>
          <w:insideH w:val="nil"/>
          <w:insideV w:val="nil"/>
        </w:tcBorders>
      </w:tcPr>
    </w:tblStylePr>
    <w:tblStylePr w:type="firstCol">
      <w:rPr>
        <w:b/>
        <w:bCs/>
      </w:rPr>
    </w:tblStylePr>
    <w:tblStylePr w:type="lastCol">
      <w:rPr>
        <w:b/>
        <w:bCs/>
      </w:rPr>
    </w:tblStylePr>
    <w:tblStylePr w:type="band1Vert">
      <w:tblPr/>
      <w:tcPr>
        <w:shd w:val="clear" w:color="auto" w:fill="FEB6AF"/>
      </w:tcPr>
    </w:tblStylePr>
    <w:tblStylePr w:type="band1Horz">
      <w:tblPr/>
      <w:tcPr>
        <w:tcBorders>
          <w:insideH w:val="nil"/>
          <w:insideV w:val="nil"/>
        </w:tcBorders>
        <w:shd w:val="clear" w:color="auto" w:fill="FEB6AF"/>
      </w:tcPr>
    </w:tblStylePr>
    <w:tblStylePr w:type="band2Horz">
      <w:tblPr/>
      <w:tcPr>
        <w:tcBorders>
          <w:insideH w:val="nil"/>
          <w:insideV w:val="nil"/>
        </w:tcBorders>
      </w:tcPr>
    </w:tblStylePr>
  </w:style>
  <w:style w:type="table" w:styleId="LightList">
    <w:name w:val="Light List"/>
    <w:basedOn w:val="TableNormal"/>
    <w:uiPriority w:val="61"/>
    <w:rsid w:val="00A871F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5">
    <w:name w:val="Light Shading Accent 5"/>
    <w:basedOn w:val="TableNormal"/>
    <w:uiPriority w:val="60"/>
    <w:rsid w:val="00A871F4"/>
    <w:rPr>
      <w:color w:val="880D01"/>
    </w:rPr>
    <w:tblPr>
      <w:tblStyleRowBandSize w:val="1"/>
      <w:tblStyleColBandSize w:val="1"/>
      <w:tblBorders>
        <w:top w:val="single" w:sz="8" w:space="0" w:color="B71202"/>
        <w:bottom w:val="single" w:sz="8" w:space="0" w:color="B71202"/>
      </w:tblBorders>
    </w:tblPr>
    <w:tblStylePr w:type="fir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lastRow">
      <w:pPr>
        <w:spacing w:before="0" w:after="0" w:line="240" w:lineRule="auto"/>
      </w:pPr>
      <w:rPr>
        <w:b/>
        <w:bCs/>
      </w:rPr>
      <w:tblPr/>
      <w:tcPr>
        <w:tcBorders>
          <w:top w:val="single" w:sz="8" w:space="0" w:color="B71202"/>
          <w:left w:val="nil"/>
          <w:bottom w:val="single" w:sz="8" w:space="0" w:color="B7120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cPr>
    </w:tblStylePr>
    <w:tblStylePr w:type="band1Horz">
      <w:tblPr/>
      <w:tcPr>
        <w:tcBorders>
          <w:left w:val="nil"/>
          <w:right w:val="nil"/>
          <w:insideH w:val="nil"/>
          <w:insideV w:val="nil"/>
        </w:tcBorders>
        <w:shd w:val="clear" w:color="auto" w:fill="FEB6AF"/>
      </w:tcPr>
    </w:tblStylePr>
  </w:style>
  <w:style w:type="table" w:styleId="LightGrid-Accent3">
    <w:name w:val="Light Grid Accent 3"/>
    <w:basedOn w:val="TableNormal"/>
    <w:uiPriority w:val="62"/>
    <w:rsid w:val="00A871F4"/>
    <w:tblPr>
      <w:tblStyleRowBandSize w:val="1"/>
      <w:tblStyleColBandSize w:val="1"/>
      <w:tblBorders>
        <w:top w:val="single" w:sz="8" w:space="0" w:color="0098C3"/>
        <w:left w:val="single" w:sz="8" w:space="0" w:color="0098C3"/>
        <w:bottom w:val="single" w:sz="8" w:space="0" w:color="0098C3"/>
        <w:right w:val="single" w:sz="8" w:space="0" w:color="0098C3"/>
        <w:insideH w:val="single" w:sz="8" w:space="0" w:color="0098C3"/>
        <w:insideV w:val="single" w:sz="8" w:space="0" w:color="0098C3"/>
      </w:tblBorders>
    </w:tblPr>
    <w:tblStylePr w:type="firstRow">
      <w:pPr>
        <w:spacing w:before="0" w:after="0" w:line="240" w:lineRule="auto"/>
      </w:pPr>
      <w:rPr>
        <w:rFonts w:ascii="Lucida Fax" w:eastAsia="Times New Roman" w:hAnsi="Lucida Fax" w:cs="Times New Roman"/>
        <w:b/>
        <w:bCs/>
      </w:rPr>
      <w:tblPr/>
      <w:tcPr>
        <w:tcBorders>
          <w:top w:val="single" w:sz="8" w:space="0" w:color="0098C3"/>
          <w:left w:val="single" w:sz="8" w:space="0" w:color="0098C3"/>
          <w:bottom w:val="single" w:sz="18" w:space="0" w:color="0098C3"/>
          <w:right w:val="single" w:sz="8" w:space="0" w:color="0098C3"/>
          <w:insideH w:val="nil"/>
          <w:insideV w:val="single" w:sz="8" w:space="0" w:color="0098C3"/>
        </w:tcBorders>
      </w:tcPr>
    </w:tblStylePr>
    <w:tblStylePr w:type="lastRow">
      <w:pPr>
        <w:spacing w:before="0" w:after="0" w:line="240" w:lineRule="auto"/>
      </w:pPr>
      <w:rPr>
        <w:rFonts w:ascii="Lucida Fax" w:eastAsia="Times New Roman" w:hAnsi="Lucida Fax" w:cs="Times New Roman"/>
        <w:b/>
        <w:bCs/>
      </w:rPr>
      <w:tblPr/>
      <w:tcPr>
        <w:tcBorders>
          <w:top w:val="double" w:sz="6" w:space="0" w:color="0098C3"/>
          <w:left w:val="single" w:sz="8" w:space="0" w:color="0098C3"/>
          <w:bottom w:val="single" w:sz="8" w:space="0" w:color="0098C3"/>
          <w:right w:val="single" w:sz="8" w:space="0" w:color="0098C3"/>
          <w:insideH w:val="nil"/>
          <w:insideV w:val="single" w:sz="8" w:space="0" w:color="0098C3"/>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98C3"/>
          <w:left w:val="single" w:sz="8" w:space="0" w:color="0098C3"/>
          <w:bottom w:val="single" w:sz="8" w:space="0" w:color="0098C3"/>
          <w:right w:val="single" w:sz="8" w:space="0" w:color="0098C3"/>
        </w:tcBorders>
      </w:tcPr>
    </w:tblStylePr>
    <w:tblStylePr w:type="band1Vert">
      <w:tblPr/>
      <w:tcPr>
        <w:tcBorders>
          <w:top w:val="single" w:sz="8" w:space="0" w:color="0098C3"/>
          <w:left w:val="single" w:sz="8" w:space="0" w:color="0098C3"/>
          <w:bottom w:val="single" w:sz="8" w:space="0" w:color="0098C3"/>
          <w:right w:val="single" w:sz="8" w:space="0" w:color="0098C3"/>
        </w:tcBorders>
        <w:shd w:val="clear" w:color="auto" w:fill="B1EDFF"/>
      </w:tcPr>
    </w:tblStylePr>
    <w:tblStylePr w:type="band1Horz">
      <w:tblPr/>
      <w:tcPr>
        <w:tcBorders>
          <w:top w:val="single" w:sz="8" w:space="0" w:color="0098C3"/>
          <w:left w:val="single" w:sz="8" w:space="0" w:color="0098C3"/>
          <w:bottom w:val="single" w:sz="8" w:space="0" w:color="0098C3"/>
          <w:right w:val="single" w:sz="8" w:space="0" w:color="0098C3"/>
          <w:insideV w:val="single" w:sz="8" w:space="0" w:color="0098C3"/>
        </w:tcBorders>
        <w:shd w:val="clear" w:color="auto" w:fill="B1EDFF"/>
      </w:tcPr>
    </w:tblStylePr>
    <w:tblStylePr w:type="band2Horz">
      <w:tblPr/>
      <w:tcPr>
        <w:tcBorders>
          <w:top w:val="single" w:sz="8" w:space="0" w:color="0098C3"/>
          <w:left w:val="single" w:sz="8" w:space="0" w:color="0098C3"/>
          <w:bottom w:val="single" w:sz="8" w:space="0" w:color="0098C3"/>
          <w:right w:val="single" w:sz="8" w:space="0" w:color="0098C3"/>
          <w:insideV w:val="single" w:sz="8" w:space="0" w:color="0098C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Lucida Fax" w:eastAsia="Times New Roman" w:hAnsi="Lucida Fax"/>
      <w:color w:val="4F2D7D"/>
      <w:spacing w:val="5"/>
      <w:kern w:val="28"/>
      <w:sz w:val="72"/>
      <w:szCs w:val="52"/>
    </w:rPr>
  </w:style>
  <w:style w:type="character" w:customStyle="1" w:styleId="TitleChar">
    <w:name w:val="Title Char"/>
    <w:link w:val="Title"/>
    <w:uiPriority w:val="10"/>
    <w:rsid w:val="00174102"/>
    <w:rPr>
      <w:rFonts w:ascii="Lucida Fax" w:eastAsia="Times New Roman" w:hAnsi="Lucida Fax" w:cs="Times New Roman"/>
      <w:color w:val="4F2D7D"/>
      <w:spacing w:val="5"/>
      <w:kern w:val="28"/>
      <w:sz w:val="72"/>
      <w:szCs w:val="52"/>
    </w:rPr>
  </w:style>
  <w:style w:type="paragraph" w:customStyle="1" w:styleId="CoverDate">
    <w:name w:val="Cover Date"/>
    <w:qFormat/>
    <w:rsid w:val="00E4674F"/>
    <w:pPr>
      <w:spacing w:before="200"/>
    </w:pPr>
    <w:rPr>
      <w:rFonts w:ascii="Lucida Fax" w:hAnsi="Lucida Fax"/>
      <w:color w:val="DC5034"/>
      <w:sz w:val="24"/>
      <w:szCs w:val="24"/>
      <w:lang w:eastAsia="en-US"/>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tblPr>
      <w:tblStyleRowBandSize w:val="1"/>
      <w:tblStyleColBandSize w:val="1"/>
      <w:tblBorders>
        <w:top w:val="single" w:sz="8" w:space="0" w:color="51626F"/>
        <w:left w:val="single" w:sz="8" w:space="0" w:color="51626F"/>
        <w:bottom w:val="single" w:sz="8" w:space="0" w:color="51626F"/>
        <w:right w:val="single" w:sz="8" w:space="0" w:color="51626F"/>
      </w:tblBorders>
    </w:tblPr>
    <w:tblStylePr w:type="firstRow">
      <w:pPr>
        <w:spacing w:before="0" w:after="0" w:line="240" w:lineRule="auto"/>
      </w:pPr>
      <w:rPr>
        <w:b/>
        <w:bCs/>
        <w:color w:val="FFFFFF"/>
      </w:rPr>
      <w:tblPr/>
      <w:tcPr>
        <w:shd w:val="clear" w:color="auto" w:fill="51626F"/>
      </w:tcPr>
    </w:tblStylePr>
    <w:tblStylePr w:type="lastRow">
      <w:pPr>
        <w:spacing w:before="0" w:after="0" w:line="240" w:lineRule="auto"/>
      </w:pPr>
      <w:rPr>
        <w:b/>
        <w:bCs/>
      </w:rPr>
      <w:tblPr/>
      <w:tcPr>
        <w:tcBorders>
          <w:top w:val="double" w:sz="6" w:space="0" w:color="51626F"/>
          <w:left w:val="single" w:sz="8" w:space="0" w:color="51626F"/>
          <w:bottom w:val="single" w:sz="8" w:space="0" w:color="51626F"/>
          <w:right w:val="single" w:sz="8" w:space="0" w:color="51626F"/>
        </w:tcBorders>
      </w:tcPr>
    </w:tblStylePr>
    <w:tblStylePr w:type="firstCol">
      <w:rPr>
        <w:b/>
        <w:bCs/>
      </w:rPr>
    </w:tblStylePr>
    <w:tblStylePr w:type="lastCol">
      <w:rPr>
        <w:b/>
        <w:bCs/>
      </w:rPr>
    </w:tblStylePr>
    <w:tblStylePr w:type="band1Vert">
      <w:tblPr/>
      <w:tcPr>
        <w:tcBorders>
          <w:top w:val="single" w:sz="8" w:space="0" w:color="51626F"/>
          <w:left w:val="single" w:sz="8" w:space="0" w:color="51626F"/>
          <w:bottom w:val="single" w:sz="8" w:space="0" w:color="51626F"/>
          <w:right w:val="single" w:sz="8" w:space="0" w:color="51626F"/>
        </w:tcBorders>
      </w:tcPr>
    </w:tblStylePr>
    <w:tblStylePr w:type="band1Horz">
      <w:tblPr/>
      <w:tcPr>
        <w:tcBorders>
          <w:top w:val="single" w:sz="8" w:space="0" w:color="51626F"/>
          <w:left w:val="single" w:sz="8" w:space="0" w:color="51626F"/>
          <w:bottom w:val="single" w:sz="8" w:space="0" w:color="51626F"/>
          <w:right w:val="single" w:sz="8" w:space="0" w:color="51626F"/>
        </w:tcBorders>
      </w:tcPr>
    </w:tblStylePr>
  </w:style>
  <w:style w:type="table" w:styleId="LightList-Accent3">
    <w:name w:val="Light List Accent 3"/>
    <w:basedOn w:val="TableNormal"/>
    <w:uiPriority w:val="61"/>
    <w:rsid w:val="0081034E"/>
    <w:tblPr>
      <w:tblStyleRowBandSize w:val="1"/>
      <w:tblStyleColBandSize w:val="1"/>
      <w:tblBorders>
        <w:top w:val="single" w:sz="8" w:space="0" w:color="0098C3"/>
        <w:left w:val="single" w:sz="8" w:space="0" w:color="0098C3"/>
        <w:bottom w:val="single" w:sz="8" w:space="0" w:color="0098C3"/>
        <w:right w:val="single" w:sz="8" w:space="0" w:color="0098C3"/>
      </w:tblBorders>
    </w:tblPr>
    <w:tblStylePr w:type="firstRow">
      <w:pPr>
        <w:spacing w:before="0" w:after="0" w:line="240" w:lineRule="auto"/>
      </w:pPr>
      <w:rPr>
        <w:b/>
        <w:bCs/>
        <w:color w:val="FFFFFF"/>
      </w:rPr>
      <w:tblPr/>
      <w:tcPr>
        <w:shd w:val="clear" w:color="auto" w:fill="0098C3"/>
      </w:tcPr>
    </w:tblStylePr>
    <w:tblStylePr w:type="lastRow">
      <w:pPr>
        <w:spacing w:before="0" w:after="0" w:line="240" w:lineRule="auto"/>
      </w:pPr>
      <w:rPr>
        <w:b/>
        <w:bCs/>
      </w:rPr>
      <w:tblPr/>
      <w:tcPr>
        <w:tcBorders>
          <w:top w:val="double" w:sz="6" w:space="0" w:color="0098C3"/>
          <w:left w:val="single" w:sz="8" w:space="0" w:color="0098C3"/>
          <w:bottom w:val="single" w:sz="8" w:space="0" w:color="0098C3"/>
          <w:right w:val="single" w:sz="8" w:space="0" w:color="0098C3"/>
        </w:tcBorders>
      </w:tcPr>
    </w:tblStylePr>
    <w:tblStylePr w:type="firstCol">
      <w:rPr>
        <w:b/>
        <w:bCs/>
      </w:rPr>
    </w:tblStylePr>
    <w:tblStylePr w:type="lastCol">
      <w:rPr>
        <w:b/>
        <w:bCs/>
      </w:rPr>
    </w:tblStylePr>
    <w:tblStylePr w:type="band1Vert">
      <w:tblPr/>
      <w:tcPr>
        <w:tcBorders>
          <w:top w:val="single" w:sz="8" w:space="0" w:color="0098C3"/>
          <w:left w:val="single" w:sz="8" w:space="0" w:color="0098C3"/>
          <w:bottom w:val="single" w:sz="8" w:space="0" w:color="0098C3"/>
          <w:right w:val="single" w:sz="8" w:space="0" w:color="0098C3"/>
        </w:tcBorders>
      </w:tcPr>
    </w:tblStylePr>
    <w:tblStylePr w:type="band1Horz">
      <w:tblPr/>
      <w:tcPr>
        <w:tcBorders>
          <w:top w:val="single" w:sz="8" w:space="0" w:color="0098C3"/>
          <w:left w:val="single" w:sz="8" w:space="0" w:color="0098C3"/>
          <w:bottom w:val="single" w:sz="8" w:space="0" w:color="0098C3"/>
          <w:right w:val="single" w:sz="8" w:space="0" w:color="0098C3"/>
        </w:tcBorders>
      </w:tcPr>
    </w:tblStylePr>
  </w:style>
  <w:style w:type="table" w:styleId="LightList-Accent5">
    <w:name w:val="Light List Accent 5"/>
    <w:basedOn w:val="TableNormal"/>
    <w:uiPriority w:val="61"/>
    <w:rsid w:val="005B1E3C"/>
    <w:tblPr>
      <w:tblStyleRowBandSize w:val="1"/>
      <w:tblStyleColBandSize w:val="1"/>
      <w:tblBorders>
        <w:top w:val="single" w:sz="8" w:space="0" w:color="B71202"/>
        <w:left w:val="single" w:sz="8" w:space="0" w:color="B71202"/>
        <w:bottom w:val="single" w:sz="8" w:space="0" w:color="B71202"/>
        <w:right w:val="single" w:sz="8" w:space="0" w:color="B71202"/>
      </w:tblBorders>
    </w:tblPr>
    <w:tblStylePr w:type="firstRow">
      <w:pPr>
        <w:spacing w:before="0" w:after="0" w:line="240" w:lineRule="auto"/>
      </w:pPr>
      <w:rPr>
        <w:b/>
        <w:bCs/>
        <w:color w:val="auto"/>
      </w:rPr>
      <w:tblPr/>
      <w:tcPr>
        <w:shd w:val="clear" w:color="auto" w:fill="B71202"/>
      </w:tcPr>
    </w:tblStylePr>
    <w:tblStylePr w:type="lastRow">
      <w:pPr>
        <w:spacing w:before="0" w:after="0" w:line="240" w:lineRule="auto"/>
      </w:pPr>
      <w:rPr>
        <w:b/>
        <w:bCs/>
      </w:rPr>
      <w:tblPr/>
      <w:tcPr>
        <w:tcBorders>
          <w:top w:val="double" w:sz="6" w:space="0" w:color="B71202"/>
          <w:left w:val="single" w:sz="8" w:space="0" w:color="B71202"/>
          <w:bottom w:val="single" w:sz="8" w:space="0" w:color="B71202"/>
          <w:right w:val="single" w:sz="8" w:space="0" w:color="B71202"/>
        </w:tcBorders>
      </w:tcPr>
    </w:tblStylePr>
    <w:tblStylePr w:type="firstCol">
      <w:rPr>
        <w:b/>
        <w:bCs/>
      </w:rPr>
    </w:tblStylePr>
    <w:tblStylePr w:type="lastCol">
      <w:rPr>
        <w:b/>
        <w:bCs/>
      </w:rPr>
    </w:tblStylePr>
    <w:tblStylePr w:type="band1Vert">
      <w:tblPr/>
      <w:tcPr>
        <w:tcBorders>
          <w:top w:val="single" w:sz="8" w:space="0" w:color="B71202"/>
          <w:left w:val="single" w:sz="8" w:space="0" w:color="B71202"/>
          <w:bottom w:val="single" w:sz="8" w:space="0" w:color="B71202"/>
          <w:right w:val="single" w:sz="8" w:space="0" w:color="B71202"/>
        </w:tcBorders>
      </w:tcPr>
    </w:tblStylePr>
    <w:tblStylePr w:type="band1Horz">
      <w:tblPr/>
      <w:tcPr>
        <w:tcBorders>
          <w:top w:val="single" w:sz="8" w:space="0" w:color="B71202"/>
          <w:left w:val="single" w:sz="8" w:space="0" w:color="B71202"/>
          <w:bottom w:val="single" w:sz="8" w:space="0" w:color="B71202"/>
          <w:right w:val="single" w:sz="8" w:space="0" w:color="B71202"/>
        </w:tcBorders>
      </w:tcPr>
    </w:tblStylePr>
  </w:style>
  <w:style w:type="character" w:styleId="Emphasis">
    <w:name w:val="Emphasis"/>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3A673F"/>
    <w:pPr>
      <w:tabs>
        <w:tab w:val="left" w:pos="340"/>
      </w:tabs>
      <w:spacing w:before="60"/>
      <w:ind w:left="340" w:hanging="340"/>
    </w:pPr>
    <w:rPr>
      <w:sz w:val="16"/>
      <w:szCs w:val="20"/>
    </w:rPr>
  </w:style>
  <w:style w:type="character" w:customStyle="1" w:styleId="FootnoteTextChar">
    <w:name w:val="Footnote Text Char"/>
    <w:link w:val="FootnoteText"/>
    <w:uiPriority w:val="2"/>
    <w:rsid w:val="003A673F"/>
    <w:rPr>
      <w:rFonts w:ascii="Arial" w:hAnsi="Arial"/>
      <w:sz w:val="16"/>
      <w:szCs w:val="20"/>
    </w:rPr>
  </w:style>
  <w:style w:type="character" w:styleId="FootnoteReference">
    <w:name w:val="footnote reference"/>
    <w:uiPriority w:val="99"/>
    <w:unhideWhenUsed/>
    <w:rsid w:val="00701CAB"/>
    <w:rPr>
      <w:vertAlign w:val="superscript"/>
    </w:rPr>
  </w:style>
  <w:style w:type="character" w:styleId="Strong">
    <w:name w:val="Strong"/>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lang w:eastAsia="en-US"/>
    </w:rPr>
  </w:style>
  <w:style w:type="character" w:customStyle="1" w:styleId="SubtitleChar">
    <w:name w:val="Subtitle Char"/>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rPr>
      <w:color w:val="4DA5D9"/>
    </w:rPr>
    <w:tblPr>
      <w:tblStyleRowBandSize w:val="1"/>
      <w:tblStyleColBandSize w:val="1"/>
      <w:tblBorders>
        <w:top w:val="single" w:sz="8" w:space="0" w:color="A0CFEB"/>
        <w:bottom w:val="single" w:sz="8" w:space="0" w:color="A0CFEB"/>
      </w:tblBorders>
    </w:tblPr>
    <w:tblStylePr w:type="fir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lastRow">
      <w:pPr>
        <w:spacing w:before="0" w:after="0" w:line="240" w:lineRule="auto"/>
      </w:pPr>
      <w:rPr>
        <w:b/>
        <w:bCs/>
      </w:rPr>
      <w:tblPr/>
      <w:tcPr>
        <w:tcBorders>
          <w:top w:val="single" w:sz="8" w:space="0" w:color="A0CFEB"/>
          <w:left w:val="nil"/>
          <w:bottom w:val="single" w:sz="8" w:space="0" w:color="A0CFE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cPr>
    </w:tblStylePr>
    <w:tblStylePr w:type="band1Horz">
      <w:tblPr/>
      <w:tcPr>
        <w:tcBorders>
          <w:left w:val="nil"/>
          <w:right w:val="nil"/>
          <w:insideH w:val="nil"/>
          <w:insideV w:val="nil"/>
        </w:tcBorders>
        <w:shd w:val="clear" w:color="auto" w:fill="E7F3FA"/>
      </w:tcPr>
    </w:tblStylePr>
  </w:style>
  <w:style w:type="table" w:styleId="LightShading-Accent6">
    <w:name w:val="Light Shading Accent 6"/>
    <w:basedOn w:val="TableNormal"/>
    <w:uiPriority w:val="60"/>
    <w:rsid w:val="00746E01"/>
    <w:rPr>
      <w:color w:val="AD351E"/>
    </w:rPr>
    <w:tblPr>
      <w:tblStyleRowBandSize w:val="1"/>
      <w:tblStyleColBandSize w:val="1"/>
      <w:tblBorders>
        <w:top w:val="single" w:sz="8" w:space="0" w:color="DC5034"/>
        <w:bottom w:val="single" w:sz="8" w:space="0" w:color="DC5034"/>
      </w:tblBorders>
    </w:tblPr>
    <w:tblStylePr w:type="fir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lastRow">
      <w:pPr>
        <w:spacing w:before="0" w:after="0" w:line="240" w:lineRule="auto"/>
      </w:pPr>
      <w:rPr>
        <w:b/>
        <w:bCs/>
      </w:rPr>
      <w:tblPr/>
      <w:tcPr>
        <w:tcBorders>
          <w:top w:val="single" w:sz="8" w:space="0" w:color="DC5034"/>
          <w:left w:val="nil"/>
          <w:bottom w:val="single" w:sz="8" w:space="0" w:color="DC50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cPr>
    </w:tblStylePr>
    <w:tblStylePr w:type="band1Horz">
      <w:tblPr/>
      <w:tcPr>
        <w:tcBorders>
          <w:left w:val="nil"/>
          <w:right w:val="nil"/>
          <w:insideH w:val="nil"/>
          <w:insideV w:val="nil"/>
        </w:tcBorders>
        <w:shd w:val="clear" w:color="auto" w:fill="F6D3CC"/>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tblPr>
      <w:tblStyleRowBandSize w:val="1"/>
      <w:tblStyleColBandSize w:val="1"/>
      <w:tblBorders>
        <w:top w:val="single" w:sz="8" w:space="0" w:color="4F2D7D"/>
        <w:left w:val="single" w:sz="8" w:space="0" w:color="4F2D7D"/>
        <w:bottom w:val="single" w:sz="8" w:space="0" w:color="4F2D7D"/>
        <w:right w:val="single" w:sz="8" w:space="0" w:color="4F2D7D"/>
      </w:tblBorders>
    </w:tblPr>
    <w:tblStylePr w:type="firstRow">
      <w:pPr>
        <w:spacing w:before="0" w:after="0" w:line="240" w:lineRule="auto"/>
      </w:pPr>
      <w:rPr>
        <w:b/>
        <w:bCs/>
        <w:color w:val="FFFFFF"/>
      </w:rPr>
      <w:tblPr/>
      <w:tcPr>
        <w:shd w:val="clear" w:color="auto" w:fill="4F2D7D"/>
      </w:tcPr>
    </w:tblStylePr>
    <w:tblStylePr w:type="lastRow">
      <w:pPr>
        <w:spacing w:before="0" w:after="0" w:line="240" w:lineRule="auto"/>
      </w:pPr>
      <w:rPr>
        <w:b/>
        <w:bCs/>
      </w:rPr>
      <w:tblPr/>
      <w:tcPr>
        <w:tcBorders>
          <w:top w:val="double" w:sz="6" w:space="0" w:color="4F2D7D"/>
          <w:left w:val="single" w:sz="8" w:space="0" w:color="4F2D7D"/>
          <w:bottom w:val="single" w:sz="8" w:space="0" w:color="4F2D7D"/>
          <w:right w:val="single" w:sz="8" w:space="0" w:color="4F2D7D"/>
        </w:tcBorders>
      </w:tcPr>
    </w:tblStylePr>
    <w:tblStylePr w:type="firstCol">
      <w:rPr>
        <w:b/>
        <w:bCs/>
      </w:rPr>
    </w:tblStylePr>
    <w:tblStylePr w:type="lastCol">
      <w:rPr>
        <w:b/>
        <w:bCs/>
      </w:rPr>
    </w:tblStylePr>
    <w:tblStylePr w:type="band1Vert">
      <w:tblPr/>
      <w:tcPr>
        <w:tcBorders>
          <w:top w:val="single" w:sz="8" w:space="0" w:color="4F2D7D"/>
          <w:left w:val="single" w:sz="8" w:space="0" w:color="4F2D7D"/>
          <w:bottom w:val="single" w:sz="8" w:space="0" w:color="4F2D7D"/>
          <w:right w:val="single" w:sz="8" w:space="0" w:color="4F2D7D"/>
        </w:tcBorders>
      </w:tcPr>
    </w:tblStylePr>
    <w:tblStylePr w:type="band1Horz">
      <w:tblPr/>
      <w:tcPr>
        <w:tcBorders>
          <w:top w:val="single" w:sz="8" w:space="0" w:color="4F2D7D"/>
          <w:left w:val="single" w:sz="8" w:space="0" w:color="4F2D7D"/>
          <w:bottom w:val="single" w:sz="8" w:space="0" w:color="4F2D7D"/>
          <w:right w:val="single" w:sz="8" w:space="0" w:color="4F2D7D"/>
        </w:tcBorders>
      </w:tcPr>
    </w:tblStylePr>
  </w:style>
  <w:style w:type="table" w:styleId="LightList-Accent4">
    <w:name w:val="Light List Accent 4"/>
    <w:basedOn w:val="TableNormal"/>
    <w:uiPriority w:val="61"/>
    <w:rsid w:val="009661DE"/>
    <w:tblPr>
      <w:tblStyleRowBandSize w:val="1"/>
      <w:tblStyleColBandSize w:val="1"/>
      <w:tblBorders>
        <w:top w:val="single" w:sz="8" w:space="0" w:color="A0CFEB"/>
        <w:left w:val="single" w:sz="8" w:space="0" w:color="A0CFEB"/>
        <w:bottom w:val="single" w:sz="8" w:space="0" w:color="A0CFEB"/>
        <w:right w:val="single" w:sz="8" w:space="0" w:color="A0CFEB"/>
      </w:tblBorders>
    </w:tblPr>
    <w:tblStylePr w:type="firstRow">
      <w:pPr>
        <w:spacing w:before="0" w:after="0" w:line="240" w:lineRule="auto"/>
      </w:pPr>
      <w:rPr>
        <w:b/>
        <w:bCs/>
        <w:color w:val="FFFFFF"/>
      </w:rPr>
      <w:tblPr/>
      <w:tcPr>
        <w:shd w:val="clear" w:color="auto" w:fill="A0CFEB"/>
      </w:tcPr>
    </w:tblStylePr>
    <w:tblStylePr w:type="lastRow">
      <w:pPr>
        <w:spacing w:before="0" w:after="0" w:line="240" w:lineRule="auto"/>
      </w:pPr>
      <w:rPr>
        <w:b/>
        <w:bCs/>
      </w:rPr>
      <w:tblPr/>
      <w:tcPr>
        <w:tcBorders>
          <w:top w:val="double" w:sz="6" w:space="0" w:color="A0CFEB"/>
          <w:left w:val="single" w:sz="8" w:space="0" w:color="A0CFEB"/>
          <w:bottom w:val="single" w:sz="8" w:space="0" w:color="A0CFEB"/>
          <w:right w:val="single" w:sz="8" w:space="0" w:color="A0CFEB"/>
        </w:tcBorders>
      </w:tcPr>
    </w:tblStylePr>
    <w:tblStylePr w:type="firstCol">
      <w:rPr>
        <w:b/>
        <w:bCs/>
      </w:rPr>
    </w:tblStylePr>
    <w:tblStylePr w:type="lastCol">
      <w:rPr>
        <w:b/>
        <w:bCs/>
      </w:rPr>
    </w:tblStylePr>
    <w:tblStylePr w:type="band1Vert">
      <w:tblPr/>
      <w:tcPr>
        <w:tcBorders>
          <w:top w:val="single" w:sz="8" w:space="0" w:color="A0CFEB"/>
          <w:left w:val="single" w:sz="8" w:space="0" w:color="A0CFEB"/>
          <w:bottom w:val="single" w:sz="8" w:space="0" w:color="A0CFEB"/>
          <w:right w:val="single" w:sz="8" w:space="0" w:color="A0CFEB"/>
        </w:tcBorders>
      </w:tcPr>
    </w:tblStylePr>
    <w:tblStylePr w:type="band1Horz">
      <w:tblPr/>
      <w:tcPr>
        <w:tcBorders>
          <w:top w:val="single" w:sz="8" w:space="0" w:color="A0CFEB"/>
          <w:left w:val="single" w:sz="8" w:space="0" w:color="A0CFEB"/>
          <w:bottom w:val="single" w:sz="8" w:space="0" w:color="A0CFEB"/>
          <w:right w:val="single" w:sz="8" w:space="0" w:color="A0CFEB"/>
        </w:tcBorders>
      </w:tcPr>
    </w:tblStylePr>
  </w:style>
  <w:style w:type="table" w:styleId="LightList-Accent6">
    <w:name w:val="Light List Accent 6"/>
    <w:basedOn w:val="TableNormal"/>
    <w:uiPriority w:val="61"/>
    <w:rsid w:val="009661DE"/>
    <w:tblPr>
      <w:tblStyleRowBandSize w:val="1"/>
      <w:tblStyleColBandSize w:val="1"/>
      <w:tblBorders>
        <w:top w:val="single" w:sz="8" w:space="0" w:color="DC5034"/>
        <w:left w:val="single" w:sz="8" w:space="0" w:color="DC5034"/>
        <w:bottom w:val="single" w:sz="8" w:space="0" w:color="DC5034"/>
        <w:right w:val="single" w:sz="8" w:space="0" w:color="DC5034"/>
      </w:tblBorders>
    </w:tblPr>
    <w:tblStylePr w:type="firstRow">
      <w:pPr>
        <w:spacing w:before="0" w:after="0" w:line="240" w:lineRule="auto"/>
      </w:pPr>
      <w:rPr>
        <w:b/>
        <w:bCs/>
        <w:color w:val="FFFFFF"/>
      </w:rPr>
      <w:tblPr/>
      <w:tcPr>
        <w:shd w:val="clear" w:color="auto" w:fill="DC5034"/>
      </w:tcPr>
    </w:tblStylePr>
    <w:tblStylePr w:type="lastRow">
      <w:pPr>
        <w:spacing w:before="0" w:after="0" w:line="240" w:lineRule="auto"/>
      </w:pPr>
      <w:rPr>
        <w:b/>
        <w:bCs/>
      </w:rPr>
      <w:tblPr/>
      <w:tcPr>
        <w:tcBorders>
          <w:top w:val="double" w:sz="6" w:space="0" w:color="DC5034"/>
          <w:left w:val="single" w:sz="8" w:space="0" w:color="DC5034"/>
          <w:bottom w:val="single" w:sz="8" w:space="0" w:color="DC5034"/>
          <w:right w:val="single" w:sz="8" w:space="0" w:color="DC5034"/>
        </w:tcBorders>
      </w:tcPr>
    </w:tblStylePr>
    <w:tblStylePr w:type="firstCol">
      <w:rPr>
        <w:b/>
        <w:bCs/>
      </w:rPr>
    </w:tblStylePr>
    <w:tblStylePr w:type="lastCol">
      <w:rPr>
        <w:b/>
        <w:bCs/>
      </w:rPr>
    </w:tblStylePr>
    <w:tblStylePr w:type="band1Vert">
      <w:tblPr/>
      <w:tcPr>
        <w:tcBorders>
          <w:top w:val="single" w:sz="8" w:space="0" w:color="DC5034"/>
          <w:left w:val="single" w:sz="8" w:space="0" w:color="DC5034"/>
          <w:bottom w:val="single" w:sz="8" w:space="0" w:color="DC5034"/>
          <w:right w:val="single" w:sz="8" w:space="0" w:color="DC5034"/>
        </w:tcBorders>
      </w:tcPr>
    </w:tblStylePr>
    <w:tblStylePr w:type="band1Horz">
      <w:tblPr/>
      <w:tcPr>
        <w:tcBorders>
          <w:top w:val="single" w:sz="8" w:space="0" w:color="DC5034"/>
          <w:left w:val="single" w:sz="8" w:space="0" w:color="DC5034"/>
          <w:bottom w:val="single" w:sz="8" w:space="0" w:color="DC5034"/>
          <w:right w:val="single" w:sz="8" w:space="0" w:color="DC5034"/>
        </w:tcBorders>
      </w:tcPr>
    </w:tblStylePr>
  </w:style>
  <w:style w:type="table" w:styleId="LightGrid">
    <w:name w:val="Light Grid"/>
    <w:basedOn w:val="TableNormal"/>
    <w:uiPriority w:val="62"/>
    <w:rsid w:val="009661D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Lucida Fax" w:eastAsia="Times New Roman" w:hAnsi="Lucida Fax"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Lucida Fax" w:eastAsia="Times New Roman" w:hAnsi="Lucida Fax"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661DE"/>
    <w:tblPr>
      <w:tblStyleRowBandSize w:val="1"/>
      <w:tblStyleColBandSize w:val="1"/>
      <w:tblBorders>
        <w:top w:val="single" w:sz="8" w:space="0" w:color="51626F"/>
        <w:left w:val="single" w:sz="8" w:space="0" w:color="51626F"/>
        <w:bottom w:val="single" w:sz="8" w:space="0" w:color="51626F"/>
        <w:right w:val="single" w:sz="8" w:space="0" w:color="51626F"/>
        <w:insideH w:val="single" w:sz="8" w:space="0" w:color="51626F"/>
        <w:insideV w:val="single" w:sz="8" w:space="0" w:color="51626F"/>
      </w:tblBorders>
    </w:tblPr>
    <w:tblStylePr w:type="firstRow">
      <w:pPr>
        <w:spacing w:before="0" w:after="0" w:line="240" w:lineRule="auto"/>
      </w:pPr>
      <w:rPr>
        <w:rFonts w:ascii="Lucida Fax" w:eastAsia="Times New Roman" w:hAnsi="Lucida Fax" w:cs="Times New Roman"/>
        <w:b/>
        <w:bCs/>
      </w:rPr>
      <w:tblPr/>
      <w:tcPr>
        <w:tcBorders>
          <w:top w:val="single" w:sz="8" w:space="0" w:color="51626F"/>
          <w:left w:val="single" w:sz="8" w:space="0" w:color="51626F"/>
          <w:bottom w:val="single" w:sz="18" w:space="0" w:color="51626F"/>
          <w:right w:val="single" w:sz="8" w:space="0" w:color="51626F"/>
          <w:insideH w:val="nil"/>
          <w:insideV w:val="single" w:sz="8" w:space="0" w:color="51626F"/>
        </w:tcBorders>
      </w:tcPr>
    </w:tblStylePr>
    <w:tblStylePr w:type="lastRow">
      <w:pPr>
        <w:spacing w:before="0" w:after="0" w:line="240" w:lineRule="auto"/>
      </w:pPr>
      <w:rPr>
        <w:rFonts w:ascii="Lucida Fax" w:eastAsia="Times New Roman" w:hAnsi="Lucida Fax" w:cs="Times New Roman"/>
        <w:b/>
        <w:bCs/>
      </w:rPr>
      <w:tblPr/>
      <w:tcPr>
        <w:tcBorders>
          <w:top w:val="double" w:sz="6" w:space="0" w:color="51626F"/>
          <w:left w:val="single" w:sz="8" w:space="0" w:color="51626F"/>
          <w:bottom w:val="single" w:sz="8" w:space="0" w:color="51626F"/>
          <w:right w:val="single" w:sz="8" w:space="0" w:color="51626F"/>
          <w:insideH w:val="nil"/>
          <w:insideV w:val="single" w:sz="8" w:space="0" w:color="51626F"/>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51626F"/>
          <w:left w:val="single" w:sz="8" w:space="0" w:color="51626F"/>
          <w:bottom w:val="single" w:sz="8" w:space="0" w:color="51626F"/>
          <w:right w:val="single" w:sz="8" w:space="0" w:color="51626F"/>
        </w:tcBorders>
      </w:tcPr>
    </w:tblStylePr>
    <w:tblStylePr w:type="band1Vert">
      <w:tblPr/>
      <w:tcPr>
        <w:tcBorders>
          <w:top w:val="single" w:sz="8" w:space="0" w:color="51626F"/>
          <w:left w:val="single" w:sz="8" w:space="0" w:color="51626F"/>
          <w:bottom w:val="single" w:sz="8" w:space="0" w:color="51626F"/>
          <w:right w:val="single" w:sz="8" w:space="0" w:color="51626F"/>
        </w:tcBorders>
        <w:shd w:val="clear" w:color="auto" w:fill="D1D8DD"/>
      </w:tcPr>
    </w:tblStylePr>
    <w:tblStylePr w:type="band1Horz">
      <w:tblPr/>
      <w:tcPr>
        <w:tcBorders>
          <w:top w:val="single" w:sz="8" w:space="0" w:color="51626F"/>
          <w:left w:val="single" w:sz="8" w:space="0" w:color="51626F"/>
          <w:bottom w:val="single" w:sz="8" w:space="0" w:color="51626F"/>
          <w:right w:val="single" w:sz="8" w:space="0" w:color="51626F"/>
          <w:insideV w:val="single" w:sz="8" w:space="0" w:color="51626F"/>
        </w:tcBorders>
        <w:shd w:val="clear" w:color="auto" w:fill="D1D8DD"/>
      </w:tcPr>
    </w:tblStylePr>
    <w:tblStylePr w:type="band2Horz">
      <w:tblPr/>
      <w:tcPr>
        <w:tcBorders>
          <w:top w:val="single" w:sz="8" w:space="0" w:color="51626F"/>
          <w:left w:val="single" w:sz="8" w:space="0" w:color="51626F"/>
          <w:bottom w:val="single" w:sz="8" w:space="0" w:color="51626F"/>
          <w:right w:val="single" w:sz="8" w:space="0" w:color="51626F"/>
          <w:insideV w:val="single" w:sz="8" w:space="0" w:color="51626F"/>
        </w:tcBorders>
      </w:tcPr>
    </w:tblStylePr>
  </w:style>
  <w:style w:type="table" w:styleId="LightGrid-Accent2">
    <w:name w:val="Light Grid Accent 2"/>
    <w:basedOn w:val="TableNormal"/>
    <w:uiPriority w:val="62"/>
    <w:rsid w:val="009661DE"/>
    <w:tblPr>
      <w:tblStyleRowBandSize w:val="1"/>
      <w:tblStyleColBandSize w:val="1"/>
      <w:tblBorders>
        <w:top w:val="single" w:sz="8" w:space="0" w:color="4F2D7D"/>
        <w:left w:val="single" w:sz="8" w:space="0" w:color="4F2D7D"/>
        <w:bottom w:val="single" w:sz="8" w:space="0" w:color="4F2D7D"/>
        <w:right w:val="single" w:sz="8" w:space="0" w:color="4F2D7D"/>
        <w:insideH w:val="single" w:sz="8" w:space="0" w:color="4F2D7D"/>
        <w:insideV w:val="single" w:sz="8" w:space="0" w:color="4F2D7D"/>
      </w:tblBorders>
    </w:tblPr>
    <w:tblStylePr w:type="firstRow">
      <w:pPr>
        <w:spacing w:before="0" w:after="0" w:line="240" w:lineRule="auto"/>
      </w:pPr>
      <w:rPr>
        <w:rFonts w:ascii="Lucida Fax" w:eastAsia="Times New Roman" w:hAnsi="Lucida Fax" w:cs="Times New Roman"/>
        <w:b/>
        <w:bCs/>
      </w:rPr>
      <w:tblPr/>
      <w:tcPr>
        <w:tcBorders>
          <w:top w:val="single" w:sz="8" w:space="0" w:color="4F2D7D"/>
          <w:left w:val="single" w:sz="8" w:space="0" w:color="4F2D7D"/>
          <w:bottom w:val="single" w:sz="18" w:space="0" w:color="4F2D7D"/>
          <w:right w:val="single" w:sz="8" w:space="0" w:color="4F2D7D"/>
          <w:insideH w:val="nil"/>
          <w:insideV w:val="single" w:sz="8" w:space="0" w:color="4F2D7D"/>
        </w:tcBorders>
      </w:tcPr>
    </w:tblStylePr>
    <w:tblStylePr w:type="lastRow">
      <w:pPr>
        <w:spacing w:before="0" w:after="0" w:line="240" w:lineRule="auto"/>
      </w:pPr>
      <w:rPr>
        <w:rFonts w:ascii="Lucida Fax" w:eastAsia="Times New Roman" w:hAnsi="Lucida Fax" w:cs="Times New Roman"/>
        <w:b/>
        <w:bCs/>
      </w:rPr>
      <w:tblPr/>
      <w:tcPr>
        <w:tcBorders>
          <w:top w:val="double" w:sz="6" w:space="0" w:color="4F2D7D"/>
          <w:left w:val="single" w:sz="8" w:space="0" w:color="4F2D7D"/>
          <w:bottom w:val="single" w:sz="8" w:space="0" w:color="4F2D7D"/>
          <w:right w:val="single" w:sz="8" w:space="0" w:color="4F2D7D"/>
          <w:insideH w:val="nil"/>
          <w:insideV w:val="single" w:sz="8" w:space="0" w:color="4F2D7D"/>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4F2D7D"/>
          <w:left w:val="single" w:sz="8" w:space="0" w:color="4F2D7D"/>
          <w:bottom w:val="single" w:sz="8" w:space="0" w:color="4F2D7D"/>
          <w:right w:val="single" w:sz="8" w:space="0" w:color="4F2D7D"/>
        </w:tcBorders>
      </w:tcPr>
    </w:tblStylePr>
    <w:tblStylePr w:type="band1Vert">
      <w:tblPr/>
      <w:tcPr>
        <w:tcBorders>
          <w:top w:val="single" w:sz="8" w:space="0" w:color="4F2D7D"/>
          <w:left w:val="single" w:sz="8" w:space="0" w:color="4F2D7D"/>
          <w:bottom w:val="single" w:sz="8" w:space="0" w:color="4F2D7D"/>
          <w:right w:val="single" w:sz="8" w:space="0" w:color="4F2D7D"/>
        </w:tcBorders>
        <w:shd w:val="clear" w:color="auto" w:fill="D1C1E8"/>
      </w:tcPr>
    </w:tblStylePr>
    <w:tblStylePr w:type="band1Horz">
      <w:tblPr/>
      <w:tcPr>
        <w:tcBorders>
          <w:top w:val="single" w:sz="8" w:space="0" w:color="4F2D7D"/>
          <w:left w:val="single" w:sz="8" w:space="0" w:color="4F2D7D"/>
          <w:bottom w:val="single" w:sz="8" w:space="0" w:color="4F2D7D"/>
          <w:right w:val="single" w:sz="8" w:space="0" w:color="4F2D7D"/>
          <w:insideV w:val="single" w:sz="8" w:space="0" w:color="4F2D7D"/>
        </w:tcBorders>
        <w:shd w:val="clear" w:color="auto" w:fill="D1C1E8"/>
      </w:tcPr>
    </w:tblStylePr>
    <w:tblStylePr w:type="band2Horz">
      <w:tblPr/>
      <w:tcPr>
        <w:tcBorders>
          <w:top w:val="single" w:sz="8" w:space="0" w:color="4F2D7D"/>
          <w:left w:val="single" w:sz="8" w:space="0" w:color="4F2D7D"/>
          <w:bottom w:val="single" w:sz="8" w:space="0" w:color="4F2D7D"/>
          <w:right w:val="single" w:sz="8" w:space="0" w:color="4F2D7D"/>
          <w:insideV w:val="single" w:sz="8" w:space="0" w:color="4F2D7D"/>
        </w:tcBorders>
      </w:tcPr>
    </w:tblStylePr>
  </w:style>
  <w:style w:type="table" w:styleId="LightGrid-Accent4">
    <w:name w:val="Light Grid Accent 4"/>
    <w:basedOn w:val="TableNormal"/>
    <w:uiPriority w:val="62"/>
    <w:rsid w:val="009661DE"/>
    <w:tblPr>
      <w:tblStyleRowBandSize w:val="1"/>
      <w:tblStyleColBandSize w:val="1"/>
      <w:tblBorders>
        <w:top w:val="single" w:sz="8" w:space="0" w:color="A0CFEB"/>
        <w:left w:val="single" w:sz="8" w:space="0" w:color="A0CFEB"/>
        <w:bottom w:val="single" w:sz="8" w:space="0" w:color="A0CFEB"/>
        <w:right w:val="single" w:sz="8" w:space="0" w:color="A0CFEB"/>
        <w:insideH w:val="single" w:sz="8" w:space="0" w:color="A0CFEB"/>
        <w:insideV w:val="single" w:sz="8" w:space="0" w:color="A0CFEB"/>
      </w:tblBorders>
    </w:tblPr>
    <w:tblStylePr w:type="firstRow">
      <w:pPr>
        <w:spacing w:before="0" w:after="0" w:line="240" w:lineRule="auto"/>
      </w:pPr>
      <w:rPr>
        <w:rFonts w:ascii="Lucida Fax" w:eastAsia="Times New Roman" w:hAnsi="Lucida Fax" w:cs="Times New Roman"/>
        <w:b/>
        <w:bCs/>
      </w:rPr>
      <w:tblPr/>
      <w:tcPr>
        <w:tcBorders>
          <w:top w:val="single" w:sz="8" w:space="0" w:color="A0CFEB"/>
          <w:left w:val="single" w:sz="8" w:space="0" w:color="A0CFEB"/>
          <w:bottom w:val="single" w:sz="18" w:space="0" w:color="A0CFEB"/>
          <w:right w:val="single" w:sz="8" w:space="0" w:color="A0CFEB"/>
          <w:insideH w:val="nil"/>
          <w:insideV w:val="single" w:sz="8" w:space="0" w:color="A0CFEB"/>
        </w:tcBorders>
      </w:tcPr>
    </w:tblStylePr>
    <w:tblStylePr w:type="lastRow">
      <w:pPr>
        <w:spacing w:before="0" w:after="0" w:line="240" w:lineRule="auto"/>
      </w:pPr>
      <w:rPr>
        <w:rFonts w:ascii="Lucida Fax" w:eastAsia="Times New Roman" w:hAnsi="Lucida Fax" w:cs="Times New Roman"/>
        <w:b/>
        <w:bCs/>
      </w:rPr>
      <w:tblPr/>
      <w:tcPr>
        <w:tcBorders>
          <w:top w:val="double" w:sz="6" w:space="0" w:color="A0CFEB"/>
          <w:left w:val="single" w:sz="8" w:space="0" w:color="A0CFEB"/>
          <w:bottom w:val="single" w:sz="8" w:space="0" w:color="A0CFEB"/>
          <w:right w:val="single" w:sz="8" w:space="0" w:color="A0CFEB"/>
          <w:insideH w:val="nil"/>
          <w:insideV w:val="single" w:sz="8" w:space="0" w:color="A0CFEB"/>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A0CFEB"/>
          <w:left w:val="single" w:sz="8" w:space="0" w:color="A0CFEB"/>
          <w:bottom w:val="single" w:sz="8" w:space="0" w:color="A0CFEB"/>
          <w:right w:val="single" w:sz="8" w:space="0" w:color="A0CFEB"/>
        </w:tcBorders>
      </w:tcPr>
    </w:tblStylePr>
    <w:tblStylePr w:type="band1Vert">
      <w:tblPr/>
      <w:tcPr>
        <w:tcBorders>
          <w:top w:val="single" w:sz="8" w:space="0" w:color="A0CFEB"/>
          <w:left w:val="single" w:sz="8" w:space="0" w:color="A0CFEB"/>
          <w:bottom w:val="single" w:sz="8" w:space="0" w:color="A0CFEB"/>
          <w:right w:val="single" w:sz="8" w:space="0" w:color="A0CFEB"/>
        </w:tcBorders>
        <w:shd w:val="clear" w:color="auto" w:fill="E7F3FA"/>
      </w:tcPr>
    </w:tblStylePr>
    <w:tblStylePr w:type="band1Horz">
      <w:tblPr/>
      <w:tcPr>
        <w:tcBorders>
          <w:top w:val="single" w:sz="8" w:space="0" w:color="A0CFEB"/>
          <w:left w:val="single" w:sz="8" w:space="0" w:color="A0CFEB"/>
          <w:bottom w:val="single" w:sz="8" w:space="0" w:color="A0CFEB"/>
          <w:right w:val="single" w:sz="8" w:space="0" w:color="A0CFEB"/>
          <w:insideV w:val="single" w:sz="8" w:space="0" w:color="A0CFEB"/>
        </w:tcBorders>
        <w:shd w:val="clear" w:color="auto" w:fill="E7F3FA"/>
      </w:tcPr>
    </w:tblStylePr>
    <w:tblStylePr w:type="band2Horz">
      <w:tblPr/>
      <w:tcPr>
        <w:tcBorders>
          <w:top w:val="single" w:sz="8" w:space="0" w:color="A0CFEB"/>
          <w:left w:val="single" w:sz="8" w:space="0" w:color="A0CFEB"/>
          <w:bottom w:val="single" w:sz="8" w:space="0" w:color="A0CFEB"/>
          <w:right w:val="single" w:sz="8" w:space="0" w:color="A0CFEB"/>
          <w:insideV w:val="single" w:sz="8" w:space="0" w:color="A0CFEB"/>
        </w:tcBorders>
      </w:tcPr>
    </w:tblStylePr>
  </w:style>
  <w:style w:type="table" w:styleId="LightGrid-Accent5">
    <w:name w:val="Light Grid Accent 5"/>
    <w:basedOn w:val="TableNormal"/>
    <w:uiPriority w:val="62"/>
    <w:rsid w:val="009661DE"/>
    <w:tblPr>
      <w:tblStyleRowBandSize w:val="1"/>
      <w:tblStyleColBandSize w:val="1"/>
      <w:tblBorders>
        <w:top w:val="single" w:sz="8" w:space="0" w:color="B71202"/>
        <w:left w:val="single" w:sz="8" w:space="0" w:color="B71202"/>
        <w:bottom w:val="single" w:sz="8" w:space="0" w:color="B71202"/>
        <w:right w:val="single" w:sz="8" w:space="0" w:color="B71202"/>
        <w:insideH w:val="single" w:sz="8" w:space="0" w:color="B71202"/>
        <w:insideV w:val="single" w:sz="8" w:space="0" w:color="B71202"/>
      </w:tblBorders>
    </w:tblPr>
    <w:tblStylePr w:type="firstRow">
      <w:pPr>
        <w:spacing w:before="0" w:after="0" w:line="240" w:lineRule="auto"/>
      </w:pPr>
      <w:rPr>
        <w:rFonts w:ascii="Lucida Fax" w:eastAsia="Times New Roman" w:hAnsi="Lucida Fax" w:cs="Times New Roman"/>
        <w:b/>
        <w:bCs/>
      </w:rPr>
      <w:tblPr/>
      <w:tcPr>
        <w:tcBorders>
          <w:top w:val="single" w:sz="8" w:space="0" w:color="B71202"/>
          <w:left w:val="single" w:sz="8" w:space="0" w:color="B71202"/>
          <w:bottom w:val="single" w:sz="18" w:space="0" w:color="B71202"/>
          <w:right w:val="single" w:sz="8" w:space="0" w:color="B71202"/>
          <w:insideH w:val="nil"/>
          <w:insideV w:val="single" w:sz="8" w:space="0" w:color="B71202"/>
        </w:tcBorders>
      </w:tcPr>
    </w:tblStylePr>
    <w:tblStylePr w:type="lastRow">
      <w:pPr>
        <w:spacing w:before="0" w:after="0" w:line="240" w:lineRule="auto"/>
      </w:pPr>
      <w:rPr>
        <w:rFonts w:ascii="Lucida Fax" w:eastAsia="Times New Roman" w:hAnsi="Lucida Fax" w:cs="Times New Roman"/>
        <w:b/>
        <w:bCs/>
      </w:rPr>
      <w:tblPr/>
      <w:tcPr>
        <w:tcBorders>
          <w:top w:val="double" w:sz="6" w:space="0" w:color="B71202"/>
          <w:left w:val="single" w:sz="8" w:space="0" w:color="B71202"/>
          <w:bottom w:val="single" w:sz="8" w:space="0" w:color="B71202"/>
          <w:right w:val="single" w:sz="8" w:space="0" w:color="B71202"/>
          <w:insideH w:val="nil"/>
          <w:insideV w:val="single" w:sz="8" w:space="0" w:color="B71202"/>
        </w:tcBorders>
      </w:tcPr>
    </w:tblStylePr>
    <w:tblStylePr w:type="firstCol">
      <w:rPr>
        <w:rFonts w:ascii="Lucida Fax" w:eastAsia="Times New Roman" w:hAnsi="Lucida Fax" w:cs="Times New Roman"/>
        <w:b/>
        <w:bCs/>
      </w:rPr>
    </w:tblStylePr>
    <w:tblStylePr w:type="lastCol">
      <w:rPr>
        <w:rFonts w:ascii="Lucida Fax" w:eastAsia="Times New Roman" w:hAnsi="Lucida Fax" w:cs="Times New Roman"/>
        <w:b/>
        <w:bCs/>
      </w:rPr>
      <w:tblPr/>
      <w:tcPr>
        <w:tcBorders>
          <w:top w:val="single" w:sz="8" w:space="0" w:color="B71202"/>
          <w:left w:val="single" w:sz="8" w:space="0" w:color="B71202"/>
          <w:bottom w:val="single" w:sz="8" w:space="0" w:color="B71202"/>
          <w:right w:val="single" w:sz="8" w:space="0" w:color="B71202"/>
        </w:tcBorders>
      </w:tcPr>
    </w:tblStylePr>
    <w:tblStylePr w:type="band1Vert">
      <w:tblPr/>
      <w:tcPr>
        <w:tcBorders>
          <w:top w:val="single" w:sz="8" w:space="0" w:color="B71202"/>
          <w:left w:val="single" w:sz="8" w:space="0" w:color="B71202"/>
          <w:bottom w:val="single" w:sz="8" w:space="0" w:color="B71202"/>
          <w:right w:val="single" w:sz="8" w:space="0" w:color="B71202"/>
        </w:tcBorders>
        <w:shd w:val="clear" w:color="auto" w:fill="FEB6AF"/>
      </w:tcPr>
    </w:tblStylePr>
    <w:tblStylePr w:type="band1Horz">
      <w:tblPr/>
      <w:tcPr>
        <w:tcBorders>
          <w:top w:val="single" w:sz="8" w:space="0" w:color="B71202"/>
          <w:left w:val="single" w:sz="8" w:space="0" w:color="B71202"/>
          <w:bottom w:val="single" w:sz="8" w:space="0" w:color="B71202"/>
          <w:right w:val="single" w:sz="8" w:space="0" w:color="B71202"/>
          <w:insideV w:val="single" w:sz="8" w:space="0" w:color="B71202"/>
        </w:tcBorders>
        <w:shd w:val="clear" w:color="auto" w:fill="FEB6AF"/>
      </w:tcPr>
    </w:tblStylePr>
    <w:tblStylePr w:type="band2Horz">
      <w:tblPr/>
      <w:tcPr>
        <w:tcBorders>
          <w:top w:val="single" w:sz="8" w:space="0" w:color="B71202"/>
          <w:left w:val="single" w:sz="8" w:space="0" w:color="B71202"/>
          <w:bottom w:val="single" w:sz="8" w:space="0" w:color="B71202"/>
          <w:right w:val="single" w:sz="8" w:space="0" w:color="B71202"/>
          <w:insideV w:val="single" w:sz="8" w:space="0" w:color="B71202"/>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szCs w:val="20"/>
      <w:lang w:val="en-US" w:eastAsia="ja-JP"/>
    </w:rPr>
  </w:style>
  <w:style w:type="paragraph" w:customStyle="1" w:styleId="Numbered111111111">
    <w:name w:val="Numbered 1.1.1.1.1.1.1.1.1"/>
    <w:basedOn w:val="Heading9"/>
    <w:next w:val="Normal"/>
    <w:uiPriority w:val="2"/>
    <w:rsid w:val="00B60F5D"/>
    <w:pPr>
      <w:numPr>
        <w:numId w:val="0"/>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3"/>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paragraph" w:customStyle="1" w:styleId="TableHeading">
    <w:name w:val="Table Heading"/>
    <w:basedOn w:val="Tabletext"/>
    <w:link w:val="TableHeadingChar"/>
    <w:qFormat/>
    <w:rsid w:val="00584D8F"/>
    <w:pPr>
      <w:spacing w:before="60"/>
    </w:pPr>
    <w:rPr>
      <w:b/>
      <w:sz w:val="22"/>
    </w:rPr>
  </w:style>
  <w:style w:type="paragraph" w:customStyle="1" w:styleId="Tabletext-right">
    <w:name w:val="Table text - right"/>
    <w:basedOn w:val="Tabletext"/>
    <w:link w:val="Tabletext-rightChar"/>
    <w:rsid w:val="00063247"/>
    <w:pPr>
      <w:jc w:val="right"/>
    </w:pPr>
    <w:rPr>
      <w:rFonts w:eastAsia="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TableHeading"/>
    <w:link w:val="TableHeading-rightChar"/>
    <w:rsid w:val="00584D8F"/>
    <w:pPr>
      <w:jc w:val="right"/>
    </w:pPr>
    <w:rPr>
      <w:rFonts w:eastAsia="Times New Roman"/>
      <w:bCs/>
      <w:szCs w:val="20"/>
    </w:rPr>
  </w:style>
  <w:style w:type="character" w:customStyle="1" w:styleId="Tabletext-rightChar">
    <w:name w:val="Table text - right Char"/>
    <w:link w:val="Tabletext-right"/>
    <w:rsid w:val="00063247"/>
    <w:rPr>
      <w:rFonts w:ascii="Arial" w:eastAsia="Times New Roman" w:hAnsi="Arial" w:cs="Times New Roman"/>
      <w:sz w:val="20"/>
      <w:szCs w:val="20"/>
    </w:rPr>
  </w:style>
  <w:style w:type="character" w:customStyle="1" w:styleId="TabletextChar">
    <w:name w:val="Table text Char"/>
    <w:link w:val="Tabletext"/>
    <w:uiPriority w:val="1"/>
    <w:rsid w:val="00584D8F"/>
    <w:rPr>
      <w:rFonts w:ascii="Arial" w:hAnsi="Arial"/>
      <w:sz w:val="20"/>
    </w:rPr>
  </w:style>
  <w:style w:type="character" w:customStyle="1" w:styleId="TableHeadingChar">
    <w:name w:val="Table Heading Char"/>
    <w:link w:val="TableHeading"/>
    <w:rsid w:val="00584D8F"/>
    <w:rPr>
      <w:rFonts w:ascii="Arial" w:hAnsi="Arial"/>
      <w:b/>
      <w:sz w:val="20"/>
    </w:rPr>
  </w:style>
  <w:style w:type="character" w:customStyle="1" w:styleId="TableHeading-rightChar">
    <w:name w:val="Table Heading - right Char"/>
    <w:link w:val="TableHeading-right"/>
    <w:rsid w:val="00584D8F"/>
    <w:rPr>
      <w:rFonts w:ascii="Arial" w:eastAsia="Times New Roman" w:hAnsi="Arial" w:cs="Times New Roman"/>
      <w:b/>
      <w:bCs/>
      <w:sz w:val="20"/>
      <w:szCs w:val="20"/>
    </w:rPr>
  </w:style>
  <w:style w:type="character" w:customStyle="1" w:styleId="Tabletext-centredChar">
    <w:name w:val="Table text - centred Char"/>
    <w:link w:val="Tabletext-centred"/>
    <w:rsid w:val="00063247"/>
    <w:rPr>
      <w:rFonts w:ascii="Arial" w:eastAsia="Times New Roman" w:hAnsi="Arial" w:cs="Times New Roman"/>
      <w:sz w:val="20"/>
      <w:szCs w:val="20"/>
    </w:rPr>
  </w:style>
  <w:style w:type="paragraph" w:customStyle="1" w:styleId="TableHeading-centred">
    <w:name w:val="Table Heading - centred"/>
    <w:basedOn w:val="TableHeading"/>
    <w:rsid w:val="00584D8F"/>
    <w:pPr>
      <w:jc w:val="center"/>
    </w:pPr>
    <w:rPr>
      <w:rFonts w:eastAsia="Times New Roman"/>
      <w:bCs/>
      <w:szCs w:val="20"/>
    </w:rPr>
  </w:style>
  <w:style w:type="character" w:customStyle="1" w:styleId="EndnoteTextChar">
    <w:name w:val="Endnote Text Char"/>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tblPr>
      <w:tblBorders>
        <w:insideV w:val="single" w:sz="4" w:space="0" w:color="D5D6D2"/>
      </w:tblBorders>
    </w:tblPr>
    <w:tblStylePr w:type="firstRow">
      <w:rPr>
        <w:rFonts w:ascii="Arial" w:hAnsi="Arial"/>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uiPriority w:val="99"/>
    <w:rsid w:val="00E4674F"/>
    <w:rPr>
      <w:rFonts w:ascii="Arial" w:hAnsi="Arial"/>
      <w:sz w:val="16"/>
      <w:vertAlign w:val="superscript"/>
    </w:rPr>
  </w:style>
  <w:style w:type="paragraph" w:customStyle="1" w:styleId="Numberedparagraph11">
    <w:name w:val="Numbered paragraph 1.1"/>
    <w:basedOn w:val="Numbered11"/>
    <w:qFormat/>
    <w:rsid w:val="00340655"/>
    <w:pPr>
      <w:ind w:left="680" w:hanging="680"/>
      <w:outlineLvl w:val="9"/>
    </w:pPr>
    <w:rPr>
      <w:bCs w:val="0"/>
      <w:color w:val="auto"/>
      <w:sz w:val="22"/>
    </w:rPr>
  </w:style>
  <w:style w:type="character" w:customStyle="1" w:styleId="Numbered1Char">
    <w:name w:val="Numbered 1 Char"/>
    <w:link w:val="Numbered1"/>
    <w:rsid w:val="00F61B84"/>
    <w:rPr>
      <w:rFonts w:ascii="Lucida Fax" w:eastAsia="Times New Roman" w:hAnsi="Lucida Fax"/>
      <w:bCs/>
      <w:color w:val="51626F"/>
      <w:sz w:val="32"/>
      <w:szCs w:val="28"/>
      <w:lang w:eastAsia="en-US"/>
    </w:rPr>
  </w:style>
  <w:style w:type="paragraph" w:customStyle="1" w:styleId="Numberedparagraph">
    <w:name w:val="Numbered paragraph"/>
    <w:basedOn w:val="Normal"/>
    <w:rsid w:val="00B60F5D"/>
    <w:pPr>
      <w:numPr>
        <w:numId w:val="1"/>
      </w:numPr>
      <w:ind w:left="680" w:hanging="680"/>
    </w:pPr>
    <w:rPr>
      <w:rFonts w:eastAsia="Times New Roman"/>
      <w:color w:val="000000"/>
      <w:szCs w:val="20"/>
    </w:rPr>
  </w:style>
  <w:style w:type="paragraph" w:customStyle="1" w:styleId="Listalphabet2">
    <w:name w:val="List alphabet 2"/>
    <w:rsid w:val="00CF799E"/>
    <w:pPr>
      <w:numPr>
        <w:numId w:val="12"/>
      </w:numPr>
      <w:tabs>
        <w:tab w:val="left" w:pos="680"/>
      </w:tabs>
      <w:spacing w:before="120"/>
    </w:pPr>
    <w:rPr>
      <w:sz w:val="22"/>
      <w:szCs w:val="22"/>
      <w:lang w:eastAsia="en-US"/>
    </w:rPr>
  </w:style>
  <w:style w:type="paragraph" w:customStyle="1" w:styleId="Listalphabet3">
    <w:name w:val="List alphabet 3"/>
    <w:rsid w:val="00CF799E"/>
    <w:pPr>
      <w:numPr>
        <w:numId w:val="18"/>
      </w:numPr>
      <w:tabs>
        <w:tab w:val="left" w:pos="1021"/>
      </w:tabs>
      <w:spacing w:before="120"/>
    </w:pPr>
    <w:rPr>
      <w:sz w:val="22"/>
      <w:szCs w:val="22"/>
      <w:lang w:eastAsia="en-US"/>
    </w:rPr>
  </w:style>
  <w:style w:type="paragraph" w:customStyle="1" w:styleId="Listalphabet4">
    <w:name w:val="List alphabet 4"/>
    <w:rsid w:val="00CF799E"/>
    <w:pPr>
      <w:numPr>
        <w:numId w:val="19"/>
      </w:numPr>
      <w:tabs>
        <w:tab w:val="left" w:pos="1361"/>
      </w:tabs>
      <w:spacing w:before="120"/>
    </w:pPr>
    <w:rPr>
      <w:sz w:val="22"/>
      <w:szCs w:val="22"/>
      <w:lang w:eastAsia="en-US"/>
    </w:rPr>
  </w:style>
  <w:style w:type="paragraph" w:customStyle="1" w:styleId="Listalphabet5">
    <w:name w:val="List alphabet 5"/>
    <w:rsid w:val="00CF799E"/>
    <w:pPr>
      <w:numPr>
        <w:numId w:val="20"/>
      </w:numPr>
      <w:tabs>
        <w:tab w:val="left" w:pos="1701"/>
      </w:tabs>
      <w:spacing w:before="120"/>
    </w:pPr>
    <w:rPr>
      <w:sz w:val="22"/>
      <w:szCs w:val="22"/>
      <w:lang w:eastAsia="en-US"/>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1"/>
      </w:numPr>
      <w:tabs>
        <w:tab w:val="left" w:pos="340"/>
      </w:tabs>
      <w:spacing w:before="120"/>
    </w:pPr>
    <w:rPr>
      <w:sz w:val="22"/>
      <w:szCs w:val="22"/>
      <w:lang w:eastAsia="en-US"/>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link w:val="NoteHeading"/>
    <w:uiPriority w:val="99"/>
    <w:semiHidden/>
    <w:rsid w:val="00F61B84"/>
    <w:rPr>
      <w:rFonts w:ascii="Arial" w:hAnsi="Arial"/>
    </w:rPr>
  </w:style>
  <w:style w:type="character" w:styleId="SubtleReference">
    <w:name w:val="Subtle Reference"/>
    <w:uiPriority w:val="31"/>
    <w:unhideWhenUsed/>
    <w:rsid w:val="00B60F5D"/>
    <w:rPr>
      <w:smallCaps/>
      <w:color w:val="4F2D7D"/>
      <w:u w:val="single"/>
    </w:rPr>
  </w:style>
  <w:style w:type="paragraph" w:customStyle="1" w:styleId="ListLegal">
    <w:name w:val="List Legal"/>
    <w:basedOn w:val="ListParagraph"/>
    <w:rsid w:val="00CF799E"/>
    <w:pPr>
      <w:numPr>
        <w:numId w:val="24"/>
      </w:numPr>
      <w:tabs>
        <w:tab w:val="clear" w:pos="340"/>
        <w:tab w:val="left" w:pos="680"/>
      </w:tabs>
    </w:pPr>
  </w:style>
  <w:style w:type="paragraph" w:customStyle="1" w:styleId="ListLegal2">
    <w:name w:val="List Legal 2"/>
    <w:basedOn w:val="ListLegal"/>
    <w:rsid w:val="00C06739"/>
    <w:pPr>
      <w:numPr>
        <w:numId w:val="15"/>
      </w:numPr>
      <w:tabs>
        <w:tab w:val="clear" w:pos="680"/>
        <w:tab w:val="left" w:pos="1021"/>
      </w:tabs>
    </w:pPr>
  </w:style>
  <w:style w:type="paragraph" w:customStyle="1" w:styleId="ListLegal3">
    <w:name w:val="List Legal 3"/>
    <w:basedOn w:val="ListNumber3"/>
    <w:rsid w:val="00CF799E"/>
    <w:pPr>
      <w:numPr>
        <w:numId w:val="14"/>
      </w:numPr>
      <w:tabs>
        <w:tab w:val="clear" w:pos="1021"/>
        <w:tab w:val="left" w:pos="1361"/>
      </w:tabs>
    </w:pPr>
  </w:style>
  <w:style w:type="paragraph" w:customStyle="1" w:styleId="ListLegal4">
    <w:name w:val="List Legal 4"/>
    <w:basedOn w:val="ListLegal3"/>
    <w:rsid w:val="00CF799E"/>
    <w:pPr>
      <w:numPr>
        <w:numId w:val="16"/>
      </w:numPr>
      <w:tabs>
        <w:tab w:val="clear" w:pos="1361"/>
        <w:tab w:val="left" w:pos="1701"/>
      </w:tabs>
    </w:pPr>
  </w:style>
  <w:style w:type="paragraph" w:customStyle="1" w:styleId="ListLegal5">
    <w:name w:val="List Legal 5"/>
    <w:basedOn w:val="ListLegal4"/>
    <w:rsid w:val="000F2368"/>
    <w:pPr>
      <w:numPr>
        <w:numId w:val="25"/>
      </w:numPr>
      <w:tabs>
        <w:tab w:val="clear" w:pos="1701"/>
        <w:tab w:val="left" w:pos="2041"/>
      </w:tabs>
    </w:pPr>
  </w:style>
  <w:style w:type="paragraph" w:customStyle="1" w:styleId="LegalNumbering">
    <w:name w:val="Legal Numbering"/>
    <w:basedOn w:val="Normal"/>
    <w:qFormat/>
    <w:rsid w:val="0002115F"/>
    <w:pPr>
      <w:numPr>
        <w:numId w:val="17"/>
      </w:numPr>
      <w:tabs>
        <w:tab w:val="left" w:pos="340"/>
        <w:tab w:val="left" w:pos="680"/>
        <w:tab w:val="left" w:pos="1021"/>
        <w:tab w:val="left" w:pos="1361"/>
      </w:tabs>
    </w:pPr>
  </w:style>
  <w:style w:type="character" w:styleId="CommentReference">
    <w:name w:val="annotation reference"/>
    <w:uiPriority w:val="99"/>
    <w:semiHidden/>
    <w:unhideWhenUsed/>
    <w:rsid w:val="004F0A93"/>
    <w:rPr>
      <w:sz w:val="16"/>
      <w:szCs w:val="16"/>
    </w:rPr>
  </w:style>
  <w:style w:type="paragraph" w:styleId="CommentText">
    <w:name w:val="annotation text"/>
    <w:basedOn w:val="Normal"/>
    <w:link w:val="CommentTextChar"/>
    <w:uiPriority w:val="99"/>
    <w:semiHidden/>
    <w:unhideWhenUsed/>
    <w:rsid w:val="004F0A93"/>
    <w:rPr>
      <w:sz w:val="20"/>
      <w:szCs w:val="20"/>
    </w:rPr>
  </w:style>
  <w:style w:type="character" w:customStyle="1" w:styleId="CommentTextChar">
    <w:name w:val="Comment Text Char"/>
    <w:link w:val="CommentText"/>
    <w:uiPriority w:val="99"/>
    <w:semiHidden/>
    <w:rsid w:val="004F0A93"/>
    <w:rPr>
      <w:lang w:eastAsia="en-US"/>
    </w:rPr>
  </w:style>
  <w:style w:type="paragraph" w:styleId="CommentSubject">
    <w:name w:val="annotation subject"/>
    <w:basedOn w:val="CommentText"/>
    <w:next w:val="CommentText"/>
    <w:link w:val="CommentSubjectChar"/>
    <w:uiPriority w:val="99"/>
    <w:semiHidden/>
    <w:unhideWhenUsed/>
    <w:rsid w:val="004F0A93"/>
    <w:rPr>
      <w:b/>
      <w:bCs/>
    </w:rPr>
  </w:style>
  <w:style w:type="character" w:customStyle="1" w:styleId="CommentSubjectChar">
    <w:name w:val="Comment Subject Char"/>
    <w:link w:val="CommentSubject"/>
    <w:uiPriority w:val="99"/>
    <w:semiHidden/>
    <w:rsid w:val="004F0A93"/>
    <w:rPr>
      <w:b/>
      <w:bCs/>
      <w:lang w:eastAsia="en-US"/>
    </w:rPr>
  </w:style>
  <w:style w:type="table" w:customStyle="1" w:styleId="ACCCTable2">
    <w:name w:val="ACCC Table2"/>
    <w:basedOn w:val="TableNormal"/>
    <w:next w:val="TableGrid"/>
    <w:uiPriority w:val="59"/>
    <w:rsid w:val="00B81452"/>
    <w:pPr>
      <w:spacing w:before="60" w:after="60"/>
    </w:pPr>
    <w:rPr>
      <w:szCs w:val="22"/>
      <w:lang w:eastAsia="en-US"/>
    </w:rPr>
    <w:tblPr>
      <w:tblBorders>
        <w:top w:val="single" w:sz="4" w:space="0" w:color="BFBFBF"/>
        <w:bottom w:val="single" w:sz="4" w:space="0" w:color="BFBF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left w:val="nil"/>
          <w:bottom w:val="single" w:sz="4" w:space="0" w:color="BFBF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customStyle="1" w:styleId="LightShading11">
    <w:name w:val="Light Shading11"/>
    <w:basedOn w:val="TableNormal"/>
    <w:next w:val="LightShading"/>
    <w:uiPriority w:val="60"/>
    <w:rsid w:val="00555F84"/>
    <w:pPr>
      <w:spacing w:before="120" w:after="120"/>
    </w:pPr>
    <w:rPr>
      <w:color w:val="000000"/>
      <w:szCs w:val="22"/>
      <w:lang w:eastAsia="en-US"/>
    </w:rPr>
    <w:tblPr>
      <w:tblBorders>
        <w:top w:val="single" w:sz="4" w:space="0" w:color="D5D6D2"/>
        <w:bottom w:val="single" w:sz="4" w:space="0" w:color="D5D6D2"/>
        <w:insideH w:val="single" w:sz="4" w:space="0" w:color="D5D6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left w:val="nil"/>
          <w:bottom w:val="single" w:sz="8" w:space="0" w:color="000000"/>
          <w:right w:val="nil"/>
          <w:insideH w:val="nil"/>
          <w:insideV w:val="nil"/>
        </w:tcBorders>
        <w:vAlign w:val="center"/>
      </w:tcPr>
    </w:tblStylePr>
    <w:tblStylePr w:type="firstCol">
      <w:rPr>
        <w:b/>
        <w:bCs/>
        <w:sz w:val="20"/>
      </w:rPr>
    </w:tblStylePr>
    <w:tblStylePr w:type="lastCol">
      <w:rPr>
        <w:b/>
        <w:bCs/>
      </w:rPr>
    </w:tblStylePr>
  </w:style>
  <w:style w:type="paragraph" w:styleId="Revision">
    <w:name w:val="Revision"/>
    <w:hidden/>
    <w:uiPriority w:val="99"/>
    <w:semiHidden/>
    <w:rsid w:val="0039574F"/>
    <w:rPr>
      <w:sz w:val="22"/>
      <w:szCs w:val="22"/>
      <w:lang w:eastAsia="en-US"/>
    </w:rPr>
  </w:style>
  <w:style w:type="character" w:styleId="FollowedHyperlink">
    <w:name w:val="FollowedHyperlink"/>
    <w:uiPriority w:val="99"/>
    <w:semiHidden/>
    <w:unhideWhenUsed/>
    <w:rsid w:val="003B3A6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514">
      <w:bodyDiv w:val="1"/>
      <w:marLeft w:val="0"/>
      <w:marRight w:val="0"/>
      <w:marTop w:val="0"/>
      <w:marBottom w:val="0"/>
      <w:divBdr>
        <w:top w:val="none" w:sz="0" w:space="0" w:color="auto"/>
        <w:left w:val="none" w:sz="0" w:space="0" w:color="auto"/>
        <w:bottom w:val="none" w:sz="0" w:space="0" w:color="auto"/>
        <w:right w:val="none" w:sz="0" w:space="0" w:color="auto"/>
      </w:divBdr>
    </w:div>
    <w:div w:id="53269765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yperlink" Target="mailto:productsafety.regulation@accc.gov.au"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webSettings" Target="webSettings.xml"/><Relationship Id="rId12" Type="http://schemas.openxmlformats.org/officeDocument/2006/relationships/hyperlink" Target="http://creativecommons.org.au/" TargetMode="External"/><Relationship Id="rId17" Type="http://schemas.openxmlformats.org/officeDocument/2006/relationships/hyperlink" Target="http://www.business.gov.au/" TargetMode="Externa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productsafety.gov.au/" TargetMode="External"/><Relationship Id="rId20" Type="http://schemas.openxmlformats.org/officeDocument/2006/relationships/oleObject" Target="embeddings/oleObject1.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6.png"/><Relationship Id="rId5" Type="http://schemas.microsoft.com/office/2007/relationships/stylesWithEffects" Target="stylesWithEffects.xml"/><Relationship Id="rId15" Type="http://schemas.openxmlformats.org/officeDocument/2006/relationships/hyperlink" Target="https://consultation.accc.gov.au/" TargetMode="External"/><Relationship Id="rId23" Type="http://schemas.openxmlformats.org/officeDocument/2006/relationships/hyperlink" Target="http://www.comlaw.gov.au/Current/F2005L02920"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oductsafety.gov.au" TargetMode="External"/><Relationship Id="rId22" Type="http://schemas.openxmlformats.org/officeDocument/2006/relationships/oleObject" Target="embeddings/oleObject2.bin"/><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productsafety.gov.au/content/index.phtml/itemId/1014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903D6C-E2FF-4A90-BD56-F5B5B42B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5FA54B8A</Template>
  <TotalTime>1</TotalTime>
  <Pages>16</Pages>
  <Words>3873</Words>
  <Characters>22078</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[Document title]</vt:lpstr>
    </vt:vector>
  </TitlesOfParts>
  <Company>ACCC</Company>
  <LinksUpToDate>false</LinksUpToDate>
  <CharactersWithSpaces>25900</CharactersWithSpaces>
  <SharedDoc>false</SharedDoc>
  <HLinks>
    <vt:vector size="18" baseType="variant">
      <vt:variant>
        <vt:i4>5439595</vt:i4>
      </vt:variant>
      <vt:variant>
        <vt:i4>3</vt:i4>
      </vt:variant>
      <vt:variant>
        <vt:i4>0</vt:i4>
      </vt:variant>
      <vt:variant>
        <vt:i4>5</vt:i4>
      </vt:variant>
      <vt:variant>
        <vt:lpwstr>mailto:productsafety.regulation@accc.gov.au</vt:lpwstr>
      </vt:variant>
      <vt:variant>
        <vt:lpwstr/>
      </vt:variant>
      <vt:variant>
        <vt:i4>2031625</vt:i4>
      </vt:variant>
      <vt:variant>
        <vt:i4>0</vt:i4>
      </vt:variant>
      <vt:variant>
        <vt:i4>0</vt:i4>
      </vt:variant>
      <vt:variant>
        <vt:i4>5</vt:i4>
      </vt:variant>
      <vt:variant>
        <vt:lpwstr>https://consultation.accc.gov.au/</vt:lpwstr>
      </vt:variant>
      <vt:variant>
        <vt:lpwstr/>
      </vt:variant>
      <vt:variant>
        <vt:i4>5701759</vt:i4>
      </vt:variant>
      <vt:variant>
        <vt:i4>0</vt:i4>
      </vt:variant>
      <vt:variant>
        <vt:i4>0</vt:i4>
      </vt:variant>
      <vt:variant>
        <vt:i4>5</vt:i4>
      </vt:variant>
      <vt:variant>
        <vt:lpwstr>https://www.dpmc.gov.au/sites/default/files/publications/industry_innovation_competitiveness_agenda.pdf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Isabel Ward</dc:creator>
  <cp:lastModifiedBy>Owen, Todd</cp:lastModifiedBy>
  <cp:revision>2</cp:revision>
  <cp:lastPrinted>2016-10-06T23:58:00Z</cp:lastPrinted>
  <dcterms:created xsi:type="dcterms:W3CDTF">2016-10-12T01:58:00Z</dcterms:created>
  <dcterms:modified xsi:type="dcterms:W3CDTF">2016-10-12T01:58:00Z</dcterms:modified>
</cp:coreProperties>
</file>