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7F39" w:rsidRDefault="00687F39" w:rsidP="008945B4">
      <w:r>
        <w:rPr>
          <w:noProof/>
          <w:lang w:eastAsia="en-AU"/>
        </w:rPr>
        <mc:AlternateContent>
          <mc:Choice Requires="wps">
            <w:drawing>
              <wp:anchor distT="0" distB="0" distL="114300" distR="114300" simplePos="0" relativeHeight="251659264" behindDoc="1" locked="0" layoutInCell="1" allowOverlap="1" wp14:anchorId="31CAF841" wp14:editId="52A2AF3A">
                <wp:simplePos x="0" y="0"/>
                <wp:positionH relativeFrom="column">
                  <wp:posOffset>-657225</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r>
        <w:rPr>
          <w:noProof/>
          <w:lang w:eastAsia="en-AU"/>
        </w:rPr>
        <w:drawing>
          <wp:inline distT="0" distB="0" distL="0" distR="0" wp14:anchorId="46292733" wp14:editId="33D1B548">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687F39" w:rsidRPr="005E6C0E" w:rsidRDefault="00687F39"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687F39" w:rsidRPr="00C755AD" w:rsidTr="00C755AD">
        <w:tc>
          <w:tcPr>
            <w:tcW w:w="9242" w:type="dxa"/>
          </w:tcPr>
          <w:p w:rsidR="00495406" w:rsidRDefault="00495406" w:rsidP="00495406">
            <w:pPr>
              <w:pStyle w:val="Title"/>
              <w:spacing w:before="0"/>
            </w:pPr>
            <w:bookmarkStart w:id="1" w:name="_Toc414270383"/>
            <w:bookmarkStart w:id="2" w:name="_Toc453230542"/>
            <w:bookmarkStart w:id="3" w:name="_Toc454184829"/>
            <w:r>
              <w:br w:type="page"/>
            </w:r>
          </w:p>
          <w:p w:rsidR="00687F39" w:rsidRPr="00C755AD" w:rsidRDefault="007F6D3C" w:rsidP="00495406">
            <w:pPr>
              <w:pStyle w:val="Title"/>
              <w:spacing w:before="0"/>
            </w:pPr>
            <w:bookmarkStart w:id="4" w:name="_Toc460406266"/>
            <w:r w:rsidRPr="007F6D3C">
              <w:t xml:space="preserve">Review of </w:t>
            </w:r>
            <w:r w:rsidR="00835724">
              <w:t xml:space="preserve">the </w:t>
            </w:r>
            <w:r w:rsidR="00CF6ACC">
              <w:t xml:space="preserve">mandatory </w:t>
            </w:r>
            <w:r w:rsidR="007C0280">
              <w:t>s</w:t>
            </w:r>
            <w:r w:rsidR="007C0280" w:rsidRPr="007F6D3C">
              <w:t xml:space="preserve">afety </w:t>
            </w:r>
            <w:r w:rsidR="007C0280">
              <w:t>s</w:t>
            </w:r>
            <w:r w:rsidR="007C0280" w:rsidRPr="007F6D3C">
              <w:t>tandard</w:t>
            </w:r>
            <w:r w:rsidR="007C0280">
              <w:t>s</w:t>
            </w:r>
            <w:r w:rsidR="007C0280" w:rsidRPr="007F6D3C">
              <w:t xml:space="preserve"> </w:t>
            </w:r>
            <w:r w:rsidRPr="007F6D3C">
              <w:t xml:space="preserve">for </w:t>
            </w:r>
            <w:r w:rsidR="005A629A">
              <w:t>h</w:t>
            </w:r>
            <w:r w:rsidR="0042692F">
              <w:t>ydraulic trolley jacks,</w:t>
            </w:r>
            <w:r w:rsidR="005A629A">
              <w:t xml:space="preserve"> vehicle support stands and p</w:t>
            </w:r>
            <w:r w:rsidR="0042692F">
              <w:t>ortable ramps for vehicles</w:t>
            </w:r>
            <w:bookmarkEnd w:id="1"/>
            <w:bookmarkEnd w:id="2"/>
            <w:bookmarkEnd w:id="3"/>
            <w:bookmarkEnd w:id="4"/>
          </w:p>
        </w:tc>
      </w:tr>
      <w:tr w:rsidR="00687F39" w:rsidRPr="00C755AD" w:rsidTr="00C755AD">
        <w:tc>
          <w:tcPr>
            <w:tcW w:w="9242" w:type="dxa"/>
          </w:tcPr>
          <w:p w:rsidR="00687F39" w:rsidRPr="00C755AD" w:rsidRDefault="007F6D3C" w:rsidP="007C0280">
            <w:pPr>
              <w:pStyle w:val="Subtitle"/>
            </w:pPr>
            <w:r>
              <w:t xml:space="preserve">Consultation </w:t>
            </w:r>
            <w:r w:rsidR="007C0280">
              <w:t>paper</w:t>
            </w:r>
          </w:p>
        </w:tc>
      </w:tr>
      <w:tr w:rsidR="00687F39" w:rsidRPr="00C755AD" w:rsidTr="00C755AD">
        <w:tc>
          <w:tcPr>
            <w:tcW w:w="9242" w:type="dxa"/>
          </w:tcPr>
          <w:p w:rsidR="00687F39" w:rsidRPr="00C755AD" w:rsidRDefault="007D558C" w:rsidP="00E9468A">
            <w:pPr>
              <w:pStyle w:val="CoverDate"/>
            </w:pPr>
            <w:r>
              <w:t>September</w:t>
            </w:r>
            <w:r w:rsidR="00001572">
              <w:t xml:space="preserve"> </w:t>
            </w:r>
            <w:r w:rsidR="00FE5C1E">
              <w:t>2016</w:t>
            </w:r>
          </w:p>
        </w:tc>
      </w:tr>
    </w:tbl>
    <w:p w:rsidR="00687F39" w:rsidRDefault="00495406">
      <w:r w:rsidRPr="00495406">
        <w:rPr>
          <w:noProof/>
          <w:lang w:eastAsia="en-AU"/>
        </w:rPr>
        <w:drawing>
          <wp:anchor distT="0" distB="0" distL="114300" distR="114300" simplePos="0" relativeHeight="251664384" behindDoc="0" locked="0" layoutInCell="1" allowOverlap="1" wp14:anchorId="4B4F0F53" wp14:editId="330BB5A6">
            <wp:simplePos x="0" y="0"/>
            <wp:positionH relativeFrom="column">
              <wp:posOffset>4372610</wp:posOffset>
            </wp:positionH>
            <wp:positionV relativeFrom="paragraph">
              <wp:posOffset>523875</wp:posOffset>
            </wp:positionV>
            <wp:extent cx="1133475" cy="155384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 vehicle ramp - portable.JPG"/>
                    <pic:cNvPicPr/>
                  </pic:nvPicPr>
                  <pic:blipFill>
                    <a:blip r:embed="rId11">
                      <a:extLst>
                        <a:ext uri="{28A0092B-C50C-407E-A947-70E740481C1C}">
                          <a14:useLocalDpi xmlns:a14="http://schemas.microsoft.com/office/drawing/2010/main" val="0"/>
                        </a:ext>
                      </a:extLst>
                    </a:blip>
                    <a:stretch>
                      <a:fillRect/>
                    </a:stretch>
                  </pic:blipFill>
                  <pic:spPr>
                    <a:xfrm>
                      <a:off x="0" y="0"/>
                      <a:ext cx="1133475" cy="1553845"/>
                    </a:xfrm>
                    <a:prstGeom prst="rect">
                      <a:avLst/>
                    </a:prstGeom>
                  </pic:spPr>
                </pic:pic>
              </a:graphicData>
            </a:graphic>
            <wp14:sizeRelH relativeFrom="page">
              <wp14:pctWidth>0</wp14:pctWidth>
            </wp14:sizeRelH>
            <wp14:sizeRelV relativeFrom="page">
              <wp14:pctHeight>0</wp14:pctHeight>
            </wp14:sizeRelV>
          </wp:anchor>
        </w:drawing>
      </w:r>
      <w:r w:rsidRPr="00495406">
        <w:rPr>
          <w:noProof/>
          <w:lang w:eastAsia="en-AU"/>
        </w:rPr>
        <w:drawing>
          <wp:anchor distT="0" distB="0" distL="114300" distR="114300" simplePos="0" relativeHeight="251665408" behindDoc="0" locked="0" layoutInCell="1" allowOverlap="1" wp14:anchorId="63447A9E" wp14:editId="5520ED04">
            <wp:simplePos x="0" y="0"/>
            <wp:positionH relativeFrom="column">
              <wp:posOffset>2571750</wp:posOffset>
            </wp:positionH>
            <wp:positionV relativeFrom="paragraph">
              <wp:posOffset>476885</wp:posOffset>
            </wp:positionV>
            <wp:extent cx="1009650" cy="1657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hicle ramp.png"/>
                    <pic:cNvPicPr/>
                  </pic:nvPicPr>
                  <pic:blipFill>
                    <a:blip r:embed="rId12">
                      <a:extLst>
                        <a:ext uri="{28A0092B-C50C-407E-A947-70E740481C1C}">
                          <a14:useLocalDpi xmlns:a14="http://schemas.microsoft.com/office/drawing/2010/main" val="0"/>
                        </a:ext>
                      </a:extLst>
                    </a:blip>
                    <a:stretch>
                      <a:fillRect/>
                    </a:stretch>
                  </pic:blipFill>
                  <pic:spPr>
                    <a:xfrm>
                      <a:off x="0" y="0"/>
                      <a:ext cx="1009650" cy="1657350"/>
                    </a:xfrm>
                    <a:prstGeom prst="rect">
                      <a:avLst/>
                    </a:prstGeom>
                  </pic:spPr>
                </pic:pic>
              </a:graphicData>
            </a:graphic>
            <wp14:sizeRelH relativeFrom="page">
              <wp14:pctWidth>0</wp14:pctWidth>
            </wp14:sizeRelH>
            <wp14:sizeRelV relativeFrom="page">
              <wp14:pctHeight>0</wp14:pctHeight>
            </wp14:sizeRelV>
          </wp:anchor>
        </w:drawing>
      </w:r>
      <w:r w:rsidRPr="00495406">
        <w:rPr>
          <w:noProof/>
          <w:lang w:eastAsia="en-AU"/>
        </w:rPr>
        <w:drawing>
          <wp:anchor distT="0" distB="0" distL="114300" distR="114300" simplePos="0" relativeHeight="251663360" behindDoc="0" locked="0" layoutInCell="1" allowOverlap="1" wp14:anchorId="6B31A8B0" wp14:editId="6B2159E7">
            <wp:simplePos x="0" y="0"/>
            <wp:positionH relativeFrom="column">
              <wp:posOffset>219075</wp:posOffset>
            </wp:positionH>
            <wp:positionV relativeFrom="paragraph">
              <wp:posOffset>629920</wp:posOffset>
            </wp:positionV>
            <wp:extent cx="1905000" cy="12668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lley jack.jpg"/>
                    <pic:cNvPicPr/>
                  </pic:nvPicPr>
                  <pic:blipFill>
                    <a:blip r:embed="rId13">
                      <a:extLst>
                        <a:ext uri="{28A0092B-C50C-407E-A947-70E740481C1C}">
                          <a14:useLocalDpi xmlns:a14="http://schemas.microsoft.com/office/drawing/2010/main" val="0"/>
                        </a:ext>
                      </a:extLst>
                    </a:blip>
                    <a:stretch>
                      <a:fillRect/>
                    </a:stretch>
                  </pic:blipFill>
                  <pic:spPr>
                    <a:xfrm>
                      <a:off x="0" y="0"/>
                      <a:ext cx="1905000" cy="12668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7456" behindDoc="0" locked="0" layoutInCell="1" allowOverlap="1" wp14:anchorId="7982D765" wp14:editId="2B8E2DDC">
                <wp:simplePos x="0" y="0"/>
                <wp:positionH relativeFrom="column">
                  <wp:posOffset>2276475</wp:posOffset>
                </wp:positionH>
                <wp:positionV relativeFrom="paragraph">
                  <wp:posOffset>2372360</wp:posOffset>
                </wp:positionV>
                <wp:extent cx="1647825" cy="2952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647825" cy="29527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153" w:rsidRDefault="00A97153" w:rsidP="00495406">
                            <w:pPr>
                              <w:spacing w:before="0"/>
                            </w:pPr>
                            <w:r>
                              <w:t>Vehicle support 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9.25pt;margin-top:186.8pt;width:129.75pt;height:23.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" fillcolor="#d5d6d2 [3214]" stroked="f" strokeweight=".5pt">
                <v:textbox>
                  <w:txbxContent>
                    <w:p w:rsidR="00A97153" w:rsidRDefault="00A97153" w:rsidP="00495406">
                      <w:pPr>
                        <w:spacing w:before="0"/>
                      </w:pPr>
                      <w:r>
                        <w:t>Vehicle support stand</w:t>
                      </w:r>
                    </w:p>
                  </w:txbxContent>
                </v:textbox>
              </v:shape>
            </w:pict>
          </mc:Fallback>
        </mc:AlternateContent>
      </w:r>
      <w:r>
        <w:rPr>
          <w:noProof/>
          <w:lang w:eastAsia="en-AU"/>
        </w:rPr>
        <mc:AlternateContent>
          <mc:Choice Requires="wps">
            <w:drawing>
              <wp:anchor distT="0" distB="0" distL="114300" distR="114300" simplePos="0" relativeHeight="251668480" behindDoc="1" locked="0" layoutInCell="1" allowOverlap="1" wp14:anchorId="0882279E" wp14:editId="043691F3">
                <wp:simplePos x="0" y="0"/>
                <wp:positionH relativeFrom="column">
                  <wp:posOffset>4162425</wp:posOffset>
                </wp:positionH>
                <wp:positionV relativeFrom="paragraph">
                  <wp:posOffset>2372360</wp:posOffset>
                </wp:positionV>
                <wp:extent cx="1571625" cy="295275"/>
                <wp:effectExtent l="0" t="0" r="9525" b="9525"/>
                <wp:wrapThrough wrapText="bothSides">
                  <wp:wrapPolygon edited="0">
                    <wp:start x="0" y="0"/>
                    <wp:lineTo x="0" y="20903"/>
                    <wp:lineTo x="21469" y="20903"/>
                    <wp:lineTo x="21469"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1571625" cy="29527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153" w:rsidRDefault="00A97153" w:rsidP="00495406">
                            <w:pPr>
                              <w:spacing w:before="0"/>
                            </w:pPr>
                            <w:r>
                              <w:t>Portable vehicle ramp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327.75pt;margin-top:186.8pt;width:123.75pt;height:23.2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" fillcolor="#d5d6d2 [3214]" stroked="f" strokeweight=".5pt">
                <v:textbox>
                  <w:txbxContent>
                    <w:p w:rsidR="00A97153" w:rsidRDefault="00A97153" w:rsidP="00495406">
                      <w:pPr>
                        <w:spacing w:before="0"/>
                      </w:pPr>
                      <w:r>
                        <w:t>Portable vehicle ramp</w:t>
                      </w:r>
                    </w:p>
                  </w:txbxContent>
                </v:textbox>
                <w10:wrap type="through"/>
              </v:shape>
            </w:pict>
          </mc:Fallback>
        </mc:AlternateContent>
      </w:r>
      <w:r>
        <w:rPr>
          <w:noProof/>
          <w:lang w:eastAsia="en-AU"/>
        </w:rPr>
        <mc:AlternateContent>
          <mc:Choice Requires="wps">
            <w:drawing>
              <wp:anchor distT="0" distB="0" distL="114300" distR="114300" simplePos="0" relativeHeight="251666432" behindDoc="0" locked="0" layoutInCell="1" allowOverlap="1" wp14:anchorId="3C89B792" wp14:editId="0A5440E5">
                <wp:simplePos x="0" y="0"/>
                <wp:positionH relativeFrom="column">
                  <wp:posOffset>304800</wp:posOffset>
                </wp:positionH>
                <wp:positionV relativeFrom="paragraph">
                  <wp:posOffset>2372360</wp:posOffset>
                </wp:positionV>
                <wp:extent cx="1676400" cy="2952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676400" cy="29527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153" w:rsidRDefault="00A97153" w:rsidP="00495406">
                            <w:pPr>
                              <w:spacing w:before="0"/>
                            </w:pPr>
                            <w:r>
                              <w:t>Hydraulic trolley jack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24pt;margin-top:186.8pt;width:132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" fillcolor="#d5d6d2 [3214]" stroked="f" strokeweight=".5pt">
                <v:textbox>
                  <w:txbxContent>
                    <w:p w:rsidR="00A97153" w:rsidRDefault="00A97153" w:rsidP="00495406">
                      <w:pPr>
                        <w:spacing w:before="0"/>
                      </w:pPr>
                      <w:r>
                        <w:t>Hydraulic trolley jack</w:t>
                      </w:r>
                    </w:p>
                  </w:txbxContent>
                </v:textbox>
              </v:shape>
            </w:pict>
          </mc:Fallback>
        </mc:AlternateContent>
      </w:r>
      <w:r w:rsidR="00687F39">
        <w:br w:type="page"/>
      </w:r>
    </w:p>
    <w:p w:rsidR="007E14B0" w:rsidRDefault="007E14B0" w:rsidP="00C46407">
      <w:pPr>
        <w:jc w:val="center"/>
        <w:rPr>
          <w:u w:val="single"/>
          <w:lang w:val="en-GB"/>
        </w:rPr>
      </w:pPr>
    </w:p>
    <w:p w:rsidR="007E14B0" w:rsidRDefault="007E14B0" w:rsidP="00C46407">
      <w:pPr>
        <w:jc w:val="center"/>
        <w:rPr>
          <w:u w:val="single"/>
          <w:lang w:val="en-GB"/>
        </w:rPr>
      </w:pPr>
    </w:p>
    <w:p w:rsidR="007E14B0" w:rsidRDefault="007E14B0" w:rsidP="00C46407">
      <w:pPr>
        <w:jc w:val="center"/>
        <w:rPr>
          <w:u w:val="single"/>
          <w:lang w:val="en-GB"/>
        </w:rPr>
      </w:pPr>
    </w:p>
    <w:p w:rsidR="007E14B0" w:rsidRDefault="007E14B0" w:rsidP="00C46407">
      <w:pPr>
        <w:jc w:val="center"/>
        <w:rPr>
          <w:u w:val="single"/>
          <w:lang w:val="en-GB"/>
        </w:rPr>
      </w:pPr>
    </w:p>
    <w:p w:rsidR="007E14B0" w:rsidRDefault="007E14B0" w:rsidP="00C46407">
      <w:pPr>
        <w:jc w:val="center"/>
        <w:rPr>
          <w:u w:val="single"/>
          <w:lang w:val="en-GB"/>
        </w:rPr>
      </w:pPr>
    </w:p>
    <w:p w:rsidR="007E14B0" w:rsidRDefault="007E14B0" w:rsidP="00C46407">
      <w:pPr>
        <w:jc w:val="center"/>
        <w:rPr>
          <w:u w:val="single"/>
          <w:lang w:val="en-GB"/>
        </w:rPr>
      </w:pPr>
    </w:p>
    <w:p w:rsidR="007E14B0" w:rsidRDefault="007E14B0" w:rsidP="00C46407">
      <w:pPr>
        <w:jc w:val="center"/>
        <w:rPr>
          <w:u w:val="single"/>
          <w:lang w:val="en-GB"/>
        </w:rPr>
      </w:pPr>
    </w:p>
    <w:p w:rsidR="007E14B0" w:rsidRDefault="007E14B0" w:rsidP="00C46407">
      <w:pPr>
        <w:jc w:val="center"/>
        <w:rPr>
          <w:u w:val="single"/>
          <w:lang w:val="en-GB"/>
        </w:rPr>
      </w:pPr>
    </w:p>
    <w:p w:rsidR="007E14B0" w:rsidRDefault="007E14B0" w:rsidP="00C46407">
      <w:pPr>
        <w:jc w:val="center"/>
        <w:rPr>
          <w:u w:val="single"/>
          <w:lang w:val="en-GB"/>
        </w:rPr>
      </w:pPr>
    </w:p>
    <w:p w:rsidR="007E14B0" w:rsidRDefault="007E14B0" w:rsidP="00C46407">
      <w:pPr>
        <w:jc w:val="center"/>
        <w:rPr>
          <w:u w:val="single"/>
          <w:lang w:val="en-GB"/>
        </w:rPr>
      </w:pPr>
    </w:p>
    <w:p w:rsidR="007E14B0" w:rsidRDefault="007E14B0" w:rsidP="00C46407">
      <w:pPr>
        <w:jc w:val="center"/>
        <w:rPr>
          <w:u w:val="single"/>
          <w:lang w:val="en-GB"/>
        </w:rPr>
      </w:pPr>
    </w:p>
    <w:p w:rsidR="007E14B0" w:rsidRDefault="007E14B0" w:rsidP="00C46407">
      <w:pPr>
        <w:jc w:val="center"/>
        <w:rPr>
          <w:u w:val="single"/>
          <w:lang w:val="en-GB"/>
        </w:rPr>
      </w:pPr>
    </w:p>
    <w:p w:rsidR="007E14B0" w:rsidRDefault="007E14B0" w:rsidP="00C46407">
      <w:pPr>
        <w:jc w:val="center"/>
        <w:rPr>
          <w:u w:val="single"/>
          <w:lang w:val="en-GB"/>
        </w:rPr>
      </w:pPr>
    </w:p>
    <w:p w:rsidR="007E14B0" w:rsidRDefault="007E14B0" w:rsidP="00C46407">
      <w:pPr>
        <w:jc w:val="center"/>
        <w:rPr>
          <w:u w:val="single"/>
          <w:lang w:val="en-GB"/>
        </w:rPr>
      </w:pPr>
    </w:p>
    <w:p w:rsidR="007E14B0" w:rsidRDefault="007E14B0" w:rsidP="00C46407">
      <w:pPr>
        <w:jc w:val="center"/>
        <w:rPr>
          <w:u w:val="single"/>
          <w:lang w:val="en-GB"/>
        </w:rPr>
      </w:pPr>
    </w:p>
    <w:p w:rsidR="007E14B0" w:rsidRDefault="007E14B0" w:rsidP="00C46407">
      <w:pPr>
        <w:jc w:val="center"/>
        <w:rPr>
          <w:u w:val="single"/>
          <w:lang w:val="en-GB"/>
        </w:rPr>
      </w:pPr>
    </w:p>
    <w:p w:rsidR="007E14B0" w:rsidRDefault="007E14B0" w:rsidP="00C46407">
      <w:pPr>
        <w:jc w:val="center"/>
        <w:rPr>
          <w:u w:val="single"/>
          <w:lang w:val="en-GB"/>
        </w:rPr>
      </w:pPr>
    </w:p>
    <w:p w:rsidR="007E14B0" w:rsidRDefault="007E14B0" w:rsidP="00C46407">
      <w:pPr>
        <w:jc w:val="center"/>
        <w:rPr>
          <w:u w:val="single"/>
          <w:lang w:val="en-GB"/>
        </w:rPr>
      </w:pPr>
    </w:p>
    <w:p w:rsidR="007E14B0" w:rsidRDefault="007E14B0" w:rsidP="00C46407">
      <w:pPr>
        <w:jc w:val="center"/>
        <w:rPr>
          <w:u w:val="single"/>
          <w:lang w:val="en-GB"/>
        </w:rPr>
      </w:pPr>
    </w:p>
    <w:p w:rsidR="007E14B0" w:rsidRDefault="007E14B0" w:rsidP="00C46407">
      <w:pPr>
        <w:jc w:val="center"/>
        <w:rPr>
          <w:u w:val="single"/>
          <w:lang w:val="en-GB"/>
        </w:rPr>
      </w:pPr>
    </w:p>
    <w:p w:rsidR="007E14B0" w:rsidRDefault="007E14B0" w:rsidP="00C46407">
      <w:pPr>
        <w:jc w:val="center"/>
        <w:rPr>
          <w:u w:val="single"/>
          <w:lang w:val="en-GB"/>
        </w:rPr>
      </w:pPr>
    </w:p>
    <w:p w:rsidR="007E14B0" w:rsidRDefault="007E14B0" w:rsidP="00C46407">
      <w:pPr>
        <w:jc w:val="center"/>
        <w:rPr>
          <w:u w:val="single"/>
          <w:lang w:val="en-GB"/>
        </w:rPr>
      </w:pPr>
    </w:p>
    <w:p w:rsidR="007E14B0" w:rsidRDefault="007E14B0" w:rsidP="00C46407">
      <w:pPr>
        <w:jc w:val="center"/>
        <w:rPr>
          <w:u w:val="single"/>
          <w:lang w:val="en-GB"/>
        </w:rPr>
      </w:pPr>
    </w:p>
    <w:p w:rsidR="007E14B0" w:rsidRDefault="007E14B0" w:rsidP="00C46407">
      <w:pPr>
        <w:jc w:val="center"/>
        <w:rPr>
          <w:u w:val="single"/>
          <w:lang w:val="en-GB"/>
        </w:rPr>
      </w:pPr>
    </w:p>
    <w:p w:rsidR="00C46407" w:rsidRPr="00ED5EE6" w:rsidRDefault="00C46407" w:rsidP="00C46407">
      <w:pPr>
        <w:jc w:val="center"/>
        <w:rPr>
          <w:u w:val="single"/>
          <w:lang w:val="en-GB"/>
        </w:rPr>
      </w:pPr>
      <w:r w:rsidRPr="00ED5EE6">
        <w:rPr>
          <w:u w:val="single"/>
          <w:lang w:val="en-GB"/>
        </w:rPr>
        <w:t>Disclaimer</w:t>
      </w:r>
    </w:p>
    <w:p w:rsidR="00C46407" w:rsidRPr="00B166BC" w:rsidRDefault="00C46407" w:rsidP="00C46407">
      <w:pPr>
        <w:pBdr>
          <w:top w:val="single" w:sz="4" w:space="0" w:color="auto"/>
          <w:left w:val="single" w:sz="4" w:space="4" w:color="auto"/>
          <w:bottom w:val="single" w:sz="4" w:space="1" w:color="auto"/>
          <w:right w:val="single" w:sz="4" w:space="4" w:color="auto"/>
        </w:pBdr>
        <w:spacing w:before="120" w:after="120"/>
        <w:rPr>
          <w:lang w:val="en-GB"/>
        </w:rPr>
      </w:pPr>
      <w:r w:rsidRPr="00B166BC">
        <w:rPr>
          <w:lang w:val="en-GB"/>
        </w:rPr>
        <w:t xml:space="preserve">The Australian Competition &amp; Consumer Commission (ACCC) has developed this consultation paper to seek the views of stakeholders about the safety standards for hydraulic trolley jacks, vehicle support stands, and portable ramps for vehicles. </w:t>
      </w:r>
    </w:p>
    <w:p w:rsidR="00C46407" w:rsidRPr="000D7EEC" w:rsidRDefault="00C46407" w:rsidP="00C46407">
      <w:pPr>
        <w:pBdr>
          <w:top w:val="single" w:sz="4" w:space="0" w:color="auto"/>
          <w:left w:val="single" w:sz="4" w:space="4" w:color="auto"/>
          <w:bottom w:val="single" w:sz="4" w:space="1" w:color="auto"/>
          <w:right w:val="single" w:sz="4" w:space="4" w:color="auto"/>
        </w:pBdr>
        <w:spacing w:before="120" w:after="120"/>
        <w:rPr>
          <w:lang w:val="en-GB"/>
        </w:rPr>
        <w:sectPr w:rsidR="00C46407" w:rsidRPr="000D7EEC" w:rsidSect="00B874B9">
          <w:footerReference w:type="first" r:id="rId14"/>
          <w:pgSz w:w="11909" w:h="16834" w:code="9"/>
          <w:pgMar w:top="1440" w:right="1440" w:bottom="1440" w:left="1440" w:header="794" w:footer="1440" w:gutter="0"/>
          <w:pgNumType w:fmt="numberInDash"/>
          <w:cols w:space="720"/>
          <w:titlePg/>
          <w:docGrid w:linePitch="326"/>
        </w:sectPr>
      </w:pPr>
      <w:r w:rsidRPr="00B166BC">
        <w:t xml:space="preserve">© Commonwealth of Australia 2016. </w:t>
      </w:r>
      <w:r w:rsidRPr="00B166BC">
        <w:rPr>
          <w:lang w:val="en-GB"/>
        </w:rPr>
        <w:t>All material contained within this work is provided under a Creative Commons Attribution 3.0 Australia licence (</w:t>
      </w:r>
      <w:hyperlink r:id="rId15" w:history="1">
        <w:r w:rsidRPr="00B166BC">
          <w:rPr>
            <w:rStyle w:val="Hyperlink"/>
            <w:lang w:val="en-GB"/>
          </w:rPr>
          <w:t>http://creativecommons.org.au/</w:t>
        </w:r>
      </w:hyperlink>
      <w:r w:rsidRPr="00B166BC">
        <w:rPr>
          <w:lang w:val="en-GB"/>
        </w:rPr>
        <w:t>), with the exception of any logos, illustrations or images. You may forward or otherwise distribute the paper. You may re-use the text in other formats, provided the ACCC is acknowledged as the source of the material and directions to access the full document are provided. You may not copy or reproduce any logos, illustrations or images. For more information, contact the Director Corporate Communications, ACCC, GPO Box 3131, Canberra ACT 2601</w:t>
      </w:r>
    </w:p>
    <w:sdt>
      <w:sdtPr>
        <w:rPr>
          <w:rFonts w:ascii="Arial" w:eastAsiaTheme="minorHAnsi" w:hAnsi="Arial" w:cstheme="minorBidi"/>
          <w:bCs w:val="0"/>
          <w:color w:val="auto"/>
          <w:sz w:val="22"/>
          <w:szCs w:val="22"/>
          <w:lang w:val="en-AU" w:eastAsia="en-US"/>
        </w:rPr>
        <w:id w:val="1169761255"/>
        <w:docPartObj>
          <w:docPartGallery w:val="Table of Contents"/>
          <w:docPartUnique/>
        </w:docPartObj>
      </w:sdtPr>
      <w:sdtEndPr>
        <w:rPr>
          <w:b/>
        </w:rPr>
      </w:sdtEndPr>
      <w:sdtContent>
        <w:p w:rsidR="009F2BE5" w:rsidRDefault="009F2BE5" w:rsidP="00B874B9">
          <w:pPr>
            <w:pStyle w:val="TOCHeading"/>
          </w:pPr>
          <w:r>
            <w:t>Contents</w:t>
          </w:r>
        </w:p>
        <w:p w:rsidR="004155AA" w:rsidRDefault="009F2BE5">
          <w:pPr>
            <w:pStyle w:val="TOC1"/>
            <w:rPr>
              <w:rFonts w:asciiTheme="minorHAnsi" w:eastAsiaTheme="minorEastAsia" w:hAnsiTheme="minorHAnsi"/>
              <w:lang w:val="en-AU" w:eastAsia="en-AU"/>
            </w:rPr>
          </w:pPr>
          <w:r>
            <w:fldChar w:fldCharType="begin"/>
          </w:r>
          <w:r>
            <w:instrText xml:space="preserve"> TOC \o "1-3" \h \z \u \t "Heading 6,1" </w:instrText>
          </w:r>
          <w:r>
            <w:fldChar w:fldCharType="separate"/>
          </w:r>
          <w:hyperlink w:anchor="_Toc460406267" w:history="1">
            <w:r w:rsidR="004155AA" w:rsidRPr="001231D4">
              <w:rPr>
                <w:rStyle w:val="Hyperlink"/>
              </w:rPr>
              <w:t>1.</w:t>
            </w:r>
            <w:r w:rsidR="004155AA">
              <w:rPr>
                <w:rFonts w:asciiTheme="minorHAnsi" w:eastAsiaTheme="minorEastAsia" w:hAnsiTheme="minorHAnsi"/>
                <w:lang w:val="en-AU" w:eastAsia="en-AU"/>
              </w:rPr>
              <w:tab/>
            </w:r>
            <w:r w:rsidR="004155AA" w:rsidRPr="001231D4">
              <w:rPr>
                <w:rStyle w:val="Hyperlink"/>
              </w:rPr>
              <w:t>Introduction</w:t>
            </w:r>
            <w:r w:rsidR="004155AA">
              <w:rPr>
                <w:webHidden/>
              </w:rPr>
              <w:tab/>
            </w:r>
            <w:r w:rsidR="004155AA">
              <w:rPr>
                <w:webHidden/>
              </w:rPr>
              <w:fldChar w:fldCharType="begin"/>
            </w:r>
            <w:r w:rsidR="004155AA">
              <w:rPr>
                <w:webHidden/>
              </w:rPr>
              <w:instrText xml:space="preserve"> PAGEREF _Toc460406267 \h </w:instrText>
            </w:r>
            <w:r w:rsidR="004155AA">
              <w:rPr>
                <w:webHidden/>
              </w:rPr>
            </w:r>
            <w:r w:rsidR="004155AA">
              <w:rPr>
                <w:webHidden/>
              </w:rPr>
              <w:fldChar w:fldCharType="separate"/>
            </w:r>
            <w:r w:rsidR="00CF6ACC">
              <w:rPr>
                <w:webHidden/>
              </w:rPr>
              <w:t>4</w:t>
            </w:r>
            <w:r w:rsidR="004155AA">
              <w:rPr>
                <w:webHidden/>
              </w:rPr>
              <w:fldChar w:fldCharType="end"/>
            </w:r>
          </w:hyperlink>
        </w:p>
        <w:p w:rsidR="004155AA" w:rsidRDefault="003D3953">
          <w:pPr>
            <w:pStyle w:val="TOC1"/>
            <w:rPr>
              <w:rFonts w:asciiTheme="minorHAnsi" w:eastAsiaTheme="minorEastAsia" w:hAnsiTheme="minorHAnsi"/>
              <w:lang w:val="en-AU" w:eastAsia="en-AU"/>
            </w:rPr>
          </w:pPr>
          <w:hyperlink w:anchor="_Toc460406268" w:history="1">
            <w:r w:rsidR="004155AA" w:rsidRPr="001231D4">
              <w:rPr>
                <w:rStyle w:val="Hyperlink"/>
              </w:rPr>
              <w:t>2.</w:t>
            </w:r>
            <w:r w:rsidR="004155AA">
              <w:rPr>
                <w:rFonts w:asciiTheme="minorHAnsi" w:eastAsiaTheme="minorEastAsia" w:hAnsiTheme="minorHAnsi"/>
                <w:lang w:val="en-AU" w:eastAsia="en-AU"/>
              </w:rPr>
              <w:tab/>
            </w:r>
            <w:r w:rsidR="004155AA" w:rsidRPr="001231D4">
              <w:rPr>
                <w:rStyle w:val="Hyperlink"/>
              </w:rPr>
              <w:t>Policy Options</w:t>
            </w:r>
            <w:r w:rsidR="004155AA">
              <w:rPr>
                <w:webHidden/>
              </w:rPr>
              <w:tab/>
            </w:r>
            <w:r w:rsidR="004155AA">
              <w:rPr>
                <w:webHidden/>
              </w:rPr>
              <w:fldChar w:fldCharType="begin"/>
            </w:r>
            <w:r w:rsidR="004155AA">
              <w:rPr>
                <w:webHidden/>
              </w:rPr>
              <w:instrText xml:space="preserve"> PAGEREF _Toc460406268 \h </w:instrText>
            </w:r>
            <w:r w:rsidR="004155AA">
              <w:rPr>
                <w:webHidden/>
              </w:rPr>
            </w:r>
            <w:r w:rsidR="004155AA">
              <w:rPr>
                <w:webHidden/>
              </w:rPr>
              <w:fldChar w:fldCharType="separate"/>
            </w:r>
            <w:r w:rsidR="00CF6ACC">
              <w:rPr>
                <w:webHidden/>
              </w:rPr>
              <w:t>4</w:t>
            </w:r>
            <w:r w:rsidR="004155AA">
              <w:rPr>
                <w:webHidden/>
              </w:rPr>
              <w:fldChar w:fldCharType="end"/>
            </w:r>
          </w:hyperlink>
        </w:p>
        <w:p w:rsidR="004155AA" w:rsidRDefault="003D3953">
          <w:pPr>
            <w:pStyle w:val="TOC1"/>
            <w:rPr>
              <w:rFonts w:asciiTheme="minorHAnsi" w:eastAsiaTheme="minorEastAsia" w:hAnsiTheme="minorHAnsi"/>
              <w:lang w:val="en-AU" w:eastAsia="en-AU"/>
            </w:rPr>
          </w:pPr>
          <w:hyperlink w:anchor="_Toc460406269" w:history="1">
            <w:r w:rsidR="004155AA" w:rsidRPr="001231D4">
              <w:rPr>
                <w:rStyle w:val="Hyperlink"/>
              </w:rPr>
              <w:t>3.</w:t>
            </w:r>
            <w:r w:rsidR="004155AA">
              <w:rPr>
                <w:rFonts w:asciiTheme="minorHAnsi" w:eastAsiaTheme="minorEastAsia" w:hAnsiTheme="minorHAnsi"/>
                <w:lang w:val="en-AU" w:eastAsia="en-AU"/>
              </w:rPr>
              <w:tab/>
            </w:r>
            <w:r w:rsidR="004155AA" w:rsidRPr="001231D4">
              <w:rPr>
                <w:rStyle w:val="Hyperlink"/>
              </w:rPr>
              <w:t>Background</w:t>
            </w:r>
            <w:r w:rsidR="004155AA">
              <w:rPr>
                <w:webHidden/>
              </w:rPr>
              <w:tab/>
            </w:r>
            <w:r w:rsidR="004155AA">
              <w:rPr>
                <w:webHidden/>
              </w:rPr>
              <w:fldChar w:fldCharType="begin"/>
            </w:r>
            <w:r w:rsidR="004155AA">
              <w:rPr>
                <w:webHidden/>
              </w:rPr>
              <w:instrText xml:space="preserve"> PAGEREF _Toc460406269 \h </w:instrText>
            </w:r>
            <w:r w:rsidR="004155AA">
              <w:rPr>
                <w:webHidden/>
              </w:rPr>
            </w:r>
            <w:r w:rsidR="004155AA">
              <w:rPr>
                <w:webHidden/>
              </w:rPr>
              <w:fldChar w:fldCharType="separate"/>
            </w:r>
            <w:r w:rsidR="00CF6ACC">
              <w:rPr>
                <w:webHidden/>
              </w:rPr>
              <w:t>4</w:t>
            </w:r>
            <w:r w:rsidR="004155AA">
              <w:rPr>
                <w:webHidden/>
              </w:rPr>
              <w:fldChar w:fldCharType="end"/>
            </w:r>
          </w:hyperlink>
        </w:p>
        <w:p w:rsidR="004155AA" w:rsidRDefault="003D3953">
          <w:pPr>
            <w:pStyle w:val="TOC1"/>
            <w:rPr>
              <w:rFonts w:asciiTheme="minorHAnsi" w:eastAsiaTheme="minorEastAsia" w:hAnsiTheme="minorHAnsi"/>
              <w:lang w:val="en-AU" w:eastAsia="en-AU"/>
            </w:rPr>
          </w:pPr>
          <w:hyperlink w:anchor="_Toc460406270" w:history="1">
            <w:r w:rsidR="004155AA" w:rsidRPr="001231D4">
              <w:rPr>
                <w:rStyle w:val="Hyperlink"/>
              </w:rPr>
              <w:t>4.</w:t>
            </w:r>
            <w:r w:rsidR="004155AA">
              <w:rPr>
                <w:rFonts w:asciiTheme="minorHAnsi" w:eastAsiaTheme="minorEastAsia" w:hAnsiTheme="minorHAnsi"/>
                <w:lang w:val="en-AU" w:eastAsia="en-AU"/>
              </w:rPr>
              <w:tab/>
            </w:r>
            <w:r w:rsidR="004155AA" w:rsidRPr="001231D4">
              <w:rPr>
                <w:rStyle w:val="Hyperlink"/>
              </w:rPr>
              <w:t>Deaths and injuries</w:t>
            </w:r>
            <w:r w:rsidR="004155AA">
              <w:rPr>
                <w:webHidden/>
              </w:rPr>
              <w:tab/>
            </w:r>
            <w:r w:rsidR="004155AA">
              <w:rPr>
                <w:webHidden/>
              </w:rPr>
              <w:fldChar w:fldCharType="begin"/>
            </w:r>
            <w:r w:rsidR="004155AA">
              <w:rPr>
                <w:webHidden/>
              </w:rPr>
              <w:instrText xml:space="preserve"> PAGEREF _Toc460406270 \h </w:instrText>
            </w:r>
            <w:r w:rsidR="004155AA">
              <w:rPr>
                <w:webHidden/>
              </w:rPr>
            </w:r>
            <w:r w:rsidR="004155AA">
              <w:rPr>
                <w:webHidden/>
              </w:rPr>
              <w:fldChar w:fldCharType="separate"/>
            </w:r>
            <w:r w:rsidR="00CF6ACC">
              <w:rPr>
                <w:webHidden/>
              </w:rPr>
              <w:t>5</w:t>
            </w:r>
            <w:r w:rsidR="004155AA">
              <w:rPr>
                <w:webHidden/>
              </w:rPr>
              <w:fldChar w:fldCharType="end"/>
            </w:r>
          </w:hyperlink>
        </w:p>
        <w:p w:rsidR="004155AA" w:rsidRDefault="003D3953">
          <w:pPr>
            <w:pStyle w:val="TOC1"/>
            <w:rPr>
              <w:rFonts w:asciiTheme="minorHAnsi" w:eastAsiaTheme="minorEastAsia" w:hAnsiTheme="minorHAnsi"/>
              <w:lang w:val="en-AU" w:eastAsia="en-AU"/>
            </w:rPr>
          </w:pPr>
          <w:hyperlink w:anchor="_Toc460406271" w:history="1">
            <w:r w:rsidR="004155AA" w:rsidRPr="001231D4">
              <w:rPr>
                <w:rStyle w:val="Hyperlink"/>
                <w:lang w:val="en-GB"/>
              </w:rPr>
              <w:t>5.</w:t>
            </w:r>
            <w:r w:rsidR="004155AA">
              <w:rPr>
                <w:rFonts w:asciiTheme="minorHAnsi" w:eastAsiaTheme="minorEastAsia" w:hAnsiTheme="minorHAnsi"/>
                <w:lang w:val="en-AU" w:eastAsia="en-AU"/>
              </w:rPr>
              <w:tab/>
            </w:r>
            <w:r w:rsidR="004155AA" w:rsidRPr="001231D4">
              <w:rPr>
                <w:rStyle w:val="Hyperlink"/>
                <w:lang w:val="en-GB"/>
              </w:rPr>
              <w:t>The current safety standards</w:t>
            </w:r>
            <w:r w:rsidR="004155AA">
              <w:rPr>
                <w:webHidden/>
              </w:rPr>
              <w:tab/>
            </w:r>
            <w:r w:rsidR="004155AA">
              <w:rPr>
                <w:webHidden/>
              </w:rPr>
              <w:fldChar w:fldCharType="begin"/>
            </w:r>
            <w:r w:rsidR="004155AA">
              <w:rPr>
                <w:webHidden/>
              </w:rPr>
              <w:instrText xml:space="preserve"> PAGEREF _Toc460406271 \h </w:instrText>
            </w:r>
            <w:r w:rsidR="004155AA">
              <w:rPr>
                <w:webHidden/>
              </w:rPr>
            </w:r>
            <w:r w:rsidR="004155AA">
              <w:rPr>
                <w:webHidden/>
              </w:rPr>
              <w:fldChar w:fldCharType="separate"/>
            </w:r>
            <w:r w:rsidR="00CF6ACC">
              <w:rPr>
                <w:webHidden/>
              </w:rPr>
              <w:t>5</w:t>
            </w:r>
            <w:r w:rsidR="004155AA">
              <w:rPr>
                <w:webHidden/>
              </w:rPr>
              <w:fldChar w:fldCharType="end"/>
            </w:r>
          </w:hyperlink>
        </w:p>
        <w:p w:rsidR="004155AA" w:rsidRDefault="003D3953">
          <w:pPr>
            <w:pStyle w:val="TOC1"/>
            <w:rPr>
              <w:rFonts w:asciiTheme="minorHAnsi" w:eastAsiaTheme="minorEastAsia" w:hAnsiTheme="minorHAnsi"/>
              <w:lang w:val="en-AU" w:eastAsia="en-AU"/>
            </w:rPr>
          </w:pPr>
          <w:hyperlink w:anchor="_Toc460406274" w:history="1">
            <w:r w:rsidR="004155AA" w:rsidRPr="001231D4">
              <w:rPr>
                <w:rStyle w:val="Hyperlink"/>
              </w:rPr>
              <w:t>6.</w:t>
            </w:r>
            <w:r w:rsidR="004155AA">
              <w:rPr>
                <w:rFonts w:asciiTheme="minorHAnsi" w:eastAsiaTheme="minorEastAsia" w:hAnsiTheme="minorHAnsi"/>
                <w:lang w:val="en-AU" w:eastAsia="en-AU"/>
              </w:rPr>
              <w:tab/>
            </w:r>
            <w:r w:rsidR="004155AA" w:rsidRPr="001231D4">
              <w:rPr>
                <w:rStyle w:val="Hyperlink"/>
              </w:rPr>
              <w:t>Compliance</w:t>
            </w:r>
            <w:r w:rsidR="004155AA">
              <w:rPr>
                <w:webHidden/>
              </w:rPr>
              <w:tab/>
            </w:r>
            <w:r w:rsidR="004155AA">
              <w:rPr>
                <w:webHidden/>
              </w:rPr>
              <w:fldChar w:fldCharType="begin"/>
            </w:r>
            <w:r w:rsidR="004155AA">
              <w:rPr>
                <w:webHidden/>
              </w:rPr>
              <w:instrText xml:space="preserve"> PAGEREF _Toc460406274 \h </w:instrText>
            </w:r>
            <w:r w:rsidR="004155AA">
              <w:rPr>
                <w:webHidden/>
              </w:rPr>
            </w:r>
            <w:r w:rsidR="004155AA">
              <w:rPr>
                <w:webHidden/>
              </w:rPr>
              <w:fldChar w:fldCharType="separate"/>
            </w:r>
            <w:r w:rsidR="00CF6ACC">
              <w:rPr>
                <w:webHidden/>
              </w:rPr>
              <w:t>6</w:t>
            </w:r>
            <w:r w:rsidR="004155AA">
              <w:rPr>
                <w:webHidden/>
              </w:rPr>
              <w:fldChar w:fldCharType="end"/>
            </w:r>
          </w:hyperlink>
        </w:p>
        <w:p w:rsidR="004155AA" w:rsidRDefault="003D3953">
          <w:pPr>
            <w:pStyle w:val="TOC1"/>
            <w:rPr>
              <w:rFonts w:asciiTheme="minorHAnsi" w:eastAsiaTheme="minorEastAsia" w:hAnsiTheme="minorHAnsi"/>
              <w:lang w:val="en-AU" w:eastAsia="en-AU"/>
            </w:rPr>
          </w:pPr>
          <w:hyperlink w:anchor="_Toc460406275" w:history="1">
            <w:r w:rsidR="004155AA" w:rsidRPr="001231D4">
              <w:rPr>
                <w:rStyle w:val="Hyperlink"/>
              </w:rPr>
              <w:t>7.</w:t>
            </w:r>
            <w:r w:rsidR="004155AA">
              <w:rPr>
                <w:rFonts w:asciiTheme="minorHAnsi" w:eastAsiaTheme="minorEastAsia" w:hAnsiTheme="minorHAnsi"/>
                <w:lang w:val="en-AU" w:eastAsia="en-AU"/>
              </w:rPr>
              <w:tab/>
            </w:r>
            <w:r w:rsidR="004155AA" w:rsidRPr="001231D4">
              <w:rPr>
                <w:rStyle w:val="Hyperlink"/>
              </w:rPr>
              <w:t>Emerging issues</w:t>
            </w:r>
            <w:r w:rsidR="004155AA">
              <w:rPr>
                <w:webHidden/>
              </w:rPr>
              <w:tab/>
            </w:r>
            <w:r w:rsidR="004155AA">
              <w:rPr>
                <w:webHidden/>
              </w:rPr>
              <w:fldChar w:fldCharType="begin"/>
            </w:r>
            <w:r w:rsidR="004155AA">
              <w:rPr>
                <w:webHidden/>
              </w:rPr>
              <w:instrText xml:space="preserve"> PAGEREF _Toc460406275 \h </w:instrText>
            </w:r>
            <w:r w:rsidR="004155AA">
              <w:rPr>
                <w:webHidden/>
              </w:rPr>
            </w:r>
            <w:r w:rsidR="004155AA">
              <w:rPr>
                <w:webHidden/>
              </w:rPr>
              <w:fldChar w:fldCharType="separate"/>
            </w:r>
            <w:r w:rsidR="00CF6ACC">
              <w:rPr>
                <w:webHidden/>
              </w:rPr>
              <w:t>6</w:t>
            </w:r>
            <w:r w:rsidR="004155AA">
              <w:rPr>
                <w:webHidden/>
              </w:rPr>
              <w:fldChar w:fldCharType="end"/>
            </w:r>
          </w:hyperlink>
        </w:p>
        <w:p w:rsidR="004155AA" w:rsidRDefault="003D3953">
          <w:pPr>
            <w:pStyle w:val="TOC1"/>
            <w:rPr>
              <w:rFonts w:asciiTheme="minorHAnsi" w:eastAsiaTheme="minorEastAsia" w:hAnsiTheme="minorHAnsi"/>
              <w:lang w:val="en-AU" w:eastAsia="en-AU"/>
            </w:rPr>
          </w:pPr>
          <w:hyperlink w:anchor="_Toc460406278" w:history="1">
            <w:r w:rsidR="004155AA" w:rsidRPr="001231D4">
              <w:rPr>
                <w:rStyle w:val="Hyperlink"/>
              </w:rPr>
              <w:t>8.</w:t>
            </w:r>
            <w:r w:rsidR="004155AA">
              <w:rPr>
                <w:rFonts w:asciiTheme="minorHAnsi" w:eastAsiaTheme="minorEastAsia" w:hAnsiTheme="minorHAnsi"/>
                <w:lang w:val="en-AU" w:eastAsia="en-AU"/>
              </w:rPr>
              <w:tab/>
            </w:r>
            <w:r w:rsidR="004155AA" w:rsidRPr="001231D4">
              <w:rPr>
                <w:rStyle w:val="Hyperlink"/>
              </w:rPr>
              <w:t>Standards assessment and comparison</w:t>
            </w:r>
            <w:r w:rsidR="004155AA">
              <w:rPr>
                <w:webHidden/>
              </w:rPr>
              <w:tab/>
            </w:r>
            <w:r w:rsidR="004155AA">
              <w:rPr>
                <w:webHidden/>
              </w:rPr>
              <w:fldChar w:fldCharType="begin"/>
            </w:r>
            <w:r w:rsidR="004155AA">
              <w:rPr>
                <w:webHidden/>
              </w:rPr>
              <w:instrText xml:space="preserve"> PAGEREF _Toc460406278 \h </w:instrText>
            </w:r>
            <w:r w:rsidR="004155AA">
              <w:rPr>
                <w:webHidden/>
              </w:rPr>
            </w:r>
            <w:r w:rsidR="004155AA">
              <w:rPr>
                <w:webHidden/>
              </w:rPr>
              <w:fldChar w:fldCharType="separate"/>
            </w:r>
            <w:r w:rsidR="00CF6ACC">
              <w:rPr>
                <w:webHidden/>
              </w:rPr>
              <w:t>7</w:t>
            </w:r>
            <w:r w:rsidR="004155AA">
              <w:rPr>
                <w:webHidden/>
              </w:rPr>
              <w:fldChar w:fldCharType="end"/>
            </w:r>
          </w:hyperlink>
        </w:p>
        <w:p w:rsidR="004155AA" w:rsidRDefault="003D3953">
          <w:pPr>
            <w:pStyle w:val="TOC1"/>
            <w:rPr>
              <w:rFonts w:asciiTheme="minorHAnsi" w:eastAsiaTheme="minorEastAsia" w:hAnsiTheme="minorHAnsi"/>
              <w:lang w:val="en-AU" w:eastAsia="en-AU"/>
            </w:rPr>
          </w:pPr>
          <w:hyperlink w:anchor="_Toc460406282" w:history="1">
            <w:r w:rsidR="004155AA" w:rsidRPr="001231D4">
              <w:rPr>
                <w:rStyle w:val="Hyperlink"/>
              </w:rPr>
              <w:t>9.</w:t>
            </w:r>
            <w:r w:rsidR="004155AA">
              <w:rPr>
                <w:rFonts w:asciiTheme="minorHAnsi" w:eastAsiaTheme="minorEastAsia" w:hAnsiTheme="minorHAnsi"/>
                <w:lang w:val="en-AU" w:eastAsia="en-AU"/>
              </w:rPr>
              <w:tab/>
            </w:r>
            <w:r w:rsidR="004155AA" w:rsidRPr="001231D4">
              <w:rPr>
                <w:rStyle w:val="Hyperlink"/>
              </w:rPr>
              <w:t>Detailed policy options</w:t>
            </w:r>
            <w:r w:rsidR="004155AA">
              <w:rPr>
                <w:webHidden/>
              </w:rPr>
              <w:tab/>
            </w:r>
            <w:r w:rsidR="004155AA">
              <w:rPr>
                <w:webHidden/>
              </w:rPr>
              <w:fldChar w:fldCharType="begin"/>
            </w:r>
            <w:r w:rsidR="004155AA">
              <w:rPr>
                <w:webHidden/>
              </w:rPr>
              <w:instrText xml:space="preserve"> PAGEREF _Toc460406282 \h </w:instrText>
            </w:r>
            <w:r w:rsidR="004155AA">
              <w:rPr>
                <w:webHidden/>
              </w:rPr>
            </w:r>
            <w:r w:rsidR="004155AA">
              <w:rPr>
                <w:webHidden/>
              </w:rPr>
              <w:fldChar w:fldCharType="separate"/>
            </w:r>
            <w:r w:rsidR="00CF6ACC">
              <w:rPr>
                <w:webHidden/>
              </w:rPr>
              <w:t>9</w:t>
            </w:r>
            <w:r w:rsidR="004155AA">
              <w:rPr>
                <w:webHidden/>
              </w:rPr>
              <w:fldChar w:fldCharType="end"/>
            </w:r>
          </w:hyperlink>
        </w:p>
        <w:p w:rsidR="004155AA" w:rsidRDefault="003D3953">
          <w:pPr>
            <w:pStyle w:val="TOC1"/>
            <w:rPr>
              <w:rFonts w:asciiTheme="minorHAnsi" w:eastAsiaTheme="minorEastAsia" w:hAnsiTheme="minorHAnsi"/>
              <w:lang w:val="en-AU" w:eastAsia="en-AU"/>
            </w:rPr>
          </w:pPr>
          <w:hyperlink w:anchor="_Toc460406299" w:history="1">
            <w:r w:rsidR="004155AA" w:rsidRPr="001231D4">
              <w:rPr>
                <w:rStyle w:val="Hyperlink"/>
              </w:rPr>
              <w:t>10.</w:t>
            </w:r>
            <w:r w:rsidR="004155AA">
              <w:rPr>
                <w:rFonts w:asciiTheme="minorHAnsi" w:eastAsiaTheme="minorEastAsia" w:hAnsiTheme="minorHAnsi"/>
                <w:lang w:val="en-AU" w:eastAsia="en-AU"/>
              </w:rPr>
              <w:tab/>
            </w:r>
            <w:r w:rsidR="004155AA" w:rsidRPr="001231D4">
              <w:rPr>
                <w:rStyle w:val="Hyperlink"/>
              </w:rPr>
              <w:t>Preliminary position</w:t>
            </w:r>
            <w:r w:rsidR="004155AA">
              <w:rPr>
                <w:webHidden/>
              </w:rPr>
              <w:tab/>
            </w:r>
            <w:r w:rsidR="004155AA">
              <w:rPr>
                <w:webHidden/>
              </w:rPr>
              <w:fldChar w:fldCharType="begin"/>
            </w:r>
            <w:r w:rsidR="004155AA">
              <w:rPr>
                <w:webHidden/>
              </w:rPr>
              <w:instrText xml:space="preserve"> PAGEREF _Toc460406299 \h </w:instrText>
            </w:r>
            <w:r w:rsidR="004155AA">
              <w:rPr>
                <w:webHidden/>
              </w:rPr>
            </w:r>
            <w:r w:rsidR="004155AA">
              <w:rPr>
                <w:webHidden/>
              </w:rPr>
              <w:fldChar w:fldCharType="separate"/>
            </w:r>
            <w:r w:rsidR="00CF6ACC">
              <w:rPr>
                <w:webHidden/>
              </w:rPr>
              <w:t>12</w:t>
            </w:r>
            <w:r w:rsidR="004155AA">
              <w:rPr>
                <w:webHidden/>
              </w:rPr>
              <w:fldChar w:fldCharType="end"/>
            </w:r>
          </w:hyperlink>
        </w:p>
        <w:p w:rsidR="004155AA" w:rsidRDefault="003D3953">
          <w:pPr>
            <w:pStyle w:val="TOC1"/>
            <w:rPr>
              <w:rFonts w:asciiTheme="minorHAnsi" w:eastAsiaTheme="minorEastAsia" w:hAnsiTheme="minorHAnsi"/>
              <w:lang w:val="en-AU" w:eastAsia="en-AU"/>
            </w:rPr>
          </w:pPr>
          <w:hyperlink w:anchor="_Toc460406300" w:history="1">
            <w:r w:rsidR="004155AA" w:rsidRPr="001231D4">
              <w:rPr>
                <w:rStyle w:val="Hyperlink"/>
              </w:rPr>
              <w:t>11.</w:t>
            </w:r>
            <w:r w:rsidR="004155AA">
              <w:rPr>
                <w:rFonts w:asciiTheme="minorHAnsi" w:eastAsiaTheme="minorEastAsia" w:hAnsiTheme="minorHAnsi"/>
                <w:lang w:val="en-AU" w:eastAsia="en-AU"/>
              </w:rPr>
              <w:tab/>
            </w:r>
            <w:r w:rsidR="004155AA" w:rsidRPr="001231D4">
              <w:rPr>
                <w:rStyle w:val="Hyperlink"/>
              </w:rPr>
              <w:t>Key questions</w:t>
            </w:r>
            <w:r w:rsidR="004155AA">
              <w:rPr>
                <w:webHidden/>
              </w:rPr>
              <w:tab/>
            </w:r>
            <w:r w:rsidR="004155AA">
              <w:rPr>
                <w:webHidden/>
              </w:rPr>
              <w:fldChar w:fldCharType="begin"/>
            </w:r>
            <w:r w:rsidR="004155AA">
              <w:rPr>
                <w:webHidden/>
              </w:rPr>
              <w:instrText xml:space="preserve"> PAGEREF _Toc460406300 \h </w:instrText>
            </w:r>
            <w:r w:rsidR="004155AA">
              <w:rPr>
                <w:webHidden/>
              </w:rPr>
            </w:r>
            <w:r w:rsidR="004155AA">
              <w:rPr>
                <w:webHidden/>
              </w:rPr>
              <w:fldChar w:fldCharType="separate"/>
            </w:r>
            <w:r w:rsidR="00CF6ACC">
              <w:rPr>
                <w:webHidden/>
              </w:rPr>
              <w:t>13</w:t>
            </w:r>
            <w:r w:rsidR="004155AA">
              <w:rPr>
                <w:webHidden/>
              </w:rPr>
              <w:fldChar w:fldCharType="end"/>
            </w:r>
          </w:hyperlink>
        </w:p>
        <w:p w:rsidR="004155AA" w:rsidRDefault="003D3953">
          <w:pPr>
            <w:pStyle w:val="TOC1"/>
            <w:rPr>
              <w:rFonts w:asciiTheme="minorHAnsi" w:eastAsiaTheme="minorEastAsia" w:hAnsiTheme="minorHAnsi"/>
              <w:lang w:val="en-AU" w:eastAsia="en-AU"/>
            </w:rPr>
          </w:pPr>
          <w:hyperlink w:anchor="_Toc460406301" w:history="1">
            <w:r w:rsidR="004155AA" w:rsidRPr="001231D4">
              <w:rPr>
                <w:rStyle w:val="Hyperlink"/>
              </w:rPr>
              <w:t>12.</w:t>
            </w:r>
            <w:r w:rsidR="004155AA">
              <w:rPr>
                <w:rFonts w:asciiTheme="minorHAnsi" w:eastAsiaTheme="minorEastAsia" w:hAnsiTheme="minorHAnsi"/>
                <w:lang w:val="en-AU" w:eastAsia="en-AU"/>
              </w:rPr>
              <w:tab/>
            </w:r>
            <w:r w:rsidR="004155AA" w:rsidRPr="001231D4">
              <w:rPr>
                <w:rStyle w:val="Hyperlink"/>
              </w:rPr>
              <w:t>Have your say</w:t>
            </w:r>
            <w:r w:rsidR="004155AA">
              <w:rPr>
                <w:webHidden/>
              </w:rPr>
              <w:tab/>
            </w:r>
            <w:r w:rsidR="004155AA">
              <w:rPr>
                <w:webHidden/>
              </w:rPr>
              <w:fldChar w:fldCharType="begin"/>
            </w:r>
            <w:r w:rsidR="004155AA">
              <w:rPr>
                <w:webHidden/>
              </w:rPr>
              <w:instrText xml:space="preserve"> PAGEREF _Toc460406301 \h </w:instrText>
            </w:r>
            <w:r w:rsidR="004155AA">
              <w:rPr>
                <w:webHidden/>
              </w:rPr>
            </w:r>
            <w:r w:rsidR="004155AA">
              <w:rPr>
                <w:webHidden/>
              </w:rPr>
              <w:fldChar w:fldCharType="separate"/>
            </w:r>
            <w:r w:rsidR="00CF6ACC">
              <w:rPr>
                <w:webHidden/>
              </w:rPr>
              <w:t>13</w:t>
            </w:r>
            <w:r w:rsidR="004155AA">
              <w:rPr>
                <w:webHidden/>
              </w:rPr>
              <w:fldChar w:fldCharType="end"/>
            </w:r>
          </w:hyperlink>
        </w:p>
        <w:p w:rsidR="004155AA" w:rsidRDefault="003D3953">
          <w:pPr>
            <w:pStyle w:val="TOC1"/>
            <w:rPr>
              <w:rFonts w:asciiTheme="minorHAnsi" w:eastAsiaTheme="minorEastAsia" w:hAnsiTheme="minorHAnsi"/>
              <w:lang w:val="en-AU" w:eastAsia="en-AU"/>
            </w:rPr>
          </w:pPr>
          <w:hyperlink w:anchor="_Toc460406302" w:history="1">
            <w:r w:rsidR="004155AA" w:rsidRPr="001231D4">
              <w:rPr>
                <w:rStyle w:val="Hyperlink"/>
              </w:rPr>
              <w:t>Glossary</w:t>
            </w:r>
            <w:r w:rsidR="004155AA">
              <w:rPr>
                <w:webHidden/>
              </w:rPr>
              <w:tab/>
            </w:r>
            <w:r w:rsidR="004155AA">
              <w:rPr>
                <w:webHidden/>
              </w:rPr>
              <w:fldChar w:fldCharType="begin"/>
            </w:r>
            <w:r w:rsidR="004155AA">
              <w:rPr>
                <w:webHidden/>
              </w:rPr>
              <w:instrText xml:space="preserve"> PAGEREF _Toc460406302 \h </w:instrText>
            </w:r>
            <w:r w:rsidR="004155AA">
              <w:rPr>
                <w:webHidden/>
              </w:rPr>
            </w:r>
            <w:r w:rsidR="004155AA">
              <w:rPr>
                <w:webHidden/>
              </w:rPr>
              <w:fldChar w:fldCharType="separate"/>
            </w:r>
            <w:r w:rsidR="00CF6ACC">
              <w:rPr>
                <w:webHidden/>
              </w:rPr>
              <w:t>14</w:t>
            </w:r>
            <w:r w:rsidR="004155AA">
              <w:rPr>
                <w:webHidden/>
              </w:rPr>
              <w:fldChar w:fldCharType="end"/>
            </w:r>
          </w:hyperlink>
        </w:p>
        <w:p w:rsidR="004155AA" w:rsidRDefault="003D3953">
          <w:pPr>
            <w:pStyle w:val="TOC1"/>
            <w:rPr>
              <w:rFonts w:asciiTheme="minorHAnsi" w:eastAsiaTheme="minorEastAsia" w:hAnsiTheme="minorHAnsi"/>
              <w:lang w:val="en-AU" w:eastAsia="en-AU"/>
            </w:rPr>
          </w:pPr>
          <w:hyperlink w:anchor="_Toc460406303" w:history="1">
            <w:r w:rsidR="004155AA" w:rsidRPr="001231D4">
              <w:rPr>
                <w:rStyle w:val="Hyperlink"/>
              </w:rPr>
              <w:t>Appendix A: Comparison of key features of the Australian and other trusted standards</w:t>
            </w:r>
            <w:r w:rsidR="004155AA">
              <w:rPr>
                <w:webHidden/>
              </w:rPr>
              <w:tab/>
            </w:r>
            <w:r w:rsidR="004155AA">
              <w:rPr>
                <w:webHidden/>
              </w:rPr>
              <w:fldChar w:fldCharType="begin"/>
            </w:r>
            <w:r w:rsidR="004155AA">
              <w:rPr>
                <w:webHidden/>
              </w:rPr>
              <w:instrText xml:space="preserve"> PAGEREF _Toc460406303 \h </w:instrText>
            </w:r>
            <w:r w:rsidR="004155AA">
              <w:rPr>
                <w:webHidden/>
              </w:rPr>
            </w:r>
            <w:r w:rsidR="004155AA">
              <w:rPr>
                <w:webHidden/>
              </w:rPr>
              <w:fldChar w:fldCharType="separate"/>
            </w:r>
            <w:r w:rsidR="00CF6ACC">
              <w:rPr>
                <w:webHidden/>
              </w:rPr>
              <w:t>15</w:t>
            </w:r>
            <w:r w:rsidR="004155AA">
              <w:rPr>
                <w:webHidden/>
              </w:rPr>
              <w:fldChar w:fldCharType="end"/>
            </w:r>
          </w:hyperlink>
        </w:p>
        <w:p w:rsidR="004155AA" w:rsidRDefault="003D3953">
          <w:pPr>
            <w:pStyle w:val="TOC1"/>
            <w:rPr>
              <w:rFonts w:asciiTheme="minorHAnsi" w:eastAsiaTheme="minorEastAsia" w:hAnsiTheme="minorHAnsi"/>
              <w:lang w:val="en-AU" w:eastAsia="en-AU"/>
            </w:rPr>
          </w:pPr>
          <w:hyperlink w:anchor="_Toc460406304" w:history="1">
            <w:r w:rsidR="004155AA" w:rsidRPr="001231D4">
              <w:rPr>
                <w:rStyle w:val="Hyperlink"/>
              </w:rPr>
              <w:t>Appendix B: Principles-based requirements for warnings and information</w:t>
            </w:r>
            <w:r w:rsidR="004155AA">
              <w:rPr>
                <w:webHidden/>
              </w:rPr>
              <w:tab/>
            </w:r>
            <w:r w:rsidR="004155AA">
              <w:rPr>
                <w:webHidden/>
              </w:rPr>
              <w:fldChar w:fldCharType="begin"/>
            </w:r>
            <w:r w:rsidR="004155AA">
              <w:rPr>
                <w:webHidden/>
              </w:rPr>
              <w:instrText xml:space="preserve"> PAGEREF _Toc460406304 \h </w:instrText>
            </w:r>
            <w:r w:rsidR="004155AA">
              <w:rPr>
                <w:webHidden/>
              </w:rPr>
            </w:r>
            <w:r w:rsidR="004155AA">
              <w:rPr>
                <w:webHidden/>
              </w:rPr>
              <w:fldChar w:fldCharType="separate"/>
            </w:r>
            <w:r w:rsidR="00CF6ACC">
              <w:rPr>
                <w:webHidden/>
              </w:rPr>
              <w:t>18</w:t>
            </w:r>
            <w:r w:rsidR="004155AA">
              <w:rPr>
                <w:webHidden/>
              </w:rPr>
              <w:fldChar w:fldCharType="end"/>
            </w:r>
          </w:hyperlink>
        </w:p>
        <w:p w:rsidR="009223B7" w:rsidRDefault="009F2BE5" w:rsidP="009223B7">
          <w:pPr>
            <w:rPr>
              <w:b/>
            </w:rPr>
          </w:pPr>
          <w:r>
            <w:rPr>
              <w:b/>
            </w:rPr>
            <w:fldChar w:fldCharType="end"/>
          </w:r>
        </w:p>
      </w:sdtContent>
    </w:sdt>
    <w:p w:rsidR="007E14B0" w:rsidRDefault="007E14B0">
      <w:pPr>
        <w:rPr>
          <w:u w:val="single"/>
          <w:lang w:val="en-GB"/>
        </w:rPr>
      </w:pPr>
      <w:r>
        <w:rPr>
          <w:u w:val="single"/>
          <w:lang w:val="en-GB"/>
        </w:rPr>
        <w:br w:type="page"/>
      </w:r>
    </w:p>
    <w:p w:rsidR="00687F39" w:rsidRDefault="00680526" w:rsidP="00680526">
      <w:pPr>
        <w:pStyle w:val="Numbered1"/>
        <w:spacing w:before="0"/>
      </w:pPr>
      <w:bookmarkStart w:id="5" w:name="_Toc455575800"/>
      <w:bookmarkStart w:id="6" w:name="_Toc455575961"/>
      <w:bookmarkStart w:id="7" w:name="_Toc455576450"/>
      <w:bookmarkStart w:id="8" w:name="_Toc460406267"/>
      <w:bookmarkEnd w:id="5"/>
      <w:bookmarkEnd w:id="6"/>
      <w:bookmarkEnd w:id="7"/>
      <w:r>
        <w:lastRenderedPageBreak/>
        <w:t>Introduction</w:t>
      </w:r>
      <w:bookmarkEnd w:id="8"/>
    </w:p>
    <w:p w:rsidR="00001572" w:rsidRDefault="00001572" w:rsidP="00001572">
      <w:r w:rsidRPr="004421B4">
        <w:t>The</w:t>
      </w:r>
      <w:r>
        <w:t xml:space="preserve"> ACCC is reviewing the mandatory safety standards for </w:t>
      </w:r>
      <w:r w:rsidRPr="00234E2B">
        <w:t>hydraulic trolley jacks, vehicle support stands and portable ramps for vehicles in Australia.</w:t>
      </w:r>
    </w:p>
    <w:p w:rsidR="00001572" w:rsidRDefault="00A97153" w:rsidP="00001572">
      <w:pPr>
        <w:pStyle w:val="Bulletpoint"/>
        <w:numPr>
          <w:ilvl w:val="0"/>
          <w:numId w:val="0"/>
        </w:numPr>
      </w:pPr>
      <w:r>
        <w:t>We</w:t>
      </w:r>
      <w:r w:rsidR="00001572">
        <w:t xml:space="preserve"> seek stakeholder information that could assist in the review.</w:t>
      </w:r>
    </w:p>
    <w:p w:rsidR="00491B27" w:rsidRPr="00BA1289" w:rsidRDefault="00C701E3" w:rsidP="00BA1289">
      <w:pPr>
        <w:spacing w:after="240"/>
      </w:pPr>
      <w:r w:rsidRPr="00C701E3">
        <w:rPr>
          <w:b/>
          <w:noProof/>
          <w:lang w:eastAsia="en-AU"/>
        </w:rPr>
        <mc:AlternateContent>
          <mc:Choice Requires="wps">
            <w:drawing>
              <wp:anchor distT="0" distB="0" distL="114300" distR="114300" simplePos="0" relativeHeight="251661312" behindDoc="0" locked="0" layoutInCell="1" allowOverlap="1" wp14:anchorId="41AEDDA3" wp14:editId="6C7993B9">
                <wp:simplePos x="0" y="0"/>
                <wp:positionH relativeFrom="column">
                  <wp:posOffset>7951</wp:posOffset>
                </wp:positionH>
                <wp:positionV relativeFrom="paragraph">
                  <wp:posOffset>135531</wp:posOffset>
                </wp:positionV>
                <wp:extent cx="5686425" cy="1017767"/>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17767"/>
                        </a:xfrm>
                        <a:prstGeom prst="rect">
                          <a:avLst/>
                        </a:prstGeom>
                        <a:solidFill>
                          <a:srgbClr val="FFFFFF"/>
                        </a:solidFill>
                        <a:ln w="9525">
                          <a:solidFill>
                            <a:srgbClr val="000000"/>
                          </a:solidFill>
                          <a:miter lim="800000"/>
                          <a:headEnd/>
                          <a:tailEnd/>
                        </a:ln>
                      </wps:spPr>
                      <wps:txbx>
                        <w:txbxContent>
                          <w:p w:rsidR="00A97153" w:rsidRDefault="00A97153" w:rsidP="007A1F3A">
                            <w:pPr>
                              <w:jc w:val="both"/>
                              <w:rPr>
                                <w:b/>
                              </w:rPr>
                            </w:pPr>
                            <w:r w:rsidRPr="00396799">
                              <w:rPr>
                                <w:b/>
                              </w:rPr>
                              <w:t xml:space="preserve">The consultation process outlined in this paper may be the only opportunity for </w:t>
                            </w:r>
                            <w:r>
                              <w:rPr>
                                <w:b/>
                              </w:rPr>
                              <w:t xml:space="preserve">you </w:t>
                            </w:r>
                            <w:r w:rsidRPr="00396799">
                              <w:rPr>
                                <w:b/>
                              </w:rPr>
                              <w:t xml:space="preserve">to provide </w:t>
                            </w:r>
                            <w:r>
                              <w:rPr>
                                <w:b/>
                              </w:rPr>
                              <w:t>input into this review.</w:t>
                            </w:r>
                          </w:p>
                          <w:p w:rsidR="00A97153" w:rsidRDefault="00A97153" w:rsidP="007A1F3A">
                            <w:pPr>
                              <w:jc w:val="both"/>
                              <w:rPr>
                                <w:b/>
                              </w:rPr>
                            </w:pPr>
                            <w:r>
                              <w:rPr>
                                <w:b/>
                              </w:rPr>
                              <w:t xml:space="preserve">We encourage you to </w:t>
                            </w:r>
                            <w:r w:rsidRPr="00396799">
                              <w:rPr>
                                <w:b/>
                              </w:rPr>
                              <w:t xml:space="preserve">make </w:t>
                            </w:r>
                            <w:r>
                              <w:rPr>
                                <w:b/>
                              </w:rPr>
                              <w:t xml:space="preserve">a </w:t>
                            </w:r>
                            <w:r w:rsidRPr="00396799">
                              <w:rPr>
                                <w:b/>
                              </w:rPr>
                              <w:t>submission</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65pt;margin-top:10.65pt;width:447.75pt;height:8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">
                <v:textbox>
                  <w:txbxContent>
                    <w:p w:rsidR="00A97153" w:rsidRDefault="00A97153" w:rsidP="007A1F3A">
                      <w:pPr>
                        <w:jc w:val="both"/>
                        <w:rPr>
                          <w:b/>
                        </w:rPr>
                      </w:pPr>
                      <w:r w:rsidRPr="00396799">
                        <w:rPr>
                          <w:b/>
                        </w:rPr>
                        <w:t xml:space="preserve">The consultation process outlined in this paper may be the only opportunity for </w:t>
                      </w:r>
                      <w:r>
                        <w:rPr>
                          <w:b/>
                        </w:rPr>
                        <w:t xml:space="preserve">you </w:t>
                      </w:r>
                      <w:r w:rsidRPr="00396799">
                        <w:rPr>
                          <w:b/>
                        </w:rPr>
                        <w:t xml:space="preserve">to provide </w:t>
                      </w:r>
                      <w:r>
                        <w:rPr>
                          <w:b/>
                        </w:rPr>
                        <w:t>input into this review.</w:t>
                      </w:r>
                    </w:p>
                    <w:p w:rsidR="00A97153" w:rsidRDefault="00A97153" w:rsidP="007A1F3A">
                      <w:pPr>
                        <w:jc w:val="both"/>
                        <w:rPr>
                          <w:b/>
                        </w:rPr>
                      </w:pPr>
                      <w:r>
                        <w:rPr>
                          <w:b/>
                        </w:rPr>
                        <w:t xml:space="preserve">We encourage you to </w:t>
                      </w:r>
                      <w:r w:rsidRPr="00396799">
                        <w:rPr>
                          <w:b/>
                        </w:rPr>
                        <w:t xml:space="preserve">make </w:t>
                      </w:r>
                      <w:r>
                        <w:rPr>
                          <w:b/>
                        </w:rPr>
                        <w:t xml:space="preserve">a </w:t>
                      </w:r>
                      <w:r w:rsidRPr="00396799">
                        <w:rPr>
                          <w:b/>
                        </w:rPr>
                        <w:t>submission</w:t>
                      </w:r>
                      <w:r>
                        <w:rPr>
                          <w:b/>
                        </w:rPr>
                        <w:t>.</w:t>
                      </w:r>
                    </w:p>
                  </w:txbxContent>
                </v:textbox>
              </v:shape>
            </w:pict>
          </mc:Fallback>
        </mc:AlternateContent>
      </w:r>
      <w:r w:rsidR="002E12CD">
        <w:rPr>
          <w:b/>
        </w:rPr>
        <w:t xml:space="preserve"> </w:t>
      </w:r>
    </w:p>
    <w:p w:rsidR="00BA1289" w:rsidRDefault="00BA1289" w:rsidP="002E12CD"/>
    <w:p w:rsidR="00C701E3" w:rsidRDefault="00C701E3" w:rsidP="002E12CD"/>
    <w:p w:rsidR="00C701E3" w:rsidRDefault="00C701E3" w:rsidP="002E12CD"/>
    <w:p w:rsidR="00EA6BDB" w:rsidRDefault="00EA6BDB" w:rsidP="00EA6BDB">
      <w:pPr>
        <w:pStyle w:val="Numbered1"/>
        <w:numPr>
          <w:ilvl w:val="0"/>
          <w:numId w:val="0"/>
        </w:numPr>
        <w:spacing w:before="0"/>
      </w:pPr>
    </w:p>
    <w:p w:rsidR="003950BB" w:rsidRDefault="003950BB" w:rsidP="00491B27">
      <w:pPr>
        <w:pStyle w:val="Numbered1"/>
        <w:spacing w:before="0"/>
      </w:pPr>
      <w:bookmarkStart w:id="9" w:name="_Toc460406268"/>
      <w:r>
        <w:t>Policy Options</w:t>
      </w:r>
      <w:bookmarkEnd w:id="9"/>
    </w:p>
    <w:p w:rsidR="003950BB" w:rsidRDefault="003950BB" w:rsidP="003950BB">
      <w:pPr>
        <w:spacing w:after="240"/>
      </w:pPr>
      <w:r>
        <w:t>This consultation paper discusses four policy options:</w:t>
      </w:r>
    </w:p>
    <w:p w:rsidR="003950BB" w:rsidRDefault="003950BB" w:rsidP="003950BB">
      <w:pPr>
        <w:spacing w:after="240"/>
      </w:pPr>
      <w:r>
        <w:t>Option 1</w:t>
      </w:r>
      <w:r>
        <w:tab/>
        <w:t xml:space="preserve">Keep the current mandatory </w:t>
      </w:r>
      <w:r w:rsidR="00E96E4C">
        <w:t xml:space="preserve">safety </w:t>
      </w:r>
      <w:r>
        <w:t>standards (status quo)</w:t>
      </w:r>
    </w:p>
    <w:p w:rsidR="003950BB" w:rsidRDefault="003950BB" w:rsidP="003950BB">
      <w:pPr>
        <w:spacing w:after="240"/>
      </w:pPr>
      <w:r>
        <w:t>Option 2</w:t>
      </w:r>
      <w:r>
        <w:tab/>
        <w:t>Accept the superseded and current Australian standards</w:t>
      </w:r>
    </w:p>
    <w:p w:rsidR="003950BB" w:rsidRDefault="003950BB" w:rsidP="003950BB">
      <w:pPr>
        <w:spacing w:after="240"/>
      </w:pPr>
      <w:r>
        <w:t>Option 3</w:t>
      </w:r>
      <w:r>
        <w:tab/>
        <w:t>Accept multiple trusted standards</w:t>
      </w:r>
    </w:p>
    <w:p w:rsidR="003950BB" w:rsidRDefault="003950BB" w:rsidP="003950BB">
      <w:pPr>
        <w:spacing w:after="240"/>
      </w:pPr>
      <w:r>
        <w:t>Option 4</w:t>
      </w:r>
      <w:r>
        <w:tab/>
        <w:t>Revoke the mandatory safety standards</w:t>
      </w:r>
    </w:p>
    <w:p w:rsidR="00687F39" w:rsidRDefault="00E907C9" w:rsidP="00491B27">
      <w:pPr>
        <w:pStyle w:val="Numbered1"/>
        <w:spacing w:before="0"/>
      </w:pPr>
      <w:bookmarkStart w:id="10" w:name="_Toc460406269"/>
      <w:r>
        <w:t>Background</w:t>
      </w:r>
      <w:bookmarkEnd w:id="10"/>
    </w:p>
    <w:p w:rsidR="008B1620" w:rsidRPr="00C82C12" w:rsidRDefault="008B1620" w:rsidP="008B1620">
      <w:r w:rsidRPr="00C82C12">
        <w:t xml:space="preserve">The hydraulic trolley jacks, vehicle support stands and portable ramps for vehicles supplied in Australia are </w:t>
      </w:r>
      <w:r w:rsidR="0002445B">
        <w:t>essentially</w:t>
      </w:r>
      <w:r w:rsidR="0002445B" w:rsidRPr="00C82C12">
        <w:t xml:space="preserve"> </w:t>
      </w:r>
      <w:r w:rsidRPr="00C82C12">
        <w:t xml:space="preserve">the same as those supplied in other </w:t>
      </w:r>
      <w:r w:rsidR="0002445B">
        <w:t>major</w:t>
      </w:r>
      <w:r w:rsidR="0002445B" w:rsidRPr="00C82C12">
        <w:t xml:space="preserve"> </w:t>
      </w:r>
      <w:r w:rsidRPr="00C82C12">
        <w:t>international markets.</w:t>
      </w:r>
    </w:p>
    <w:p w:rsidR="008B1620" w:rsidRPr="00C82C12" w:rsidRDefault="008B1620" w:rsidP="008B1620">
      <w:r w:rsidRPr="00C82C12">
        <w:t>The Australian market largely consists of products manufactured overseas, which are imported by distributors with a local network. While there are no known Australian manufacturers of hydraulic trolley jacks, there are some smaller local manufacture</w:t>
      </w:r>
      <w:r w:rsidR="007C0280">
        <w:t>r</w:t>
      </w:r>
      <w:r w:rsidRPr="00C82C12">
        <w:t>s of vehicle support stands and portable ramps for vehicles.</w:t>
      </w:r>
    </w:p>
    <w:p w:rsidR="008B1620" w:rsidRPr="00C82C12" w:rsidRDefault="008B1620" w:rsidP="008B1620">
      <w:r w:rsidRPr="00C82C12">
        <w:t>There</w:t>
      </w:r>
      <w:r w:rsidR="003A224B">
        <w:t xml:space="preserve"> are about 10 to</w:t>
      </w:r>
      <w:r w:rsidRPr="00C82C12">
        <w:t xml:space="preserve"> 15 main importers of these products in Australia and most products are sourced from manufacturers in China and Taiwan, with some smaller imports from Denmark, Japan and Spain. In the 2010</w:t>
      </w:r>
      <w:r w:rsidR="007D558C">
        <w:t>/</w:t>
      </w:r>
      <w:r w:rsidRPr="00C82C12">
        <w:t>11 financial year, an estimated 250</w:t>
      </w:r>
      <w:r w:rsidR="007C0280">
        <w:t xml:space="preserve"> </w:t>
      </w:r>
      <w:r w:rsidRPr="00C82C12">
        <w:t xml:space="preserve">000 hydraulic trolley jacks were imported into Australia </w:t>
      </w:r>
      <w:r w:rsidR="00734A79">
        <w:t>with an estimated value</w:t>
      </w:r>
      <w:r w:rsidRPr="00C82C12">
        <w:t xml:space="preserve"> of $10.3 million.</w:t>
      </w:r>
    </w:p>
    <w:p w:rsidR="008B1620" w:rsidRDefault="008B1620" w:rsidP="008B1620">
      <w:pPr>
        <w:spacing w:after="240"/>
      </w:pPr>
      <w:r w:rsidRPr="00C82C12">
        <w:t>Hydraulic trolley jacks, vehicle support stands and portable ramps for vehicles are sold to consumers in a variety of specialist retail outlets, such as automotive aftermarket and accessories stores, tool stores, some large retail chain stores</w:t>
      </w:r>
      <w:r w:rsidR="009779A0">
        <w:t xml:space="preserve">, </w:t>
      </w:r>
      <w:r w:rsidRPr="00C82C12">
        <w:t>and through a range of online retail platforms. This online retailing has greatly increased the spread, size and range of suppliers trading in the Australian market.</w:t>
      </w:r>
    </w:p>
    <w:p w:rsidR="002B22AC" w:rsidRDefault="002B22AC">
      <w:pPr>
        <w:rPr>
          <w:rFonts w:ascii="Lucida Fax" w:eastAsiaTheme="majorEastAsia" w:hAnsi="Lucida Fax" w:cstheme="majorBidi"/>
          <w:bCs/>
          <w:color w:val="51626F"/>
          <w:sz w:val="32"/>
          <w:szCs w:val="28"/>
        </w:rPr>
      </w:pPr>
      <w:r>
        <w:br w:type="page"/>
      </w:r>
    </w:p>
    <w:p w:rsidR="002F2FBC" w:rsidRDefault="002F2FBC" w:rsidP="002F2FBC">
      <w:pPr>
        <w:pStyle w:val="Numbered1"/>
        <w:spacing w:before="0"/>
      </w:pPr>
      <w:bookmarkStart w:id="11" w:name="_Toc460406270"/>
      <w:r>
        <w:lastRenderedPageBreak/>
        <w:t>Death</w:t>
      </w:r>
      <w:r w:rsidR="006569F6">
        <w:t>s</w:t>
      </w:r>
      <w:r>
        <w:t xml:space="preserve"> and injuries</w:t>
      </w:r>
      <w:bookmarkEnd w:id="11"/>
    </w:p>
    <w:p w:rsidR="001A15AC" w:rsidRDefault="003B53C7" w:rsidP="001A15AC">
      <w:r w:rsidRPr="003B53C7">
        <w:t>Since the year 2000</w:t>
      </w:r>
      <w:r w:rsidR="00A97153">
        <w:t>,</w:t>
      </w:r>
      <w:r w:rsidRPr="003B53C7">
        <w:t xml:space="preserve"> an average of </w:t>
      </w:r>
      <w:r>
        <w:t xml:space="preserve">five </w:t>
      </w:r>
      <w:r w:rsidRPr="00D37C6E">
        <w:rPr>
          <w:rFonts w:eastAsia="Calibri" w:cs="Arial"/>
        </w:rPr>
        <w:t xml:space="preserve">Australians </w:t>
      </w:r>
      <w:r>
        <w:rPr>
          <w:rFonts w:eastAsia="Calibri" w:cs="Arial"/>
        </w:rPr>
        <w:t xml:space="preserve">each year </w:t>
      </w:r>
      <w:r w:rsidRPr="00D37C6E">
        <w:rPr>
          <w:rFonts w:eastAsia="Calibri" w:cs="Arial"/>
        </w:rPr>
        <w:t>ha</w:t>
      </w:r>
      <w:r w:rsidR="00A97153">
        <w:rPr>
          <w:rFonts w:eastAsia="Calibri" w:cs="Arial"/>
        </w:rPr>
        <w:t>s</w:t>
      </w:r>
      <w:r w:rsidRPr="00D37C6E">
        <w:rPr>
          <w:rFonts w:eastAsia="Calibri" w:cs="Arial"/>
        </w:rPr>
        <w:t xml:space="preserve"> been killed at home </w:t>
      </w:r>
      <w:r w:rsidR="0044081D">
        <w:rPr>
          <w:rFonts w:eastAsia="Calibri" w:cs="Arial"/>
        </w:rPr>
        <w:t>from vehicles falling on them while</w:t>
      </w:r>
      <w:r w:rsidRPr="00D37C6E">
        <w:rPr>
          <w:rFonts w:eastAsia="Calibri" w:cs="Arial"/>
        </w:rPr>
        <w:t xml:space="preserve"> they were performing maintenance under</w:t>
      </w:r>
      <w:r>
        <w:rPr>
          <w:rFonts w:eastAsia="Calibri" w:cs="Arial"/>
        </w:rPr>
        <w:t xml:space="preserve">neath </w:t>
      </w:r>
      <w:r w:rsidR="0044081D">
        <w:rPr>
          <w:rFonts w:eastAsia="Calibri" w:cs="Arial"/>
        </w:rPr>
        <w:t>the vehicles</w:t>
      </w:r>
      <w:r>
        <w:rPr>
          <w:rFonts w:eastAsia="Calibri" w:cs="Arial"/>
        </w:rPr>
        <w:t>.</w:t>
      </w:r>
      <w:r w:rsidR="00D16406">
        <w:rPr>
          <w:rFonts w:eastAsia="Calibri" w:cs="Arial"/>
        </w:rPr>
        <w:t xml:space="preserve"> </w:t>
      </w:r>
      <w:r w:rsidR="00D16406">
        <w:t xml:space="preserve">Coronial and </w:t>
      </w:r>
      <w:r w:rsidR="0044081D">
        <w:t>p</w:t>
      </w:r>
      <w:r w:rsidR="00D16406">
        <w:t>olice investigations indicate these deaths occur through the incorrect use of these products and when consumers use unstable alternatives such as bricks and wooden blocks instead of vehicle support stands.</w:t>
      </w:r>
    </w:p>
    <w:p w:rsidR="00D16406" w:rsidRPr="00D37C6E" w:rsidRDefault="001A15AC" w:rsidP="00D16406">
      <w:pPr>
        <w:spacing w:after="200" w:line="276" w:lineRule="auto"/>
        <w:rPr>
          <w:rFonts w:eastAsia="Calibri" w:cs="Arial"/>
        </w:rPr>
      </w:pPr>
      <w:r>
        <w:rPr>
          <w:rFonts w:eastAsia="Calibri" w:cs="Arial"/>
        </w:rPr>
        <w:t xml:space="preserve">Although national figures are not available, </w:t>
      </w:r>
      <w:r w:rsidR="00D16406" w:rsidRPr="00D37C6E">
        <w:rPr>
          <w:rFonts w:eastAsia="Calibri" w:cs="Arial"/>
        </w:rPr>
        <w:t xml:space="preserve">Victorian </w:t>
      </w:r>
      <w:r w:rsidR="0044081D">
        <w:rPr>
          <w:rFonts w:eastAsia="Calibri" w:cs="Arial"/>
        </w:rPr>
        <w:t>h</w:t>
      </w:r>
      <w:r w:rsidR="0002445B" w:rsidRPr="00D37C6E">
        <w:rPr>
          <w:rFonts w:eastAsia="Calibri" w:cs="Arial"/>
        </w:rPr>
        <w:t xml:space="preserve">ospital data </w:t>
      </w:r>
      <w:r w:rsidR="00D16406" w:rsidRPr="00D37C6E">
        <w:rPr>
          <w:rFonts w:eastAsia="Calibri" w:cs="Arial"/>
        </w:rPr>
        <w:t xml:space="preserve">indicates an average of 43 injuries </w:t>
      </w:r>
      <w:r w:rsidR="0002445B">
        <w:rPr>
          <w:rFonts w:eastAsia="Calibri" w:cs="Arial"/>
        </w:rPr>
        <w:t>presenting at</w:t>
      </w:r>
      <w:r w:rsidR="0002445B" w:rsidRPr="00D37C6E">
        <w:rPr>
          <w:rFonts w:eastAsia="Calibri" w:cs="Arial"/>
        </w:rPr>
        <w:t xml:space="preserve"> </w:t>
      </w:r>
      <w:r w:rsidR="00D16406" w:rsidRPr="00D37C6E">
        <w:rPr>
          <w:rFonts w:eastAsia="Calibri" w:cs="Arial"/>
        </w:rPr>
        <w:t>emergency department</w:t>
      </w:r>
      <w:r w:rsidR="0002445B">
        <w:rPr>
          <w:rFonts w:eastAsia="Calibri" w:cs="Arial"/>
        </w:rPr>
        <w:t>s</w:t>
      </w:r>
      <w:r w:rsidR="00D16406" w:rsidRPr="00D37C6E">
        <w:rPr>
          <w:rFonts w:eastAsia="Calibri" w:cs="Arial"/>
        </w:rPr>
        <w:t xml:space="preserve"> each year</w:t>
      </w:r>
      <w:r>
        <w:rPr>
          <w:rFonts w:eastAsia="Calibri" w:cs="Arial"/>
        </w:rPr>
        <w:t xml:space="preserve">. </w:t>
      </w:r>
      <w:r w:rsidR="0002445B" w:rsidRPr="00D37C6E">
        <w:rPr>
          <w:rFonts w:eastAsia="Calibri" w:cs="Arial"/>
        </w:rPr>
        <w:t>Injur</w:t>
      </w:r>
      <w:r w:rsidR="0002445B">
        <w:rPr>
          <w:rFonts w:eastAsia="Calibri" w:cs="Arial"/>
        </w:rPr>
        <w:t>ies</w:t>
      </w:r>
      <w:r w:rsidR="0002445B" w:rsidRPr="00D37C6E">
        <w:rPr>
          <w:rFonts w:eastAsia="Calibri" w:cs="Arial"/>
        </w:rPr>
        <w:t xml:space="preserve"> </w:t>
      </w:r>
      <w:r w:rsidR="00D16406" w:rsidRPr="00D37C6E">
        <w:rPr>
          <w:rFonts w:eastAsia="Calibri" w:cs="Arial"/>
        </w:rPr>
        <w:t>range from the more common open wound, strain and crush injuries to less common but more severe injuries such as traumatic amputation.</w:t>
      </w:r>
    </w:p>
    <w:p w:rsidR="005F37DA" w:rsidRPr="005F37DA" w:rsidRDefault="005F37DA" w:rsidP="00BA1289">
      <w:pPr>
        <w:pStyle w:val="Numbered1"/>
        <w:spacing w:before="0"/>
        <w:rPr>
          <w:lang w:val="en-GB"/>
        </w:rPr>
      </w:pPr>
      <w:bookmarkStart w:id="12" w:name="_Toc455575803"/>
      <w:bookmarkStart w:id="13" w:name="_Toc455575964"/>
      <w:bookmarkStart w:id="14" w:name="_Toc455576453"/>
      <w:bookmarkStart w:id="15" w:name="_Toc455575804"/>
      <w:bookmarkStart w:id="16" w:name="_Toc455575965"/>
      <w:bookmarkStart w:id="17" w:name="_Toc455576454"/>
      <w:bookmarkStart w:id="18" w:name="_Toc455575805"/>
      <w:bookmarkStart w:id="19" w:name="_Toc455575966"/>
      <w:bookmarkStart w:id="20" w:name="_Toc455576455"/>
      <w:bookmarkStart w:id="21" w:name="_Toc460406271"/>
      <w:bookmarkEnd w:id="12"/>
      <w:bookmarkEnd w:id="13"/>
      <w:bookmarkEnd w:id="14"/>
      <w:bookmarkEnd w:id="15"/>
      <w:bookmarkEnd w:id="16"/>
      <w:bookmarkEnd w:id="17"/>
      <w:bookmarkEnd w:id="18"/>
      <w:bookmarkEnd w:id="19"/>
      <w:bookmarkEnd w:id="20"/>
      <w:r>
        <w:rPr>
          <w:lang w:val="en-GB"/>
        </w:rPr>
        <w:t>Th</w:t>
      </w:r>
      <w:r w:rsidRPr="008539D4">
        <w:rPr>
          <w:lang w:val="en-GB"/>
        </w:rPr>
        <w:t>e current safety standard</w:t>
      </w:r>
      <w:r w:rsidR="006623E2">
        <w:rPr>
          <w:lang w:val="en-GB"/>
        </w:rPr>
        <w:t>s</w:t>
      </w:r>
      <w:bookmarkEnd w:id="21"/>
    </w:p>
    <w:p w:rsidR="0021271D" w:rsidRPr="00C503E2" w:rsidRDefault="003C795D" w:rsidP="0021271D">
      <w:pPr>
        <w:rPr>
          <w:lang w:val="en-GB"/>
        </w:rPr>
      </w:pPr>
      <w:r>
        <w:rPr>
          <w:lang w:val="en-GB"/>
        </w:rPr>
        <w:t xml:space="preserve">The mandatory </w:t>
      </w:r>
      <w:r w:rsidR="0021271D">
        <w:rPr>
          <w:lang w:val="en-GB"/>
        </w:rPr>
        <w:t>s</w:t>
      </w:r>
      <w:r w:rsidR="0021271D" w:rsidRPr="00C503E2">
        <w:rPr>
          <w:lang w:val="en-GB"/>
        </w:rPr>
        <w:t xml:space="preserve">afety standards </w:t>
      </w:r>
      <w:r w:rsidR="0044081D">
        <w:rPr>
          <w:lang w:val="en-GB"/>
        </w:rPr>
        <w:t>were introduced</w:t>
      </w:r>
      <w:r w:rsidR="0021271D" w:rsidRPr="00C503E2">
        <w:rPr>
          <w:lang w:val="en-GB"/>
        </w:rPr>
        <w:t xml:space="preserve"> </w:t>
      </w:r>
      <w:r w:rsidR="0021271D">
        <w:rPr>
          <w:lang w:val="en-GB"/>
        </w:rPr>
        <w:t xml:space="preserve">in 1985 </w:t>
      </w:r>
      <w:r w:rsidR="0021271D" w:rsidRPr="00C503E2">
        <w:rPr>
          <w:lang w:val="en-GB"/>
        </w:rPr>
        <w:t xml:space="preserve">due to concerns </w:t>
      </w:r>
      <w:r w:rsidR="0021271D">
        <w:rPr>
          <w:lang w:val="en-GB"/>
        </w:rPr>
        <w:t>about</w:t>
      </w:r>
      <w:r w:rsidR="0021271D" w:rsidRPr="00C503E2">
        <w:rPr>
          <w:lang w:val="en-GB"/>
        </w:rPr>
        <w:t xml:space="preserve"> the safety of these products.</w:t>
      </w:r>
      <w:r w:rsidR="0021271D">
        <w:rPr>
          <w:lang w:val="en-GB"/>
        </w:rPr>
        <w:t xml:space="preserve"> </w:t>
      </w:r>
      <w:r w:rsidR="0021271D" w:rsidRPr="00C503E2">
        <w:rPr>
          <w:lang w:val="en-GB"/>
        </w:rPr>
        <w:t xml:space="preserve">The mandatory safety standards for hydraulic trolley jacks and vehicle support stands were </w:t>
      </w:r>
      <w:r w:rsidR="0021271D">
        <w:rPr>
          <w:lang w:val="en-GB"/>
        </w:rPr>
        <w:t>most recently updated in 2008;</w:t>
      </w:r>
      <w:r w:rsidR="0021271D" w:rsidRPr="00C503E2">
        <w:rPr>
          <w:lang w:val="en-GB"/>
        </w:rPr>
        <w:t xml:space="preserve"> </w:t>
      </w:r>
      <w:r w:rsidR="0021271D">
        <w:rPr>
          <w:lang w:val="en-GB"/>
        </w:rPr>
        <w:t>the mandatory safety standard for</w:t>
      </w:r>
      <w:r w:rsidR="0021271D" w:rsidRPr="00C503E2">
        <w:rPr>
          <w:lang w:val="en-GB"/>
        </w:rPr>
        <w:t xml:space="preserve"> portable ramps for vehicles </w:t>
      </w:r>
      <w:r w:rsidR="0021271D">
        <w:rPr>
          <w:lang w:val="en-GB"/>
        </w:rPr>
        <w:t>was</w:t>
      </w:r>
      <w:r w:rsidR="0021271D" w:rsidRPr="00C503E2">
        <w:rPr>
          <w:lang w:val="en-GB"/>
        </w:rPr>
        <w:t xml:space="preserve"> updated in 2010.</w:t>
      </w:r>
    </w:p>
    <w:p w:rsidR="0014477C" w:rsidRPr="009C4E70" w:rsidRDefault="0014477C" w:rsidP="009C4E70">
      <w:pPr>
        <w:pStyle w:val="Heading3"/>
      </w:pPr>
      <w:bookmarkStart w:id="22" w:name="_Toc456946866"/>
      <w:bookmarkStart w:id="23" w:name="_Toc456953457"/>
      <w:bookmarkStart w:id="24" w:name="_Toc460322790"/>
      <w:bookmarkStart w:id="25" w:name="_Toc460406272"/>
      <w:r w:rsidRPr="009C4E70">
        <w:t>Voluntary Australian standards</w:t>
      </w:r>
      <w:bookmarkEnd w:id="22"/>
      <w:bookmarkEnd w:id="23"/>
      <w:bookmarkEnd w:id="24"/>
      <w:bookmarkEnd w:id="25"/>
    </w:p>
    <w:p w:rsidR="008B1620" w:rsidRPr="0088134F" w:rsidRDefault="008B1620" w:rsidP="00F87A7E">
      <w:pPr>
        <w:rPr>
          <w:lang w:val="en-GB"/>
        </w:rPr>
      </w:pPr>
      <w:r w:rsidRPr="0088134F">
        <w:rPr>
          <w:lang w:val="en-GB"/>
        </w:rPr>
        <w:t xml:space="preserve">The mandatory safety standards </w:t>
      </w:r>
      <w:r w:rsidR="0044081D">
        <w:rPr>
          <w:lang w:val="en-GB"/>
        </w:rPr>
        <w:t>adopt</w:t>
      </w:r>
      <w:r w:rsidR="008B7559">
        <w:rPr>
          <w:lang w:val="en-GB"/>
        </w:rPr>
        <w:t xml:space="preserve"> the following voluntary Australian/New Zealand standards and vary some of the requirements</w:t>
      </w:r>
      <w:r w:rsidRPr="0088134F">
        <w:rPr>
          <w:lang w:val="en-GB"/>
        </w:rPr>
        <w:t>:</w:t>
      </w:r>
    </w:p>
    <w:p w:rsidR="008B7559" w:rsidRPr="008B7559" w:rsidRDefault="008B7559" w:rsidP="00437208">
      <w:pPr>
        <w:pStyle w:val="Bulletpoint"/>
        <w:rPr>
          <w:lang w:val="en-GB"/>
        </w:rPr>
      </w:pPr>
      <w:r>
        <w:rPr>
          <w:lang w:val="en-GB"/>
        </w:rPr>
        <w:t>h</w:t>
      </w:r>
      <w:r w:rsidRPr="008B7559">
        <w:rPr>
          <w:lang w:val="en-GB"/>
        </w:rPr>
        <w:t>ydraulic trolley jacks – AS</w:t>
      </w:r>
      <w:r>
        <w:rPr>
          <w:lang w:val="en-GB"/>
        </w:rPr>
        <w:t>/NZS</w:t>
      </w:r>
      <w:r w:rsidRPr="008B7559">
        <w:rPr>
          <w:lang w:val="en-GB"/>
        </w:rPr>
        <w:t xml:space="preserve"> 2615:20</w:t>
      </w:r>
      <w:r>
        <w:rPr>
          <w:lang w:val="en-GB"/>
        </w:rPr>
        <w:t>04</w:t>
      </w:r>
    </w:p>
    <w:p w:rsidR="008B7559" w:rsidRPr="008B7559" w:rsidRDefault="008B7559" w:rsidP="00437208">
      <w:pPr>
        <w:pStyle w:val="Bulletpoint"/>
        <w:rPr>
          <w:lang w:val="en-GB"/>
        </w:rPr>
      </w:pPr>
      <w:r>
        <w:rPr>
          <w:lang w:val="en-GB"/>
        </w:rPr>
        <w:t>v</w:t>
      </w:r>
      <w:r w:rsidRPr="008B7559">
        <w:rPr>
          <w:lang w:val="en-GB"/>
        </w:rPr>
        <w:t>ehicle support stands – AS</w:t>
      </w:r>
      <w:r>
        <w:rPr>
          <w:lang w:val="en-GB"/>
        </w:rPr>
        <w:t>/NZS</w:t>
      </w:r>
      <w:r w:rsidRPr="008B7559">
        <w:rPr>
          <w:lang w:val="en-GB"/>
        </w:rPr>
        <w:t xml:space="preserve"> 2538:20</w:t>
      </w:r>
      <w:r>
        <w:rPr>
          <w:lang w:val="en-GB"/>
        </w:rPr>
        <w:t>04</w:t>
      </w:r>
    </w:p>
    <w:p w:rsidR="008B7559" w:rsidRPr="008B7559" w:rsidRDefault="008B7559" w:rsidP="00437208">
      <w:pPr>
        <w:pStyle w:val="Bulletpoint"/>
        <w:rPr>
          <w:lang w:val="en-GB"/>
        </w:rPr>
      </w:pPr>
      <w:r>
        <w:rPr>
          <w:lang w:val="en-GB"/>
        </w:rPr>
        <w:t>p</w:t>
      </w:r>
      <w:r w:rsidRPr="008B7559">
        <w:rPr>
          <w:lang w:val="en-GB"/>
        </w:rPr>
        <w:t>ortable ramps for vehicles – AS</w:t>
      </w:r>
      <w:r>
        <w:rPr>
          <w:lang w:val="en-GB"/>
        </w:rPr>
        <w:t>/NZS</w:t>
      </w:r>
      <w:r w:rsidRPr="008B7559">
        <w:rPr>
          <w:lang w:val="en-GB"/>
        </w:rPr>
        <w:t xml:space="preserve"> 2640:</w:t>
      </w:r>
      <w:r>
        <w:rPr>
          <w:lang w:val="en-GB"/>
        </w:rPr>
        <w:t>1994.</w:t>
      </w:r>
    </w:p>
    <w:p w:rsidR="00DE6FCA" w:rsidRDefault="00287455" w:rsidP="009C4E70">
      <w:pPr>
        <w:rPr>
          <w:lang w:val="en-GB"/>
        </w:rPr>
      </w:pPr>
      <w:r w:rsidRPr="0088134F">
        <w:t xml:space="preserve">The key requirements of all three </w:t>
      </w:r>
      <w:r w:rsidR="00580262">
        <w:t xml:space="preserve">voluntary </w:t>
      </w:r>
      <w:r w:rsidR="00835724">
        <w:t xml:space="preserve">Australian </w:t>
      </w:r>
      <w:r w:rsidRPr="0088134F">
        <w:t>standards relate to design, construction and safety markings</w:t>
      </w:r>
      <w:r w:rsidR="007553DD">
        <w:t xml:space="preserve"> and </w:t>
      </w:r>
      <w:r w:rsidR="007553DD">
        <w:rPr>
          <w:lang w:val="en-GB"/>
        </w:rPr>
        <w:t>that the nominated c</w:t>
      </w:r>
      <w:r w:rsidR="009937F6">
        <w:rPr>
          <w:lang w:val="en-GB"/>
        </w:rPr>
        <w:t>apacity must be at least 750</w:t>
      </w:r>
      <w:r w:rsidR="00A97153">
        <w:rPr>
          <w:lang w:val="en-GB"/>
        </w:rPr>
        <w:t xml:space="preserve"> </w:t>
      </w:r>
      <w:r w:rsidR="009937F6">
        <w:rPr>
          <w:lang w:val="en-GB"/>
        </w:rPr>
        <w:t>kg.</w:t>
      </w:r>
    </w:p>
    <w:p w:rsidR="00580262" w:rsidRDefault="00580262" w:rsidP="00580262">
      <w:pPr>
        <w:rPr>
          <w:b/>
          <w:sz w:val="24"/>
          <w:szCs w:val="24"/>
          <w:lang w:val="en-GB"/>
        </w:rPr>
      </w:pPr>
      <w:bookmarkStart w:id="26" w:name="_Toc456953458"/>
      <w:r>
        <w:rPr>
          <w:lang w:val="en-GB"/>
        </w:rPr>
        <w:t>T</w:t>
      </w:r>
      <w:r w:rsidRPr="0088134F">
        <w:rPr>
          <w:lang w:val="en-GB"/>
        </w:rPr>
        <w:t>he voluntary Australia</w:t>
      </w:r>
      <w:r>
        <w:rPr>
          <w:lang w:val="en-GB"/>
        </w:rPr>
        <w:t>n standards were recently reviewed and updated.</w:t>
      </w:r>
    </w:p>
    <w:p w:rsidR="00856EE4" w:rsidRPr="00856EE4" w:rsidRDefault="00856EE4" w:rsidP="009C4E70">
      <w:pPr>
        <w:pStyle w:val="Heading3"/>
        <w:rPr>
          <w:lang w:val="en-GB"/>
        </w:rPr>
      </w:pPr>
      <w:bookmarkStart w:id="27" w:name="_Toc460322791"/>
      <w:bookmarkStart w:id="28" w:name="_Toc460406273"/>
      <w:r w:rsidRPr="00856EE4">
        <w:rPr>
          <w:lang w:val="en-GB"/>
        </w:rPr>
        <w:t>International standards</w:t>
      </w:r>
      <w:bookmarkEnd w:id="26"/>
      <w:bookmarkEnd w:id="27"/>
      <w:bookmarkEnd w:id="28"/>
    </w:p>
    <w:p w:rsidR="00153D76" w:rsidRDefault="00153D76" w:rsidP="00153D76">
      <w:r w:rsidRPr="00153D76">
        <w:rPr>
          <w:lang w:val="en-GB"/>
        </w:rPr>
        <w:t xml:space="preserve">There are a number of </w:t>
      </w:r>
      <w:r w:rsidR="000F3533">
        <w:rPr>
          <w:lang w:val="en-GB"/>
        </w:rPr>
        <w:t>international</w:t>
      </w:r>
      <w:r w:rsidR="00D45D7F" w:rsidRPr="00153D76">
        <w:rPr>
          <w:lang w:val="en-GB"/>
        </w:rPr>
        <w:t xml:space="preserve"> </w:t>
      </w:r>
      <w:r w:rsidRPr="00153D76">
        <w:rPr>
          <w:lang w:val="en-GB"/>
        </w:rPr>
        <w:t>standards</w:t>
      </w:r>
      <w:r>
        <w:rPr>
          <w:lang w:val="en-GB"/>
        </w:rPr>
        <w:t xml:space="preserve"> for </w:t>
      </w:r>
      <w:r>
        <w:t>hydraulic trolley jacks, vehicle support stands and portable ramps for vehicles, includ</w:t>
      </w:r>
      <w:r w:rsidR="00D45D7F">
        <w:t>ing</w:t>
      </w:r>
      <w:r>
        <w:t xml:space="preserve"> the </w:t>
      </w:r>
      <w:r w:rsidR="00D45D7F">
        <w:t xml:space="preserve">US standard </w:t>
      </w:r>
      <w:r>
        <w:t>ASME</w:t>
      </w:r>
      <w:r w:rsidR="00C463CB">
        <w:t> </w:t>
      </w:r>
      <w:r>
        <w:t>PASE:</w:t>
      </w:r>
      <w:r w:rsidR="00C463CB">
        <w:t> </w:t>
      </w:r>
      <w:r>
        <w:t xml:space="preserve">2014 (which covers all three products), </w:t>
      </w:r>
      <w:r w:rsidR="00D45D7F">
        <w:t xml:space="preserve">the </w:t>
      </w:r>
      <w:r>
        <w:t xml:space="preserve">European </w:t>
      </w:r>
      <w:r w:rsidR="00D45D7F">
        <w:t xml:space="preserve">standard </w:t>
      </w:r>
      <w:r w:rsidR="002113DA">
        <w:t>EN </w:t>
      </w:r>
      <w:r w:rsidRPr="00275583">
        <w:t>1494</w:t>
      </w:r>
      <w:r w:rsidR="002113DA">
        <w:t>:</w:t>
      </w:r>
      <w:r w:rsidRPr="00275583">
        <w:t>2000</w:t>
      </w:r>
      <w:r>
        <w:t xml:space="preserve"> (which covers </w:t>
      </w:r>
      <w:r w:rsidR="003A224B">
        <w:t xml:space="preserve">hydraulic </w:t>
      </w:r>
      <w:r>
        <w:t xml:space="preserve">trolley jacks), and </w:t>
      </w:r>
      <w:r w:rsidR="00D45D7F">
        <w:t xml:space="preserve">the </w:t>
      </w:r>
      <w:r>
        <w:t xml:space="preserve">British </w:t>
      </w:r>
      <w:r w:rsidR="00D45D7F">
        <w:t xml:space="preserve">standard </w:t>
      </w:r>
      <w:r w:rsidRPr="004176A0">
        <w:t>BS</w:t>
      </w:r>
      <w:r w:rsidR="00C463CB">
        <w:t> </w:t>
      </w:r>
      <w:r w:rsidRPr="004176A0">
        <w:t>AU</w:t>
      </w:r>
      <w:r w:rsidR="00C463CB">
        <w:t> </w:t>
      </w:r>
      <w:r w:rsidRPr="004176A0">
        <w:t>223a</w:t>
      </w:r>
      <w:r w:rsidR="002113DA">
        <w:t>:</w:t>
      </w:r>
      <w:r w:rsidRPr="004176A0">
        <w:t>2006</w:t>
      </w:r>
      <w:r>
        <w:t xml:space="preserve"> (which covers </w:t>
      </w:r>
      <w:r w:rsidR="003A224B">
        <w:t xml:space="preserve">vehicle </w:t>
      </w:r>
      <w:r>
        <w:t>support stands).</w:t>
      </w:r>
    </w:p>
    <w:p w:rsidR="005D7D08" w:rsidRPr="004C4847" w:rsidRDefault="00F6481F" w:rsidP="004C4847">
      <w:pPr>
        <w:spacing w:after="240"/>
      </w:pPr>
      <w:r w:rsidRPr="004C4847">
        <w:t>Currently, i</w:t>
      </w:r>
      <w:r w:rsidR="00BF3A27" w:rsidRPr="004C4847">
        <w:t xml:space="preserve">t is not legal to supply </w:t>
      </w:r>
      <w:r w:rsidR="00584C8E" w:rsidRPr="004C4847">
        <w:t xml:space="preserve">hydraulic trolley jacks, vehicle support stands and portable ramps for vehicles </w:t>
      </w:r>
      <w:r w:rsidR="005F37DA" w:rsidRPr="004C4847">
        <w:t xml:space="preserve">that </w:t>
      </w:r>
      <w:r w:rsidR="00BF3A27" w:rsidRPr="004C4847">
        <w:t xml:space="preserve">comply </w:t>
      </w:r>
      <w:r w:rsidR="005F37DA" w:rsidRPr="004C4847">
        <w:t xml:space="preserve">with </w:t>
      </w:r>
      <w:r w:rsidR="000F3533">
        <w:t>international</w:t>
      </w:r>
      <w:r w:rsidR="00D45D7F" w:rsidRPr="004C4847">
        <w:t xml:space="preserve"> </w:t>
      </w:r>
      <w:r w:rsidR="005F37DA" w:rsidRPr="004C4847">
        <w:t>standards</w:t>
      </w:r>
      <w:r w:rsidR="002C1BE9" w:rsidRPr="004C4847">
        <w:t xml:space="preserve"> </w:t>
      </w:r>
      <w:r w:rsidR="005F37DA" w:rsidRPr="004C4847">
        <w:t xml:space="preserve">unless they also </w:t>
      </w:r>
      <w:r w:rsidRPr="004C4847">
        <w:t>comply with</w:t>
      </w:r>
      <w:r w:rsidR="00584C8E" w:rsidRPr="004C4847">
        <w:t xml:space="preserve"> the </w:t>
      </w:r>
      <w:r w:rsidR="009679AD">
        <w:t xml:space="preserve">Australian </w:t>
      </w:r>
      <w:r w:rsidR="00D45D7F">
        <w:t>mandatory safety</w:t>
      </w:r>
      <w:r w:rsidR="00D45D7F" w:rsidRPr="004C4847">
        <w:t xml:space="preserve"> </w:t>
      </w:r>
      <w:r w:rsidR="00584C8E" w:rsidRPr="004C4847">
        <w:t>standards</w:t>
      </w:r>
      <w:r w:rsidR="005F37DA" w:rsidRPr="004C4847">
        <w:t>.</w:t>
      </w:r>
    </w:p>
    <w:p w:rsidR="000F3533" w:rsidRPr="00FA28B0" w:rsidRDefault="000F3533" w:rsidP="000F3533">
      <w:pPr>
        <w:spacing w:after="240"/>
      </w:pPr>
      <w:r>
        <w:t>Together with t</w:t>
      </w:r>
      <w:r w:rsidRPr="00FA28B0">
        <w:t xml:space="preserve">he </w:t>
      </w:r>
      <w:r>
        <w:t xml:space="preserve">mandatory </w:t>
      </w:r>
      <w:r w:rsidRPr="00FA28B0">
        <w:t>Australian</w:t>
      </w:r>
      <w:r>
        <w:t xml:space="preserve"> standards,</w:t>
      </w:r>
      <w:r w:rsidRPr="00FA28B0">
        <w:t xml:space="preserve"> </w:t>
      </w:r>
      <w:r>
        <w:t>the international</w:t>
      </w:r>
      <w:r w:rsidRPr="00FA28B0">
        <w:t xml:space="preserve"> standards</w:t>
      </w:r>
      <w:r>
        <w:t xml:space="preserve"> listed above</w:t>
      </w:r>
      <w:r w:rsidRPr="00FA28B0">
        <w:t xml:space="preserve"> all set minimum requirements </w:t>
      </w:r>
      <w:r>
        <w:t>for</w:t>
      </w:r>
      <w:r w:rsidRPr="00FA28B0">
        <w:t xml:space="preserve"> design, construction, testing and </w:t>
      </w:r>
      <w:r>
        <w:t>safety markings on the products</w:t>
      </w:r>
      <w:r w:rsidRPr="00FA28B0">
        <w:t xml:space="preserve">. Importantly, all of the standards prescribe overload capacity </w:t>
      </w:r>
      <w:r>
        <w:t>a</w:t>
      </w:r>
      <w:r w:rsidRPr="00FA28B0">
        <w:t xml:space="preserve">s a fundamental </w:t>
      </w:r>
      <w:r>
        <w:t xml:space="preserve">test to </w:t>
      </w:r>
      <w:r w:rsidRPr="00FA28B0">
        <w:t>assess the strength of these products.</w:t>
      </w:r>
    </w:p>
    <w:p w:rsidR="00AA71EF" w:rsidRDefault="00E92FB6" w:rsidP="00684392">
      <w:pPr>
        <w:keepNext/>
        <w:rPr>
          <w:lang w:val="en-GB"/>
        </w:rPr>
      </w:pPr>
      <w:r>
        <w:rPr>
          <w:lang w:val="en-GB"/>
        </w:rPr>
        <w:lastRenderedPageBreak/>
        <w:t>There are</w:t>
      </w:r>
      <w:r w:rsidR="009779A0">
        <w:rPr>
          <w:lang w:val="en-GB"/>
        </w:rPr>
        <w:t>,</w:t>
      </w:r>
      <w:r>
        <w:rPr>
          <w:lang w:val="en-GB"/>
        </w:rPr>
        <w:t xml:space="preserve"> however</w:t>
      </w:r>
      <w:r w:rsidR="009779A0">
        <w:rPr>
          <w:lang w:val="en-GB"/>
        </w:rPr>
        <w:t>,</w:t>
      </w:r>
      <w:r>
        <w:rPr>
          <w:lang w:val="en-GB"/>
        </w:rPr>
        <w:t xml:space="preserve"> some differences</w:t>
      </w:r>
      <w:r w:rsidR="00AA71EF">
        <w:rPr>
          <w:lang w:val="en-GB"/>
        </w:rPr>
        <w:t xml:space="preserve"> across the standards, for example</w:t>
      </w:r>
      <w:r w:rsidR="004F37AD">
        <w:rPr>
          <w:lang w:val="en-GB"/>
        </w:rPr>
        <w:t>:</w:t>
      </w:r>
    </w:p>
    <w:p w:rsidR="00AA71EF" w:rsidRDefault="00AA71EF" w:rsidP="00684392">
      <w:pPr>
        <w:pStyle w:val="Bulletpoint"/>
        <w:keepNext/>
        <w:rPr>
          <w:lang w:val="en-GB"/>
        </w:rPr>
      </w:pPr>
      <w:r w:rsidRPr="00AA71EF">
        <w:rPr>
          <w:lang w:val="en-GB"/>
        </w:rPr>
        <w:t>warning messages and user instructions vary from standard to standard</w:t>
      </w:r>
    </w:p>
    <w:p w:rsidR="00AA71EF" w:rsidRDefault="00AA71EF" w:rsidP="00684392">
      <w:pPr>
        <w:pStyle w:val="Bulletpoint"/>
        <w:keepNext/>
        <w:rPr>
          <w:lang w:val="en-GB"/>
        </w:rPr>
      </w:pPr>
      <w:r w:rsidRPr="00AA71EF">
        <w:rPr>
          <w:lang w:val="en-GB"/>
        </w:rPr>
        <w:t>some standards require marking on th</w:t>
      </w:r>
      <w:r>
        <w:rPr>
          <w:lang w:val="en-GB"/>
        </w:rPr>
        <w:t>e packaging while others do not</w:t>
      </w:r>
    </w:p>
    <w:p w:rsidR="00AA71EF" w:rsidRDefault="00AA71EF" w:rsidP="00684392">
      <w:pPr>
        <w:pStyle w:val="Bulletpoint"/>
        <w:keepNext/>
        <w:rPr>
          <w:lang w:val="en-GB"/>
        </w:rPr>
      </w:pPr>
      <w:r w:rsidRPr="00AA71EF">
        <w:rPr>
          <w:lang w:val="en-GB"/>
        </w:rPr>
        <w:t xml:space="preserve">some standards </w:t>
      </w:r>
      <w:r>
        <w:rPr>
          <w:lang w:val="en-GB"/>
        </w:rPr>
        <w:t xml:space="preserve">require the products to have a </w:t>
      </w:r>
      <w:r w:rsidRPr="00AA71EF">
        <w:rPr>
          <w:lang w:val="en-GB"/>
        </w:rPr>
        <w:t>minimum capacit</w:t>
      </w:r>
      <w:r>
        <w:rPr>
          <w:lang w:val="en-GB"/>
        </w:rPr>
        <w:t>y</w:t>
      </w:r>
    </w:p>
    <w:p w:rsidR="00AA71EF" w:rsidRPr="00AA71EF" w:rsidRDefault="00AA71EF" w:rsidP="00684392">
      <w:pPr>
        <w:pStyle w:val="Bulletpoint"/>
        <w:keepNext/>
        <w:rPr>
          <w:lang w:val="en-GB"/>
        </w:rPr>
      </w:pPr>
      <w:r>
        <w:rPr>
          <w:lang w:val="en-GB"/>
        </w:rPr>
        <w:t xml:space="preserve">some standards require </w:t>
      </w:r>
      <w:r w:rsidRPr="00AA71EF">
        <w:rPr>
          <w:lang w:val="en-GB"/>
        </w:rPr>
        <w:t>protective coatings for materials</w:t>
      </w:r>
      <w:r w:rsidR="007908AF">
        <w:rPr>
          <w:lang w:val="en-GB"/>
        </w:rPr>
        <w:t xml:space="preserve"> used in construction</w:t>
      </w:r>
      <w:r w:rsidRPr="00AA71EF">
        <w:rPr>
          <w:lang w:val="en-GB"/>
        </w:rPr>
        <w:t>.</w:t>
      </w:r>
    </w:p>
    <w:p w:rsidR="00AF572E" w:rsidRDefault="00AA71EF" w:rsidP="00FA28B0">
      <w:pPr>
        <w:spacing w:after="240"/>
      </w:pPr>
      <w:r w:rsidRPr="001972D5">
        <w:t xml:space="preserve">Appendix </w:t>
      </w:r>
      <w:r w:rsidR="004559DF">
        <w:t>A</w:t>
      </w:r>
      <w:r w:rsidRPr="001972D5">
        <w:t xml:space="preserve"> </w:t>
      </w:r>
      <w:r w:rsidR="0097410B">
        <w:t>provides a detailed comparison of</w:t>
      </w:r>
      <w:r w:rsidRPr="00FA28B0">
        <w:t xml:space="preserve"> the standards.</w:t>
      </w:r>
    </w:p>
    <w:p w:rsidR="002F1823" w:rsidRPr="000A3458" w:rsidRDefault="002F1823" w:rsidP="002F1823">
      <w:pPr>
        <w:pStyle w:val="Numbered1"/>
        <w:keepNext/>
      </w:pPr>
      <w:bookmarkStart w:id="29" w:name="_Toc460406274"/>
      <w:r>
        <w:t>C</w:t>
      </w:r>
      <w:r w:rsidRPr="000A3458">
        <w:t>ompliance</w:t>
      </w:r>
      <w:bookmarkEnd w:id="29"/>
    </w:p>
    <w:p w:rsidR="002F1823" w:rsidRPr="000A3458" w:rsidRDefault="00A97153" w:rsidP="00CF6ACC">
      <w:r>
        <w:t>Our</w:t>
      </w:r>
      <w:r w:rsidR="002F1823" w:rsidRPr="000A3458">
        <w:t xml:space="preserve"> market surveillance of </w:t>
      </w:r>
      <w:r w:rsidR="002F1823">
        <w:t xml:space="preserve">vehicle </w:t>
      </w:r>
      <w:r w:rsidR="002F1823" w:rsidRPr="000A3458">
        <w:t>support stands and portable ramps</w:t>
      </w:r>
      <w:r w:rsidR="002F1823">
        <w:t xml:space="preserve"> for vehicles</w:t>
      </w:r>
      <w:r w:rsidR="002F1823" w:rsidRPr="000A3458">
        <w:t xml:space="preserve"> in 2015</w:t>
      </w:r>
      <w:r w:rsidR="00CF6ACC">
        <w:t>/1</w:t>
      </w:r>
      <w:r w:rsidR="002F1823" w:rsidRPr="000A3458">
        <w:t xml:space="preserve">6 found significant non-compliance </w:t>
      </w:r>
      <w:r w:rsidR="002F1823">
        <w:t>with</w:t>
      </w:r>
      <w:r w:rsidR="002F1823" w:rsidRPr="000A3458">
        <w:t xml:space="preserve"> warning label and performance requirements.</w:t>
      </w:r>
    </w:p>
    <w:p w:rsidR="002F1823" w:rsidRPr="00C82C6D" w:rsidRDefault="002F1823" w:rsidP="002F1823">
      <w:r>
        <w:t>S</w:t>
      </w:r>
      <w:r w:rsidRPr="000A3458">
        <w:t xml:space="preserve">ince </w:t>
      </w:r>
      <w:r w:rsidR="00B630A9">
        <w:t xml:space="preserve">the year </w:t>
      </w:r>
      <w:r w:rsidRPr="000A3458">
        <w:t>2000, there have been</w:t>
      </w:r>
      <w:r>
        <w:t xml:space="preserve"> </w:t>
      </w:r>
      <w:r w:rsidRPr="000A3458">
        <w:t>19 recalls of hydraulic trolley jacks</w:t>
      </w:r>
      <w:r>
        <w:t>, five</w:t>
      </w:r>
      <w:r w:rsidRPr="000A3458">
        <w:t xml:space="preserve"> recalls of vehicle support stands and</w:t>
      </w:r>
      <w:r>
        <w:t xml:space="preserve"> two</w:t>
      </w:r>
      <w:r w:rsidRPr="000A3458">
        <w:t xml:space="preserve"> recalls of portable </w:t>
      </w:r>
      <w:r w:rsidR="00B630A9">
        <w:t xml:space="preserve">ramps for </w:t>
      </w:r>
      <w:r w:rsidRPr="000A3458">
        <w:t>vehicle</w:t>
      </w:r>
      <w:r w:rsidR="00B630A9">
        <w:t>s</w:t>
      </w:r>
      <w:r w:rsidRPr="000A3458">
        <w:t>.</w:t>
      </w:r>
      <w:r>
        <w:t xml:space="preserve"> </w:t>
      </w:r>
      <w:r w:rsidR="00A97153">
        <w:t>We</w:t>
      </w:r>
      <w:r w:rsidRPr="000A3458">
        <w:t xml:space="preserve"> </w:t>
      </w:r>
      <w:r>
        <w:t xml:space="preserve">also </w:t>
      </w:r>
      <w:r w:rsidRPr="000A3458">
        <w:t>accepted 13 court enforceable undertakings from suppliers who breached the mandatory safety standard for hydraulic trolley jacks</w:t>
      </w:r>
      <w:r>
        <w:t xml:space="preserve"> in the same period</w:t>
      </w:r>
      <w:r w:rsidRPr="000A3458">
        <w:t>.</w:t>
      </w:r>
    </w:p>
    <w:p w:rsidR="00BE1086" w:rsidRPr="00CC3D56" w:rsidRDefault="00BE1086" w:rsidP="007902B4">
      <w:pPr>
        <w:pStyle w:val="Numbered1"/>
      </w:pPr>
      <w:bookmarkStart w:id="30" w:name="_Toc460406275"/>
      <w:r w:rsidRPr="00CC3D56">
        <w:t xml:space="preserve">Emerging </w:t>
      </w:r>
      <w:r w:rsidR="00426B93" w:rsidRPr="00CC3D56">
        <w:t>issues</w:t>
      </w:r>
      <w:bookmarkEnd w:id="30"/>
    </w:p>
    <w:p w:rsidR="00787C3F" w:rsidRPr="000A3458" w:rsidRDefault="00787C3F" w:rsidP="00684392">
      <w:pPr>
        <w:pStyle w:val="Heading3"/>
      </w:pPr>
      <w:bookmarkStart w:id="31" w:name="_Toc460322794"/>
      <w:bookmarkStart w:id="32" w:name="_Toc460406276"/>
      <w:r>
        <w:t>Consumer warning labels</w:t>
      </w:r>
      <w:bookmarkEnd w:id="31"/>
      <w:bookmarkEnd w:id="32"/>
    </w:p>
    <w:p w:rsidR="00027496" w:rsidRDefault="00027496" w:rsidP="00F87A7E">
      <w:pPr>
        <w:rPr>
          <w:rFonts w:asciiTheme="minorHAnsi" w:hAnsiTheme="minorHAnsi" w:cstheme="minorHAnsi"/>
        </w:rPr>
      </w:pPr>
      <w:r w:rsidRPr="00F63088">
        <w:rPr>
          <w:rFonts w:asciiTheme="minorHAnsi" w:hAnsiTheme="minorHAnsi" w:cstheme="minorHAnsi"/>
        </w:rPr>
        <w:t>The mandatory safety standards have been successful in improving the safety of these products. The main cause of injuries and fatalities is no longer product failure.</w:t>
      </w:r>
      <w:r>
        <w:rPr>
          <w:rFonts w:asciiTheme="minorHAnsi" w:hAnsiTheme="minorHAnsi" w:cstheme="minorHAnsi"/>
        </w:rPr>
        <w:t xml:space="preserve"> C</w:t>
      </w:r>
      <w:r w:rsidRPr="000A3458">
        <w:rPr>
          <w:rFonts w:asciiTheme="minorHAnsi" w:hAnsiTheme="minorHAnsi" w:cstheme="minorHAnsi"/>
        </w:rPr>
        <w:t xml:space="preserve">oronial and police investigations indicate that </w:t>
      </w:r>
      <w:r>
        <w:rPr>
          <w:rFonts w:asciiTheme="minorHAnsi" w:hAnsiTheme="minorHAnsi" w:cstheme="minorHAnsi"/>
        </w:rPr>
        <w:t>most</w:t>
      </w:r>
      <w:r w:rsidRPr="000A3458">
        <w:rPr>
          <w:rFonts w:asciiTheme="minorHAnsi" w:hAnsiTheme="minorHAnsi" w:cstheme="minorHAnsi"/>
        </w:rPr>
        <w:t xml:space="preserve"> injuries and fatalities </w:t>
      </w:r>
      <w:r w:rsidR="00734A79">
        <w:rPr>
          <w:rFonts w:asciiTheme="minorHAnsi" w:hAnsiTheme="minorHAnsi" w:cstheme="minorHAnsi"/>
        </w:rPr>
        <w:t xml:space="preserve">from raised vehicles </w:t>
      </w:r>
      <w:r w:rsidRPr="000A3458">
        <w:rPr>
          <w:rFonts w:asciiTheme="minorHAnsi" w:hAnsiTheme="minorHAnsi" w:cstheme="minorHAnsi"/>
        </w:rPr>
        <w:t xml:space="preserve">occur </w:t>
      </w:r>
      <w:r>
        <w:rPr>
          <w:rFonts w:asciiTheme="minorHAnsi" w:hAnsiTheme="minorHAnsi" w:cstheme="minorHAnsi"/>
        </w:rPr>
        <w:t>when</w:t>
      </w:r>
      <w:r w:rsidRPr="000A3458">
        <w:rPr>
          <w:rFonts w:asciiTheme="minorHAnsi" w:hAnsiTheme="minorHAnsi" w:cstheme="minorHAnsi"/>
        </w:rPr>
        <w:t xml:space="preserve"> consumers </w:t>
      </w:r>
      <w:r w:rsidR="00734A79">
        <w:rPr>
          <w:rFonts w:asciiTheme="minorHAnsi" w:hAnsiTheme="minorHAnsi" w:cstheme="minorHAnsi"/>
        </w:rPr>
        <w:t>use unstable alternatives</w:t>
      </w:r>
      <w:r w:rsidRPr="000A3458">
        <w:rPr>
          <w:rFonts w:asciiTheme="minorHAnsi" w:hAnsiTheme="minorHAnsi" w:cstheme="minorHAnsi"/>
        </w:rPr>
        <w:t xml:space="preserve"> </w:t>
      </w:r>
      <w:r w:rsidR="00734A79">
        <w:rPr>
          <w:rFonts w:asciiTheme="minorHAnsi" w:hAnsiTheme="minorHAnsi" w:cstheme="minorHAnsi"/>
        </w:rPr>
        <w:t>such as</w:t>
      </w:r>
      <w:r w:rsidR="00734A79" w:rsidRPr="000A3458">
        <w:rPr>
          <w:rFonts w:asciiTheme="minorHAnsi" w:hAnsiTheme="minorHAnsi" w:cstheme="minorHAnsi"/>
        </w:rPr>
        <w:t xml:space="preserve"> </w:t>
      </w:r>
      <w:r w:rsidRPr="000A3458">
        <w:rPr>
          <w:rFonts w:asciiTheme="minorHAnsi" w:hAnsiTheme="minorHAnsi" w:cstheme="minorHAnsi"/>
        </w:rPr>
        <w:t>bricks or wooden blocks instead of vehicle support stands</w:t>
      </w:r>
      <w:r>
        <w:rPr>
          <w:rFonts w:asciiTheme="minorHAnsi" w:hAnsiTheme="minorHAnsi" w:cstheme="minorHAnsi"/>
        </w:rPr>
        <w:t>.</w:t>
      </w:r>
    </w:p>
    <w:p w:rsidR="00DF107E" w:rsidRDefault="00A97153" w:rsidP="00E755CE">
      <w:r>
        <w:t>We have</w:t>
      </w:r>
      <w:r w:rsidR="006D65A8">
        <w:t xml:space="preserve"> </w:t>
      </w:r>
      <w:r w:rsidR="00DF107E">
        <w:t xml:space="preserve">refined </w:t>
      </w:r>
      <w:r>
        <w:t>our</w:t>
      </w:r>
      <w:r w:rsidR="00DF107E">
        <w:t xml:space="preserve"> understanding </w:t>
      </w:r>
      <w:r w:rsidR="0073048D">
        <w:t xml:space="preserve">of </w:t>
      </w:r>
      <w:r w:rsidR="00DF107E">
        <w:t>what makes</w:t>
      </w:r>
      <w:r w:rsidR="006D65A8">
        <w:t xml:space="preserve"> </w:t>
      </w:r>
      <w:r w:rsidR="0073048D">
        <w:t xml:space="preserve">a </w:t>
      </w:r>
      <w:r w:rsidR="006D65A8">
        <w:t>warning</w:t>
      </w:r>
      <w:r w:rsidR="00DF107E" w:rsidRPr="00DF107E">
        <w:t xml:space="preserve"> </w:t>
      </w:r>
      <w:r w:rsidR="00DF107E">
        <w:t>effective</w:t>
      </w:r>
      <w:r w:rsidR="006D65A8">
        <w:t>. In the past five years</w:t>
      </w:r>
      <w:r w:rsidR="00DF107E">
        <w:t xml:space="preserve"> we have:</w:t>
      </w:r>
    </w:p>
    <w:p w:rsidR="00DF107E" w:rsidRPr="00437208" w:rsidRDefault="00DF107E" w:rsidP="007E14B0">
      <w:pPr>
        <w:pStyle w:val="ListParagraph"/>
        <w:numPr>
          <w:ilvl w:val="0"/>
          <w:numId w:val="31"/>
        </w:numPr>
        <w:rPr>
          <w:rFonts w:asciiTheme="minorHAnsi" w:hAnsiTheme="minorHAnsi" w:cstheme="minorHAnsi"/>
        </w:rPr>
      </w:pPr>
      <w:r>
        <w:t>commissioned</w:t>
      </w:r>
      <w:r w:rsidR="006D65A8">
        <w:t xml:space="preserve"> an expert report </w:t>
      </w:r>
      <w:r>
        <w:t>to review</w:t>
      </w:r>
      <w:r w:rsidR="006D65A8">
        <w:t xml:space="preserve"> available scientific research into warning labels</w:t>
      </w:r>
    </w:p>
    <w:p w:rsidR="00DF107E" w:rsidRPr="00DF107E" w:rsidRDefault="00DF107E" w:rsidP="007E14B0">
      <w:pPr>
        <w:pStyle w:val="ListParagraph"/>
        <w:numPr>
          <w:ilvl w:val="0"/>
          <w:numId w:val="31"/>
        </w:numPr>
        <w:rPr>
          <w:rFonts w:asciiTheme="minorHAnsi" w:hAnsiTheme="minorHAnsi" w:cstheme="minorHAnsi"/>
        </w:rPr>
      </w:pPr>
      <w:r>
        <w:t>commissioned research on consumer comprehension of specific warnings</w:t>
      </w:r>
    </w:p>
    <w:p w:rsidR="00DF107E" w:rsidRPr="00437208" w:rsidRDefault="006D65A8" w:rsidP="007E14B0">
      <w:pPr>
        <w:pStyle w:val="ListParagraph"/>
        <w:numPr>
          <w:ilvl w:val="0"/>
          <w:numId w:val="31"/>
        </w:numPr>
        <w:rPr>
          <w:rFonts w:asciiTheme="minorHAnsi" w:hAnsiTheme="minorHAnsi" w:cstheme="minorHAnsi"/>
        </w:rPr>
      </w:pPr>
      <w:r>
        <w:t>reviewed specific warnings</w:t>
      </w:r>
      <w:r w:rsidR="00DF107E">
        <w:t>.</w:t>
      </w:r>
    </w:p>
    <w:p w:rsidR="006D65A8" w:rsidRDefault="006D65A8" w:rsidP="006D65A8">
      <w:r>
        <w:t>The expert report on research into the effectiveness of warnings showed that effective warnings:</w:t>
      </w:r>
    </w:p>
    <w:p w:rsidR="006D65A8" w:rsidRDefault="006D65A8" w:rsidP="00437208">
      <w:pPr>
        <w:pStyle w:val="Bulletpoint"/>
      </w:pPr>
      <w:r>
        <w:t>start with an alert word to draw attentio</w:t>
      </w:r>
      <w:r w:rsidR="001E4759">
        <w:t>n and signal the degree of risk</w:t>
      </w:r>
    </w:p>
    <w:p w:rsidR="006D65A8" w:rsidRDefault="001E4759" w:rsidP="00437208">
      <w:pPr>
        <w:pStyle w:val="Bulletpoint"/>
      </w:pPr>
      <w:r>
        <w:t>identify the risk</w:t>
      </w:r>
    </w:p>
    <w:p w:rsidR="006D65A8" w:rsidRDefault="006D65A8" w:rsidP="00437208">
      <w:pPr>
        <w:pStyle w:val="Bulletpoint"/>
      </w:pPr>
      <w:r>
        <w:t>specify a positive action to reduce the risk.</w:t>
      </w:r>
    </w:p>
    <w:p w:rsidR="007902B4" w:rsidRDefault="007902B4" w:rsidP="007902B4">
      <w:r>
        <w:t>Th</w:t>
      </w:r>
      <w:r w:rsidRPr="00F63088">
        <w:t xml:space="preserve">e </w:t>
      </w:r>
      <w:r>
        <w:t xml:space="preserve">Australian </w:t>
      </w:r>
      <w:r w:rsidRPr="00F63088">
        <w:t xml:space="preserve">mandatory safety standards require warnings (e.g. ‘do not get under a vehicle that is supported by a trolley jack – use support stands’). However, these warnings do not describe the serious consequences </w:t>
      </w:r>
      <w:r>
        <w:t xml:space="preserve">if the product is misused. </w:t>
      </w:r>
      <w:r w:rsidRPr="00F63088">
        <w:t xml:space="preserve">In contrast, the </w:t>
      </w:r>
      <w:r>
        <w:t xml:space="preserve">new </w:t>
      </w:r>
      <w:r w:rsidRPr="00F63088">
        <w:t>voluntary Australian standards specify improved warnings that clearly state that death or serious injury could result if the products are misused.</w:t>
      </w:r>
    </w:p>
    <w:p w:rsidR="00AF572E" w:rsidRPr="000F2989" w:rsidRDefault="00870859" w:rsidP="00684392">
      <w:pPr>
        <w:pStyle w:val="Heading3"/>
        <w:keepNext/>
      </w:pPr>
      <w:bookmarkStart w:id="33" w:name="_Toc455575811"/>
      <w:bookmarkStart w:id="34" w:name="_Toc455575973"/>
      <w:bookmarkStart w:id="35" w:name="_Toc455576462"/>
      <w:bookmarkStart w:id="36" w:name="_Toc455575813"/>
      <w:bookmarkStart w:id="37" w:name="_Toc455575975"/>
      <w:bookmarkStart w:id="38" w:name="_Toc455576464"/>
      <w:bookmarkStart w:id="39" w:name="_Toc455575814"/>
      <w:bookmarkStart w:id="40" w:name="_Toc455575976"/>
      <w:bookmarkStart w:id="41" w:name="_Toc455576465"/>
      <w:bookmarkStart w:id="42" w:name="_Toc455575815"/>
      <w:bookmarkStart w:id="43" w:name="_Toc455575977"/>
      <w:bookmarkStart w:id="44" w:name="_Toc455576466"/>
      <w:bookmarkStart w:id="45" w:name="_Toc455575816"/>
      <w:bookmarkStart w:id="46" w:name="_Toc455575978"/>
      <w:bookmarkStart w:id="47" w:name="_Toc455576467"/>
      <w:bookmarkStart w:id="48" w:name="_Toc455575817"/>
      <w:bookmarkStart w:id="49" w:name="_Toc455575979"/>
      <w:bookmarkStart w:id="50" w:name="_Toc455576468"/>
      <w:bookmarkStart w:id="51" w:name="_Toc455575818"/>
      <w:bookmarkStart w:id="52" w:name="_Toc455575980"/>
      <w:bookmarkStart w:id="53" w:name="_Toc455576469"/>
      <w:bookmarkStart w:id="54" w:name="_Toc460322795"/>
      <w:bookmarkStart w:id="55" w:name="_Toc46040627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lastRenderedPageBreak/>
        <w:t>Upper</w:t>
      </w:r>
      <w:r w:rsidR="00AF572E">
        <w:t xml:space="preserve"> capacity limits</w:t>
      </w:r>
      <w:bookmarkEnd w:id="54"/>
      <w:bookmarkEnd w:id="55"/>
    </w:p>
    <w:p w:rsidR="00A15EC8" w:rsidRDefault="00A15EC8" w:rsidP="00684392">
      <w:pPr>
        <w:keepNext/>
        <w:rPr>
          <w:lang w:val="en-GB"/>
        </w:rPr>
      </w:pPr>
      <w:r>
        <w:rPr>
          <w:lang w:val="en-GB"/>
        </w:rPr>
        <w:t>T</w:t>
      </w:r>
      <w:r w:rsidRPr="00DE6FCA">
        <w:rPr>
          <w:lang w:val="en-GB"/>
        </w:rPr>
        <w:t xml:space="preserve">he mandatory </w:t>
      </w:r>
      <w:r>
        <w:rPr>
          <w:lang w:val="en-GB"/>
        </w:rPr>
        <w:t xml:space="preserve">safety </w:t>
      </w:r>
      <w:r w:rsidRPr="00DE6FCA">
        <w:rPr>
          <w:lang w:val="en-GB"/>
        </w:rPr>
        <w:t>standard</w:t>
      </w:r>
      <w:r>
        <w:rPr>
          <w:lang w:val="en-GB"/>
        </w:rPr>
        <w:t xml:space="preserve">s only apply to consumer goods, and upper capacity limits are set to restrict their scope to products intended </w:t>
      </w:r>
      <w:r w:rsidRPr="00DE6FCA">
        <w:rPr>
          <w:lang w:val="en-GB"/>
        </w:rPr>
        <w:t xml:space="preserve">for </w:t>
      </w:r>
      <w:r>
        <w:rPr>
          <w:lang w:val="en-GB"/>
        </w:rPr>
        <w:t xml:space="preserve">use with </w:t>
      </w:r>
      <w:r w:rsidRPr="000F2989">
        <w:t>consumer</w:t>
      </w:r>
      <w:r w:rsidRPr="00DE6FCA">
        <w:rPr>
          <w:lang w:val="en-GB"/>
        </w:rPr>
        <w:t xml:space="preserve"> vehicles</w:t>
      </w:r>
      <w:r>
        <w:rPr>
          <w:lang w:val="en-GB"/>
        </w:rPr>
        <w:t>. These upper capacities are:</w:t>
      </w:r>
    </w:p>
    <w:p w:rsidR="00161149" w:rsidRDefault="00870859" w:rsidP="00161149">
      <w:pPr>
        <w:pStyle w:val="Bulletpoint"/>
        <w:rPr>
          <w:lang w:val="en-GB"/>
        </w:rPr>
      </w:pPr>
      <w:r>
        <w:rPr>
          <w:lang w:val="en-GB"/>
        </w:rPr>
        <w:t xml:space="preserve">for hydraulic trolley jacks: </w:t>
      </w:r>
      <w:r w:rsidR="00161149" w:rsidRPr="00DE6FCA">
        <w:rPr>
          <w:lang w:val="en-GB"/>
        </w:rPr>
        <w:t>up to 2500</w:t>
      </w:r>
      <w:r w:rsidR="00A97153">
        <w:rPr>
          <w:lang w:val="en-GB"/>
        </w:rPr>
        <w:t xml:space="preserve"> </w:t>
      </w:r>
      <w:r w:rsidR="00161149" w:rsidRPr="00DE6FCA">
        <w:rPr>
          <w:lang w:val="en-GB"/>
        </w:rPr>
        <w:t>kg</w:t>
      </w:r>
      <w:r w:rsidR="00161149">
        <w:rPr>
          <w:lang w:val="en-GB"/>
        </w:rPr>
        <w:t xml:space="preserve"> </w:t>
      </w:r>
      <w:r>
        <w:rPr>
          <w:lang w:val="en-GB"/>
        </w:rPr>
        <w:t>(e.g. a large consumer 4WD)</w:t>
      </w:r>
    </w:p>
    <w:p w:rsidR="00161149" w:rsidRDefault="00870859" w:rsidP="00161149">
      <w:pPr>
        <w:pStyle w:val="Bulletpoint"/>
        <w:rPr>
          <w:lang w:val="en-GB"/>
        </w:rPr>
      </w:pPr>
      <w:r>
        <w:rPr>
          <w:lang w:val="en-GB"/>
        </w:rPr>
        <w:t>for p</w:t>
      </w:r>
      <w:r w:rsidRPr="008B7559">
        <w:rPr>
          <w:lang w:val="en-GB"/>
        </w:rPr>
        <w:t>ortable ramps for vehicles</w:t>
      </w:r>
      <w:r>
        <w:rPr>
          <w:lang w:val="en-GB"/>
        </w:rPr>
        <w:t>:</w:t>
      </w:r>
      <w:r w:rsidRPr="008B7559">
        <w:rPr>
          <w:lang w:val="en-GB"/>
        </w:rPr>
        <w:t xml:space="preserve"> </w:t>
      </w:r>
      <w:r w:rsidR="00161149">
        <w:rPr>
          <w:lang w:val="en-GB"/>
        </w:rPr>
        <w:t>up to 1500</w:t>
      </w:r>
      <w:r w:rsidR="00A97153">
        <w:rPr>
          <w:lang w:val="en-GB"/>
        </w:rPr>
        <w:t xml:space="preserve"> </w:t>
      </w:r>
      <w:r w:rsidR="00161149">
        <w:rPr>
          <w:lang w:val="en-GB"/>
        </w:rPr>
        <w:t>kg (used in pairs)</w:t>
      </w:r>
    </w:p>
    <w:p w:rsidR="00161149" w:rsidRDefault="00870859" w:rsidP="00161149">
      <w:pPr>
        <w:pStyle w:val="Bulletpoint"/>
        <w:rPr>
          <w:lang w:val="en-GB"/>
        </w:rPr>
      </w:pPr>
      <w:r>
        <w:rPr>
          <w:lang w:val="en-GB"/>
        </w:rPr>
        <w:t>for vehicle support stands</w:t>
      </w:r>
      <w:r w:rsidR="00AE4AA6">
        <w:rPr>
          <w:lang w:val="en-GB"/>
        </w:rPr>
        <w:t>:</w:t>
      </w:r>
      <w:r>
        <w:rPr>
          <w:lang w:val="en-GB"/>
        </w:rPr>
        <w:t xml:space="preserve"> </w:t>
      </w:r>
      <w:r w:rsidR="00161149">
        <w:rPr>
          <w:lang w:val="en-GB"/>
        </w:rPr>
        <w:t>up to 1500</w:t>
      </w:r>
      <w:r w:rsidR="00A97153">
        <w:rPr>
          <w:lang w:val="en-GB"/>
        </w:rPr>
        <w:t xml:space="preserve"> </w:t>
      </w:r>
      <w:r w:rsidR="00161149">
        <w:rPr>
          <w:lang w:val="en-GB"/>
        </w:rPr>
        <w:t>kg (used in pairs)</w:t>
      </w:r>
      <w:r w:rsidR="007E14B0">
        <w:rPr>
          <w:lang w:val="en-GB"/>
        </w:rPr>
        <w:t>.</w:t>
      </w:r>
    </w:p>
    <w:p w:rsidR="00A15EC8" w:rsidRDefault="00CC386C" w:rsidP="00F44137">
      <w:pPr>
        <w:pStyle w:val="Bulletpoint"/>
        <w:numPr>
          <w:ilvl w:val="0"/>
          <w:numId w:val="0"/>
        </w:numPr>
        <w:rPr>
          <w:lang w:val="en-GB"/>
        </w:rPr>
      </w:pPr>
      <w:r>
        <w:rPr>
          <w:lang w:val="en-GB"/>
        </w:rPr>
        <w:t>In contrast, a</w:t>
      </w:r>
      <w:r w:rsidRPr="00DE6FCA">
        <w:rPr>
          <w:lang w:val="en-GB"/>
        </w:rPr>
        <w:t xml:space="preserve">ll of the voluntary </w:t>
      </w:r>
      <w:r>
        <w:rPr>
          <w:lang w:val="en-GB"/>
        </w:rPr>
        <w:t xml:space="preserve">Australian and international </w:t>
      </w:r>
      <w:r w:rsidRPr="00DE6FCA">
        <w:rPr>
          <w:lang w:val="en-GB"/>
        </w:rPr>
        <w:t xml:space="preserve">standards </w:t>
      </w:r>
      <w:r w:rsidR="00A15EC8">
        <w:rPr>
          <w:lang w:val="en-GB"/>
        </w:rPr>
        <w:t xml:space="preserve">apply to </w:t>
      </w:r>
      <w:r>
        <w:rPr>
          <w:lang w:val="en-GB"/>
        </w:rPr>
        <w:t>products</w:t>
      </w:r>
      <w:r w:rsidRPr="00DE6FCA">
        <w:rPr>
          <w:lang w:val="en-GB"/>
        </w:rPr>
        <w:t xml:space="preserve"> for heavy commercial vehicles with </w:t>
      </w:r>
      <w:r w:rsidR="00870859">
        <w:rPr>
          <w:lang w:val="en-GB"/>
        </w:rPr>
        <w:t>much</w:t>
      </w:r>
      <w:r>
        <w:rPr>
          <w:lang w:val="en-GB"/>
        </w:rPr>
        <w:t xml:space="preserve"> high</w:t>
      </w:r>
      <w:r w:rsidR="00870859">
        <w:rPr>
          <w:lang w:val="en-GB"/>
        </w:rPr>
        <w:t>er</w:t>
      </w:r>
      <w:r>
        <w:rPr>
          <w:lang w:val="en-GB"/>
        </w:rPr>
        <w:t xml:space="preserve"> capacities</w:t>
      </w:r>
      <w:r w:rsidRPr="00DE6FCA">
        <w:rPr>
          <w:lang w:val="en-GB"/>
        </w:rPr>
        <w:t>.</w:t>
      </w:r>
    </w:p>
    <w:p w:rsidR="00533967" w:rsidRDefault="00A97153" w:rsidP="000F2989">
      <w:r>
        <w:rPr>
          <w:lang w:val="en-GB"/>
        </w:rPr>
        <w:t>We</w:t>
      </w:r>
      <w:r w:rsidR="00533967">
        <w:rPr>
          <w:lang w:val="en-GB"/>
        </w:rPr>
        <w:t xml:space="preserve"> </w:t>
      </w:r>
      <w:r w:rsidR="00F44137">
        <w:rPr>
          <w:lang w:val="en-GB"/>
        </w:rPr>
        <w:t>seek</w:t>
      </w:r>
      <w:r w:rsidR="00533967">
        <w:rPr>
          <w:lang w:val="en-GB"/>
        </w:rPr>
        <w:t xml:space="preserve"> </w:t>
      </w:r>
      <w:r w:rsidR="00F44137">
        <w:rPr>
          <w:lang w:val="en-GB"/>
        </w:rPr>
        <w:t>stakeholder views about</w:t>
      </w:r>
      <w:r w:rsidR="00533967">
        <w:rPr>
          <w:lang w:val="en-GB"/>
        </w:rPr>
        <w:t xml:space="preserve"> </w:t>
      </w:r>
      <w:r w:rsidR="00F44137">
        <w:rPr>
          <w:lang w:val="en-GB"/>
        </w:rPr>
        <w:t>whether the current upper capacity limits of these mandatory safety standards remain adequate for today’s consumer vehicles</w:t>
      </w:r>
      <w:r w:rsidR="00533967">
        <w:rPr>
          <w:lang w:val="en-GB"/>
        </w:rPr>
        <w:t>.</w:t>
      </w:r>
    </w:p>
    <w:p w:rsidR="002F1823" w:rsidRDefault="002F1823" w:rsidP="002F1823">
      <w:pPr>
        <w:pStyle w:val="Numbered1"/>
        <w:keepNext/>
      </w:pPr>
      <w:bookmarkStart w:id="56" w:name="_Toc460406278"/>
      <w:r>
        <w:t>Standards assessment</w:t>
      </w:r>
      <w:r w:rsidR="003C3BD9">
        <w:t xml:space="preserve"> and comparison</w:t>
      </w:r>
      <w:bookmarkEnd w:id="56"/>
    </w:p>
    <w:p w:rsidR="00A15EC8" w:rsidRDefault="00A15EC8" w:rsidP="00A15EC8">
      <w:pPr>
        <w:pStyle w:val="Bulletpoint"/>
        <w:numPr>
          <w:ilvl w:val="0"/>
          <w:numId w:val="0"/>
        </w:numPr>
      </w:pPr>
      <w:r>
        <w:t xml:space="preserve">As noted above, the most widely used international standards for </w:t>
      </w:r>
      <w:r w:rsidR="002E7AF8">
        <w:t xml:space="preserve">these </w:t>
      </w:r>
      <w:r>
        <w:t>products are:</w:t>
      </w:r>
    </w:p>
    <w:p w:rsidR="00A15EC8" w:rsidRPr="007E14B0" w:rsidRDefault="00A15EC8" w:rsidP="007E14B0">
      <w:pPr>
        <w:pStyle w:val="Bulletpoint"/>
        <w:rPr>
          <w:lang w:val="en-GB"/>
        </w:rPr>
      </w:pPr>
      <w:r w:rsidRPr="007E14B0">
        <w:rPr>
          <w:lang w:val="en-GB"/>
        </w:rPr>
        <w:t>the US standard ASME PASE: 2014 (which covers all three products)</w:t>
      </w:r>
    </w:p>
    <w:p w:rsidR="00A15EC8" w:rsidRPr="007E14B0" w:rsidRDefault="00A15EC8" w:rsidP="007E14B0">
      <w:pPr>
        <w:pStyle w:val="Bulletpoint"/>
        <w:rPr>
          <w:lang w:val="en-GB"/>
        </w:rPr>
      </w:pPr>
      <w:r w:rsidRPr="007E14B0">
        <w:rPr>
          <w:lang w:val="en-GB"/>
        </w:rPr>
        <w:t xml:space="preserve">the European standard EN 1494:2000 (which covers hydraulic trolley jacks) and </w:t>
      </w:r>
    </w:p>
    <w:p w:rsidR="00A15EC8" w:rsidRPr="007E14B0" w:rsidRDefault="00A15EC8" w:rsidP="007E14B0">
      <w:pPr>
        <w:pStyle w:val="Bulletpoint"/>
        <w:rPr>
          <w:lang w:val="en-GB"/>
        </w:rPr>
      </w:pPr>
      <w:r w:rsidRPr="007E14B0">
        <w:rPr>
          <w:lang w:val="en-GB"/>
        </w:rPr>
        <w:t>the British standard BS AU 223a:2006 (which covers vehicle support stands).</w:t>
      </w:r>
    </w:p>
    <w:p w:rsidR="00A15EC8" w:rsidRPr="00DB6C88" w:rsidRDefault="00A97153" w:rsidP="00A15EC8">
      <w:r>
        <w:t>We</w:t>
      </w:r>
      <w:r w:rsidR="00A15EC8" w:rsidRPr="00DB6C88">
        <w:t xml:space="preserve"> use </w:t>
      </w:r>
      <w:r w:rsidR="00A15EC8">
        <w:t>the following</w:t>
      </w:r>
      <w:r w:rsidR="00A15EC8" w:rsidRPr="00DB6C88">
        <w:t xml:space="preserve"> criteria when assessing international standards for use in Australia:</w:t>
      </w:r>
      <w:r w:rsidR="00A15EC8" w:rsidRPr="00DB6C88">
        <w:rPr>
          <w:vertAlign w:val="superscript"/>
        </w:rPr>
        <w:footnoteReference w:id="1"/>
      </w:r>
    </w:p>
    <w:p w:rsidR="00A15EC8" w:rsidRPr="00DB6C88" w:rsidRDefault="00A15EC8" w:rsidP="00A15EC8">
      <w:pPr>
        <w:pStyle w:val="LegalNumbering"/>
      </w:pPr>
      <w:r w:rsidRPr="00DB6C88">
        <w:t>Addressing safety concerns: Is there evidence that the international standard provides an acceptable level of consumer safety?</w:t>
      </w:r>
    </w:p>
    <w:p w:rsidR="00A15EC8" w:rsidRDefault="00A15EC8" w:rsidP="00A15EC8">
      <w:pPr>
        <w:pStyle w:val="LegalNumbering"/>
      </w:pPr>
      <w:r w:rsidRPr="00EE5651">
        <w:t xml:space="preserve">Comparable jurisdiction to Australia: </w:t>
      </w:r>
      <w:r w:rsidRPr="00DB6C88">
        <w:t>Is the international standard published or developed by a legitimate standards body or government agency from an economy or nation with comparable economic and regulatory processes to Australia?</w:t>
      </w:r>
    </w:p>
    <w:p w:rsidR="00A15EC8" w:rsidRDefault="00A15EC8" w:rsidP="00A15EC8">
      <w:pPr>
        <w:pStyle w:val="LegalNumbering"/>
      </w:pPr>
      <w:r w:rsidRPr="00EE5651">
        <w:t>Applicability to the Australian context:</w:t>
      </w:r>
      <w:r w:rsidRPr="009256BA">
        <w:rPr>
          <w:bCs/>
        </w:rPr>
        <w:t xml:space="preserve"> </w:t>
      </w:r>
      <w:r w:rsidRPr="00DB6C88">
        <w:t>Is the international standard applicable and sufficient in the Australian context?</w:t>
      </w:r>
    </w:p>
    <w:p w:rsidR="00A15EC8" w:rsidRDefault="00A97153" w:rsidP="00A15EC8">
      <w:r>
        <w:t>Our</w:t>
      </w:r>
      <w:r w:rsidR="00A15EC8">
        <w:t xml:space="preserve"> consideration of the international standards referred to above when compared with the Australian mandatory standards is set out below.</w:t>
      </w:r>
    </w:p>
    <w:p w:rsidR="002F1823" w:rsidRPr="009C4E70" w:rsidRDefault="002F1823" w:rsidP="00F74637">
      <w:pPr>
        <w:pStyle w:val="Heading3"/>
      </w:pPr>
      <w:bookmarkStart w:id="57" w:name="_Toc456946872"/>
      <w:bookmarkStart w:id="58" w:name="_Toc460322797"/>
      <w:bookmarkStart w:id="59" w:name="_Toc460406279"/>
      <w:r w:rsidRPr="009C4E70">
        <w:t>US standard</w:t>
      </w:r>
      <w:bookmarkEnd w:id="57"/>
      <w:bookmarkEnd w:id="58"/>
      <w:bookmarkEnd w:id="59"/>
    </w:p>
    <w:p w:rsidR="00AE7893" w:rsidRPr="006E6D6A" w:rsidRDefault="00AE7893" w:rsidP="00AE7893">
      <w:r>
        <w:t>T</w:t>
      </w:r>
      <w:r w:rsidRPr="006E6D6A">
        <w:t xml:space="preserve">he American Society of Mechanical Engineers (ASME) developed and published </w:t>
      </w:r>
      <w:r>
        <w:t>t</w:t>
      </w:r>
      <w:r w:rsidRPr="006E6D6A">
        <w:t xml:space="preserve">he </w:t>
      </w:r>
      <w:r>
        <w:t xml:space="preserve">US </w:t>
      </w:r>
      <w:r w:rsidRPr="006E6D6A">
        <w:t>standard in 2014</w:t>
      </w:r>
      <w:r>
        <w:t>.</w:t>
      </w:r>
      <w:r w:rsidRPr="006E6D6A">
        <w:t xml:space="preserve"> ASME is a reputable standards development body and the USA is a jurisdiction with comparable economic and reg</w:t>
      </w:r>
      <w:r>
        <w:t>ulatory processes to Australia.</w:t>
      </w:r>
    </w:p>
    <w:p w:rsidR="002F1823" w:rsidRPr="006E6D6A" w:rsidRDefault="002F1823" w:rsidP="002F1823">
      <w:r w:rsidRPr="006E6D6A">
        <w:t xml:space="preserve">The </w:t>
      </w:r>
      <w:r>
        <w:t>US</w:t>
      </w:r>
      <w:r w:rsidRPr="006E6D6A">
        <w:t xml:space="preserve"> standard </w:t>
      </w:r>
      <w:r>
        <w:t>has</w:t>
      </w:r>
      <w:r w:rsidRPr="006E6D6A">
        <w:t xml:space="preserve"> requirements for the design</w:t>
      </w:r>
      <w:r w:rsidR="00986E3B">
        <w:t>,</w:t>
      </w:r>
      <w:r w:rsidR="00900AE9">
        <w:t xml:space="preserve"> </w:t>
      </w:r>
      <w:r w:rsidRPr="006E6D6A">
        <w:t>construction</w:t>
      </w:r>
      <w:r w:rsidR="00986E3B">
        <w:t xml:space="preserve"> and safety markings</w:t>
      </w:r>
      <w:r w:rsidRPr="006E6D6A">
        <w:t xml:space="preserve"> of trolley jacks, support stands and portable ramps. The </w:t>
      </w:r>
      <w:r>
        <w:t xml:space="preserve">US </w:t>
      </w:r>
      <w:r w:rsidRPr="006E6D6A">
        <w:t xml:space="preserve">standard </w:t>
      </w:r>
      <w:r>
        <w:t>has</w:t>
      </w:r>
      <w:r w:rsidRPr="006E6D6A">
        <w:t xml:space="preserve"> similar </w:t>
      </w:r>
      <w:r w:rsidR="00AC79C3" w:rsidRPr="009702B6">
        <w:t>performance</w:t>
      </w:r>
      <w:r w:rsidR="00AC79C3">
        <w:t xml:space="preserve"> and</w:t>
      </w:r>
      <w:r w:rsidR="00AC79C3" w:rsidRPr="009702B6">
        <w:t xml:space="preserve"> testing</w:t>
      </w:r>
      <w:r w:rsidR="00AC79C3" w:rsidRPr="006E6D6A">
        <w:t xml:space="preserve"> </w:t>
      </w:r>
      <w:r w:rsidRPr="006E6D6A">
        <w:t>requirements to the voluntary Australian standards</w:t>
      </w:r>
      <w:r w:rsidR="0054503A">
        <w:t xml:space="preserve"> </w:t>
      </w:r>
      <w:r w:rsidR="00AC79C3">
        <w:t>but</w:t>
      </w:r>
      <w:r w:rsidR="0054503A">
        <w:t xml:space="preserve"> do</w:t>
      </w:r>
      <w:r w:rsidR="00AC79C3">
        <w:t>es</w:t>
      </w:r>
      <w:r w:rsidR="0054503A">
        <w:t xml:space="preserve"> not set a minimum capacity.</w:t>
      </w:r>
      <w:r w:rsidR="008F210E">
        <w:t xml:space="preserve"> Whil</w:t>
      </w:r>
      <w:r w:rsidR="00E9468A">
        <w:t>e</w:t>
      </w:r>
      <w:r w:rsidR="008F210E">
        <w:t xml:space="preserve"> a minimum capacity is unnecessary for </w:t>
      </w:r>
      <w:r w:rsidR="007A5DF5">
        <w:t xml:space="preserve">hydraulic </w:t>
      </w:r>
      <w:r w:rsidR="008F210E">
        <w:t xml:space="preserve">trolley jacks that simply will not lift vehicles that are heavier than their capacity, this could be critical to safety for </w:t>
      </w:r>
      <w:r w:rsidR="007A5DF5">
        <w:t xml:space="preserve">vehicle </w:t>
      </w:r>
      <w:r w:rsidR="008F210E">
        <w:t>support stands and portable ramps</w:t>
      </w:r>
      <w:r w:rsidR="007A5DF5">
        <w:t xml:space="preserve"> for vehicles</w:t>
      </w:r>
      <w:r w:rsidR="008F210E">
        <w:t xml:space="preserve"> in some circumstances. For this reason, the US standard would only be acceptable in Australia if the mandatory safety standard</w:t>
      </w:r>
      <w:r w:rsidR="00F74637">
        <w:t>s</w:t>
      </w:r>
      <w:r w:rsidR="008F210E">
        <w:t xml:space="preserve"> </w:t>
      </w:r>
      <w:r w:rsidR="00F74637">
        <w:t xml:space="preserve">for </w:t>
      </w:r>
      <w:r w:rsidR="007A5DF5">
        <w:lastRenderedPageBreak/>
        <w:t xml:space="preserve">vehicle </w:t>
      </w:r>
      <w:r w:rsidR="00F74637">
        <w:t xml:space="preserve">support stands and portable ramps </w:t>
      </w:r>
      <w:r w:rsidR="007A5DF5">
        <w:t xml:space="preserve">for vehicles </w:t>
      </w:r>
      <w:r w:rsidR="008F210E">
        <w:t xml:space="preserve">specified a minimum capacity of </w:t>
      </w:r>
      <w:r w:rsidR="00A97153">
        <w:br/>
      </w:r>
      <w:r w:rsidR="008F210E">
        <w:t>750</w:t>
      </w:r>
      <w:r w:rsidR="00A97153">
        <w:t xml:space="preserve"> </w:t>
      </w:r>
      <w:r w:rsidR="008F210E">
        <w:t>kg (as in the Australian voluntary standards).</w:t>
      </w:r>
    </w:p>
    <w:p w:rsidR="002F1823" w:rsidRPr="00085247" w:rsidRDefault="002F1823" w:rsidP="00684392">
      <w:pPr>
        <w:keepNext/>
      </w:pPr>
      <w:r>
        <w:t xml:space="preserve">The </w:t>
      </w:r>
      <w:r w:rsidRPr="00085247">
        <w:t xml:space="preserve">US standard requires </w:t>
      </w:r>
      <w:r w:rsidR="00AE7893" w:rsidRPr="009702B6">
        <w:t xml:space="preserve">the following </w:t>
      </w:r>
      <w:r w:rsidRPr="00085247">
        <w:t>warning labels:</w:t>
      </w:r>
    </w:p>
    <w:p w:rsidR="002F1823" w:rsidRPr="00085247" w:rsidRDefault="007A5DF5" w:rsidP="00684392">
      <w:pPr>
        <w:pStyle w:val="Bulletpoint"/>
        <w:keepNext/>
      </w:pPr>
      <w:r>
        <w:t>Hydraulic t</w:t>
      </w:r>
      <w:r w:rsidR="002F1823" w:rsidRPr="00085247">
        <w:t xml:space="preserve">rolley jacks: </w:t>
      </w:r>
      <w:r w:rsidR="002F1823">
        <w:t>U</w:t>
      </w:r>
      <w:r w:rsidR="002F1823" w:rsidRPr="00085247">
        <w:t>se the jack on a flat surface; support the vehicle appropriate</w:t>
      </w:r>
      <w:r w:rsidR="00900AE9">
        <w:t>ly</w:t>
      </w:r>
      <w:r w:rsidR="002F1823" w:rsidRPr="00085247">
        <w:t xml:space="preserve">; and </w:t>
      </w:r>
      <w:r w:rsidR="00900AE9">
        <w:t xml:space="preserve">do </w:t>
      </w:r>
      <w:r w:rsidR="002F1823" w:rsidRPr="00085247">
        <w:t xml:space="preserve">not </w:t>
      </w:r>
      <w:r w:rsidR="00900AE9" w:rsidRPr="00085247">
        <w:t>mov</w:t>
      </w:r>
      <w:r w:rsidR="00900AE9">
        <w:t>e</w:t>
      </w:r>
      <w:r w:rsidR="00900AE9" w:rsidRPr="00085247">
        <w:t xml:space="preserve"> </w:t>
      </w:r>
      <w:r w:rsidR="002F1823" w:rsidRPr="00085247">
        <w:t xml:space="preserve">the vehicle </w:t>
      </w:r>
      <w:r w:rsidR="00900AE9" w:rsidRPr="00085247">
        <w:t>whil</w:t>
      </w:r>
      <w:r w:rsidR="00900AE9">
        <w:t>e it is</w:t>
      </w:r>
      <w:r w:rsidR="00900AE9" w:rsidRPr="00085247">
        <w:t xml:space="preserve"> </w:t>
      </w:r>
      <w:r w:rsidR="002F1823" w:rsidRPr="00085247">
        <w:t>on the jack</w:t>
      </w:r>
      <w:r w:rsidR="002F0EA9">
        <w:t>.</w:t>
      </w:r>
    </w:p>
    <w:p w:rsidR="002F1823" w:rsidRPr="00085247" w:rsidRDefault="002F1823" w:rsidP="00684392">
      <w:pPr>
        <w:pStyle w:val="Bulletpoint"/>
        <w:keepNext/>
      </w:pPr>
      <w:r>
        <w:t>Vehicle support stands: U</w:t>
      </w:r>
      <w:r w:rsidRPr="00085247">
        <w:t>se as a matched pair only; do not exceed load capacity; use only on a hard level surface</w:t>
      </w:r>
      <w:r w:rsidR="002F0EA9">
        <w:t>.</w:t>
      </w:r>
    </w:p>
    <w:p w:rsidR="00900AE9" w:rsidRDefault="002F1823" w:rsidP="00684392">
      <w:pPr>
        <w:pStyle w:val="Bulletpoint"/>
        <w:keepNext/>
      </w:pPr>
      <w:r>
        <w:t>Portable ramps</w:t>
      </w:r>
      <w:r w:rsidR="007A5DF5">
        <w:t xml:space="preserve"> for vehicles</w:t>
      </w:r>
      <w:r>
        <w:t>: D</w:t>
      </w:r>
      <w:r w:rsidRPr="00085247">
        <w:t xml:space="preserve">o not exceed rated capacity; use only </w:t>
      </w:r>
      <w:r>
        <w:t xml:space="preserve">on </w:t>
      </w:r>
      <w:r w:rsidRPr="00085247">
        <w:t>a hard level surface; use as a matched pair</w:t>
      </w:r>
      <w:r w:rsidR="002F0EA9">
        <w:t>.</w:t>
      </w:r>
    </w:p>
    <w:p w:rsidR="00AE7893" w:rsidRDefault="007A5DF5" w:rsidP="00684392">
      <w:pPr>
        <w:pStyle w:val="Bulletpoint"/>
        <w:keepNext/>
      </w:pPr>
      <w:r>
        <w:t>Hydraulic t</w:t>
      </w:r>
      <w:r w:rsidR="00900AE9" w:rsidRPr="00085247">
        <w:t xml:space="preserve">rolley jacks, </w:t>
      </w:r>
      <w:r>
        <w:t xml:space="preserve">vehicle </w:t>
      </w:r>
      <w:r w:rsidR="00900AE9" w:rsidRPr="00085247">
        <w:t>support stands and portable ramps</w:t>
      </w:r>
      <w:r>
        <w:t xml:space="preserve"> for vehicles</w:t>
      </w:r>
      <w:r w:rsidR="00900AE9">
        <w:t xml:space="preserve">: </w:t>
      </w:r>
      <w:r w:rsidR="00437208">
        <w:t>W</w:t>
      </w:r>
      <w:r w:rsidR="00900AE9" w:rsidRPr="00085247">
        <w:t xml:space="preserve">arn the user that a failure to heed the safety </w:t>
      </w:r>
      <w:r w:rsidR="00900AE9">
        <w:t>warnings</w:t>
      </w:r>
      <w:r w:rsidR="00900AE9" w:rsidRPr="00085247">
        <w:t xml:space="preserve"> </w:t>
      </w:r>
      <w:r w:rsidR="00900AE9">
        <w:t>could result in personal injury</w:t>
      </w:r>
      <w:r w:rsidR="002F0EA9">
        <w:t xml:space="preserve"> and</w:t>
      </w:r>
      <w:r w:rsidR="002F0EA9" w:rsidRPr="00085247">
        <w:t xml:space="preserve"> </w:t>
      </w:r>
      <w:r w:rsidR="00900AE9">
        <w:t xml:space="preserve">provide </w:t>
      </w:r>
      <w:r w:rsidR="00900AE9" w:rsidRPr="00085247">
        <w:t>instructions for safe use</w:t>
      </w:r>
      <w:r w:rsidR="002F0EA9">
        <w:t>.</w:t>
      </w:r>
    </w:p>
    <w:p w:rsidR="002F1823" w:rsidRDefault="00A56C51" w:rsidP="002F0EA9">
      <w:pPr>
        <w:pStyle w:val="Bulletpoint"/>
        <w:numPr>
          <w:ilvl w:val="0"/>
          <w:numId w:val="0"/>
        </w:numPr>
      </w:pPr>
      <w:r>
        <w:t>Additionally</w:t>
      </w:r>
      <w:r w:rsidR="003B555F">
        <w:t>, t</w:t>
      </w:r>
      <w:r w:rsidR="002F1823" w:rsidRPr="00085247">
        <w:t xml:space="preserve">he ANSI ‘z335’ standards guide manufacturers </w:t>
      </w:r>
      <w:r w:rsidR="00AE7893">
        <w:t>about</w:t>
      </w:r>
      <w:r w:rsidR="002F1823" w:rsidRPr="00085247">
        <w:t xml:space="preserve"> the colour, size and general requirements of </w:t>
      </w:r>
      <w:r w:rsidR="00AE7893">
        <w:t>these</w:t>
      </w:r>
      <w:r w:rsidR="002F1823" w:rsidRPr="00085247">
        <w:t xml:space="preserve"> warning</w:t>
      </w:r>
      <w:r w:rsidR="00AE7893">
        <w:t>s</w:t>
      </w:r>
      <w:r w:rsidR="002F1823" w:rsidRPr="00085247">
        <w:t>.</w:t>
      </w:r>
    </w:p>
    <w:p w:rsidR="00B10032" w:rsidRPr="006E6D6A" w:rsidRDefault="002F1823" w:rsidP="002F1823">
      <w:r w:rsidRPr="009F7C96">
        <w:rPr>
          <w:rFonts w:asciiTheme="minorHAnsi" w:hAnsiTheme="minorHAnsi" w:cstheme="minorHAnsi"/>
        </w:rPr>
        <w:t xml:space="preserve">We </w:t>
      </w:r>
      <w:r w:rsidR="00B10032" w:rsidRPr="009F7C96">
        <w:rPr>
          <w:rFonts w:asciiTheme="minorHAnsi" w:hAnsiTheme="minorHAnsi" w:cstheme="minorHAnsi"/>
        </w:rPr>
        <w:t>believe that</w:t>
      </w:r>
      <w:r w:rsidRPr="009F7C96">
        <w:rPr>
          <w:rFonts w:asciiTheme="minorHAnsi" w:hAnsiTheme="minorHAnsi" w:cstheme="minorHAnsi"/>
        </w:rPr>
        <w:t xml:space="preserve"> the warning messaging </w:t>
      </w:r>
      <w:r w:rsidR="00B10032" w:rsidRPr="009F7C96">
        <w:rPr>
          <w:rFonts w:asciiTheme="minorHAnsi" w:hAnsiTheme="minorHAnsi" w:cstheme="minorHAnsi"/>
        </w:rPr>
        <w:t xml:space="preserve">requirements </w:t>
      </w:r>
      <w:r w:rsidRPr="009F7C96">
        <w:rPr>
          <w:rFonts w:asciiTheme="minorHAnsi" w:hAnsiTheme="minorHAnsi" w:cstheme="minorHAnsi"/>
        </w:rPr>
        <w:t>in the US standards</w:t>
      </w:r>
      <w:r w:rsidR="00B10032" w:rsidRPr="009F7C96">
        <w:rPr>
          <w:rFonts w:asciiTheme="minorHAnsi" w:hAnsiTheme="minorHAnsi" w:cstheme="minorHAnsi"/>
        </w:rPr>
        <w:t xml:space="preserve"> are </w:t>
      </w:r>
      <w:r w:rsidR="009F7C96" w:rsidRPr="009F7C96">
        <w:rPr>
          <w:rFonts w:asciiTheme="minorHAnsi" w:hAnsiTheme="minorHAnsi" w:cstheme="minorHAnsi"/>
        </w:rPr>
        <w:t xml:space="preserve">inadequate for the Australian </w:t>
      </w:r>
      <w:r w:rsidR="00CC4C34" w:rsidRPr="009F7C96">
        <w:rPr>
          <w:rFonts w:asciiTheme="minorHAnsi" w:hAnsiTheme="minorHAnsi" w:cstheme="minorHAnsi"/>
        </w:rPr>
        <w:t>market,</w:t>
      </w:r>
      <w:r w:rsidR="009F7C96" w:rsidRPr="009F7C96">
        <w:rPr>
          <w:rFonts w:asciiTheme="minorHAnsi" w:hAnsiTheme="minorHAnsi" w:cstheme="minorHAnsi"/>
        </w:rPr>
        <w:t xml:space="preserve"> as they do not prescribe a specific warning that incorrect use may result in injury or death</w:t>
      </w:r>
      <w:r w:rsidRPr="009F7C96">
        <w:rPr>
          <w:rFonts w:asciiTheme="minorHAnsi" w:hAnsiTheme="minorHAnsi" w:cstheme="minorHAnsi"/>
        </w:rPr>
        <w:t>.</w:t>
      </w:r>
      <w:r w:rsidR="00CC4C34">
        <w:rPr>
          <w:rFonts w:asciiTheme="minorHAnsi" w:hAnsiTheme="minorHAnsi" w:cstheme="minorHAnsi"/>
        </w:rPr>
        <w:t xml:space="preserve"> However, o</w:t>
      </w:r>
      <w:r w:rsidR="009F7C96">
        <w:t>ther than needing to specify a minimum capacity</w:t>
      </w:r>
      <w:r w:rsidR="009F7C96" w:rsidRPr="009F7C96">
        <w:t xml:space="preserve"> </w:t>
      </w:r>
      <w:r w:rsidR="009F7C96">
        <w:t>for vehicle support stands and portable ramps, t</w:t>
      </w:r>
      <w:r w:rsidR="00B10032">
        <w:t xml:space="preserve">he construction and performance requirements of the </w:t>
      </w:r>
      <w:r w:rsidR="009F7C96">
        <w:t>US</w:t>
      </w:r>
      <w:r w:rsidR="00B10032" w:rsidRPr="006E6D6A">
        <w:t xml:space="preserve"> </w:t>
      </w:r>
      <w:r w:rsidR="00B10032" w:rsidRPr="00C90AE7">
        <w:rPr>
          <w:lang w:val="en"/>
        </w:rPr>
        <w:t xml:space="preserve">standard </w:t>
      </w:r>
      <w:r w:rsidR="00B10032">
        <w:rPr>
          <w:lang w:val="en"/>
        </w:rPr>
        <w:t>are</w:t>
      </w:r>
      <w:r w:rsidR="00B10032" w:rsidRPr="00C90AE7">
        <w:rPr>
          <w:lang w:val="en"/>
        </w:rPr>
        <w:t xml:space="preserve"> suitable to be included in a policy option allowing compliance with trusted international standards</w:t>
      </w:r>
      <w:r w:rsidR="00B10032">
        <w:rPr>
          <w:lang w:val="en"/>
        </w:rPr>
        <w:t>.</w:t>
      </w:r>
    </w:p>
    <w:p w:rsidR="002F1823" w:rsidRPr="009C4E70" w:rsidRDefault="002F1823" w:rsidP="00CF78E4">
      <w:pPr>
        <w:pStyle w:val="Heading3"/>
        <w:keepNext/>
      </w:pPr>
      <w:bookmarkStart w:id="60" w:name="_Toc456946873"/>
      <w:bookmarkStart w:id="61" w:name="_Toc460322798"/>
      <w:bookmarkStart w:id="62" w:name="_Toc460406280"/>
      <w:r w:rsidRPr="009C4E70">
        <w:t>European standard</w:t>
      </w:r>
      <w:bookmarkEnd w:id="60"/>
      <w:bookmarkEnd w:id="61"/>
      <w:bookmarkEnd w:id="62"/>
    </w:p>
    <w:p w:rsidR="00A15EC8" w:rsidRPr="006E6D6A" w:rsidRDefault="00A15EC8" w:rsidP="00A15EC8">
      <w:r w:rsidRPr="00C90AE7">
        <w:t>The European Committee for Standardization (CEN)</w:t>
      </w:r>
      <w:r w:rsidRPr="00710E8B">
        <w:t xml:space="preserve"> </w:t>
      </w:r>
      <w:r w:rsidRPr="00C90AE7">
        <w:t>developed the European standard. CEN develo</w:t>
      </w:r>
      <w:r>
        <w:t>ps standards for use in Europe. CEN</w:t>
      </w:r>
      <w:r w:rsidRPr="006E6D6A">
        <w:t xml:space="preserve"> is a reputable standards development body and the </w:t>
      </w:r>
      <w:r>
        <w:t>Europe</w:t>
      </w:r>
      <w:r w:rsidRPr="006E6D6A">
        <w:t xml:space="preserve"> is a jurisdiction with comparable economic and reg</w:t>
      </w:r>
      <w:r>
        <w:t>ulatory processes to Australia.</w:t>
      </w:r>
    </w:p>
    <w:p w:rsidR="002F1823" w:rsidRPr="006E6D6A" w:rsidRDefault="002F1823" w:rsidP="002F1823">
      <w:r w:rsidRPr="006E6D6A">
        <w:t xml:space="preserve">The European standard </w:t>
      </w:r>
      <w:r>
        <w:t xml:space="preserve">specifies design, construction, performance and safety marking </w:t>
      </w:r>
      <w:r w:rsidRPr="006E6D6A">
        <w:t xml:space="preserve">requirements for </w:t>
      </w:r>
      <w:r w:rsidR="009505CE">
        <w:t xml:space="preserve">hydraulic </w:t>
      </w:r>
      <w:r>
        <w:t xml:space="preserve">trolley jacks. </w:t>
      </w:r>
      <w:r w:rsidRPr="006E6D6A">
        <w:t xml:space="preserve">The </w:t>
      </w:r>
      <w:r w:rsidRPr="00C90AE7">
        <w:t xml:space="preserve">European </w:t>
      </w:r>
      <w:r w:rsidRPr="006E6D6A">
        <w:t xml:space="preserve">standard </w:t>
      </w:r>
      <w:r>
        <w:t>has</w:t>
      </w:r>
      <w:r w:rsidRPr="006E6D6A">
        <w:t xml:space="preserve"> similar </w:t>
      </w:r>
      <w:r w:rsidR="0062516D" w:rsidRPr="009702B6">
        <w:t>performance and testing</w:t>
      </w:r>
      <w:r w:rsidR="0062516D" w:rsidRPr="006E6D6A">
        <w:t xml:space="preserve"> </w:t>
      </w:r>
      <w:r w:rsidRPr="006E6D6A">
        <w:t>requirements to the voluntary Austral</w:t>
      </w:r>
      <w:r>
        <w:t xml:space="preserve">ian standard for </w:t>
      </w:r>
      <w:r w:rsidR="009505CE">
        <w:t xml:space="preserve">hydraulic </w:t>
      </w:r>
      <w:r>
        <w:t>trolley jacks</w:t>
      </w:r>
      <w:r w:rsidR="0062516D">
        <w:t>.</w:t>
      </w:r>
      <w:r w:rsidR="00F0307C">
        <w:t xml:space="preserve"> </w:t>
      </w:r>
      <w:r w:rsidR="0062516D">
        <w:t>It</w:t>
      </w:r>
      <w:r w:rsidR="00F0307C">
        <w:t xml:space="preserve"> does not set a minimum capacity</w:t>
      </w:r>
      <w:r w:rsidR="0062516D">
        <w:t xml:space="preserve"> but this</w:t>
      </w:r>
      <w:r w:rsidR="008F210E">
        <w:t xml:space="preserve"> is unnecessary for </w:t>
      </w:r>
      <w:r w:rsidR="009505CE">
        <w:t xml:space="preserve">hydraulic </w:t>
      </w:r>
      <w:r w:rsidR="008F210E">
        <w:t>trolley jacks that simply will not lift vehicles that are heavier than their capacity</w:t>
      </w:r>
      <w:r w:rsidR="0062516D">
        <w:t>.</w:t>
      </w:r>
    </w:p>
    <w:p w:rsidR="002F1823" w:rsidRDefault="002F1823" w:rsidP="002F1823">
      <w:pPr>
        <w:rPr>
          <w:rFonts w:asciiTheme="minorHAnsi" w:hAnsiTheme="minorHAnsi" w:cstheme="minorHAnsi"/>
        </w:rPr>
      </w:pPr>
      <w:r>
        <w:rPr>
          <w:rFonts w:asciiTheme="minorHAnsi" w:hAnsiTheme="minorHAnsi" w:cstheme="minorHAnsi"/>
        </w:rPr>
        <w:t xml:space="preserve">The </w:t>
      </w:r>
      <w:r w:rsidRPr="00085247">
        <w:rPr>
          <w:rFonts w:asciiTheme="minorHAnsi" w:hAnsiTheme="minorHAnsi" w:cstheme="minorHAnsi"/>
        </w:rPr>
        <w:t xml:space="preserve">European standard for </w:t>
      </w:r>
      <w:r w:rsidR="009505CE">
        <w:rPr>
          <w:rFonts w:asciiTheme="minorHAnsi" w:hAnsiTheme="minorHAnsi" w:cstheme="minorHAnsi"/>
        </w:rPr>
        <w:t xml:space="preserve">hydraulic </w:t>
      </w:r>
      <w:r w:rsidRPr="00085247">
        <w:rPr>
          <w:rFonts w:asciiTheme="minorHAnsi" w:hAnsiTheme="minorHAnsi" w:cstheme="minorHAnsi"/>
        </w:rPr>
        <w:t>trolley jacks does not require specific warning wording</w:t>
      </w:r>
      <w:r w:rsidR="00AE7893">
        <w:rPr>
          <w:rFonts w:asciiTheme="minorHAnsi" w:hAnsiTheme="minorHAnsi" w:cstheme="minorHAnsi"/>
        </w:rPr>
        <w:t xml:space="preserve"> but</w:t>
      </w:r>
      <w:r w:rsidR="00AE7893" w:rsidRPr="00085247">
        <w:rPr>
          <w:rFonts w:asciiTheme="minorHAnsi" w:hAnsiTheme="minorHAnsi" w:cstheme="minorHAnsi"/>
        </w:rPr>
        <w:t xml:space="preserve"> </w:t>
      </w:r>
      <w:r w:rsidRPr="00085247">
        <w:rPr>
          <w:rFonts w:asciiTheme="minorHAnsi" w:hAnsiTheme="minorHAnsi" w:cstheme="minorHAnsi"/>
        </w:rPr>
        <w:t xml:space="preserve">describes a “minimum marking” requirement – a list of types of information that must be marked on the product. In terms of safety information, the list includes the rated load (including rated loads for each configuration of the </w:t>
      </w:r>
      <w:r w:rsidR="009505CE">
        <w:rPr>
          <w:rFonts w:asciiTheme="minorHAnsi" w:hAnsiTheme="minorHAnsi" w:cstheme="minorHAnsi"/>
        </w:rPr>
        <w:t xml:space="preserve">hydraulic </w:t>
      </w:r>
      <w:r w:rsidRPr="00085247">
        <w:rPr>
          <w:rFonts w:asciiTheme="minorHAnsi" w:hAnsiTheme="minorHAnsi" w:cstheme="minorHAnsi"/>
        </w:rPr>
        <w:t>trolley jack, if applicable) and must “hint on residual risks”.</w:t>
      </w:r>
    </w:p>
    <w:p w:rsidR="002F1823" w:rsidRPr="006E6D6A" w:rsidRDefault="00AE7893" w:rsidP="002F1823">
      <w:r>
        <w:t>T</w:t>
      </w:r>
      <w:r w:rsidR="002F1823" w:rsidRPr="00C6437A">
        <w:t xml:space="preserve">he European standard does not sufficiently describe the serious consequences </w:t>
      </w:r>
      <w:r w:rsidR="002F1823">
        <w:t>of</w:t>
      </w:r>
      <w:r w:rsidR="002F1823" w:rsidRPr="00C6437A">
        <w:t xml:space="preserve"> product </w:t>
      </w:r>
      <w:r w:rsidR="002F1823">
        <w:t>misuse</w:t>
      </w:r>
      <w:r>
        <w:t>.</w:t>
      </w:r>
      <w:r w:rsidRPr="00C6437A">
        <w:t xml:space="preserve"> </w:t>
      </w:r>
      <w:r>
        <w:t>W</w:t>
      </w:r>
      <w:r w:rsidRPr="00C6437A">
        <w:t xml:space="preserve">e </w:t>
      </w:r>
      <w:r>
        <w:t xml:space="preserve">therefore </w:t>
      </w:r>
      <w:r w:rsidR="002F1823" w:rsidRPr="00C6437A">
        <w:t xml:space="preserve">do not consider the warning requirements in this standard to </w:t>
      </w:r>
      <w:r w:rsidR="002F1823">
        <w:t xml:space="preserve">be adequate for the Australian market. </w:t>
      </w:r>
      <w:r w:rsidR="00DF107E">
        <w:t>However, t</w:t>
      </w:r>
      <w:r w:rsidR="002F1823">
        <w:t xml:space="preserve">he </w:t>
      </w:r>
      <w:r w:rsidR="00DF107E">
        <w:t xml:space="preserve">construction and performance requirements of the </w:t>
      </w:r>
      <w:r w:rsidR="002F1823">
        <w:t>European</w:t>
      </w:r>
      <w:r w:rsidR="002F1823" w:rsidRPr="006E6D6A">
        <w:t xml:space="preserve"> </w:t>
      </w:r>
      <w:r w:rsidR="002F1823" w:rsidRPr="00C90AE7">
        <w:rPr>
          <w:lang w:val="en"/>
        </w:rPr>
        <w:t xml:space="preserve">standard </w:t>
      </w:r>
      <w:r w:rsidR="00DF107E">
        <w:rPr>
          <w:lang w:val="en"/>
        </w:rPr>
        <w:t>are</w:t>
      </w:r>
      <w:r w:rsidR="00DF107E" w:rsidRPr="00C90AE7">
        <w:rPr>
          <w:lang w:val="en"/>
        </w:rPr>
        <w:t xml:space="preserve"> </w:t>
      </w:r>
      <w:r w:rsidR="002F1823" w:rsidRPr="00C90AE7">
        <w:rPr>
          <w:lang w:val="en"/>
        </w:rPr>
        <w:t>suitable to be included in a policy option allowing compliance with trusted international standards</w:t>
      </w:r>
      <w:r w:rsidR="009937F6">
        <w:rPr>
          <w:lang w:val="en"/>
        </w:rPr>
        <w:t>.</w:t>
      </w:r>
    </w:p>
    <w:p w:rsidR="002F1823" w:rsidRPr="006E6D6A" w:rsidRDefault="002F1823" w:rsidP="00684392">
      <w:pPr>
        <w:pStyle w:val="Heading3"/>
        <w:keepNext/>
      </w:pPr>
      <w:bookmarkStart w:id="63" w:name="_Toc456946874"/>
      <w:bookmarkStart w:id="64" w:name="_Toc460322799"/>
      <w:bookmarkStart w:id="65" w:name="_Toc460406281"/>
      <w:r>
        <w:t>British</w:t>
      </w:r>
      <w:r w:rsidRPr="006E6D6A">
        <w:t xml:space="preserve"> standard</w:t>
      </w:r>
      <w:bookmarkEnd w:id="63"/>
      <w:bookmarkEnd w:id="64"/>
      <w:bookmarkEnd w:id="65"/>
    </w:p>
    <w:p w:rsidR="00B84A05" w:rsidRDefault="00B84A05" w:rsidP="00684392">
      <w:pPr>
        <w:keepNext/>
      </w:pPr>
      <w:r w:rsidRPr="006E6D6A">
        <w:t>The British Standards Institution (BSI)</w:t>
      </w:r>
      <w:r>
        <w:t xml:space="preserve"> </w:t>
      </w:r>
      <w:r w:rsidRPr="006E6D6A">
        <w:t>published the British standard</w:t>
      </w:r>
      <w:r>
        <w:t>.</w:t>
      </w:r>
      <w:r w:rsidRPr="006E6D6A">
        <w:t xml:space="preserve"> BSI is a </w:t>
      </w:r>
      <w:r>
        <w:t>national standards body similar to Standards Australia</w:t>
      </w:r>
      <w:r w:rsidRPr="006E6D6A">
        <w:t>.</w:t>
      </w:r>
      <w:r>
        <w:t xml:space="preserve"> BSI</w:t>
      </w:r>
      <w:r w:rsidRPr="006E6D6A">
        <w:t xml:space="preserve"> is a reputable standards development </w:t>
      </w:r>
      <w:r w:rsidRPr="006E6D6A">
        <w:lastRenderedPageBreak/>
        <w:t xml:space="preserve">body and </w:t>
      </w:r>
      <w:r>
        <w:t>Britain</w:t>
      </w:r>
      <w:r w:rsidRPr="006E6D6A">
        <w:t xml:space="preserve"> is a jurisdiction with comparable economic and reg</w:t>
      </w:r>
      <w:r>
        <w:t>ulatory processes to Australia.</w:t>
      </w:r>
    </w:p>
    <w:p w:rsidR="002F1823" w:rsidRPr="006E6D6A" w:rsidRDefault="002F1823" w:rsidP="00684392">
      <w:pPr>
        <w:keepNext/>
      </w:pPr>
      <w:r>
        <w:t>T</w:t>
      </w:r>
      <w:r w:rsidRPr="006E6D6A">
        <w:t>he British standard for vehicle support stands covers requirements for minimum capacity, stability, structural integrity, overload capacity</w:t>
      </w:r>
      <w:r>
        <w:t>,</w:t>
      </w:r>
      <w:r w:rsidRPr="006E6D6A">
        <w:t xml:space="preserve"> safety warnings and</w:t>
      </w:r>
      <w:r>
        <w:t xml:space="preserve"> </w:t>
      </w:r>
      <w:r w:rsidRPr="006E6D6A">
        <w:t xml:space="preserve">instructions for use. The British standard </w:t>
      </w:r>
      <w:r>
        <w:t>has</w:t>
      </w:r>
      <w:r w:rsidRPr="006E6D6A">
        <w:t xml:space="preserve"> similar </w:t>
      </w:r>
      <w:r w:rsidR="00DC5557" w:rsidRPr="009702B6">
        <w:t>performance and testing</w:t>
      </w:r>
      <w:r w:rsidR="00DC5557" w:rsidRPr="006E6D6A">
        <w:t xml:space="preserve"> </w:t>
      </w:r>
      <w:r w:rsidRPr="006E6D6A">
        <w:t>requirements to the voluntary Australian standa</w:t>
      </w:r>
      <w:r>
        <w:t>rd for vehicle support stands</w:t>
      </w:r>
      <w:r w:rsidR="0054503A">
        <w:t xml:space="preserve"> </w:t>
      </w:r>
      <w:r w:rsidR="00D449C6">
        <w:t>and</w:t>
      </w:r>
      <w:r w:rsidR="0054503A">
        <w:t xml:space="preserve"> sets a </w:t>
      </w:r>
      <w:r w:rsidR="00DC5557">
        <w:t>1000</w:t>
      </w:r>
      <w:r w:rsidR="00CC4C34">
        <w:t xml:space="preserve"> </w:t>
      </w:r>
      <w:r w:rsidR="00DC5557">
        <w:t xml:space="preserve">kg </w:t>
      </w:r>
      <w:r w:rsidR="0054503A">
        <w:t>minimum capacity</w:t>
      </w:r>
      <w:r w:rsidR="00D449C6">
        <w:t xml:space="preserve"> above the</w:t>
      </w:r>
      <w:r w:rsidR="00DC5557">
        <w:t xml:space="preserve"> </w:t>
      </w:r>
      <w:r w:rsidR="009937F6">
        <w:t>750</w:t>
      </w:r>
      <w:r w:rsidR="00CC4C34">
        <w:t xml:space="preserve"> </w:t>
      </w:r>
      <w:r w:rsidR="00D449C6">
        <w:t xml:space="preserve">kg </w:t>
      </w:r>
      <w:r w:rsidR="00DC5557">
        <w:t>minimum capacity of the Australian voluntary standard.</w:t>
      </w:r>
    </w:p>
    <w:p w:rsidR="002F1823" w:rsidRDefault="002F1823" w:rsidP="002F1823">
      <w:r w:rsidRPr="00F35D53">
        <w:t xml:space="preserve">The </w:t>
      </w:r>
      <w:r w:rsidRPr="00085247">
        <w:t>British standard requires a ‘</w:t>
      </w:r>
      <w:r w:rsidR="003153D2">
        <w:t>w</w:t>
      </w:r>
      <w:r w:rsidR="003153D2" w:rsidRPr="00085247">
        <w:t xml:space="preserve">arning </w:t>
      </w:r>
      <w:r w:rsidRPr="00085247">
        <w:t xml:space="preserve">notice’ </w:t>
      </w:r>
      <w:r w:rsidR="00D449C6">
        <w:t>on</w:t>
      </w:r>
      <w:r w:rsidR="00D449C6" w:rsidRPr="00085247">
        <w:t xml:space="preserve"> each vehicle support stand </w:t>
      </w:r>
      <w:r w:rsidR="00D449C6">
        <w:t>with</w:t>
      </w:r>
      <w:r w:rsidR="00D449C6" w:rsidRPr="00085247">
        <w:t xml:space="preserve"> </w:t>
      </w:r>
      <w:r w:rsidR="00D449C6">
        <w:t>its</w:t>
      </w:r>
      <w:r w:rsidR="00D449C6" w:rsidRPr="00085247">
        <w:t xml:space="preserve"> rated capacity, a minimum set of warning messages about safe use,</w:t>
      </w:r>
      <w:r w:rsidRPr="00085247">
        <w:t xml:space="preserve"> and pictograms may be used. However</w:t>
      </w:r>
      <w:r>
        <w:t>,</w:t>
      </w:r>
      <w:r w:rsidRPr="00085247">
        <w:t xml:space="preserve"> the messages do not </w:t>
      </w:r>
      <w:r w:rsidR="003153D2">
        <w:t>state</w:t>
      </w:r>
      <w:r w:rsidR="003153D2" w:rsidRPr="00085247">
        <w:t xml:space="preserve"> </w:t>
      </w:r>
      <w:r w:rsidRPr="00085247">
        <w:t>that incorrect use may result in injury or death.</w:t>
      </w:r>
    </w:p>
    <w:p w:rsidR="002F1823" w:rsidRPr="00F35D53" w:rsidRDefault="003153D2" w:rsidP="002F1823">
      <w:r>
        <w:rPr>
          <w:rFonts w:asciiTheme="minorHAnsi" w:hAnsiTheme="minorHAnsi" w:cstheme="minorHAnsi"/>
        </w:rPr>
        <w:t>T</w:t>
      </w:r>
      <w:r w:rsidR="002F1823" w:rsidRPr="00C6437A">
        <w:rPr>
          <w:rFonts w:asciiTheme="minorHAnsi" w:hAnsiTheme="minorHAnsi" w:cstheme="minorHAnsi"/>
        </w:rPr>
        <w:t xml:space="preserve">he </w:t>
      </w:r>
      <w:r w:rsidR="002F1823">
        <w:rPr>
          <w:rFonts w:asciiTheme="minorHAnsi" w:hAnsiTheme="minorHAnsi" w:cstheme="minorHAnsi"/>
        </w:rPr>
        <w:t>British</w:t>
      </w:r>
      <w:r w:rsidR="002F1823" w:rsidRPr="00C6437A">
        <w:rPr>
          <w:rFonts w:asciiTheme="minorHAnsi" w:hAnsiTheme="minorHAnsi" w:cstheme="minorHAnsi"/>
        </w:rPr>
        <w:t xml:space="preserve"> standard does not sufficiently describe the serious consequences of product misuse</w:t>
      </w:r>
      <w:r>
        <w:rPr>
          <w:rFonts w:asciiTheme="minorHAnsi" w:hAnsiTheme="minorHAnsi" w:cstheme="minorHAnsi"/>
        </w:rPr>
        <w:t>.</w:t>
      </w:r>
      <w:r w:rsidRPr="00C6437A">
        <w:rPr>
          <w:rFonts w:asciiTheme="minorHAnsi" w:hAnsiTheme="minorHAnsi" w:cstheme="minorHAnsi"/>
        </w:rPr>
        <w:t xml:space="preserve"> </w:t>
      </w:r>
      <w:r>
        <w:rPr>
          <w:rFonts w:asciiTheme="minorHAnsi" w:hAnsiTheme="minorHAnsi" w:cstheme="minorHAnsi"/>
        </w:rPr>
        <w:t>W</w:t>
      </w:r>
      <w:r w:rsidRPr="00C6437A">
        <w:rPr>
          <w:rFonts w:asciiTheme="minorHAnsi" w:hAnsiTheme="minorHAnsi" w:cstheme="minorHAnsi"/>
        </w:rPr>
        <w:t xml:space="preserve">e </w:t>
      </w:r>
      <w:r>
        <w:rPr>
          <w:rFonts w:asciiTheme="minorHAnsi" w:hAnsiTheme="minorHAnsi" w:cstheme="minorHAnsi"/>
        </w:rPr>
        <w:t xml:space="preserve">therefore </w:t>
      </w:r>
      <w:r w:rsidR="002F1823" w:rsidRPr="00C6437A">
        <w:rPr>
          <w:rFonts w:asciiTheme="minorHAnsi" w:hAnsiTheme="minorHAnsi" w:cstheme="minorHAnsi"/>
        </w:rPr>
        <w:t>do not consider the warning requirements in this standard to be adequate for the Australian market.</w:t>
      </w:r>
      <w:r>
        <w:rPr>
          <w:rFonts w:asciiTheme="minorHAnsi" w:hAnsiTheme="minorHAnsi" w:cstheme="minorHAnsi"/>
        </w:rPr>
        <w:t xml:space="preserve"> </w:t>
      </w:r>
      <w:r w:rsidR="00DF107E">
        <w:rPr>
          <w:rFonts w:asciiTheme="minorHAnsi" w:hAnsiTheme="minorHAnsi" w:cstheme="minorHAnsi"/>
        </w:rPr>
        <w:t>However, t</w:t>
      </w:r>
      <w:r w:rsidR="002F1823">
        <w:rPr>
          <w:lang w:val="en"/>
        </w:rPr>
        <w:t xml:space="preserve">he </w:t>
      </w:r>
      <w:r w:rsidR="00DF107E">
        <w:t xml:space="preserve">construction and performance requirements of the </w:t>
      </w:r>
      <w:r w:rsidR="002F1823">
        <w:rPr>
          <w:lang w:val="en"/>
        </w:rPr>
        <w:t xml:space="preserve">British </w:t>
      </w:r>
      <w:r w:rsidR="002F1823" w:rsidRPr="00C90AE7">
        <w:rPr>
          <w:lang w:val="en"/>
        </w:rPr>
        <w:t xml:space="preserve">standard </w:t>
      </w:r>
      <w:r w:rsidR="00DF107E">
        <w:rPr>
          <w:lang w:val="en"/>
        </w:rPr>
        <w:t>are</w:t>
      </w:r>
      <w:r w:rsidR="00DF107E" w:rsidRPr="00C90AE7">
        <w:rPr>
          <w:lang w:val="en"/>
        </w:rPr>
        <w:t xml:space="preserve"> </w:t>
      </w:r>
      <w:r w:rsidR="002F1823" w:rsidRPr="00C90AE7">
        <w:rPr>
          <w:lang w:val="en"/>
        </w:rPr>
        <w:t>suitable to be included in a policy option allowing compliance with trusted international standards</w:t>
      </w:r>
      <w:r w:rsidR="002F1823">
        <w:t>.</w:t>
      </w:r>
    </w:p>
    <w:p w:rsidR="000E3A2E" w:rsidRPr="000E3A2E" w:rsidRDefault="004155AA" w:rsidP="00027496">
      <w:pPr>
        <w:pStyle w:val="Numbered1"/>
        <w:keepNext/>
      </w:pPr>
      <w:bookmarkStart w:id="66" w:name="_Toc460406282"/>
      <w:r>
        <w:t>Detailed p</w:t>
      </w:r>
      <w:r w:rsidR="00EB43F6">
        <w:t>olicy options</w:t>
      </w:r>
      <w:bookmarkEnd w:id="66"/>
    </w:p>
    <w:p w:rsidR="004C4847" w:rsidRPr="004C4847" w:rsidRDefault="00C1036A" w:rsidP="00715A01">
      <w:pPr>
        <w:pStyle w:val="Numbered11"/>
        <w:keepNext/>
        <w:numPr>
          <w:ilvl w:val="0"/>
          <w:numId w:val="0"/>
        </w:numPr>
        <w:rPr>
          <w:lang w:val="en-GB"/>
        </w:rPr>
      </w:pPr>
      <w:bookmarkStart w:id="67" w:name="_Toc460322801"/>
      <w:bookmarkStart w:id="68" w:name="_Toc460406283"/>
      <w:r>
        <w:rPr>
          <w:lang w:val="en-GB"/>
        </w:rPr>
        <w:t>Option 1</w:t>
      </w:r>
      <w:r w:rsidR="005D7A9E" w:rsidRPr="008F5B6D">
        <w:rPr>
          <w:lang w:val="en-GB"/>
        </w:rPr>
        <w:t xml:space="preserve">: </w:t>
      </w:r>
      <w:r w:rsidR="005D7A9E" w:rsidRPr="008F5B6D">
        <w:rPr>
          <w:lang w:val="en-GB"/>
        </w:rPr>
        <w:tab/>
      </w:r>
      <w:r w:rsidR="00153458">
        <w:rPr>
          <w:lang w:val="en-GB"/>
        </w:rPr>
        <w:t xml:space="preserve">Keep the current mandatory </w:t>
      </w:r>
      <w:r w:rsidR="00E96E4C">
        <w:rPr>
          <w:lang w:val="en-GB"/>
        </w:rPr>
        <w:t xml:space="preserve">safety </w:t>
      </w:r>
      <w:r w:rsidR="00153458">
        <w:rPr>
          <w:lang w:val="en-GB"/>
        </w:rPr>
        <w:t>standards (status quo)</w:t>
      </w:r>
      <w:bookmarkEnd w:id="67"/>
      <w:bookmarkEnd w:id="68"/>
    </w:p>
    <w:p w:rsidR="003D559B" w:rsidRDefault="003D559B" w:rsidP="002B22AC">
      <w:pPr>
        <w:pStyle w:val="Numbered111"/>
        <w:numPr>
          <w:ilvl w:val="0"/>
          <w:numId w:val="0"/>
        </w:numPr>
      </w:pPr>
      <w:bookmarkStart w:id="69" w:name="_Toc460322802"/>
      <w:bookmarkStart w:id="70" w:name="_Toc460406284"/>
      <w:r>
        <w:t>Description</w:t>
      </w:r>
      <w:bookmarkEnd w:id="69"/>
      <w:bookmarkEnd w:id="70"/>
    </w:p>
    <w:p w:rsidR="00153458" w:rsidRPr="00A12E84" w:rsidRDefault="00153458" w:rsidP="00153458">
      <w:pPr>
        <w:rPr>
          <w:i/>
        </w:rPr>
      </w:pPr>
      <w:r w:rsidRPr="00C06821">
        <w:t xml:space="preserve">Maintaining the status quo </w:t>
      </w:r>
      <w:r>
        <w:t xml:space="preserve">would </w:t>
      </w:r>
      <w:r w:rsidRPr="00C06821">
        <w:t xml:space="preserve">mean no changes to the mandatory safety </w:t>
      </w:r>
      <w:r>
        <w:t>standards. H</w:t>
      </w:r>
      <w:r w:rsidRPr="00234E2B">
        <w:t xml:space="preserve">ydraulic trolley jacks, vehicle support stands and portable ramps </w:t>
      </w:r>
      <w:r w:rsidR="00560CAA">
        <w:t xml:space="preserve">for vehicles </w:t>
      </w:r>
      <w:r w:rsidRPr="00A76D1F">
        <w:t>w</w:t>
      </w:r>
      <w:r>
        <w:t>ould</w:t>
      </w:r>
      <w:r w:rsidRPr="00A76D1F">
        <w:t xml:space="preserve"> </w:t>
      </w:r>
      <w:r>
        <w:t>remain</w:t>
      </w:r>
      <w:r w:rsidRPr="00A76D1F">
        <w:t xml:space="preserve"> subject to the </w:t>
      </w:r>
      <w:r w:rsidRPr="009F3716">
        <w:t>long</w:t>
      </w:r>
      <w:r>
        <w:t>-</w:t>
      </w:r>
      <w:r w:rsidRPr="009F3716">
        <w:t>standing</w:t>
      </w:r>
      <w:r w:rsidRPr="00A76D1F">
        <w:t xml:space="preserve"> mandatory safety </w:t>
      </w:r>
      <w:r>
        <w:t>requirements</w:t>
      </w:r>
      <w:r w:rsidRPr="00A76D1F">
        <w:t xml:space="preserve"> that currently </w:t>
      </w:r>
      <w:r>
        <w:t>apply.</w:t>
      </w:r>
    </w:p>
    <w:p w:rsidR="003D559B" w:rsidRDefault="003D559B" w:rsidP="002B22AC">
      <w:pPr>
        <w:pStyle w:val="Numbered111"/>
        <w:numPr>
          <w:ilvl w:val="0"/>
          <w:numId w:val="0"/>
        </w:numPr>
      </w:pPr>
      <w:bookmarkStart w:id="71" w:name="_Toc460322803"/>
      <w:bookmarkStart w:id="72" w:name="_Toc460406285"/>
      <w:r>
        <w:t>Benefits</w:t>
      </w:r>
      <w:bookmarkEnd w:id="71"/>
      <w:bookmarkEnd w:id="72"/>
    </w:p>
    <w:p w:rsidR="00153458" w:rsidRDefault="00153458" w:rsidP="00153458">
      <w:r>
        <w:t xml:space="preserve">The penalties associated with breaching the mandatory safety standards </w:t>
      </w:r>
      <w:r w:rsidR="00CC4C34">
        <w:t>would</w:t>
      </w:r>
      <w:r>
        <w:t xml:space="preserve"> continue to apply and provide an incentive to suppliers to supply products in compliance with the requirements of the mandatory safety standards.</w:t>
      </w:r>
    </w:p>
    <w:p w:rsidR="00153458" w:rsidRDefault="00153458" w:rsidP="00153458">
      <w:r>
        <w:t xml:space="preserve">There </w:t>
      </w:r>
      <w:r w:rsidR="00CC4C34">
        <w:t>would</w:t>
      </w:r>
      <w:r>
        <w:t xml:space="preserve"> be no additional compliance and regulatory costs.</w:t>
      </w:r>
    </w:p>
    <w:p w:rsidR="003D559B" w:rsidRDefault="003D559B" w:rsidP="002B22AC">
      <w:pPr>
        <w:pStyle w:val="Numbered111"/>
        <w:numPr>
          <w:ilvl w:val="0"/>
          <w:numId w:val="0"/>
        </w:numPr>
      </w:pPr>
      <w:bookmarkStart w:id="73" w:name="_Toc460322804"/>
      <w:bookmarkStart w:id="74" w:name="_Toc460406286"/>
      <w:r>
        <w:t>Limitations</w:t>
      </w:r>
      <w:bookmarkEnd w:id="73"/>
      <w:bookmarkEnd w:id="74"/>
    </w:p>
    <w:p w:rsidR="00AA1412" w:rsidRDefault="00AA1412" w:rsidP="00AA1412">
      <w:r>
        <w:t>The mandatory safety standards do not recognise the updates to the voluntary Australian standards that have improved consumer warnings. Suppliers are limited to complying with the outdated standards.</w:t>
      </w:r>
    </w:p>
    <w:p w:rsidR="00AA1412" w:rsidRDefault="00AA1412" w:rsidP="00AA1412">
      <w:r w:rsidRPr="001C0938">
        <w:t xml:space="preserve">The ACCC review of other </w:t>
      </w:r>
      <w:r>
        <w:t>voluntary</w:t>
      </w:r>
      <w:r w:rsidRPr="001C0938">
        <w:t xml:space="preserve"> standards – </w:t>
      </w:r>
      <w:r w:rsidR="00835724">
        <w:t>the updated Australian s</w:t>
      </w:r>
      <w:r>
        <w:t xml:space="preserve">tandards and the previously mentioned international standards – </w:t>
      </w:r>
      <w:r w:rsidRPr="001C0938">
        <w:t xml:space="preserve">suggests that these standards specify similar, and in some cases superior, safety requirements in comparison to the </w:t>
      </w:r>
      <w:r>
        <w:t xml:space="preserve">superseded </w:t>
      </w:r>
      <w:r w:rsidRPr="001C0938">
        <w:t>voluntary Australian standard</w:t>
      </w:r>
      <w:r>
        <w:t>s</w:t>
      </w:r>
      <w:r w:rsidRPr="001C0938">
        <w:t xml:space="preserve">. To continue to base regulations solely on the </w:t>
      </w:r>
      <w:r>
        <w:t xml:space="preserve">superseded </w:t>
      </w:r>
      <w:r w:rsidRPr="001C0938">
        <w:t>voluntary Australian standard</w:t>
      </w:r>
      <w:r>
        <w:t>s</w:t>
      </w:r>
      <w:r w:rsidRPr="001C0938">
        <w:t xml:space="preserve"> imposes additional regulatory burden on </w:t>
      </w:r>
      <w:r>
        <w:t>suppliers</w:t>
      </w:r>
      <w:r w:rsidRPr="001C0938">
        <w:t xml:space="preserve"> where there does not appear to be good reason to do so.</w:t>
      </w:r>
    </w:p>
    <w:p w:rsidR="00CC4C34" w:rsidRDefault="00CC4C34">
      <w:pPr>
        <w:rPr>
          <w:rFonts w:eastAsiaTheme="majorEastAsia" w:cs="Arial"/>
          <w:b/>
          <w:bCs/>
          <w:color w:val="51626F"/>
          <w:sz w:val="28"/>
          <w:szCs w:val="26"/>
          <w:lang w:val="en-GB"/>
        </w:rPr>
      </w:pPr>
      <w:bookmarkStart w:id="75" w:name="_Toc460322805"/>
      <w:bookmarkStart w:id="76" w:name="_Toc460406287"/>
      <w:r>
        <w:rPr>
          <w:lang w:val="en-GB"/>
        </w:rPr>
        <w:br w:type="page"/>
      </w:r>
    </w:p>
    <w:p w:rsidR="00C5092C" w:rsidRPr="008F5B6D" w:rsidRDefault="000534A4" w:rsidP="009C4E70">
      <w:pPr>
        <w:pStyle w:val="Numbered11"/>
        <w:keepNext/>
        <w:numPr>
          <w:ilvl w:val="0"/>
          <w:numId w:val="0"/>
        </w:numPr>
        <w:rPr>
          <w:lang w:val="en-GB"/>
        </w:rPr>
      </w:pPr>
      <w:r>
        <w:rPr>
          <w:lang w:val="en-GB"/>
        </w:rPr>
        <w:lastRenderedPageBreak/>
        <w:t>Option 2</w:t>
      </w:r>
      <w:r w:rsidR="00C5092C" w:rsidRPr="008F5B6D">
        <w:rPr>
          <w:lang w:val="en-GB"/>
        </w:rPr>
        <w:t xml:space="preserve">: </w:t>
      </w:r>
      <w:r w:rsidR="00C5092C" w:rsidRPr="008F5B6D">
        <w:rPr>
          <w:lang w:val="en-GB"/>
        </w:rPr>
        <w:tab/>
      </w:r>
      <w:r w:rsidR="00A7752F">
        <w:rPr>
          <w:lang w:val="en-GB"/>
        </w:rPr>
        <w:t>A</w:t>
      </w:r>
      <w:r w:rsidR="00BC29F0">
        <w:rPr>
          <w:lang w:val="en-GB"/>
        </w:rPr>
        <w:t xml:space="preserve">ccept the superseded and current </w:t>
      </w:r>
      <w:r w:rsidR="004C4847">
        <w:rPr>
          <w:lang w:val="en-GB"/>
        </w:rPr>
        <w:t>Australian standard</w:t>
      </w:r>
      <w:r w:rsidR="00BC6072">
        <w:rPr>
          <w:lang w:val="en-GB"/>
        </w:rPr>
        <w:t>s</w:t>
      </w:r>
      <w:bookmarkEnd w:id="75"/>
      <w:bookmarkEnd w:id="76"/>
    </w:p>
    <w:p w:rsidR="00A6329F" w:rsidRDefault="00A6329F" w:rsidP="002B22AC">
      <w:pPr>
        <w:pStyle w:val="Numbered111"/>
        <w:numPr>
          <w:ilvl w:val="0"/>
          <w:numId w:val="0"/>
        </w:numPr>
      </w:pPr>
      <w:bookmarkStart w:id="77" w:name="_Toc460322806"/>
      <w:bookmarkStart w:id="78" w:name="_Toc460406288"/>
      <w:r>
        <w:t>Description</w:t>
      </w:r>
      <w:bookmarkEnd w:id="77"/>
      <w:bookmarkEnd w:id="78"/>
    </w:p>
    <w:p w:rsidR="00422245" w:rsidRDefault="00A6329F" w:rsidP="00BC29F0">
      <w:r>
        <w:t>The m</w:t>
      </w:r>
      <w:r w:rsidRPr="00AB56E1">
        <w:t xml:space="preserve">andatory safety standards </w:t>
      </w:r>
      <w:r>
        <w:t>would</w:t>
      </w:r>
      <w:r w:rsidRPr="00AB56E1">
        <w:t xml:space="preserve"> </w:t>
      </w:r>
      <w:r>
        <w:t>accept either</w:t>
      </w:r>
      <w:r w:rsidRPr="00AB56E1">
        <w:t xml:space="preserve"> </w:t>
      </w:r>
      <w:r>
        <w:t xml:space="preserve">the recently superseded or the updated </w:t>
      </w:r>
      <w:r w:rsidRPr="00AB56E1">
        <w:t>voluntary Australian standards.</w:t>
      </w:r>
      <w:r>
        <w:t xml:space="preserve"> </w:t>
      </w:r>
      <w:r w:rsidR="00422245">
        <w:t xml:space="preserve">To ensure a smooth transition to the new standards, suppliers would </w:t>
      </w:r>
      <w:r w:rsidR="007D629A">
        <w:t>have</w:t>
      </w:r>
      <w:r w:rsidR="00422245">
        <w:t xml:space="preserve"> two years, during which products complying with the </w:t>
      </w:r>
      <w:r w:rsidR="00F44137">
        <w:t>old mandatory safety</w:t>
      </w:r>
      <w:r w:rsidR="00422245">
        <w:t xml:space="preserve"> standards could continue to be sold, </w:t>
      </w:r>
      <w:r w:rsidR="007E14B0">
        <w:t>while</w:t>
      </w:r>
      <w:r w:rsidR="00422245">
        <w:t xml:space="preserve"> preparing to comply with the new standards. Suppliers would also be given the option of complying with the new standards immediately.</w:t>
      </w:r>
    </w:p>
    <w:p w:rsidR="00A6329F" w:rsidRDefault="00A6329F" w:rsidP="00684392">
      <w:pPr>
        <w:pStyle w:val="Numbered111"/>
        <w:keepNext/>
        <w:numPr>
          <w:ilvl w:val="0"/>
          <w:numId w:val="0"/>
        </w:numPr>
      </w:pPr>
      <w:bookmarkStart w:id="79" w:name="_Toc460322807"/>
      <w:bookmarkStart w:id="80" w:name="_Toc460406289"/>
      <w:r>
        <w:t>Benefits</w:t>
      </w:r>
      <w:bookmarkEnd w:id="79"/>
      <w:bookmarkEnd w:id="80"/>
    </w:p>
    <w:p w:rsidR="00A6329F" w:rsidRDefault="00A6329F" w:rsidP="00684392">
      <w:pPr>
        <w:keepNext/>
      </w:pPr>
      <w:r>
        <w:t>This option would not introduce any new regulatory requirements but would recognise multiple ways for suppliers to comply with the basic safety requirements: safety warning labels and weight bearing performance requirements. Suppliers would find it easier to comply with mandatory safety standards that referenced the current voluntary Australian standards.</w:t>
      </w:r>
    </w:p>
    <w:p w:rsidR="00A6329F" w:rsidRDefault="00A6329F" w:rsidP="002B22AC">
      <w:pPr>
        <w:pStyle w:val="Numbered111"/>
        <w:numPr>
          <w:ilvl w:val="0"/>
          <w:numId w:val="0"/>
        </w:numPr>
      </w:pPr>
      <w:bookmarkStart w:id="81" w:name="_Toc460322808"/>
      <w:bookmarkStart w:id="82" w:name="_Toc460406290"/>
      <w:r>
        <w:t>Limitations</w:t>
      </w:r>
      <w:bookmarkEnd w:id="81"/>
      <w:bookmarkEnd w:id="82"/>
    </w:p>
    <w:p w:rsidR="00A6329F" w:rsidRDefault="00DE787C" w:rsidP="00A6329F">
      <w:pPr>
        <w:rPr>
          <w:lang w:val="en-GB"/>
        </w:rPr>
      </w:pPr>
      <w:r>
        <w:t>Only</w:t>
      </w:r>
      <w:r w:rsidR="00A6329F">
        <w:t xml:space="preserve"> accepting Australian standards in a global marketplace is at odds with fostering competition among suppliers and increasing product choice for consumers.</w:t>
      </w:r>
    </w:p>
    <w:p w:rsidR="00A6329F" w:rsidRDefault="001C0938" w:rsidP="00BC29F0">
      <w:r w:rsidRPr="001C0938">
        <w:t xml:space="preserve">The ACCC review of </w:t>
      </w:r>
      <w:r>
        <w:t>trusted international</w:t>
      </w:r>
      <w:r w:rsidRPr="001C0938">
        <w:t xml:space="preserve"> standards suggests that these standards</w:t>
      </w:r>
      <w:r>
        <w:t xml:space="preserve"> – especially the US standard –</w:t>
      </w:r>
      <w:r w:rsidRPr="001C0938">
        <w:t xml:space="preserve"> specify similar, and in some cases superior, safety requirements in comparison to the voluntary Australian standard</w:t>
      </w:r>
      <w:r>
        <w:t>s</w:t>
      </w:r>
      <w:r w:rsidRPr="001C0938">
        <w:t>. To continue to base regulations solely on the voluntary Australian standard</w:t>
      </w:r>
      <w:r>
        <w:t>s</w:t>
      </w:r>
      <w:r w:rsidRPr="001C0938">
        <w:t xml:space="preserve"> imposes additional regulatory burden on importers where there does not appear to be good reason to do so.</w:t>
      </w:r>
    </w:p>
    <w:p w:rsidR="004C4847" w:rsidRPr="008F5B6D" w:rsidRDefault="004C4847" w:rsidP="004C4847">
      <w:pPr>
        <w:pStyle w:val="Numbered11"/>
        <w:numPr>
          <w:ilvl w:val="0"/>
          <w:numId w:val="0"/>
        </w:numPr>
        <w:rPr>
          <w:lang w:val="en-GB"/>
        </w:rPr>
      </w:pPr>
      <w:bookmarkStart w:id="83" w:name="_Toc460322809"/>
      <w:bookmarkStart w:id="84" w:name="_Toc460406291"/>
      <w:r w:rsidRPr="008F5B6D">
        <w:rPr>
          <w:lang w:val="en-GB"/>
        </w:rPr>
        <w:t>Option</w:t>
      </w:r>
      <w:r w:rsidR="000534A4">
        <w:rPr>
          <w:lang w:val="en-GB"/>
        </w:rPr>
        <w:t xml:space="preserve"> 3</w:t>
      </w:r>
      <w:r w:rsidRPr="008F5B6D">
        <w:rPr>
          <w:lang w:val="en-GB"/>
        </w:rPr>
        <w:t xml:space="preserve">: </w:t>
      </w:r>
      <w:r w:rsidRPr="008F5B6D">
        <w:rPr>
          <w:lang w:val="en-GB"/>
        </w:rPr>
        <w:tab/>
      </w:r>
      <w:r w:rsidR="00DA3853">
        <w:rPr>
          <w:lang w:val="en-GB"/>
        </w:rPr>
        <w:t>A</w:t>
      </w:r>
      <w:r w:rsidR="00AF6FCA" w:rsidRPr="00AF6FCA">
        <w:rPr>
          <w:lang w:val="en-GB"/>
        </w:rPr>
        <w:t>ccept multiple trusted standards</w:t>
      </w:r>
      <w:bookmarkEnd w:id="83"/>
      <w:r w:rsidR="00E96E4C">
        <w:rPr>
          <w:lang w:val="en-GB"/>
        </w:rPr>
        <w:t xml:space="preserve"> </w:t>
      </w:r>
      <w:r w:rsidR="00E96E4C" w:rsidRPr="00CC4C34">
        <w:rPr>
          <w:lang w:val="en-GB"/>
        </w:rPr>
        <w:t>(preferred option)</w:t>
      </w:r>
      <w:bookmarkEnd w:id="84"/>
    </w:p>
    <w:p w:rsidR="002B708C" w:rsidRDefault="002B708C" w:rsidP="002B22AC">
      <w:pPr>
        <w:pStyle w:val="Numbered111"/>
        <w:numPr>
          <w:ilvl w:val="0"/>
          <w:numId w:val="0"/>
        </w:numPr>
      </w:pPr>
      <w:bookmarkStart w:id="85" w:name="_Toc460322810"/>
      <w:bookmarkStart w:id="86" w:name="_Toc460406292"/>
      <w:r w:rsidRPr="00DA5F79">
        <w:t>Description</w:t>
      </w:r>
      <w:bookmarkEnd w:id="85"/>
      <w:bookmarkEnd w:id="86"/>
    </w:p>
    <w:p w:rsidR="002B708C" w:rsidRDefault="002B708C" w:rsidP="002B708C">
      <w:r>
        <w:t xml:space="preserve">This would build on Option </w:t>
      </w:r>
      <w:r w:rsidR="00DE787C">
        <w:t>2</w:t>
      </w:r>
      <w:r>
        <w:t>, in that it would not introduce any new regulatory requirements and would recognise multiple ways for suppliers to comply with the basic safety requirements: safety warning labels and weight bearing performance requirements.</w:t>
      </w:r>
    </w:p>
    <w:p w:rsidR="00422245" w:rsidRDefault="00422245" w:rsidP="002B708C">
      <w:r>
        <w:t xml:space="preserve">As with Option </w:t>
      </w:r>
      <w:r w:rsidR="00411751">
        <w:t>2</w:t>
      </w:r>
      <w:r>
        <w:t xml:space="preserve">, suppliers would </w:t>
      </w:r>
      <w:r w:rsidR="007D629A">
        <w:t>have</w:t>
      </w:r>
      <w:r>
        <w:t xml:space="preserve"> two years, during which products complying with the old </w:t>
      </w:r>
      <w:r w:rsidR="00F44137">
        <w:t xml:space="preserve">mandatory safety </w:t>
      </w:r>
      <w:r>
        <w:t>standards could continue to be sold, whil</w:t>
      </w:r>
      <w:r w:rsidR="00E9468A">
        <w:t>e</w:t>
      </w:r>
      <w:r>
        <w:t xml:space="preserve"> preparing to comply with the new standards. Suppliers would also be given the option of complying with the new standards immediately.</w:t>
      </w:r>
    </w:p>
    <w:p w:rsidR="002B708C" w:rsidRDefault="002B708C" w:rsidP="002B708C">
      <w:r w:rsidRPr="00951DB3">
        <w:t xml:space="preserve">This </w:t>
      </w:r>
      <w:r>
        <w:t>option</w:t>
      </w:r>
      <w:r w:rsidRPr="00951DB3">
        <w:t xml:space="preserve"> would allow </w:t>
      </w:r>
      <w:r>
        <w:t>the su</w:t>
      </w:r>
      <w:r w:rsidR="00112516">
        <w:t>pply of products that meet the:</w:t>
      </w:r>
    </w:p>
    <w:p w:rsidR="00F0307C" w:rsidRDefault="002B708C" w:rsidP="00F0307C">
      <w:pPr>
        <w:pStyle w:val="Bulletpoint"/>
      </w:pPr>
      <w:r w:rsidRPr="00A9017B">
        <w:rPr>
          <w:u w:val="single"/>
        </w:rPr>
        <w:t>performance requirements</w:t>
      </w:r>
      <w:r>
        <w:t xml:space="preserve"> of either the superseded </w:t>
      </w:r>
      <w:r w:rsidR="003C0954">
        <w:t>or the updated</w:t>
      </w:r>
      <w:r>
        <w:t xml:space="preserve"> Australian standards, the US standard </w:t>
      </w:r>
      <w:r w:rsidRPr="00951DB3">
        <w:t>ASME PASE:</w:t>
      </w:r>
      <w:r>
        <w:t xml:space="preserve"> </w:t>
      </w:r>
      <w:r w:rsidRPr="00951DB3">
        <w:t>2014</w:t>
      </w:r>
      <w:r>
        <w:t>, the European standard EN </w:t>
      </w:r>
      <w:r w:rsidRPr="00275583">
        <w:t>1494</w:t>
      </w:r>
      <w:r>
        <w:t>:</w:t>
      </w:r>
      <w:r w:rsidRPr="00275583">
        <w:t>2000</w:t>
      </w:r>
      <w:r>
        <w:t xml:space="preserve"> or the British standard </w:t>
      </w:r>
      <w:r w:rsidRPr="004176A0">
        <w:t>BS AU 223a</w:t>
      </w:r>
      <w:r>
        <w:t>:</w:t>
      </w:r>
      <w:r w:rsidRPr="004176A0">
        <w:t>2006</w:t>
      </w:r>
      <w:r w:rsidR="00DF7F09">
        <w:t>.</w:t>
      </w:r>
      <w:r w:rsidR="00F0307C">
        <w:t xml:space="preserve"> </w:t>
      </w:r>
      <w:r w:rsidR="00DF7F09">
        <w:t>H</w:t>
      </w:r>
      <w:r w:rsidR="00F0307C">
        <w:t xml:space="preserve">owever, all vehicle support stands and portable ramps for vehicles must have a nominated capacity of </w:t>
      </w:r>
      <w:r w:rsidR="00F44137">
        <w:t>at least</w:t>
      </w:r>
      <w:r w:rsidR="00F0307C">
        <w:t xml:space="preserve"> 750</w:t>
      </w:r>
      <w:r w:rsidR="003C0954">
        <w:t xml:space="preserve"> </w:t>
      </w:r>
      <w:r w:rsidR="00F0307C">
        <w:t>kg.</w:t>
      </w:r>
    </w:p>
    <w:p w:rsidR="002B708C" w:rsidRPr="000A007E" w:rsidRDefault="00310F43" w:rsidP="002F0EA9">
      <w:pPr>
        <w:pStyle w:val="Bulletpoint"/>
      </w:pPr>
      <w:r w:rsidRPr="000A007E">
        <w:rPr>
          <w:u w:val="single"/>
        </w:rPr>
        <w:t>principles</w:t>
      </w:r>
      <w:r w:rsidR="00AD6C99">
        <w:rPr>
          <w:u w:val="single"/>
        </w:rPr>
        <w:t>-</w:t>
      </w:r>
      <w:r w:rsidRPr="000A007E">
        <w:rPr>
          <w:u w:val="single"/>
        </w:rPr>
        <w:t xml:space="preserve">based requirements for warnings and information. </w:t>
      </w:r>
      <w:r w:rsidR="00955C5B" w:rsidRPr="007D629A">
        <w:t xml:space="preserve">The </w:t>
      </w:r>
      <w:r w:rsidR="00955C5B">
        <w:t xml:space="preserve">mandatory safety </w:t>
      </w:r>
      <w:r w:rsidR="00955C5B" w:rsidRPr="007D629A">
        <w:t xml:space="preserve">standards would specify </w:t>
      </w:r>
      <w:r w:rsidR="00955C5B" w:rsidRPr="000A007E">
        <w:t xml:space="preserve">principles </w:t>
      </w:r>
      <w:r w:rsidR="00955C5B">
        <w:t>(</w:t>
      </w:r>
      <w:r w:rsidR="00955C5B" w:rsidRPr="007D629A">
        <w:t xml:space="preserve">outlined in </w:t>
      </w:r>
      <w:r w:rsidR="00B5183F">
        <w:t>Appendix</w:t>
      </w:r>
      <w:r w:rsidR="00955C5B" w:rsidRPr="007D629A">
        <w:t xml:space="preserve"> B)</w:t>
      </w:r>
      <w:r w:rsidR="00955C5B" w:rsidRPr="00AD6C99" w:rsidDel="00955C5B">
        <w:t xml:space="preserve"> </w:t>
      </w:r>
      <w:r w:rsidRPr="00AD6C99">
        <w:t xml:space="preserve">and suppliers would </w:t>
      </w:r>
      <w:r w:rsidR="00955C5B">
        <w:t>draft</w:t>
      </w:r>
      <w:r w:rsidRPr="000A007E">
        <w:t xml:space="preserve"> warnings and information </w:t>
      </w:r>
      <w:r w:rsidR="00955C5B">
        <w:t>that satisfied those principles</w:t>
      </w:r>
      <w:r w:rsidRPr="000A007E">
        <w:t xml:space="preserve">. </w:t>
      </w:r>
      <w:r w:rsidR="00955C5B">
        <w:t>T</w:t>
      </w:r>
      <w:r w:rsidRPr="000A007E">
        <w:t xml:space="preserve">he marking requirements </w:t>
      </w:r>
      <w:r w:rsidR="003C0954" w:rsidRPr="000A007E">
        <w:t>prescri</w:t>
      </w:r>
      <w:r w:rsidR="003C0954">
        <w:t>b</w:t>
      </w:r>
      <w:r w:rsidR="003C0954" w:rsidRPr="000A007E">
        <w:t>e</w:t>
      </w:r>
      <w:r w:rsidR="003C0954">
        <w:t>d in</w:t>
      </w:r>
      <w:r w:rsidR="003C0954" w:rsidRPr="000A007E">
        <w:t xml:space="preserve"> </w:t>
      </w:r>
      <w:r w:rsidRPr="000A007E">
        <w:t xml:space="preserve">the </w:t>
      </w:r>
      <w:r w:rsidR="00955C5B">
        <w:t xml:space="preserve">new </w:t>
      </w:r>
      <w:r w:rsidRPr="000A007E">
        <w:t>voluntary Australian standard</w:t>
      </w:r>
      <w:r w:rsidR="00955C5B">
        <w:t>s</w:t>
      </w:r>
      <w:r w:rsidRPr="000A007E">
        <w:t xml:space="preserve"> would </w:t>
      </w:r>
      <w:r w:rsidR="00955C5B">
        <w:t>be one way to satisfy the principles</w:t>
      </w:r>
      <w:r w:rsidRPr="000A007E">
        <w:t>.</w:t>
      </w:r>
    </w:p>
    <w:p w:rsidR="002B708C" w:rsidRDefault="002B708C" w:rsidP="002B708C">
      <w:pPr>
        <w:spacing w:after="120"/>
      </w:pPr>
      <w:r>
        <w:lastRenderedPageBreak/>
        <w:t xml:space="preserve">The following table outlines how products could comply under this option: </w:t>
      </w:r>
    </w:p>
    <w:tbl>
      <w:tblPr>
        <w:tblStyle w:val="LightShading"/>
        <w:tblW w:w="9322" w:type="dxa"/>
        <w:tblLook w:val="04A0" w:firstRow="1" w:lastRow="0" w:firstColumn="1" w:lastColumn="0" w:noHBand="0" w:noVBand="1"/>
      </w:tblPr>
      <w:tblGrid>
        <w:gridCol w:w="1668"/>
        <w:gridCol w:w="4110"/>
        <w:gridCol w:w="3544"/>
      </w:tblGrid>
      <w:tr w:rsidR="002B708C" w:rsidRPr="003D5B35" w:rsidTr="00F44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B708C" w:rsidRPr="003D5B35" w:rsidRDefault="002B708C" w:rsidP="002F0EA9">
            <w:pPr>
              <w:rPr>
                <w:sz w:val="22"/>
              </w:rPr>
            </w:pPr>
            <w:r w:rsidRPr="003D5B35">
              <w:rPr>
                <w:sz w:val="22"/>
              </w:rPr>
              <w:t>Product</w:t>
            </w:r>
            <w:r>
              <w:rPr>
                <w:sz w:val="22"/>
              </w:rPr>
              <w:t>s</w:t>
            </w:r>
            <w:r w:rsidRPr="003D5B35">
              <w:rPr>
                <w:sz w:val="22"/>
              </w:rPr>
              <w:t xml:space="preserve"> </w:t>
            </w:r>
          </w:p>
        </w:tc>
        <w:tc>
          <w:tcPr>
            <w:tcW w:w="4110" w:type="dxa"/>
          </w:tcPr>
          <w:p w:rsidR="002B708C" w:rsidRPr="003D5B35" w:rsidRDefault="002B708C" w:rsidP="002F0EA9">
            <w:pPr>
              <w:cnfStyle w:val="100000000000" w:firstRow="1" w:lastRow="0" w:firstColumn="0" w:lastColumn="0" w:oddVBand="0" w:evenVBand="0" w:oddHBand="0" w:evenHBand="0" w:firstRowFirstColumn="0" w:firstRowLastColumn="0" w:lastRowFirstColumn="0" w:lastRowLastColumn="0"/>
              <w:rPr>
                <w:sz w:val="22"/>
              </w:rPr>
            </w:pPr>
            <w:r>
              <w:rPr>
                <w:sz w:val="22"/>
              </w:rPr>
              <w:t>P</w:t>
            </w:r>
            <w:r w:rsidRPr="003D5B35">
              <w:rPr>
                <w:sz w:val="22"/>
              </w:rPr>
              <w:t>erformance requirements</w:t>
            </w:r>
          </w:p>
        </w:tc>
        <w:tc>
          <w:tcPr>
            <w:tcW w:w="3544" w:type="dxa"/>
          </w:tcPr>
          <w:p w:rsidR="002B708C" w:rsidRPr="003D5B35" w:rsidRDefault="002B708C" w:rsidP="002F0EA9">
            <w:pPr>
              <w:cnfStyle w:val="100000000000" w:firstRow="1" w:lastRow="0" w:firstColumn="0" w:lastColumn="0" w:oddVBand="0" w:evenVBand="0" w:oddHBand="0" w:evenHBand="0" w:firstRowFirstColumn="0" w:firstRowLastColumn="0" w:lastRowFirstColumn="0" w:lastRowLastColumn="0"/>
              <w:rPr>
                <w:sz w:val="22"/>
              </w:rPr>
            </w:pPr>
            <w:r>
              <w:rPr>
                <w:sz w:val="22"/>
              </w:rPr>
              <w:t>W</w:t>
            </w:r>
            <w:r w:rsidRPr="003D5B35">
              <w:rPr>
                <w:sz w:val="22"/>
              </w:rPr>
              <w:t>arning requirements</w:t>
            </w:r>
            <w:r>
              <w:rPr>
                <w:sz w:val="22"/>
              </w:rPr>
              <w:t xml:space="preserve"> </w:t>
            </w:r>
          </w:p>
        </w:tc>
      </w:tr>
      <w:tr w:rsidR="002B708C" w:rsidTr="00F44137">
        <w:tc>
          <w:tcPr>
            <w:cnfStyle w:val="001000000000" w:firstRow="0" w:lastRow="0" w:firstColumn="1" w:lastColumn="0" w:oddVBand="0" w:evenVBand="0" w:oddHBand="0" w:evenHBand="0" w:firstRowFirstColumn="0" w:firstRowLastColumn="0" w:lastRowFirstColumn="0" w:lastRowLastColumn="0"/>
            <w:tcW w:w="1668" w:type="dxa"/>
          </w:tcPr>
          <w:p w:rsidR="002B708C" w:rsidRPr="003D5B35" w:rsidRDefault="002B708C" w:rsidP="002F0EA9">
            <w:r>
              <w:t>H</w:t>
            </w:r>
            <w:r w:rsidRPr="004A1EBF">
              <w:t>ydraulic trolley jacks</w:t>
            </w:r>
          </w:p>
        </w:tc>
        <w:tc>
          <w:tcPr>
            <w:tcW w:w="4110" w:type="dxa"/>
          </w:tcPr>
          <w:p w:rsidR="002B708C" w:rsidRDefault="002B708C" w:rsidP="002F0EA9">
            <w:pPr>
              <w:cnfStyle w:val="000000000000" w:firstRow="0" w:lastRow="0" w:firstColumn="0" w:lastColumn="0" w:oddVBand="0" w:evenVBand="0" w:oddHBand="0" w:evenHBand="0" w:firstRowFirstColumn="0" w:firstRowLastColumn="0" w:lastRowFirstColumn="0" w:lastRowLastColumn="0"/>
            </w:pPr>
            <w:r>
              <w:sym w:font="Wingdings" w:char="F0FC"/>
            </w:r>
            <w:r>
              <w:t xml:space="preserve"> Updated Australian standard</w:t>
            </w:r>
          </w:p>
          <w:p w:rsidR="002B708C" w:rsidRDefault="002B708C" w:rsidP="002F0EA9">
            <w:pPr>
              <w:cnfStyle w:val="000000000000" w:firstRow="0" w:lastRow="0" w:firstColumn="0" w:lastColumn="0" w:oddVBand="0" w:evenVBand="0" w:oddHBand="0" w:evenHBand="0" w:firstRowFirstColumn="0" w:firstRowLastColumn="0" w:lastRowFirstColumn="0" w:lastRowLastColumn="0"/>
            </w:pPr>
            <w:r>
              <w:sym w:font="Wingdings" w:char="F0FC"/>
            </w:r>
            <w:r>
              <w:t xml:space="preserve"> </w:t>
            </w:r>
            <w:r w:rsidRPr="003D5B35">
              <w:t>Superseded Australian standard</w:t>
            </w:r>
            <w:r w:rsidR="00501D3B">
              <w:t>*</w:t>
            </w:r>
          </w:p>
          <w:p w:rsidR="002B708C" w:rsidRDefault="002B708C" w:rsidP="002F0EA9">
            <w:pPr>
              <w:cnfStyle w:val="000000000000" w:firstRow="0" w:lastRow="0" w:firstColumn="0" w:lastColumn="0" w:oddVBand="0" w:evenVBand="0" w:oddHBand="0" w:evenHBand="0" w:firstRowFirstColumn="0" w:firstRowLastColumn="0" w:lastRowFirstColumn="0" w:lastRowLastColumn="0"/>
            </w:pPr>
            <w:r>
              <w:sym w:font="Wingdings" w:char="F0FC"/>
            </w:r>
            <w:r>
              <w:t xml:space="preserve"> </w:t>
            </w:r>
            <w:r w:rsidRPr="003A6B5E">
              <w:t>US standard</w:t>
            </w:r>
          </w:p>
          <w:p w:rsidR="002B708C" w:rsidRDefault="002B708C" w:rsidP="002F0EA9">
            <w:pPr>
              <w:cnfStyle w:val="000000000000" w:firstRow="0" w:lastRow="0" w:firstColumn="0" w:lastColumn="0" w:oddVBand="0" w:evenVBand="0" w:oddHBand="0" w:evenHBand="0" w:firstRowFirstColumn="0" w:firstRowLastColumn="0" w:lastRowFirstColumn="0" w:lastRowLastColumn="0"/>
            </w:pPr>
            <w:r>
              <w:sym w:font="Wingdings" w:char="F0FC"/>
            </w:r>
            <w:r>
              <w:t xml:space="preserve"> European standard</w:t>
            </w:r>
          </w:p>
        </w:tc>
        <w:tc>
          <w:tcPr>
            <w:tcW w:w="3544" w:type="dxa"/>
            <w:vMerge w:val="restart"/>
          </w:tcPr>
          <w:p w:rsidR="00AD6C99" w:rsidRDefault="002B708C" w:rsidP="002F0EA9">
            <w:pPr>
              <w:cnfStyle w:val="000000000000" w:firstRow="0" w:lastRow="0" w:firstColumn="0" w:lastColumn="0" w:oddVBand="0" w:evenVBand="0" w:oddHBand="0" w:evenHBand="0" w:firstRowFirstColumn="0" w:firstRowLastColumn="0" w:lastRowFirstColumn="0" w:lastRowLastColumn="0"/>
            </w:pPr>
            <w:r w:rsidRPr="000A007E">
              <w:sym w:font="Wingdings" w:char="F0FC"/>
            </w:r>
            <w:r w:rsidRPr="000A007E">
              <w:t xml:space="preserve"> </w:t>
            </w:r>
            <w:r w:rsidR="00DA5F79" w:rsidRPr="000A007E">
              <w:t xml:space="preserve">The principles-based approach to warnings and information outlined in </w:t>
            </w:r>
            <w:r w:rsidR="00B5183F">
              <w:t>Appendix</w:t>
            </w:r>
            <w:r w:rsidR="00DA5F79" w:rsidRPr="000A007E">
              <w:t xml:space="preserve"> B</w:t>
            </w:r>
            <w:r w:rsidR="00AD6C99">
              <w:t xml:space="preserve">, including: </w:t>
            </w:r>
          </w:p>
          <w:p w:rsidR="00AD6C99" w:rsidRDefault="00AD6C99" w:rsidP="00AD6C99">
            <w:pPr>
              <w:pStyle w:val="Bulletpoint"/>
              <w:tabs>
                <w:tab w:val="clear" w:pos="340"/>
                <w:tab w:val="left" w:pos="317"/>
              </w:tabs>
              <w:ind w:left="317" w:hanging="185"/>
              <w:cnfStyle w:val="000000000000" w:firstRow="0" w:lastRow="0" w:firstColumn="0" w:lastColumn="0" w:oddVBand="0" w:evenVBand="0" w:oddHBand="0" w:evenHBand="0" w:firstRowFirstColumn="0" w:firstRowLastColumn="0" w:lastRowFirstColumn="0" w:lastRowLastColumn="0"/>
            </w:pPr>
            <w:r>
              <w:t>warnings stating that incorrect use may result in death or serious injury</w:t>
            </w:r>
          </w:p>
          <w:p w:rsidR="00AD6C99" w:rsidRDefault="00AD6C99" w:rsidP="00AD6C99">
            <w:pPr>
              <w:pStyle w:val="Bulletpoint"/>
              <w:tabs>
                <w:tab w:val="clear" w:pos="340"/>
                <w:tab w:val="left" w:pos="317"/>
              </w:tabs>
              <w:ind w:left="317" w:hanging="185"/>
              <w:cnfStyle w:val="000000000000" w:firstRow="0" w:lastRow="0" w:firstColumn="0" w:lastColumn="0" w:oddVBand="0" w:evenVBand="0" w:oddHBand="0" w:evenHBand="0" w:firstRowFirstColumn="0" w:firstRowLastColumn="0" w:lastRowFirstColumn="0" w:lastRowLastColumn="0"/>
            </w:pPr>
            <w:r>
              <w:t xml:space="preserve">option to include pictograms </w:t>
            </w:r>
          </w:p>
          <w:p w:rsidR="00AD6C99" w:rsidRDefault="00AD6C99" w:rsidP="00AD6C99">
            <w:pPr>
              <w:pStyle w:val="Bulletpoint"/>
              <w:tabs>
                <w:tab w:val="clear" w:pos="340"/>
                <w:tab w:val="left" w:pos="317"/>
              </w:tabs>
              <w:ind w:left="317" w:hanging="185"/>
              <w:cnfStyle w:val="000000000000" w:firstRow="0" w:lastRow="0" w:firstColumn="0" w:lastColumn="0" w:oddVBand="0" w:evenVBand="0" w:oddHBand="0" w:evenHBand="0" w:firstRowFirstColumn="0" w:firstRowLastColumn="0" w:lastRowFirstColumn="0" w:lastRowLastColumn="0"/>
            </w:pPr>
            <w:r>
              <w:t xml:space="preserve">nominated capacity </w:t>
            </w:r>
          </w:p>
          <w:p w:rsidR="00AD6C99" w:rsidRDefault="00AD6C99" w:rsidP="00AD6C99">
            <w:pPr>
              <w:pStyle w:val="Bulletpoint"/>
              <w:tabs>
                <w:tab w:val="clear" w:pos="340"/>
                <w:tab w:val="left" w:pos="317"/>
              </w:tabs>
              <w:ind w:left="317" w:hanging="185"/>
              <w:cnfStyle w:val="000000000000" w:firstRow="0" w:lastRow="0" w:firstColumn="0" w:lastColumn="0" w:oddVBand="0" w:evenVBand="0" w:oddHBand="0" w:evenHBand="0" w:firstRowFirstColumn="0" w:firstRowLastColumn="0" w:lastRowFirstColumn="0" w:lastRowLastColumn="0"/>
            </w:pPr>
            <w:r>
              <w:t>label permanence &amp; durability</w:t>
            </w:r>
          </w:p>
          <w:p w:rsidR="00AD6C99" w:rsidRDefault="00AD6C99" w:rsidP="00AD6C99">
            <w:pPr>
              <w:pStyle w:val="Bulletpoint"/>
              <w:tabs>
                <w:tab w:val="clear" w:pos="340"/>
                <w:tab w:val="left" w:pos="317"/>
              </w:tabs>
              <w:ind w:left="317" w:hanging="185"/>
              <w:cnfStyle w:val="000000000000" w:firstRow="0" w:lastRow="0" w:firstColumn="0" w:lastColumn="0" w:oddVBand="0" w:evenVBand="0" w:oddHBand="0" w:evenHBand="0" w:firstRowFirstColumn="0" w:firstRowLastColumn="0" w:lastRowFirstColumn="0" w:lastRowLastColumn="0"/>
            </w:pPr>
            <w:r>
              <w:t>warning legibility &amp; prominence during use (including that all required information and warnings are in English)</w:t>
            </w:r>
          </w:p>
          <w:p w:rsidR="00AD6C99" w:rsidRDefault="00AD6C99" w:rsidP="00AD6C99">
            <w:pPr>
              <w:pStyle w:val="Bulletpoint"/>
              <w:tabs>
                <w:tab w:val="clear" w:pos="340"/>
                <w:tab w:val="left" w:pos="317"/>
              </w:tabs>
              <w:ind w:left="317" w:hanging="185"/>
              <w:cnfStyle w:val="000000000000" w:firstRow="0" w:lastRow="0" w:firstColumn="0" w:lastColumn="0" w:oddVBand="0" w:evenVBand="0" w:oddHBand="0" w:evenHBand="0" w:firstRowFirstColumn="0" w:firstRowLastColumn="0" w:lastRowFirstColumn="0" w:lastRowLastColumn="0"/>
            </w:pPr>
            <w:r>
              <w:t xml:space="preserve">instructions for safe use </w:t>
            </w:r>
          </w:p>
          <w:p w:rsidR="00AE6D95" w:rsidRDefault="00AD6C99" w:rsidP="00AD6C99">
            <w:pPr>
              <w:pStyle w:val="Bulletpoint"/>
              <w:tabs>
                <w:tab w:val="clear" w:pos="340"/>
                <w:tab w:val="left" w:pos="317"/>
              </w:tabs>
              <w:ind w:left="317" w:hanging="185"/>
              <w:cnfStyle w:val="000000000000" w:firstRow="0" w:lastRow="0" w:firstColumn="0" w:lastColumn="0" w:oddVBand="0" w:evenVBand="0" w:oddHBand="0" w:evenHBand="0" w:firstRowFirstColumn="0" w:firstRowLastColumn="0" w:lastRowFirstColumn="0" w:lastRowLastColumn="0"/>
            </w:pPr>
            <w:r>
              <w:t>marking on the packaging</w:t>
            </w:r>
          </w:p>
          <w:p w:rsidR="00EA6BDB" w:rsidRDefault="002B708C" w:rsidP="000A007E">
            <w:pPr>
              <w:cnfStyle w:val="000000000000" w:firstRow="0" w:lastRow="0" w:firstColumn="0" w:lastColumn="0" w:oddVBand="0" w:evenVBand="0" w:oddHBand="0" w:evenHBand="0" w:firstRowFirstColumn="0" w:firstRowLastColumn="0" w:lastRowFirstColumn="0" w:lastRowLastColumn="0"/>
            </w:pPr>
            <w:r w:rsidRPr="000A007E">
              <w:sym w:font="Wingdings" w:char="F0FC"/>
            </w:r>
            <w:r w:rsidRPr="000A007E">
              <w:t xml:space="preserve"> </w:t>
            </w:r>
            <w:r w:rsidR="007C2E97">
              <w:t>The u</w:t>
            </w:r>
            <w:r w:rsidR="007C2E97" w:rsidRPr="000A007E">
              <w:t xml:space="preserve">pdated </w:t>
            </w:r>
            <w:r w:rsidRPr="000A007E">
              <w:t>Australian standard</w:t>
            </w:r>
            <w:r w:rsidR="007C2E97">
              <w:t>s would satisfy the principles.</w:t>
            </w:r>
          </w:p>
        </w:tc>
      </w:tr>
      <w:tr w:rsidR="002B708C" w:rsidTr="00F44137">
        <w:tc>
          <w:tcPr>
            <w:cnfStyle w:val="001000000000" w:firstRow="0" w:lastRow="0" w:firstColumn="1" w:lastColumn="0" w:oddVBand="0" w:evenVBand="0" w:oddHBand="0" w:evenHBand="0" w:firstRowFirstColumn="0" w:firstRowLastColumn="0" w:lastRowFirstColumn="0" w:lastRowLastColumn="0"/>
            <w:tcW w:w="1668" w:type="dxa"/>
          </w:tcPr>
          <w:p w:rsidR="002B708C" w:rsidRPr="003D5B35" w:rsidRDefault="002B708C" w:rsidP="002F0EA9">
            <w:r>
              <w:t>V</w:t>
            </w:r>
            <w:r w:rsidRPr="004A1EBF">
              <w:t>ehicle support stands</w:t>
            </w:r>
          </w:p>
        </w:tc>
        <w:tc>
          <w:tcPr>
            <w:tcW w:w="4110" w:type="dxa"/>
          </w:tcPr>
          <w:p w:rsidR="002B708C" w:rsidRDefault="002B708C" w:rsidP="002F0EA9">
            <w:pPr>
              <w:cnfStyle w:val="000000000000" w:firstRow="0" w:lastRow="0" w:firstColumn="0" w:lastColumn="0" w:oddVBand="0" w:evenVBand="0" w:oddHBand="0" w:evenHBand="0" w:firstRowFirstColumn="0" w:firstRowLastColumn="0" w:lastRowFirstColumn="0" w:lastRowLastColumn="0"/>
            </w:pPr>
            <w:r>
              <w:sym w:font="Wingdings" w:char="F0FC"/>
            </w:r>
            <w:r>
              <w:t xml:space="preserve"> Updated Australian standard</w:t>
            </w:r>
          </w:p>
          <w:p w:rsidR="002B708C" w:rsidRDefault="002B708C" w:rsidP="002F0EA9">
            <w:pPr>
              <w:cnfStyle w:val="000000000000" w:firstRow="0" w:lastRow="0" w:firstColumn="0" w:lastColumn="0" w:oddVBand="0" w:evenVBand="0" w:oddHBand="0" w:evenHBand="0" w:firstRowFirstColumn="0" w:firstRowLastColumn="0" w:lastRowFirstColumn="0" w:lastRowLastColumn="0"/>
            </w:pPr>
            <w:r>
              <w:sym w:font="Wingdings" w:char="F0FC"/>
            </w:r>
            <w:r>
              <w:t xml:space="preserve"> </w:t>
            </w:r>
            <w:r w:rsidRPr="003D5B35">
              <w:t>Superseded Australian standard</w:t>
            </w:r>
            <w:r w:rsidR="00501D3B">
              <w:t>*</w:t>
            </w:r>
          </w:p>
          <w:p w:rsidR="002B708C" w:rsidRDefault="002B708C" w:rsidP="002F0EA9">
            <w:pPr>
              <w:cnfStyle w:val="000000000000" w:firstRow="0" w:lastRow="0" w:firstColumn="0" w:lastColumn="0" w:oddVBand="0" w:evenVBand="0" w:oddHBand="0" w:evenHBand="0" w:firstRowFirstColumn="0" w:firstRowLastColumn="0" w:lastRowFirstColumn="0" w:lastRowLastColumn="0"/>
            </w:pPr>
            <w:r>
              <w:sym w:font="Wingdings" w:char="F0FC"/>
            </w:r>
            <w:r>
              <w:t xml:space="preserve"> </w:t>
            </w:r>
            <w:r w:rsidRPr="003A6B5E">
              <w:t>US standard</w:t>
            </w:r>
            <w:r w:rsidR="00F0307C">
              <w:t xml:space="preserve"> – but must have a nominated capacity of not less than 750kg.</w:t>
            </w:r>
          </w:p>
          <w:p w:rsidR="002B708C" w:rsidRDefault="002B708C" w:rsidP="00411751">
            <w:pPr>
              <w:cnfStyle w:val="000000000000" w:firstRow="0" w:lastRow="0" w:firstColumn="0" w:lastColumn="0" w:oddVBand="0" w:evenVBand="0" w:oddHBand="0" w:evenHBand="0" w:firstRowFirstColumn="0" w:firstRowLastColumn="0" w:lastRowFirstColumn="0" w:lastRowLastColumn="0"/>
            </w:pPr>
            <w:r>
              <w:sym w:font="Wingdings" w:char="F0FC"/>
            </w:r>
            <w:r>
              <w:t xml:space="preserve"> British standard</w:t>
            </w:r>
            <w:r w:rsidR="00F0307C">
              <w:t xml:space="preserve"> - but must have a nominated capacity of not less than 750kg.</w:t>
            </w:r>
          </w:p>
        </w:tc>
        <w:tc>
          <w:tcPr>
            <w:tcW w:w="3544" w:type="dxa"/>
            <w:vMerge/>
          </w:tcPr>
          <w:p w:rsidR="002B708C" w:rsidRDefault="002B708C" w:rsidP="002F0EA9">
            <w:pPr>
              <w:jc w:val="center"/>
              <w:cnfStyle w:val="000000000000" w:firstRow="0" w:lastRow="0" w:firstColumn="0" w:lastColumn="0" w:oddVBand="0" w:evenVBand="0" w:oddHBand="0" w:evenHBand="0" w:firstRowFirstColumn="0" w:firstRowLastColumn="0" w:lastRowFirstColumn="0" w:lastRowLastColumn="0"/>
            </w:pPr>
          </w:p>
        </w:tc>
      </w:tr>
      <w:tr w:rsidR="002B708C" w:rsidTr="00F44137">
        <w:tc>
          <w:tcPr>
            <w:cnfStyle w:val="001000000000" w:firstRow="0" w:lastRow="0" w:firstColumn="1" w:lastColumn="0" w:oddVBand="0" w:evenVBand="0" w:oddHBand="0" w:evenHBand="0" w:firstRowFirstColumn="0" w:firstRowLastColumn="0" w:lastRowFirstColumn="0" w:lastRowLastColumn="0"/>
            <w:tcW w:w="1668" w:type="dxa"/>
          </w:tcPr>
          <w:p w:rsidR="002B708C" w:rsidRDefault="002B708C" w:rsidP="002F0EA9">
            <w:r>
              <w:t>Portable ramps for vehicles</w:t>
            </w:r>
          </w:p>
        </w:tc>
        <w:tc>
          <w:tcPr>
            <w:tcW w:w="4110" w:type="dxa"/>
          </w:tcPr>
          <w:p w:rsidR="002B708C" w:rsidRDefault="002B708C" w:rsidP="002F0EA9">
            <w:pPr>
              <w:cnfStyle w:val="000000000000" w:firstRow="0" w:lastRow="0" w:firstColumn="0" w:lastColumn="0" w:oddVBand="0" w:evenVBand="0" w:oddHBand="0" w:evenHBand="0" w:firstRowFirstColumn="0" w:firstRowLastColumn="0" w:lastRowFirstColumn="0" w:lastRowLastColumn="0"/>
            </w:pPr>
            <w:r>
              <w:sym w:font="Wingdings" w:char="F0FC"/>
            </w:r>
            <w:r>
              <w:t xml:space="preserve"> Updated Australian standard</w:t>
            </w:r>
          </w:p>
          <w:p w:rsidR="002B708C" w:rsidRDefault="002B708C" w:rsidP="002F0EA9">
            <w:pPr>
              <w:cnfStyle w:val="000000000000" w:firstRow="0" w:lastRow="0" w:firstColumn="0" w:lastColumn="0" w:oddVBand="0" w:evenVBand="0" w:oddHBand="0" w:evenHBand="0" w:firstRowFirstColumn="0" w:firstRowLastColumn="0" w:lastRowFirstColumn="0" w:lastRowLastColumn="0"/>
            </w:pPr>
            <w:r>
              <w:sym w:font="Wingdings" w:char="F0FC"/>
            </w:r>
            <w:r>
              <w:t xml:space="preserve"> </w:t>
            </w:r>
            <w:r w:rsidRPr="003D5B35">
              <w:t>Superseded Australian standard</w:t>
            </w:r>
            <w:r w:rsidR="00501D3B">
              <w:t>*</w:t>
            </w:r>
          </w:p>
          <w:p w:rsidR="002B708C" w:rsidRDefault="002B708C" w:rsidP="00411751">
            <w:pPr>
              <w:cnfStyle w:val="000000000000" w:firstRow="0" w:lastRow="0" w:firstColumn="0" w:lastColumn="0" w:oddVBand="0" w:evenVBand="0" w:oddHBand="0" w:evenHBand="0" w:firstRowFirstColumn="0" w:firstRowLastColumn="0" w:lastRowFirstColumn="0" w:lastRowLastColumn="0"/>
            </w:pPr>
            <w:r>
              <w:sym w:font="Wingdings" w:char="F0FC"/>
            </w:r>
            <w:r>
              <w:t xml:space="preserve"> </w:t>
            </w:r>
            <w:r w:rsidRPr="003A6B5E">
              <w:t>US standard</w:t>
            </w:r>
            <w:r w:rsidR="00F0307C">
              <w:t xml:space="preserve"> - but must have a nominated capacity of not less than 750kg.</w:t>
            </w:r>
          </w:p>
        </w:tc>
        <w:tc>
          <w:tcPr>
            <w:tcW w:w="3544" w:type="dxa"/>
            <w:vMerge/>
          </w:tcPr>
          <w:p w:rsidR="002B708C" w:rsidRDefault="002B708C" w:rsidP="002F0EA9">
            <w:pPr>
              <w:jc w:val="center"/>
              <w:cnfStyle w:val="000000000000" w:firstRow="0" w:lastRow="0" w:firstColumn="0" w:lastColumn="0" w:oddVBand="0" w:evenVBand="0" w:oddHBand="0" w:evenHBand="0" w:firstRowFirstColumn="0" w:firstRowLastColumn="0" w:lastRowFirstColumn="0" w:lastRowLastColumn="0"/>
            </w:pPr>
          </w:p>
        </w:tc>
      </w:tr>
    </w:tbl>
    <w:p w:rsidR="002B708C" w:rsidRPr="003D5B35" w:rsidRDefault="002B708C" w:rsidP="002B708C">
      <w:pPr>
        <w:pStyle w:val="Tabletext"/>
        <w:rPr>
          <w:i/>
        </w:rPr>
      </w:pPr>
      <w:r w:rsidRPr="003D5B35">
        <w:rPr>
          <w:i/>
        </w:rPr>
        <w:t xml:space="preserve">* Over time, test laboratories may no longer provide test services for the superseded </w:t>
      </w:r>
      <w:r>
        <w:rPr>
          <w:i/>
        </w:rPr>
        <w:t xml:space="preserve">Australian </w:t>
      </w:r>
      <w:r w:rsidRPr="003D5B35">
        <w:rPr>
          <w:i/>
        </w:rPr>
        <w:t>standards and market forces may push suppliers to the updated standards.</w:t>
      </w:r>
    </w:p>
    <w:p w:rsidR="002B708C" w:rsidRDefault="002B708C" w:rsidP="006C5E79">
      <w:pPr>
        <w:pStyle w:val="Heading3"/>
      </w:pPr>
      <w:bookmarkStart w:id="87" w:name="_Toc460322811"/>
      <w:bookmarkStart w:id="88" w:name="_Toc460406293"/>
      <w:r>
        <w:t>Benefits</w:t>
      </w:r>
      <w:bookmarkEnd w:id="87"/>
      <w:bookmarkEnd w:id="88"/>
    </w:p>
    <w:p w:rsidR="002B708C" w:rsidRDefault="002B708C" w:rsidP="002B708C">
      <w:r>
        <w:t>Suppliers would benefit from greater flexibility under this option</w:t>
      </w:r>
      <w:r w:rsidR="00411751">
        <w:t xml:space="preserve"> which </w:t>
      </w:r>
      <w:r>
        <w:t>would minimise their regulatory burden, potentially reduce time to market, and encourage competition. Testing to other standards can also be less expensive than testing to voluntary Australian standards.</w:t>
      </w:r>
    </w:p>
    <w:p w:rsidR="002B708C" w:rsidRDefault="002B708C" w:rsidP="002B708C">
      <w:r>
        <w:t>This could mean a wider choice and cheaper products that are safe for consumers.</w:t>
      </w:r>
    </w:p>
    <w:p w:rsidR="002B708C" w:rsidRDefault="002B708C" w:rsidP="006C5E79">
      <w:pPr>
        <w:pStyle w:val="Heading3"/>
      </w:pPr>
      <w:bookmarkStart w:id="89" w:name="_Toc460322812"/>
      <w:bookmarkStart w:id="90" w:name="_Toc460406294"/>
      <w:r>
        <w:t>Limitations</w:t>
      </w:r>
      <w:bookmarkEnd w:id="89"/>
      <w:bookmarkEnd w:id="90"/>
    </w:p>
    <w:p w:rsidR="002B708C" w:rsidRDefault="00A9017B" w:rsidP="00F746B8">
      <w:r w:rsidRPr="00A9017B">
        <w:t>Enforcement of the amended mandatory safety standard</w:t>
      </w:r>
      <w:r>
        <w:t xml:space="preserve">s by the ACCC and State and </w:t>
      </w:r>
      <w:r w:rsidRPr="00A9017B">
        <w:t xml:space="preserve">Territory ACL regulators could potentially be more onerous than the current mandatory safety standard. To address this, suppliers would be required to declare which of the voluntary trusted standards they are meeting in order to demonstrate compliance with the mandatory safety standard. This declaration would need to be available at the point of sale (e.g. on the </w:t>
      </w:r>
      <w:r>
        <w:t>product</w:t>
      </w:r>
      <w:r w:rsidRPr="00A9017B">
        <w:t>, on the sales literature or assembly/use instructions, or on the internet).</w:t>
      </w:r>
    </w:p>
    <w:p w:rsidR="00C1036A" w:rsidRPr="008F5B6D" w:rsidRDefault="00C1036A" w:rsidP="00C1036A">
      <w:pPr>
        <w:pStyle w:val="Numbered11"/>
        <w:keepNext/>
        <w:numPr>
          <w:ilvl w:val="0"/>
          <w:numId w:val="0"/>
        </w:numPr>
        <w:rPr>
          <w:lang w:val="en-GB"/>
        </w:rPr>
      </w:pPr>
      <w:bookmarkStart w:id="91" w:name="_Toc460322813"/>
      <w:bookmarkStart w:id="92" w:name="_Toc460406295"/>
      <w:r>
        <w:rPr>
          <w:lang w:val="en-GB"/>
        </w:rPr>
        <w:t>Option 4</w:t>
      </w:r>
      <w:r w:rsidRPr="008F5B6D">
        <w:rPr>
          <w:lang w:val="en-GB"/>
        </w:rPr>
        <w:t xml:space="preserve">: </w:t>
      </w:r>
      <w:r w:rsidRPr="008F5B6D">
        <w:rPr>
          <w:lang w:val="en-GB"/>
        </w:rPr>
        <w:tab/>
        <w:t xml:space="preserve">Revoke the </w:t>
      </w:r>
      <w:r>
        <w:rPr>
          <w:lang w:val="en-GB"/>
        </w:rPr>
        <w:t xml:space="preserve">mandatory </w:t>
      </w:r>
      <w:r w:rsidRPr="008F5B6D">
        <w:rPr>
          <w:lang w:val="en-GB"/>
        </w:rPr>
        <w:t>safety standards</w:t>
      </w:r>
      <w:bookmarkEnd w:id="91"/>
      <w:bookmarkEnd w:id="92"/>
    </w:p>
    <w:p w:rsidR="00C1036A" w:rsidRPr="00EA532C" w:rsidRDefault="00C1036A" w:rsidP="006C5E79">
      <w:pPr>
        <w:pStyle w:val="Heading3"/>
      </w:pPr>
      <w:bookmarkStart w:id="93" w:name="_Toc460322814"/>
      <w:bookmarkStart w:id="94" w:name="_Toc460406296"/>
      <w:r w:rsidRPr="00EA532C">
        <w:t>Description</w:t>
      </w:r>
      <w:bookmarkEnd w:id="93"/>
      <w:bookmarkEnd w:id="94"/>
    </w:p>
    <w:p w:rsidR="00C1036A" w:rsidRDefault="00C1036A" w:rsidP="00C1036A">
      <w:r>
        <w:t>Most consumer goods in Australia are not regulated by mandatory safety standards. Revoking the mandatory safety standard would mean suppliers would still need to have regard to</w:t>
      </w:r>
      <w:r w:rsidRPr="00EB0DB0">
        <w:t xml:space="preserve"> </w:t>
      </w:r>
      <w:r>
        <w:t>the consumer</w:t>
      </w:r>
      <w:r w:rsidRPr="00EB0DB0">
        <w:t xml:space="preserve"> protection</w:t>
      </w:r>
      <w:r>
        <w:t xml:space="preserve"> provisions</w:t>
      </w:r>
      <w:r w:rsidRPr="00EB0DB0">
        <w:t xml:space="preserve"> of the Australian Consumer Law (ACL). The</w:t>
      </w:r>
      <w:r>
        <w:t xml:space="preserve"> ACL provides consumers with specific protections for consumer transactions called statutory consumer guarantees every time they purchase goods or services. One of those guarantees is that goods will be of acceptable quality, meaning they are safe and fit for purpose.</w:t>
      </w:r>
    </w:p>
    <w:p w:rsidR="00C1036A" w:rsidRDefault="00C1036A" w:rsidP="00C1036A">
      <w:pPr>
        <w:rPr>
          <w:rFonts w:eastAsia="Arial" w:cs="Times New Roman"/>
        </w:rPr>
      </w:pPr>
      <w:r w:rsidRPr="00BE1086">
        <w:lastRenderedPageBreak/>
        <w:t>Consumer protections also exist to safeguard against suppliers engaging in conduct that is likely to be misleading or deceptive. Additionally, there are provisions for injury reporting, recalls and product liability.</w:t>
      </w:r>
      <w:r>
        <w:t xml:space="preserve"> </w:t>
      </w:r>
      <w:r w:rsidRPr="00BE1086">
        <w:t>These provisions give suppliers an incentive to ensure that the goods they supply are safe.</w:t>
      </w:r>
      <w:r w:rsidRPr="00BE1086">
        <w:rPr>
          <w:rFonts w:eastAsia="Arial" w:cs="Times New Roman"/>
        </w:rPr>
        <w:t xml:space="preserve"> The ACCC would still be able to take safety action if needed – for example, through recalls.</w:t>
      </w:r>
    </w:p>
    <w:p w:rsidR="00C1036A" w:rsidRPr="006A3F55" w:rsidRDefault="00C1036A" w:rsidP="006C5E79">
      <w:pPr>
        <w:pStyle w:val="Heading3"/>
        <w:rPr>
          <w:rFonts w:cstheme="minorBidi"/>
          <w:sz w:val="22"/>
        </w:rPr>
      </w:pPr>
      <w:bookmarkStart w:id="95" w:name="_Toc460322815"/>
      <w:bookmarkStart w:id="96" w:name="_Toc460406297"/>
      <w:r w:rsidRPr="00E40FE6">
        <w:t>Benefits</w:t>
      </w:r>
      <w:bookmarkEnd w:id="95"/>
      <w:bookmarkEnd w:id="96"/>
    </w:p>
    <w:p w:rsidR="00C1036A" w:rsidRDefault="00C1036A" w:rsidP="00C1036A">
      <w:pPr>
        <w:spacing w:before="120" w:line="220" w:lineRule="atLeast"/>
      </w:pPr>
      <w:r w:rsidRPr="005044FF">
        <w:rPr>
          <w:rFonts w:cs="Arial"/>
        </w:rPr>
        <w:t xml:space="preserve">There </w:t>
      </w:r>
      <w:r>
        <w:rPr>
          <w:rFonts w:cs="Arial"/>
        </w:rPr>
        <w:t>would</w:t>
      </w:r>
      <w:r w:rsidRPr="005044FF">
        <w:rPr>
          <w:rFonts w:cs="Arial"/>
        </w:rPr>
        <w:t xml:space="preserve"> be no direct compliance costs for industry under </w:t>
      </w:r>
      <w:r>
        <w:rPr>
          <w:rFonts w:cs="Arial"/>
        </w:rPr>
        <w:t xml:space="preserve">this option. </w:t>
      </w:r>
      <w:r w:rsidRPr="005044FF">
        <w:rPr>
          <w:rFonts w:cs="Arial"/>
        </w:rPr>
        <w:t>Any international trade restrictions resulting from the current</w:t>
      </w:r>
      <w:r>
        <w:rPr>
          <w:rFonts w:cs="Arial"/>
        </w:rPr>
        <w:t xml:space="preserve"> mandatory</w:t>
      </w:r>
      <w:r w:rsidRPr="005044FF">
        <w:rPr>
          <w:rFonts w:cs="Arial"/>
        </w:rPr>
        <w:t xml:space="preserve"> safety standard </w:t>
      </w:r>
      <w:r>
        <w:rPr>
          <w:rFonts w:cs="Arial"/>
        </w:rPr>
        <w:t>would</w:t>
      </w:r>
      <w:r w:rsidRPr="005044FF">
        <w:rPr>
          <w:rFonts w:cs="Arial"/>
        </w:rPr>
        <w:t xml:space="preserve"> </w:t>
      </w:r>
      <w:r>
        <w:rPr>
          <w:rFonts w:cs="Arial"/>
        </w:rPr>
        <w:t>be removed, making it easier for businesses to import products to Australia</w:t>
      </w:r>
      <w:r w:rsidRPr="005044FF">
        <w:rPr>
          <w:rFonts w:cs="Arial"/>
        </w:rPr>
        <w:t>.</w:t>
      </w:r>
      <w:r>
        <w:rPr>
          <w:rFonts w:cs="Arial"/>
        </w:rPr>
        <w:t xml:space="preserve"> This may result </w:t>
      </w:r>
      <w:r w:rsidRPr="005044FF">
        <w:rPr>
          <w:rFonts w:cs="Arial"/>
        </w:rPr>
        <w:t xml:space="preserve">in lower priced and a wider range of </w:t>
      </w:r>
      <w:r>
        <w:rPr>
          <w:rFonts w:cs="Arial"/>
        </w:rPr>
        <w:t>products</w:t>
      </w:r>
      <w:r w:rsidRPr="005044FF">
        <w:rPr>
          <w:rFonts w:cs="Arial"/>
        </w:rPr>
        <w:t xml:space="preserve"> becoming available to Australian consumer</w:t>
      </w:r>
      <w:r>
        <w:rPr>
          <w:rFonts w:cs="Arial"/>
        </w:rPr>
        <w:t>s.</w:t>
      </w:r>
    </w:p>
    <w:p w:rsidR="00C1036A" w:rsidRPr="00EA532C" w:rsidRDefault="00C1036A" w:rsidP="006C5E79">
      <w:pPr>
        <w:pStyle w:val="Heading3"/>
      </w:pPr>
      <w:bookmarkStart w:id="97" w:name="_Toc460322816"/>
      <w:bookmarkStart w:id="98" w:name="_Toc460406298"/>
      <w:r>
        <w:t>Limitations</w:t>
      </w:r>
      <w:bookmarkEnd w:id="97"/>
      <w:bookmarkEnd w:id="98"/>
    </w:p>
    <w:p w:rsidR="00C1036A" w:rsidRDefault="00C1036A" w:rsidP="000534A4">
      <w:pPr>
        <w:keepNext/>
      </w:pPr>
      <w:r>
        <w:t>Without the mandatory safety standards, the general ACL provisions may be insufficient and some manufacturers could stop safety activities to reduce costs. Suppliers adhering to voluntary standards could potentially lose market share. This could also lead to an increase in death and injury. Consumers may also need to assess the safety of these products in more detail. This could reduce consumer and retailer confidence in the automotive aftermarket industry and in the safety of these products.</w:t>
      </w:r>
    </w:p>
    <w:p w:rsidR="000E3A2E" w:rsidRPr="000E3A2E" w:rsidRDefault="007D5D2C" w:rsidP="00EA6BDB">
      <w:pPr>
        <w:pStyle w:val="Numbered1"/>
      </w:pPr>
      <w:bookmarkStart w:id="99" w:name="_Toc460406299"/>
      <w:r>
        <w:t>Preliminary position</w:t>
      </w:r>
      <w:bookmarkEnd w:id="99"/>
    </w:p>
    <w:p w:rsidR="00A9017B" w:rsidRDefault="00A9017B" w:rsidP="00A9017B">
      <w:r>
        <w:t>The ACCC is cur</w:t>
      </w:r>
      <w:r w:rsidR="00411751">
        <w:t xml:space="preserve">rently of the view that Option </w:t>
      </w:r>
      <w:r w:rsidR="00411751" w:rsidRPr="00167865">
        <w:t>3</w:t>
      </w:r>
      <w:r w:rsidR="00167865" w:rsidRPr="00167865">
        <w:t xml:space="preserve"> (a</w:t>
      </w:r>
      <w:r w:rsidR="00BA023E" w:rsidRPr="00167865">
        <w:t>ccept multiple trusted standards</w:t>
      </w:r>
      <w:r w:rsidR="00167865">
        <w:t>)</w:t>
      </w:r>
      <w:r w:rsidR="00BA023E">
        <w:t>,</w:t>
      </w:r>
      <w:r>
        <w:t xml:space="preserve"> is likely to provide the greatest net benefit for consu</w:t>
      </w:r>
      <w:r w:rsidR="00112516">
        <w:t>mers, suppliers and regulators.</w:t>
      </w:r>
      <w:r w:rsidR="00001572">
        <w:t xml:space="preserve"> </w:t>
      </w:r>
      <w:r>
        <w:t xml:space="preserve">Stakeholder submissions to this consultation will help us </w:t>
      </w:r>
      <w:r w:rsidR="00001572">
        <w:t>test the position</w:t>
      </w:r>
      <w:r>
        <w:t xml:space="preserve"> and to recommend the most appropriate option to the Minister.</w:t>
      </w:r>
    </w:p>
    <w:p w:rsidR="007E14B0" w:rsidRDefault="00001572" w:rsidP="00001572">
      <w:r w:rsidRPr="00001572">
        <w:t>The Office of Best Practice Regulation (OBPR) has advised that a Regulation Impact Statement (RIS) is not required as the proposed changes are administrative and minor.</w:t>
      </w:r>
    </w:p>
    <w:p w:rsidR="007E14B0" w:rsidRDefault="007E14B0">
      <w:r>
        <w:br w:type="page"/>
      </w:r>
    </w:p>
    <w:p w:rsidR="0012182A" w:rsidRDefault="0012182A" w:rsidP="0012182A">
      <w:pPr>
        <w:pStyle w:val="Numbered1"/>
      </w:pPr>
      <w:bookmarkStart w:id="100" w:name="_Toc460406300"/>
      <w:r>
        <w:lastRenderedPageBreak/>
        <w:t>Key questions</w:t>
      </w:r>
      <w:bookmarkEnd w:id="100"/>
    </w:p>
    <w:p w:rsidR="007E14B0" w:rsidRDefault="007E14B0" w:rsidP="00270EB8">
      <w:pPr>
        <w:pStyle w:val="LegalNumbering"/>
        <w:numPr>
          <w:ilvl w:val="0"/>
          <w:numId w:val="0"/>
        </w:numPr>
        <w:ind w:left="340" w:hanging="340"/>
      </w:pPr>
      <w:r>
        <w:rPr>
          <w:noProof/>
          <w:lang w:eastAsia="en-AU"/>
        </w:rPr>
        <mc:AlternateContent>
          <mc:Choice Requires="wps">
            <w:drawing>
              <wp:anchor distT="0" distB="0" distL="114300" distR="114300" simplePos="0" relativeHeight="251672576" behindDoc="0" locked="0" layoutInCell="1" allowOverlap="1" wp14:anchorId="43DA5695" wp14:editId="2A3868D3">
                <wp:simplePos x="0" y="0"/>
                <wp:positionH relativeFrom="column">
                  <wp:posOffset>0</wp:posOffset>
                </wp:positionH>
                <wp:positionV relativeFrom="paragraph">
                  <wp:posOffset>150495</wp:posOffset>
                </wp:positionV>
                <wp:extent cx="6074410" cy="2806700"/>
                <wp:effectExtent l="0" t="0" r="2159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2806700"/>
                        </a:xfrm>
                        <a:prstGeom prst="rect">
                          <a:avLst/>
                        </a:prstGeom>
                        <a:solidFill>
                          <a:srgbClr val="FFFFFF"/>
                        </a:solidFill>
                        <a:ln w="9525">
                          <a:solidFill>
                            <a:srgbClr val="000000"/>
                          </a:solidFill>
                          <a:miter lim="800000"/>
                          <a:headEnd/>
                          <a:tailEnd/>
                        </a:ln>
                      </wps:spPr>
                      <wps:txbx>
                        <w:txbxContent>
                          <w:p w:rsidR="00A97153" w:rsidRDefault="00A97153" w:rsidP="00270EB8">
                            <w:r w:rsidRPr="00B110FC">
                              <w:t>Please consider the following questions when making a submission:</w:t>
                            </w:r>
                          </w:p>
                          <w:p w:rsidR="00A97153" w:rsidRDefault="00A97153" w:rsidP="007E14B0">
                            <w:pPr>
                              <w:pStyle w:val="LegalNumbering"/>
                              <w:numPr>
                                <w:ilvl w:val="0"/>
                                <w:numId w:val="33"/>
                              </w:numPr>
                            </w:pPr>
                            <w:r w:rsidRPr="009679AD">
                              <w:t xml:space="preserve">Should </w:t>
                            </w:r>
                            <w:r>
                              <w:t xml:space="preserve">suppliers improve the </w:t>
                            </w:r>
                            <w:r w:rsidRPr="009679AD">
                              <w:t>consumer warnings on these products?</w:t>
                            </w:r>
                          </w:p>
                          <w:p w:rsidR="00A97153" w:rsidRPr="001D50EF" w:rsidRDefault="00A97153" w:rsidP="007E14B0">
                            <w:pPr>
                              <w:pStyle w:val="LegalNumbering"/>
                              <w:numPr>
                                <w:ilvl w:val="0"/>
                                <w:numId w:val="33"/>
                              </w:numPr>
                            </w:pPr>
                            <w:r>
                              <w:t xml:space="preserve">Do the </w:t>
                            </w:r>
                            <w:r w:rsidRPr="00F23FEC">
                              <w:t>upper capacity limits of these mandatory safety standards remain adequate for today’s consumer vehicles</w:t>
                            </w:r>
                            <w:r>
                              <w:t xml:space="preserve">? </w:t>
                            </w:r>
                          </w:p>
                          <w:p w:rsidR="00A97153" w:rsidRPr="009679AD" w:rsidRDefault="00A97153" w:rsidP="007E14B0">
                            <w:pPr>
                              <w:pStyle w:val="LegalNumbering"/>
                              <w:numPr>
                                <w:ilvl w:val="0"/>
                                <w:numId w:val="33"/>
                              </w:numPr>
                            </w:pPr>
                            <w:r w:rsidRPr="009679AD">
                              <w:t>Are there any other safety issues to address?</w:t>
                            </w:r>
                          </w:p>
                          <w:p w:rsidR="00A97153" w:rsidRDefault="00A97153" w:rsidP="00F23FEC">
                            <w:pPr>
                              <w:pStyle w:val="LegalNumbering"/>
                              <w:numPr>
                                <w:ilvl w:val="0"/>
                                <w:numId w:val="33"/>
                              </w:numPr>
                            </w:pPr>
                            <w:r w:rsidRPr="009679AD">
                              <w:t xml:space="preserve">Do you agree with </w:t>
                            </w:r>
                            <w:r>
                              <w:t>our</w:t>
                            </w:r>
                            <w:r w:rsidRPr="009679AD">
                              <w:t xml:space="preserve"> assessment and comparison of voluntary standards for </w:t>
                            </w:r>
                            <w:r>
                              <w:t>these products</w:t>
                            </w:r>
                            <w:r w:rsidR="00F707E0">
                              <w:t>?</w:t>
                            </w:r>
                          </w:p>
                          <w:p w:rsidR="00A97153" w:rsidRPr="009679AD" w:rsidRDefault="00A97153" w:rsidP="007E14B0">
                            <w:pPr>
                              <w:pStyle w:val="LegalNumbering"/>
                              <w:numPr>
                                <w:ilvl w:val="0"/>
                                <w:numId w:val="33"/>
                              </w:numPr>
                            </w:pPr>
                            <w:r w:rsidRPr="009679AD">
                              <w:t>What is your preferred option, and why?</w:t>
                            </w:r>
                          </w:p>
                          <w:p w:rsidR="00A97153" w:rsidRPr="009679AD" w:rsidRDefault="00A97153" w:rsidP="007E14B0">
                            <w:pPr>
                              <w:pStyle w:val="LegalNumbering"/>
                              <w:numPr>
                                <w:ilvl w:val="0"/>
                                <w:numId w:val="33"/>
                              </w:numPr>
                            </w:pPr>
                            <w:r w:rsidRPr="009679AD">
                              <w:t>Are there any other policy options that the ACCC should consider?</w:t>
                            </w:r>
                          </w:p>
                          <w:p w:rsidR="00A97153" w:rsidRPr="009679AD" w:rsidRDefault="00A97153" w:rsidP="007E14B0">
                            <w:pPr>
                              <w:pStyle w:val="LegalNumbering"/>
                              <w:numPr>
                                <w:ilvl w:val="0"/>
                                <w:numId w:val="33"/>
                              </w:numPr>
                            </w:pPr>
                            <w:r w:rsidRPr="009679AD">
                              <w:t>Do you have any other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0;margin-top:11.85pt;width:478.3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">
                <v:textbox>
                  <w:txbxContent>
                    <w:p w:rsidR="00A97153" w:rsidRDefault="00A97153" w:rsidP="00270EB8">
                      <w:r w:rsidRPr="00B110FC">
                        <w:t>Please consider the following questions when making a submission:</w:t>
                      </w:r>
                    </w:p>
                    <w:p w:rsidR="00A97153" w:rsidRDefault="00A97153" w:rsidP="007E14B0">
                      <w:pPr>
                        <w:pStyle w:val="LegalNumbering"/>
                        <w:numPr>
                          <w:ilvl w:val="0"/>
                          <w:numId w:val="33"/>
                        </w:numPr>
                      </w:pPr>
                      <w:r w:rsidRPr="009679AD">
                        <w:t xml:space="preserve">Should </w:t>
                      </w:r>
                      <w:r>
                        <w:t xml:space="preserve">suppliers improve the </w:t>
                      </w:r>
                      <w:r w:rsidRPr="009679AD">
                        <w:t>consumer warnings on these products?</w:t>
                      </w:r>
                    </w:p>
                    <w:p w:rsidR="00A97153" w:rsidRPr="001D50EF" w:rsidRDefault="00A97153" w:rsidP="007E14B0">
                      <w:pPr>
                        <w:pStyle w:val="LegalNumbering"/>
                        <w:numPr>
                          <w:ilvl w:val="0"/>
                          <w:numId w:val="33"/>
                        </w:numPr>
                      </w:pPr>
                      <w:r>
                        <w:t xml:space="preserve">Do the </w:t>
                      </w:r>
                      <w:r w:rsidRPr="00F23FEC">
                        <w:t>upper capacity limits of these mandatory safety standards remain adequate for today’s consumer vehicles</w:t>
                      </w:r>
                      <w:r>
                        <w:t xml:space="preserve">? </w:t>
                      </w:r>
                    </w:p>
                    <w:p w:rsidR="00A97153" w:rsidRPr="009679AD" w:rsidRDefault="00A97153" w:rsidP="007E14B0">
                      <w:pPr>
                        <w:pStyle w:val="LegalNumbering"/>
                        <w:numPr>
                          <w:ilvl w:val="0"/>
                          <w:numId w:val="33"/>
                        </w:numPr>
                      </w:pPr>
                      <w:r w:rsidRPr="009679AD">
                        <w:t>Are there any other safety issues to address?</w:t>
                      </w:r>
                    </w:p>
                    <w:p w:rsidR="00A97153" w:rsidRDefault="00A97153" w:rsidP="00F23FEC">
                      <w:pPr>
                        <w:pStyle w:val="LegalNumbering"/>
                        <w:numPr>
                          <w:ilvl w:val="0"/>
                          <w:numId w:val="33"/>
                        </w:numPr>
                      </w:pPr>
                      <w:r w:rsidRPr="009679AD">
                        <w:t xml:space="preserve">Do you agree with </w:t>
                      </w:r>
                      <w:r>
                        <w:t>our</w:t>
                      </w:r>
                      <w:r w:rsidRPr="009679AD">
                        <w:t xml:space="preserve"> assessment and comparison of voluntary standards for </w:t>
                      </w:r>
                      <w:r>
                        <w:t>these products</w:t>
                      </w:r>
                      <w:r w:rsidR="00F707E0">
                        <w:t>?</w:t>
                      </w:r>
                    </w:p>
                    <w:p w:rsidR="00A97153" w:rsidRPr="009679AD" w:rsidRDefault="00A97153" w:rsidP="007E14B0">
                      <w:pPr>
                        <w:pStyle w:val="LegalNumbering"/>
                        <w:numPr>
                          <w:ilvl w:val="0"/>
                          <w:numId w:val="33"/>
                        </w:numPr>
                      </w:pPr>
                      <w:r w:rsidRPr="009679AD">
                        <w:t>What is your preferred option, and why?</w:t>
                      </w:r>
                      <w:bookmarkStart w:id="101" w:name="_GoBack"/>
                      <w:bookmarkEnd w:id="101"/>
                    </w:p>
                    <w:p w:rsidR="00A97153" w:rsidRPr="009679AD" w:rsidRDefault="00A97153" w:rsidP="007E14B0">
                      <w:pPr>
                        <w:pStyle w:val="LegalNumbering"/>
                        <w:numPr>
                          <w:ilvl w:val="0"/>
                          <w:numId w:val="33"/>
                        </w:numPr>
                      </w:pPr>
                      <w:r w:rsidRPr="009679AD">
                        <w:t>Are there any other policy options that the ACCC should consider?</w:t>
                      </w:r>
                    </w:p>
                    <w:p w:rsidR="00A97153" w:rsidRPr="009679AD" w:rsidRDefault="00A97153" w:rsidP="007E14B0">
                      <w:pPr>
                        <w:pStyle w:val="LegalNumbering"/>
                        <w:numPr>
                          <w:ilvl w:val="0"/>
                          <w:numId w:val="33"/>
                        </w:numPr>
                      </w:pPr>
                      <w:r w:rsidRPr="009679AD">
                        <w:t>Do you have any other comments?</w:t>
                      </w:r>
                    </w:p>
                  </w:txbxContent>
                </v:textbox>
              </v:shape>
            </w:pict>
          </mc:Fallback>
        </mc:AlternateContent>
      </w:r>
    </w:p>
    <w:p w:rsidR="007E14B0" w:rsidRDefault="007E14B0" w:rsidP="00270EB8">
      <w:pPr>
        <w:pStyle w:val="LegalNumbering"/>
        <w:numPr>
          <w:ilvl w:val="0"/>
          <w:numId w:val="0"/>
        </w:numPr>
        <w:ind w:left="340" w:hanging="340"/>
      </w:pPr>
    </w:p>
    <w:p w:rsidR="007E14B0" w:rsidRDefault="007E14B0" w:rsidP="00270EB8">
      <w:pPr>
        <w:pStyle w:val="LegalNumbering"/>
        <w:numPr>
          <w:ilvl w:val="0"/>
          <w:numId w:val="0"/>
        </w:numPr>
        <w:ind w:left="340" w:hanging="340"/>
      </w:pPr>
    </w:p>
    <w:p w:rsidR="007E14B0" w:rsidRDefault="007E14B0" w:rsidP="00270EB8">
      <w:pPr>
        <w:pStyle w:val="LegalNumbering"/>
        <w:numPr>
          <w:ilvl w:val="0"/>
          <w:numId w:val="0"/>
        </w:numPr>
        <w:ind w:left="340" w:hanging="340"/>
      </w:pPr>
    </w:p>
    <w:p w:rsidR="007E14B0" w:rsidRDefault="007E14B0" w:rsidP="00270EB8">
      <w:pPr>
        <w:pStyle w:val="LegalNumbering"/>
        <w:numPr>
          <w:ilvl w:val="0"/>
          <w:numId w:val="0"/>
        </w:numPr>
        <w:ind w:left="340" w:hanging="340"/>
      </w:pPr>
    </w:p>
    <w:p w:rsidR="007E14B0" w:rsidRDefault="007E14B0" w:rsidP="00270EB8">
      <w:pPr>
        <w:pStyle w:val="LegalNumbering"/>
        <w:numPr>
          <w:ilvl w:val="0"/>
          <w:numId w:val="0"/>
        </w:numPr>
        <w:ind w:left="340" w:hanging="340"/>
      </w:pPr>
    </w:p>
    <w:p w:rsidR="007E14B0" w:rsidRDefault="007E14B0" w:rsidP="00270EB8">
      <w:pPr>
        <w:pStyle w:val="LegalNumbering"/>
        <w:numPr>
          <w:ilvl w:val="0"/>
          <w:numId w:val="0"/>
        </w:numPr>
        <w:ind w:left="340" w:hanging="340"/>
      </w:pPr>
    </w:p>
    <w:p w:rsidR="007E14B0" w:rsidRDefault="007E14B0" w:rsidP="00270EB8">
      <w:pPr>
        <w:pStyle w:val="LegalNumbering"/>
        <w:numPr>
          <w:ilvl w:val="0"/>
          <w:numId w:val="0"/>
        </w:numPr>
        <w:ind w:left="340" w:hanging="340"/>
      </w:pPr>
    </w:p>
    <w:p w:rsidR="007E14B0" w:rsidRDefault="007E14B0" w:rsidP="00270EB8">
      <w:pPr>
        <w:pStyle w:val="LegalNumbering"/>
        <w:numPr>
          <w:ilvl w:val="0"/>
          <w:numId w:val="0"/>
        </w:numPr>
        <w:ind w:left="340" w:hanging="340"/>
      </w:pPr>
    </w:p>
    <w:p w:rsidR="00270EB8" w:rsidRDefault="00270EB8" w:rsidP="00270EB8">
      <w:pPr>
        <w:pStyle w:val="LegalNumbering"/>
        <w:numPr>
          <w:ilvl w:val="0"/>
          <w:numId w:val="0"/>
        </w:numPr>
        <w:ind w:left="340" w:hanging="340"/>
      </w:pPr>
    </w:p>
    <w:p w:rsidR="00270EB8" w:rsidRDefault="00270EB8" w:rsidP="00293D8D">
      <w:pPr>
        <w:pStyle w:val="LegalNumbering"/>
        <w:numPr>
          <w:ilvl w:val="0"/>
          <w:numId w:val="0"/>
        </w:numPr>
        <w:ind w:left="340" w:hanging="340"/>
      </w:pPr>
    </w:p>
    <w:p w:rsidR="0012182A" w:rsidRPr="000E3A2E" w:rsidRDefault="006D65A8" w:rsidP="0012182A">
      <w:pPr>
        <w:pStyle w:val="Numbered1"/>
      </w:pPr>
      <w:bookmarkStart w:id="101" w:name="_Toc460406301"/>
      <w:r>
        <w:t>Have your say</w:t>
      </w:r>
      <w:bookmarkEnd w:id="101"/>
    </w:p>
    <w:p w:rsidR="006D65A8" w:rsidRDefault="006D65A8" w:rsidP="006D65A8">
      <w:r>
        <w:t>The ACCC invites interested parties to provide information and comment on this review.</w:t>
      </w:r>
      <w:r w:rsidR="00BC0569">
        <w:t xml:space="preserve"> </w:t>
      </w:r>
      <w:r>
        <w:t>Consultation is open from</w:t>
      </w:r>
      <w:r w:rsidR="007D558C">
        <w:t xml:space="preserve"> 28 September 2016 to 18 November 2016.</w:t>
      </w:r>
      <w:r>
        <w:t xml:space="preserve"> </w:t>
      </w:r>
    </w:p>
    <w:p w:rsidR="00BC0569" w:rsidRDefault="006D65A8" w:rsidP="006D65A8">
      <w:r>
        <w:t xml:space="preserve">The ACCC prefers submissions to be made via the </w:t>
      </w:r>
      <w:r w:rsidRPr="00D854DB">
        <w:t>ACCC consultation hub</w:t>
      </w:r>
      <w:r w:rsidRPr="00D854DB">
        <w:rPr>
          <w:rStyle w:val="Hyperlink"/>
          <w:color w:val="auto"/>
          <w:u w:val="none"/>
        </w:rPr>
        <w:t xml:space="preserve"> at </w:t>
      </w:r>
      <w:hyperlink r:id="rId16" w:history="1">
        <w:r w:rsidRPr="0071058F">
          <w:rPr>
            <w:rStyle w:val="Hyperlink"/>
          </w:rPr>
          <w:t>consultation.accc.gov.au</w:t>
        </w:r>
      </w:hyperlink>
      <w:r w:rsidR="00112516">
        <w:t>.</w:t>
      </w:r>
    </w:p>
    <w:p w:rsidR="006D65A8" w:rsidRDefault="006D65A8" w:rsidP="006D65A8">
      <w:r>
        <w:t xml:space="preserve">Alternatively, email submissions to </w:t>
      </w:r>
      <w:hyperlink r:id="rId17" w:history="1">
        <w:r w:rsidRPr="007556AB">
          <w:rPr>
            <w:rStyle w:val="Hyperlink"/>
          </w:rPr>
          <w:t>productsafety.regulation@accc.gov.au</w:t>
        </w:r>
      </w:hyperlink>
      <w:r>
        <w:rPr>
          <w:rStyle w:val="Hyperlink"/>
        </w:rPr>
        <w:t>.</w:t>
      </w:r>
    </w:p>
    <w:p w:rsidR="006D65A8" w:rsidRDefault="006D65A8" w:rsidP="006D65A8">
      <w:r>
        <w:t>Submissions can also be posted to:</w:t>
      </w:r>
    </w:p>
    <w:p w:rsidR="006D65A8" w:rsidRDefault="006D65A8" w:rsidP="006D65A8">
      <w:pPr>
        <w:ind w:left="340"/>
      </w:pPr>
      <w:r>
        <w:t>Director</w:t>
      </w:r>
      <w:r>
        <w:br/>
      </w:r>
      <w:r w:rsidRPr="00A07FB8">
        <w:t>Standards</w:t>
      </w:r>
      <w:r>
        <w:t xml:space="preserve"> and</w:t>
      </w:r>
      <w:r w:rsidRPr="00A07FB8">
        <w:t xml:space="preserve"> Policy</w:t>
      </w:r>
      <w:r>
        <w:br/>
        <w:t>Consumer Product Safety Branch</w:t>
      </w:r>
      <w:r>
        <w:br/>
        <w:t>Australian Competition and Consumer Commission</w:t>
      </w:r>
      <w:r>
        <w:br/>
        <w:t>GPO Box 3131</w:t>
      </w:r>
      <w:r>
        <w:br/>
        <w:t>CANBERRA ACT 2601</w:t>
      </w:r>
    </w:p>
    <w:p w:rsidR="006D65A8" w:rsidRPr="00F806A2" w:rsidRDefault="006D65A8" w:rsidP="006D65A8">
      <w:r w:rsidRPr="00F806A2">
        <w:t>If the information you provide is of a confidential nature, we assure you that we will treat the details you provided confidentially. That is, the ACCC will not disclose the confidential information to third parties, other than advisors or consultants engaged directly by the ACCC, without first providing you with notice of its intention to do so, such as where it is compelled to do so by law. Please note that any information that you believe to be of a confidential nature should be clearly marked or identified as confidential.</w:t>
      </w:r>
      <w:r>
        <w:t xml:space="preserve"> See the </w:t>
      </w:r>
      <w:hyperlink r:id="rId18" w:history="1">
        <w:r>
          <w:rPr>
            <w:rStyle w:val="Hyperlink"/>
          </w:rPr>
          <w:t>ACCC &amp; AER information policy: collection and disclosure of information</w:t>
        </w:r>
      </w:hyperlink>
      <w:r>
        <w:t xml:space="preserve"> publication for more information.</w:t>
      </w:r>
    </w:p>
    <w:p w:rsidR="00734A79" w:rsidRDefault="00C731F1" w:rsidP="00734A79">
      <w:pPr>
        <w:pStyle w:val="Heading1"/>
      </w:pPr>
      <w:r>
        <w:br w:type="page"/>
      </w:r>
      <w:bookmarkStart w:id="102" w:name="_Toc460406302"/>
      <w:r w:rsidR="00734A79">
        <w:lastRenderedPageBreak/>
        <w:t>Glossary</w:t>
      </w:r>
      <w:bookmarkEnd w:id="102"/>
    </w:p>
    <w:p w:rsidR="00734A79" w:rsidRPr="006E6D6A" w:rsidRDefault="00734A79" w:rsidP="00734A79">
      <w:pPr>
        <w:rPr>
          <w:sz w:val="16"/>
          <w:szCs w:val="16"/>
        </w:rPr>
      </w:pPr>
    </w:p>
    <w:tbl>
      <w:tblPr>
        <w:tblStyle w:val="LightShading"/>
        <w:tblW w:w="0" w:type="auto"/>
        <w:tblLook w:val="04A0" w:firstRow="1" w:lastRow="0" w:firstColumn="1" w:lastColumn="0" w:noHBand="0" w:noVBand="1"/>
      </w:tblPr>
      <w:tblGrid>
        <w:gridCol w:w="1809"/>
        <w:gridCol w:w="7433"/>
      </w:tblGrid>
      <w:tr w:rsidR="00734A79" w:rsidRPr="006E6D6A" w:rsidTr="00734A7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Pr>
          <w:p w:rsidR="00734A79" w:rsidRPr="006E6D6A" w:rsidRDefault="00734A79" w:rsidP="00734A79">
            <w:pPr>
              <w:rPr>
                <w:szCs w:val="20"/>
              </w:rPr>
            </w:pPr>
            <w:r w:rsidRPr="006E6D6A">
              <w:rPr>
                <w:szCs w:val="20"/>
              </w:rPr>
              <w:t>Term</w:t>
            </w:r>
          </w:p>
        </w:tc>
        <w:tc>
          <w:tcPr>
            <w:tcW w:w="7433" w:type="dxa"/>
          </w:tcPr>
          <w:p w:rsidR="00734A79" w:rsidRPr="006E6D6A" w:rsidRDefault="00734A79" w:rsidP="00734A79">
            <w:pPr>
              <w:cnfStyle w:val="100000000000" w:firstRow="1" w:lastRow="0" w:firstColumn="0" w:lastColumn="0" w:oddVBand="0" w:evenVBand="0" w:oddHBand="0" w:evenHBand="0" w:firstRowFirstColumn="0" w:firstRowLastColumn="0" w:lastRowFirstColumn="0" w:lastRowLastColumn="0"/>
              <w:rPr>
                <w:szCs w:val="20"/>
              </w:rPr>
            </w:pPr>
            <w:r w:rsidRPr="006E6D6A">
              <w:rPr>
                <w:szCs w:val="20"/>
              </w:rPr>
              <w:t>Definition</w:t>
            </w:r>
          </w:p>
        </w:tc>
      </w:tr>
      <w:tr w:rsidR="00734A79" w:rsidRPr="006E6D6A" w:rsidTr="00734A79">
        <w:trPr>
          <w:cantSplit/>
        </w:trPr>
        <w:tc>
          <w:tcPr>
            <w:cnfStyle w:val="001000000000" w:firstRow="0" w:lastRow="0" w:firstColumn="1" w:lastColumn="0" w:oddVBand="0" w:evenVBand="0" w:oddHBand="0" w:evenHBand="0" w:firstRowFirstColumn="0" w:firstRowLastColumn="0" w:lastRowFirstColumn="0" w:lastRowLastColumn="0"/>
            <w:tcW w:w="1809" w:type="dxa"/>
          </w:tcPr>
          <w:p w:rsidR="00734A79" w:rsidRPr="006E6D6A" w:rsidRDefault="00734A79" w:rsidP="00734A79">
            <w:pPr>
              <w:rPr>
                <w:b w:val="0"/>
                <w:szCs w:val="20"/>
              </w:rPr>
            </w:pPr>
            <w:r w:rsidRPr="006E6D6A">
              <w:rPr>
                <w:szCs w:val="20"/>
              </w:rPr>
              <w:t>British Standard</w:t>
            </w:r>
          </w:p>
        </w:tc>
        <w:tc>
          <w:tcPr>
            <w:tcW w:w="7433" w:type="dxa"/>
          </w:tcPr>
          <w:p w:rsidR="00734A79" w:rsidRPr="006E6D6A" w:rsidRDefault="00734A79" w:rsidP="00734A79">
            <w:pPr>
              <w:cnfStyle w:val="000000000000" w:firstRow="0" w:lastRow="0" w:firstColumn="0" w:lastColumn="0" w:oddVBand="0" w:evenVBand="0" w:oddHBand="0" w:evenHBand="0" w:firstRowFirstColumn="0" w:firstRowLastColumn="0" w:lastRowFirstColumn="0" w:lastRowLastColumn="0"/>
              <w:rPr>
                <w:szCs w:val="20"/>
              </w:rPr>
            </w:pPr>
            <w:r w:rsidRPr="006E6D6A">
              <w:rPr>
                <w:szCs w:val="20"/>
              </w:rPr>
              <w:t>British standard for vehicle support stands – BS AU 223a:2006</w:t>
            </w:r>
          </w:p>
        </w:tc>
      </w:tr>
      <w:tr w:rsidR="00734A79" w:rsidRPr="006E6D6A" w:rsidTr="00734A79">
        <w:trPr>
          <w:cantSplit/>
        </w:trPr>
        <w:tc>
          <w:tcPr>
            <w:cnfStyle w:val="001000000000" w:firstRow="0" w:lastRow="0" w:firstColumn="1" w:lastColumn="0" w:oddVBand="0" w:evenVBand="0" w:oddHBand="0" w:evenHBand="0" w:firstRowFirstColumn="0" w:firstRowLastColumn="0" w:lastRowFirstColumn="0" w:lastRowLastColumn="0"/>
            <w:tcW w:w="1809" w:type="dxa"/>
          </w:tcPr>
          <w:p w:rsidR="00734A79" w:rsidRPr="006E6D6A" w:rsidRDefault="00734A79" w:rsidP="00734A79">
            <w:pPr>
              <w:rPr>
                <w:b w:val="0"/>
                <w:szCs w:val="20"/>
              </w:rPr>
            </w:pPr>
            <w:r w:rsidRPr="006E6D6A">
              <w:rPr>
                <w:szCs w:val="20"/>
              </w:rPr>
              <w:t>European standard</w:t>
            </w:r>
          </w:p>
        </w:tc>
        <w:tc>
          <w:tcPr>
            <w:tcW w:w="7433" w:type="dxa"/>
          </w:tcPr>
          <w:p w:rsidR="00734A79" w:rsidRPr="006E6D6A" w:rsidRDefault="00734A79" w:rsidP="00734A79">
            <w:pPr>
              <w:cnfStyle w:val="000000000000" w:firstRow="0" w:lastRow="0" w:firstColumn="0" w:lastColumn="0" w:oddVBand="0" w:evenVBand="0" w:oddHBand="0" w:evenHBand="0" w:firstRowFirstColumn="0" w:firstRowLastColumn="0" w:lastRowFirstColumn="0" w:lastRowLastColumn="0"/>
              <w:rPr>
                <w:szCs w:val="20"/>
              </w:rPr>
            </w:pPr>
            <w:r w:rsidRPr="006E6D6A">
              <w:rPr>
                <w:szCs w:val="20"/>
              </w:rPr>
              <w:t xml:space="preserve">European standard for trolley jacks – </w:t>
            </w:r>
            <w:r>
              <w:rPr>
                <w:szCs w:val="20"/>
              </w:rPr>
              <w:t xml:space="preserve">EN </w:t>
            </w:r>
            <w:r w:rsidRPr="006E6D6A">
              <w:rPr>
                <w:szCs w:val="20"/>
              </w:rPr>
              <w:t>1494:2000+A1:2009</w:t>
            </w:r>
          </w:p>
        </w:tc>
      </w:tr>
      <w:tr w:rsidR="00734A79" w:rsidRPr="006E6D6A" w:rsidTr="00734A79">
        <w:trPr>
          <w:cantSplit/>
        </w:trPr>
        <w:tc>
          <w:tcPr>
            <w:cnfStyle w:val="001000000000" w:firstRow="0" w:lastRow="0" w:firstColumn="1" w:lastColumn="0" w:oddVBand="0" w:evenVBand="0" w:oddHBand="0" w:evenHBand="0" w:firstRowFirstColumn="0" w:firstRowLastColumn="0" w:lastRowFirstColumn="0" w:lastRowLastColumn="0"/>
            <w:tcW w:w="1809" w:type="dxa"/>
          </w:tcPr>
          <w:p w:rsidR="00734A79" w:rsidRPr="006E6D6A" w:rsidRDefault="00734A79" w:rsidP="00734A79">
            <w:pPr>
              <w:rPr>
                <w:b w:val="0"/>
                <w:szCs w:val="20"/>
              </w:rPr>
            </w:pPr>
            <w:r w:rsidRPr="006E6D6A">
              <w:rPr>
                <w:szCs w:val="20"/>
              </w:rPr>
              <w:t>Hydraulic trolley jack</w:t>
            </w:r>
          </w:p>
        </w:tc>
        <w:tc>
          <w:tcPr>
            <w:tcW w:w="7433" w:type="dxa"/>
          </w:tcPr>
          <w:p w:rsidR="00734A79" w:rsidRPr="006E6D6A" w:rsidRDefault="00734A79" w:rsidP="00734A79">
            <w:pPr>
              <w:cnfStyle w:val="000000000000" w:firstRow="0" w:lastRow="0" w:firstColumn="0" w:lastColumn="0" w:oddVBand="0" w:evenVBand="0" w:oddHBand="0" w:evenHBand="0" w:firstRowFirstColumn="0" w:firstRowLastColumn="0" w:lastRowFirstColumn="0" w:lastRowLastColumn="0"/>
              <w:rPr>
                <w:szCs w:val="20"/>
              </w:rPr>
            </w:pPr>
            <w:r>
              <w:rPr>
                <w:szCs w:val="20"/>
              </w:rPr>
              <w:t>A</w:t>
            </w:r>
            <w:r w:rsidRPr="006E6D6A">
              <w:rPr>
                <w:szCs w:val="20"/>
              </w:rPr>
              <w:t xml:space="preserve"> device designed to raise a part of a vehicle via the vehicle's chassis. A trolley jack usually comes with:</w:t>
            </w:r>
          </w:p>
          <w:p w:rsidR="00734A79" w:rsidRPr="006E6D6A" w:rsidRDefault="00734A79" w:rsidP="007E14B0">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Cs w:val="20"/>
              </w:rPr>
            </w:pPr>
            <w:r w:rsidRPr="006E6D6A">
              <w:rPr>
                <w:szCs w:val="20"/>
              </w:rPr>
              <w:t>wheels for manoeuvring the trolley jack</w:t>
            </w:r>
          </w:p>
          <w:p w:rsidR="00734A79" w:rsidRPr="006E6D6A" w:rsidRDefault="00734A79" w:rsidP="007E14B0">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Cs w:val="20"/>
              </w:rPr>
            </w:pPr>
            <w:r w:rsidRPr="006E6D6A">
              <w:rPr>
                <w:szCs w:val="20"/>
              </w:rPr>
              <w:t>a handle for positioning the trolley jack under a vehicle and for pumping the hydraulic cylinders</w:t>
            </w:r>
          </w:p>
          <w:p w:rsidR="00734A79" w:rsidRPr="006E6D6A" w:rsidRDefault="00734A79" w:rsidP="007E14B0">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Cs w:val="20"/>
              </w:rPr>
            </w:pPr>
            <w:r w:rsidRPr="006E6D6A">
              <w:rPr>
                <w:szCs w:val="20"/>
              </w:rPr>
              <w:t>hydraulic cylinders for lifting the vehicle.</w:t>
            </w:r>
          </w:p>
        </w:tc>
      </w:tr>
      <w:tr w:rsidR="00734A79" w:rsidRPr="006E6D6A" w:rsidTr="00734A79">
        <w:trPr>
          <w:cantSplit/>
        </w:trPr>
        <w:tc>
          <w:tcPr>
            <w:cnfStyle w:val="001000000000" w:firstRow="0" w:lastRow="0" w:firstColumn="1" w:lastColumn="0" w:oddVBand="0" w:evenVBand="0" w:oddHBand="0" w:evenHBand="0" w:firstRowFirstColumn="0" w:firstRowLastColumn="0" w:lastRowFirstColumn="0" w:lastRowLastColumn="0"/>
            <w:tcW w:w="1809" w:type="dxa"/>
          </w:tcPr>
          <w:p w:rsidR="00734A79" w:rsidRPr="006E6D6A" w:rsidRDefault="00734A79" w:rsidP="00734A79">
            <w:pPr>
              <w:rPr>
                <w:b w:val="0"/>
                <w:szCs w:val="20"/>
              </w:rPr>
            </w:pPr>
            <w:r w:rsidRPr="006E6D6A">
              <w:rPr>
                <w:szCs w:val="20"/>
              </w:rPr>
              <w:t>Mandatory safety standards</w:t>
            </w:r>
          </w:p>
        </w:tc>
        <w:tc>
          <w:tcPr>
            <w:tcW w:w="7433" w:type="dxa"/>
          </w:tcPr>
          <w:p w:rsidR="00734A79" w:rsidRPr="006E6D6A" w:rsidRDefault="00734A79" w:rsidP="00734A79">
            <w:pPr>
              <w:cnfStyle w:val="000000000000" w:firstRow="0" w:lastRow="0" w:firstColumn="0" w:lastColumn="0" w:oddVBand="0" w:evenVBand="0" w:oddHBand="0" w:evenHBand="0" w:firstRowFirstColumn="0" w:firstRowLastColumn="0" w:lastRowFirstColumn="0" w:lastRowLastColumn="0"/>
              <w:rPr>
                <w:szCs w:val="20"/>
              </w:rPr>
            </w:pPr>
            <w:r w:rsidRPr="006E6D6A">
              <w:rPr>
                <w:szCs w:val="20"/>
              </w:rPr>
              <w:t xml:space="preserve">The Australian </w:t>
            </w:r>
            <w:r>
              <w:rPr>
                <w:szCs w:val="20"/>
              </w:rPr>
              <w:t>mandatory safety standards for:</w:t>
            </w:r>
          </w:p>
          <w:p w:rsidR="00734A79" w:rsidRPr="006E6D6A" w:rsidRDefault="00734A79" w:rsidP="007E14B0">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Cs w:val="20"/>
              </w:rPr>
            </w:pPr>
            <w:r w:rsidRPr="006E6D6A">
              <w:rPr>
                <w:szCs w:val="20"/>
              </w:rPr>
              <w:t>Hydraulic trolley jacks (</w:t>
            </w:r>
            <w:hyperlink r:id="rId19" w:history="1">
              <w:r w:rsidRPr="006E6D6A">
                <w:rPr>
                  <w:rStyle w:val="Hyperlink"/>
                  <w:sz w:val="20"/>
                  <w:szCs w:val="20"/>
                </w:rPr>
                <w:t>Consumer Protection Notice No. 10 of 2008</w:t>
              </w:r>
            </w:hyperlink>
            <w:r w:rsidRPr="006E6D6A">
              <w:rPr>
                <w:szCs w:val="20"/>
              </w:rPr>
              <w:t>)</w:t>
            </w:r>
          </w:p>
          <w:p w:rsidR="00734A79" w:rsidRPr="006E6D6A" w:rsidRDefault="00AF0913" w:rsidP="007E14B0">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Cs w:val="20"/>
              </w:rPr>
            </w:pPr>
            <w:r>
              <w:rPr>
                <w:szCs w:val="20"/>
              </w:rPr>
              <w:t>Vehicle s</w:t>
            </w:r>
            <w:r w:rsidR="00734A79" w:rsidRPr="006E6D6A">
              <w:rPr>
                <w:szCs w:val="20"/>
              </w:rPr>
              <w:t>upport stands (</w:t>
            </w:r>
            <w:hyperlink r:id="rId20" w:history="1">
              <w:r w:rsidR="00734A79" w:rsidRPr="006E6D6A">
                <w:rPr>
                  <w:rStyle w:val="Hyperlink"/>
                  <w:sz w:val="20"/>
                  <w:szCs w:val="20"/>
                </w:rPr>
                <w:t>Consumer Protection Notice No. 12 of 2008</w:t>
              </w:r>
            </w:hyperlink>
            <w:r w:rsidR="00734A79" w:rsidRPr="006E6D6A">
              <w:rPr>
                <w:szCs w:val="20"/>
              </w:rPr>
              <w:t>)</w:t>
            </w:r>
          </w:p>
          <w:p w:rsidR="00734A79" w:rsidRPr="006E6D6A" w:rsidRDefault="00734A79" w:rsidP="007E14B0">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Cs w:val="20"/>
              </w:rPr>
            </w:pPr>
            <w:r w:rsidRPr="006E6D6A">
              <w:rPr>
                <w:szCs w:val="20"/>
              </w:rPr>
              <w:t>Portable ramps for vehicles (</w:t>
            </w:r>
            <w:hyperlink r:id="rId21" w:history="1">
              <w:r w:rsidRPr="006E6D6A">
                <w:rPr>
                  <w:rStyle w:val="Hyperlink"/>
                  <w:sz w:val="20"/>
                  <w:szCs w:val="20"/>
                </w:rPr>
                <w:t>Consumer Protection Notice No. 2 of 2010</w:t>
              </w:r>
            </w:hyperlink>
            <w:r w:rsidRPr="006E6D6A">
              <w:rPr>
                <w:szCs w:val="20"/>
              </w:rPr>
              <w:t>)</w:t>
            </w:r>
          </w:p>
        </w:tc>
      </w:tr>
      <w:tr w:rsidR="00734A79" w:rsidRPr="006E6D6A" w:rsidTr="00734A79">
        <w:trPr>
          <w:cantSplit/>
        </w:trPr>
        <w:tc>
          <w:tcPr>
            <w:cnfStyle w:val="001000000000" w:firstRow="0" w:lastRow="0" w:firstColumn="1" w:lastColumn="0" w:oddVBand="0" w:evenVBand="0" w:oddHBand="0" w:evenHBand="0" w:firstRowFirstColumn="0" w:firstRowLastColumn="0" w:lastRowFirstColumn="0" w:lastRowLastColumn="0"/>
            <w:tcW w:w="1809" w:type="dxa"/>
          </w:tcPr>
          <w:p w:rsidR="00734A79" w:rsidRPr="006E6D6A" w:rsidRDefault="00734A79" w:rsidP="00734A79">
            <w:pPr>
              <w:rPr>
                <w:b w:val="0"/>
                <w:szCs w:val="20"/>
              </w:rPr>
            </w:pPr>
            <w:r w:rsidRPr="006E6D6A">
              <w:rPr>
                <w:szCs w:val="20"/>
              </w:rPr>
              <w:t>US standard</w:t>
            </w:r>
          </w:p>
        </w:tc>
        <w:tc>
          <w:tcPr>
            <w:tcW w:w="7433" w:type="dxa"/>
          </w:tcPr>
          <w:p w:rsidR="00734A79" w:rsidRPr="006E6D6A" w:rsidRDefault="00734A79" w:rsidP="00734A79">
            <w:pPr>
              <w:cnfStyle w:val="000000000000" w:firstRow="0" w:lastRow="0" w:firstColumn="0" w:lastColumn="0" w:oddVBand="0" w:evenVBand="0" w:oddHBand="0" w:evenHBand="0" w:firstRowFirstColumn="0" w:firstRowLastColumn="0" w:lastRowFirstColumn="0" w:lastRowLastColumn="0"/>
              <w:rPr>
                <w:szCs w:val="20"/>
              </w:rPr>
            </w:pPr>
            <w:r w:rsidRPr="006E6D6A">
              <w:rPr>
                <w:szCs w:val="20"/>
              </w:rPr>
              <w:t>US standard for hydraulic trolley jacks, vehicle support stands and vehicle ramps – ASME PASE: 2014</w:t>
            </w:r>
          </w:p>
        </w:tc>
      </w:tr>
      <w:tr w:rsidR="00734A79" w:rsidRPr="006E6D6A" w:rsidTr="00734A79">
        <w:trPr>
          <w:cantSplit/>
        </w:trPr>
        <w:tc>
          <w:tcPr>
            <w:cnfStyle w:val="001000000000" w:firstRow="0" w:lastRow="0" w:firstColumn="1" w:lastColumn="0" w:oddVBand="0" w:evenVBand="0" w:oddHBand="0" w:evenHBand="0" w:firstRowFirstColumn="0" w:firstRowLastColumn="0" w:lastRowFirstColumn="0" w:lastRowLastColumn="0"/>
            <w:tcW w:w="1809" w:type="dxa"/>
          </w:tcPr>
          <w:p w:rsidR="00734A79" w:rsidRPr="006E6D6A" w:rsidRDefault="00734A79" w:rsidP="00734A79">
            <w:pPr>
              <w:rPr>
                <w:b w:val="0"/>
                <w:szCs w:val="20"/>
              </w:rPr>
            </w:pPr>
            <w:r w:rsidRPr="006E6D6A">
              <w:rPr>
                <w:szCs w:val="20"/>
              </w:rPr>
              <w:t>Vehicle ramp</w:t>
            </w:r>
          </w:p>
        </w:tc>
        <w:tc>
          <w:tcPr>
            <w:tcW w:w="7433" w:type="dxa"/>
          </w:tcPr>
          <w:p w:rsidR="00734A79" w:rsidRPr="006E6D6A" w:rsidRDefault="00734A79" w:rsidP="00734A79">
            <w:pPr>
              <w:cnfStyle w:val="000000000000" w:firstRow="0" w:lastRow="0" w:firstColumn="0" w:lastColumn="0" w:oddVBand="0" w:evenVBand="0" w:oddHBand="0" w:evenHBand="0" w:firstRowFirstColumn="0" w:firstRowLastColumn="0" w:lastRowFirstColumn="0" w:lastRowLastColumn="0"/>
              <w:rPr>
                <w:szCs w:val="20"/>
              </w:rPr>
            </w:pPr>
            <w:r>
              <w:rPr>
                <w:szCs w:val="20"/>
              </w:rPr>
              <w:t>A</w:t>
            </w:r>
            <w:r w:rsidRPr="006E6D6A">
              <w:rPr>
                <w:szCs w:val="20"/>
              </w:rPr>
              <w:t xml:space="preserve"> device consisting of an incline and a platform onto which a vehicle is driven for the purpose of maintenance (usually by a mechanic) or display, for example at vehicle road shows or car sale yards.</w:t>
            </w:r>
          </w:p>
        </w:tc>
      </w:tr>
      <w:tr w:rsidR="00734A79" w:rsidRPr="006E6D6A" w:rsidTr="00734A79">
        <w:trPr>
          <w:cantSplit/>
        </w:trPr>
        <w:tc>
          <w:tcPr>
            <w:cnfStyle w:val="001000000000" w:firstRow="0" w:lastRow="0" w:firstColumn="1" w:lastColumn="0" w:oddVBand="0" w:evenVBand="0" w:oddHBand="0" w:evenHBand="0" w:firstRowFirstColumn="0" w:firstRowLastColumn="0" w:lastRowFirstColumn="0" w:lastRowLastColumn="0"/>
            <w:tcW w:w="1809" w:type="dxa"/>
          </w:tcPr>
          <w:p w:rsidR="00734A79" w:rsidRPr="006E6D6A" w:rsidRDefault="00734A79" w:rsidP="00734A79">
            <w:pPr>
              <w:rPr>
                <w:b w:val="0"/>
                <w:szCs w:val="20"/>
              </w:rPr>
            </w:pPr>
            <w:r w:rsidRPr="006E6D6A">
              <w:rPr>
                <w:szCs w:val="20"/>
              </w:rPr>
              <w:t>Vehicle support stand</w:t>
            </w:r>
          </w:p>
        </w:tc>
        <w:tc>
          <w:tcPr>
            <w:tcW w:w="7433" w:type="dxa"/>
          </w:tcPr>
          <w:p w:rsidR="00734A79" w:rsidRPr="006E6D6A" w:rsidRDefault="00734A79" w:rsidP="00734A79">
            <w:pPr>
              <w:cnfStyle w:val="000000000000" w:firstRow="0" w:lastRow="0" w:firstColumn="0" w:lastColumn="0" w:oddVBand="0" w:evenVBand="0" w:oddHBand="0" w:evenHBand="0" w:firstRowFirstColumn="0" w:firstRowLastColumn="0" w:lastRowFirstColumn="0" w:lastRowLastColumn="0"/>
              <w:rPr>
                <w:szCs w:val="20"/>
              </w:rPr>
            </w:pPr>
            <w:r>
              <w:rPr>
                <w:szCs w:val="20"/>
              </w:rPr>
              <w:t>T</w:t>
            </w:r>
            <w:r w:rsidRPr="006E6D6A">
              <w:rPr>
                <w:szCs w:val="20"/>
              </w:rPr>
              <w:t>ools used to support the axle or chassis of a vehicle. Vehicle support stands come in fixed or adjustable heights. The vehicle is lowered onto the vehicle support stands, creating access to the underside of the vehicle for maintenance or storage purposes.</w:t>
            </w:r>
          </w:p>
        </w:tc>
      </w:tr>
      <w:tr w:rsidR="00734A79" w:rsidRPr="006E6D6A" w:rsidTr="00734A79">
        <w:tc>
          <w:tcPr>
            <w:cnfStyle w:val="001000000000" w:firstRow="0" w:lastRow="0" w:firstColumn="1" w:lastColumn="0" w:oddVBand="0" w:evenVBand="0" w:oddHBand="0" w:evenHBand="0" w:firstRowFirstColumn="0" w:firstRowLastColumn="0" w:lastRowFirstColumn="0" w:lastRowLastColumn="0"/>
            <w:tcW w:w="1809" w:type="dxa"/>
          </w:tcPr>
          <w:p w:rsidR="00734A79" w:rsidRPr="006E6D6A" w:rsidRDefault="00734A79" w:rsidP="00734A79">
            <w:pPr>
              <w:rPr>
                <w:b w:val="0"/>
                <w:szCs w:val="20"/>
              </w:rPr>
            </w:pPr>
            <w:r>
              <w:rPr>
                <w:szCs w:val="20"/>
              </w:rPr>
              <w:t>V</w:t>
            </w:r>
            <w:r w:rsidRPr="006E6D6A">
              <w:rPr>
                <w:szCs w:val="20"/>
              </w:rPr>
              <w:t>oluntary Australian standards</w:t>
            </w:r>
          </w:p>
        </w:tc>
        <w:tc>
          <w:tcPr>
            <w:tcW w:w="7433" w:type="dxa"/>
          </w:tcPr>
          <w:p w:rsidR="00734A79" w:rsidRPr="006E6D6A" w:rsidRDefault="00734A79" w:rsidP="00734A79">
            <w:pPr>
              <w:cnfStyle w:val="000000000000" w:firstRow="0" w:lastRow="0" w:firstColumn="0" w:lastColumn="0" w:oddVBand="0" w:evenVBand="0" w:oddHBand="0" w:evenHBand="0" w:firstRowFirstColumn="0" w:firstRowLastColumn="0" w:lastRowFirstColumn="0" w:lastRowLastColumn="0"/>
              <w:rPr>
                <w:szCs w:val="20"/>
              </w:rPr>
            </w:pPr>
            <w:r w:rsidRPr="006E6D6A">
              <w:rPr>
                <w:szCs w:val="20"/>
              </w:rPr>
              <w:t>The current edit</w:t>
            </w:r>
            <w:r>
              <w:rPr>
                <w:szCs w:val="20"/>
              </w:rPr>
              <w:t>ion of the voluntary standards:</w:t>
            </w:r>
          </w:p>
          <w:p w:rsidR="00734A79" w:rsidRPr="006E6D6A" w:rsidRDefault="00734A79" w:rsidP="007E14B0">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Cs w:val="20"/>
              </w:rPr>
            </w:pPr>
            <w:r w:rsidRPr="006E6D6A">
              <w:rPr>
                <w:szCs w:val="20"/>
              </w:rPr>
              <w:t>AS</w:t>
            </w:r>
            <w:r>
              <w:rPr>
                <w:szCs w:val="20"/>
              </w:rPr>
              <w:t>/NZS</w:t>
            </w:r>
            <w:r w:rsidRPr="006E6D6A">
              <w:rPr>
                <w:szCs w:val="20"/>
              </w:rPr>
              <w:t xml:space="preserve"> 2615:2016 for hydraulic trolley jacks</w:t>
            </w:r>
          </w:p>
          <w:p w:rsidR="00734A79" w:rsidRPr="006E6D6A" w:rsidRDefault="00734A79" w:rsidP="007E14B0">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Cs w:val="20"/>
              </w:rPr>
            </w:pPr>
            <w:r w:rsidRPr="006E6D6A">
              <w:rPr>
                <w:szCs w:val="20"/>
              </w:rPr>
              <w:t>AS</w:t>
            </w:r>
            <w:r>
              <w:rPr>
                <w:szCs w:val="20"/>
              </w:rPr>
              <w:t>/NZS</w:t>
            </w:r>
            <w:r w:rsidRPr="006E6D6A">
              <w:rPr>
                <w:szCs w:val="20"/>
              </w:rPr>
              <w:t xml:space="preserve"> 2538:2016 for vehicle support stands</w:t>
            </w:r>
          </w:p>
          <w:p w:rsidR="00734A79" w:rsidRPr="006E6D6A" w:rsidRDefault="00734A79" w:rsidP="007E14B0">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Cs w:val="20"/>
              </w:rPr>
            </w:pPr>
            <w:r w:rsidRPr="006E6D6A">
              <w:rPr>
                <w:szCs w:val="20"/>
              </w:rPr>
              <w:t>AS</w:t>
            </w:r>
            <w:r>
              <w:rPr>
                <w:szCs w:val="20"/>
              </w:rPr>
              <w:t>/NZS</w:t>
            </w:r>
            <w:r w:rsidRPr="006E6D6A">
              <w:rPr>
                <w:szCs w:val="20"/>
              </w:rPr>
              <w:t xml:space="preserve"> 2640:2016 for portable ramps for vehicles.</w:t>
            </w:r>
          </w:p>
        </w:tc>
      </w:tr>
    </w:tbl>
    <w:p w:rsidR="00734A79" w:rsidRDefault="00734A79"/>
    <w:p w:rsidR="00C731F1" w:rsidRDefault="00C731F1">
      <w:pPr>
        <w:rPr>
          <w:rFonts w:ascii="Lucida Fax" w:eastAsiaTheme="majorEastAsia" w:hAnsi="Lucida Fax" w:cstheme="majorBidi"/>
          <w:bCs/>
          <w:color w:val="51626F"/>
          <w:sz w:val="32"/>
          <w:szCs w:val="28"/>
        </w:rPr>
      </w:pPr>
    </w:p>
    <w:p w:rsidR="00BA7AFE" w:rsidRDefault="00BA7AFE" w:rsidP="00BA7AFE">
      <w:pPr>
        <w:pStyle w:val="Bulletpoint"/>
        <w:numPr>
          <w:ilvl w:val="0"/>
          <w:numId w:val="0"/>
        </w:numPr>
        <w:sectPr w:rsidR="00BA7AFE" w:rsidSect="00F746B8">
          <w:footerReference w:type="default" r:id="rId22"/>
          <w:pgSz w:w="11906" w:h="16838"/>
          <w:pgMar w:top="1276" w:right="1440" w:bottom="1440" w:left="1440" w:header="708" w:footer="708" w:gutter="0"/>
          <w:cols w:space="708"/>
          <w:titlePg/>
          <w:docGrid w:linePitch="360"/>
        </w:sectPr>
      </w:pPr>
    </w:p>
    <w:p w:rsidR="00BA7AFE" w:rsidRPr="009A733A" w:rsidRDefault="00BA7AFE" w:rsidP="00BA7AFE">
      <w:pPr>
        <w:pStyle w:val="Numbered1"/>
        <w:numPr>
          <w:ilvl w:val="0"/>
          <w:numId w:val="0"/>
        </w:numPr>
      </w:pPr>
      <w:bookmarkStart w:id="103" w:name="_Toc460406303"/>
      <w:r w:rsidRPr="009A733A">
        <w:lastRenderedPageBreak/>
        <w:t>Appendix</w:t>
      </w:r>
      <w:r w:rsidR="008B79A4">
        <w:t xml:space="preserve"> </w:t>
      </w:r>
      <w:r w:rsidR="004559DF">
        <w:t>A</w:t>
      </w:r>
      <w:r w:rsidRPr="009A733A">
        <w:t xml:space="preserve">: </w:t>
      </w:r>
      <w:r>
        <w:t xml:space="preserve">Comparison of key features of the Australian and </w:t>
      </w:r>
      <w:r w:rsidR="009444DA">
        <w:t xml:space="preserve">other trusted </w:t>
      </w:r>
      <w:r>
        <w:t>standards</w:t>
      </w:r>
      <w:bookmarkEnd w:id="103"/>
    </w:p>
    <w:p w:rsidR="00BA7AFE" w:rsidRPr="00FB6EED" w:rsidRDefault="00BA7AFE" w:rsidP="0071024B">
      <w:pPr>
        <w:pStyle w:val="Tabletitle"/>
      </w:pPr>
      <w:r w:rsidRPr="00FB6EED">
        <w:t>Hydraulic trolley jacks</w:t>
      </w: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523"/>
        <w:gridCol w:w="2523"/>
        <w:gridCol w:w="2523"/>
        <w:gridCol w:w="2523"/>
      </w:tblGrid>
      <w:tr w:rsidR="0071024B" w:rsidRPr="00C41BBF" w:rsidTr="00366B16">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652" w:type="dxa"/>
            <w:shd w:val="clear" w:color="auto" w:fill="7030A0"/>
            <w:hideMark/>
          </w:tcPr>
          <w:p w:rsidR="0071024B" w:rsidRPr="00C41BBF" w:rsidRDefault="00F44137" w:rsidP="00F44137">
            <w:pPr>
              <w:rPr>
                <w:rFonts w:ascii="Calibri" w:hAnsi="Calibri"/>
              </w:rPr>
            </w:pPr>
            <w:r>
              <w:rPr>
                <w:rFonts w:ascii="Calibri" w:hAnsi="Calibri"/>
              </w:rPr>
              <w:t>Key r</w:t>
            </w:r>
            <w:r w:rsidR="0071024B" w:rsidRPr="00C41BBF">
              <w:rPr>
                <w:rFonts w:ascii="Calibri" w:hAnsi="Calibri"/>
              </w:rPr>
              <w:t>equirement</w:t>
            </w:r>
          </w:p>
        </w:tc>
        <w:tc>
          <w:tcPr>
            <w:tcW w:w="2523" w:type="dxa"/>
            <w:shd w:val="clear" w:color="auto" w:fill="7030A0"/>
            <w:hideMark/>
          </w:tcPr>
          <w:p w:rsidR="0071024B" w:rsidRPr="00C41BBF" w:rsidRDefault="0071024B" w:rsidP="00366B16">
            <w:pPr>
              <w:cnfStyle w:val="100000000000" w:firstRow="1" w:lastRow="0" w:firstColumn="0" w:lastColumn="0" w:oddVBand="0" w:evenVBand="0" w:oddHBand="0" w:evenHBand="0" w:firstRowFirstColumn="0" w:firstRowLastColumn="0" w:lastRowFirstColumn="0" w:lastRowLastColumn="0"/>
              <w:rPr>
                <w:rFonts w:ascii="Calibri" w:hAnsi="Calibri"/>
              </w:rPr>
            </w:pPr>
            <w:r w:rsidRPr="00C41BBF">
              <w:rPr>
                <w:rFonts w:ascii="Calibri" w:hAnsi="Calibri"/>
              </w:rPr>
              <w:t>AS/NZS 2615:2004</w:t>
            </w:r>
          </w:p>
          <w:p w:rsidR="0071024B" w:rsidRPr="00C41BBF" w:rsidRDefault="009444DA" w:rsidP="00366B16">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Old</w:t>
            </w:r>
            <w:r w:rsidRPr="00C41BBF">
              <w:rPr>
                <w:rFonts w:ascii="Calibri" w:hAnsi="Calibri"/>
              </w:rPr>
              <w:t xml:space="preserve"> </w:t>
            </w:r>
            <w:r w:rsidR="0071024B" w:rsidRPr="00C41BBF">
              <w:rPr>
                <w:rFonts w:ascii="Calibri" w:hAnsi="Calibri"/>
              </w:rPr>
              <w:t>Australian standard</w:t>
            </w:r>
          </w:p>
        </w:tc>
        <w:tc>
          <w:tcPr>
            <w:tcW w:w="2523" w:type="dxa"/>
            <w:shd w:val="clear" w:color="auto" w:fill="7030A0"/>
            <w:hideMark/>
          </w:tcPr>
          <w:p w:rsidR="0071024B" w:rsidRPr="00C41BBF" w:rsidRDefault="0071024B" w:rsidP="00366B16">
            <w:pPr>
              <w:cnfStyle w:val="100000000000" w:firstRow="1" w:lastRow="0" w:firstColumn="0" w:lastColumn="0" w:oddVBand="0" w:evenVBand="0" w:oddHBand="0" w:evenHBand="0" w:firstRowFirstColumn="0" w:firstRowLastColumn="0" w:lastRowFirstColumn="0" w:lastRowLastColumn="0"/>
              <w:rPr>
                <w:rFonts w:ascii="Calibri" w:hAnsi="Calibri"/>
              </w:rPr>
            </w:pPr>
            <w:r w:rsidRPr="00C41BBF">
              <w:rPr>
                <w:rFonts w:ascii="Calibri" w:hAnsi="Calibri"/>
              </w:rPr>
              <w:t>AS 2615:2016</w:t>
            </w:r>
          </w:p>
          <w:p w:rsidR="0071024B" w:rsidRPr="00C41BBF" w:rsidRDefault="0071024B" w:rsidP="00366B16">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New</w:t>
            </w:r>
            <w:r w:rsidRPr="00C41BBF">
              <w:rPr>
                <w:rFonts w:ascii="Calibri" w:hAnsi="Calibri"/>
              </w:rPr>
              <w:t xml:space="preserve"> Australian standard</w:t>
            </w:r>
          </w:p>
        </w:tc>
        <w:tc>
          <w:tcPr>
            <w:tcW w:w="2523" w:type="dxa"/>
            <w:shd w:val="clear" w:color="auto" w:fill="7030A0"/>
          </w:tcPr>
          <w:p w:rsidR="0071024B" w:rsidRPr="00C41BBF" w:rsidRDefault="0071024B" w:rsidP="00366B16">
            <w:pPr>
              <w:ind w:left="33"/>
              <w:cnfStyle w:val="100000000000" w:firstRow="1" w:lastRow="0" w:firstColumn="0" w:lastColumn="0" w:oddVBand="0" w:evenVBand="0" w:oddHBand="0" w:evenHBand="0" w:firstRowFirstColumn="0" w:firstRowLastColumn="0" w:lastRowFirstColumn="0" w:lastRowLastColumn="0"/>
              <w:rPr>
                <w:rFonts w:ascii="Calibri" w:hAnsi="Calibri"/>
              </w:rPr>
            </w:pPr>
            <w:r w:rsidRPr="00C41BBF">
              <w:rPr>
                <w:rFonts w:ascii="Calibri" w:hAnsi="Calibri"/>
              </w:rPr>
              <w:t>ASME PASE – 2014</w:t>
            </w:r>
          </w:p>
          <w:p w:rsidR="0071024B" w:rsidRPr="00C41BBF" w:rsidRDefault="009444DA" w:rsidP="00366B16">
            <w:pPr>
              <w:ind w:left="33"/>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US</w:t>
            </w:r>
            <w:r w:rsidRPr="00C41BBF">
              <w:rPr>
                <w:rFonts w:ascii="Calibri" w:hAnsi="Calibri"/>
              </w:rPr>
              <w:t xml:space="preserve"> </w:t>
            </w:r>
            <w:r w:rsidR="0071024B" w:rsidRPr="00C41BBF">
              <w:rPr>
                <w:rFonts w:ascii="Calibri" w:hAnsi="Calibri"/>
              </w:rPr>
              <w:t>standard</w:t>
            </w:r>
          </w:p>
        </w:tc>
        <w:tc>
          <w:tcPr>
            <w:tcW w:w="2523" w:type="dxa"/>
            <w:shd w:val="clear" w:color="auto" w:fill="7030A0"/>
          </w:tcPr>
          <w:p w:rsidR="0071024B" w:rsidRPr="00C41BBF" w:rsidRDefault="0071024B" w:rsidP="002F2FBC">
            <w:pPr>
              <w:cnfStyle w:val="100000000000" w:firstRow="1" w:lastRow="0" w:firstColumn="0" w:lastColumn="0" w:oddVBand="0" w:evenVBand="0" w:oddHBand="0" w:evenHBand="0" w:firstRowFirstColumn="0" w:firstRowLastColumn="0" w:lastRowFirstColumn="0" w:lastRowLastColumn="0"/>
              <w:rPr>
                <w:rFonts w:ascii="Calibri" w:hAnsi="Calibri"/>
              </w:rPr>
            </w:pPr>
            <w:r w:rsidRPr="00C41BBF">
              <w:rPr>
                <w:rFonts w:ascii="Calibri" w:hAnsi="Calibri"/>
              </w:rPr>
              <w:t>EN 1494:2000+A1:2009</w:t>
            </w:r>
          </w:p>
          <w:p w:rsidR="0071024B" w:rsidRPr="00C41BBF" w:rsidRDefault="0071024B" w:rsidP="00366B16">
            <w:pPr>
              <w:ind w:left="16"/>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European</w:t>
            </w:r>
            <w:r w:rsidRPr="00C41BBF">
              <w:rPr>
                <w:rFonts w:ascii="Calibri" w:hAnsi="Calibri"/>
              </w:rPr>
              <w:t xml:space="preserve"> standard</w:t>
            </w:r>
          </w:p>
        </w:tc>
      </w:tr>
      <w:tr w:rsidR="0071024B" w:rsidRPr="00C41BBF" w:rsidTr="0036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DACDED" w:themeFill="accent2" w:themeFillTint="33"/>
          </w:tcPr>
          <w:p w:rsidR="0071024B" w:rsidRDefault="0071024B" w:rsidP="00366B16">
            <w:pPr>
              <w:rPr>
                <w:rFonts w:ascii="Calibri" w:hAnsi="Calibri"/>
              </w:rPr>
            </w:pPr>
            <w:r>
              <w:rPr>
                <w:rFonts w:ascii="Calibri" w:hAnsi="Calibri"/>
              </w:rPr>
              <w:t>Design and construction</w:t>
            </w:r>
          </w:p>
        </w:tc>
        <w:tc>
          <w:tcPr>
            <w:tcW w:w="2523" w:type="dxa"/>
            <w:shd w:val="clear" w:color="auto" w:fill="DACDED" w:themeFill="accent2" w:themeFillTint="33"/>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ind w:left="33"/>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ind w:left="16"/>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71024B" w:rsidRPr="00C41BBF" w:rsidTr="00366B16">
        <w:tc>
          <w:tcPr>
            <w:cnfStyle w:val="001000000000" w:firstRow="0" w:lastRow="0" w:firstColumn="1" w:lastColumn="0" w:oddVBand="0" w:evenVBand="0" w:oddHBand="0" w:evenHBand="0" w:firstRowFirstColumn="0" w:firstRowLastColumn="0" w:lastRowFirstColumn="0" w:lastRowLastColumn="0"/>
            <w:tcW w:w="3652" w:type="dxa"/>
          </w:tcPr>
          <w:p w:rsidR="0071024B" w:rsidRPr="00C41BBF" w:rsidRDefault="0071024B" w:rsidP="00366B16">
            <w:pPr>
              <w:rPr>
                <w:rFonts w:ascii="Calibri" w:hAnsi="Calibri"/>
              </w:rPr>
            </w:pPr>
            <w:r>
              <w:rPr>
                <w:rFonts w:ascii="Calibri" w:hAnsi="Calibri"/>
              </w:rPr>
              <w:t>Head cap</w:t>
            </w:r>
          </w:p>
        </w:tc>
        <w:tc>
          <w:tcPr>
            <w:tcW w:w="2523" w:type="dxa"/>
            <w:hideMark/>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hideMark/>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33"/>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16"/>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r>
      <w:tr w:rsidR="0071024B" w:rsidRPr="00C41BBF" w:rsidTr="0036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1024B" w:rsidRPr="00C41BBF" w:rsidRDefault="0071024B" w:rsidP="00366B16">
            <w:pPr>
              <w:rPr>
                <w:rFonts w:ascii="Calibri" w:hAnsi="Calibri"/>
              </w:rPr>
            </w:pPr>
            <w:r>
              <w:rPr>
                <w:rFonts w:ascii="Calibri" w:hAnsi="Calibri"/>
              </w:rPr>
              <w:t>Overload protection</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3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16"/>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r>
      <w:tr w:rsidR="0071024B" w:rsidRPr="00C41BBF" w:rsidTr="00366B16">
        <w:tc>
          <w:tcPr>
            <w:cnfStyle w:val="001000000000" w:firstRow="0" w:lastRow="0" w:firstColumn="1" w:lastColumn="0" w:oddVBand="0" w:evenVBand="0" w:oddHBand="0" w:evenHBand="0" w:firstRowFirstColumn="0" w:firstRowLastColumn="0" w:lastRowFirstColumn="0" w:lastRowLastColumn="0"/>
            <w:tcW w:w="3652" w:type="dxa"/>
          </w:tcPr>
          <w:p w:rsidR="0071024B" w:rsidRPr="00C41BBF" w:rsidRDefault="0071024B" w:rsidP="00366B16">
            <w:pPr>
              <w:rPr>
                <w:rFonts w:ascii="Calibri" w:hAnsi="Calibri"/>
              </w:rPr>
            </w:pPr>
            <w:r>
              <w:rPr>
                <w:rFonts w:ascii="Calibri" w:hAnsi="Calibri"/>
              </w:rPr>
              <w:t>Prevention of over travel</w:t>
            </w:r>
          </w:p>
        </w:tc>
        <w:tc>
          <w:tcPr>
            <w:tcW w:w="2523" w:type="dxa"/>
            <w:hideMark/>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33"/>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16"/>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r>
      <w:tr w:rsidR="0071024B" w:rsidRPr="00C41BBF" w:rsidTr="00715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1024B" w:rsidRPr="00C41BBF" w:rsidRDefault="0071024B" w:rsidP="00366B16">
            <w:pPr>
              <w:rPr>
                <w:rFonts w:ascii="Calibri" w:hAnsi="Calibri"/>
              </w:rPr>
            </w:pPr>
            <w:r>
              <w:rPr>
                <w:rFonts w:ascii="Calibri" w:hAnsi="Calibri"/>
              </w:rPr>
              <w:t>Minimum capacity</w:t>
            </w:r>
          </w:p>
        </w:tc>
        <w:tc>
          <w:tcPr>
            <w:tcW w:w="2523" w:type="dxa"/>
            <w:hideMark/>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hideMark/>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shd w:val="clear" w:color="auto" w:fill="auto"/>
          </w:tcPr>
          <w:p w:rsidR="0071024B" w:rsidRPr="00C41BBF" w:rsidRDefault="0071024B" w:rsidP="00366B16">
            <w:pPr>
              <w:ind w:left="3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No</w:t>
            </w:r>
          </w:p>
        </w:tc>
        <w:tc>
          <w:tcPr>
            <w:tcW w:w="2523" w:type="dxa"/>
            <w:shd w:val="clear" w:color="auto" w:fill="auto"/>
          </w:tcPr>
          <w:p w:rsidR="0071024B" w:rsidRPr="00C41BBF" w:rsidRDefault="0071024B" w:rsidP="00366B16">
            <w:pPr>
              <w:ind w:left="16"/>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No</w:t>
            </w:r>
          </w:p>
        </w:tc>
      </w:tr>
      <w:tr w:rsidR="0071024B" w:rsidRPr="00C41BBF" w:rsidTr="00366B16">
        <w:tc>
          <w:tcPr>
            <w:cnfStyle w:val="001000000000" w:firstRow="0" w:lastRow="0" w:firstColumn="1" w:lastColumn="0" w:oddVBand="0" w:evenVBand="0" w:oddHBand="0" w:evenHBand="0" w:firstRowFirstColumn="0" w:firstRowLastColumn="0" w:lastRowFirstColumn="0" w:lastRowLastColumn="0"/>
            <w:tcW w:w="3652" w:type="dxa"/>
            <w:shd w:val="clear" w:color="auto" w:fill="DACDED" w:themeFill="accent2" w:themeFillTint="33"/>
          </w:tcPr>
          <w:p w:rsidR="0071024B" w:rsidRDefault="0071024B" w:rsidP="00366B16">
            <w:pPr>
              <w:rPr>
                <w:rFonts w:ascii="Calibri" w:hAnsi="Calibri"/>
              </w:rPr>
            </w:pPr>
            <w:r>
              <w:rPr>
                <w:rFonts w:ascii="Calibri" w:hAnsi="Calibri"/>
              </w:rPr>
              <w:t>Performance</w:t>
            </w:r>
          </w:p>
        </w:tc>
        <w:tc>
          <w:tcPr>
            <w:tcW w:w="2523" w:type="dxa"/>
            <w:shd w:val="clear" w:color="auto" w:fill="DACDED" w:themeFill="accent2" w:themeFillTint="33"/>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ind w:left="33"/>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ind w:left="16"/>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71024B" w:rsidRPr="00C41BBF" w:rsidTr="0036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1024B" w:rsidRDefault="0071024B" w:rsidP="00366B16">
            <w:pPr>
              <w:rPr>
                <w:rFonts w:ascii="Calibri" w:hAnsi="Calibri"/>
              </w:rPr>
            </w:pPr>
            <w:r>
              <w:rPr>
                <w:rFonts w:ascii="Calibri" w:hAnsi="Calibri"/>
              </w:rPr>
              <w:t>Ease of operation</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3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16"/>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r>
      <w:tr w:rsidR="0071024B" w:rsidRPr="00C41BBF" w:rsidTr="00366B16">
        <w:tc>
          <w:tcPr>
            <w:cnfStyle w:val="001000000000" w:firstRow="0" w:lastRow="0" w:firstColumn="1" w:lastColumn="0" w:oddVBand="0" w:evenVBand="0" w:oddHBand="0" w:evenHBand="0" w:firstRowFirstColumn="0" w:firstRowLastColumn="0" w:lastRowFirstColumn="0" w:lastRowLastColumn="0"/>
            <w:tcW w:w="3652" w:type="dxa"/>
          </w:tcPr>
          <w:p w:rsidR="0071024B" w:rsidRDefault="0071024B" w:rsidP="00366B16">
            <w:pPr>
              <w:rPr>
                <w:rFonts w:ascii="Calibri" w:hAnsi="Calibri"/>
              </w:rPr>
            </w:pPr>
            <w:r>
              <w:rPr>
                <w:rFonts w:ascii="Calibri" w:hAnsi="Calibri"/>
              </w:rPr>
              <w:t>Loss of height under load</w:t>
            </w:r>
          </w:p>
        </w:tc>
        <w:tc>
          <w:tcPr>
            <w:tcW w:w="2523" w:type="dxa"/>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33"/>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16"/>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r>
      <w:tr w:rsidR="0071024B" w:rsidRPr="00C41BBF" w:rsidTr="0036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1024B" w:rsidRDefault="0071024B" w:rsidP="00366B16">
            <w:pPr>
              <w:rPr>
                <w:rFonts w:ascii="Calibri" w:hAnsi="Calibri"/>
              </w:rPr>
            </w:pPr>
            <w:r>
              <w:rPr>
                <w:rFonts w:ascii="Calibri" w:hAnsi="Calibri"/>
              </w:rPr>
              <w:t>Lowering</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3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16"/>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r>
      <w:tr w:rsidR="0071024B" w:rsidRPr="00C41BBF" w:rsidTr="00366B16">
        <w:tc>
          <w:tcPr>
            <w:cnfStyle w:val="001000000000" w:firstRow="0" w:lastRow="0" w:firstColumn="1" w:lastColumn="0" w:oddVBand="0" w:evenVBand="0" w:oddHBand="0" w:evenHBand="0" w:firstRowFirstColumn="0" w:firstRowLastColumn="0" w:lastRowFirstColumn="0" w:lastRowLastColumn="0"/>
            <w:tcW w:w="3652" w:type="dxa"/>
          </w:tcPr>
          <w:p w:rsidR="0071024B" w:rsidRDefault="0071024B" w:rsidP="00366B16">
            <w:pPr>
              <w:rPr>
                <w:rFonts w:ascii="Calibri" w:hAnsi="Calibri"/>
              </w:rPr>
            </w:pPr>
            <w:r>
              <w:rPr>
                <w:rFonts w:ascii="Calibri" w:hAnsi="Calibri"/>
              </w:rPr>
              <w:t>Overload capacity</w:t>
            </w:r>
          </w:p>
        </w:tc>
        <w:tc>
          <w:tcPr>
            <w:tcW w:w="2523" w:type="dxa"/>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33"/>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16"/>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r>
      <w:tr w:rsidR="0071024B" w:rsidRPr="00C41BBF" w:rsidTr="0036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1024B" w:rsidRDefault="0071024B" w:rsidP="00366B16">
            <w:pPr>
              <w:rPr>
                <w:rFonts w:ascii="Calibri" w:hAnsi="Calibri"/>
              </w:rPr>
            </w:pPr>
            <w:r>
              <w:rPr>
                <w:rFonts w:ascii="Calibri" w:hAnsi="Calibri"/>
              </w:rPr>
              <w:t>Eccentric load and stability</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3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16"/>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r>
      <w:tr w:rsidR="0071024B" w:rsidRPr="00C41BBF" w:rsidTr="00366B16">
        <w:tc>
          <w:tcPr>
            <w:cnfStyle w:val="001000000000" w:firstRow="0" w:lastRow="0" w:firstColumn="1" w:lastColumn="0" w:oddVBand="0" w:evenVBand="0" w:oddHBand="0" w:evenHBand="0" w:firstRowFirstColumn="0" w:firstRowLastColumn="0" w:lastRowFirstColumn="0" w:lastRowLastColumn="0"/>
            <w:tcW w:w="3652" w:type="dxa"/>
            <w:shd w:val="clear" w:color="auto" w:fill="DACDED" w:themeFill="accent2" w:themeFillTint="33"/>
          </w:tcPr>
          <w:p w:rsidR="0071024B" w:rsidRDefault="0071024B" w:rsidP="00366B16">
            <w:pPr>
              <w:rPr>
                <w:rFonts w:ascii="Calibri" w:hAnsi="Calibri"/>
              </w:rPr>
            </w:pPr>
            <w:r>
              <w:rPr>
                <w:rFonts w:ascii="Calibri" w:hAnsi="Calibri"/>
              </w:rPr>
              <w:t>Marking</w:t>
            </w:r>
          </w:p>
        </w:tc>
        <w:tc>
          <w:tcPr>
            <w:tcW w:w="2523" w:type="dxa"/>
            <w:shd w:val="clear" w:color="auto" w:fill="DACDED" w:themeFill="accent2" w:themeFillTint="33"/>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ind w:left="33"/>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ind w:left="16"/>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71024B" w:rsidRPr="00C41BBF" w:rsidTr="000F6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1024B" w:rsidRDefault="0071024B" w:rsidP="00366B16">
            <w:pPr>
              <w:rPr>
                <w:rFonts w:ascii="Calibri" w:hAnsi="Calibri"/>
              </w:rPr>
            </w:pPr>
            <w:r>
              <w:rPr>
                <w:rFonts w:ascii="Calibri" w:hAnsi="Calibri"/>
              </w:rPr>
              <w:t>Safety marking on the jack</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vMerge w:val="restart"/>
            <w:shd w:val="clear" w:color="auto" w:fill="auto"/>
          </w:tcPr>
          <w:p w:rsidR="0071024B" w:rsidRPr="00313E7C" w:rsidRDefault="00313E7C" w:rsidP="000F68D1">
            <w:pPr>
              <w:cnfStyle w:val="000000100000" w:firstRow="0" w:lastRow="0" w:firstColumn="0" w:lastColumn="0" w:oddVBand="0" w:evenVBand="0" w:oddHBand="1" w:evenHBand="0" w:firstRowFirstColumn="0" w:firstRowLastColumn="0" w:lastRowFirstColumn="0" w:lastRowLastColumn="0"/>
              <w:rPr>
                <w:rFonts w:ascii="Calibri" w:hAnsi="Calibri"/>
              </w:rPr>
            </w:pPr>
            <w:r w:rsidRPr="000F68D1">
              <w:rPr>
                <w:rFonts w:ascii="Calibri" w:hAnsi="Calibri"/>
              </w:rPr>
              <w:t>Safety markings and messages required; form is prescribed in ANSI Z535 standards.</w:t>
            </w:r>
          </w:p>
        </w:tc>
        <w:tc>
          <w:tcPr>
            <w:tcW w:w="2523" w:type="dxa"/>
          </w:tcPr>
          <w:p w:rsidR="0071024B" w:rsidRPr="00C41BBF" w:rsidRDefault="0071024B" w:rsidP="00366B16">
            <w:pPr>
              <w:ind w:left="16"/>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r>
      <w:tr w:rsidR="0071024B" w:rsidRPr="00C41BBF" w:rsidTr="000F68D1">
        <w:tc>
          <w:tcPr>
            <w:cnfStyle w:val="001000000000" w:firstRow="0" w:lastRow="0" w:firstColumn="1" w:lastColumn="0" w:oddVBand="0" w:evenVBand="0" w:oddHBand="0" w:evenHBand="0" w:firstRowFirstColumn="0" w:firstRowLastColumn="0" w:lastRowFirstColumn="0" w:lastRowLastColumn="0"/>
            <w:tcW w:w="3652" w:type="dxa"/>
          </w:tcPr>
          <w:p w:rsidR="0071024B" w:rsidRDefault="0071024B" w:rsidP="00366B16">
            <w:pPr>
              <w:rPr>
                <w:rFonts w:ascii="Calibri" w:hAnsi="Calibri"/>
              </w:rPr>
            </w:pPr>
            <w:r>
              <w:rPr>
                <w:rFonts w:ascii="Calibri" w:hAnsi="Calibri"/>
              </w:rPr>
              <w:t>Package marking</w:t>
            </w:r>
          </w:p>
        </w:tc>
        <w:tc>
          <w:tcPr>
            <w:tcW w:w="2523" w:type="dxa"/>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vMerge/>
            <w:shd w:val="clear" w:color="auto" w:fill="auto"/>
          </w:tcPr>
          <w:p w:rsidR="0071024B" w:rsidRPr="00C41BBF" w:rsidRDefault="0071024B" w:rsidP="00366B16">
            <w:pPr>
              <w:ind w:left="33"/>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523" w:type="dxa"/>
            <w:shd w:val="clear" w:color="auto" w:fill="auto"/>
          </w:tcPr>
          <w:p w:rsidR="0071024B" w:rsidRPr="00C41BBF" w:rsidRDefault="0071024B" w:rsidP="00366B16">
            <w:pPr>
              <w:ind w:left="16"/>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No</w:t>
            </w:r>
          </w:p>
        </w:tc>
      </w:tr>
      <w:tr w:rsidR="0071024B" w:rsidRPr="00C41BBF" w:rsidTr="000F6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1024B" w:rsidRDefault="0071024B" w:rsidP="00366B16">
            <w:pPr>
              <w:rPr>
                <w:rFonts w:ascii="Calibri" w:hAnsi="Calibri"/>
              </w:rPr>
            </w:pPr>
            <w:r>
              <w:rPr>
                <w:rFonts w:ascii="Calibri" w:hAnsi="Calibri"/>
              </w:rPr>
              <w:t>Instructions</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vMerge/>
            <w:shd w:val="clear" w:color="auto" w:fill="auto"/>
          </w:tcPr>
          <w:p w:rsidR="0071024B" w:rsidRPr="00C41BBF" w:rsidRDefault="0071024B" w:rsidP="00366B16">
            <w:pPr>
              <w:ind w:left="33"/>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523" w:type="dxa"/>
          </w:tcPr>
          <w:p w:rsidR="0071024B" w:rsidRPr="00C41BBF" w:rsidRDefault="0071024B" w:rsidP="00366B16">
            <w:pPr>
              <w:ind w:left="16"/>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r>
    </w:tbl>
    <w:p w:rsidR="0071024B" w:rsidRDefault="0071024B" w:rsidP="00BA7AFE">
      <w:pPr>
        <w:pStyle w:val="Bulletpoint"/>
        <w:numPr>
          <w:ilvl w:val="0"/>
          <w:numId w:val="0"/>
        </w:numPr>
      </w:pPr>
      <w:r>
        <w:br w:type="page"/>
      </w:r>
    </w:p>
    <w:p w:rsidR="00BA7AFE" w:rsidRDefault="0071024B" w:rsidP="0071024B">
      <w:pPr>
        <w:pStyle w:val="Tabletitle"/>
      </w:pPr>
      <w:r>
        <w:lastRenderedPageBreak/>
        <w:t>Vehicle support stands</w:t>
      </w: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523"/>
        <w:gridCol w:w="2523"/>
        <w:gridCol w:w="2523"/>
        <w:gridCol w:w="2523"/>
      </w:tblGrid>
      <w:tr w:rsidR="0071024B" w:rsidRPr="00C41BBF" w:rsidTr="00366B16">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652" w:type="dxa"/>
            <w:shd w:val="clear" w:color="auto" w:fill="7030A0"/>
            <w:hideMark/>
          </w:tcPr>
          <w:p w:rsidR="0071024B" w:rsidRPr="00C41BBF" w:rsidRDefault="00F44137" w:rsidP="00F44137">
            <w:pPr>
              <w:rPr>
                <w:rFonts w:ascii="Calibri" w:hAnsi="Calibri"/>
              </w:rPr>
            </w:pPr>
            <w:r>
              <w:rPr>
                <w:rFonts w:ascii="Calibri" w:hAnsi="Calibri"/>
              </w:rPr>
              <w:t>Key r</w:t>
            </w:r>
            <w:r w:rsidR="0071024B" w:rsidRPr="00C41BBF">
              <w:rPr>
                <w:rFonts w:ascii="Calibri" w:hAnsi="Calibri"/>
              </w:rPr>
              <w:t>equirement</w:t>
            </w:r>
          </w:p>
        </w:tc>
        <w:tc>
          <w:tcPr>
            <w:tcW w:w="2523" w:type="dxa"/>
            <w:shd w:val="clear" w:color="auto" w:fill="7030A0"/>
            <w:hideMark/>
          </w:tcPr>
          <w:p w:rsidR="0071024B" w:rsidRPr="00C41BBF" w:rsidRDefault="0071024B" w:rsidP="00366B16">
            <w:pPr>
              <w:cnfStyle w:val="100000000000" w:firstRow="1" w:lastRow="0" w:firstColumn="0" w:lastColumn="0" w:oddVBand="0" w:evenVBand="0" w:oddHBand="0" w:evenHBand="0" w:firstRowFirstColumn="0" w:firstRowLastColumn="0" w:lastRowFirstColumn="0" w:lastRowLastColumn="0"/>
              <w:rPr>
                <w:rFonts w:ascii="Calibri" w:hAnsi="Calibri"/>
              </w:rPr>
            </w:pPr>
            <w:r w:rsidRPr="00C41BBF">
              <w:rPr>
                <w:rFonts w:ascii="Calibri" w:hAnsi="Calibri"/>
              </w:rPr>
              <w:t xml:space="preserve">AS/NZS </w:t>
            </w:r>
            <w:r>
              <w:rPr>
                <w:rFonts w:ascii="Calibri" w:hAnsi="Calibri"/>
              </w:rPr>
              <w:t>2538</w:t>
            </w:r>
            <w:r w:rsidRPr="00C41BBF">
              <w:rPr>
                <w:rFonts w:ascii="Calibri" w:hAnsi="Calibri"/>
              </w:rPr>
              <w:t>:2004</w:t>
            </w:r>
          </w:p>
          <w:p w:rsidR="0071024B" w:rsidRPr="00C41BBF" w:rsidRDefault="009444DA" w:rsidP="00366B16">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Old</w:t>
            </w:r>
            <w:r w:rsidRPr="00C41BBF">
              <w:rPr>
                <w:rFonts w:ascii="Calibri" w:hAnsi="Calibri"/>
              </w:rPr>
              <w:t xml:space="preserve"> </w:t>
            </w:r>
            <w:r w:rsidR="0071024B" w:rsidRPr="00C41BBF">
              <w:rPr>
                <w:rFonts w:ascii="Calibri" w:hAnsi="Calibri"/>
              </w:rPr>
              <w:t>Australian standard</w:t>
            </w:r>
          </w:p>
        </w:tc>
        <w:tc>
          <w:tcPr>
            <w:tcW w:w="2523" w:type="dxa"/>
            <w:shd w:val="clear" w:color="auto" w:fill="7030A0"/>
            <w:hideMark/>
          </w:tcPr>
          <w:p w:rsidR="0071024B" w:rsidRPr="00C41BBF" w:rsidRDefault="0071024B" w:rsidP="00366B16">
            <w:pPr>
              <w:cnfStyle w:val="100000000000" w:firstRow="1" w:lastRow="0" w:firstColumn="0" w:lastColumn="0" w:oddVBand="0" w:evenVBand="0" w:oddHBand="0" w:evenHBand="0" w:firstRowFirstColumn="0" w:firstRowLastColumn="0" w:lastRowFirstColumn="0" w:lastRowLastColumn="0"/>
              <w:rPr>
                <w:rFonts w:ascii="Calibri" w:hAnsi="Calibri"/>
              </w:rPr>
            </w:pPr>
            <w:r w:rsidRPr="00C41BBF">
              <w:rPr>
                <w:rFonts w:ascii="Calibri" w:hAnsi="Calibri"/>
              </w:rPr>
              <w:t xml:space="preserve">AS </w:t>
            </w:r>
            <w:r>
              <w:rPr>
                <w:rFonts w:ascii="Calibri" w:hAnsi="Calibri"/>
              </w:rPr>
              <w:t>2538</w:t>
            </w:r>
            <w:r w:rsidRPr="00C41BBF">
              <w:rPr>
                <w:rFonts w:ascii="Calibri" w:hAnsi="Calibri"/>
              </w:rPr>
              <w:t>:2016</w:t>
            </w:r>
          </w:p>
          <w:p w:rsidR="0071024B" w:rsidRPr="00C41BBF" w:rsidRDefault="0071024B" w:rsidP="00366B16">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New</w:t>
            </w:r>
            <w:r w:rsidRPr="00C41BBF">
              <w:rPr>
                <w:rFonts w:ascii="Calibri" w:hAnsi="Calibri"/>
              </w:rPr>
              <w:t xml:space="preserve"> Australian standard</w:t>
            </w:r>
          </w:p>
        </w:tc>
        <w:tc>
          <w:tcPr>
            <w:tcW w:w="2523" w:type="dxa"/>
            <w:shd w:val="clear" w:color="auto" w:fill="7030A0"/>
          </w:tcPr>
          <w:p w:rsidR="0071024B" w:rsidRPr="00C41BBF" w:rsidRDefault="0071024B" w:rsidP="00366B16">
            <w:pPr>
              <w:ind w:left="33"/>
              <w:cnfStyle w:val="100000000000" w:firstRow="1" w:lastRow="0" w:firstColumn="0" w:lastColumn="0" w:oddVBand="0" w:evenVBand="0" w:oddHBand="0" w:evenHBand="0" w:firstRowFirstColumn="0" w:firstRowLastColumn="0" w:lastRowFirstColumn="0" w:lastRowLastColumn="0"/>
              <w:rPr>
                <w:rFonts w:ascii="Calibri" w:hAnsi="Calibri"/>
              </w:rPr>
            </w:pPr>
            <w:r w:rsidRPr="00C41BBF">
              <w:rPr>
                <w:rFonts w:ascii="Calibri" w:hAnsi="Calibri"/>
              </w:rPr>
              <w:t>ASME PASE – 2014</w:t>
            </w:r>
          </w:p>
          <w:p w:rsidR="0071024B" w:rsidRPr="00C41BBF" w:rsidRDefault="009444DA" w:rsidP="00366B16">
            <w:pPr>
              <w:ind w:left="33"/>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US</w:t>
            </w:r>
            <w:r w:rsidRPr="00C41BBF">
              <w:rPr>
                <w:rFonts w:ascii="Calibri" w:hAnsi="Calibri"/>
              </w:rPr>
              <w:t xml:space="preserve"> </w:t>
            </w:r>
            <w:r w:rsidR="0071024B" w:rsidRPr="00C41BBF">
              <w:rPr>
                <w:rFonts w:ascii="Calibri" w:hAnsi="Calibri"/>
              </w:rPr>
              <w:t>standard</w:t>
            </w:r>
          </w:p>
        </w:tc>
        <w:tc>
          <w:tcPr>
            <w:tcW w:w="2523" w:type="dxa"/>
            <w:shd w:val="clear" w:color="auto" w:fill="7030A0"/>
          </w:tcPr>
          <w:p w:rsidR="0071024B" w:rsidRDefault="0071024B" w:rsidP="00366B16">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BS AU 223a:2006</w:t>
            </w:r>
          </w:p>
          <w:p w:rsidR="0071024B" w:rsidRPr="00C41BBF" w:rsidRDefault="0071024B" w:rsidP="00366B16">
            <w:pPr>
              <w:ind w:left="16"/>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British standard</w:t>
            </w:r>
          </w:p>
        </w:tc>
      </w:tr>
      <w:tr w:rsidR="0071024B" w:rsidRPr="00C41BBF" w:rsidTr="00366B1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652" w:type="dxa"/>
          </w:tcPr>
          <w:p w:rsidR="0071024B" w:rsidRPr="00C41BBF" w:rsidRDefault="0071024B" w:rsidP="00366B16">
            <w:pPr>
              <w:rPr>
                <w:rFonts w:ascii="Calibri" w:hAnsi="Calibri"/>
              </w:rPr>
            </w:pP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523" w:type="dxa"/>
          </w:tcPr>
          <w:p w:rsidR="0071024B" w:rsidRPr="00C41BBF" w:rsidRDefault="0071024B" w:rsidP="00366B16">
            <w:pPr>
              <w:ind w:left="33"/>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523" w:type="dxa"/>
            <w:shd w:val="clear" w:color="auto" w:fill="auto"/>
          </w:tcPr>
          <w:p w:rsidR="0071024B" w:rsidRPr="00C41BBF" w:rsidRDefault="0071024B" w:rsidP="00366B16">
            <w:pPr>
              <w:ind w:left="16"/>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71024B" w:rsidRPr="00C41BBF" w:rsidTr="00366B16">
        <w:tc>
          <w:tcPr>
            <w:cnfStyle w:val="001000000000" w:firstRow="0" w:lastRow="0" w:firstColumn="1" w:lastColumn="0" w:oddVBand="0" w:evenVBand="0" w:oddHBand="0" w:evenHBand="0" w:firstRowFirstColumn="0" w:firstRowLastColumn="0" w:lastRowFirstColumn="0" w:lastRowLastColumn="0"/>
            <w:tcW w:w="3652" w:type="dxa"/>
            <w:shd w:val="clear" w:color="auto" w:fill="DACDED" w:themeFill="accent2" w:themeFillTint="33"/>
          </w:tcPr>
          <w:p w:rsidR="0071024B" w:rsidRDefault="0071024B" w:rsidP="00366B16">
            <w:pPr>
              <w:rPr>
                <w:rFonts w:ascii="Calibri" w:hAnsi="Calibri"/>
              </w:rPr>
            </w:pPr>
            <w:r>
              <w:rPr>
                <w:rFonts w:ascii="Calibri" w:hAnsi="Calibri"/>
              </w:rPr>
              <w:t>Design and construction</w:t>
            </w:r>
          </w:p>
        </w:tc>
        <w:tc>
          <w:tcPr>
            <w:tcW w:w="2523" w:type="dxa"/>
            <w:shd w:val="clear" w:color="auto" w:fill="DACDED" w:themeFill="accent2" w:themeFillTint="33"/>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ind w:left="33"/>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ind w:left="16"/>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71024B" w:rsidRPr="00C41BBF" w:rsidTr="00715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1024B" w:rsidRPr="00C41BBF" w:rsidRDefault="0071024B" w:rsidP="00366B16">
            <w:pPr>
              <w:rPr>
                <w:rFonts w:ascii="Calibri" w:hAnsi="Calibri"/>
              </w:rPr>
            </w:pPr>
            <w:r>
              <w:rPr>
                <w:rFonts w:ascii="Calibri" w:hAnsi="Calibri"/>
              </w:rPr>
              <w:t>Minimum capacity</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shd w:val="clear" w:color="auto" w:fill="auto"/>
          </w:tcPr>
          <w:p w:rsidR="0071024B" w:rsidRPr="00C41BBF" w:rsidRDefault="0071024B" w:rsidP="00366B16">
            <w:pPr>
              <w:ind w:left="3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No</w:t>
            </w:r>
          </w:p>
        </w:tc>
        <w:tc>
          <w:tcPr>
            <w:tcW w:w="2523" w:type="dxa"/>
          </w:tcPr>
          <w:p w:rsidR="0071024B" w:rsidRPr="00C41BBF" w:rsidRDefault="0071024B" w:rsidP="00366B16">
            <w:pPr>
              <w:ind w:left="16"/>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r>
      <w:tr w:rsidR="0071024B" w:rsidRPr="00C41BBF" w:rsidTr="00366B16">
        <w:tc>
          <w:tcPr>
            <w:cnfStyle w:val="001000000000" w:firstRow="0" w:lastRow="0" w:firstColumn="1" w:lastColumn="0" w:oddVBand="0" w:evenVBand="0" w:oddHBand="0" w:evenHBand="0" w:firstRowFirstColumn="0" w:firstRowLastColumn="0" w:lastRowFirstColumn="0" w:lastRowLastColumn="0"/>
            <w:tcW w:w="3652" w:type="dxa"/>
          </w:tcPr>
          <w:p w:rsidR="0071024B" w:rsidRPr="00C41BBF" w:rsidRDefault="0071024B" w:rsidP="00366B16">
            <w:pPr>
              <w:rPr>
                <w:rFonts w:ascii="Calibri" w:hAnsi="Calibri"/>
              </w:rPr>
            </w:pPr>
            <w:r>
              <w:rPr>
                <w:rFonts w:ascii="Calibri" w:hAnsi="Calibri"/>
              </w:rPr>
              <w:t>Stability</w:t>
            </w:r>
          </w:p>
        </w:tc>
        <w:tc>
          <w:tcPr>
            <w:tcW w:w="2523" w:type="dxa"/>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33"/>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16"/>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r>
      <w:tr w:rsidR="0071024B" w:rsidRPr="00C41BBF" w:rsidTr="0036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1024B" w:rsidRPr="00C41BBF" w:rsidRDefault="0071024B" w:rsidP="00366B16">
            <w:pPr>
              <w:rPr>
                <w:rFonts w:ascii="Calibri" w:hAnsi="Calibri"/>
              </w:rPr>
            </w:pPr>
            <w:r>
              <w:rPr>
                <w:rFonts w:ascii="Calibri" w:hAnsi="Calibri"/>
              </w:rPr>
              <w:t>Engagement head</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3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16"/>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r>
      <w:tr w:rsidR="0071024B" w:rsidRPr="00C41BBF" w:rsidTr="00366B16">
        <w:tc>
          <w:tcPr>
            <w:cnfStyle w:val="001000000000" w:firstRow="0" w:lastRow="0" w:firstColumn="1" w:lastColumn="0" w:oddVBand="0" w:evenVBand="0" w:oddHBand="0" w:evenHBand="0" w:firstRowFirstColumn="0" w:firstRowLastColumn="0" w:lastRowFirstColumn="0" w:lastRowLastColumn="0"/>
            <w:tcW w:w="3652" w:type="dxa"/>
          </w:tcPr>
          <w:p w:rsidR="0071024B" w:rsidRPr="00C41BBF" w:rsidRDefault="0071024B" w:rsidP="00366B16">
            <w:pPr>
              <w:rPr>
                <w:rFonts w:ascii="Calibri" w:hAnsi="Calibri"/>
              </w:rPr>
            </w:pPr>
            <w:r>
              <w:rPr>
                <w:rFonts w:ascii="Calibri" w:hAnsi="Calibri"/>
              </w:rPr>
              <w:t>Adjustable height – locking pin</w:t>
            </w:r>
          </w:p>
        </w:tc>
        <w:tc>
          <w:tcPr>
            <w:tcW w:w="2523" w:type="dxa"/>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33"/>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16"/>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r>
      <w:tr w:rsidR="0071024B" w:rsidRPr="00C41BBF" w:rsidTr="0036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1024B" w:rsidRDefault="0071024B" w:rsidP="00366B16">
            <w:pPr>
              <w:rPr>
                <w:rFonts w:ascii="Calibri" w:hAnsi="Calibri"/>
              </w:rPr>
            </w:pPr>
            <w:r>
              <w:rPr>
                <w:rFonts w:ascii="Calibri" w:hAnsi="Calibri"/>
              </w:rPr>
              <w:t>Finished surface</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3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16"/>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r>
      <w:tr w:rsidR="0071024B" w:rsidRPr="00C41BBF" w:rsidTr="00715A01">
        <w:tc>
          <w:tcPr>
            <w:cnfStyle w:val="001000000000" w:firstRow="0" w:lastRow="0" w:firstColumn="1" w:lastColumn="0" w:oddVBand="0" w:evenVBand="0" w:oddHBand="0" w:evenHBand="0" w:firstRowFirstColumn="0" w:firstRowLastColumn="0" w:lastRowFirstColumn="0" w:lastRowLastColumn="0"/>
            <w:tcW w:w="3652" w:type="dxa"/>
          </w:tcPr>
          <w:p w:rsidR="0071024B" w:rsidRDefault="0071024B" w:rsidP="00366B16">
            <w:pPr>
              <w:rPr>
                <w:rFonts w:ascii="Calibri" w:hAnsi="Calibri"/>
              </w:rPr>
            </w:pPr>
            <w:r>
              <w:rPr>
                <w:rFonts w:ascii="Calibri" w:hAnsi="Calibri"/>
              </w:rPr>
              <w:t>Wheels</w:t>
            </w:r>
          </w:p>
        </w:tc>
        <w:tc>
          <w:tcPr>
            <w:tcW w:w="2523" w:type="dxa"/>
            <w:shd w:val="clear" w:color="auto" w:fill="auto"/>
          </w:tcPr>
          <w:p w:rsidR="0071024B"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No</w:t>
            </w:r>
          </w:p>
        </w:tc>
        <w:tc>
          <w:tcPr>
            <w:tcW w:w="2523" w:type="dxa"/>
          </w:tcPr>
          <w:p w:rsidR="0071024B"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33"/>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shd w:val="clear" w:color="auto" w:fill="auto"/>
          </w:tcPr>
          <w:p w:rsidR="0071024B" w:rsidRPr="00C41BBF" w:rsidRDefault="0071024B" w:rsidP="00366B16">
            <w:pPr>
              <w:ind w:left="16"/>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No</w:t>
            </w:r>
          </w:p>
        </w:tc>
      </w:tr>
      <w:tr w:rsidR="0071024B" w:rsidRPr="00C41BBF" w:rsidTr="0036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DACDED" w:themeFill="accent2" w:themeFillTint="33"/>
          </w:tcPr>
          <w:p w:rsidR="0071024B" w:rsidRDefault="0071024B" w:rsidP="00366B16">
            <w:pPr>
              <w:rPr>
                <w:rFonts w:ascii="Calibri" w:hAnsi="Calibri"/>
              </w:rPr>
            </w:pPr>
            <w:r>
              <w:rPr>
                <w:rFonts w:ascii="Calibri" w:hAnsi="Calibri"/>
              </w:rPr>
              <w:t>Performance</w:t>
            </w:r>
          </w:p>
        </w:tc>
        <w:tc>
          <w:tcPr>
            <w:tcW w:w="2523" w:type="dxa"/>
            <w:shd w:val="clear" w:color="auto" w:fill="DACDED" w:themeFill="accent2" w:themeFillTint="33"/>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ind w:left="33"/>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ind w:left="16"/>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71024B" w:rsidRPr="00C41BBF" w:rsidTr="00366B16">
        <w:tc>
          <w:tcPr>
            <w:cnfStyle w:val="001000000000" w:firstRow="0" w:lastRow="0" w:firstColumn="1" w:lastColumn="0" w:oddVBand="0" w:evenVBand="0" w:oddHBand="0" w:evenHBand="0" w:firstRowFirstColumn="0" w:firstRowLastColumn="0" w:lastRowFirstColumn="0" w:lastRowLastColumn="0"/>
            <w:tcW w:w="3652" w:type="dxa"/>
          </w:tcPr>
          <w:p w:rsidR="0071024B" w:rsidRDefault="0071024B" w:rsidP="00366B16">
            <w:pPr>
              <w:rPr>
                <w:rFonts w:ascii="Calibri" w:hAnsi="Calibri"/>
              </w:rPr>
            </w:pPr>
            <w:r>
              <w:rPr>
                <w:rFonts w:ascii="Calibri" w:hAnsi="Calibri"/>
              </w:rPr>
              <w:t>Structural integrity</w:t>
            </w:r>
          </w:p>
        </w:tc>
        <w:tc>
          <w:tcPr>
            <w:tcW w:w="2523" w:type="dxa"/>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33"/>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16"/>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r>
      <w:tr w:rsidR="0071024B" w:rsidRPr="00C41BBF" w:rsidTr="0036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1024B" w:rsidRDefault="0071024B" w:rsidP="00366B16">
            <w:pPr>
              <w:rPr>
                <w:rFonts w:ascii="Calibri" w:hAnsi="Calibri"/>
              </w:rPr>
            </w:pPr>
            <w:r>
              <w:rPr>
                <w:rFonts w:ascii="Calibri" w:hAnsi="Calibri"/>
              </w:rPr>
              <w:t>Overload capacity</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3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16"/>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r>
      <w:tr w:rsidR="0071024B" w:rsidRPr="00C41BBF" w:rsidTr="00366B16">
        <w:tc>
          <w:tcPr>
            <w:cnfStyle w:val="001000000000" w:firstRow="0" w:lastRow="0" w:firstColumn="1" w:lastColumn="0" w:oddVBand="0" w:evenVBand="0" w:oddHBand="0" w:evenHBand="0" w:firstRowFirstColumn="0" w:firstRowLastColumn="0" w:lastRowFirstColumn="0" w:lastRowLastColumn="0"/>
            <w:tcW w:w="3652" w:type="dxa"/>
            <w:shd w:val="clear" w:color="auto" w:fill="DACDED" w:themeFill="accent2" w:themeFillTint="33"/>
          </w:tcPr>
          <w:p w:rsidR="0071024B" w:rsidRDefault="0071024B" w:rsidP="00366B16">
            <w:pPr>
              <w:rPr>
                <w:rFonts w:ascii="Calibri" w:hAnsi="Calibri"/>
              </w:rPr>
            </w:pPr>
            <w:r>
              <w:rPr>
                <w:rFonts w:ascii="Calibri" w:hAnsi="Calibri"/>
              </w:rPr>
              <w:t>Marking</w:t>
            </w:r>
          </w:p>
        </w:tc>
        <w:tc>
          <w:tcPr>
            <w:tcW w:w="2523" w:type="dxa"/>
            <w:shd w:val="clear" w:color="auto" w:fill="DACDED" w:themeFill="accent2" w:themeFillTint="33"/>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ind w:left="33"/>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ind w:left="16"/>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71024B" w:rsidRPr="00C41BBF" w:rsidTr="000F6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1024B" w:rsidRDefault="0071024B" w:rsidP="00366B16">
            <w:pPr>
              <w:rPr>
                <w:rFonts w:ascii="Calibri" w:hAnsi="Calibri"/>
              </w:rPr>
            </w:pPr>
            <w:r>
              <w:rPr>
                <w:rFonts w:ascii="Calibri" w:hAnsi="Calibri"/>
              </w:rPr>
              <w:t>Instructions for assembly</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vMerge w:val="restart"/>
            <w:shd w:val="clear" w:color="auto" w:fill="auto"/>
          </w:tcPr>
          <w:p w:rsidR="0071024B" w:rsidRPr="00313E7C" w:rsidRDefault="0071024B" w:rsidP="000F68D1">
            <w:pPr>
              <w:cnfStyle w:val="000000100000" w:firstRow="0" w:lastRow="0" w:firstColumn="0" w:lastColumn="0" w:oddVBand="0" w:evenVBand="0" w:oddHBand="1" w:evenHBand="0" w:firstRowFirstColumn="0" w:firstRowLastColumn="0" w:lastRowFirstColumn="0" w:lastRowLastColumn="0"/>
              <w:rPr>
                <w:rFonts w:ascii="Calibri" w:hAnsi="Calibri"/>
              </w:rPr>
            </w:pPr>
            <w:r w:rsidRPr="00313E7C">
              <w:rPr>
                <w:rFonts w:ascii="Calibri" w:hAnsi="Calibri"/>
              </w:rPr>
              <w:t xml:space="preserve">Safety markings and messages </w:t>
            </w:r>
            <w:r w:rsidR="00313E7C" w:rsidRPr="00313E7C">
              <w:rPr>
                <w:rFonts w:ascii="Calibri" w:hAnsi="Calibri"/>
              </w:rPr>
              <w:t>required; form is prescribed in ANSI Z535 standards.</w:t>
            </w:r>
          </w:p>
        </w:tc>
        <w:tc>
          <w:tcPr>
            <w:tcW w:w="2523" w:type="dxa"/>
            <w:shd w:val="clear" w:color="auto" w:fill="auto"/>
          </w:tcPr>
          <w:p w:rsidR="0071024B" w:rsidRPr="00C41BBF" w:rsidRDefault="0071024B" w:rsidP="00366B16">
            <w:pPr>
              <w:ind w:left="16"/>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No</w:t>
            </w:r>
          </w:p>
        </w:tc>
      </w:tr>
      <w:tr w:rsidR="0071024B" w:rsidRPr="00C41BBF" w:rsidTr="000F68D1">
        <w:tc>
          <w:tcPr>
            <w:cnfStyle w:val="001000000000" w:firstRow="0" w:lastRow="0" w:firstColumn="1" w:lastColumn="0" w:oddVBand="0" w:evenVBand="0" w:oddHBand="0" w:evenHBand="0" w:firstRowFirstColumn="0" w:firstRowLastColumn="0" w:lastRowFirstColumn="0" w:lastRowLastColumn="0"/>
            <w:tcW w:w="3652" w:type="dxa"/>
          </w:tcPr>
          <w:p w:rsidR="0071024B" w:rsidRDefault="0071024B" w:rsidP="00366B16">
            <w:pPr>
              <w:rPr>
                <w:rFonts w:ascii="Calibri" w:hAnsi="Calibri"/>
              </w:rPr>
            </w:pPr>
            <w:r>
              <w:rPr>
                <w:rFonts w:ascii="Calibri" w:hAnsi="Calibri"/>
              </w:rPr>
              <w:t>Instructions for use</w:t>
            </w:r>
          </w:p>
        </w:tc>
        <w:tc>
          <w:tcPr>
            <w:tcW w:w="2523" w:type="dxa"/>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vMerge/>
            <w:shd w:val="clear" w:color="auto" w:fill="auto"/>
          </w:tcPr>
          <w:p w:rsidR="0071024B" w:rsidRPr="00C41BBF" w:rsidRDefault="0071024B" w:rsidP="00366B16">
            <w:pPr>
              <w:ind w:left="33"/>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523" w:type="dxa"/>
          </w:tcPr>
          <w:p w:rsidR="0071024B" w:rsidRPr="00C41BBF" w:rsidRDefault="0071024B" w:rsidP="00366B16">
            <w:pPr>
              <w:ind w:left="16"/>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r>
      <w:tr w:rsidR="0071024B" w:rsidRPr="00C41BBF" w:rsidTr="000F6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1024B" w:rsidRDefault="0071024B" w:rsidP="004F37AD">
            <w:pPr>
              <w:rPr>
                <w:rFonts w:ascii="Calibri" w:hAnsi="Calibri"/>
              </w:rPr>
            </w:pPr>
            <w:r>
              <w:rPr>
                <w:rFonts w:ascii="Calibri" w:hAnsi="Calibri"/>
              </w:rPr>
              <w:t xml:space="preserve">Safety marking on the </w:t>
            </w:r>
            <w:r w:rsidR="004F37AD">
              <w:rPr>
                <w:rFonts w:ascii="Calibri" w:hAnsi="Calibri"/>
              </w:rPr>
              <w:t>stand</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vMerge/>
            <w:shd w:val="clear" w:color="auto" w:fill="auto"/>
          </w:tcPr>
          <w:p w:rsidR="0071024B" w:rsidRPr="00C41BBF" w:rsidRDefault="0071024B" w:rsidP="00366B16">
            <w:pPr>
              <w:ind w:left="33"/>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523" w:type="dxa"/>
          </w:tcPr>
          <w:p w:rsidR="0071024B" w:rsidRPr="00C41BBF" w:rsidRDefault="0071024B" w:rsidP="00366B16">
            <w:pPr>
              <w:ind w:left="16"/>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r>
      <w:tr w:rsidR="0071024B" w:rsidRPr="00C41BBF" w:rsidTr="000F68D1">
        <w:tc>
          <w:tcPr>
            <w:cnfStyle w:val="001000000000" w:firstRow="0" w:lastRow="0" w:firstColumn="1" w:lastColumn="0" w:oddVBand="0" w:evenVBand="0" w:oddHBand="0" w:evenHBand="0" w:firstRowFirstColumn="0" w:firstRowLastColumn="0" w:lastRowFirstColumn="0" w:lastRowLastColumn="0"/>
            <w:tcW w:w="3652" w:type="dxa"/>
          </w:tcPr>
          <w:p w:rsidR="0071024B" w:rsidRDefault="0071024B" w:rsidP="00366B16">
            <w:pPr>
              <w:rPr>
                <w:rFonts w:ascii="Calibri" w:hAnsi="Calibri"/>
              </w:rPr>
            </w:pPr>
            <w:r>
              <w:rPr>
                <w:rFonts w:ascii="Calibri" w:hAnsi="Calibri"/>
              </w:rPr>
              <w:t>Package marking</w:t>
            </w:r>
          </w:p>
        </w:tc>
        <w:tc>
          <w:tcPr>
            <w:tcW w:w="2523" w:type="dxa"/>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vMerge/>
            <w:shd w:val="clear" w:color="auto" w:fill="auto"/>
          </w:tcPr>
          <w:p w:rsidR="0071024B" w:rsidRPr="00C41BBF" w:rsidRDefault="0071024B" w:rsidP="00366B16">
            <w:pPr>
              <w:ind w:left="33"/>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523" w:type="dxa"/>
            <w:shd w:val="clear" w:color="auto" w:fill="auto"/>
          </w:tcPr>
          <w:p w:rsidR="0071024B" w:rsidRPr="00C41BBF" w:rsidRDefault="0071024B" w:rsidP="00366B16">
            <w:pPr>
              <w:ind w:left="16"/>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No</w:t>
            </w:r>
          </w:p>
        </w:tc>
      </w:tr>
    </w:tbl>
    <w:p w:rsidR="0071024B" w:rsidRDefault="0071024B" w:rsidP="0071024B">
      <w:pPr>
        <w:pStyle w:val="Tabletitle"/>
      </w:pPr>
      <w:r>
        <w:br w:type="page"/>
      </w:r>
    </w:p>
    <w:p w:rsidR="0071024B" w:rsidRDefault="0071024B" w:rsidP="0071024B">
      <w:pPr>
        <w:pStyle w:val="Tabletitle"/>
      </w:pPr>
      <w:r>
        <w:lastRenderedPageBreak/>
        <w:t>Portable ramps for vehicles</w:t>
      </w: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523"/>
        <w:gridCol w:w="2523"/>
        <w:gridCol w:w="2523"/>
      </w:tblGrid>
      <w:tr w:rsidR="0071024B" w:rsidRPr="00C41BBF" w:rsidTr="00366B16">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652" w:type="dxa"/>
            <w:shd w:val="clear" w:color="auto" w:fill="7030A0"/>
            <w:hideMark/>
          </w:tcPr>
          <w:p w:rsidR="0071024B" w:rsidRPr="00C41BBF" w:rsidRDefault="00F44137" w:rsidP="00366B16">
            <w:pPr>
              <w:rPr>
                <w:rFonts w:ascii="Calibri" w:hAnsi="Calibri"/>
              </w:rPr>
            </w:pPr>
            <w:r>
              <w:rPr>
                <w:rFonts w:ascii="Calibri" w:hAnsi="Calibri"/>
              </w:rPr>
              <w:t>Key r</w:t>
            </w:r>
            <w:r w:rsidR="0071024B" w:rsidRPr="00C41BBF">
              <w:rPr>
                <w:rFonts w:ascii="Calibri" w:hAnsi="Calibri"/>
              </w:rPr>
              <w:t>equirement</w:t>
            </w:r>
          </w:p>
        </w:tc>
        <w:tc>
          <w:tcPr>
            <w:tcW w:w="2523" w:type="dxa"/>
            <w:shd w:val="clear" w:color="auto" w:fill="7030A0"/>
            <w:hideMark/>
          </w:tcPr>
          <w:p w:rsidR="0071024B" w:rsidRPr="00C41BBF" w:rsidRDefault="0071024B" w:rsidP="00366B16">
            <w:pPr>
              <w:cnfStyle w:val="100000000000" w:firstRow="1" w:lastRow="0" w:firstColumn="0" w:lastColumn="0" w:oddVBand="0" w:evenVBand="0" w:oddHBand="0" w:evenHBand="0" w:firstRowFirstColumn="0" w:firstRowLastColumn="0" w:lastRowFirstColumn="0" w:lastRowLastColumn="0"/>
              <w:rPr>
                <w:rFonts w:ascii="Calibri" w:hAnsi="Calibri"/>
              </w:rPr>
            </w:pPr>
            <w:r w:rsidRPr="00C41BBF">
              <w:rPr>
                <w:rFonts w:ascii="Calibri" w:hAnsi="Calibri"/>
              </w:rPr>
              <w:t xml:space="preserve">AS/NZS </w:t>
            </w:r>
            <w:r>
              <w:rPr>
                <w:rFonts w:ascii="Calibri" w:hAnsi="Calibri"/>
              </w:rPr>
              <w:t>2640:1994</w:t>
            </w:r>
          </w:p>
          <w:p w:rsidR="0071024B" w:rsidRPr="00C41BBF" w:rsidRDefault="009444DA" w:rsidP="00366B16">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Old</w:t>
            </w:r>
            <w:r w:rsidRPr="00C41BBF">
              <w:rPr>
                <w:rFonts w:ascii="Calibri" w:hAnsi="Calibri"/>
              </w:rPr>
              <w:t xml:space="preserve"> </w:t>
            </w:r>
            <w:r w:rsidR="0071024B" w:rsidRPr="00C41BBF">
              <w:rPr>
                <w:rFonts w:ascii="Calibri" w:hAnsi="Calibri"/>
              </w:rPr>
              <w:t>Australian standard</w:t>
            </w:r>
          </w:p>
        </w:tc>
        <w:tc>
          <w:tcPr>
            <w:tcW w:w="2523" w:type="dxa"/>
            <w:shd w:val="clear" w:color="auto" w:fill="7030A0"/>
            <w:hideMark/>
          </w:tcPr>
          <w:p w:rsidR="0071024B" w:rsidRPr="00C41BBF" w:rsidRDefault="0071024B" w:rsidP="00366B16">
            <w:pPr>
              <w:cnfStyle w:val="100000000000" w:firstRow="1" w:lastRow="0" w:firstColumn="0" w:lastColumn="0" w:oddVBand="0" w:evenVBand="0" w:oddHBand="0" w:evenHBand="0" w:firstRowFirstColumn="0" w:firstRowLastColumn="0" w:lastRowFirstColumn="0" w:lastRowLastColumn="0"/>
              <w:rPr>
                <w:rFonts w:ascii="Calibri" w:hAnsi="Calibri"/>
              </w:rPr>
            </w:pPr>
            <w:r w:rsidRPr="00C41BBF">
              <w:rPr>
                <w:rFonts w:ascii="Calibri" w:hAnsi="Calibri"/>
              </w:rPr>
              <w:t xml:space="preserve">AS </w:t>
            </w:r>
            <w:r>
              <w:rPr>
                <w:rFonts w:ascii="Calibri" w:hAnsi="Calibri"/>
              </w:rPr>
              <w:t>2640:2016</w:t>
            </w:r>
          </w:p>
          <w:p w:rsidR="0071024B" w:rsidRPr="00C41BBF" w:rsidRDefault="0071024B" w:rsidP="00366B16">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New</w:t>
            </w:r>
            <w:r w:rsidRPr="00C41BBF">
              <w:rPr>
                <w:rFonts w:ascii="Calibri" w:hAnsi="Calibri"/>
              </w:rPr>
              <w:t xml:space="preserve"> Australian standard</w:t>
            </w:r>
          </w:p>
        </w:tc>
        <w:tc>
          <w:tcPr>
            <w:tcW w:w="2523" w:type="dxa"/>
            <w:shd w:val="clear" w:color="auto" w:fill="7030A0"/>
          </w:tcPr>
          <w:p w:rsidR="0071024B" w:rsidRPr="00C41BBF" w:rsidRDefault="0071024B" w:rsidP="00366B16">
            <w:pPr>
              <w:ind w:left="33"/>
              <w:cnfStyle w:val="100000000000" w:firstRow="1" w:lastRow="0" w:firstColumn="0" w:lastColumn="0" w:oddVBand="0" w:evenVBand="0" w:oddHBand="0" w:evenHBand="0" w:firstRowFirstColumn="0" w:firstRowLastColumn="0" w:lastRowFirstColumn="0" w:lastRowLastColumn="0"/>
              <w:rPr>
                <w:rFonts w:ascii="Calibri" w:hAnsi="Calibri"/>
              </w:rPr>
            </w:pPr>
            <w:r w:rsidRPr="00C41BBF">
              <w:rPr>
                <w:rFonts w:ascii="Calibri" w:hAnsi="Calibri"/>
              </w:rPr>
              <w:t>ASME PASE – 2014</w:t>
            </w:r>
          </w:p>
          <w:p w:rsidR="0071024B" w:rsidRPr="00C41BBF" w:rsidRDefault="009444DA" w:rsidP="00366B16">
            <w:pPr>
              <w:ind w:left="33"/>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US</w:t>
            </w:r>
            <w:r w:rsidRPr="00C41BBF">
              <w:rPr>
                <w:rFonts w:ascii="Calibri" w:hAnsi="Calibri"/>
              </w:rPr>
              <w:t xml:space="preserve"> </w:t>
            </w:r>
            <w:r w:rsidR="0071024B" w:rsidRPr="00C41BBF">
              <w:rPr>
                <w:rFonts w:ascii="Calibri" w:hAnsi="Calibri"/>
              </w:rPr>
              <w:t>standard</w:t>
            </w:r>
          </w:p>
        </w:tc>
      </w:tr>
      <w:tr w:rsidR="0071024B" w:rsidRPr="00C41BBF" w:rsidTr="00366B1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652" w:type="dxa"/>
          </w:tcPr>
          <w:p w:rsidR="0071024B" w:rsidRPr="00C41BBF" w:rsidRDefault="0071024B" w:rsidP="00366B16">
            <w:pPr>
              <w:rPr>
                <w:rFonts w:ascii="Calibri" w:hAnsi="Calibri"/>
              </w:rPr>
            </w:pP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523" w:type="dxa"/>
          </w:tcPr>
          <w:p w:rsidR="0071024B" w:rsidRPr="00C41BBF" w:rsidRDefault="0071024B" w:rsidP="00366B16">
            <w:pPr>
              <w:ind w:left="33"/>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71024B" w:rsidRPr="00C41BBF" w:rsidTr="00366B16">
        <w:tc>
          <w:tcPr>
            <w:cnfStyle w:val="001000000000" w:firstRow="0" w:lastRow="0" w:firstColumn="1" w:lastColumn="0" w:oddVBand="0" w:evenVBand="0" w:oddHBand="0" w:evenHBand="0" w:firstRowFirstColumn="0" w:firstRowLastColumn="0" w:lastRowFirstColumn="0" w:lastRowLastColumn="0"/>
            <w:tcW w:w="3652" w:type="dxa"/>
            <w:shd w:val="clear" w:color="auto" w:fill="DACDED" w:themeFill="accent2" w:themeFillTint="33"/>
          </w:tcPr>
          <w:p w:rsidR="0071024B" w:rsidRDefault="0071024B" w:rsidP="00366B16">
            <w:pPr>
              <w:rPr>
                <w:rFonts w:ascii="Calibri" w:hAnsi="Calibri"/>
              </w:rPr>
            </w:pPr>
            <w:r>
              <w:rPr>
                <w:rFonts w:ascii="Calibri" w:hAnsi="Calibri"/>
              </w:rPr>
              <w:t>Design and construction</w:t>
            </w:r>
          </w:p>
        </w:tc>
        <w:tc>
          <w:tcPr>
            <w:tcW w:w="2523" w:type="dxa"/>
            <w:shd w:val="clear" w:color="auto" w:fill="DACDED" w:themeFill="accent2" w:themeFillTint="33"/>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ind w:left="33"/>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71024B" w:rsidRPr="00C41BBF" w:rsidTr="00715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1024B" w:rsidRPr="00C41BBF" w:rsidRDefault="0071024B" w:rsidP="00366B16">
            <w:pPr>
              <w:rPr>
                <w:rFonts w:ascii="Calibri" w:hAnsi="Calibri"/>
              </w:rPr>
            </w:pPr>
            <w:r>
              <w:rPr>
                <w:rFonts w:ascii="Calibri" w:hAnsi="Calibri"/>
              </w:rPr>
              <w:t>Minimum capacity</w:t>
            </w:r>
          </w:p>
        </w:tc>
        <w:tc>
          <w:tcPr>
            <w:tcW w:w="2523" w:type="dxa"/>
            <w:shd w:val="clear" w:color="auto" w:fill="auto"/>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shd w:val="clear" w:color="auto" w:fill="auto"/>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shd w:val="clear" w:color="auto" w:fill="auto"/>
          </w:tcPr>
          <w:p w:rsidR="0071024B" w:rsidRPr="00C41BBF" w:rsidRDefault="0071024B" w:rsidP="00366B16">
            <w:pPr>
              <w:ind w:left="3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No</w:t>
            </w:r>
          </w:p>
        </w:tc>
      </w:tr>
      <w:tr w:rsidR="0071024B" w:rsidRPr="00C41BBF" w:rsidTr="00366B16">
        <w:tc>
          <w:tcPr>
            <w:cnfStyle w:val="001000000000" w:firstRow="0" w:lastRow="0" w:firstColumn="1" w:lastColumn="0" w:oddVBand="0" w:evenVBand="0" w:oddHBand="0" w:evenHBand="0" w:firstRowFirstColumn="0" w:firstRowLastColumn="0" w:lastRowFirstColumn="0" w:lastRowLastColumn="0"/>
            <w:tcW w:w="3652" w:type="dxa"/>
          </w:tcPr>
          <w:p w:rsidR="0071024B" w:rsidRPr="00C41BBF" w:rsidRDefault="0071024B" w:rsidP="00366B16">
            <w:pPr>
              <w:rPr>
                <w:rFonts w:ascii="Calibri" w:hAnsi="Calibri"/>
              </w:rPr>
            </w:pPr>
            <w:r>
              <w:rPr>
                <w:rFonts w:ascii="Calibri" w:hAnsi="Calibri"/>
              </w:rPr>
              <w:t>Design</w:t>
            </w:r>
          </w:p>
        </w:tc>
        <w:tc>
          <w:tcPr>
            <w:tcW w:w="2523" w:type="dxa"/>
            <w:shd w:val="clear" w:color="auto" w:fill="auto"/>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shd w:val="clear" w:color="auto" w:fill="auto"/>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shd w:val="clear" w:color="auto" w:fill="auto"/>
          </w:tcPr>
          <w:p w:rsidR="0071024B" w:rsidRPr="00C41BBF" w:rsidRDefault="0071024B" w:rsidP="00366B16">
            <w:pPr>
              <w:ind w:left="33"/>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r>
      <w:tr w:rsidR="0071024B" w:rsidRPr="00C41BBF" w:rsidTr="0036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1024B" w:rsidRPr="00C41BBF" w:rsidRDefault="0071024B" w:rsidP="00366B16">
            <w:pPr>
              <w:rPr>
                <w:rFonts w:ascii="Calibri" w:hAnsi="Calibri"/>
              </w:rPr>
            </w:pPr>
            <w:r>
              <w:rPr>
                <w:rFonts w:ascii="Calibri" w:hAnsi="Calibri"/>
              </w:rPr>
              <w:t>Prevention of roll off</w:t>
            </w:r>
          </w:p>
        </w:tc>
        <w:tc>
          <w:tcPr>
            <w:tcW w:w="2523" w:type="dxa"/>
            <w:shd w:val="clear" w:color="auto" w:fill="auto"/>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shd w:val="clear" w:color="auto" w:fill="auto"/>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shd w:val="clear" w:color="auto" w:fill="auto"/>
          </w:tcPr>
          <w:p w:rsidR="0071024B" w:rsidRPr="00C41BBF" w:rsidRDefault="0071024B" w:rsidP="00366B16">
            <w:pPr>
              <w:ind w:left="3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r>
      <w:tr w:rsidR="0071024B" w:rsidRPr="00C41BBF" w:rsidTr="00366B16">
        <w:tc>
          <w:tcPr>
            <w:cnfStyle w:val="001000000000" w:firstRow="0" w:lastRow="0" w:firstColumn="1" w:lastColumn="0" w:oddVBand="0" w:evenVBand="0" w:oddHBand="0" w:evenHBand="0" w:firstRowFirstColumn="0" w:firstRowLastColumn="0" w:lastRowFirstColumn="0" w:lastRowLastColumn="0"/>
            <w:tcW w:w="3652" w:type="dxa"/>
          </w:tcPr>
          <w:p w:rsidR="0071024B" w:rsidRPr="00C41BBF" w:rsidRDefault="0071024B" w:rsidP="00366B16">
            <w:pPr>
              <w:rPr>
                <w:rFonts w:ascii="Calibri" w:hAnsi="Calibri"/>
              </w:rPr>
            </w:pPr>
            <w:r>
              <w:rPr>
                <w:rFonts w:ascii="Calibri" w:hAnsi="Calibri"/>
              </w:rPr>
              <w:t>Prevention of over travel</w:t>
            </w:r>
          </w:p>
        </w:tc>
        <w:tc>
          <w:tcPr>
            <w:tcW w:w="2523" w:type="dxa"/>
            <w:shd w:val="clear" w:color="auto" w:fill="auto"/>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shd w:val="clear" w:color="auto" w:fill="auto"/>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shd w:val="clear" w:color="auto" w:fill="auto"/>
          </w:tcPr>
          <w:p w:rsidR="0071024B" w:rsidRPr="00C41BBF" w:rsidRDefault="0071024B" w:rsidP="00366B16">
            <w:pPr>
              <w:ind w:left="33"/>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r>
      <w:tr w:rsidR="0071024B" w:rsidRPr="00C41BBF" w:rsidTr="0036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1024B" w:rsidRDefault="0071024B" w:rsidP="00366B16">
            <w:pPr>
              <w:rPr>
                <w:rFonts w:ascii="Calibri" w:hAnsi="Calibri"/>
              </w:rPr>
            </w:pPr>
            <w:r>
              <w:rPr>
                <w:rFonts w:ascii="Calibri" w:hAnsi="Calibri"/>
              </w:rPr>
              <w:t>Surfaces</w:t>
            </w:r>
          </w:p>
        </w:tc>
        <w:tc>
          <w:tcPr>
            <w:tcW w:w="2523" w:type="dxa"/>
            <w:shd w:val="clear" w:color="auto" w:fill="auto"/>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shd w:val="clear" w:color="auto" w:fill="auto"/>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shd w:val="clear" w:color="auto" w:fill="auto"/>
          </w:tcPr>
          <w:p w:rsidR="0071024B" w:rsidRPr="00C41BBF" w:rsidRDefault="0071024B" w:rsidP="00366B16">
            <w:pPr>
              <w:ind w:left="3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r>
      <w:tr w:rsidR="0071024B" w:rsidRPr="00C41BBF" w:rsidTr="00366B16">
        <w:tc>
          <w:tcPr>
            <w:cnfStyle w:val="001000000000" w:firstRow="0" w:lastRow="0" w:firstColumn="1" w:lastColumn="0" w:oddVBand="0" w:evenVBand="0" w:oddHBand="0" w:evenHBand="0" w:firstRowFirstColumn="0" w:firstRowLastColumn="0" w:lastRowFirstColumn="0" w:lastRowLastColumn="0"/>
            <w:tcW w:w="3652" w:type="dxa"/>
            <w:shd w:val="clear" w:color="auto" w:fill="DACDED" w:themeFill="accent2" w:themeFillTint="33"/>
          </w:tcPr>
          <w:p w:rsidR="0071024B" w:rsidRDefault="0071024B" w:rsidP="00366B16">
            <w:pPr>
              <w:rPr>
                <w:rFonts w:ascii="Calibri" w:hAnsi="Calibri"/>
              </w:rPr>
            </w:pPr>
            <w:r>
              <w:rPr>
                <w:rFonts w:ascii="Calibri" w:hAnsi="Calibri"/>
              </w:rPr>
              <w:t>Performance</w:t>
            </w:r>
          </w:p>
        </w:tc>
        <w:tc>
          <w:tcPr>
            <w:tcW w:w="2523" w:type="dxa"/>
            <w:shd w:val="clear" w:color="auto" w:fill="DACDED" w:themeFill="accent2" w:themeFillTint="33"/>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ind w:left="33"/>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71024B" w:rsidRPr="00C41BBF" w:rsidTr="0036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1024B" w:rsidRDefault="0071024B" w:rsidP="00366B16">
            <w:pPr>
              <w:rPr>
                <w:rFonts w:ascii="Calibri" w:hAnsi="Calibri"/>
              </w:rPr>
            </w:pPr>
            <w:r>
              <w:rPr>
                <w:rFonts w:ascii="Calibri" w:hAnsi="Calibri"/>
              </w:rPr>
              <w:t>Overload capacity</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ind w:left="3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r>
      <w:tr w:rsidR="0071024B" w:rsidRPr="00C41BBF" w:rsidTr="00366B16">
        <w:tc>
          <w:tcPr>
            <w:cnfStyle w:val="001000000000" w:firstRow="0" w:lastRow="0" w:firstColumn="1" w:lastColumn="0" w:oddVBand="0" w:evenVBand="0" w:oddHBand="0" w:evenHBand="0" w:firstRowFirstColumn="0" w:firstRowLastColumn="0" w:lastRowFirstColumn="0" w:lastRowLastColumn="0"/>
            <w:tcW w:w="3652" w:type="dxa"/>
            <w:shd w:val="clear" w:color="auto" w:fill="DACDED" w:themeFill="accent2" w:themeFillTint="33"/>
          </w:tcPr>
          <w:p w:rsidR="0071024B" w:rsidRDefault="0071024B" w:rsidP="00366B16">
            <w:pPr>
              <w:rPr>
                <w:rFonts w:ascii="Calibri" w:hAnsi="Calibri"/>
              </w:rPr>
            </w:pPr>
            <w:r>
              <w:rPr>
                <w:rFonts w:ascii="Calibri" w:hAnsi="Calibri"/>
              </w:rPr>
              <w:t>Marking</w:t>
            </w:r>
          </w:p>
        </w:tc>
        <w:tc>
          <w:tcPr>
            <w:tcW w:w="2523" w:type="dxa"/>
            <w:shd w:val="clear" w:color="auto" w:fill="DACDED" w:themeFill="accent2" w:themeFillTint="33"/>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523" w:type="dxa"/>
            <w:shd w:val="clear" w:color="auto" w:fill="DACDED" w:themeFill="accent2" w:themeFillTint="33"/>
          </w:tcPr>
          <w:p w:rsidR="0071024B" w:rsidRPr="00C41BBF" w:rsidRDefault="0071024B" w:rsidP="00366B16">
            <w:pPr>
              <w:ind w:left="33"/>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71024B" w:rsidRPr="00C41BBF" w:rsidTr="000F6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1024B" w:rsidRDefault="0071024B" w:rsidP="00366B16">
            <w:pPr>
              <w:rPr>
                <w:rFonts w:ascii="Calibri" w:hAnsi="Calibri"/>
              </w:rPr>
            </w:pPr>
            <w:r>
              <w:rPr>
                <w:rFonts w:ascii="Calibri" w:hAnsi="Calibri"/>
              </w:rPr>
              <w:t>Instructions for assembly</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vMerge w:val="restart"/>
            <w:shd w:val="clear" w:color="auto" w:fill="auto"/>
          </w:tcPr>
          <w:p w:rsidR="0071024B" w:rsidRPr="00C41BBF" w:rsidRDefault="00313E7C" w:rsidP="00366B16">
            <w:pPr>
              <w:ind w:left="33"/>
              <w:cnfStyle w:val="000000100000" w:firstRow="0" w:lastRow="0" w:firstColumn="0" w:lastColumn="0" w:oddVBand="0" w:evenVBand="0" w:oddHBand="1" w:evenHBand="0" w:firstRowFirstColumn="0" w:firstRowLastColumn="0" w:lastRowFirstColumn="0" w:lastRowLastColumn="0"/>
              <w:rPr>
                <w:rFonts w:ascii="Calibri" w:hAnsi="Calibri"/>
              </w:rPr>
            </w:pPr>
            <w:r w:rsidRPr="00313E7C">
              <w:rPr>
                <w:rFonts w:ascii="Calibri" w:hAnsi="Calibri"/>
              </w:rPr>
              <w:t>Safety markings and messages required; form is prescribed in ANSI Z535 standards.</w:t>
            </w:r>
          </w:p>
        </w:tc>
      </w:tr>
      <w:tr w:rsidR="0071024B" w:rsidRPr="00C41BBF" w:rsidTr="000F68D1">
        <w:tc>
          <w:tcPr>
            <w:cnfStyle w:val="001000000000" w:firstRow="0" w:lastRow="0" w:firstColumn="1" w:lastColumn="0" w:oddVBand="0" w:evenVBand="0" w:oddHBand="0" w:evenHBand="0" w:firstRowFirstColumn="0" w:firstRowLastColumn="0" w:lastRowFirstColumn="0" w:lastRowLastColumn="0"/>
            <w:tcW w:w="3652" w:type="dxa"/>
          </w:tcPr>
          <w:p w:rsidR="0071024B" w:rsidRDefault="0071024B" w:rsidP="00366B16">
            <w:pPr>
              <w:rPr>
                <w:rFonts w:ascii="Calibri" w:hAnsi="Calibri"/>
              </w:rPr>
            </w:pPr>
            <w:r>
              <w:rPr>
                <w:rFonts w:ascii="Calibri" w:hAnsi="Calibri"/>
              </w:rPr>
              <w:t>Instructions for use</w:t>
            </w:r>
          </w:p>
        </w:tc>
        <w:tc>
          <w:tcPr>
            <w:tcW w:w="2523" w:type="dxa"/>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p>
        </w:tc>
        <w:tc>
          <w:tcPr>
            <w:tcW w:w="2523" w:type="dxa"/>
            <w:vMerge/>
            <w:shd w:val="clear" w:color="auto" w:fill="auto"/>
          </w:tcPr>
          <w:p w:rsidR="0071024B" w:rsidRPr="00C41BBF" w:rsidRDefault="0071024B" w:rsidP="00366B16">
            <w:pPr>
              <w:ind w:left="33"/>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71024B" w:rsidRPr="00C41BBF" w:rsidTr="000F6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1024B" w:rsidRDefault="0071024B" w:rsidP="00366B16">
            <w:pPr>
              <w:rPr>
                <w:rFonts w:ascii="Calibri" w:hAnsi="Calibri"/>
              </w:rPr>
            </w:pPr>
            <w:r>
              <w:rPr>
                <w:rFonts w:ascii="Calibri" w:hAnsi="Calibri"/>
              </w:rPr>
              <w:t>Marking on the ramp</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tcPr>
          <w:p w:rsidR="0071024B" w:rsidRPr="00C41BBF" w:rsidRDefault="0071024B" w:rsidP="00366B1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p>
        </w:tc>
        <w:tc>
          <w:tcPr>
            <w:tcW w:w="2523" w:type="dxa"/>
            <w:vMerge/>
            <w:shd w:val="clear" w:color="auto" w:fill="auto"/>
          </w:tcPr>
          <w:p w:rsidR="0071024B" w:rsidRPr="00C41BBF" w:rsidRDefault="0071024B" w:rsidP="00366B16">
            <w:pPr>
              <w:ind w:left="33"/>
              <w:cnfStyle w:val="000000100000" w:firstRow="0" w:lastRow="0" w:firstColumn="0" w:lastColumn="0" w:oddVBand="0" w:evenVBand="0" w:oddHBand="1" w:evenHBand="0" w:firstRowFirstColumn="0" w:firstRowLastColumn="0" w:lastRowFirstColumn="0" w:lastRowLastColumn="0"/>
              <w:rPr>
                <w:rFonts w:ascii="Calibri" w:hAnsi="Calibri"/>
              </w:rPr>
            </w:pPr>
          </w:p>
        </w:tc>
      </w:tr>
    </w:tbl>
    <w:p w:rsidR="00AE4AA6" w:rsidRDefault="00AE4AA6" w:rsidP="00BA7AFE">
      <w:pPr>
        <w:pStyle w:val="Bulletpoint"/>
        <w:numPr>
          <w:ilvl w:val="0"/>
          <w:numId w:val="0"/>
        </w:numPr>
        <w:sectPr w:rsidR="00AE4AA6" w:rsidSect="00BA7AFE">
          <w:pgSz w:w="16838" w:h="11906" w:orient="landscape"/>
          <w:pgMar w:top="1440" w:right="1276" w:bottom="1440" w:left="1440" w:header="708" w:footer="708" w:gutter="0"/>
          <w:cols w:space="708"/>
          <w:titlePg/>
          <w:docGrid w:linePitch="360"/>
        </w:sectPr>
      </w:pPr>
    </w:p>
    <w:p w:rsidR="00AE4AA6" w:rsidRPr="003F66F7" w:rsidRDefault="00F23FEC" w:rsidP="00AE4AA6">
      <w:pPr>
        <w:pStyle w:val="Heading1"/>
      </w:pPr>
      <w:bookmarkStart w:id="104" w:name="_Toc460406304"/>
      <w:r>
        <w:lastRenderedPageBreak/>
        <w:t>Appendix</w:t>
      </w:r>
      <w:r w:rsidR="00AE4AA6" w:rsidRPr="003F66F7">
        <w:t xml:space="preserve"> B: Principles-based requirements for warnings and information</w:t>
      </w:r>
      <w:bookmarkEnd w:id="104"/>
    </w:p>
    <w:p w:rsidR="00AE4AA6" w:rsidRDefault="00AE4AA6" w:rsidP="00AE4AA6">
      <w:r>
        <w:t>The current mandatory safety standards for hydraulic trolley jacks, vehicle support stands and portable ramps for vehicles call up all the marking requirements in the corresponding old Australian voluntary standards. These marking requirements cover a range of safety information including warning labels, user instructions and package marking.</w:t>
      </w:r>
    </w:p>
    <w:p w:rsidR="00AE4AA6" w:rsidRDefault="00AE4AA6" w:rsidP="00AE4AA6">
      <w:r>
        <w:t>Under a principles-based approach, the safety standards would require safety warnings and instructions that do not reference specific wording of an Australian or other voluntary standard. Instead, the safety warnings and instructions would need to satisfy the following:</w:t>
      </w:r>
    </w:p>
    <w:p w:rsidR="00AE4AA6" w:rsidRDefault="00AE4AA6" w:rsidP="007E14B0">
      <w:pPr>
        <w:pStyle w:val="ListParagraph"/>
        <w:numPr>
          <w:ilvl w:val="0"/>
          <w:numId w:val="32"/>
        </w:numPr>
      </w:pPr>
      <w:r>
        <w:t>warnings stating that incorrect use may result in death or serious injury</w:t>
      </w:r>
    </w:p>
    <w:p w:rsidR="00AE4AA6" w:rsidRDefault="00AE4AA6" w:rsidP="007E14B0">
      <w:pPr>
        <w:pStyle w:val="ListParagraph"/>
        <w:numPr>
          <w:ilvl w:val="0"/>
          <w:numId w:val="32"/>
        </w:numPr>
      </w:pPr>
      <w:r>
        <w:t>the option to include pictograms to illustrate correct or incorrect use</w:t>
      </w:r>
    </w:p>
    <w:p w:rsidR="00AE4AA6" w:rsidRDefault="00AE4AA6" w:rsidP="007E14B0">
      <w:pPr>
        <w:pStyle w:val="ListParagraph"/>
        <w:numPr>
          <w:ilvl w:val="0"/>
          <w:numId w:val="32"/>
        </w:numPr>
      </w:pPr>
      <w:r>
        <w:t>the nominated capacity of the products</w:t>
      </w:r>
    </w:p>
    <w:p w:rsidR="00AE4AA6" w:rsidRDefault="00AE4AA6" w:rsidP="007E14B0">
      <w:pPr>
        <w:pStyle w:val="ListParagraph"/>
        <w:numPr>
          <w:ilvl w:val="0"/>
          <w:numId w:val="32"/>
        </w:numPr>
      </w:pPr>
      <w:r>
        <w:t>permanence and durability of the labels</w:t>
      </w:r>
    </w:p>
    <w:p w:rsidR="00AE4AA6" w:rsidRDefault="00AE4AA6" w:rsidP="007E14B0">
      <w:pPr>
        <w:pStyle w:val="ListParagraph"/>
        <w:numPr>
          <w:ilvl w:val="0"/>
          <w:numId w:val="32"/>
        </w:numPr>
      </w:pPr>
      <w:r>
        <w:t>prominence of the warnings on the product during use</w:t>
      </w:r>
    </w:p>
    <w:p w:rsidR="00AE4AA6" w:rsidRDefault="00AE4AA6" w:rsidP="007E14B0">
      <w:pPr>
        <w:pStyle w:val="ListParagraph"/>
        <w:numPr>
          <w:ilvl w:val="0"/>
          <w:numId w:val="32"/>
        </w:numPr>
      </w:pPr>
      <w:r>
        <w:t>legibility of the warnings on the product (including that all of the required information and warnings are in English)</w:t>
      </w:r>
    </w:p>
    <w:p w:rsidR="00AE4AA6" w:rsidRDefault="00AE4AA6" w:rsidP="007E14B0">
      <w:pPr>
        <w:pStyle w:val="ListParagraph"/>
        <w:numPr>
          <w:ilvl w:val="0"/>
          <w:numId w:val="32"/>
        </w:numPr>
      </w:pPr>
      <w:r>
        <w:t>instructions for safe use to be supplied with the product in English</w:t>
      </w:r>
    </w:p>
    <w:p w:rsidR="00AE4AA6" w:rsidRDefault="00AE4AA6" w:rsidP="007E14B0">
      <w:pPr>
        <w:pStyle w:val="ListParagraph"/>
        <w:numPr>
          <w:ilvl w:val="0"/>
          <w:numId w:val="32"/>
        </w:numPr>
      </w:pPr>
      <w:r>
        <w:t>marking on the packaging of the product in English.</w:t>
      </w:r>
    </w:p>
    <w:p w:rsidR="00AE4AA6" w:rsidRDefault="00AE4AA6" w:rsidP="00AE4AA6">
      <w:r>
        <w:t>The supplier must also nominate the Australian or other voluntary standard used to comply with the performance requirements of the safety standard (i.e. Australian/ US/ European standard) in writing at the point of sale (e.g. on the internet product page, on the packaging of the product, or on signage at the point of sale).</w:t>
      </w:r>
    </w:p>
    <w:p w:rsidR="0071024B" w:rsidRPr="009A54B6" w:rsidRDefault="00AE4AA6" w:rsidP="00AE4AA6">
      <w:pPr>
        <w:pStyle w:val="Bulletpoint"/>
        <w:numPr>
          <w:ilvl w:val="0"/>
          <w:numId w:val="0"/>
        </w:numPr>
      </w:pPr>
      <w:r>
        <w:t>Products that comply with all of the prescriptive marking requirements, including warning labels, user instructions and package marking, of the new voluntary Australian standards would comply with the principles for warnings and instructions specified in the new mandatory safety standard.</w:t>
      </w:r>
    </w:p>
    <w:sectPr w:rsidR="0071024B" w:rsidRPr="009A54B6" w:rsidSect="00697EE1">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53" w:rsidRDefault="00A97153" w:rsidP="004B4412">
      <w:pPr>
        <w:spacing w:before="0"/>
      </w:pPr>
      <w:r>
        <w:separator/>
      </w:r>
    </w:p>
  </w:endnote>
  <w:endnote w:type="continuationSeparator" w:id="0">
    <w:p w:rsidR="00A97153" w:rsidRDefault="00A97153"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126279"/>
      <w:docPartObj>
        <w:docPartGallery w:val="Page Numbers (Bottom of Page)"/>
        <w:docPartUnique/>
      </w:docPartObj>
    </w:sdtPr>
    <w:sdtEndPr>
      <w:rPr>
        <w:noProof/>
      </w:rPr>
    </w:sdtEndPr>
    <w:sdtContent>
      <w:p w:rsidR="00A97153" w:rsidRDefault="003D3953">
        <w:pPr>
          <w:pStyle w:val="Footer"/>
          <w:jc w:val="right"/>
          <w:rPr>
            <w:noProof/>
          </w:rPr>
        </w:pPr>
        <w:r>
          <w:fldChar w:fldCharType="begin"/>
        </w:r>
        <w:r>
          <w:instrText xml:space="preserve"> STYLEREF  Title  \* MERGEFORMAT </w:instrText>
        </w:r>
        <w:r>
          <w:rPr>
            <w:noProof/>
          </w:rPr>
          <w:fldChar w:fldCharType="end"/>
        </w:r>
      </w:p>
      <w:p w:rsidR="00A97153" w:rsidRDefault="00A97153" w:rsidP="00FB53F4">
        <w:pPr>
          <w:pStyle w:val="Footer"/>
          <w:jc w:val="center"/>
        </w:pPr>
        <w:r>
          <w:fldChar w:fldCharType="begin"/>
        </w:r>
        <w:r>
          <w:instrText xml:space="preserve"> PAGE   \* MERGEFORMAT </w:instrText>
        </w:r>
        <w:r>
          <w:fldChar w:fldCharType="separate"/>
        </w:r>
        <w:r w:rsidR="003D3953">
          <w:rPr>
            <w:noProof/>
          </w:rPr>
          <w:t>- 1 -</w:t>
        </w:r>
        <w:r>
          <w:rPr>
            <w:noProof/>
          </w:rPr>
          <w:fldChar w:fldCharType="end"/>
        </w:r>
      </w:p>
    </w:sdtContent>
  </w:sdt>
  <w:p w:rsidR="00A97153" w:rsidRDefault="00A97153" w:rsidP="00F746B8">
    <w:pPr>
      <w:pStyle w:val="Footer"/>
      <w:tabs>
        <w:tab w:val="clear" w:pos="4513"/>
        <w:tab w:val="clear" w:pos="9026"/>
        <w:tab w:val="left" w:pos="831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53" w:rsidRPr="000E3A2E" w:rsidRDefault="00A97153" w:rsidP="000E3A2E">
    <w:pPr>
      <w:tabs>
        <w:tab w:val="center" w:pos="4513"/>
        <w:tab w:val="right" w:pos="8505"/>
      </w:tabs>
      <w:spacing w:after="120" w:line="276" w:lineRule="auto"/>
      <w:rPr>
        <w:color w:val="51626F" w:themeColor="accent1"/>
        <w:sz w:val="18"/>
      </w:rPr>
    </w:pPr>
    <w:r w:rsidRPr="000E3A2E">
      <w:rPr>
        <w:color w:val="51626F" w:themeColor="accent1"/>
        <w:sz w:val="18"/>
      </w:rPr>
      <w:fldChar w:fldCharType="begin"/>
    </w:r>
    <w:r w:rsidRPr="000E3A2E">
      <w:rPr>
        <w:color w:val="51626F" w:themeColor="accent1"/>
        <w:sz w:val="18"/>
      </w:rPr>
      <w:instrText xml:space="preserve"> STYLEREF  Title  \* MERGEFORMAT </w:instrText>
    </w:r>
    <w:r w:rsidRPr="000E3A2E">
      <w:rPr>
        <w:color w:val="51626F" w:themeColor="accent1"/>
        <w:sz w:val="18"/>
      </w:rPr>
      <w:fldChar w:fldCharType="separate"/>
    </w:r>
    <w:r w:rsidR="003D3953">
      <w:rPr>
        <w:noProof/>
        <w:color w:val="51626F" w:themeColor="accent1"/>
        <w:sz w:val="18"/>
      </w:rPr>
      <w:t>Review of the mandatory safety standards for hydraulic trolley jacks, vehicle support stands and portable ramps for vehicles</w:t>
    </w:r>
    <w:r w:rsidRPr="000E3A2E">
      <w:rPr>
        <w:noProof/>
        <w:color w:val="51626F" w:themeColor="accent1"/>
        <w:sz w:val="18"/>
      </w:rPr>
      <w:fldChar w:fldCharType="end"/>
    </w:r>
    <w:r w:rsidRPr="000E3A2E">
      <w:rPr>
        <w:color w:val="51626F" w:themeColor="accent1"/>
        <w:sz w:val="18"/>
      </w:rPr>
      <w:tab/>
    </w:r>
    <w:r w:rsidRPr="000E3A2E">
      <w:rPr>
        <w:color w:val="51626F" w:themeColor="accent1"/>
        <w:sz w:val="18"/>
      </w:rPr>
      <w:tab/>
    </w:r>
    <w:r w:rsidRPr="000E3A2E">
      <w:rPr>
        <w:color w:val="51626F" w:themeColor="accent1"/>
        <w:sz w:val="18"/>
      </w:rPr>
      <w:fldChar w:fldCharType="begin"/>
    </w:r>
    <w:r w:rsidRPr="000E3A2E">
      <w:rPr>
        <w:color w:val="51626F" w:themeColor="accent1"/>
        <w:sz w:val="18"/>
      </w:rPr>
      <w:instrText xml:space="preserve"> PAGE   \* MERGEFORMAT </w:instrText>
    </w:r>
    <w:r w:rsidRPr="000E3A2E">
      <w:rPr>
        <w:color w:val="51626F" w:themeColor="accent1"/>
        <w:sz w:val="18"/>
      </w:rPr>
      <w:fldChar w:fldCharType="separate"/>
    </w:r>
    <w:r w:rsidR="003D3953">
      <w:rPr>
        <w:noProof/>
        <w:color w:val="51626F" w:themeColor="accent1"/>
        <w:sz w:val="18"/>
      </w:rPr>
      <w:t>4</w:t>
    </w:r>
    <w:r w:rsidRPr="000E3A2E">
      <w:rPr>
        <w:color w:val="51626F" w:themeColor="accent1"/>
        <w:sz w:val="18"/>
      </w:rPr>
      <w:fldChar w:fldCharType="end"/>
    </w:r>
  </w:p>
  <w:p w:rsidR="00A97153" w:rsidRPr="000E3A2E" w:rsidRDefault="00A97153" w:rsidP="000E3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53" w:rsidRDefault="00A97153" w:rsidP="004B4412">
      <w:pPr>
        <w:spacing w:before="0"/>
      </w:pPr>
      <w:r>
        <w:separator/>
      </w:r>
    </w:p>
  </w:footnote>
  <w:footnote w:type="continuationSeparator" w:id="0">
    <w:p w:rsidR="00A97153" w:rsidRDefault="00A97153" w:rsidP="004B4412">
      <w:pPr>
        <w:spacing w:before="0"/>
      </w:pPr>
      <w:r>
        <w:continuationSeparator/>
      </w:r>
    </w:p>
  </w:footnote>
  <w:footnote w:id="1">
    <w:p w:rsidR="00A97153" w:rsidRDefault="00A97153" w:rsidP="00A15EC8">
      <w:pPr>
        <w:pStyle w:val="FootnoteText"/>
      </w:pPr>
      <w:r>
        <w:rPr>
          <w:rStyle w:val="FootnoteReference"/>
        </w:rPr>
        <w:footnoteRef/>
      </w:r>
      <w:r>
        <w:t xml:space="preserve"> </w:t>
      </w:r>
      <w:r w:rsidRPr="00E80FA8">
        <w:rPr>
          <w:sz w:val="18"/>
          <w:szCs w:val="18"/>
        </w:rPr>
        <w:t xml:space="preserve">ACCC, International standards for the safety of consumer products - criteria for acceptance, ACCC policy principles, 22 July 2015, </w:t>
      </w:r>
      <w:hyperlink r:id="rId1" w:history="1">
        <w:r w:rsidRPr="00E80FA8">
          <w:rPr>
            <w:rStyle w:val="Hyperlink"/>
            <w:sz w:val="18"/>
            <w:szCs w:val="18"/>
          </w:rPr>
          <w:t>www.productsafety.gov.au/content/index.phtml/itemId/1014180</w:t>
        </w:r>
      </w:hyperlink>
      <w:r w:rsidRPr="00E80FA8">
        <w:rPr>
          <w:rStyle w:val="Hyperlink"/>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8B36925"/>
    <w:multiLevelType w:val="hybridMultilevel"/>
    <w:tmpl w:val="0E3C7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nsid w:val="188675E0"/>
    <w:multiLevelType w:val="hybridMultilevel"/>
    <w:tmpl w:val="8E7256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CF519CE"/>
    <w:multiLevelType w:val="multilevel"/>
    <w:tmpl w:val="BD6661B2"/>
    <w:lvl w:ilvl="0">
      <w:start w:val="1"/>
      <w:numFmt w:val="decimal"/>
      <w:pStyle w:val="Numbered1"/>
      <w:lvlText w:val="%1."/>
      <w:lvlJc w:val="left"/>
      <w:pPr>
        <w:ind w:left="360" w:hanging="360"/>
      </w:pPr>
      <w:rPr>
        <w:rFonts w:hint="default"/>
      </w:rPr>
    </w:lvl>
    <w:lvl w:ilvl="1">
      <w:start w:val="1"/>
      <w:numFmt w:val="lowerLetter"/>
      <w:pStyle w:val="Numbered11"/>
      <w:lvlText w:val="Option 1%2"/>
      <w:lvlJc w:val="left"/>
      <w:pPr>
        <w:ind w:left="792" w:hanging="432"/>
      </w:pPr>
      <w:rPr>
        <w:rFonts w:hint="default"/>
      </w:rPr>
    </w:lvl>
    <w:lvl w:ilvl="2">
      <w:start w:val="1"/>
      <w:numFmt w:val="decimal"/>
      <w:pStyle w:val="Numbered111"/>
      <w:lvlText w:val="%1.%2.%3."/>
      <w:lvlJc w:val="left"/>
      <w:pPr>
        <w:ind w:left="1224" w:hanging="504"/>
      </w:pPr>
      <w:rPr>
        <w:rFonts w:hint="default"/>
      </w:rPr>
    </w:lvl>
    <w:lvl w:ilvl="3">
      <w:start w:val="1"/>
      <w:numFmt w:val="decimal"/>
      <w:pStyle w:val="Numbered1111"/>
      <w:lvlText w:val="%1.%2.%3.%4."/>
      <w:lvlJc w:val="left"/>
      <w:pPr>
        <w:ind w:left="1728" w:hanging="648"/>
      </w:pPr>
      <w:rPr>
        <w:rFonts w:hint="default"/>
      </w:rPr>
    </w:lvl>
    <w:lvl w:ilvl="4">
      <w:start w:val="1"/>
      <w:numFmt w:val="decimal"/>
      <w:pStyle w:val="Numbered11111"/>
      <w:lvlText w:val="%1.%2.%3.%4.%5."/>
      <w:lvlJc w:val="left"/>
      <w:pPr>
        <w:ind w:left="2232" w:hanging="792"/>
      </w:pPr>
      <w:rPr>
        <w:rFonts w:hint="default"/>
      </w:rPr>
    </w:lvl>
    <w:lvl w:ilvl="5">
      <w:start w:val="1"/>
      <w:numFmt w:val="decimal"/>
      <w:pStyle w:val="Numbered111111"/>
      <w:lvlText w:val="%1.%2.%3.%4.%5.%6."/>
      <w:lvlJc w:val="left"/>
      <w:pPr>
        <w:ind w:left="2736" w:hanging="936"/>
      </w:pPr>
      <w:rPr>
        <w:rFonts w:hint="default"/>
      </w:rPr>
    </w:lvl>
    <w:lvl w:ilvl="6">
      <w:start w:val="1"/>
      <w:numFmt w:val="decimal"/>
      <w:pStyle w:val="Numbered1111111"/>
      <w:lvlText w:val="%1.%2.%3.%4.%5.%6.%7."/>
      <w:lvlJc w:val="left"/>
      <w:pPr>
        <w:ind w:left="3240" w:hanging="1080"/>
      </w:pPr>
      <w:rPr>
        <w:rFonts w:hint="default"/>
      </w:rPr>
    </w:lvl>
    <w:lvl w:ilvl="7">
      <w:start w:val="1"/>
      <w:numFmt w:val="decimal"/>
      <w:pStyle w:val="Numbered11111111"/>
      <w:lvlText w:val="%1.%2.%3.%4.%5.%6.%7.%8."/>
      <w:lvlJc w:val="left"/>
      <w:pPr>
        <w:ind w:left="3744" w:hanging="1224"/>
      </w:pPr>
      <w:rPr>
        <w:rFonts w:hint="default"/>
      </w:rPr>
    </w:lvl>
    <w:lvl w:ilvl="8">
      <w:start w:val="1"/>
      <w:numFmt w:val="decimal"/>
      <w:pStyle w:val="Numbered111111111"/>
      <w:lvlText w:val="%1.%2.%3.%4.%5.%6.%7.%8.%9."/>
      <w:lvlJc w:val="left"/>
      <w:pPr>
        <w:ind w:left="4320" w:hanging="1440"/>
      </w:pPr>
      <w:rPr>
        <w:rFonts w:hint="default"/>
      </w:rPr>
    </w:lvl>
  </w:abstractNum>
  <w:abstractNum w:abstractNumId="15">
    <w:nsid w:val="20911968"/>
    <w:multiLevelType w:val="hybridMultilevel"/>
    <w:tmpl w:val="D1F8B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7">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8">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2">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61DB545F"/>
    <w:multiLevelType w:val="hybridMultilevel"/>
    <w:tmpl w:val="F420F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6">
    <w:nsid w:val="69FD65E4"/>
    <w:multiLevelType w:val="hybridMultilevel"/>
    <w:tmpl w:val="6C02F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8">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9">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1">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EDA32D5"/>
    <w:multiLevelType w:val="hybridMultilevel"/>
    <w:tmpl w:val="B2168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31"/>
  </w:num>
  <w:num w:numId="3">
    <w:abstractNumId w:val="7"/>
  </w:num>
  <w:num w:numId="4">
    <w:abstractNumId w:val="6"/>
  </w:num>
  <w:num w:numId="5">
    <w:abstractNumId w:val="5"/>
  </w:num>
  <w:num w:numId="6">
    <w:abstractNumId w:val="4"/>
  </w:num>
  <w:num w:numId="7">
    <w:abstractNumId w:val="1"/>
  </w:num>
  <w:num w:numId="8">
    <w:abstractNumId w:val="0"/>
  </w:num>
  <w:num w:numId="9">
    <w:abstractNumId w:val="25"/>
  </w:num>
  <w:num w:numId="10">
    <w:abstractNumId w:val="18"/>
  </w:num>
  <w:num w:numId="11">
    <w:abstractNumId w:val="10"/>
  </w:num>
  <w:num w:numId="12">
    <w:abstractNumId w:val="14"/>
  </w:num>
  <w:num w:numId="13">
    <w:abstractNumId w:val="17"/>
  </w:num>
  <w:num w:numId="14">
    <w:abstractNumId w:val="2"/>
  </w:num>
  <w:num w:numId="15">
    <w:abstractNumId w:val="27"/>
  </w:num>
  <w:num w:numId="16">
    <w:abstractNumId w:val="30"/>
  </w:num>
  <w:num w:numId="17">
    <w:abstractNumId w:val="29"/>
  </w:num>
  <w:num w:numId="18">
    <w:abstractNumId w:val="21"/>
  </w:num>
  <w:num w:numId="19">
    <w:abstractNumId w:val="16"/>
  </w:num>
  <w:num w:numId="20">
    <w:abstractNumId w:val="19"/>
  </w:num>
  <w:num w:numId="21">
    <w:abstractNumId w:val="28"/>
  </w:num>
  <w:num w:numId="22">
    <w:abstractNumId w:val="22"/>
  </w:num>
  <w:num w:numId="23">
    <w:abstractNumId w:val="8"/>
  </w:num>
  <w:num w:numId="24">
    <w:abstractNumId w:val="3"/>
  </w:num>
  <w:num w:numId="25">
    <w:abstractNumId w:val="20"/>
  </w:num>
  <w:num w:numId="26">
    <w:abstractNumId w:val="12"/>
  </w:num>
  <w:num w:numId="27">
    <w:abstractNumId w:val="24"/>
  </w:num>
  <w:num w:numId="28">
    <w:abstractNumId w:val="26"/>
  </w:num>
  <w:num w:numId="29">
    <w:abstractNumId w:val="15"/>
  </w:num>
  <w:num w:numId="30">
    <w:abstractNumId w:val="9"/>
  </w:num>
  <w:num w:numId="31">
    <w:abstractNumId w:val="32"/>
  </w:num>
  <w:num w:numId="32">
    <w:abstractNumId w:val="23"/>
  </w:num>
  <w:num w:numId="33">
    <w:abstractNumId w:val="13"/>
  </w:num>
  <w:num w:numId="34">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jkalo\cps - sp - consultation paper - review of safety standards for hydraulic trolley jacks vehicle support stands and porta (D2016-00066869).docx"/>
  </w:docVars>
  <w:rsids>
    <w:rsidRoot w:val="007F6D3C"/>
    <w:rsid w:val="00001572"/>
    <w:rsid w:val="00001727"/>
    <w:rsid w:val="00011317"/>
    <w:rsid w:val="00020B10"/>
    <w:rsid w:val="0002115F"/>
    <w:rsid w:val="00021202"/>
    <w:rsid w:val="00021C0A"/>
    <w:rsid w:val="000225C4"/>
    <w:rsid w:val="0002445B"/>
    <w:rsid w:val="00027496"/>
    <w:rsid w:val="00035093"/>
    <w:rsid w:val="0003578C"/>
    <w:rsid w:val="000534A4"/>
    <w:rsid w:val="000550F7"/>
    <w:rsid w:val="00055D80"/>
    <w:rsid w:val="00063247"/>
    <w:rsid w:val="00070F9F"/>
    <w:rsid w:val="0007137B"/>
    <w:rsid w:val="00074ADB"/>
    <w:rsid w:val="00074EB6"/>
    <w:rsid w:val="000771AB"/>
    <w:rsid w:val="00081FAA"/>
    <w:rsid w:val="00085247"/>
    <w:rsid w:val="00085663"/>
    <w:rsid w:val="00085EBF"/>
    <w:rsid w:val="00090F4C"/>
    <w:rsid w:val="00096F3E"/>
    <w:rsid w:val="00097539"/>
    <w:rsid w:val="000A007E"/>
    <w:rsid w:val="000A23FF"/>
    <w:rsid w:val="000A3458"/>
    <w:rsid w:val="000B0C20"/>
    <w:rsid w:val="000D122C"/>
    <w:rsid w:val="000D3F2F"/>
    <w:rsid w:val="000D4E0A"/>
    <w:rsid w:val="000D7EEC"/>
    <w:rsid w:val="000E1819"/>
    <w:rsid w:val="000E3A2E"/>
    <w:rsid w:val="000E5864"/>
    <w:rsid w:val="000E6C72"/>
    <w:rsid w:val="000F2368"/>
    <w:rsid w:val="000F2989"/>
    <w:rsid w:val="000F3533"/>
    <w:rsid w:val="000F3E93"/>
    <w:rsid w:val="000F6565"/>
    <w:rsid w:val="000F68D1"/>
    <w:rsid w:val="000F6F89"/>
    <w:rsid w:val="000F7B20"/>
    <w:rsid w:val="00112516"/>
    <w:rsid w:val="00115F7C"/>
    <w:rsid w:val="00116EB2"/>
    <w:rsid w:val="0012182A"/>
    <w:rsid w:val="001234FF"/>
    <w:rsid w:val="00124609"/>
    <w:rsid w:val="00127DE4"/>
    <w:rsid w:val="00130F7F"/>
    <w:rsid w:val="00133735"/>
    <w:rsid w:val="001371ED"/>
    <w:rsid w:val="0014477C"/>
    <w:rsid w:val="0014747A"/>
    <w:rsid w:val="00147757"/>
    <w:rsid w:val="00150235"/>
    <w:rsid w:val="00153458"/>
    <w:rsid w:val="00153D76"/>
    <w:rsid w:val="001573E4"/>
    <w:rsid w:val="00160756"/>
    <w:rsid w:val="00161149"/>
    <w:rsid w:val="0016501B"/>
    <w:rsid w:val="00165FBE"/>
    <w:rsid w:val="00167865"/>
    <w:rsid w:val="001679B6"/>
    <w:rsid w:val="00171212"/>
    <w:rsid w:val="0017232E"/>
    <w:rsid w:val="00174102"/>
    <w:rsid w:val="00175566"/>
    <w:rsid w:val="00180157"/>
    <w:rsid w:val="00181223"/>
    <w:rsid w:val="00183271"/>
    <w:rsid w:val="00186F77"/>
    <w:rsid w:val="001926A4"/>
    <w:rsid w:val="001948CA"/>
    <w:rsid w:val="001972D5"/>
    <w:rsid w:val="001A15AC"/>
    <w:rsid w:val="001A212F"/>
    <w:rsid w:val="001A42C7"/>
    <w:rsid w:val="001A6E3A"/>
    <w:rsid w:val="001B45A0"/>
    <w:rsid w:val="001C0938"/>
    <w:rsid w:val="001C18EE"/>
    <w:rsid w:val="001D055E"/>
    <w:rsid w:val="001D50EF"/>
    <w:rsid w:val="001D70D2"/>
    <w:rsid w:val="001E1724"/>
    <w:rsid w:val="001E4759"/>
    <w:rsid w:val="001E7CB0"/>
    <w:rsid w:val="001F2232"/>
    <w:rsid w:val="001F492E"/>
    <w:rsid w:val="001F50CF"/>
    <w:rsid w:val="001F6DA3"/>
    <w:rsid w:val="002024AD"/>
    <w:rsid w:val="00205303"/>
    <w:rsid w:val="00207B52"/>
    <w:rsid w:val="002113DA"/>
    <w:rsid w:val="00211651"/>
    <w:rsid w:val="00211F3E"/>
    <w:rsid w:val="0021271D"/>
    <w:rsid w:val="00212737"/>
    <w:rsid w:val="00214C39"/>
    <w:rsid w:val="00217A6B"/>
    <w:rsid w:val="00217B90"/>
    <w:rsid w:val="00217D25"/>
    <w:rsid w:val="00221F34"/>
    <w:rsid w:val="00224D2B"/>
    <w:rsid w:val="00224DB9"/>
    <w:rsid w:val="00230D10"/>
    <w:rsid w:val="00232927"/>
    <w:rsid w:val="00234E2B"/>
    <w:rsid w:val="00240DE3"/>
    <w:rsid w:val="00251745"/>
    <w:rsid w:val="00253C9E"/>
    <w:rsid w:val="00263AC0"/>
    <w:rsid w:val="0026772D"/>
    <w:rsid w:val="00270EB8"/>
    <w:rsid w:val="00272145"/>
    <w:rsid w:val="00275B74"/>
    <w:rsid w:val="002830A4"/>
    <w:rsid w:val="00286874"/>
    <w:rsid w:val="00287455"/>
    <w:rsid w:val="00290BBC"/>
    <w:rsid w:val="00291118"/>
    <w:rsid w:val="00293AA9"/>
    <w:rsid w:val="00293D8D"/>
    <w:rsid w:val="00293FC7"/>
    <w:rsid w:val="00296B65"/>
    <w:rsid w:val="002A44D2"/>
    <w:rsid w:val="002A4762"/>
    <w:rsid w:val="002A7DEF"/>
    <w:rsid w:val="002B22AC"/>
    <w:rsid w:val="002B335D"/>
    <w:rsid w:val="002B390D"/>
    <w:rsid w:val="002B46CC"/>
    <w:rsid w:val="002B708C"/>
    <w:rsid w:val="002C1BE9"/>
    <w:rsid w:val="002C58D9"/>
    <w:rsid w:val="002C6BFF"/>
    <w:rsid w:val="002D5B30"/>
    <w:rsid w:val="002E12CD"/>
    <w:rsid w:val="002E4668"/>
    <w:rsid w:val="002E6DEB"/>
    <w:rsid w:val="002E7AF8"/>
    <w:rsid w:val="002E7C91"/>
    <w:rsid w:val="002F0EA9"/>
    <w:rsid w:val="002F1823"/>
    <w:rsid w:val="002F1B7A"/>
    <w:rsid w:val="002F2FBC"/>
    <w:rsid w:val="002F7986"/>
    <w:rsid w:val="00303C4A"/>
    <w:rsid w:val="00304B61"/>
    <w:rsid w:val="003053CF"/>
    <w:rsid w:val="00307F6D"/>
    <w:rsid w:val="00310F43"/>
    <w:rsid w:val="00313584"/>
    <w:rsid w:val="00313E7C"/>
    <w:rsid w:val="003153D2"/>
    <w:rsid w:val="003177A2"/>
    <w:rsid w:val="003256E2"/>
    <w:rsid w:val="003271B5"/>
    <w:rsid w:val="00331264"/>
    <w:rsid w:val="00334C8D"/>
    <w:rsid w:val="00340655"/>
    <w:rsid w:val="003459E6"/>
    <w:rsid w:val="00347E13"/>
    <w:rsid w:val="0035043B"/>
    <w:rsid w:val="00350C24"/>
    <w:rsid w:val="003518B3"/>
    <w:rsid w:val="00355310"/>
    <w:rsid w:val="00361EAC"/>
    <w:rsid w:val="00366B16"/>
    <w:rsid w:val="003709EB"/>
    <w:rsid w:val="00380209"/>
    <w:rsid w:val="00382E44"/>
    <w:rsid w:val="003831D7"/>
    <w:rsid w:val="003846F1"/>
    <w:rsid w:val="0038480E"/>
    <w:rsid w:val="003950BB"/>
    <w:rsid w:val="0039650F"/>
    <w:rsid w:val="003A224B"/>
    <w:rsid w:val="003A3865"/>
    <w:rsid w:val="003A673F"/>
    <w:rsid w:val="003A6B5E"/>
    <w:rsid w:val="003B2122"/>
    <w:rsid w:val="003B53C7"/>
    <w:rsid w:val="003B555F"/>
    <w:rsid w:val="003B5A70"/>
    <w:rsid w:val="003C0954"/>
    <w:rsid w:val="003C3BD9"/>
    <w:rsid w:val="003C6469"/>
    <w:rsid w:val="003C795D"/>
    <w:rsid w:val="003D3953"/>
    <w:rsid w:val="003D4F76"/>
    <w:rsid w:val="003D521B"/>
    <w:rsid w:val="003D559B"/>
    <w:rsid w:val="003D688D"/>
    <w:rsid w:val="003D6EC9"/>
    <w:rsid w:val="003F0089"/>
    <w:rsid w:val="003F4FCE"/>
    <w:rsid w:val="003F5C3C"/>
    <w:rsid w:val="003F64BC"/>
    <w:rsid w:val="00402A76"/>
    <w:rsid w:val="00411751"/>
    <w:rsid w:val="004155AA"/>
    <w:rsid w:val="0042061F"/>
    <w:rsid w:val="00422245"/>
    <w:rsid w:val="00422A0C"/>
    <w:rsid w:val="004246F1"/>
    <w:rsid w:val="004258D5"/>
    <w:rsid w:val="0042692F"/>
    <w:rsid w:val="00426B93"/>
    <w:rsid w:val="004307F7"/>
    <w:rsid w:val="004329BD"/>
    <w:rsid w:val="00437208"/>
    <w:rsid w:val="0044081D"/>
    <w:rsid w:val="004551FA"/>
    <w:rsid w:val="004559DF"/>
    <w:rsid w:val="00455CB2"/>
    <w:rsid w:val="00460059"/>
    <w:rsid w:val="0046209F"/>
    <w:rsid w:val="004632A1"/>
    <w:rsid w:val="00471A32"/>
    <w:rsid w:val="00472A24"/>
    <w:rsid w:val="00475DDE"/>
    <w:rsid w:val="00480B4B"/>
    <w:rsid w:val="0048508D"/>
    <w:rsid w:val="00485DC4"/>
    <w:rsid w:val="00486EF8"/>
    <w:rsid w:val="00487D00"/>
    <w:rsid w:val="00491AA9"/>
    <w:rsid w:val="00491B27"/>
    <w:rsid w:val="00492CD1"/>
    <w:rsid w:val="0049456B"/>
    <w:rsid w:val="00495406"/>
    <w:rsid w:val="004A1EBF"/>
    <w:rsid w:val="004A35AC"/>
    <w:rsid w:val="004A536F"/>
    <w:rsid w:val="004A660F"/>
    <w:rsid w:val="004B12B9"/>
    <w:rsid w:val="004B1417"/>
    <w:rsid w:val="004B387D"/>
    <w:rsid w:val="004B4412"/>
    <w:rsid w:val="004C1AEF"/>
    <w:rsid w:val="004C348C"/>
    <w:rsid w:val="004C4847"/>
    <w:rsid w:val="004D03B9"/>
    <w:rsid w:val="004D55BA"/>
    <w:rsid w:val="004E47DC"/>
    <w:rsid w:val="004F37AD"/>
    <w:rsid w:val="004F6DD4"/>
    <w:rsid w:val="00500563"/>
    <w:rsid w:val="00501D3B"/>
    <w:rsid w:val="00502561"/>
    <w:rsid w:val="005038DB"/>
    <w:rsid w:val="00510FF5"/>
    <w:rsid w:val="00511F32"/>
    <w:rsid w:val="00512925"/>
    <w:rsid w:val="00514BA2"/>
    <w:rsid w:val="005224AA"/>
    <w:rsid w:val="005228BD"/>
    <w:rsid w:val="005259F4"/>
    <w:rsid w:val="00530128"/>
    <w:rsid w:val="00530670"/>
    <w:rsid w:val="00532467"/>
    <w:rsid w:val="00533967"/>
    <w:rsid w:val="0054503A"/>
    <w:rsid w:val="00547CCF"/>
    <w:rsid w:val="00554506"/>
    <w:rsid w:val="0055588B"/>
    <w:rsid w:val="00560681"/>
    <w:rsid w:val="00560CAA"/>
    <w:rsid w:val="00564A4D"/>
    <w:rsid w:val="0057133B"/>
    <w:rsid w:val="00571B35"/>
    <w:rsid w:val="00571C9F"/>
    <w:rsid w:val="00574B8C"/>
    <w:rsid w:val="00576812"/>
    <w:rsid w:val="00577A09"/>
    <w:rsid w:val="00580262"/>
    <w:rsid w:val="0058369E"/>
    <w:rsid w:val="005839CD"/>
    <w:rsid w:val="00583C67"/>
    <w:rsid w:val="0058405E"/>
    <w:rsid w:val="00584C76"/>
    <w:rsid w:val="00584C8E"/>
    <w:rsid w:val="00584D8F"/>
    <w:rsid w:val="00591AD1"/>
    <w:rsid w:val="00591C17"/>
    <w:rsid w:val="00595662"/>
    <w:rsid w:val="00596D42"/>
    <w:rsid w:val="005A0831"/>
    <w:rsid w:val="005A0E85"/>
    <w:rsid w:val="005A404D"/>
    <w:rsid w:val="005A5E3C"/>
    <w:rsid w:val="005A629A"/>
    <w:rsid w:val="005B17B4"/>
    <w:rsid w:val="005B1E3C"/>
    <w:rsid w:val="005B45AC"/>
    <w:rsid w:val="005B6484"/>
    <w:rsid w:val="005B76CF"/>
    <w:rsid w:val="005C26CC"/>
    <w:rsid w:val="005C4E12"/>
    <w:rsid w:val="005C63D5"/>
    <w:rsid w:val="005D603B"/>
    <w:rsid w:val="005D694F"/>
    <w:rsid w:val="005D7A9E"/>
    <w:rsid w:val="005D7D08"/>
    <w:rsid w:val="005E111E"/>
    <w:rsid w:val="005E1A7D"/>
    <w:rsid w:val="005E6C0E"/>
    <w:rsid w:val="005F0451"/>
    <w:rsid w:val="005F37DA"/>
    <w:rsid w:val="005F5E51"/>
    <w:rsid w:val="005F64CD"/>
    <w:rsid w:val="005F7255"/>
    <w:rsid w:val="005F7718"/>
    <w:rsid w:val="00600764"/>
    <w:rsid w:val="006016DD"/>
    <w:rsid w:val="006068A2"/>
    <w:rsid w:val="00606C61"/>
    <w:rsid w:val="006139A6"/>
    <w:rsid w:val="00615C6B"/>
    <w:rsid w:val="0062516D"/>
    <w:rsid w:val="006323CA"/>
    <w:rsid w:val="00632D6D"/>
    <w:rsid w:val="00635686"/>
    <w:rsid w:val="00642C3E"/>
    <w:rsid w:val="00650DF6"/>
    <w:rsid w:val="006569F6"/>
    <w:rsid w:val="0066015B"/>
    <w:rsid w:val="00661E51"/>
    <w:rsid w:val="006623E2"/>
    <w:rsid w:val="00663DAD"/>
    <w:rsid w:val="006649B9"/>
    <w:rsid w:val="00673A6F"/>
    <w:rsid w:val="00676679"/>
    <w:rsid w:val="00680526"/>
    <w:rsid w:val="00684392"/>
    <w:rsid w:val="0068590E"/>
    <w:rsid w:val="00687F39"/>
    <w:rsid w:val="006929D7"/>
    <w:rsid w:val="0069650F"/>
    <w:rsid w:val="00697EE1"/>
    <w:rsid w:val="006A2483"/>
    <w:rsid w:val="006A3925"/>
    <w:rsid w:val="006B4CF9"/>
    <w:rsid w:val="006B7AC8"/>
    <w:rsid w:val="006B7E02"/>
    <w:rsid w:val="006C3599"/>
    <w:rsid w:val="006C5E79"/>
    <w:rsid w:val="006D2439"/>
    <w:rsid w:val="006D550F"/>
    <w:rsid w:val="006D65A8"/>
    <w:rsid w:val="006D77F3"/>
    <w:rsid w:val="006E068E"/>
    <w:rsid w:val="006E6D6A"/>
    <w:rsid w:val="006F4B5E"/>
    <w:rsid w:val="006F5D91"/>
    <w:rsid w:val="00701CAB"/>
    <w:rsid w:val="0070739F"/>
    <w:rsid w:val="00707563"/>
    <w:rsid w:val="0071024B"/>
    <w:rsid w:val="00712709"/>
    <w:rsid w:val="00714082"/>
    <w:rsid w:val="00715A01"/>
    <w:rsid w:val="0072348C"/>
    <w:rsid w:val="00724A37"/>
    <w:rsid w:val="007303C3"/>
    <w:rsid w:val="0073048D"/>
    <w:rsid w:val="0073216E"/>
    <w:rsid w:val="0073239D"/>
    <w:rsid w:val="00732AA9"/>
    <w:rsid w:val="00734A79"/>
    <w:rsid w:val="007413C9"/>
    <w:rsid w:val="00743223"/>
    <w:rsid w:val="0074399D"/>
    <w:rsid w:val="00746E01"/>
    <w:rsid w:val="007474A2"/>
    <w:rsid w:val="007553DD"/>
    <w:rsid w:val="00757864"/>
    <w:rsid w:val="00763E5D"/>
    <w:rsid w:val="00767740"/>
    <w:rsid w:val="00774975"/>
    <w:rsid w:val="00777EE6"/>
    <w:rsid w:val="0078248F"/>
    <w:rsid w:val="00782EEA"/>
    <w:rsid w:val="00782FC8"/>
    <w:rsid w:val="00783C50"/>
    <w:rsid w:val="0078633B"/>
    <w:rsid w:val="00787C3F"/>
    <w:rsid w:val="007902B4"/>
    <w:rsid w:val="007908AF"/>
    <w:rsid w:val="00793EC0"/>
    <w:rsid w:val="0079580A"/>
    <w:rsid w:val="00796123"/>
    <w:rsid w:val="007974D4"/>
    <w:rsid w:val="007A1F3A"/>
    <w:rsid w:val="007A5DF5"/>
    <w:rsid w:val="007A6004"/>
    <w:rsid w:val="007A75C6"/>
    <w:rsid w:val="007B0550"/>
    <w:rsid w:val="007B1600"/>
    <w:rsid w:val="007B1C09"/>
    <w:rsid w:val="007B1D7A"/>
    <w:rsid w:val="007B1EC8"/>
    <w:rsid w:val="007B2BB4"/>
    <w:rsid w:val="007B2C72"/>
    <w:rsid w:val="007C0280"/>
    <w:rsid w:val="007C1C53"/>
    <w:rsid w:val="007C2E97"/>
    <w:rsid w:val="007D5385"/>
    <w:rsid w:val="007D558C"/>
    <w:rsid w:val="007D5613"/>
    <w:rsid w:val="007D5D2C"/>
    <w:rsid w:val="007D629A"/>
    <w:rsid w:val="007D6A21"/>
    <w:rsid w:val="007E14B0"/>
    <w:rsid w:val="007E26A9"/>
    <w:rsid w:val="007E345B"/>
    <w:rsid w:val="007E4904"/>
    <w:rsid w:val="007E4CB5"/>
    <w:rsid w:val="007F066B"/>
    <w:rsid w:val="007F301B"/>
    <w:rsid w:val="007F5089"/>
    <w:rsid w:val="007F6546"/>
    <w:rsid w:val="007F6D3C"/>
    <w:rsid w:val="008033C4"/>
    <w:rsid w:val="00806C88"/>
    <w:rsid w:val="0081034E"/>
    <w:rsid w:val="00810870"/>
    <w:rsid w:val="00823541"/>
    <w:rsid w:val="008344F6"/>
    <w:rsid w:val="0083510F"/>
    <w:rsid w:val="00835724"/>
    <w:rsid w:val="00841DEE"/>
    <w:rsid w:val="008511AA"/>
    <w:rsid w:val="00851209"/>
    <w:rsid w:val="008539D4"/>
    <w:rsid w:val="00856EE4"/>
    <w:rsid w:val="00866F29"/>
    <w:rsid w:val="00870859"/>
    <w:rsid w:val="00874F3D"/>
    <w:rsid w:val="00877528"/>
    <w:rsid w:val="00877F4B"/>
    <w:rsid w:val="0088007E"/>
    <w:rsid w:val="00881139"/>
    <w:rsid w:val="0088134F"/>
    <w:rsid w:val="008837AC"/>
    <w:rsid w:val="00884270"/>
    <w:rsid w:val="008908F0"/>
    <w:rsid w:val="008945B4"/>
    <w:rsid w:val="00897943"/>
    <w:rsid w:val="008A0DB7"/>
    <w:rsid w:val="008A3DE5"/>
    <w:rsid w:val="008A587D"/>
    <w:rsid w:val="008A5AF9"/>
    <w:rsid w:val="008B1620"/>
    <w:rsid w:val="008B1BF6"/>
    <w:rsid w:val="008B7559"/>
    <w:rsid w:val="008B79A4"/>
    <w:rsid w:val="008C5486"/>
    <w:rsid w:val="008C5632"/>
    <w:rsid w:val="008C6FB0"/>
    <w:rsid w:val="008D223D"/>
    <w:rsid w:val="008E7031"/>
    <w:rsid w:val="008F0F99"/>
    <w:rsid w:val="008F210E"/>
    <w:rsid w:val="008F3115"/>
    <w:rsid w:val="008F4C2C"/>
    <w:rsid w:val="008F5B6D"/>
    <w:rsid w:val="00900AE9"/>
    <w:rsid w:val="00901B59"/>
    <w:rsid w:val="00902D33"/>
    <w:rsid w:val="00904EAE"/>
    <w:rsid w:val="00905920"/>
    <w:rsid w:val="009144A2"/>
    <w:rsid w:val="00916502"/>
    <w:rsid w:val="009223B7"/>
    <w:rsid w:val="00922C95"/>
    <w:rsid w:val="009233EE"/>
    <w:rsid w:val="00934714"/>
    <w:rsid w:val="00934847"/>
    <w:rsid w:val="00943F75"/>
    <w:rsid w:val="009444DA"/>
    <w:rsid w:val="00944862"/>
    <w:rsid w:val="009505CE"/>
    <w:rsid w:val="00953CC9"/>
    <w:rsid w:val="00954F80"/>
    <w:rsid w:val="00955C5B"/>
    <w:rsid w:val="00956D96"/>
    <w:rsid w:val="009605E6"/>
    <w:rsid w:val="009627D6"/>
    <w:rsid w:val="009661DE"/>
    <w:rsid w:val="009679AD"/>
    <w:rsid w:val="009702B6"/>
    <w:rsid w:val="0097410B"/>
    <w:rsid w:val="009779A0"/>
    <w:rsid w:val="00983630"/>
    <w:rsid w:val="009856B7"/>
    <w:rsid w:val="0098602B"/>
    <w:rsid w:val="00986E3B"/>
    <w:rsid w:val="00987374"/>
    <w:rsid w:val="0099091C"/>
    <w:rsid w:val="00991B3B"/>
    <w:rsid w:val="009937F6"/>
    <w:rsid w:val="00994400"/>
    <w:rsid w:val="009962BA"/>
    <w:rsid w:val="009A2032"/>
    <w:rsid w:val="009A54B6"/>
    <w:rsid w:val="009A606E"/>
    <w:rsid w:val="009A733A"/>
    <w:rsid w:val="009B369A"/>
    <w:rsid w:val="009B74B0"/>
    <w:rsid w:val="009C271B"/>
    <w:rsid w:val="009C2AEA"/>
    <w:rsid w:val="009C4E70"/>
    <w:rsid w:val="009D1E70"/>
    <w:rsid w:val="009D4414"/>
    <w:rsid w:val="009D6B46"/>
    <w:rsid w:val="009E2BE9"/>
    <w:rsid w:val="009E4282"/>
    <w:rsid w:val="009E429B"/>
    <w:rsid w:val="009E7406"/>
    <w:rsid w:val="009F178A"/>
    <w:rsid w:val="009F2BE5"/>
    <w:rsid w:val="009F2CC1"/>
    <w:rsid w:val="009F2D34"/>
    <w:rsid w:val="009F4940"/>
    <w:rsid w:val="009F7C96"/>
    <w:rsid w:val="00A025A7"/>
    <w:rsid w:val="00A03882"/>
    <w:rsid w:val="00A07785"/>
    <w:rsid w:val="00A10DD3"/>
    <w:rsid w:val="00A15EC8"/>
    <w:rsid w:val="00A1665B"/>
    <w:rsid w:val="00A16D69"/>
    <w:rsid w:val="00A17A44"/>
    <w:rsid w:val="00A27173"/>
    <w:rsid w:val="00A3185A"/>
    <w:rsid w:val="00A335AB"/>
    <w:rsid w:val="00A33CF4"/>
    <w:rsid w:val="00A370D9"/>
    <w:rsid w:val="00A41427"/>
    <w:rsid w:val="00A41CED"/>
    <w:rsid w:val="00A43D5E"/>
    <w:rsid w:val="00A4478A"/>
    <w:rsid w:val="00A44852"/>
    <w:rsid w:val="00A51CD0"/>
    <w:rsid w:val="00A545D3"/>
    <w:rsid w:val="00A56C51"/>
    <w:rsid w:val="00A56F47"/>
    <w:rsid w:val="00A57D04"/>
    <w:rsid w:val="00A60A26"/>
    <w:rsid w:val="00A61598"/>
    <w:rsid w:val="00A6329F"/>
    <w:rsid w:val="00A7752F"/>
    <w:rsid w:val="00A8215E"/>
    <w:rsid w:val="00A84F46"/>
    <w:rsid w:val="00A871F4"/>
    <w:rsid w:val="00A9017B"/>
    <w:rsid w:val="00A90BF5"/>
    <w:rsid w:val="00A91705"/>
    <w:rsid w:val="00A92F8B"/>
    <w:rsid w:val="00A95B5B"/>
    <w:rsid w:val="00A97153"/>
    <w:rsid w:val="00A97512"/>
    <w:rsid w:val="00AA01C1"/>
    <w:rsid w:val="00AA0D5B"/>
    <w:rsid w:val="00AA1412"/>
    <w:rsid w:val="00AA2214"/>
    <w:rsid w:val="00AA71EF"/>
    <w:rsid w:val="00AB0017"/>
    <w:rsid w:val="00AC1315"/>
    <w:rsid w:val="00AC18AA"/>
    <w:rsid w:val="00AC1B2C"/>
    <w:rsid w:val="00AC317E"/>
    <w:rsid w:val="00AC3264"/>
    <w:rsid w:val="00AC6F01"/>
    <w:rsid w:val="00AC79C3"/>
    <w:rsid w:val="00AD33BE"/>
    <w:rsid w:val="00AD4BCE"/>
    <w:rsid w:val="00AD6C99"/>
    <w:rsid w:val="00AE0FE2"/>
    <w:rsid w:val="00AE1BF1"/>
    <w:rsid w:val="00AE4AA6"/>
    <w:rsid w:val="00AE6D95"/>
    <w:rsid w:val="00AE7893"/>
    <w:rsid w:val="00AF0913"/>
    <w:rsid w:val="00AF0DD2"/>
    <w:rsid w:val="00AF4181"/>
    <w:rsid w:val="00AF4BD5"/>
    <w:rsid w:val="00AF572E"/>
    <w:rsid w:val="00AF6FCA"/>
    <w:rsid w:val="00B06CA3"/>
    <w:rsid w:val="00B10032"/>
    <w:rsid w:val="00B10314"/>
    <w:rsid w:val="00B13048"/>
    <w:rsid w:val="00B15998"/>
    <w:rsid w:val="00B166BC"/>
    <w:rsid w:val="00B1716D"/>
    <w:rsid w:val="00B17A1D"/>
    <w:rsid w:val="00B207A0"/>
    <w:rsid w:val="00B267B7"/>
    <w:rsid w:val="00B33AD9"/>
    <w:rsid w:val="00B37D81"/>
    <w:rsid w:val="00B445B3"/>
    <w:rsid w:val="00B45957"/>
    <w:rsid w:val="00B5183F"/>
    <w:rsid w:val="00B56E03"/>
    <w:rsid w:val="00B57A8C"/>
    <w:rsid w:val="00B60F5D"/>
    <w:rsid w:val="00B62AAE"/>
    <w:rsid w:val="00B630A9"/>
    <w:rsid w:val="00B663AC"/>
    <w:rsid w:val="00B67E91"/>
    <w:rsid w:val="00B8080B"/>
    <w:rsid w:val="00B84A05"/>
    <w:rsid w:val="00B874B9"/>
    <w:rsid w:val="00B87C39"/>
    <w:rsid w:val="00B90BF2"/>
    <w:rsid w:val="00B9399F"/>
    <w:rsid w:val="00BA023E"/>
    <w:rsid w:val="00BA1289"/>
    <w:rsid w:val="00BA340B"/>
    <w:rsid w:val="00BA4665"/>
    <w:rsid w:val="00BA7AFE"/>
    <w:rsid w:val="00BB2E51"/>
    <w:rsid w:val="00BB2FB2"/>
    <w:rsid w:val="00BB3304"/>
    <w:rsid w:val="00BB4DAA"/>
    <w:rsid w:val="00BC0569"/>
    <w:rsid w:val="00BC29F0"/>
    <w:rsid w:val="00BC4D22"/>
    <w:rsid w:val="00BC6072"/>
    <w:rsid w:val="00BD3446"/>
    <w:rsid w:val="00BE1086"/>
    <w:rsid w:val="00BE1F1B"/>
    <w:rsid w:val="00BE22DD"/>
    <w:rsid w:val="00BE2DDE"/>
    <w:rsid w:val="00BE47B5"/>
    <w:rsid w:val="00BE4C99"/>
    <w:rsid w:val="00BF3A27"/>
    <w:rsid w:val="00BF3A3B"/>
    <w:rsid w:val="00BF795D"/>
    <w:rsid w:val="00C007F0"/>
    <w:rsid w:val="00C014EB"/>
    <w:rsid w:val="00C039FD"/>
    <w:rsid w:val="00C058AB"/>
    <w:rsid w:val="00C06739"/>
    <w:rsid w:val="00C1036A"/>
    <w:rsid w:val="00C119D6"/>
    <w:rsid w:val="00C15D23"/>
    <w:rsid w:val="00C2029C"/>
    <w:rsid w:val="00C27190"/>
    <w:rsid w:val="00C30108"/>
    <w:rsid w:val="00C334EA"/>
    <w:rsid w:val="00C33564"/>
    <w:rsid w:val="00C33D2B"/>
    <w:rsid w:val="00C463CB"/>
    <w:rsid w:val="00C46407"/>
    <w:rsid w:val="00C46C0B"/>
    <w:rsid w:val="00C503E2"/>
    <w:rsid w:val="00C5092C"/>
    <w:rsid w:val="00C531E7"/>
    <w:rsid w:val="00C538A9"/>
    <w:rsid w:val="00C53B5A"/>
    <w:rsid w:val="00C54652"/>
    <w:rsid w:val="00C54F5A"/>
    <w:rsid w:val="00C55053"/>
    <w:rsid w:val="00C623BE"/>
    <w:rsid w:val="00C624DD"/>
    <w:rsid w:val="00C6437A"/>
    <w:rsid w:val="00C66811"/>
    <w:rsid w:val="00C701E3"/>
    <w:rsid w:val="00C72462"/>
    <w:rsid w:val="00C72F7B"/>
    <w:rsid w:val="00C731F1"/>
    <w:rsid w:val="00C74259"/>
    <w:rsid w:val="00C7467B"/>
    <w:rsid w:val="00C755AD"/>
    <w:rsid w:val="00C76D61"/>
    <w:rsid w:val="00C76F6F"/>
    <w:rsid w:val="00C82C12"/>
    <w:rsid w:val="00C855CA"/>
    <w:rsid w:val="00C86679"/>
    <w:rsid w:val="00C9472C"/>
    <w:rsid w:val="00C97520"/>
    <w:rsid w:val="00CA428D"/>
    <w:rsid w:val="00CB2353"/>
    <w:rsid w:val="00CB5975"/>
    <w:rsid w:val="00CB666B"/>
    <w:rsid w:val="00CB6A5A"/>
    <w:rsid w:val="00CC386C"/>
    <w:rsid w:val="00CC3D56"/>
    <w:rsid w:val="00CC4C34"/>
    <w:rsid w:val="00CD272C"/>
    <w:rsid w:val="00CD74D8"/>
    <w:rsid w:val="00CE416F"/>
    <w:rsid w:val="00CF156C"/>
    <w:rsid w:val="00CF6136"/>
    <w:rsid w:val="00CF6ACC"/>
    <w:rsid w:val="00CF78E4"/>
    <w:rsid w:val="00CF799E"/>
    <w:rsid w:val="00D01CF0"/>
    <w:rsid w:val="00D0329B"/>
    <w:rsid w:val="00D0442A"/>
    <w:rsid w:val="00D07FC4"/>
    <w:rsid w:val="00D16406"/>
    <w:rsid w:val="00D203E1"/>
    <w:rsid w:val="00D230CD"/>
    <w:rsid w:val="00D23A85"/>
    <w:rsid w:val="00D41105"/>
    <w:rsid w:val="00D41977"/>
    <w:rsid w:val="00D449C6"/>
    <w:rsid w:val="00D45D7F"/>
    <w:rsid w:val="00D511B0"/>
    <w:rsid w:val="00D53F75"/>
    <w:rsid w:val="00D544B8"/>
    <w:rsid w:val="00D565B8"/>
    <w:rsid w:val="00D61388"/>
    <w:rsid w:val="00D61A54"/>
    <w:rsid w:val="00D636ED"/>
    <w:rsid w:val="00D64AF7"/>
    <w:rsid w:val="00D64DEA"/>
    <w:rsid w:val="00D67BFF"/>
    <w:rsid w:val="00D67D83"/>
    <w:rsid w:val="00D73D5F"/>
    <w:rsid w:val="00D80893"/>
    <w:rsid w:val="00D845A9"/>
    <w:rsid w:val="00D86644"/>
    <w:rsid w:val="00D92CF1"/>
    <w:rsid w:val="00D92D38"/>
    <w:rsid w:val="00D950F5"/>
    <w:rsid w:val="00D975B0"/>
    <w:rsid w:val="00DA3853"/>
    <w:rsid w:val="00DA5D56"/>
    <w:rsid w:val="00DA5F79"/>
    <w:rsid w:val="00DB09A0"/>
    <w:rsid w:val="00DB0F93"/>
    <w:rsid w:val="00DB4592"/>
    <w:rsid w:val="00DB5BEB"/>
    <w:rsid w:val="00DB7E7A"/>
    <w:rsid w:val="00DC542F"/>
    <w:rsid w:val="00DC5557"/>
    <w:rsid w:val="00DC7981"/>
    <w:rsid w:val="00DD6F61"/>
    <w:rsid w:val="00DE335A"/>
    <w:rsid w:val="00DE3DB9"/>
    <w:rsid w:val="00DE4EFA"/>
    <w:rsid w:val="00DE5520"/>
    <w:rsid w:val="00DE6FCA"/>
    <w:rsid w:val="00DE787C"/>
    <w:rsid w:val="00DF107E"/>
    <w:rsid w:val="00DF1551"/>
    <w:rsid w:val="00DF7F09"/>
    <w:rsid w:val="00E02C4C"/>
    <w:rsid w:val="00E03FD3"/>
    <w:rsid w:val="00E042D1"/>
    <w:rsid w:val="00E045CC"/>
    <w:rsid w:val="00E04818"/>
    <w:rsid w:val="00E06442"/>
    <w:rsid w:val="00E06895"/>
    <w:rsid w:val="00E07CC7"/>
    <w:rsid w:val="00E1732E"/>
    <w:rsid w:val="00E2008D"/>
    <w:rsid w:val="00E21EF7"/>
    <w:rsid w:val="00E23993"/>
    <w:rsid w:val="00E23FCE"/>
    <w:rsid w:val="00E25B8C"/>
    <w:rsid w:val="00E35184"/>
    <w:rsid w:val="00E40140"/>
    <w:rsid w:val="00E44D90"/>
    <w:rsid w:val="00E4674F"/>
    <w:rsid w:val="00E47DDC"/>
    <w:rsid w:val="00E5106F"/>
    <w:rsid w:val="00E5384A"/>
    <w:rsid w:val="00E569AB"/>
    <w:rsid w:val="00E63639"/>
    <w:rsid w:val="00E65C85"/>
    <w:rsid w:val="00E66199"/>
    <w:rsid w:val="00E755CE"/>
    <w:rsid w:val="00E755EC"/>
    <w:rsid w:val="00E7624D"/>
    <w:rsid w:val="00E77D6F"/>
    <w:rsid w:val="00E81AFB"/>
    <w:rsid w:val="00E8614B"/>
    <w:rsid w:val="00E86D25"/>
    <w:rsid w:val="00E87A15"/>
    <w:rsid w:val="00E907C9"/>
    <w:rsid w:val="00E92FB6"/>
    <w:rsid w:val="00E9468A"/>
    <w:rsid w:val="00E96E4C"/>
    <w:rsid w:val="00EA1964"/>
    <w:rsid w:val="00EA3D42"/>
    <w:rsid w:val="00EA4F5E"/>
    <w:rsid w:val="00EA51DF"/>
    <w:rsid w:val="00EA5F65"/>
    <w:rsid w:val="00EA6B1B"/>
    <w:rsid w:val="00EA6BDB"/>
    <w:rsid w:val="00EB43F6"/>
    <w:rsid w:val="00EB61EB"/>
    <w:rsid w:val="00ED2D07"/>
    <w:rsid w:val="00ED5EE6"/>
    <w:rsid w:val="00EE28F3"/>
    <w:rsid w:val="00EE57DE"/>
    <w:rsid w:val="00EE5A39"/>
    <w:rsid w:val="00EE63EE"/>
    <w:rsid w:val="00EF00FD"/>
    <w:rsid w:val="00EF5110"/>
    <w:rsid w:val="00F0307C"/>
    <w:rsid w:val="00F03F72"/>
    <w:rsid w:val="00F10C00"/>
    <w:rsid w:val="00F143D6"/>
    <w:rsid w:val="00F149BD"/>
    <w:rsid w:val="00F15882"/>
    <w:rsid w:val="00F20BD3"/>
    <w:rsid w:val="00F231AA"/>
    <w:rsid w:val="00F23FEC"/>
    <w:rsid w:val="00F26D75"/>
    <w:rsid w:val="00F373A5"/>
    <w:rsid w:val="00F41BB3"/>
    <w:rsid w:val="00F42CCF"/>
    <w:rsid w:val="00F44137"/>
    <w:rsid w:val="00F47559"/>
    <w:rsid w:val="00F47585"/>
    <w:rsid w:val="00F507E4"/>
    <w:rsid w:val="00F53AF6"/>
    <w:rsid w:val="00F56392"/>
    <w:rsid w:val="00F60BE4"/>
    <w:rsid w:val="00F61B84"/>
    <w:rsid w:val="00F62762"/>
    <w:rsid w:val="00F63088"/>
    <w:rsid w:val="00F6481F"/>
    <w:rsid w:val="00F64C7B"/>
    <w:rsid w:val="00F676DD"/>
    <w:rsid w:val="00F707E0"/>
    <w:rsid w:val="00F742A5"/>
    <w:rsid w:val="00F74637"/>
    <w:rsid w:val="00F746B8"/>
    <w:rsid w:val="00F75A26"/>
    <w:rsid w:val="00F75EF8"/>
    <w:rsid w:val="00F80413"/>
    <w:rsid w:val="00F81CC7"/>
    <w:rsid w:val="00F83FAD"/>
    <w:rsid w:val="00F84E29"/>
    <w:rsid w:val="00F85C55"/>
    <w:rsid w:val="00F87A7E"/>
    <w:rsid w:val="00F91DC6"/>
    <w:rsid w:val="00F93CB5"/>
    <w:rsid w:val="00F94523"/>
    <w:rsid w:val="00F952A0"/>
    <w:rsid w:val="00FA0DCF"/>
    <w:rsid w:val="00FA28B0"/>
    <w:rsid w:val="00FA34F7"/>
    <w:rsid w:val="00FA3C7F"/>
    <w:rsid w:val="00FB3D54"/>
    <w:rsid w:val="00FB48C4"/>
    <w:rsid w:val="00FB52D7"/>
    <w:rsid w:val="00FB53F4"/>
    <w:rsid w:val="00FB6EED"/>
    <w:rsid w:val="00FB74E2"/>
    <w:rsid w:val="00FC5C99"/>
    <w:rsid w:val="00FD3D88"/>
    <w:rsid w:val="00FD5614"/>
    <w:rsid w:val="00FE0BE1"/>
    <w:rsid w:val="00FE1DE9"/>
    <w:rsid w:val="00FE39C2"/>
    <w:rsid w:val="00FE429B"/>
    <w:rsid w:val="00FE5C1E"/>
    <w:rsid w:val="00FE64AE"/>
    <w:rsid w:val="00FF3E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950BB"/>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0E3A2E"/>
    <w:pPr>
      <w:numPr>
        <w:ilvl w:val="1"/>
        <w:numId w:val="12"/>
      </w:numPr>
      <w:tabs>
        <w:tab w:val="left" w:pos="1021"/>
      </w:tabs>
    </w:pPr>
    <w:rPr>
      <w:rFonts w:cs="Arial"/>
    </w:rPr>
  </w:style>
  <w:style w:type="paragraph" w:customStyle="1" w:styleId="Numbered111">
    <w:name w:val="Numbered 1.1.1"/>
    <w:basedOn w:val="Heading3"/>
    <w:next w:val="Normal"/>
    <w:qFormat/>
    <w:rsid w:val="009F2BE5"/>
    <w:pPr>
      <w:numPr>
        <w:ilvl w:val="2"/>
        <w:numId w:val="12"/>
      </w:numPr>
      <w:tabs>
        <w:tab w:val="left" w:pos="1361"/>
      </w:tabs>
      <w:contextualSpacing/>
    </w:pPr>
  </w:style>
  <w:style w:type="paragraph" w:customStyle="1" w:styleId="Numbered1111">
    <w:name w:val="Numbered 1.1.1.1"/>
    <w:basedOn w:val="Heading4"/>
    <w:next w:val="Normal"/>
    <w:rsid w:val="00F61B84"/>
    <w:pPr>
      <w:numPr>
        <w:ilvl w:val="3"/>
        <w:numId w:val="12"/>
      </w:numPr>
      <w:tabs>
        <w:tab w:val="left" w:pos="1361"/>
      </w:tabs>
    </w:pPr>
  </w:style>
  <w:style w:type="paragraph" w:customStyle="1" w:styleId="Numbered11111">
    <w:name w:val="Numbered 1.1.1.1.1"/>
    <w:basedOn w:val="Heading5"/>
    <w:next w:val="Normal"/>
    <w:uiPriority w:val="2"/>
    <w:rsid w:val="00F61B84"/>
    <w:pPr>
      <w:numPr>
        <w:ilvl w:val="4"/>
        <w:numId w:val="12"/>
      </w:numPr>
      <w:tabs>
        <w:tab w:val="left" w:pos="1701"/>
      </w:tabs>
    </w:pPr>
  </w:style>
  <w:style w:type="paragraph" w:customStyle="1" w:styleId="Numbered111111">
    <w:name w:val="Numbered 1.1.1.1.1.1"/>
    <w:basedOn w:val="Heading6"/>
    <w:next w:val="Normal"/>
    <w:uiPriority w:val="2"/>
    <w:rsid w:val="00F61B84"/>
    <w:pPr>
      <w:numPr>
        <w:ilvl w:val="5"/>
        <w:numId w:val="12"/>
      </w:num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pPr>
  </w:style>
  <w:style w:type="paragraph" w:customStyle="1" w:styleId="Numbered11111111">
    <w:name w:val="Numbered 1.1.1.1.1.1.1.1"/>
    <w:basedOn w:val="Heading8"/>
    <w:next w:val="Normal"/>
    <w:uiPriority w:val="2"/>
    <w:rsid w:val="00F61B84"/>
    <w:pPr>
      <w:numPr>
        <w:ilvl w:val="7"/>
        <w:numId w:val="12"/>
      </w:numPr>
      <w:tabs>
        <w:tab w:val="left" w:pos="2041"/>
      </w:tabs>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EA1964"/>
    <w:rPr>
      <w:color w:val="800080" w:themeColor="followedHyperlink"/>
      <w:u w:val="single"/>
    </w:rPr>
  </w:style>
  <w:style w:type="character" w:customStyle="1" w:styleId="contentossregulation">
    <w:name w:val="contentossregulation"/>
    <w:basedOn w:val="DefaultParagraphFont"/>
    <w:rsid w:val="00165FBE"/>
  </w:style>
  <w:style w:type="character" w:styleId="CommentReference">
    <w:name w:val="annotation reference"/>
    <w:basedOn w:val="DefaultParagraphFont"/>
    <w:uiPriority w:val="99"/>
    <w:semiHidden/>
    <w:unhideWhenUsed/>
    <w:rsid w:val="00CD74D8"/>
    <w:rPr>
      <w:sz w:val="16"/>
      <w:szCs w:val="16"/>
    </w:rPr>
  </w:style>
  <w:style w:type="paragraph" w:styleId="CommentText">
    <w:name w:val="annotation text"/>
    <w:basedOn w:val="Normal"/>
    <w:link w:val="CommentTextChar"/>
    <w:uiPriority w:val="99"/>
    <w:semiHidden/>
    <w:unhideWhenUsed/>
    <w:rsid w:val="00CD74D8"/>
    <w:rPr>
      <w:sz w:val="20"/>
      <w:szCs w:val="20"/>
    </w:rPr>
  </w:style>
  <w:style w:type="character" w:customStyle="1" w:styleId="CommentTextChar">
    <w:name w:val="Comment Text Char"/>
    <w:basedOn w:val="DefaultParagraphFont"/>
    <w:link w:val="CommentText"/>
    <w:uiPriority w:val="99"/>
    <w:semiHidden/>
    <w:rsid w:val="00CD74D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74D8"/>
    <w:rPr>
      <w:b/>
      <w:bCs/>
    </w:rPr>
  </w:style>
  <w:style w:type="character" w:customStyle="1" w:styleId="CommentSubjectChar">
    <w:name w:val="Comment Subject Char"/>
    <w:basedOn w:val="CommentTextChar"/>
    <w:link w:val="CommentSubject"/>
    <w:uiPriority w:val="99"/>
    <w:semiHidden/>
    <w:rsid w:val="00CD74D8"/>
    <w:rPr>
      <w:rFonts w:ascii="Arial" w:hAnsi="Arial"/>
      <w:b/>
      <w:bCs/>
      <w:sz w:val="20"/>
      <w:szCs w:val="20"/>
    </w:rPr>
  </w:style>
  <w:style w:type="paragraph" w:styleId="Revision">
    <w:name w:val="Revision"/>
    <w:hidden/>
    <w:uiPriority w:val="99"/>
    <w:semiHidden/>
    <w:rsid w:val="00877528"/>
    <w:pPr>
      <w:spacing w:before="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950BB"/>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0E3A2E"/>
    <w:pPr>
      <w:numPr>
        <w:ilvl w:val="1"/>
        <w:numId w:val="12"/>
      </w:numPr>
      <w:tabs>
        <w:tab w:val="left" w:pos="1021"/>
      </w:tabs>
    </w:pPr>
    <w:rPr>
      <w:rFonts w:cs="Arial"/>
    </w:rPr>
  </w:style>
  <w:style w:type="paragraph" w:customStyle="1" w:styleId="Numbered111">
    <w:name w:val="Numbered 1.1.1"/>
    <w:basedOn w:val="Heading3"/>
    <w:next w:val="Normal"/>
    <w:qFormat/>
    <w:rsid w:val="009F2BE5"/>
    <w:pPr>
      <w:numPr>
        <w:ilvl w:val="2"/>
        <w:numId w:val="12"/>
      </w:numPr>
      <w:tabs>
        <w:tab w:val="left" w:pos="1361"/>
      </w:tabs>
      <w:contextualSpacing/>
    </w:pPr>
  </w:style>
  <w:style w:type="paragraph" w:customStyle="1" w:styleId="Numbered1111">
    <w:name w:val="Numbered 1.1.1.1"/>
    <w:basedOn w:val="Heading4"/>
    <w:next w:val="Normal"/>
    <w:rsid w:val="00F61B84"/>
    <w:pPr>
      <w:numPr>
        <w:ilvl w:val="3"/>
        <w:numId w:val="12"/>
      </w:numPr>
      <w:tabs>
        <w:tab w:val="left" w:pos="1361"/>
      </w:tabs>
    </w:pPr>
  </w:style>
  <w:style w:type="paragraph" w:customStyle="1" w:styleId="Numbered11111">
    <w:name w:val="Numbered 1.1.1.1.1"/>
    <w:basedOn w:val="Heading5"/>
    <w:next w:val="Normal"/>
    <w:uiPriority w:val="2"/>
    <w:rsid w:val="00F61B84"/>
    <w:pPr>
      <w:numPr>
        <w:ilvl w:val="4"/>
        <w:numId w:val="12"/>
      </w:numPr>
      <w:tabs>
        <w:tab w:val="left" w:pos="1701"/>
      </w:tabs>
    </w:pPr>
  </w:style>
  <w:style w:type="paragraph" w:customStyle="1" w:styleId="Numbered111111">
    <w:name w:val="Numbered 1.1.1.1.1.1"/>
    <w:basedOn w:val="Heading6"/>
    <w:next w:val="Normal"/>
    <w:uiPriority w:val="2"/>
    <w:rsid w:val="00F61B84"/>
    <w:pPr>
      <w:numPr>
        <w:ilvl w:val="5"/>
        <w:numId w:val="12"/>
      </w:num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pPr>
  </w:style>
  <w:style w:type="paragraph" w:customStyle="1" w:styleId="Numbered11111111">
    <w:name w:val="Numbered 1.1.1.1.1.1.1.1"/>
    <w:basedOn w:val="Heading8"/>
    <w:next w:val="Normal"/>
    <w:uiPriority w:val="2"/>
    <w:rsid w:val="00F61B84"/>
    <w:pPr>
      <w:numPr>
        <w:ilvl w:val="7"/>
        <w:numId w:val="12"/>
      </w:numPr>
      <w:tabs>
        <w:tab w:val="left" w:pos="2041"/>
      </w:tabs>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EA1964"/>
    <w:rPr>
      <w:color w:val="800080" w:themeColor="followedHyperlink"/>
      <w:u w:val="single"/>
    </w:rPr>
  </w:style>
  <w:style w:type="character" w:customStyle="1" w:styleId="contentossregulation">
    <w:name w:val="contentossregulation"/>
    <w:basedOn w:val="DefaultParagraphFont"/>
    <w:rsid w:val="00165FBE"/>
  </w:style>
  <w:style w:type="character" w:styleId="CommentReference">
    <w:name w:val="annotation reference"/>
    <w:basedOn w:val="DefaultParagraphFont"/>
    <w:uiPriority w:val="99"/>
    <w:semiHidden/>
    <w:unhideWhenUsed/>
    <w:rsid w:val="00CD74D8"/>
    <w:rPr>
      <w:sz w:val="16"/>
      <w:szCs w:val="16"/>
    </w:rPr>
  </w:style>
  <w:style w:type="paragraph" w:styleId="CommentText">
    <w:name w:val="annotation text"/>
    <w:basedOn w:val="Normal"/>
    <w:link w:val="CommentTextChar"/>
    <w:uiPriority w:val="99"/>
    <w:semiHidden/>
    <w:unhideWhenUsed/>
    <w:rsid w:val="00CD74D8"/>
    <w:rPr>
      <w:sz w:val="20"/>
      <w:szCs w:val="20"/>
    </w:rPr>
  </w:style>
  <w:style w:type="character" w:customStyle="1" w:styleId="CommentTextChar">
    <w:name w:val="Comment Text Char"/>
    <w:basedOn w:val="DefaultParagraphFont"/>
    <w:link w:val="CommentText"/>
    <w:uiPriority w:val="99"/>
    <w:semiHidden/>
    <w:rsid w:val="00CD74D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74D8"/>
    <w:rPr>
      <w:b/>
      <w:bCs/>
    </w:rPr>
  </w:style>
  <w:style w:type="character" w:customStyle="1" w:styleId="CommentSubjectChar">
    <w:name w:val="Comment Subject Char"/>
    <w:basedOn w:val="CommentTextChar"/>
    <w:link w:val="CommentSubject"/>
    <w:uiPriority w:val="99"/>
    <w:semiHidden/>
    <w:rsid w:val="00CD74D8"/>
    <w:rPr>
      <w:rFonts w:ascii="Arial" w:hAnsi="Arial"/>
      <w:b/>
      <w:bCs/>
      <w:sz w:val="20"/>
      <w:szCs w:val="20"/>
    </w:rPr>
  </w:style>
  <w:style w:type="paragraph" w:styleId="Revision">
    <w:name w:val="Revision"/>
    <w:hidden/>
    <w:uiPriority w:val="99"/>
    <w:semiHidden/>
    <w:rsid w:val="00877528"/>
    <w:pPr>
      <w:spacing w:befor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5712">
      <w:bodyDiv w:val="1"/>
      <w:marLeft w:val="0"/>
      <w:marRight w:val="0"/>
      <w:marTop w:val="0"/>
      <w:marBottom w:val="0"/>
      <w:divBdr>
        <w:top w:val="none" w:sz="0" w:space="0" w:color="auto"/>
        <w:left w:val="none" w:sz="0" w:space="0" w:color="auto"/>
        <w:bottom w:val="none" w:sz="0" w:space="0" w:color="auto"/>
        <w:right w:val="none" w:sz="0" w:space="0" w:color="auto"/>
      </w:divBdr>
    </w:div>
    <w:div w:id="764150130">
      <w:bodyDiv w:val="1"/>
      <w:marLeft w:val="0"/>
      <w:marRight w:val="0"/>
      <w:marTop w:val="0"/>
      <w:marBottom w:val="0"/>
      <w:divBdr>
        <w:top w:val="none" w:sz="0" w:space="0" w:color="auto"/>
        <w:left w:val="none" w:sz="0" w:space="0" w:color="auto"/>
        <w:bottom w:val="none" w:sz="0" w:space="0" w:color="auto"/>
        <w:right w:val="none" w:sz="0" w:space="0" w:color="auto"/>
      </w:divBdr>
    </w:div>
    <w:div w:id="771170291">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yperlink" Target="http://www.accc.gov.au/system/files/ACCC-AER%20Information%20Policy.pdf" TargetMode="External"/><Relationship Id="rId3" Type="http://schemas.openxmlformats.org/officeDocument/2006/relationships/numbering" Target="numbering.xml"/><Relationship Id="rId21" Type="http://schemas.openxmlformats.org/officeDocument/2006/relationships/hyperlink" Target="https://www.legislation.gov.au/Details/F2010L00296"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productsafety.regulation@accc.gov.au" TargetMode="External"/><Relationship Id="rId2" Type="http://schemas.openxmlformats.org/officeDocument/2006/relationships/customXml" Target="../customXml/item2.xml"/><Relationship Id="rId16" Type="http://schemas.openxmlformats.org/officeDocument/2006/relationships/hyperlink" Target="https://consultation.accc.gov.au" TargetMode="External"/><Relationship Id="rId20" Type="http://schemas.openxmlformats.org/officeDocument/2006/relationships/hyperlink" Target="https://www.legislation.gov.au/Details/F2008L0457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creativecommons.org.au/"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legislation.gov.au/Details/F2008L0323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roductsafety.gov.au/content/index.phtml/itemId/10141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ACCC%20Report%20Template.do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31D443-C782-48C7-8887-841724CE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 Report Template</Template>
  <TotalTime>1</TotalTime>
  <Pages>18</Pages>
  <Words>4784</Words>
  <Characters>27271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31992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Owen, Todd</dc:creator>
  <cp:lastModifiedBy>Kaloudis, Janelle</cp:lastModifiedBy>
  <cp:revision>2</cp:revision>
  <cp:lastPrinted>2016-08-30T04:09:00Z</cp:lastPrinted>
  <dcterms:created xsi:type="dcterms:W3CDTF">2016-09-27T06:48:00Z</dcterms:created>
  <dcterms:modified xsi:type="dcterms:W3CDTF">2016-09-27T06:48:00Z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\\cdchnas-evs02\home$\jkalo\cps - sp - consultation paper - review of safety standards for hydraulic trolley jacks vehicle support stands and porta (D2016-00066869).docx</vt:lpwstr>
  </property>
</Properties>
</file>