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61FAC1F" w14:textId="77777777" w:rsidR="00A87F51" w:rsidRDefault="00DA4AAD" w:rsidP="00030B8B">
      <w:r>
        <w:rPr>
          <w:noProof/>
          <w:lang w:eastAsia="en-AU"/>
        </w:rPr>
        <mc:AlternateContent>
          <mc:Choice Requires="wps">
            <w:drawing>
              <wp:anchor distT="0" distB="0" distL="114300" distR="114300" simplePos="0" relativeHeight="251659264" behindDoc="1" locked="0" layoutInCell="1" allowOverlap="1" wp14:anchorId="3957D76F" wp14:editId="6B9822F0">
                <wp:simplePos x="0" y="0"/>
                <wp:positionH relativeFrom="column">
                  <wp:posOffset>-668655</wp:posOffset>
                </wp:positionH>
                <wp:positionV relativeFrom="paragraph">
                  <wp:posOffset>-491402</wp:posOffset>
                </wp:positionV>
                <wp:extent cx="7058025" cy="10111416"/>
                <wp:effectExtent l="0" t="0" r="9525" b="4445"/>
                <wp:wrapNone/>
                <wp:docPr id="3" name="Rectangle 3"/>
                <wp:cNvGraphicFramePr/>
                <a:graphic xmlns:a="http://schemas.openxmlformats.org/drawingml/2006/main">
                  <a:graphicData uri="http://schemas.microsoft.com/office/word/2010/wordprocessingShape">
                    <wps:wsp>
                      <wps:cNvSpPr/>
                      <wps:spPr>
                        <a:xfrm>
                          <a:off x="0" y="0"/>
                          <a:ext cx="7058025" cy="10111416"/>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6A6E130" w14:textId="77777777" w:rsidR="00F01470" w:rsidRDefault="00F01470"/>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57D76F" id="Rectangle 3" o:spid="_x0000_s1026" style="position:absolute;margin-left:-52.65pt;margin-top:-38.7pt;width:555.75pt;height:796.1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" fillcolor="#d5d6d2 [3214]" stroked="f" strokeweight="2pt">
                <v:textbox>
                  <w:txbxContent>
                    <w:p w14:paraId="36A6E130" w14:textId="77777777" w:rsidR="00F01470" w:rsidRDefault="00F01470"/>
                  </w:txbxContent>
                </v:textbox>
              </v:rect>
            </w:pict>
          </mc:Fallback>
        </mc:AlternateContent>
      </w:r>
    </w:p>
    <w:sdt>
      <w:sdtPr>
        <w:rPr>
          <w:sz w:val="22"/>
        </w:rPr>
        <w:id w:val="-33892015"/>
        <w:docPartObj>
          <w:docPartGallery w:val="Cover Pages"/>
          <w:docPartUnique/>
        </w:docPartObj>
      </w:sdtPr>
      <w:sdtEndPr/>
      <w:sdtContent>
        <w:tbl>
          <w:tblPr>
            <w:tblStyle w:val="TableGrid"/>
            <w:tblW w:w="0" w:type="auto"/>
            <w:tblBorders>
              <w:top w:val="none" w:sz="0" w:space="0" w:color="auto"/>
              <w:bottom w:val="none" w:sz="0" w:space="0" w:color="auto"/>
            </w:tblBorders>
            <w:tblLook w:val="0400" w:firstRow="0" w:lastRow="0" w:firstColumn="0" w:lastColumn="0" w:noHBand="0" w:noVBand="1"/>
          </w:tblPr>
          <w:tblGrid>
            <w:gridCol w:w="9026"/>
          </w:tblGrid>
          <w:tr w:rsidR="004351B7" w:rsidRPr="00C755AD" w14:paraId="077DF099" w14:textId="77777777" w:rsidTr="007C0352">
            <w:trPr>
              <w:trHeight w:val="2384"/>
            </w:trPr>
            <w:tc>
              <w:tcPr>
                <w:tcW w:w="9026" w:type="dxa"/>
              </w:tcPr>
              <w:p w14:paraId="0C74F845" w14:textId="61285A75" w:rsidR="004351B7" w:rsidRDefault="004351B7" w:rsidP="00674220">
                <w:r>
                  <w:br w:type="page"/>
                </w:r>
                <w:r>
                  <w:rPr>
                    <w:noProof/>
                    <w:lang w:eastAsia="en-AU"/>
                  </w:rPr>
                  <w:drawing>
                    <wp:inline distT="0" distB="0" distL="0" distR="0" wp14:anchorId="42EC9E44" wp14:editId="0A8062D5">
                      <wp:extent cx="3243648" cy="12001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CC_Logo_Stacked_RGB_Positive2.png"/>
                              <pic:cNvPicPr/>
                            </pic:nvPicPr>
                            <pic:blipFill>
                              <a:blip r:embed="rId9">
                                <a:extLst>
                                  <a:ext uri="{28A0092B-C50C-407E-A947-70E740481C1C}">
                                    <a14:useLocalDpi xmlns:a14="http://schemas.microsoft.com/office/drawing/2010/main" val="0"/>
                                  </a:ext>
                                </a:extLst>
                              </a:blip>
                              <a:stretch>
                                <a:fillRect/>
                              </a:stretch>
                            </pic:blipFill>
                            <pic:spPr>
                              <a:xfrm>
                                <a:off x="0" y="0"/>
                                <a:ext cx="3253555" cy="1203816"/>
                              </a:xfrm>
                              <a:prstGeom prst="rect">
                                <a:avLst/>
                              </a:prstGeom>
                            </pic:spPr>
                          </pic:pic>
                        </a:graphicData>
                      </a:graphic>
                    </wp:inline>
                  </w:drawing>
                </w:r>
              </w:p>
              <w:p w14:paraId="6D96EB91" w14:textId="77777777" w:rsidR="007214F2" w:rsidRPr="007214F2" w:rsidRDefault="007214F2" w:rsidP="00674220">
                <w:pPr>
                  <w:rPr>
                    <w:sz w:val="40"/>
                    <w:szCs w:val="40"/>
                  </w:rPr>
                </w:pPr>
              </w:p>
              <w:p w14:paraId="7E651906" w14:textId="79A89FAD" w:rsidR="004351B7" w:rsidRPr="001F089E" w:rsidRDefault="004351B7" w:rsidP="00674220">
                <w:pPr>
                  <w:rPr>
                    <w:sz w:val="4"/>
                    <w:szCs w:val="4"/>
                  </w:rPr>
                </w:pPr>
              </w:p>
            </w:tc>
          </w:tr>
          <w:tr w:rsidR="004351B7" w:rsidRPr="00C755AD" w14:paraId="2ADB9670" w14:textId="77777777" w:rsidTr="004351B7">
            <w:tc>
              <w:tcPr>
                <w:tcW w:w="9026" w:type="dxa"/>
              </w:tcPr>
              <w:p w14:paraId="0583C2FA" w14:textId="2281C1A8" w:rsidR="004351B7" w:rsidRPr="00233B6E" w:rsidRDefault="004351B7" w:rsidP="00147D18">
                <w:pPr>
                  <w:rPr>
                    <w:rFonts w:ascii="Lucida Fax" w:hAnsi="Lucida Fax"/>
                    <w:color w:val="4F2D7D"/>
                    <w:sz w:val="72"/>
                    <w:szCs w:val="72"/>
                  </w:rPr>
                </w:pPr>
                <w:bookmarkStart w:id="0" w:name="_Toc529879120"/>
                <w:bookmarkStart w:id="1" w:name="_Toc529889536"/>
                <w:bookmarkStart w:id="2" w:name="_Toc530142483"/>
                <w:bookmarkStart w:id="3" w:name="_Toc530559840"/>
                <w:bookmarkStart w:id="4" w:name="_Toc531346501"/>
                <w:bookmarkStart w:id="5" w:name="_Toc532980631"/>
                <w:bookmarkStart w:id="6" w:name="_Toc534613875"/>
                <w:r w:rsidRPr="00233B6E">
                  <w:rPr>
                    <w:rFonts w:ascii="Lucida Fax" w:hAnsi="Lucida Fax"/>
                    <w:color w:val="4F2D7D"/>
                    <w:sz w:val="72"/>
                    <w:szCs w:val="72"/>
                  </w:rPr>
                  <w:t>Review of</w:t>
                </w:r>
                <w:bookmarkEnd w:id="0"/>
                <w:bookmarkEnd w:id="1"/>
                <w:bookmarkEnd w:id="2"/>
                <w:bookmarkEnd w:id="3"/>
                <w:r w:rsidRPr="00233B6E">
                  <w:rPr>
                    <w:rFonts w:ascii="Lucida Fax" w:hAnsi="Lucida Fax"/>
                    <w:color w:val="4F2D7D"/>
                    <w:sz w:val="72"/>
                    <w:szCs w:val="72"/>
                  </w:rPr>
                  <w:t xml:space="preserve"> the </w:t>
                </w:r>
                <w:r w:rsidR="005E5D0B" w:rsidRPr="00233B6E">
                  <w:rPr>
                    <w:rFonts w:ascii="Lucida Fax" w:hAnsi="Lucida Fax"/>
                    <w:color w:val="4F2D7D"/>
                    <w:sz w:val="72"/>
                    <w:szCs w:val="72"/>
                  </w:rPr>
                  <w:t xml:space="preserve">information standard </w:t>
                </w:r>
                <w:r w:rsidR="00147D18" w:rsidRPr="00233B6E">
                  <w:rPr>
                    <w:rFonts w:ascii="Lucida Fax" w:hAnsi="Lucida Fax"/>
                    <w:color w:val="4F2D7D"/>
                    <w:sz w:val="72"/>
                    <w:szCs w:val="72"/>
                  </w:rPr>
                  <w:t>-C</w:t>
                </w:r>
                <w:r w:rsidR="005E5D0B" w:rsidRPr="00233B6E">
                  <w:rPr>
                    <w:rFonts w:ascii="Lucida Fax" w:hAnsi="Lucida Fax"/>
                    <w:color w:val="4F2D7D"/>
                    <w:sz w:val="72"/>
                    <w:szCs w:val="72"/>
                  </w:rPr>
                  <w:t>osmetics ingredient</w:t>
                </w:r>
                <w:bookmarkEnd w:id="4"/>
                <w:bookmarkEnd w:id="5"/>
                <w:bookmarkEnd w:id="6"/>
                <w:r w:rsidR="00704864" w:rsidRPr="00233B6E">
                  <w:rPr>
                    <w:rFonts w:ascii="Lucida Fax" w:hAnsi="Lucida Fax"/>
                    <w:color w:val="4F2D7D"/>
                    <w:sz w:val="72"/>
                    <w:szCs w:val="72"/>
                  </w:rPr>
                  <w:t xml:space="preserve"> labelling</w:t>
                </w:r>
              </w:p>
            </w:tc>
          </w:tr>
          <w:tr w:rsidR="004351B7" w:rsidRPr="00C755AD" w14:paraId="046622C7" w14:textId="77777777" w:rsidTr="004351B7">
            <w:tc>
              <w:tcPr>
                <w:tcW w:w="9026" w:type="dxa"/>
              </w:tcPr>
              <w:p w14:paraId="45270135" w14:textId="44997086" w:rsidR="004351B7" w:rsidRPr="00233B6E" w:rsidRDefault="004351B7" w:rsidP="00674220">
                <w:pPr>
                  <w:pStyle w:val="Subtitle"/>
                  <w:rPr>
                    <w:rFonts w:ascii="Lucida Fax" w:hAnsi="Lucida Fax"/>
                    <w:color w:val="4F2D7D"/>
                  </w:rPr>
                </w:pPr>
                <w:r w:rsidRPr="00233B6E">
                  <w:rPr>
                    <w:rFonts w:ascii="Lucida Fax" w:hAnsi="Lucida Fax"/>
                    <w:color w:val="4F2D7D"/>
                  </w:rPr>
                  <w:t>Consultation paper</w:t>
                </w:r>
              </w:p>
            </w:tc>
          </w:tr>
          <w:tr w:rsidR="004351B7" w:rsidRPr="00C755AD" w14:paraId="7D1C85AB" w14:textId="77777777" w:rsidTr="004351B7">
            <w:tc>
              <w:tcPr>
                <w:tcW w:w="9026" w:type="dxa"/>
              </w:tcPr>
              <w:p w14:paraId="0204617C" w14:textId="4D800526" w:rsidR="004351B7" w:rsidRPr="00993BCB" w:rsidRDefault="003B1A22" w:rsidP="00674220">
                <w:pPr>
                  <w:pStyle w:val="CoverDate"/>
                  <w:rPr>
                    <w:rFonts w:ascii="Lucida Fax" w:hAnsi="Lucida Fax"/>
                    <w:color w:val="4F2D7D"/>
                  </w:rPr>
                </w:pPr>
                <w:r>
                  <w:rPr>
                    <w:rFonts w:ascii="Lucida Fax" w:hAnsi="Lucida Fax"/>
                    <w:color w:val="4F2D7D"/>
                  </w:rPr>
                  <w:t>November</w:t>
                </w:r>
                <w:r w:rsidR="007A4D8D" w:rsidRPr="00993BCB">
                  <w:rPr>
                    <w:rFonts w:ascii="Lucida Fax" w:hAnsi="Lucida Fax"/>
                    <w:color w:val="4F2D7D"/>
                  </w:rPr>
                  <w:t xml:space="preserve"> </w:t>
                </w:r>
                <w:r w:rsidR="004351B7" w:rsidRPr="00993BCB">
                  <w:rPr>
                    <w:rFonts w:ascii="Lucida Fax" w:hAnsi="Lucida Fax"/>
                    <w:color w:val="4F2D7D"/>
                  </w:rPr>
                  <w:t>201</w:t>
                </w:r>
                <w:r w:rsidR="00AC116C" w:rsidRPr="00993BCB">
                  <w:rPr>
                    <w:rFonts w:ascii="Lucida Fax" w:hAnsi="Lucida Fax"/>
                    <w:color w:val="4F2D7D"/>
                  </w:rPr>
                  <w:t>9</w:t>
                </w:r>
              </w:p>
            </w:tc>
          </w:tr>
        </w:tbl>
        <w:p w14:paraId="2666703D" w14:textId="4D7E996C" w:rsidR="004351B7" w:rsidRDefault="00E60652" w:rsidP="004351B7">
          <w:r>
            <w:rPr>
              <w:noProof/>
              <w:lang w:eastAsia="en-AU"/>
            </w:rPr>
            <w:drawing>
              <wp:anchor distT="0" distB="0" distL="114300" distR="114300" simplePos="0" relativeHeight="251660288" behindDoc="0" locked="0" layoutInCell="1" allowOverlap="1" wp14:anchorId="74699DDB" wp14:editId="643BE54B">
                <wp:simplePos x="0" y="0"/>
                <wp:positionH relativeFrom="column">
                  <wp:posOffset>32326</wp:posOffset>
                </wp:positionH>
                <wp:positionV relativeFrom="paragraph">
                  <wp:posOffset>714260</wp:posOffset>
                </wp:positionV>
                <wp:extent cx="5715000" cy="2473325"/>
                <wp:effectExtent l="0" t="0" r="0" b="3175"/>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15000" cy="2473325"/>
                        </a:xfrm>
                        <a:prstGeom prst="rect">
                          <a:avLst/>
                        </a:prstGeom>
                        <a:noFill/>
                        <a:ln>
                          <a:noFill/>
                        </a:ln>
                      </pic:spPr>
                    </pic:pic>
                  </a:graphicData>
                </a:graphic>
                <wp14:sizeRelH relativeFrom="page">
                  <wp14:pctWidth>0</wp14:pctWidth>
                </wp14:sizeRelH>
                <wp14:sizeRelV relativeFrom="page">
                  <wp14:pctHeight>0</wp14:pctHeight>
                </wp14:sizeRelV>
              </wp:anchor>
            </w:drawing>
          </w:r>
          <w:r w:rsidR="004351B7">
            <w:br w:type="page"/>
          </w:r>
        </w:p>
        <w:p w14:paraId="337903F8" w14:textId="77777777" w:rsidR="0067579F" w:rsidRDefault="0067579F" w:rsidP="0067579F">
          <w:pPr>
            <w:jc w:val="center"/>
            <w:rPr>
              <w:u w:val="single"/>
              <w:lang w:val="en-GB"/>
            </w:rPr>
          </w:pPr>
        </w:p>
        <w:p w14:paraId="6AEFA2EF" w14:textId="50F226EA" w:rsidR="0067579F" w:rsidRDefault="0067579F" w:rsidP="0067579F">
          <w:pPr>
            <w:jc w:val="center"/>
            <w:rPr>
              <w:u w:val="single"/>
              <w:lang w:val="en-GB"/>
            </w:rPr>
          </w:pPr>
        </w:p>
        <w:p w14:paraId="7A1E3A12" w14:textId="77777777" w:rsidR="0067579F" w:rsidRDefault="0067579F" w:rsidP="0067579F">
          <w:pPr>
            <w:jc w:val="center"/>
            <w:rPr>
              <w:u w:val="single"/>
              <w:lang w:val="en-GB"/>
            </w:rPr>
          </w:pPr>
        </w:p>
        <w:p w14:paraId="33EB343F" w14:textId="77777777" w:rsidR="0067579F" w:rsidRDefault="0067579F" w:rsidP="0067579F">
          <w:pPr>
            <w:jc w:val="center"/>
            <w:rPr>
              <w:u w:val="single"/>
              <w:lang w:val="en-GB"/>
            </w:rPr>
          </w:pPr>
        </w:p>
        <w:p w14:paraId="75677196" w14:textId="77777777" w:rsidR="0067579F" w:rsidRDefault="0067579F" w:rsidP="0067579F">
          <w:pPr>
            <w:jc w:val="center"/>
            <w:rPr>
              <w:u w:val="single"/>
              <w:lang w:val="en-GB"/>
            </w:rPr>
          </w:pPr>
        </w:p>
        <w:p w14:paraId="14646517" w14:textId="77777777" w:rsidR="0067579F" w:rsidRDefault="0067579F" w:rsidP="0067579F">
          <w:pPr>
            <w:jc w:val="center"/>
            <w:rPr>
              <w:u w:val="single"/>
              <w:lang w:val="en-GB"/>
            </w:rPr>
          </w:pPr>
        </w:p>
        <w:p w14:paraId="52D55093" w14:textId="07ECB077" w:rsidR="0067579F" w:rsidRDefault="0067579F" w:rsidP="0067579F">
          <w:pPr>
            <w:jc w:val="center"/>
            <w:rPr>
              <w:u w:val="single"/>
              <w:lang w:val="en-GB"/>
            </w:rPr>
          </w:pPr>
        </w:p>
        <w:p w14:paraId="1E3A751D" w14:textId="12D4CCB5" w:rsidR="001F089E" w:rsidRDefault="001F089E" w:rsidP="0067579F">
          <w:pPr>
            <w:jc w:val="center"/>
            <w:rPr>
              <w:u w:val="single"/>
              <w:lang w:val="en-GB"/>
            </w:rPr>
          </w:pPr>
        </w:p>
        <w:p w14:paraId="08BE0A35" w14:textId="441042D6" w:rsidR="001F089E" w:rsidRDefault="001F089E" w:rsidP="0067579F">
          <w:pPr>
            <w:jc w:val="center"/>
            <w:rPr>
              <w:u w:val="single"/>
              <w:lang w:val="en-GB"/>
            </w:rPr>
          </w:pPr>
        </w:p>
        <w:p w14:paraId="3EE0DCD1" w14:textId="380324FB" w:rsidR="001F089E" w:rsidRDefault="001F089E" w:rsidP="0067579F">
          <w:pPr>
            <w:jc w:val="center"/>
            <w:rPr>
              <w:u w:val="single"/>
              <w:lang w:val="en-GB"/>
            </w:rPr>
          </w:pPr>
        </w:p>
        <w:p w14:paraId="6BAE8E51" w14:textId="384B31D9" w:rsidR="001F089E" w:rsidRDefault="001F089E" w:rsidP="0067579F">
          <w:pPr>
            <w:jc w:val="center"/>
            <w:rPr>
              <w:u w:val="single"/>
              <w:lang w:val="en-GB"/>
            </w:rPr>
          </w:pPr>
        </w:p>
        <w:p w14:paraId="37C4315E" w14:textId="5594FA05" w:rsidR="001F089E" w:rsidRDefault="001F089E" w:rsidP="0067579F">
          <w:pPr>
            <w:jc w:val="center"/>
            <w:rPr>
              <w:u w:val="single"/>
              <w:lang w:val="en-GB"/>
            </w:rPr>
          </w:pPr>
        </w:p>
        <w:p w14:paraId="4F48680F" w14:textId="337A741A" w:rsidR="001F089E" w:rsidRDefault="001F089E" w:rsidP="0067579F">
          <w:pPr>
            <w:jc w:val="center"/>
            <w:rPr>
              <w:u w:val="single"/>
              <w:lang w:val="en-GB"/>
            </w:rPr>
          </w:pPr>
        </w:p>
        <w:p w14:paraId="7BC4E41B" w14:textId="2DDB2BD6" w:rsidR="001F089E" w:rsidRDefault="001F089E" w:rsidP="0067579F">
          <w:pPr>
            <w:jc w:val="center"/>
            <w:rPr>
              <w:u w:val="single"/>
              <w:lang w:val="en-GB"/>
            </w:rPr>
          </w:pPr>
        </w:p>
        <w:p w14:paraId="4C2D8350" w14:textId="6572D9DE" w:rsidR="001F089E" w:rsidRDefault="001F089E" w:rsidP="0067579F">
          <w:pPr>
            <w:jc w:val="center"/>
            <w:rPr>
              <w:u w:val="single"/>
              <w:lang w:val="en-GB"/>
            </w:rPr>
          </w:pPr>
        </w:p>
        <w:p w14:paraId="021CFFDB" w14:textId="5983121E" w:rsidR="001F089E" w:rsidRDefault="001F089E" w:rsidP="0067579F">
          <w:pPr>
            <w:jc w:val="center"/>
            <w:rPr>
              <w:u w:val="single"/>
              <w:lang w:val="en-GB"/>
            </w:rPr>
          </w:pPr>
        </w:p>
        <w:p w14:paraId="145AF16D" w14:textId="6A0A4D87" w:rsidR="001F089E" w:rsidRDefault="001F089E" w:rsidP="0067579F">
          <w:pPr>
            <w:jc w:val="center"/>
            <w:rPr>
              <w:u w:val="single"/>
              <w:lang w:val="en-GB"/>
            </w:rPr>
          </w:pPr>
        </w:p>
        <w:p w14:paraId="284D36A5" w14:textId="6DCDF455" w:rsidR="001F089E" w:rsidRDefault="001F089E" w:rsidP="0067579F">
          <w:pPr>
            <w:jc w:val="center"/>
            <w:rPr>
              <w:u w:val="single"/>
              <w:lang w:val="en-GB"/>
            </w:rPr>
          </w:pPr>
        </w:p>
        <w:p w14:paraId="1123577E" w14:textId="5B2DA4CA" w:rsidR="001F089E" w:rsidRDefault="001F089E" w:rsidP="0067579F">
          <w:pPr>
            <w:jc w:val="center"/>
            <w:rPr>
              <w:u w:val="single"/>
              <w:lang w:val="en-GB"/>
            </w:rPr>
          </w:pPr>
        </w:p>
        <w:p w14:paraId="3E21881D" w14:textId="7204B279" w:rsidR="001F089E" w:rsidRDefault="001F089E" w:rsidP="0067579F">
          <w:pPr>
            <w:jc w:val="center"/>
            <w:rPr>
              <w:u w:val="single"/>
              <w:lang w:val="en-GB"/>
            </w:rPr>
          </w:pPr>
        </w:p>
        <w:p w14:paraId="5B5A362F" w14:textId="1B7C271F" w:rsidR="0067579F" w:rsidRDefault="0067579F" w:rsidP="0067579F">
          <w:pPr>
            <w:jc w:val="center"/>
            <w:rPr>
              <w:u w:val="single"/>
              <w:lang w:val="en-GB"/>
            </w:rPr>
          </w:pPr>
        </w:p>
        <w:p w14:paraId="04F58DEE" w14:textId="5B52A9BE" w:rsidR="002F41B4" w:rsidRDefault="002F41B4" w:rsidP="0067579F">
          <w:pPr>
            <w:jc w:val="center"/>
            <w:rPr>
              <w:u w:val="single"/>
              <w:lang w:val="en-GB"/>
            </w:rPr>
          </w:pPr>
        </w:p>
        <w:p w14:paraId="0D46C667" w14:textId="77777777" w:rsidR="002F41B4" w:rsidRDefault="002F41B4" w:rsidP="0067579F">
          <w:pPr>
            <w:jc w:val="center"/>
            <w:rPr>
              <w:u w:val="single"/>
              <w:lang w:val="en-GB"/>
            </w:rPr>
          </w:pPr>
        </w:p>
        <w:p w14:paraId="04166F9F" w14:textId="77777777" w:rsidR="0067579F" w:rsidRDefault="0067579F" w:rsidP="0067579F">
          <w:pPr>
            <w:jc w:val="center"/>
            <w:rPr>
              <w:u w:val="single"/>
              <w:lang w:val="en-GB"/>
            </w:rPr>
          </w:pPr>
        </w:p>
        <w:p w14:paraId="734B971B" w14:textId="07F41647" w:rsidR="0067579F" w:rsidRPr="00ED5EE6" w:rsidRDefault="0067579F" w:rsidP="00345D2B">
          <w:pPr>
            <w:jc w:val="center"/>
            <w:rPr>
              <w:u w:val="single"/>
              <w:lang w:val="en-GB"/>
            </w:rPr>
          </w:pPr>
          <w:r w:rsidRPr="00ED5EE6">
            <w:rPr>
              <w:u w:val="single"/>
              <w:lang w:val="en-GB"/>
            </w:rPr>
            <w:t>Disclaimer</w:t>
          </w:r>
        </w:p>
        <w:p w14:paraId="35F0C9A4" w14:textId="7F546D96" w:rsidR="0067579F" w:rsidRPr="00B166BC" w:rsidRDefault="0067579F" w:rsidP="00345D2B">
          <w:pPr>
            <w:pBdr>
              <w:top w:val="single" w:sz="4" w:space="1" w:color="auto"/>
              <w:left w:val="single" w:sz="4" w:space="4" w:color="auto"/>
              <w:bottom w:val="single" w:sz="4" w:space="1" w:color="auto"/>
              <w:right w:val="single" w:sz="4" w:space="4" w:color="auto"/>
            </w:pBdr>
            <w:spacing w:before="120" w:after="120"/>
            <w:rPr>
              <w:lang w:val="en-GB"/>
            </w:rPr>
          </w:pPr>
          <w:r w:rsidRPr="00B166BC">
            <w:rPr>
              <w:lang w:val="en-GB"/>
            </w:rPr>
            <w:t>The Australian Competition &amp; Consumer Commission (ACCC) has developed this consultation paper to seek the views of stakeholders about the</w:t>
          </w:r>
          <w:r w:rsidRPr="00E96CDA">
            <w:rPr>
              <w:lang w:val="en-GB"/>
            </w:rPr>
            <w:t xml:space="preserve"> </w:t>
          </w:r>
          <w:r w:rsidR="00147D18">
            <w:rPr>
              <w:lang w:val="en-GB"/>
            </w:rPr>
            <w:t>mandatory information standard for cosmetics ingredient labelling.</w:t>
          </w:r>
        </w:p>
        <w:p w14:paraId="43768354" w14:textId="1247C3B1" w:rsidR="00AC116C" w:rsidRPr="00395771" w:rsidRDefault="0067579F" w:rsidP="00395771">
          <w:pPr>
            <w:pBdr>
              <w:top w:val="single" w:sz="4" w:space="1" w:color="auto"/>
              <w:left w:val="single" w:sz="4" w:space="4" w:color="auto"/>
              <w:bottom w:val="single" w:sz="4" w:space="1" w:color="auto"/>
              <w:right w:val="single" w:sz="4" w:space="4" w:color="auto"/>
            </w:pBdr>
            <w:spacing w:before="120" w:after="120"/>
          </w:pPr>
          <w:r w:rsidRPr="00071F8F">
            <w:t>© Commonwealth of Australia 201</w:t>
          </w:r>
          <w:r>
            <w:t>9</w:t>
          </w:r>
          <w:r w:rsidRPr="00071F8F">
            <w:t xml:space="preserve">. </w:t>
          </w:r>
          <w:r w:rsidRPr="00071F8F">
            <w:rPr>
              <w:lang w:val="en-GB"/>
            </w:rPr>
            <w:t>All</w:t>
          </w:r>
          <w:r w:rsidRPr="00B166BC">
            <w:rPr>
              <w:lang w:val="en-GB"/>
            </w:rPr>
            <w:t xml:space="preserve"> material contained within this work is provided under a Creative Commons Attribution 3.0 Australia licence (</w:t>
          </w:r>
          <w:hyperlink r:id="rId11" w:history="1">
            <w:r w:rsidRPr="00B166BC">
              <w:rPr>
                <w:rStyle w:val="Hyperlink"/>
                <w:lang w:val="en-GB"/>
              </w:rPr>
              <w:t>http://creativecommons.org.au/</w:t>
            </w:r>
          </w:hyperlink>
          <w:r w:rsidRPr="00B166BC">
            <w:rPr>
              <w:lang w:val="en-GB"/>
            </w:rPr>
            <w:t>), with the exception of any logos, illustrations or images. You may forward or otherwise distribute the paper. You may re-use the text in other formats, provided the ACCC is acknowledged as the source of the material and directions to access the full document are provided. You may not copy or reproduce any logos, illustrations or images. For more information, contact the Director Corporate Communications, ACCC, GPO Box 3131, Canberra ACT 2601</w:t>
          </w:r>
          <w:r w:rsidR="008032EA">
            <w:rPr>
              <w:lang w:val="en-GB"/>
            </w:rPr>
            <w:t>.</w:t>
          </w:r>
        </w:p>
      </w:sdtContent>
    </w:sdt>
    <w:p w14:paraId="1B31056B" w14:textId="77777777" w:rsidR="00C312A0" w:rsidRDefault="00C312A0">
      <w:pPr>
        <w:sectPr w:rsidR="00C312A0" w:rsidSect="00C06739">
          <w:pgSz w:w="11906" w:h="16838"/>
          <w:pgMar w:top="1276" w:right="1440" w:bottom="1440" w:left="1440" w:header="708" w:footer="708" w:gutter="0"/>
          <w:pgNumType w:start="0"/>
          <w:cols w:space="708"/>
          <w:titlePg/>
          <w:docGrid w:linePitch="360"/>
        </w:sectPr>
      </w:pPr>
    </w:p>
    <w:p w14:paraId="1953F02D" w14:textId="466EC91D" w:rsidR="00F108E3" w:rsidRPr="00A87F51" w:rsidRDefault="00F108E3" w:rsidP="00A803DA">
      <w:pPr>
        <w:pStyle w:val="Heading3"/>
        <w:rPr>
          <w:rFonts w:cs="Arial"/>
          <w:b w:val="0"/>
        </w:rPr>
      </w:pPr>
      <w:r w:rsidRPr="00A87F51">
        <w:rPr>
          <w:b w:val="0"/>
        </w:rPr>
        <w:lastRenderedPageBreak/>
        <w:t xml:space="preserve">Table </w:t>
      </w:r>
      <w:r w:rsidRPr="00A87F51">
        <w:rPr>
          <w:rFonts w:cs="Arial"/>
          <w:b w:val="0"/>
        </w:rPr>
        <w:t>of contents</w:t>
      </w:r>
    </w:p>
    <w:p w14:paraId="542C805E" w14:textId="34BF70AF" w:rsidR="00F01A87" w:rsidRPr="00F01A87" w:rsidRDefault="001F089E">
      <w:pPr>
        <w:pStyle w:val="TOC1"/>
        <w:rPr>
          <w:rFonts w:eastAsiaTheme="minorEastAsia" w:cs="Arial"/>
          <w:lang w:val="en-AU" w:eastAsia="en-AU"/>
        </w:rPr>
      </w:pPr>
      <w:r w:rsidRPr="00F01A87">
        <w:rPr>
          <w:rFonts w:cs="Arial"/>
        </w:rPr>
        <w:fldChar w:fldCharType="begin"/>
      </w:r>
      <w:r w:rsidRPr="00F01A87">
        <w:rPr>
          <w:rFonts w:cs="Arial"/>
        </w:rPr>
        <w:instrText xml:space="preserve"> TOC \o "1-1" \h \z \u </w:instrText>
      </w:r>
      <w:r w:rsidRPr="00F01A87">
        <w:rPr>
          <w:rFonts w:cs="Arial"/>
        </w:rPr>
        <w:fldChar w:fldCharType="separate"/>
      </w:r>
      <w:hyperlink w:anchor="_Toc17366899" w:history="1">
        <w:r w:rsidR="00F01A87" w:rsidRPr="00F01A87">
          <w:rPr>
            <w:rStyle w:val="Hyperlink"/>
            <w:rFonts w:cs="Arial"/>
          </w:rPr>
          <w:t>1.</w:t>
        </w:r>
        <w:r w:rsidR="00F01A87" w:rsidRPr="00F01A87">
          <w:rPr>
            <w:rFonts w:eastAsiaTheme="minorEastAsia" w:cs="Arial"/>
            <w:lang w:val="en-AU" w:eastAsia="en-AU"/>
          </w:rPr>
          <w:tab/>
        </w:r>
        <w:r w:rsidR="00F01A87" w:rsidRPr="00F01A87">
          <w:rPr>
            <w:rStyle w:val="Hyperlink"/>
            <w:rFonts w:cs="Arial"/>
          </w:rPr>
          <w:t>Introduction</w:t>
        </w:r>
        <w:r w:rsidR="00F01A87" w:rsidRPr="00F01A87">
          <w:rPr>
            <w:rFonts w:cs="Arial"/>
            <w:webHidden/>
          </w:rPr>
          <w:tab/>
        </w:r>
        <w:r w:rsidR="00F01A87" w:rsidRPr="00F01A87">
          <w:rPr>
            <w:rFonts w:cs="Arial"/>
            <w:webHidden/>
          </w:rPr>
          <w:fldChar w:fldCharType="begin"/>
        </w:r>
        <w:r w:rsidR="00F01A87" w:rsidRPr="00F01A87">
          <w:rPr>
            <w:rFonts w:cs="Arial"/>
            <w:webHidden/>
          </w:rPr>
          <w:instrText xml:space="preserve"> PAGEREF _Toc17366899 \h </w:instrText>
        </w:r>
        <w:r w:rsidR="00F01A87" w:rsidRPr="00F01A87">
          <w:rPr>
            <w:rFonts w:cs="Arial"/>
            <w:webHidden/>
          </w:rPr>
        </w:r>
        <w:r w:rsidR="00F01A87" w:rsidRPr="00F01A87">
          <w:rPr>
            <w:rFonts w:cs="Arial"/>
            <w:webHidden/>
          </w:rPr>
          <w:fldChar w:fldCharType="separate"/>
        </w:r>
        <w:r w:rsidR="00CE6475">
          <w:rPr>
            <w:rFonts w:cs="Arial"/>
            <w:webHidden/>
          </w:rPr>
          <w:t>4</w:t>
        </w:r>
        <w:r w:rsidR="00F01A87" w:rsidRPr="00F01A87">
          <w:rPr>
            <w:rFonts w:cs="Arial"/>
            <w:webHidden/>
          </w:rPr>
          <w:fldChar w:fldCharType="end"/>
        </w:r>
      </w:hyperlink>
    </w:p>
    <w:p w14:paraId="4A457049" w14:textId="2F52B7E0" w:rsidR="00F01A87" w:rsidRPr="00F01A87" w:rsidRDefault="00031E4C">
      <w:pPr>
        <w:pStyle w:val="TOC1"/>
        <w:rPr>
          <w:rFonts w:eastAsiaTheme="minorEastAsia" w:cs="Arial"/>
          <w:lang w:val="en-AU" w:eastAsia="en-AU"/>
        </w:rPr>
      </w:pPr>
      <w:hyperlink w:anchor="_Toc17366900" w:history="1">
        <w:r w:rsidR="00F01A87" w:rsidRPr="00F01A87">
          <w:rPr>
            <w:rStyle w:val="Hyperlink"/>
            <w:rFonts w:cs="Arial"/>
          </w:rPr>
          <w:t>2.</w:t>
        </w:r>
        <w:r w:rsidR="00F01A87" w:rsidRPr="00F01A87">
          <w:rPr>
            <w:rFonts w:eastAsiaTheme="minorEastAsia" w:cs="Arial"/>
            <w:lang w:val="en-AU" w:eastAsia="en-AU"/>
          </w:rPr>
          <w:tab/>
        </w:r>
        <w:r w:rsidR="00F01A87" w:rsidRPr="00F01A87">
          <w:rPr>
            <w:rStyle w:val="Hyperlink"/>
            <w:rFonts w:cs="Arial"/>
          </w:rPr>
          <w:t>Policy options</w:t>
        </w:r>
        <w:r w:rsidR="00F01A87" w:rsidRPr="00F01A87">
          <w:rPr>
            <w:rFonts w:cs="Arial"/>
            <w:webHidden/>
          </w:rPr>
          <w:tab/>
        </w:r>
        <w:r w:rsidR="00F01A87" w:rsidRPr="00F01A87">
          <w:rPr>
            <w:rFonts w:cs="Arial"/>
            <w:webHidden/>
          </w:rPr>
          <w:fldChar w:fldCharType="begin"/>
        </w:r>
        <w:r w:rsidR="00F01A87" w:rsidRPr="00F01A87">
          <w:rPr>
            <w:rFonts w:cs="Arial"/>
            <w:webHidden/>
          </w:rPr>
          <w:instrText xml:space="preserve"> PAGEREF _Toc17366900 \h </w:instrText>
        </w:r>
        <w:r w:rsidR="00F01A87" w:rsidRPr="00F01A87">
          <w:rPr>
            <w:rFonts w:cs="Arial"/>
            <w:webHidden/>
          </w:rPr>
        </w:r>
        <w:r w:rsidR="00F01A87" w:rsidRPr="00F01A87">
          <w:rPr>
            <w:rFonts w:cs="Arial"/>
            <w:webHidden/>
          </w:rPr>
          <w:fldChar w:fldCharType="separate"/>
        </w:r>
        <w:r w:rsidR="00CE6475">
          <w:rPr>
            <w:rFonts w:cs="Arial"/>
            <w:webHidden/>
          </w:rPr>
          <w:t>4</w:t>
        </w:r>
        <w:r w:rsidR="00F01A87" w:rsidRPr="00F01A87">
          <w:rPr>
            <w:rFonts w:cs="Arial"/>
            <w:webHidden/>
          </w:rPr>
          <w:fldChar w:fldCharType="end"/>
        </w:r>
      </w:hyperlink>
    </w:p>
    <w:p w14:paraId="64F18E10" w14:textId="1364DF19" w:rsidR="00F01A87" w:rsidRPr="00F01A87" w:rsidRDefault="00031E4C">
      <w:pPr>
        <w:pStyle w:val="TOC1"/>
        <w:rPr>
          <w:rFonts w:eastAsiaTheme="minorEastAsia" w:cs="Arial"/>
          <w:lang w:val="en-AU" w:eastAsia="en-AU"/>
        </w:rPr>
      </w:pPr>
      <w:hyperlink w:anchor="_Toc17366901" w:history="1">
        <w:r w:rsidR="00F01A87" w:rsidRPr="00F01A87">
          <w:rPr>
            <w:rStyle w:val="Hyperlink"/>
            <w:rFonts w:cs="Arial"/>
          </w:rPr>
          <w:t>3.</w:t>
        </w:r>
        <w:r w:rsidR="00F01A87" w:rsidRPr="00F01A87">
          <w:rPr>
            <w:rFonts w:eastAsiaTheme="minorEastAsia" w:cs="Arial"/>
            <w:lang w:val="en-AU" w:eastAsia="en-AU"/>
          </w:rPr>
          <w:tab/>
        </w:r>
        <w:r w:rsidR="00F01A87" w:rsidRPr="00F01A87">
          <w:rPr>
            <w:rStyle w:val="Hyperlink"/>
            <w:rFonts w:cs="Arial"/>
          </w:rPr>
          <w:t>Background</w:t>
        </w:r>
        <w:r w:rsidR="00F01A87" w:rsidRPr="00F01A87">
          <w:rPr>
            <w:rFonts w:cs="Arial"/>
            <w:webHidden/>
          </w:rPr>
          <w:tab/>
        </w:r>
        <w:r w:rsidR="00F01A87" w:rsidRPr="00F01A87">
          <w:rPr>
            <w:rFonts w:cs="Arial"/>
            <w:webHidden/>
          </w:rPr>
          <w:fldChar w:fldCharType="begin"/>
        </w:r>
        <w:r w:rsidR="00F01A87" w:rsidRPr="00F01A87">
          <w:rPr>
            <w:rFonts w:cs="Arial"/>
            <w:webHidden/>
          </w:rPr>
          <w:instrText xml:space="preserve"> PAGEREF _Toc17366901 \h </w:instrText>
        </w:r>
        <w:r w:rsidR="00F01A87" w:rsidRPr="00F01A87">
          <w:rPr>
            <w:rFonts w:cs="Arial"/>
            <w:webHidden/>
          </w:rPr>
        </w:r>
        <w:r w:rsidR="00F01A87" w:rsidRPr="00F01A87">
          <w:rPr>
            <w:rFonts w:cs="Arial"/>
            <w:webHidden/>
          </w:rPr>
          <w:fldChar w:fldCharType="separate"/>
        </w:r>
        <w:r w:rsidR="00CE6475">
          <w:rPr>
            <w:rFonts w:cs="Arial"/>
            <w:webHidden/>
          </w:rPr>
          <w:t>4</w:t>
        </w:r>
        <w:r w:rsidR="00F01A87" w:rsidRPr="00F01A87">
          <w:rPr>
            <w:rFonts w:cs="Arial"/>
            <w:webHidden/>
          </w:rPr>
          <w:fldChar w:fldCharType="end"/>
        </w:r>
      </w:hyperlink>
    </w:p>
    <w:p w14:paraId="21E3EB15" w14:textId="1FCF89F1" w:rsidR="00F01A87" w:rsidRPr="00F01A87" w:rsidRDefault="00031E4C">
      <w:pPr>
        <w:pStyle w:val="TOC1"/>
        <w:rPr>
          <w:rFonts w:eastAsiaTheme="minorEastAsia" w:cs="Arial"/>
          <w:lang w:val="en-AU" w:eastAsia="en-AU"/>
        </w:rPr>
      </w:pPr>
      <w:hyperlink w:anchor="_Toc17366902" w:history="1">
        <w:r w:rsidR="00F01A87" w:rsidRPr="00F01A87">
          <w:rPr>
            <w:rStyle w:val="Hyperlink"/>
            <w:rFonts w:cs="Arial"/>
          </w:rPr>
          <w:t>4.</w:t>
        </w:r>
        <w:r w:rsidR="00F01A87" w:rsidRPr="00F01A87">
          <w:rPr>
            <w:rFonts w:eastAsiaTheme="minorEastAsia" w:cs="Arial"/>
            <w:lang w:val="en-AU" w:eastAsia="en-AU"/>
          </w:rPr>
          <w:tab/>
        </w:r>
        <w:r w:rsidR="00F01A87" w:rsidRPr="00F01A87">
          <w:rPr>
            <w:rStyle w:val="Hyperlink"/>
            <w:rFonts w:cs="Arial"/>
          </w:rPr>
          <w:t>Compliance</w:t>
        </w:r>
        <w:r w:rsidR="00F01A87" w:rsidRPr="00F01A87">
          <w:rPr>
            <w:rFonts w:cs="Arial"/>
            <w:webHidden/>
          </w:rPr>
          <w:tab/>
        </w:r>
        <w:r w:rsidR="00F01A87" w:rsidRPr="00F01A87">
          <w:rPr>
            <w:rFonts w:cs="Arial"/>
            <w:webHidden/>
          </w:rPr>
          <w:fldChar w:fldCharType="begin"/>
        </w:r>
        <w:r w:rsidR="00F01A87" w:rsidRPr="00F01A87">
          <w:rPr>
            <w:rFonts w:cs="Arial"/>
            <w:webHidden/>
          </w:rPr>
          <w:instrText xml:space="preserve"> PAGEREF _Toc17366902 \h </w:instrText>
        </w:r>
        <w:r w:rsidR="00F01A87" w:rsidRPr="00F01A87">
          <w:rPr>
            <w:rFonts w:cs="Arial"/>
            <w:webHidden/>
          </w:rPr>
        </w:r>
        <w:r w:rsidR="00F01A87" w:rsidRPr="00F01A87">
          <w:rPr>
            <w:rFonts w:cs="Arial"/>
            <w:webHidden/>
          </w:rPr>
          <w:fldChar w:fldCharType="separate"/>
        </w:r>
        <w:r w:rsidR="00CE6475">
          <w:rPr>
            <w:rFonts w:cs="Arial"/>
            <w:webHidden/>
          </w:rPr>
          <w:t>9</w:t>
        </w:r>
        <w:r w:rsidR="00F01A87" w:rsidRPr="00F01A87">
          <w:rPr>
            <w:rFonts w:cs="Arial"/>
            <w:webHidden/>
          </w:rPr>
          <w:fldChar w:fldCharType="end"/>
        </w:r>
      </w:hyperlink>
    </w:p>
    <w:p w14:paraId="3FBE545A" w14:textId="77EB9D71" w:rsidR="00F01A87" w:rsidRPr="00F01A87" w:rsidRDefault="00031E4C">
      <w:pPr>
        <w:pStyle w:val="TOC1"/>
        <w:rPr>
          <w:rFonts w:eastAsiaTheme="minorEastAsia" w:cs="Arial"/>
          <w:lang w:val="en-AU" w:eastAsia="en-AU"/>
        </w:rPr>
      </w:pPr>
      <w:hyperlink w:anchor="_Toc17366903" w:history="1">
        <w:r w:rsidR="00F01A87" w:rsidRPr="00F01A87">
          <w:rPr>
            <w:rStyle w:val="Hyperlink"/>
            <w:rFonts w:cs="Arial"/>
          </w:rPr>
          <w:t>5.</w:t>
        </w:r>
        <w:r w:rsidR="00F01A87" w:rsidRPr="00F01A87">
          <w:rPr>
            <w:rFonts w:eastAsiaTheme="minorEastAsia" w:cs="Arial"/>
            <w:lang w:val="en-AU" w:eastAsia="en-AU"/>
          </w:rPr>
          <w:tab/>
        </w:r>
        <w:r w:rsidR="00F01A87" w:rsidRPr="00F01A87">
          <w:rPr>
            <w:rStyle w:val="Hyperlink"/>
            <w:rFonts w:cs="Arial"/>
          </w:rPr>
          <w:t>Issues &amp; proposed solutions</w:t>
        </w:r>
        <w:r w:rsidR="00F01A87" w:rsidRPr="00F01A87">
          <w:rPr>
            <w:rFonts w:cs="Arial"/>
            <w:webHidden/>
          </w:rPr>
          <w:tab/>
        </w:r>
        <w:r w:rsidR="00F01A87" w:rsidRPr="00F01A87">
          <w:rPr>
            <w:rFonts w:cs="Arial"/>
            <w:webHidden/>
          </w:rPr>
          <w:fldChar w:fldCharType="begin"/>
        </w:r>
        <w:r w:rsidR="00F01A87" w:rsidRPr="00F01A87">
          <w:rPr>
            <w:rFonts w:cs="Arial"/>
            <w:webHidden/>
          </w:rPr>
          <w:instrText xml:space="preserve"> PAGEREF _Toc17366903 \h </w:instrText>
        </w:r>
        <w:r w:rsidR="00F01A87" w:rsidRPr="00F01A87">
          <w:rPr>
            <w:rFonts w:cs="Arial"/>
            <w:webHidden/>
          </w:rPr>
        </w:r>
        <w:r w:rsidR="00F01A87" w:rsidRPr="00F01A87">
          <w:rPr>
            <w:rFonts w:cs="Arial"/>
            <w:webHidden/>
          </w:rPr>
          <w:fldChar w:fldCharType="separate"/>
        </w:r>
        <w:r w:rsidR="00CE6475">
          <w:rPr>
            <w:rFonts w:cs="Arial"/>
            <w:webHidden/>
          </w:rPr>
          <w:t>10</w:t>
        </w:r>
        <w:r w:rsidR="00F01A87" w:rsidRPr="00F01A87">
          <w:rPr>
            <w:rFonts w:cs="Arial"/>
            <w:webHidden/>
          </w:rPr>
          <w:fldChar w:fldCharType="end"/>
        </w:r>
      </w:hyperlink>
    </w:p>
    <w:p w14:paraId="03B6E4BB" w14:textId="2503EF6A" w:rsidR="00F01A87" w:rsidRPr="00F01A87" w:rsidRDefault="00031E4C">
      <w:pPr>
        <w:pStyle w:val="TOC1"/>
        <w:rPr>
          <w:rFonts w:eastAsiaTheme="minorEastAsia" w:cs="Arial"/>
          <w:lang w:val="en-AU" w:eastAsia="en-AU"/>
        </w:rPr>
      </w:pPr>
      <w:hyperlink w:anchor="_Toc17366904" w:history="1">
        <w:r w:rsidR="00F01A87" w:rsidRPr="00F01A87">
          <w:rPr>
            <w:rStyle w:val="Hyperlink"/>
            <w:rFonts w:cs="Arial"/>
          </w:rPr>
          <w:t>6.</w:t>
        </w:r>
        <w:r w:rsidR="00F01A87" w:rsidRPr="00F01A87">
          <w:rPr>
            <w:rFonts w:eastAsiaTheme="minorEastAsia" w:cs="Arial"/>
            <w:lang w:val="en-AU" w:eastAsia="en-AU"/>
          </w:rPr>
          <w:tab/>
        </w:r>
        <w:r w:rsidR="00F01A87" w:rsidRPr="00F01A87">
          <w:rPr>
            <w:rStyle w:val="Hyperlink"/>
            <w:rFonts w:cs="Arial"/>
          </w:rPr>
          <w:t>International standards</w:t>
        </w:r>
        <w:r w:rsidR="00F01A87" w:rsidRPr="00F01A87">
          <w:rPr>
            <w:rFonts w:cs="Arial"/>
            <w:webHidden/>
          </w:rPr>
          <w:tab/>
        </w:r>
        <w:r w:rsidR="00F01A87" w:rsidRPr="00F01A87">
          <w:rPr>
            <w:rFonts w:cs="Arial"/>
            <w:webHidden/>
          </w:rPr>
          <w:fldChar w:fldCharType="begin"/>
        </w:r>
        <w:r w:rsidR="00F01A87" w:rsidRPr="00F01A87">
          <w:rPr>
            <w:rFonts w:cs="Arial"/>
            <w:webHidden/>
          </w:rPr>
          <w:instrText xml:space="preserve"> PAGEREF _Toc17366904 \h </w:instrText>
        </w:r>
        <w:r w:rsidR="00F01A87" w:rsidRPr="00F01A87">
          <w:rPr>
            <w:rFonts w:cs="Arial"/>
            <w:webHidden/>
          </w:rPr>
        </w:r>
        <w:r w:rsidR="00F01A87" w:rsidRPr="00F01A87">
          <w:rPr>
            <w:rFonts w:cs="Arial"/>
            <w:webHidden/>
          </w:rPr>
          <w:fldChar w:fldCharType="separate"/>
        </w:r>
        <w:r w:rsidR="00CE6475">
          <w:rPr>
            <w:rFonts w:cs="Arial"/>
            <w:webHidden/>
          </w:rPr>
          <w:t>13</w:t>
        </w:r>
        <w:r w:rsidR="00F01A87" w:rsidRPr="00F01A87">
          <w:rPr>
            <w:rFonts w:cs="Arial"/>
            <w:webHidden/>
          </w:rPr>
          <w:fldChar w:fldCharType="end"/>
        </w:r>
      </w:hyperlink>
    </w:p>
    <w:p w14:paraId="1A7179DB" w14:textId="2304769F" w:rsidR="00F01A87" w:rsidRPr="00F01A87" w:rsidRDefault="00031E4C">
      <w:pPr>
        <w:pStyle w:val="TOC1"/>
        <w:rPr>
          <w:rFonts w:eastAsiaTheme="minorEastAsia" w:cs="Arial"/>
          <w:lang w:val="en-AU" w:eastAsia="en-AU"/>
        </w:rPr>
      </w:pPr>
      <w:hyperlink w:anchor="_Toc17366905" w:history="1">
        <w:r w:rsidR="00F01A87" w:rsidRPr="00F01A87">
          <w:rPr>
            <w:rStyle w:val="Hyperlink"/>
            <w:rFonts w:cs="Arial"/>
          </w:rPr>
          <w:t>7.</w:t>
        </w:r>
        <w:r w:rsidR="00F01A87" w:rsidRPr="00F01A87">
          <w:rPr>
            <w:rFonts w:eastAsiaTheme="minorEastAsia" w:cs="Arial"/>
            <w:lang w:val="en-AU" w:eastAsia="en-AU"/>
          </w:rPr>
          <w:tab/>
        </w:r>
        <w:r w:rsidR="00F01A87" w:rsidRPr="00F01A87">
          <w:rPr>
            <w:rStyle w:val="Hyperlink"/>
            <w:rFonts w:cs="Arial"/>
          </w:rPr>
          <w:t>Detailed policy options</w:t>
        </w:r>
        <w:r w:rsidR="00F01A87" w:rsidRPr="00F01A87">
          <w:rPr>
            <w:rFonts w:cs="Arial"/>
            <w:webHidden/>
          </w:rPr>
          <w:tab/>
        </w:r>
        <w:r w:rsidR="00F01A87" w:rsidRPr="00F01A87">
          <w:rPr>
            <w:rFonts w:cs="Arial"/>
            <w:webHidden/>
          </w:rPr>
          <w:fldChar w:fldCharType="begin"/>
        </w:r>
        <w:r w:rsidR="00F01A87" w:rsidRPr="00F01A87">
          <w:rPr>
            <w:rFonts w:cs="Arial"/>
            <w:webHidden/>
          </w:rPr>
          <w:instrText xml:space="preserve"> PAGEREF _Toc17366905 \h </w:instrText>
        </w:r>
        <w:r w:rsidR="00F01A87" w:rsidRPr="00F01A87">
          <w:rPr>
            <w:rFonts w:cs="Arial"/>
            <w:webHidden/>
          </w:rPr>
        </w:r>
        <w:r w:rsidR="00F01A87" w:rsidRPr="00F01A87">
          <w:rPr>
            <w:rFonts w:cs="Arial"/>
            <w:webHidden/>
          </w:rPr>
          <w:fldChar w:fldCharType="separate"/>
        </w:r>
        <w:r w:rsidR="00CE6475">
          <w:rPr>
            <w:rFonts w:cs="Arial"/>
            <w:webHidden/>
          </w:rPr>
          <w:t>15</w:t>
        </w:r>
        <w:r w:rsidR="00F01A87" w:rsidRPr="00F01A87">
          <w:rPr>
            <w:rFonts w:cs="Arial"/>
            <w:webHidden/>
          </w:rPr>
          <w:fldChar w:fldCharType="end"/>
        </w:r>
      </w:hyperlink>
    </w:p>
    <w:p w14:paraId="0E5C8893" w14:textId="7D4785AE" w:rsidR="00F01A87" w:rsidRPr="00F01A87" w:rsidRDefault="00031E4C">
      <w:pPr>
        <w:pStyle w:val="TOC1"/>
        <w:rPr>
          <w:rFonts w:eastAsiaTheme="minorEastAsia" w:cs="Arial"/>
          <w:lang w:val="en-AU" w:eastAsia="en-AU"/>
        </w:rPr>
      </w:pPr>
      <w:hyperlink w:anchor="_Toc17366906" w:history="1">
        <w:r w:rsidR="00F01A87" w:rsidRPr="00F01A87">
          <w:rPr>
            <w:rStyle w:val="Hyperlink"/>
            <w:rFonts w:cs="Arial"/>
          </w:rPr>
          <w:t>8.</w:t>
        </w:r>
        <w:r w:rsidR="00F01A87" w:rsidRPr="00F01A87">
          <w:rPr>
            <w:rFonts w:eastAsiaTheme="minorEastAsia" w:cs="Arial"/>
            <w:lang w:val="en-AU" w:eastAsia="en-AU"/>
          </w:rPr>
          <w:tab/>
        </w:r>
        <w:r w:rsidR="00F01A87" w:rsidRPr="00F01A87">
          <w:rPr>
            <w:rStyle w:val="Hyperlink"/>
            <w:rFonts w:cs="Arial"/>
          </w:rPr>
          <w:t>Key questions</w:t>
        </w:r>
        <w:r w:rsidR="00F01A87" w:rsidRPr="00F01A87">
          <w:rPr>
            <w:rFonts w:cs="Arial"/>
            <w:webHidden/>
          </w:rPr>
          <w:tab/>
        </w:r>
        <w:r w:rsidR="00F01A87" w:rsidRPr="00F01A87">
          <w:rPr>
            <w:rFonts w:cs="Arial"/>
            <w:webHidden/>
          </w:rPr>
          <w:fldChar w:fldCharType="begin"/>
        </w:r>
        <w:r w:rsidR="00F01A87" w:rsidRPr="00F01A87">
          <w:rPr>
            <w:rFonts w:cs="Arial"/>
            <w:webHidden/>
          </w:rPr>
          <w:instrText xml:space="preserve"> PAGEREF _Toc17366906 \h </w:instrText>
        </w:r>
        <w:r w:rsidR="00F01A87" w:rsidRPr="00F01A87">
          <w:rPr>
            <w:rFonts w:cs="Arial"/>
            <w:webHidden/>
          </w:rPr>
        </w:r>
        <w:r w:rsidR="00F01A87" w:rsidRPr="00F01A87">
          <w:rPr>
            <w:rFonts w:cs="Arial"/>
            <w:webHidden/>
          </w:rPr>
          <w:fldChar w:fldCharType="separate"/>
        </w:r>
        <w:r w:rsidR="00CE6475">
          <w:rPr>
            <w:rFonts w:cs="Arial"/>
            <w:webHidden/>
          </w:rPr>
          <w:t>19</w:t>
        </w:r>
        <w:r w:rsidR="00F01A87" w:rsidRPr="00F01A87">
          <w:rPr>
            <w:rFonts w:cs="Arial"/>
            <w:webHidden/>
          </w:rPr>
          <w:fldChar w:fldCharType="end"/>
        </w:r>
      </w:hyperlink>
    </w:p>
    <w:p w14:paraId="0EF023DB" w14:textId="3BE04ED6" w:rsidR="00F01A87" w:rsidRPr="00F01A87" w:rsidRDefault="00031E4C">
      <w:pPr>
        <w:pStyle w:val="TOC1"/>
        <w:rPr>
          <w:rFonts w:eastAsiaTheme="minorEastAsia" w:cs="Arial"/>
          <w:lang w:val="en-AU" w:eastAsia="en-AU"/>
        </w:rPr>
      </w:pPr>
      <w:hyperlink w:anchor="_Toc17366907" w:history="1">
        <w:r w:rsidR="00F01A87" w:rsidRPr="00F01A87">
          <w:rPr>
            <w:rStyle w:val="Hyperlink"/>
            <w:rFonts w:cs="Arial"/>
          </w:rPr>
          <w:t>9.</w:t>
        </w:r>
        <w:r w:rsidR="00F01A87" w:rsidRPr="00F01A87">
          <w:rPr>
            <w:rFonts w:eastAsiaTheme="minorEastAsia" w:cs="Arial"/>
            <w:lang w:val="en-AU" w:eastAsia="en-AU"/>
          </w:rPr>
          <w:tab/>
        </w:r>
        <w:r w:rsidR="00F01A87" w:rsidRPr="00F01A87">
          <w:rPr>
            <w:rStyle w:val="Hyperlink"/>
            <w:rFonts w:cs="Arial"/>
          </w:rPr>
          <w:t>Have your say</w:t>
        </w:r>
        <w:r w:rsidR="00F01A87" w:rsidRPr="00F01A87">
          <w:rPr>
            <w:rFonts w:cs="Arial"/>
            <w:webHidden/>
          </w:rPr>
          <w:tab/>
        </w:r>
        <w:r w:rsidR="00F01A87" w:rsidRPr="00F01A87">
          <w:rPr>
            <w:rFonts w:cs="Arial"/>
            <w:webHidden/>
          </w:rPr>
          <w:fldChar w:fldCharType="begin"/>
        </w:r>
        <w:r w:rsidR="00F01A87" w:rsidRPr="00F01A87">
          <w:rPr>
            <w:rFonts w:cs="Arial"/>
            <w:webHidden/>
          </w:rPr>
          <w:instrText xml:space="preserve"> PAGEREF _Toc17366907 \h </w:instrText>
        </w:r>
        <w:r w:rsidR="00F01A87" w:rsidRPr="00F01A87">
          <w:rPr>
            <w:rFonts w:cs="Arial"/>
            <w:webHidden/>
          </w:rPr>
        </w:r>
        <w:r w:rsidR="00F01A87" w:rsidRPr="00F01A87">
          <w:rPr>
            <w:rFonts w:cs="Arial"/>
            <w:webHidden/>
          </w:rPr>
          <w:fldChar w:fldCharType="separate"/>
        </w:r>
        <w:r w:rsidR="00CE6475">
          <w:rPr>
            <w:rFonts w:cs="Arial"/>
            <w:webHidden/>
          </w:rPr>
          <w:t>20</w:t>
        </w:r>
        <w:r w:rsidR="00F01A87" w:rsidRPr="00F01A87">
          <w:rPr>
            <w:rFonts w:cs="Arial"/>
            <w:webHidden/>
          </w:rPr>
          <w:fldChar w:fldCharType="end"/>
        </w:r>
      </w:hyperlink>
    </w:p>
    <w:p w14:paraId="275B77E1" w14:textId="0C39E690" w:rsidR="001F089E" w:rsidRDefault="001F089E" w:rsidP="001F089E">
      <w:pPr>
        <w:pStyle w:val="Numbered1"/>
        <w:sectPr w:rsidR="001F089E" w:rsidSect="001F089E">
          <w:headerReference w:type="even" r:id="rId12"/>
          <w:headerReference w:type="default" r:id="rId13"/>
          <w:headerReference w:type="first" r:id="rId14"/>
          <w:footerReference w:type="first" r:id="rId15"/>
          <w:pgSz w:w="11906" w:h="16838"/>
          <w:pgMar w:top="1276" w:right="1440" w:bottom="1440" w:left="1440" w:header="708" w:footer="708" w:gutter="0"/>
          <w:pgNumType w:start="3"/>
          <w:cols w:space="708"/>
          <w:titlePg/>
          <w:docGrid w:linePitch="360"/>
        </w:sectPr>
      </w:pPr>
      <w:r w:rsidRPr="00F01A87">
        <w:rPr>
          <w:rFonts w:ascii="Arial" w:hAnsi="Arial" w:cs="Arial"/>
        </w:rPr>
        <w:fldChar w:fldCharType="end"/>
      </w:r>
    </w:p>
    <w:p w14:paraId="218E2243" w14:textId="6DCE889A" w:rsidR="00687F39" w:rsidRPr="00CC0BB1" w:rsidRDefault="00126288" w:rsidP="00CC0BB1">
      <w:pPr>
        <w:pStyle w:val="Numbered1"/>
        <w:numPr>
          <w:ilvl w:val="0"/>
          <w:numId w:val="12"/>
        </w:numPr>
        <w:ind w:left="357" w:hanging="357"/>
        <w:rPr>
          <w:rFonts w:ascii="Lucida Fax" w:hAnsi="Lucida Fax"/>
          <w:color w:val="51626F"/>
        </w:rPr>
      </w:pPr>
      <w:bookmarkStart w:id="7" w:name="_Toc17366899"/>
      <w:r w:rsidRPr="00CC0BB1">
        <w:rPr>
          <w:rFonts w:ascii="Lucida Fax" w:hAnsi="Lucida Fax"/>
          <w:color w:val="51626F"/>
        </w:rPr>
        <w:lastRenderedPageBreak/>
        <w:t>Introduction</w:t>
      </w:r>
      <w:bookmarkEnd w:id="7"/>
    </w:p>
    <w:p w14:paraId="15094B32" w14:textId="795319DC" w:rsidR="0067579F" w:rsidRDefault="00126288" w:rsidP="00126288">
      <w:r w:rsidRPr="004421B4">
        <w:t>The</w:t>
      </w:r>
      <w:r>
        <w:t xml:space="preserve"> Australian Competition and Consumer Commission (</w:t>
      </w:r>
      <w:r w:rsidRPr="00F23BA2">
        <w:rPr>
          <w:b/>
        </w:rPr>
        <w:t>ACCC</w:t>
      </w:r>
      <w:r>
        <w:t>) is reviewing the</w:t>
      </w:r>
      <w:r w:rsidR="00704864" w:rsidRPr="00704864">
        <w:t xml:space="preserve"> </w:t>
      </w:r>
      <w:hyperlink r:id="rId16" w:history="1">
        <w:r w:rsidR="00704864" w:rsidRPr="00704864">
          <w:rPr>
            <w:rStyle w:val="Hyperlink"/>
          </w:rPr>
          <w:t>Trade Practices (Consumer Product Information Standards) (Cosmetics) Regulations 1991</w:t>
        </w:r>
      </w:hyperlink>
      <w:r w:rsidR="00704864">
        <w:t xml:space="preserve"> (</w:t>
      </w:r>
      <w:r w:rsidR="004D01B4">
        <w:rPr>
          <w:rFonts w:cs="Arial"/>
        </w:rPr>
        <w:t xml:space="preserve">the </w:t>
      </w:r>
      <w:r w:rsidR="00E50E33" w:rsidRPr="008B3B1B">
        <w:rPr>
          <w:rFonts w:cs="Arial"/>
          <w:b/>
        </w:rPr>
        <w:t>information</w:t>
      </w:r>
      <w:r w:rsidR="00E50E33">
        <w:rPr>
          <w:rFonts w:cs="Arial"/>
        </w:rPr>
        <w:t xml:space="preserve"> </w:t>
      </w:r>
      <w:r w:rsidR="004D01B4" w:rsidRPr="004351B7">
        <w:rPr>
          <w:rFonts w:cs="Arial"/>
          <w:b/>
        </w:rPr>
        <w:t>standard</w:t>
      </w:r>
      <w:r w:rsidR="004D01B4">
        <w:rPr>
          <w:rFonts w:cs="Arial"/>
        </w:rPr>
        <w:t xml:space="preserve">) </w:t>
      </w:r>
      <w:r w:rsidR="00143172">
        <w:t xml:space="preserve">to assess its ongoing </w:t>
      </w:r>
      <w:r w:rsidR="00BC7527">
        <w:t>efficacy since the ACCC</w:t>
      </w:r>
      <w:r w:rsidR="00A20B03">
        <w:t>’s</w:t>
      </w:r>
      <w:r w:rsidR="00BE462A">
        <w:t xml:space="preserve"> </w:t>
      </w:r>
      <w:r w:rsidR="008C30A0">
        <w:t xml:space="preserve">last </w:t>
      </w:r>
      <w:r w:rsidR="00BC7527">
        <w:t>review</w:t>
      </w:r>
      <w:r w:rsidR="00BE462A">
        <w:t xml:space="preserve"> </w:t>
      </w:r>
      <w:r w:rsidR="00E77068">
        <w:t>in 2008</w:t>
      </w:r>
      <w:r w:rsidR="00F86037">
        <w:t>.</w:t>
      </w:r>
    </w:p>
    <w:p w14:paraId="783AFE14" w14:textId="70D7C6C4" w:rsidR="00126288" w:rsidRDefault="008A3EEE" w:rsidP="00FA3C89">
      <w:pPr>
        <w:spacing w:after="200"/>
      </w:pPr>
      <w:r>
        <w:t>T</w:t>
      </w:r>
      <w:r w:rsidR="00126288">
        <w:t>his paper</w:t>
      </w:r>
      <w:r w:rsidR="00126288" w:rsidRPr="008353A5">
        <w:t xml:space="preserve"> </w:t>
      </w:r>
      <w:r>
        <w:t xml:space="preserve">discusses four policy options </w:t>
      </w:r>
      <w:r w:rsidR="00126288" w:rsidRPr="008353A5">
        <w:t>and we invite feedback from</w:t>
      </w:r>
      <w:r w:rsidR="00126288">
        <w:t xml:space="preserve"> business, consumers, associations, safety experts, government and interested members of the public. </w:t>
      </w:r>
      <w:r w:rsidR="0067579F">
        <w:t>You do not need to answer all or any of the specific questions to make a valid submission.</w:t>
      </w:r>
    </w:p>
    <w:tbl>
      <w:tblPr>
        <w:tblStyle w:val="TableGrid"/>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9016"/>
      </w:tblGrid>
      <w:tr w:rsidR="00FA3C89" w14:paraId="694EA38C" w14:textId="7E08A0F8" w:rsidTr="00E058D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C14546A" w14:textId="59D53B80" w:rsidR="00FA3C89" w:rsidRPr="00FA3C89" w:rsidRDefault="00FA3C89" w:rsidP="00FA3C89">
            <w:pPr>
              <w:spacing w:before="200" w:after="200"/>
              <w:jc w:val="both"/>
              <w:rPr>
                <w:sz w:val="22"/>
              </w:rPr>
            </w:pPr>
            <w:r w:rsidRPr="00FA3C89">
              <w:rPr>
                <w:sz w:val="22"/>
              </w:rPr>
              <w:t>This consultation may be the only opportunity for you to provide input into this review. We encourage you to make a submission.</w:t>
            </w:r>
          </w:p>
        </w:tc>
      </w:tr>
    </w:tbl>
    <w:p w14:paraId="0A32348A" w14:textId="77777777" w:rsidR="00126288" w:rsidRPr="00CC0BB1" w:rsidRDefault="00126288" w:rsidP="00CC0BB1">
      <w:pPr>
        <w:pStyle w:val="Numbered1"/>
        <w:numPr>
          <w:ilvl w:val="0"/>
          <w:numId w:val="12"/>
        </w:numPr>
        <w:ind w:left="357" w:hanging="357"/>
        <w:rPr>
          <w:rFonts w:ascii="Lucida Fax" w:hAnsi="Lucida Fax"/>
          <w:color w:val="51626F"/>
        </w:rPr>
      </w:pPr>
      <w:bookmarkStart w:id="8" w:name="_Toc17366900"/>
      <w:r w:rsidRPr="00CC0BB1">
        <w:rPr>
          <w:rFonts w:ascii="Lucida Fax" w:hAnsi="Lucida Fax"/>
          <w:color w:val="51626F"/>
        </w:rPr>
        <w:t>Policy options</w:t>
      </w:r>
      <w:bookmarkEnd w:id="8"/>
    </w:p>
    <w:p w14:paraId="43163B91" w14:textId="4E1CB8C6" w:rsidR="00126288" w:rsidRDefault="00126288" w:rsidP="00126288">
      <w:r w:rsidRPr="00583BE8">
        <w:t xml:space="preserve">This consultation paper </w:t>
      </w:r>
      <w:r w:rsidR="00517CC4">
        <w:t>discusses</w:t>
      </w:r>
      <w:r w:rsidR="00517CC4" w:rsidRPr="00583BE8">
        <w:t xml:space="preserve"> </w:t>
      </w:r>
      <w:r w:rsidR="004351B7">
        <w:t>four</w:t>
      </w:r>
      <w:r w:rsidRPr="00583BE8">
        <w:t xml:space="preserve"> policy options:</w:t>
      </w:r>
    </w:p>
    <w:p w14:paraId="71D13C83" w14:textId="08916EF8" w:rsidR="00D703BF" w:rsidRDefault="00D703BF" w:rsidP="00A87F51">
      <w:pPr>
        <w:tabs>
          <w:tab w:val="left" w:pos="1276"/>
        </w:tabs>
      </w:pPr>
      <w:r>
        <w:t>Option 1</w:t>
      </w:r>
      <w:r>
        <w:tab/>
        <w:t>Maintain the current information standard (status quo)</w:t>
      </w:r>
    </w:p>
    <w:p w14:paraId="4E5AE1CE" w14:textId="789E5A39" w:rsidR="00D703BF" w:rsidRDefault="00D703BF" w:rsidP="00A87F51">
      <w:pPr>
        <w:tabs>
          <w:tab w:val="left" w:pos="1276"/>
        </w:tabs>
      </w:pPr>
      <w:r>
        <w:t>Option 2</w:t>
      </w:r>
      <w:r>
        <w:tab/>
        <w:t>Amend the information standard</w:t>
      </w:r>
    </w:p>
    <w:p w14:paraId="477137C8" w14:textId="630F5721" w:rsidR="00D703BF" w:rsidRDefault="00D703BF" w:rsidP="00A87F51">
      <w:pPr>
        <w:tabs>
          <w:tab w:val="left" w:pos="1276"/>
        </w:tabs>
      </w:pPr>
      <w:r>
        <w:t>Option 3</w:t>
      </w:r>
      <w:r>
        <w:tab/>
        <w:t xml:space="preserve">Allow </w:t>
      </w:r>
      <w:r w:rsidR="008C30A0">
        <w:t xml:space="preserve">overseas </w:t>
      </w:r>
      <w:r>
        <w:t>standards</w:t>
      </w:r>
    </w:p>
    <w:p w14:paraId="07154DF5" w14:textId="0B86F53F" w:rsidR="00D703BF" w:rsidRPr="00583BE8" w:rsidRDefault="005F4E33" w:rsidP="00A87F51">
      <w:pPr>
        <w:tabs>
          <w:tab w:val="left" w:pos="1276"/>
        </w:tabs>
      </w:pPr>
      <w:r>
        <w:t>Option 4</w:t>
      </w:r>
      <w:r>
        <w:tab/>
      </w:r>
      <w:r w:rsidR="00D703BF">
        <w:t>Revoke the information standard</w:t>
      </w:r>
      <w:r w:rsidR="008A3EEE">
        <w:t>.</w:t>
      </w:r>
    </w:p>
    <w:p w14:paraId="2AA743BE" w14:textId="3C51F09B" w:rsidR="000E3A2E" w:rsidRPr="00CC0BB1" w:rsidRDefault="00126288" w:rsidP="00CC0BB1">
      <w:pPr>
        <w:pStyle w:val="Numbered1"/>
        <w:numPr>
          <w:ilvl w:val="0"/>
          <w:numId w:val="12"/>
        </w:numPr>
        <w:ind w:left="357" w:hanging="357"/>
        <w:rPr>
          <w:rFonts w:ascii="Lucida Fax" w:hAnsi="Lucida Fax"/>
          <w:color w:val="51626F"/>
        </w:rPr>
      </w:pPr>
      <w:bookmarkStart w:id="9" w:name="_Toc17366901"/>
      <w:r w:rsidRPr="00CC0BB1">
        <w:rPr>
          <w:rFonts w:ascii="Lucida Fax" w:hAnsi="Lucida Fax"/>
          <w:color w:val="51626F"/>
        </w:rPr>
        <w:t>Background</w:t>
      </w:r>
      <w:bookmarkEnd w:id="9"/>
    </w:p>
    <w:p w14:paraId="1205944C" w14:textId="24F5E7D3" w:rsidR="004B4CE9" w:rsidRDefault="004B4CE9" w:rsidP="004B4CE9">
      <w:pPr>
        <w:tabs>
          <w:tab w:val="left" w:pos="993"/>
        </w:tabs>
        <w:rPr>
          <w:rFonts w:cs="Arial"/>
        </w:rPr>
      </w:pPr>
      <w:r w:rsidRPr="004B4CE9">
        <w:rPr>
          <w:rFonts w:cs="Arial"/>
        </w:rPr>
        <w:t xml:space="preserve">American research estimates that women are exposed to an average of 168 chemicals as part of their daily personal care </w:t>
      </w:r>
      <w:r w:rsidR="008C30A0">
        <w:rPr>
          <w:rFonts w:cs="Arial"/>
        </w:rPr>
        <w:t>routine</w:t>
      </w:r>
      <w:r w:rsidRPr="004B4CE9">
        <w:rPr>
          <w:rFonts w:cs="Arial"/>
        </w:rPr>
        <w:t>, and men average 85 chemicals daily.</w:t>
      </w:r>
      <w:r w:rsidRPr="001C3798">
        <w:rPr>
          <w:rStyle w:val="FootnoteReference"/>
          <w:rFonts w:cs="Arial"/>
          <w:sz w:val="18"/>
          <w:szCs w:val="18"/>
        </w:rPr>
        <w:footnoteReference w:id="1"/>
      </w:r>
    </w:p>
    <w:p w14:paraId="263B071E" w14:textId="18E57526" w:rsidR="00E5211B" w:rsidRPr="00D12804" w:rsidRDefault="00E5211B" w:rsidP="001E6247">
      <w:pPr>
        <w:spacing w:line="220" w:lineRule="atLeast"/>
        <w:rPr>
          <w:rFonts w:cs="Arial"/>
        </w:rPr>
      </w:pPr>
      <w:r w:rsidRPr="00D12804">
        <w:rPr>
          <w:rFonts w:cs="Arial"/>
        </w:rPr>
        <w:t xml:space="preserve">The </w:t>
      </w:r>
      <w:r w:rsidR="00E50E33">
        <w:rPr>
          <w:rFonts w:cs="Arial"/>
        </w:rPr>
        <w:t xml:space="preserve">information </w:t>
      </w:r>
      <w:r>
        <w:rPr>
          <w:rFonts w:cs="Arial"/>
        </w:rPr>
        <w:t>s</w:t>
      </w:r>
      <w:r w:rsidRPr="00D12804">
        <w:rPr>
          <w:rFonts w:cs="Arial"/>
        </w:rPr>
        <w:t>tandard was introduced</w:t>
      </w:r>
      <w:r>
        <w:rPr>
          <w:rFonts w:cs="Arial"/>
        </w:rPr>
        <w:t xml:space="preserve"> in 1991</w:t>
      </w:r>
      <w:r w:rsidRPr="00D12804">
        <w:rPr>
          <w:rFonts w:cs="Arial"/>
        </w:rPr>
        <w:t xml:space="preserve"> to address a market failure </w:t>
      </w:r>
      <w:r>
        <w:rPr>
          <w:rFonts w:cs="Arial"/>
        </w:rPr>
        <w:t>where</w:t>
      </w:r>
      <w:r w:rsidRPr="00D12804">
        <w:rPr>
          <w:rFonts w:cs="Arial"/>
        </w:rPr>
        <w:t xml:space="preserve"> consumers</w:t>
      </w:r>
      <w:r w:rsidR="00BC7167">
        <w:rPr>
          <w:rFonts w:cs="Arial"/>
        </w:rPr>
        <w:t xml:space="preserve"> did not ha</w:t>
      </w:r>
      <w:bookmarkStart w:id="10" w:name="_GoBack"/>
      <w:bookmarkEnd w:id="10"/>
      <w:r w:rsidR="00BC7167">
        <w:rPr>
          <w:rFonts w:cs="Arial"/>
        </w:rPr>
        <w:t>ve</w:t>
      </w:r>
      <w:r w:rsidR="0032196E">
        <w:rPr>
          <w:rFonts w:cs="Arial"/>
        </w:rPr>
        <w:t xml:space="preserve"> ready access to</w:t>
      </w:r>
      <w:r w:rsidR="00BC7167">
        <w:rPr>
          <w:rFonts w:cs="Arial"/>
        </w:rPr>
        <w:t xml:space="preserve"> information about</w:t>
      </w:r>
      <w:r w:rsidRPr="00D12804">
        <w:rPr>
          <w:rFonts w:cs="Arial"/>
        </w:rPr>
        <w:t xml:space="preserve"> ingredients contained in cosmetic</w:t>
      </w:r>
      <w:r w:rsidR="008032EA">
        <w:rPr>
          <w:rFonts w:cs="Arial"/>
        </w:rPr>
        <w:t xml:space="preserve"> products</w:t>
      </w:r>
      <w:r>
        <w:rPr>
          <w:rFonts w:cs="Arial"/>
        </w:rPr>
        <w:t>. This information allow</w:t>
      </w:r>
      <w:r w:rsidR="0032196E">
        <w:rPr>
          <w:rFonts w:cs="Arial"/>
        </w:rPr>
        <w:t>s</w:t>
      </w:r>
      <w:r w:rsidRPr="00D12804">
        <w:rPr>
          <w:rFonts w:cs="Arial"/>
        </w:rPr>
        <w:t xml:space="preserve"> consumers </w:t>
      </w:r>
      <w:r>
        <w:rPr>
          <w:rFonts w:cs="Arial"/>
        </w:rPr>
        <w:t>to:</w:t>
      </w:r>
    </w:p>
    <w:p w14:paraId="34773BDC" w14:textId="77777777" w:rsidR="00933211" w:rsidRDefault="00E5211B" w:rsidP="001E6247">
      <w:pPr>
        <w:pStyle w:val="ListParagraph"/>
        <w:numPr>
          <w:ilvl w:val="0"/>
          <w:numId w:val="46"/>
        </w:numPr>
        <w:spacing w:after="120"/>
        <w:ind w:left="357" w:hanging="357"/>
        <w:rPr>
          <w:rFonts w:cs="Arial"/>
        </w:rPr>
      </w:pPr>
      <w:r w:rsidRPr="00E5211B">
        <w:rPr>
          <w:rFonts w:cs="Arial"/>
        </w:rPr>
        <w:t>avoid known allergens, irritants or potentially harmful chemicals</w:t>
      </w:r>
    </w:p>
    <w:p w14:paraId="7DC5AC41" w14:textId="77777777" w:rsidR="00933211" w:rsidRDefault="00E5211B" w:rsidP="001E6247">
      <w:pPr>
        <w:pStyle w:val="ListParagraph"/>
        <w:numPr>
          <w:ilvl w:val="0"/>
          <w:numId w:val="46"/>
        </w:numPr>
        <w:spacing w:before="0" w:after="120"/>
        <w:rPr>
          <w:rFonts w:cs="Arial"/>
        </w:rPr>
      </w:pPr>
      <w:r w:rsidRPr="00933211">
        <w:rPr>
          <w:rFonts w:cs="Arial"/>
        </w:rPr>
        <w:t>make value comparisons between products based on ingredients</w:t>
      </w:r>
      <w:r w:rsidR="00BA69ED" w:rsidRPr="00933211">
        <w:rPr>
          <w:rFonts w:cs="Arial"/>
        </w:rPr>
        <w:t>.</w:t>
      </w:r>
    </w:p>
    <w:p w14:paraId="3E00F532" w14:textId="43EB72CF" w:rsidR="00DE105E" w:rsidRPr="00933211" w:rsidRDefault="0032196E" w:rsidP="001E6247">
      <w:pPr>
        <w:rPr>
          <w:rFonts w:cs="Arial"/>
        </w:rPr>
      </w:pPr>
      <w:r>
        <w:rPr>
          <w:rFonts w:cs="Arial"/>
        </w:rPr>
        <w:t>I</w:t>
      </w:r>
      <w:r w:rsidR="00A20B03">
        <w:rPr>
          <w:rFonts w:cs="Arial"/>
        </w:rPr>
        <w:t>nformation</w:t>
      </w:r>
      <w:r>
        <w:rPr>
          <w:rFonts w:cs="Arial"/>
        </w:rPr>
        <w:t xml:space="preserve"> is also important</w:t>
      </w:r>
      <w:r w:rsidR="00A20B03">
        <w:rPr>
          <w:rFonts w:cs="Arial"/>
        </w:rPr>
        <w:t xml:space="preserve"> </w:t>
      </w:r>
      <w:r>
        <w:rPr>
          <w:rFonts w:cs="Arial"/>
        </w:rPr>
        <w:t>for</w:t>
      </w:r>
      <w:r w:rsidR="008032EA" w:rsidRPr="00933211">
        <w:rPr>
          <w:rFonts w:cs="Arial"/>
        </w:rPr>
        <w:t xml:space="preserve"> health care providers</w:t>
      </w:r>
      <w:r>
        <w:rPr>
          <w:rFonts w:cs="Arial"/>
        </w:rPr>
        <w:t xml:space="preserve"> as it</w:t>
      </w:r>
      <w:r w:rsidR="008032EA" w:rsidRPr="00933211">
        <w:rPr>
          <w:rFonts w:cs="Arial"/>
        </w:rPr>
        <w:t xml:space="preserve"> </w:t>
      </w:r>
      <w:r>
        <w:rPr>
          <w:rFonts w:cs="Arial"/>
        </w:rPr>
        <w:t>enables</w:t>
      </w:r>
      <w:r w:rsidR="008C30A0">
        <w:rPr>
          <w:rFonts w:cs="Arial"/>
        </w:rPr>
        <w:t xml:space="preserve"> them to</w:t>
      </w:r>
      <w:r w:rsidR="008032EA" w:rsidRPr="00933211">
        <w:rPr>
          <w:rFonts w:cs="Arial"/>
        </w:rPr>
        <w:t xml:space="preserve"> recommend </w:t>
      </w:r>
      <w:r w:rsidR="00BC7167">
        <w:rPr>
          <w:rFonts w:cs="Arial"/>
        </w:rPr>
        <w:t xml:space="preserve">or provide </w:t>
      </w:r>
      <w:r w:rsidR="008032EA" w:rsidRPr="00933211">
        <w:rPr>
          <w:rFonts w:cs="Arial"/>
        </w:rPr>
        <w:t xml:space="preserve">appropriate treatment </w:t>
      </w:r>
      <w:r>
        <w:rPr>
          <w:rFonts w:cs="Arial"/>
        </w:rPr>
        <w:t>where a consumer suffers an</w:t>
      </w:r>
      <w:r w:rsidR="008032EA" w:rsidRPr="00933211">
        <w:rPr>
          <w:rFonts w:cs="Arial"/>
        </w:rPr>
        <w:t xml:space="preserve"> adverse reaction from the use of </w:t>
      </w:r>
      <w:r>
        <w:rPr>
          <w:rFonts w:cs="Arial"/>
        </w:rPr>
        <w:t xml:space="preserve">a </w:t>
      </w:r>
      <w:r w:rsidR="008032EA" w:rsidRPr="00933211">
        <w:rPr>
          <w:rFonts w:cs="Arial"/>
        </w:rPr>
        <w:t>cosmetic</w:t>
      </w:r>
      <w:r>
        <w:rPr>
          <w:rFonts w:cs="Arial"/>
        </w:rPr>
        <w:t xml:space="preserve"> product</w:t>
      </w:r>
      <w:r w:rsidR="008032EA" w:rsidRPr="00933211">
        <w:rPr>
          <w:rFonts w:cs="Arial"/>
        </w:rPr>
        <w:t>.</w:t>
      </w:r>
      <w:r w:rsidR="005C7388" w:rsidRPr="00933211">
        <w:rPr>
          <w:rFonts w:cs="Arial"/>
        </w:rPr>
        <w:t xml:space="preserve"> </w:t>
      </w:r>
      <w:r w:rsidR="00A20B03">
        <w:rPr>
          <w:rFonts w:cs="Arial"/>
        </w:rPr>
        <w:t>Access to ingredient information</w:t>
      </w:r>
      <w:r w:rsidR="005C7388" w:rsidRPr="00933211">
        <w:rPr>
          <w:rFonts w:cs="Arial"/>
        </w:rPr>
        <w:t xml:space="preserve"> </w:t>
      </w:r>
      <w:r w:rsidR="0043160E">
        <w:rPr>
          <w:rFonts w:cs="Arial"/>
        </w:rPr>
        <w:t>also</w:t>
      </w:r>
      <w:r w:rsidR="00A20B03">
        <w:rPr>
          <w:rFonts w:cs="Arial"/>
        </w:rPr>
        <w:t xml:space="preserve"> </w:t>
      </w:r>
      <w:r w:rsidR="005C7388" w:rsidRPr="00933211">
        <w:rPr>
          <w:rFonts w:cs="Arial"/>
        </w:rPr>
        <w:t>reduces costs to the Australian health system where a person may otherwise require treatment for a</w:t>
      </w:r>
      <w:r w:rsidR="008C1CD1">
        <w:rPr>
          <w:rFonts w:cs="Arial"/>
        </w:rPr>
        <w:t>llergic reactions to cosmetics.</w:t>
      </w:r>
    </w:p>
    <w:p w14:paraId="4CE72919" w14:textId="14EF57C6" w:rsidR="008C62C3" w:rsidRDefault="006B5A1B" w:rsidP="001E6247">
      <w:pPr>
        <w:tabs>
          <w:tab w:val="left" w:pos="993"/>
        </w:tabs>
        <w:rPr>
          <w:lang w:val="en"/>
        </w:rPr>
      </w:pPr>
      <w:r w:rsidRPr="006B5A1B">
        <w:rPr>
          <w:rFonts w:cs="Arial"/>
        </w:rPr>
        <w:t>According to the Australasian Society of Clinical Immunology and Allergy (</w:t>
      </w:r>
      <w:r w:rsidRPr="00D1656D">
        <w:rPr>
          <w:rFonts w:cs="Arial"/>
          <w:b/>
        </w:rPr>
        <w:t>ASCIA</w:t>
      </w:r>
      <w:r w:rsidRPr="006B5A1B">
        <w:rPr>
          <w:rFonts w:cs="Arial"/>
        </w:rPr>
        <w:t>)</w:t>
      </w:r>
      <w:r w:rsidRPr="001C3798">
        <w:rPr>
          <w:rStyle w:val="FootnoteReference"/>
          <w:rFonts w:cs="Arial"/>
          <w:sz w:val="18"/>
          <w:szCs w:val="18"/>
        </w:rPr>
        <w:footnoteReference w:id="2"/>
      </w:r>
      <w:r w:rsidR="00BD08C6">
        <w:rPr>
          <w:rFonts w:cs="Arial"/>
        </w:rPr>
        <w:t>,</w:t>
      </w:r>
      <w:r w:rsidRPr="006B5A1B">
        <w:rPr>
          <w:rFonts w:cs="Arial"/>
        </w:rPr>
        <w:t xml:space="preserve"> skin allergies</w:t>
      </w:r>
      <w:r>
        <w:rPr>
          <w:rFonts w:cs="Arial"/>
        </w:rPr>
        <w:t xml:space="preserve"> and reactions to chemical ingredients in cosmetics</w:t>
      </w:r>
      <w:r w:rsidRPr="006B5A1B">
        <w:rPr>
          <w:rFonts w:cs="Arial"/>
        </w:rPr>
        <w:t xml:space="preserve"> are common</w:t>
      </w:r>
      <w:r>
        <w:rPr>
          <w:rFonts w:cs="Arial"/>
        </w:rPr>
        <w:t xml:space="preserve"> in Australia</w:t>
      </w:r>
      <w:r w:rsidRPr="006B5A1B">
        <w:rPr>
          <w:rFonts w:cs="Arial"/>
        </w:rPr>
        <w:t>.</w:t>
      </w:r>
      <w:r w:rsidR="00AD6EE9">
        <w:rPr>
          <w:rFonts w:cs="Arial"/>
        </w:rPr>
        <w:t xml:space="preserve"> Based on overseas studies </w:t>
      </w:r>
      <w:r w:rsidR="008869B5">
        <w:rPr>
          <w:lang w:val="en"/>
        </w:rPr>
        <w:t>i</w:t>
      </w:r>
      <w:r w:rsidR="00AD6EE9">
        <w:rPr>
          <w:lang w:val="en"/>
        </w:rPr>
        <w:t>t is estimated that about 10</w:t>
      </w:r>
      <w:r w:rsidR="00BC7167">
        <w:rPr>
          <w:lang w:val="en"/>
        </w:rPr>
        <w:t xml:space="preserve"> per cent</w:t>
      </w:r>
      <w:r w:rsidR="00AD6EE9">
        <w:rPr>
          <w:lang w:val="en"/>
        </w:rPr>
        <w:t xml:space="preserve"> of the general population experience side effects, hypersensitivity </w:t>
      </w:r>
      <w:r w:rsidR="008869B5">
        <w:rPr>
          <w:lang w:val="en"/>
        </w:rPr>
        <w:t>or allergy-related irritation from</w:t>
      </w:r>
      <w:r w:rsidR="00AD6EE9">
        <w:rPr>
          <w:lang w:val="en"/>
        </w:rPr>
        <w:t xml:space="preserve"> cosmetics</w:t>
      </w:r>
      <w:r w:rsidR="008869B5">
        <w:rPr>
          <w:lang w:val="en"/>
        </w:rPr>
        <w:t>.</w:t>
      </w:r>
      <w:r w:rsidR="00BC7167">
        <w:rPr>
          <w:rStyle w:val="FootnoteReference"/>
          <w:lang w:val="en"/>
        </w:rPr>
        <w:footnoteReference w:id="3"/>
      </w:r>
    </w:p>
    <w:p w14:paraId="6ACE2B45" w14:textId="661AFF33" w:rsidR="003B1A22" w:rsidRPr="003B1A22" w:rsidRDefault="00A50D89" w:rsidP="003B1A22">
      <w:pPr>
        <w:tabs>
          <w:tab w:val="left" w:pos="993"/>
        </w:tabs>
        <w:ind w:left="340"/>
        <w:rPr>
          <w:i/>
          <w:shd w:val="clear" w:color="auto" w:fill="FFFFFF"/>
        </w:rPr>
      </w:pPr>
      <w:r>
        <w:rPr>
          <w:i/>
          <w:shd w:val="clear" w:color="auto" w:fill="FFFFFF"/>
        </w:rPr>
        <w:lastRenderedPageBreak/>
        <w:t>“</w:t>
      </w:r>
      <w:r w:rsidR="00CE0A6E" w:rsidRPr="00261657">
        <w:rPr>
          <w:i/>
          <w:shd w:val="clear" w:color="auto" w:fill="FFFFFF"/>
        </w:rPr>
        <w:t>Adverse reactions mainly depend on the type of the chemical component of the cosmetic product and the exposure time. There is a clear correlation between the frequency of cosmetic applications and the development of allergies. An important factor influencing the formation of contact allergy is also the place of application. The use of cosmetics on irritated or inflamed skin increases the risk of side effects. Fragrances, preservatives and dyes are the most important components contained in cosmetics inducing contact hypersensitivity, while substrates, emulsifiers, stabilizers, viscosity enhancing agents, antioxidants, moisturizing and lubricating substances are less reactive</w:t>
      </w:r>
      <w:r w:rsidR="008C62C3" w:rsidRPr="00261657">
        <w:rPr>
          <w:i/>
          <w:shd w:val="clear" w:color="auto" w:fill="FFFFFF"/>
        </w:rPr>
        <w:t>.</w:t>
      </w:r>
      <w:r>
        <w:rPr>
          <w:i/>
          <w:shd w:val="clear" w:color="auto" w:fill="FFFFFF"/>
        </w:rPr>
        <w:t>”</w:t>
      </w:r>
      <w:r w:rsidR="003B1A22">
        <w:rPr>
          <w:rFonts w:cs="Arial"/>
        </w:rPr>
        <w:t xml:space="preserve"> </w:t>
      </w:r>
      <w:r w:rsidR="003B1A22" w:rsidRPr="001C3798">
        <w:rPr>
          <w:rStyle w:val="FootnoteReference"/>
          <w:rFonts w:cs="Arial"/>
          <w:sz w:val="18"/>
          <w:szCs w:val="18"/>
        </w:rPr>
        <w:footnoteReference w:id="4"/>
      </w:r>
    </w:p>
    <w:p w14:paraId="0C3F9C46" w14:textId="77777777" w:rsidR="005D4A23" w:rsidRDefault="00A50D89" w:rsidP="004B4CE9">
      <w:pPr>
        <w:tabs>
          <w:tab w:val="left" w:pos="993"/>
        </w:tabs>
        <w:rPr>
          <w:rFonts w:cs="Arial"/>
        </w:rPr>
      </w:pPr>
      <w:r>
        <w:rPr>
          <w:rFonts w:cs="Arial"/>
        </w:rPr>
        <w:t xml:space="preserve">The most common chemicals in cosmetics include </w:t>
      </w:r>
      <w:r w:rsidRPr="006B5A1B">
        <w:rPr>
          <w:rFonts w:cs="Arial"/>
        </w:rPr>
        <w:t>fragrance</w:t>
      </w:r>
      <w:r>
        <w:rPr>
          <w:rFonts w:cs="Arial"/>
        </w:rPr>
        <w:t>s, preservatives, antioxidants</w:t>
      </w:r>
      <w:r w:rsidRPr="006B5A1B">
        <w:rPr>
          <w:rFonts w:cs="Arial"/>
        </w:rPr>
        <w:t>, ultraviolet absorbers, humectants, emollients, emulsifiers, acrylates,</w:t>
      </w:r>
      <w:r>
        <w:rPr>
          <w:rFonts w:cs="Arial"/>
        </w:rPr>
        <w:t xml:space="preserve"> hair</w:t>
      </w:r>
      <w:r w:rsidRPr="006B5A1B">
        <w:rPr>
          <w:rFonts w:cs="Arial"/>
        </w:rPr>
        <w:t xml:space="preserve"> dyes, and nai</w:t>
      </w:r>
      <w:r>
        <w:rPr>
          <w:rFonts w:cs="Arial"/>
        </w:rPr>
        <w:t>l polish components.</w:t>
      </w:r>
      <w:r w:rsidRPr="001C3798">
        <w:rPr>
          <w:rStyle w:val="FootnoteReference"/>
          <w:rFonts w:cs="Arial"/>
          <w:sz w:val="18"/>
          <w:szCs w:val="18"/>
        </w:rPr>
        <w:footnoteReference w:id="5"/>
      </w:r>
    </w:p>
    <w:p w14:paraId="2C60F39B" w14:textId="0AD8D0F9" w:rsidR="004B4CE9" w:rsidRDefault="008C30A0" w:rsidP="004B4CE9">
      <w:pPr>
        <w:tabs>
          <w:tab w:val="left" w:pos="993"/>
        </w:tabs>
        <w:rPr>
          <w:rFonts w:cs="Arial"/>
        </w:rPr>
      </w:pPr>
      <w:r>
        <w:rPr>
          <w:rFonts w:eastAsiaTheme="majorEastAsia" w:cs="Arial"/>
          <w:bCs/>
        </w:rPr>
        <w:t>Generally,</w:t>
      </w:r>
      <w:r w:rsidR="004B4CE9" w:rsidRPr="004B4CE9">
        <w:rPr>
          <w:rFonts w:eastAsiaTheme="majorEastAsia" w:cs="Arial"/>
          <w:bCs/>
        </w:rPr>
        <w:t xml:space="preserve"> reported reactions to cosmetic ingredients are minor (e.g. </w:t>
      </w:r>
      <w:r w:rsidR="004B4CE9">
        <w:rPr>
          <w:rFonts w:eastAsiaTheme="majorEastAsia" w:cs="Arial"/>
          <w:bCs/>
        </w:rPr>
        <w:t>skin irritations</w:t>
      </w:r>
      <w:r w:rsidR="00763D44">
        <w:rPr>
          <w:rFonts w:eastAsiaTheme="majorEastAsia" w:cs="Arial"/>
          <w:bCs/>
        </w:rPr>
        <w:t xml:space="preserve"> and c</w:t>
      </w:r>
      <w:r w:rsidR="004B4CE9" w:rsidRPr="004B4CE9">
        <w:rPr>
          <w:rFonts w:eastAsiaTheme="majorEastAsia" w:cs="Arial"/>
          <w:bCs/>
        </w:rPr>
        <w:t>ontact dermatitis) and</w:t>
      </w:r>
      <w:r>
        <w:rPr>
          <w:rFonts w:eastAsiaTheme="majorEastAsia" w:cs="Arial"/>
          <w:bCs/>
        </w:rPr>
        <w:t xml:space="preserve"> </w:t>
      </w:r>
      <w:r w:rsidR="004B4CE9" w:rsidRPr="004B4CE9">
        <w:rPr>
          <w:rFonts w:eastAsiaTheme="majorEastAsia" w:cs="Arial"/>
          <w:bCs/>
        </w:rPr>
        <w:t xml:space="preserve">treatable with over-the-counter medications, or resolve after a person ceases using the product. </w:t>
      </w:r>
      <w:bookmarkStart w:id="11" w:name="_Toc529879034"/>
      <w:bookmarkStart w:id="12" w:name="_Toc529879124"/>
      <w:bookmarkStart w:id="13" w:name="_Toc529889540"/>
      <w:r w:rsidR="004B4CE9" w:rsidRPr="004B4CE9">
        <w:rPr>
          <w:rFonts w:eastAsiaTheme="majorEastAsia" w:cs="Arial"/>
          <w:bCs/>
        </w:rPr>
        <w:t>Although rare, anaphylactic reactions can occur in some instances where sensitivities to chemicals may develop over time (e.g. hair dyes).</w:t>
      </w:r>
      <w:bookmarkEnd w:id="11"/>
      <w:bookmarkEnd w:id="12"/>
      <w:bookmarkEnd w:id="13"/>
    </w:p>
    <w:p w14:paraId="6843C472" w14:textId="7773CACC" w:rsidR="00F01EDE" w:rsidRDefault="004711FE" w:rsidP="001E6247">
      <w:pPr>
        <w:tabs>
          <w:tab w:val="left" w:pos="993"/>
        </w:tabs>
        <w:rPr>
          <w:rFonts w:cs="Arial"/>
        </w:rPr>
      </w:pPr>
      <w:r>
        <w:rPr>
          <w:rFonts w:cs="Arial"/>
        </w:rPr>
        <w:t>Unlike the provision of safety standards, information standards</w:t>
      </w:r>
      <w:r w:rsidR="00FD403A">
        <w:rPr>
          <w:rFonts w:cs="Arial"/>
        </w:rPr>
        <w:t xml:space="preserve"> are not restricted to safety issues and</w:t>
      </w:r>
      <w:r>
        <w:rPr>
          <w:rFonts w:cs="Arial"/>
        </w:rPr>
        <w:t xml:space="preserve"> can address a range of issues that are not safety related. </w:t>
      </w:r>
      <w:r w:rsidR="002256F5">
        <w:rPr>
          <w:rFonts w:cs="Arial"/>
        </w:rPr>
        <w:t>The</w:t>
      </w:r>
      <w:r w:rsidR="009752EB">
        <w:rPr>
          <w:rFonts w:cs="Arial"/>
        </w:rPr>
        <w:t xml:space="preserve"> purpose of the information </w:t>
      </w:r>
      <w:r w:rsidR="00F65D88">
        <w:rPr>
          <w:rFonts w:cs="Arial"/>
        </w:rPr>
        <w:t xml:space="preserve">standard </w:t>
      </w:r>
      <w:r w:rsidR="009752EB">
        <w:rPr>
          <w:rFonts w:cs="Arial"/>
        </w:rPr>
        <w:t xml:space="preserve">is to </w:t>
      </w:r>
      <w:r w:rsidR="00426C8C">
        <w:rPr>
          <w:rFonts w:cs="Arial"/>
        </w:rPr>
        <w:t>address</w:t>
      </w:r>
      <w:r w:rsidR="002F70EF">
        <w:rPr>
          <w:rFonts w:cs="Arial"/>
        </w:rPr>
        <w:t>,</w:t>
      </w:r>
      <w:r w:rsidR="00426C8C">
        <w:rPr>
          <w:rFonts w:cs="Arial"/>
        </w:rPr>
        <w:t xml:space="preserve"> at least in part</w:t>
      </w:r>
      <w:r w:rsidR="002F70EF">
        <w:rPr>
          <w:rFonts w:cs="Arial"/>
        </w:rPr>
        <w:t>,</w:t>
      </w:r>
      <w:r w:rsidR="00426C8C">
        <w:rPr>
          <w:rFonts w:cs="Arial"/>
        </w:rPr>
        <w:t xml:space="preserve"> the </w:t>
      </w:r>
      <w:r w:rsidR="002F70EF">
        <w:rPr>
          <w:rFonts w:cs="Arial"/>
        </w:rPr>
        <w:t>asymmetry of information</w:t>
      </w:r>
      <w:r w:rsidR="00411CA6">
        <w:rPr>
          <w:rFonts w:cs="Arial"/>
        </w:rPr>
        <w:t xml:space="preserve"> </w:t>
      </w:r>
      <w:r w:rsidR="009752EB">
        <w:rPr>
          <w:rFonts w:cs="Arial"/>
        </w:rPr>
        <w:t>by</w:t>
      </w:r>
      <w:r w:rsidR="002256F5">
        <w:rPr>
          <w:rFonts w:cs="Arial"/>
        </w:rPr>
        <w:t xml:space="preserve"> </w:t>
      </w:r>
      <w:r w:rsidR="004F722A">
        <w:rPr>
          <w:rFonts w:cs="Arial"/>
        </w:rPr>
        <w:t>requiring</w:t>
      </w:r>
      <w:r w:rsidR="009752EB">
        <w:rPr>
          <w:rFonts w:cs="Arial"/>
        </w:rPr>
        <w:t xml:space="preserve"> suppliers to include</w:t>
      </w:r>
      <w:r w:rsidR="004F722A">
        <w:rPr>
          <w:rFonts w:cs="Arial"/>
        </w:rPr>
        <w:t xml:space="preserve"> a list of ingredients </w:t>
      </w:r>
      <w:r w:rsidR="00D703BF">
        <w:rPr>
          <w:rFonts w:cs="Arial"/>
        </w:rPr>
        <w:t>with the cosmetic</w:t>
      </w:r>
      <w:r w:rsidR="009752EB">
        <w:rPr>
          <w:rFonts w:cs="Arial"/>
        </w:rPr>
        <w:t xml:space="preserve"> product</w:t>
      </w:r>
      <w:r w:rsidR="00A414C0">
        <w:rPr>
          <w:rFonts w:cs="Arial"/>
        </w:rPr>
        <w:t>,</w:t>
      </w:r>
      <w:r w:rsidR="00411CA6" w:rsidRPr="00411CA6">
        <w:rPr>
          <w:rFonts w:cs="Arial"/>
        </w:rPr>
        <w:t xml:space="preserve"> </w:t>
      </w:r>
      <w:r w:rsidR="00411CA6">
        <w:rPr>
          <w:rFonts w:cs="Arial"/>
        </w:rPr>
        <w:t xml:space="preserve">which can inform consumer purchasing </w:t>
      </w:r>
      <w:r w:rsidR="006366EC">
        <w:rPr>
          <w:rFonts w:cs="Arial"/>
        </w:rPr>
        <w:t>decisions</w:t>
      </w:r>
      <w:r w:rsidR="00491F63">
        <w:rPr>
          <w:rFonts w:cs="Arial"/>
        </w:rPr>
        <w:t>.</w:t>
      </w:r>
      <w:r w:rsidR="003F72A1">
        <w:rPr>
          <w:rFonts w:cs="Arial"/>
        </w:rPr>
        <w:t xml:space="preserve"> </w:t>
      </w:r>
      <w:r w:rsidR="009752EB">
        <w:rPr>
          <w:rFonts w:cs="Arial"/>
        </w:rPr>
        <w:t>The information standard</w:t>
      </w:r>
      <w:r w:rsidR="00384EB3">
        <w:rPr>
          <w:rFonts w:cs="Arial"/>
        </w:rPr>
        <w:t xml:space="preserve"> </w:t>
      </w:r>
      <w:r w:rsidR="00352B57" w:rsidRPr="00352B57">
        <w:rPr>
          <w:rFonts w:cs="Arial"/>
        </w:rPr>
        <w:t xml:space="preserve">does not regulate the </w:t>
      </w:r>
      <w:r w:rsidR="002256F5">
        <w:rPr>
          <w:rFonts w:cs="Arial"/>
        </w:rPr>
        <w:t xml:space="preserve">chemical ingredients used in </w:t>
      </w:r>
      <w:r w:rsidR="00A414C0">
        <w:rPr>
          <w:rFonts w:cs="Arial"/>
        </w:rPr>
        <w:t>cosmetic products; t</w:t>
      </w:r>
      <w:r w:rsidR="00B91D0C">
        <w:rPr>
          <w:rFonts w:cs="Arial"/>
        </w:rPr>
        <w:t>his is the responsibility of other regulatory agencies as discussed below.</w:t>
      </w:r>
    </w:p>
    <w:p w14:paraId="3D09E597" w14:textId="5BFF425A" w:rsidR="00F01EDE" w:rsidRPr="006A7B5F" w:rsidRDefault="00517CC4" w:rsidP="006A7B5F">
      <w:pPr>
        <w:pStyle w:val="Heading2"/>
        <w:rPr>
          <w:rFonts w:eastAsia="Times New Roman" w:cs="Times New Roman"/>
          <w:color w:val="51626F"/>
        </w:rPr>
      </w:pPr>
      <w:r>
        <w:rPr>
          <w:rFonts w:eastAsia="Times New Roman" w:cs="Times New Roman"/>
          <w:color w:val="51626F"/>
        </w:rPr>
        <w:t>The m</w:t>
      </w:r>
      <w:r w:rsidR="00F01EDE" w:rsidRPr="006A7B5F">
        <w:rPr>
          <w:rFonts w:eastAsia="Times New Roman" w:cs="Times New Roman"/>
          <w:color w:val="51626F"/>
        </w:rPr>
        <w:t>arket</w:t>
      </w:r>
    </w:p>
    <w:p w14:paraId="0AA31A2A" w14:textId="77208C37" w:rsidR="00BD25EB" w:rsidRDefault="00A91A04" w:rsidP="00BD25EB">
      <w:pPr>
        <w:tabs>
          <w:tab w:val="left" w:pos="993"/>
        </w:tabs>
        <w:rPr>
          <w:rFonts w:cs="Arial"/>
        </w:rPr>
      </w:pPr>
      <w:r>
        <w:rPr>
          <w:rFonts w:eastAsiaTheme="majorEastAsia" w:cs="Arial"/>
          <w:bCs/>
        </w:rPr>
        <w:t xml:space="preserve">According to analysis by Statista, </w:t>
      </w:r>
      <w:r w:rsidR="00BD25EB">
        <w:rPr>
          <w:rFonts w:eastAsiaTheme="majorEastAsia" w:cs="Arial"/>
          <w:bCs/>
        </w:rPr>
        <w:t>the cosmetic an</w:t>
      </w:r>
      <w:r w:rsidR="00E615B1">
        <w:rPr>
          <w:rFonts w:eastAsiaTheme="majorEastAsia" w:cs="Arial"/>
          <w:bCs/>
        </w:rPr>
        <w:t>d personal care market realised</w:t>
      </w:r>
      <w:r w:rsidR="00BD25EB">
        <w:rPr>
          <w:rFonts w:eastAsiaTheme="majorEastAsia" w:cs="Arial"/>
          <w:bCs/>
        </w:rPr>
        <w:t xml:space="preserve"> total revenue of US$414 billion </w:t>
      </w:r>
      <w:r w:rsidR="00A71D14">
        <w:rPr>
          <w:rFonts w:eastAsiaTheme="majorEastAsia" w:cs="Arial"/>
          <w:bCs/>
        </w:rPr>
        <w:t xml:space="preserve">worldwide </w:t>
      </w:r>
      <w:r w:rsidR="00BD25EB">
        <w:rPr>
          <w:rFonts w:eastAsiaTheme="majorEastAsia" w:cs="Arial"/>
          <w:bCs/>
        </w:rPr>
        <w:t xml:space="preserve">in 2018, </w:t>
      </w:r>
      <w:r w:rsidR="004D1266">
        <w:rPr>
          <w:rFonts w:eastAsiaTheme="majorEastAsia" w:cs="Arial"/>
          <w:bCs/>
        </w:rPr>
        <w:t>of this total</w:t>
      </w:r>
      <w:r w:rsidR="00BD25EB">
        <w:rPr>
          <w:rFonts w:eastAsiaTheme="majorEastAsia" w:cs="Arial"/>
          <w:bCs/>
        </w:rPr>
        <w:t xml:space="preserve"> Australia’s cosmetic retailing industry </w:t>
      </w:r>
      <w:r w:rsidR="00C47D5A">
        <w:rPr>
          <w:rFonts w:cs="Arial"/>
        </w:rPr>
        <w:t>accounts for</w:t>
      </w:r>
      <w:r w:rsidR="00BD25EB">
        <w:rPr>
          <w:rFonts w:cs="Arial"/>
        </w:rPr>
        <w:t xml:space="preserve"> revenue of nearly US$6 billion</w:t>
      </w:r>
      <w:r w:rsidR="00397845">
        <w:rPr>
          <w:rFonts w:cs="Arial"/>
        </w:rPr>
        <w:t>.</w:t>
      </w:r>
      <w:r w:rsidR="00103E20">
        <w:rPr>
          <w:rFonts w:cs="Arial"/>
        </w:rPr>
        <w:t xml:space="preserve"> The online market is increasingly relevant for cosmetics</w:t>
      </w:r>
      <w:r w:rsidR="008F4293">
        <w:rPr>
          <w:rFonts w:cs="Arial"/>
        </w:rPr>
        <w:t>,</w:t>
      </w:r>
      <w:r w:rsidR="00103E20">
        <w:rPr>
          <w:rFonts w:cs="Arial"/>
        </w:rPr>
        <w:t xml:space="preserve"> accounting for 17</w:t>
      </w:r>
      <w:r w:rsidR="00EE44A7">
        <w:rPr>
          <w:rFonts w:cs="Arial"/>
        </w:rPr>
        <w:t xml:space="preserve"> per cent</w:t>
      </w:r>
      <w:r w:rsidR="00103E20">
        <w:rPr>
          <w:rFonts w:cs="Arial"/>
        </w:rPr>
        <w:t xml:space="preserve"> of revenue in 2018 and </w:t>
      </w:r>
      <w:r w:rsidR="00397845">
        <w:rPr>
          <w:rFonts w:cs="Arial"/>
        </w:rPr>
        <w:t>expected</w:t>
      </w:r>
      <w:r w:rsidR="00103E20">
        <w:rPr>
          <w:rFonts w:cs="Arial"/>
        </w:rPr>
        <w:t xml:space="preserve"> to </w:t>
      </w:r>
      <w:r w:rsidR="008F4293">
        <w:rPr>
          <w:rFonts w:cs="Arial"/>
        </w:rPr>
        <w:t>increase to</w:t>
      </w:r>
      <w:r w:rsidR="00103E20">
        <w:rPr>
          <w:rFonts w:cs="Arial"/>
        </w:rPr>
        <w:t xml:space="preserve"> 26</w:t>
      </w:r>
      <w:r w:rsidR="00EE44A7">
        <w:rPr>
          <w:rFonts w:cs="Arial"/>
        </w:rPr>
        <w:t xml:space="preserve"> per cent</w:t>
      </w:r>
      <w:r w:rsidR="00103E20">
        <w:rPr>
          <w:rFonts w:cs="Arial"/>
        </w:rPr>
        <w:t xml:space="preserve"> by 2023</w:t>
      </w:r>
      <w:r w:rsidR="00BD25EB">
        <w:rPr>
          <w:rFonts w:cs="Arial"/>
        </w:rPr>
        <w:t>.</w:t>
      </w:r>
      <w:r w:rsidR="00BD25EB">
        <w:rPr>
          <w:rStyle w:val="FootnoteReference"/>
          <w:rFonts w:cs="Arial"/>
        </w:rPr>
        <w:footnoteReference w:id="6"/>
      </w:r>
    </w:p>
    <w:p w14:paraId="2D4BAE7E" w14:textId="15B63886" w:rsidR="008119CF" w:rsidRDefault="00F01EDE" w:rsidP="00F01EDE">
      <w:pPr>
        <w:tabs>
          <w:tab w:val="left" w:pos="993"/>
        </w:tabs>
        <w:rPr>
          <w:rFonts w:cs="Arial"/>
        </w:rPr>
      </w:pPr>
      <w:r w:rsidRPr="00394215">
        <w:rPr>
          <w:rFonts w:cs="Arial"/>
        </w:rPr>
        <w:t>The</w:t>
      </w:r>
      <w:r w:rsidR="00EE3F1D">
        <w:rPr>
          <w:rFonts w:cs="Arial"/>
        </w:rPr>
        <w:t xml:space="preserve"> retail</w:t>
      </w:r>
      <w:r>
        <w:rPr>
          <w:rFonts w:cs="Arial"/>
        </w:rPr>
        <w:t xml:space="preserve"> cosmetic</w:t>
      </w:r>
      <w:r w:rsidR="00DA3CBA">
        <w:rPr>
          <w:rFonts w:cs="Arial"/>
        </w:rPr>
        <w:t>s</w:t>
      </w:r>
      <w:r>
        <w:rPr>
          <w:rFonts w:cs="Arial"/>
        </w:rPr>
        <w:t xml:space="preserve"> </w:t>
      </w:r>
      <w:r w:rsidRPr="00394215">
        <w:rPr>
          <w:rFonts w:cs="Arial"/>
        </w:rPr>
        <w:t xml:space="preserve">market can be divided into </w:t>
      </w:r>
      <w:r w:rsidR="008119CF">
        <w:rPr>
          <w:rFonts w:cs="Arial"/>
        </w:rPr>
        <w:t>six segments:</w:t>
      </w:r>
    </w:p>
    <w:p w14:paraId="112AAE17" w14:textId="559FE254" w:rsidR="008119CF" w:rsidRPr="008503D1" w:rsidRDefault="008119CF" w:rsidP="004C0CF7">
      <w:pPr>
        <w:pStyle w:val="ListParagraph"/>
        <w:numPr>
          <w:ilvl w:val="0"/>
          <w:numId w:val="68"/>
        </w:numPr>
        <w:tabs>
          <w:tab w:val="left" w:pos="993"/>
        </w:tabs>
        <w:rPr>
          <w:rFonts w:eastAsiaTheme="majorEastAsia" w:cs="Arial"/>
          <w:bCs/>
        </w:rPr>
      </w:pPr>
      <w:r>
        <w:rPr>
          <w:rFonts w:cs="Arial"/>
        </w:rPr>
        <w:t>Cosmetics (make-up, nail varnish, self-tanning products)</w:t>
      </w:r>
    </w:p>
    <w:p w14:paraId="0B20DE58" w14:textId="1E76F528" w:rsidR="008119CF" w:rsidRPr="008503D1" w:rsidRDefault="008119CF" w:rsidP="00904A64">
      <w:pPr>
        <w:pStyle w:val="ListParagraph"/>
        <w:numPr>
          <w:ilvl w:val="0"/>
          <w:numId w:val="68"/>
        </w:numPr>
        <w:tabs>
          <w:tab w:val="left" w:pos="993"/>
        </w:tabs>
        <w:rPr>
          <w:rFonts w:eastAsiaTheme="majorEastAsia" w:cs="Arial"/>
          <w:bCs/>
        </w:rPr>
      </w:pPr>
      <w:r>
        <w:rPr>
          <w:rFonts w:cs="Arial"/>
        </w:rPr>
        <w:t>Skin care (creams, lotions)</w:t>
      </w:r>
    </w:p>
    <w:p w14:paraId="408150BA" w14:textId="662F4EFE" w:rsidR="008119CF" w:rsidRPr="008503D1" w:rsidRDefault="008119CF" w:rsidP="00904A64">
      <w:pPr>
        <w:pStyle w:val="ListParagraph"/>
        <w:numPr>
          <w:ilvl w:val="0"/>
          <w:numId w:val="68"/>
        </w:numPr>
        <w:tabs>
          <w:tab w:val="left" w:pos="993"/>
        </w:tabs>
        <w:rPr>
          <w:rFonts w:eastAsiaTheme="majorEastAsia" w:cs="Arial"/>
          <w:bCs/>
        </w:rPr>
      </w:pPr>
      <w:r>
        <w:rPr>
          <w:rFonts w:cs="Arial"/>
        </w:rPr>
        <w:t>Personal hygiene (soaps, shower gels, bathing products, deodorants, shaving products)</w:t>
      </w:r>
    </w:p>
    <w:p w14:paraId="02E8E651" w14:textId="1ECEB8EB" w:rsidR="008119CF" w:rsidRPr="008503D1" w:rsidRDefault="008119CF" w:rsidP="00904A64">
      <w:pPr>
        <w:pStyle w:val="ListParagraph"/>
        <w:numPr>
          <w:ilvl w:val="0"/>
          <w:numId w:val="68"/>
        </w:numPr>
        <w:tabs>
          <w:tab w:val="left" w:pos="993"/>
        </w:tabs>
        <w:rPr>
          <w:rFonts w:eastAsiaTheme="majorEastAsia" w:cs="Arial"/>
          <w:bCs/>
        </w:rPr>
      </w:pPr>
      <w:r>
        <w:rPr>
          <w:rFonts w:cs="Arial"/>
        </w:rPr>
        <w:t>Hair care (shampoo, conditioner, hair spray, gel and dyes)</w:t>
      </w:r>
    </w:p>
    <w:p w14:paraId="03C2747F" w14:textId="16263C3B" w:rsidR="008119CF" w:rsidRPr="008503D1" w:rsidRDefault="008119CF" w:rsidP="00904A64">
      <w:pPr>
        <w:pStyle w:val="ListParagraph"/>
        <w:numPr>
          <w:ilvl w:val="0"/>
          <w:numId w:val="68"/>
        </w:numPr>
        <w:tabs>
          <w:tab w:val="left" w:pos="993"/>
        </w:tabs>
        <w:rPr>
          <w:rFonts w:eastAsiaTheme="majorEastAsia" w:cs="Arial"/>
          <w:bCs/>
        </w:rPr>
      </w:pPr>
      <w:r>
        <w:rPr>
          <w:rFonts w:cs="Arial"/>
        </w:rPr>
        <w:t xml:space="preserve">Fragrances (perfume and </w:t>
      </w:r>
      <w:r w:rsidR="000D7511">
        <w:rPr>
          <w:rFonts w:cs="Arial"/>
        </w:rPr>
        <w:t>e</w:t>
      </w:r>
      <w:r>
        <w:rPr>
          <w:rFonts w:cs="Arial"/>
        </w:rPr>
        <w:t xml:space="preserve">au de </w:t>
      </w:r>
      <w:r w:rsidR="000D7511">
        <w:rPr>
          <w:rFonts w:cs="Arial"/>
        </w:rPr>
        <w:t>t</w:t>
      </w:r>
      <w:r>
        <w:rPr>
          <w:rFonts w:cs="Arial"/>
        </w:rPr>
        <w:t>oilette)</w:t>
      </w:r>
    </w:p>
    <w:p w14:paraId="2B87B5BA" w14:textId="4F179455" w:rsidR="008119CF" w:rsidRPr="008503D1" w:rsidRDefault="008119CF" w:rsidP="00904A64">
      <w:pPr>
        <w:pStyle w:val="ListParagraph"/>
        <w:numPr>
          <w:ilvl w:val="0"/>
          <w:numId w:val="68"/>
        </w:numPr>
        <w:tabs>
          <w:tab w:val="left" w:pos="993"/>
        </w:tabs>
        <w:rPr>
          <w:rFonts w:eastAsiaTheme="majorEastAsia" w:cs="Arial"/>
          <w:bCs/>
        </w:rPr>
      </w:pPr>
      <w:r>
        <w:rPr>
          <w:rFonts w:cs="Arial"/>
        </w:rPr>
        <w:t>Oral care (toothpaste and mouth hygiene products).</w:t>
      </w:r>
    </w:p>
    <w:p w14:paraId="0226FF89" w14:textId="0B91E8AA" w:rsidR="007718AD" w:rsidRDefault="001857A8" w:rsidP="008503D1">
      <w:pPr>
        <w:tabs>
          <w:tab w:val="left" w:pos="993"/>
        </w:tabs>
        <w:rPr>
          <w:rFonts w:cs="Arial"/>
        </w:rPr>
      </w:pPr>
      <w:r w:rsidRPr="008503D1">
        <w:rPr>
          <w:rFonts w:cs="Arial"/>
        </w:rPr>
        <w:t xml:space="preserve">Some of the main suppliers </w:t>
      </w:r>
      <w:r w:rsidR="00A71D14">
        <w:rPr>
          <w:rFonts w:cs="Arial"/>
        </w:rPr>
        <w:t xml:space="preserve">of cosmetics </w:t>
      </w:r>
      <w:r w:rsidRPr="008503D1">
        <w:rPr>
          <w:rFonts w:cs="Arial"/>
        </w:rPr>
        <w:t>are active in all six markets, while others supply in only one of these markets.</w:t>
      </w:r>
      <w:r>
        <w:rPr>
          <w:rFonts w:cs="Arial"/>
        </w:rPr>
        <w:t xml:space="preserve"> Skin care represents the largest segment of the cosmetics market at 29 per cent, followed by hair care at 18 per cent.</w:t>
      </w:r>
    </w:p>
    <w:p w14:paraId="0DCB2390" w14:textId="30727A03" w:rsidR="00D95421" w:rsidRPr="008503D1" w:rsidRDefault="00D95421" w:rsidP="00D95421">
      <w:pPr>
        <w:tabs>
          <w:tab w:val="left" w:pos="993"/>
        </w:tabs>
        <w:spacing w:before="240"/>
        <w:rPr>
          <w:rFonts w:cs="Arial"/>
        </w:rPr>
      </w:pPr>
      <w:r>
        <w:rPr>
          <w:rFonts w:cs="Arial"/>
        </w:rPr>
        <w:lastRenderedPageBreak/>
        <w:t xml:space="preserve">The cosmetic industry has high competition and low concentration, with the top four players accounting for less than 15 per cent of </w:t>
      </w:r>
      <w:r w:rsidR="00A71D14">
        <w:rPr>
          <w:rFonts w:cs="Arial"/>
        </w:rPr>
        <w:t xml:space="preserve">total </w:t>
      </w:r>
      <w:r>
        <w:rPr>
          <w:rFonts w:cs="Arial"/>
        </w:rPr>
        <w:t>industry revenue.</w:t>
      </w:r>
      <w:r>
        <w:rPr>
          <w:rStyle w:val="FootnoteReference"/>
          <w:rFonts w:cs="Arial"/>
        </w:rPr>
        <w:footnoteReference w:id="7"/>
      </w:r>
      <w:r>
        <w:rPr>
          <w:rFonts w:cs="Arial"/>
        </w:rPr>
        <w:t xml:space="preserve"> International brand owner L’Oreal continues to lead the industry, followed by Unilever Australia, Procter &amp; Gamble and Colgate-Palmolive.</w:t>
      </w:r>
      <w:r>
        <w:rPr>
          <w:rStyle w:val="FootnoteReference"/>
          <w:rFonts w:cs="Arial"/>
        </w:rPr>
        <w:footnoteReference w:id="8"/>
      </w:r>
      <w:r>
        <w:rPr>
          <w:rFonts w:cs="Arial"/>
        </w:rPr>
        <w:t xml:space="preserve"> </w:t>
      </w:r>
      <w:r>
        <w:rPr>
          <w:rFonts w:eastAsiaTheme="majorEastAsia" w:cs="Arial"/>
          <w:bCs/>
        </w:rPr>
        <w:t>In Australia, imports are believed to account for over 70 per cent of domestic demand.</w:t>
      </w:r>
    </w:p>
    <w:p w14:paraId="550AF772" w14:textId="5AFCD059" w:rsidR="00966EB4" w:rsidRDefault="007718AD" w:rsidP="004C0CF7">
      <w:pPr>
        <w:tabs>
          <w:tab w:val="left" w:pos="993"/>
        </w:tabs>
        <w:jc w:val="center"/>
        <w:rPr>
          <w:rFonts w:eastAsiaTheme="majorEastAsia" w:cs="Arial"/>
          <w:bCs/>
        </w:rPr>
      </w:pPr>
      <w:r>
        <w:rPr>
          <w:rFonts w:eastAsiaTheme="majorEastAsia" w:cs="Arial"/>
          <w:bCs/>
          <w:noProof/>
          <w:lang w:eastAsia="en-AU"/>
        </w:rPr>
        <w:drawing>
          <wp:inline distT="0" distB="0" distL="0" distR="0" wp14:anchorId="0EC81EB1" wp14:editId="2E4E3642">
            <wp:extent cx="4447540" cy="3200400"/>
            <wp:effectExtent l="0" t="0" r="10160" b="0"/>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r>
        <w:rPr>
          <w:rStyle w:val="FootnoteReference"/>
          <w:rFonts w:eastAsiaTheme="majorEastAsia" w:cs="Arial"/>
          <w:bCs/>
        </w:rPr>
        <w:footnoteReference w:id="9"/>
      </w:r>
    </w:p>
    <w:p w14:paraId="5E9AC3B0" w14:textId="5EDAAD90" w:rsidR="00966EB4" w:rsidRDefault="00966EB4" w:rsidP="003359BE">
      <w:r>
        <w:t>According to analysis by IBISWorld, Australia’s cosmetics manufacturing industry is estimated to generate A</w:t>
      </w:r>
      <w:r w:rsidR="00C2345B">
        <w:t>UD</w:t>
      </w:r>
      <w:r>
        <w:t>$1.5 billion in revenue in 2018-19, with A</w:t>
      </w:r>
      <w:r w:rsidR="0035443B">
        <w:t>UD</w:t>
      </w:r>
      <w:r>
        <w:t xml:space="preserve">$970 million </w:t>
      </w:r>
      <w:r w:rsidR="00A50D89">
        <w:t>(64</w:t>
      </w:r>
      <w:r w:rsidR="00965895">
        <w:t xml:space="preserve"> per cent</w:t>
      </w:r>
      <w:r w:rsidR="00DD0CA8">
        <w:t xml:space="preserve">) </w:t>
      </w:r>
      <w:r w:rsidR="00A71D14">
        <w:t xml:space="preserve">of this </w:t>
      </w:r>
      <w:r>
        <w:t>derived from export earnings. The major Australian export markets include New Zealand, Hong Kong, China and the U</w:t>
      </w:r>
      <w:r w:rsidR="006904D1">
        <w:t xml:space="preserve">nited </w:t>
      </w:r>
      <w:r>
        <w:t>S</w:t>
      </w:r>
      <w:r w:rsidR="006904D1">
        <w:t>tates</w:t>
      </w:r>
      <w:r>
        <w:t>.</w:t>
      </w:r>
      <w:r w:rsidR="00672742">
        <w:rPr>
          <w:rStyle w:val="FootnoteReference"/>
        </w:rPr>
        <w:footnoteReference w:id="10"/>
      </w:r>
    </w:p>
    <w:p w14:paraId="2D567F8C" w14:textId="0A81B74D" w:rsidR="00A50D89" w:rsidRPr="003359BE" w:rsidRDefault="00C2345B" w:rsidP="003359BE">
      <w:r>
        <w:t>D</w:t>
      </w:r>
      <w:r w:rsidR="006178FD">
        <w:t>emand</w:t>
      </w:r>
      <w:r>
        <w:t xml:space="preserve"> for A</w:t>
      </w:r>
      <w:r w:rsidR="00DD0CA8">
        <w:t>ustralian manufactured cosmetics</w:t>
      </w:r>
      <w:r>
        <w:t xml:space="preserve"> is growing</w:t>
      </w:r>
      <w:r w:rsidR="00966EB4">
        <w:t xml:space="preserve"> </w:t>
      </w:r>
      <w:r w:rsidR="004C0CF7">
        <w:t xml:space="preserve">due to </w:t>
      </w:r>
      <w:r w:rsidR="00A50D89">
        <w:t>our</w:t>
      </w:r>
      <w:r w:rsidR="00966EB4">
        <w:t xml:space="preserve"> reputation for producing high quality products</w:t>
      </w:r>
      <w:r w:rsidR="006178FD">
        <w:t>.</w:t>
      </w:r>
      <w:r w:rsidR="006178FD" w:rsidRPr="006178FD">
        <w:rPr>
          <w:rFonts w:cs="Arial"/>
        </w:rPr>
        <w:t xml:space="preserve"> </w:t>
      </w:r>
      <w:r w:rsidR="004C0CF7">
        <w:t xml:space="preserve">Over the last five years, </w:t>
      </w:r>
      <w:r w:rsidR="00A71D14">
        <w:t xml:space="preserve">Australian </w:t>
      </w:r>
      <w:r w:rsidR="004C0CF7">
        <w:t>exports have grown by an average of 10 per cent per annum, making export</w:t>
      </w:r>
      <w:r w:rsidR="00A71D14">
        <w:t>s</w:t>
      </w:r>
      <w:r w:rsidR="004C0CF7">
        <w:t xml:space="preserve"> a key</w:t>
      </w:r>
      <w:r w:rsidR="003A3822">
        <w:t xml:space="preserve"> market for Australian cosmetic</w:t>
      </w:r>
      <w:r w:rsidR="004C0CF7">
        <w:t xml:space="preserve"> manufacturers. </w:t>
      </w:r>
      <w:r w:rsidR="004C0CF7">
        <w:rPr>
          <w:rFonts w:cs="Arial"/>
        </w:rPr>
        <w:t>Emergent</w:t>
      </w:r>
      <w:r w:rsidR="006178FD">
        <w:rPr>
          <w:rFonts w:cs="Arial"/>
        </w:rPr>
        <w:t xml:space="preserve"> environmental awareness has increased consumer demand for ethical products, </w:t>
      </w:r>
      <w:r w:rsidR="003A3822">
        <w:rPr>
          <w:rFonts w:cs="Arial"/>
        </w:rPr>
        <w:t>prompting</w:t>
      </w:r>
      <w:r w:rsidR="006178FD">
        <w:rPr>
          <w:rFonts w:cs="Arial"/>
        </w:rPr>
        <w:t xml:space="preserve"> manufacturers to</w:t>
      </w:r>
      <w:r>
        <w:rPr>
          <w:rFonts w:cs="Arial"/>
        </w:rPr>
        <w:t xml:space="preserve"> focus</w:t>
      </w:r>
      <w:r w:rsidR="006178FD">
        <w:rPr>
          <w:rFonts w:cs="Arial"/>
        </w:rPr>
        <w:t xml:space="preserve"> produc</w:t>
      </w:r>
      <w:r>
        <w:rPr>
          <w:rFonts w:cs="Arial"/>
        </w:rPr>
        <w:t>tion on</w:t>
      </w:r>
      <w:r w:rsidR="006178FD">
        <w:rPr>
          <w:rFonts w:cs="Arial"/>
        </w:rPr>
        <w:t xml:space="preserve"> natural, organic and chemical-free </w:t>
      </w:r>
      <w:r w:rsidR="004C0CF7">
        <w:rPr>
          <w:rFonts w:cs="Arial"/>
        </w:rPr>
        <w:t>cosmetics</w:t>
      </w:r>
      <w:r w:rsidR="006178FD">
        <w:rPr>
          <w:rFonts w:cs="Arial"/>
        </w:rPr>
        <w:t>.</w:t>
      </w:r>
      <w:r w:rsidR="006178FD">
        <w:rPr>
          <w:rStyle w:val="FootnoteReference"/>
          <w:rFonts w:cs="Arial"/>
        </w:rPr>
        <w:footnoteReference w:id="11"/>
      </w:r>
    </w:p>
    <w:p w14:paraId="6DAA0774" w14:textId="5621E3A6" w:rsidR="00A1346E" w:rsidRPr="006A7B5F" w:rsidRDefault="008E7798" w:rsidP="008503D1">
      <w:pPr>
        <w:pStyle w:val="Heading2"/>
        <w:rPr>
          <w:rFonts w:eastAsia="Times New Roman" w:cs="Times New Roman"/>
          <w:color w:val="51626F"/>
        </w:rPr>
      </w:pPr>
      <w:r w:rsidRPr="006A7B5F">
        <w:rPr>
          <w:rFonts w:eastAsia="Times New Roman" w:cs="Times New Roman"/>
          <w:color w:val="51626F"/>
        </w:rPr>
        <w:t>The information standard</w:t>
      </w:r>
    </w:p>
    <w:p w14:paraId="7B64E6F9" w14:textId="7EFF634E" w:rsidR="00852E4E" w:rsidRDefault="00852E4E" w:rsidP="00AC5BA1">
      <w:pPr>
        <w:tabs>
          <w:tab w:val="left" w:pos="993"/>
        </w:tabs>
        <w:spacing w:after="120"/>
        <w:rPr>
          <w:rFonts w:cs="Arial"/>
        </w:rPr>
      </w:pPr>
      <w:r>
        <w:rPr>
          <w:rFonts w:cs="Arial"/>
        </w:rPr>
        <w:t xml:space="preserve">Section 134 of the Australian Consumer Law </w:t>
      </w:r>
      <w:r w:rsidR="003F60B0">
        <w:rPr>
          <w:rFonts w:cs="Arial"/>
        </w:rPr>
        <w:t>(</w:t>
      </w:r>
      <w:r w:rsidR="003F60B0" w:rsidRPr="003F60B0">
        <w:rPr>
          <w:rFonts w:cs="Arial"/>
          <w:b/>
        </w:rPr>
        <w:t>ACL</w:t>
      </w:r>
      <w:r w:rsidR="003F60B0">
        <w:rPr>
          <w:rFonts w:cs="Arial"/>
        </w:rPr>
        <w:t xml:space="preserve">) </w:t>
      </w:r>
      <w:r>
        <w:rPr>
          <w:rFonts w:cs="Arial"/>
        </w:rPr>
        <w:t>provides that the Commonwealth Minister may make an information standard that makes provision about the content of information or require</w:t>
      </w:r>
      <w:r w:rsidR="003F60B0">
        <w:rPr>
          <w:rFonts w:cs="Arial"/>
        </w:rPr>
        <w:t>s</w:t>
      </w:r>
      <w:r>
        <w:rPr>
          <w:rFonts w:cs="Arial"/>
        </w:rPr>
        <w:t xml:space="preserve"> the provision of specified information about a </w:t>
      </w:r>
      <w:r w:rsidR="003F60B0">
        <w:rPr>
          <w:rFonts w:cs="Arial"/>
        </w:rPr>
        <w:t>product</w:t>
      </w:r>
      <w:r>
        <w:rPr>
          <w:rFonts w:cs="Arial"/>
        </w:rPr>
        <w:t xml:space="preserve"> or service. Unlike a safety standard, the Minister does not need to be satisfied that </w:t>
      </w:r>
      <w:r w:rsidR="007C11BB">
        <w:rPr>
          <w:rFonts w:cs="Arial"/>
        </w:rPr>
        <w:t>an information</w:t>
      </w:r>
      <w:r>
        <w:rPr>
          <w:rFonts w:cs="Arial"/>
        </w:rPr>
        <w:t xml:space="preserve"> standard is reasonably necessary to prevent or reduce the risk of injury to a person. </w:t>
      </w:r>
    </w:p>
    <w:p w14:paraId="48746D83" w14:textId="7C30E8EE" w:rsidR="00AD1CD7" w:rsidRDefault="002256F5" w:rsidP="00AC5BA1">
      <w:pPr>
        <w:tabs>
          <w:tab w:val="left" w:pos="993"/>
        </w:tabs>
        <w:spacing w:after="120"/>
        <w:rPr>
          <w:rFonts w:eastAsiaTheme="majorEastAsia" w:cs="Arial"/>
          <w:bCs/>
        </w:rPr>
      </w:pPr>
      <w:r>
        <w:rPr>
          <w:rFonts w:cs="Arial"/>
        </w:rPr>
        <w:lastRenderedPageBreak/>
        <w:t>The</w:t>
      </w:r>
      <w:r w:rsidR="00C12712">
        <w:rPr>
          <w:rFonts w:cs="Arial"/>
        </w:rPr>
        <w:t xml:space="preserve"> information</w:t>
      </w:r>
      <w:r>
        <w:rPr>
          <w:rFonts w:cs="Arial"/>
        </w:rPr>
        <w:t xml:space="preserve"> standard defines </w:t>
      </w:r>
      <w:r w:rsidR="004F722A">
        <w:rPr>
          <w:rFonts w:cs="Arial"/>
        </w:rPr>
        <w:t>c</w:t>
      </w:r>
      <w:r w:rsidR="00126288" w:rsidRPr="00D12804">
        <w:rPr>
          <w:rFonts w:cs="Arial"/>
        </w:rPr>
        <w:t xml:space="preserve">osmetic products </w:t>
      </w:r>
      <w:r w:rsidR="00EC7463">
        <w:rPr>
          <w:rFonts w:eastAsiaTheme="majorEastAsia" w:cs="Arial"/>
          <w:bCs/>
        </w:rPr>
        <w:t xml:space="preserve">as </w:t>
      </w:r>
      <w:r w:rsidR="00126288" w:rsidRPr="00D12804">
        <w:rPr>
          <w:rFonts w:eastAsiaTheme="majorEastAsia" w:cs="Arial"/>
          <w:bCs/>
        </w:rPr>
        <w:t>substances or preparations intended for placement in contact with any external part of the body, including the mouth</w:t>
      </w:r>
      <w:r w:rsidR="006127DE">
        <w:rPr>
          <w:rFonts w:eastAsiaTheme="majorEastAsia" w:cs="Arial"/>
          <w:bCs/>
        </w:rPr>
        <w:t xml:space="preserve"> and teeth, for the purpose of:</w:t>
      </w:r>
    </w:p>
    <w:p w14:paraId="5740469B" w14:textId="77777777" w:rsidR="006127DE" w:rsidRPr="006127DE" w:rsidRDefault="006127DE" w:rsidP="00D1656D">
      <w:pPr>
        <w:pStyle w:val="ListParagraph"/>
        <w:numPr>
          <w:ilvl w:val="0"/>
          <w:numId w:val="46"/>
        </w:numPr>
        <w:spacing w:before="0" w:after="120"/>
        <w:rPr>
          <w:rFonts w:cs="Arial"/>
        </w:rPr>
      </w:pPr>
      <w:r w:rsidRPr="00D1656D">
        <w:rPr>
          <w:rFonts w:cs="Arial"/>
        </w:rPr>
        <w:t>altering the odours</w:t>
      </w:r>
    </w:p>
    <w:p w14:paraId="66441080" w14:textId="77777777" w:rsidR="006127DE" w:rsidRPr="006127DE" w:rsidRDefault="006127DE" w:rsidP="00D1656D">
      <w:pPr>
        <w:pStyle w:val="ListParagraph"/>
        <w:numPr>
          <w:ilvl w:val="0"/>
          <w:numId w:val="46"/>
        </w:numPr>
        <w:spacing w:before="0" w:after="120"/>
        <w:rPr>
          <w:rFonts w:cs="Arial"/>
        </w:rPr>
      </w:pPr>
      <w:r w:rsidRPr="00D1656D">
        <w:rPr>
          <w:rFonts w:cs="Arial"/>
        </w:rPr>
        <w:t>changing the appearance</w:t>
      </w:r>
    </w:p>
    <w:p w14:paraId="3D2A6711" w14:textId="670161D4" w:rsidR="006127DE" w:rsidRPr="006127DE" w:rsidRDefault="006127DE" w:rsidP="00D1656D">
      <w:pPr>
        <w:pStyle w:val="ListParagraph"/>
        <w:numPr>
          <w:ilvl w:val="0"/>
          <w:numId w:val="46"/>
        </w:numPr>
        <w:spacing w:before="0" w:after="120"/>
        <w:rPr>
          <w:rFonts w:cs="Arial"/>
        </w:rPr>
      </w:pPr>
      <w:r w:rsidRPr="00D1656D">
        <w:rPr>
          <w:rFonts w:cs="Arial"/>
        </w:rPr>
        <w:t>cleansing</w:t>
      </w:r>
    </w:p>
    <w:p w14:paraId="5A3A7336" w14:textId="77777777" w:rsidR="006127DE" w:rsidRPr="006127DE" w:rsidRDefault="006127DE" w:rsidP="00D1656D">
      <w:pPr>
        <w:pStyle w:val="ListParagraph"/>
        <w:numPr>
          <w:ilvl w:val="0"/>
          <w:numId w:val="46"/>
        </w:numPr>
        <w:spacing w:before="0" w:after="120"/>
        <w:rPr>
          <w:rFonts w:cs="Arial"/>
        </w:rPr>
      </w:pPr>
      <w:r w:rsidRPr="00D1656D">
        <w:rPr>
          <w:rFonts w:cs="Arial"/>
        </w:rPr>
        <w:t>maintaining</w:t>
      </w:r>
    </w:p>
    <w:p w14:paraId="143D14AE" w14:textId="1A54CFFC" w:rsidR="006127DE" w:rsidRPr="006127DE" w:rsidRDefault="00F97390" w:rsidP="00D1656D">
      <w:pPr>
        <w:pStyle w:val="ListParagraph"/>
        <w:numPr>
          <w:ilvl w:val="0"/>
          <w:numId w:val="46"/>
        </w:numPr>
        <w:spacing w:before="0" w:after="120"/>
        <w:rPr>
          <w:rFonts w:cs="Arial"/>
        </w:rPr>
      </w:pPr>
      <w:r>
        <w:rPr>
          <w:rFonts w:cs="Arial"/>
        </w:rPr>
        <w:t>perfuming</w:t>
      </w:r>
    </w:p>
    <w:p w14:paraId="0201BDEC" w14:textId="0C8091AF" w:rsidR="00E5211B" w:rsidRPr="00CD590B" w:rsidRDefault="00126288" w:rsidP="00D1656D">
      <w:pPr>
        <w:pStyle w:val="ListParagraph"/>
        <w:numPr>
          <w:ilvl w:val="0"/>
          <w:numId w:val="46"/>
        </w:numPr>
        <w:spacing w:before="0" w:after="120"/>
        <w:rPr>
          <w:rFonts w:cs="Arial"/>
        </w:rPr>
      </w:pPr>
      <w:r w:rsidRPr="00CD590B">
        <w:rPr>
          <w:rFonts w:cs="Arial"/>
        </w:rPr>
        <w:t>protecting the body</w:t>
      </w:r>
      <w:r w:rsidR="000C4A8B" w:rsidRPr="00CD590B">
        <w:rPr>
          <w:rFonts w:cs="Arial"/>
        </w:rPr>
        <w:t>.</w:t>
      </w:r>
    </w:p>
    <w:p w14:paraId="1046E748" w14:textId="40741948" w:rsidR="0093163D" w:rsidRPr="0035002B" w:rsidRDefault="00E5211B" w:rsidP="001E6247">
      <w:pPr>
        <w:pStyle w:val="Heading3"/>
        <w:spacing w:before="200"/>
        <w:rPr>
          <w:rFonts w:cs="Arial"/>
          <w:b w:val="0"/>
          <w:sz w:val="22"/>
        </w:rPr>
      </w:pPr>
      <w:bookmarkStart w:id="14" w:name="_Toc534613879"/>
      <w:r w:rsidRPr="00CD590B">
        <w:rPr>
          <w:rFonts w:cs="Arial"/>
          <w:b w:val="0"/>
          <w:sz w:val="22"/>
        </w:rPr>
        <w:t>The</w:t>
      </w:r>
      <w:r w:rsidR="00C12712">
        <w:rPr>
          <w:rFonts w:cs="Arial"/>
          <w:b w:val="0"/>
          <w:sz w:val="22"/>
        </w:rPr>
        <w:t xml:space="preserve"> information</w:t>
      </w:r>
      <w:r w:rsidRPr="00CD590B">
        <w:rPr>
          <w:rFonts w:cs="Arial"/>
          <w:b w:val="0"/>
          <w:sz w:val="22"/>
        </w:rPr>
        <w:t xml:space="preserve"> standard </w:t>
      </w:r>
      <w:r w:rsidR="00B92016" w:rsidRPr="00CD590B">
        <w:rPr>
          <w:rFonts w:cs="Arial"/>
          <w:b w:val="0"/>
          <w:sz w:val="22"/>
        </w:rPr>
        <w:t xml:space="preserve">applies to a broad range of </w:t>
      </w:r>
      <w:r w:rsidRPr="00CD590B">
        <w:rPr>
          <w:rFonts w:cs="Arial"/>
          <w:b w:val="0"/>
          <w:sz w:val="22"/>
        </w:rPr>
        <w:t>products</w:t>
      </w:r>
      <w:r w:rsidR="00B92016" w:rsidRPr="00CD590B">
        <w:rPr>
          <w:rFonts w:cs="Arial"/>
          <w:b w:val="0"/>
          <w:sz w:val="22"/>
        </w:rPr>
        <w:t xml:space="preserve"> including</w:t>
      </w:r>
      <w:r w:rsidR="000533A3">
        <w:rPr>
          <w:rFonts w:cs="Arial"/>
          <w:b w:val="0"/>
          <w:sz w:val="22"/>
        </w:rPr>
        <w:t>:</w:t>
      </w:r>
      <w:r w:rsidR="00B92016" w:rsidRPr="00CD590B">
        <w:rPr>
          <w:rFonts w:cs="Arial"/>
          <w:b w:val="0"/>
          <w:sz w:val="22"/>
        </w:rPr>
        <w:t xml:space="preserve"> </w:t>
      </w:r>
      <w:r w:rsidR="0092078A" w:rsidRPr="00CD590B">
        <w:rPr>
          <w:rFonts w:cs="Arial"/>
          <w:b w:val="0"/>
          <w:sz w:val="22"/>
        </w:rPr>
        <w:t xml:space="preserve">makeup, </w:t>
      </w:r>
      <w:r w:rsidRPr="00CD590B">
        <w:rPr>
          <w:rFonts w:cs="Arial"/>
          <w:b w:val="0"/>
          <w:sz w:val="22"/>
        </w:rPr>
        <w:t xml:space="preserve">face </w:t>
      </w:r>
      <w:r w:rsidR="0092078A" w:rsidRPr="00CD590B">
        <w:rPr>
          <w:rFonts w:cs="Arial"/>
          <w:b w:val="0"/>
          <w:sz w:val="22"/>
        </w:rPr>
        <w:t>creams,</w:t>
      </w:r>
      <w:r w:rsidRPr="00CD590B">
        <w:rPr>
          <w:rFonts w:cs="Arial"/>
          <w:b w:val="0"/>
          <w:sz w:val="22"/>
        </w:rPr>
        <w:t xml:space="preserve"> </w:t>
      </w:r>
      <w:r w:rsidR="00855CBC">
        <w:rPr>
          <w:rFonts w:cs="Arial"/>
          <w:b w:val="0"/>
          <w:sz w:val="22"/>
        </w:rPr>
        <w:t xml:space="preserve">depilatories, shaving creams, hand wash, </w:t>
      </w:r>
      <w:r w:rsidRPr="00CD590B">
        <w:rPr>
          <w:rFonts w:cs="Arial"/>
          <w:b w:val="0"/>
          <w:sz w:val="22"/>
        </w:rPr>
        <w:t>body lotions,</w:t>
      </w:r>
      <w:r w:rsidR="0092078A" w:rsidRPr="00CD590B">
        <w:rPr>
          <w:rFonts w:cs="Arial"/>
          <w:b w:val="0"/>
          <w:sz w:val="22"/>
        </w:rPr>
        <w:t xml:space="preserve"> </w:t>
      </w:r>
      <w:r w:rsidR="00B92016" w:rsidRPr="00CD590B">
        <w:rPr>
          <w:rFonts w:cs="Arial"/>
          <w:b w:val="0"/>
          <w:sz w:val="22"/>
        </w:rPr>
        <w:t>hair dyes</w:t>
      </w:r>
      <w:r w:rsidR="00026205" w:rsidRPr="00CD590B">
        <w:rPr>
          <w:rFonts w:cs="Arial"/>
          <w:b w:val="0"/>
          <w:sz w:val="22"/>
        </w:rPr>
        <w:t>, fragrances</w:t>
      </w:r>
      <w:r w:rsidRPr="00CD590B">
        <w:rPr>
          <w:rFonts w:cs="Arial"/>
          <w:b w:val="0"/>
          <w:sz w:val="22"/>
        </w:rPr>
        <w:t>,</w:t>
      </w:r>
      <w:r w:rsidR="00026205" w:rsidRPr="00CD590B">
        <w:rPr>
          <w:rFonts w:cs="Arial"/>
          <w:b w:val="0"/>
          <w:sz w:val="22"/>
        </w:rPr>
        <w:t xml:space="preserve"> </w:t>
      </w:r>
      <w:r w:rsidRPr="00CD590B">
        <w:rPr>
          <w:rFonts w:cs="Arial"/>
          <w:b w:val="0"/>
          <w:sz w:val="22"/>
        </w:rPr>
        <w:t xml:space="preserve">and </w:t>
      </w:r>
      <w:r w:rsidR="00B92016" w:rsidRPr="00CD590B">
        <w:rPr>
          <w:rFonts w:cs="Arial"/>
          <w:b w:val="0"/>
          <w:sz w:val="22"/>
        </w:rPr>
        <w:t>toiletries</w:t>
      </w:r>
      <w:r w:rsidR="00740CC3" w:rsidRPr="00CD590B">
        <w:rPr>
          <w:rFonts w:cs="Arial"/>
          <w:b w:val="0"/>
          <w:sz w:val="22"/>
        </w:rPr>
        <w:t xml:space="preserve"> </w:t>
      </w:r>
      <w:r w:rsidR="007E03B1">
        <w:rPr>
          <w:rFonts w:cs="Arial"/>
          <w:b w:val="0"/>
          <w:sz w:val="22"/>
        </w:rPr>
        <w:t>such as</w:t>
      </w:r>
      <w:r w:rsidR="007E03B1" w:rsidRPr="00CD590B">
        <w:rPr>
          <w:rFonts w:cs="Arial"/>
          <w:b w:val="0"/>
          <w:sz w:val="22"/>
        </w:rPr>
        <w:t xml:space="preserve"> </w:t>
      </w:r>
      <w:r w:rsidR="0092078A" w:rsidRPr="00CD590B">
        <w:rPr>
          <w:rFonts w:cs="Arial"/>
          <w:b w:val="0"/>
          <w:sz w:val="22"/>
        </w:rPr>
        <w:t>deodorant</w:t>
      </w:r>
      <w:r w:rsidR="00740CC3" w:rsidRPr="00CD590B">
        <w:rPr>
          <w:rFonts w:cs="Arial"/>
          <w:b w:val="0"/>
          <w:sz w:val="22"/>
        </w:rPr>
        <w:t xml:space="preserve"> and toothpaste</w:t>
      </w:r>
      <w:r w:rsidRPr="00CD590B">
        <w:rPr>
          <w:rFonts w:cs="Arial"/>
          <w:b w:val="0"/>
          <w:sz w:val="22"/>
        </w:rPr>
        <w:t xml:space="preserve">. </w:t>
      </w:r>
      <w:r w:rsidR="002256F5">
        <w:rPr>
          <w:rFonts w:cs="Arial"/>
          <w:b w:val="0"/>
          <w:sz w:val="22"/>
        </w:rPr>
        <w:t xml:space="preserve">It also applies to </w:t>
      </w:r>
      <w:r w:rsidR="00740CC3" w:rsidRPr="00CD590B">
        <w:rPr>
          <w:rFonts w:cs="Arial"/>
          <w:b w:val="0"/>
          <w:sz w:val="22"/>
        </w:rPr>
        <w:t>products</w:t>
      </w:r>
      <w:r w:rsidR="007E03B1">
        <w:rPr>
          <w:rFonts w:cs="Arial"/>
          <w:b w:val="0"/>
          <w:sz w:val="22"/>
        </w:rPr>
        <w:t xml:space="preserve"> that </w:t>
      </w:r>
      <w:r w:rsidR="002256F5">
        <w:rPr>
          <w:rFonts w:cs="Arial"/>
          <w:b w:val="0"/>
          <w:sz w:val="22"/>
        </w:rPr>
        <w:t xml:space="preserve">may </w:t>
      </w:r>
      <w:r w:rsidR="007E03B1">
        <w:rPr>
          <w:rFonts w:cs="Arial"/>
          <w:b w:val="0"/>
          <w:sz w:val="22"/>
        </w:rPr>
        <w:t>not generally be considered cosmetics, for example</w:t>
      </w:r>
      <w:r w:rsidR="00740CC3" w:rsidRPr="00CD590B">
        <w:rPr>
          <w:rFonts w:cs="Arial"/>
          <w:b w:val="0"/>
          <w:sz w:val="22"/>
        </w:rPr>
        <w:t xml:space="preserve"> </w:t>
      </w:r>
      <w:r w:rsidR="007D2FE0" w:rsidRPr="00CD590B">
        <w:rPr>
          <w:rFonts w:cs="Arial"/>
          <w:b w:val="0"/>
          <w:sz w:val="22"/>
        </w:rPr>
        <w:t xml:space="preserve">hygienic wipes, </w:t>
      </w:r>
      <w:r w:rsidR="007E03B1">
        <w:rPr>
          <w:rFonts w:cs="Arial"/>
          <w:b w:val="0"/>
          <w:sz w:val="22"/>
        </w:rPr>
        <w:t xml:space="preserve">false nails and eyelashes, </w:t>
      </w:r>
      <w:r w:rsidR="002D1DCF">
        <w:rPr>
          <w:rFonts w:cs="Arial"/>
          <w:b w:val="0"/>
          <w:sz w:val="22"/>
        </w:rPr>
        <w:t>temporary tattoos, and</w:t>
      </w:r>
      <w:r w:rsidR="0092078A" w:rsidRPr="00CD590B">
        <w:rPr>
          <w:rFonts w:cs="Arial"/>
          <w:b w:val="0"/>
          <w:sz w:val="22"/>
        </w:rPr>
        <w:t xml:space="preserve"> </w:t>
      </w:r>
      <w:r w:rsidR="00026205" w:rsidRPr="00CD590B">
        <w:rPr>
          <w:rFonts w:cs="Arial"/>
          <w:b w:val="0"/>
          <w:sz w:val="22"/>
        </w:rPr>
        <w:t xml:space="preserve">children’s </w:t>
      </w:r>
      <w:r w:rsidR="0092078A" w:rsidRPr="00CD590B">
        <w:rPr>
          <w:rFonts w:cs="Arial"/>
          <w:b w:val="0"/>
          <w:sz w:val="22"/>
        </w:rPr>
        <w:t>face paints</w:t>
      </w:r>
      <w:r w:rsidR="002256F5">
        <w:rPr>
          <w:rFonts w:cs="Arial"/>
          <w:b w:val="0"/>
          <w:sz w:val="22"/>
        </w:rPr>
        <w:t>.</w:t>
      </w:r>
      <w:r w:rsidR="00F63148">
        <w:rPr>
          <w:rFonts w:cs="Arial"/>
          <w:b w:val="0"/>
          <w:sz w:val="22"/>
        </w:rPr>
        <w:t xml:space="preserve"> </w:t>
      </w:r>
      <w:r w:rsidR="007E03B1">
        <w:rPr>
          <w:rFonts w:cs="Arial"/>
          <w:b w:val="0"/>
          <w:sz w:val="22"/>
        </w:rPr>
        <w:t>S</w:t>
      </w:r>
      <w:r w:rsidR="000818D4" w:rsidRPr="00CD590B">
        <w:rPr>
          <w:rFonts w:cs="Arial"/>
          <w:b w:val="0"/>
          <w:sz w:val="22"/>
        </w:rPr>
        <w:t xml:space="preserve">unscreens with a </w:t>
      </w:r>
      <w:r w:rsidR="009367D9">
        <w:rPr>
          <w:rFonts w:cs="Arial"/>
          <w:b w:val="0"/>
          <w:sz w:val="22"/>
        </w:rPr>
        <w:t>sun protection f</w:t>
      </w:r>
      <w:r w:rsidR="00117EBF">
        <w:rPr>
          <w:rFonts w:cs="Arial"/>
          <w:b w:val="0"/>
          <w:sz w:val="22"/>
        </w:rPr>
        <w:t>actor (</w:t>
      </w:r>
      <w:r w:rsidR="000818D4" w:rsidRPr="007E03B1">
        <w:rPr>
          <w:rFonts w:cs="Arial"/>
          <w:sz w:val="22"/>
        </w:rPr>
        <w:t>SPF</w:t>
      </w:r>
      <w:r w:rsidR="00117EBF">
        <w:rPr>
          <w:rFonts w:cs="Arial"/>
          <w:b w:val="0"/>
          <w:sz w:val="22"/>
        </w:rPr>
        <w:t>)</w:t>
      </w:r>
      <w:r w:rsidR="000818D4" w:rsidRPr="00CD590B">
        <w:rPr>
          <w:rFonts w:cs="Arial"/>
          <w:b w:val="0"/>
          <w:sz w:val="22"/>
        </w:rPr>
        <w:t xml:space="preserve"> </w:t>
      </w:r>
      <w:r w:rsidR="008305C0" w:rsidRPr="00CD590B">
        <w:rPr>
          <w:rFonts w:cs="Arial"/>
          <w:b w:val="0"/>
          <w:sz w:val="22"/>
        </w:rPr>
        <w:t>rating</w:t>
      </w:r>
      <w:r w:rsidR="008305C0">
        <w:rPr>
          <w:rFonts w:cs="Arial"/>
          <w:b w:val="0"/>
          <w:sz w:val="22"/>
        </w:rPr>
        <w:t xml:space="preserve"> of</w:t>
      </w:r>
      <w:r w:rsidR="00D73F31">
        <w:rPr>
          <w:rFonts w:cs="Arial"/>
          <w:b w:val="0"/>
          <w:sz w:val="22"/>
        </w:rPr>
        <w:t xml:space="preserve"> four</w:t>
      </w:r>
      <w:r w:rsidR="00117EBF">
        <w:rPr>
          <w:rFonts w:cs="Arial"/>
          <w:b w:val="0"/>
          <w:sz w:val="22"/>
        </w:rPr>
        <w:t xml:space="preserve"> and under</w:t>
      </w:r>
      <w:r w:rsidR="00117EBF" w:rsidRPr="00CD590B">
        <w:rPr>
          <w:rFonts w:cs="Arial"/>
          <w:b w:val="0"/>
          <w:sz w:val="22"/>
        </w:rPr>
        <w:t xml:space="preserve"> </w:t>
      </w:r>
      <w:r w:rsidR="00F331B2" w:rsidRPr="00CD590B">
        <w:rPr>
          <w:rFonts w:cs="Arial"/>
          <w:b w:val="0"/>
          <w:sz w:val="22"/>
        </w:rPr>
        <w:t xml:space="preserve">are </w:t>
      </w:r>
      <w:r w:rsidR="00F63148">
        <w:rPr>
          <w:rFonts w:cs="Arial"/>
          <w:b w:val="0"/>
          <w:sz w:val="22"/>
        </w:rPr>
        <w:t xml:space="preserve">also </w:t>
      </w:r>
      <w:r w:rsidR="00C2345B">
        <w:rPr>
          <w:rFonts w:cs="Arial"/>
          <w:b w:val="0"/>
          <w:sz w:val="22"/>
        </w:rPr>
        <w:t>regulated as a</w:t>
      </w:r>
      <w:r w:rsidR="00117EBF">
        <w:rPr>
          <w:rFonts w:cs="Arial"/>
          <w:b w:val="0"/>
          <w:sz w:val="22"/>
        </w:rPr>
        <w:t xml:space="preserve"> cosmetic</w:t>
      </w:r>
      <w:r w:rsidR="00C2345B">
        <w:rPr>
          <w:rFonts w:cs="Arial"/>
          <w:b w:val="0"/>
          <w:sz w:val="22"/>
        </w:rPr>
        <w:t xml:space="preserve"> product</w:t>
      </w:r>
      <w:r w:rsidR="00DD0CA8">
        <w:rPr>
          <w:rFonts w:cs="Arial"/>
          <w:b w:val="0"/>
          <w:sz w:val="22"/>
        </w:rPr>
        <w:t xml:space="preserve"> and</w:t>
      </w:r>
      <w:r w:rsidR="00117EBF">
        <w:rPr>
          <w:rFonts w:cs="Arial"/>
          <w:b w:val="0"/>
          <w:sz w:val="22"/>
        </w:rPr>
        <w:t xml:space="preserve"> </w:t>
      </w:r>
      <w:r w:rsidR="00364261">
        <w:rPr>
          <w:rFonts w:cs="Arial"/>
          <w:b w:val="0"/>
          <w:sz w:val="22"/>
        </w:rPr>
        <w:t xml:space="preserve">subject to ingredient </w:t>
      </w:r>
      <w:r w:rsidR="00F331B2" w:rsidRPr="00CD590B">
        <w:rPr>
          <w:rFonts w:cs="Arial"/>
          <w:b w:val="0"/>
          <w:sz w:val="22"/>
        </w:rPr>
        <w:t>labelling requirements</w:t>
      </w:r>
      <w:r w:rsidR="0092078A" w:rsidRPr="00CD590B">
        <w:rPr>
          <w:rFonts w:cs="Arial"/>
          <w:b w:val="0"/>
          <w:sz w:val="22"/>
        </w:rPr>
        <w:t>.</w:t>
      </w:r>
      <w:bookmarkEnd w:id="14"/>
      <w:r w:rsidR="005B0065" w:rsidRPr="001C3798">
        <w:rPr>
          <w:rStyle w:val="FootnoteReference"/>
          <w:rFonts w:eastAsiaTheme="minorHAnsi" w:cs="Arial"/>
          <w:b w:val="0"/>
          <w:bCs w:val="0"/>
          <w:color w:val="auto"/>
          <w:sz w:val="18"/>
          <w:szCs w:val="18"/>
        </w:rPr>
        <w:footnoteReference w:id="12"/>
      </w:r>
      <w:r w:rsidR="0035002B">
        <w:rPr>
          <w:rFonts w:cs="Arial"/>
          <w:b w:val="0"/>
          <w:sz w:val="22"/>
        </w:rPr>
        <w:t xml:space="preserve"> The information standard does not apply to</w:t>
      </w:r>
      <w:r w:rsidR="00C2345B">
        <w:rPr>
          <w:rFonts w:cs="Arial"/>
          <w:b w:val="0"/>
          <w:sz w:val="22"/>
        </w:rPr>
        <w:t xml:space="preserve"> product categories including</w:t>
      </w:r>
      <w:r w:rsidR="00DD0CA8">
        <w:rPr>
          <w:rFonts w:cs="Arial"/>
          <w:b w:val="0"/>
          <w:sz w:val="22"/>
        </w:rPr>
        <w:t xml:space="preserve"> </w:t>
      </w:r>
      <w:r w:rsidR="00F535CE">
        <w:rPr>
          <w:rFonts w:cs="Arial"/>
          <w:b w:val="0"/>
          <w:sz w:val="22"/>
        </w:rPr>
        <w:t>cosmetic samples and testers, or</w:t>
      </w:r>
      <w:r w:rsidR="0035002B">
        <w:rPr>
          <w:rFonts w:cs="Arial"/>
          <w:b w:val="0"/>
          <w:sz w:val="22"/>
        </w:rPr>
        <w:t xml:space="preserve"> therapeutic goods within the meaning of the </w:t>
      </w:r>
      <w:r w:rsidR="0035002B">
        <w:rPr>
          <w:rFonts w:cs="Arial"/>
          <w:b w:val="0"/>
          <w:i/>
          <w:sz w:val="22"/>
        </w:rPr>
        <w:t>Therapeutic Goods Act 1989</w:t>
      </w:r>
      <w:r w:rsidR="00F535CE">
        <w:rPr>
          <w:rFonts w:cs="Arial"/>
          <w:b w:val="0"/>
          <w:i/>
          <w:sz w:val="22"/>
        </w:rPr>
        <w:t>.</w:t>
      </w:r>
    </w:p>
    <w:p w14:paraId="7F6E4E46" w14:textId="72799BFE" w:rsidR="0093163D" w:rsidRDefault="00022A5B" w:rsidP="001E6247">
      <w:pPr>
        <w:spacing w:line="220" w:lineRule="atLeast"/>
        <w:rPr>
          <w:rFonts w:cs="Arial"/>
        </w:rPr>
      </w:pPr>
      <w:r>
        <w:rPr>
          <w:rFonts w:cs="Arial"/>
        </w:rPr>
        <w:t>C</w:t>
      </w:r>
      <w:r w:rsidR="006127DE" w:rsidRPr="00CD590B">
        <w:rPr>
          <w:rFonts w:cs="Arial"/>
        </w:rPr>
        <w:t xml:space="preserve">osmetic products </w:t>
      </w:r>
      <w:r>
        <w:rPr>
          <w:rFonts w:cs="Arial"/>
        </w:rPr>
        <w:t xml:space="preserve">are required </w:t>
      </w:r>
      <w:r w:rsidR="004F722A">
        <w:rPr>
          <w:rFonts w:cs="Arial"/>
        </w:rPr>
        <w:t>to</w:t>
      </w:r>
      <w:r w:rsidR="004F722A" w:rsidRPr="00CD590B">
        <w:rPr>
          <w:rFonts w:cs="Arial"/>
        </w:rPr>
        <w:t xml:space="preserve"> </w:t>
      </w:r>
      <w:r w:rsidR="003269FF" w:rsidRPr="00CD590B">
        <w:rPr>
          <w:rFonts w:cs="Arial"/>
        </w:rPr>
        <w:t>display</w:t>
      </w:r>
      <w:r w:rsidR="006127DE" w:rsidRPr="00CD590B">
        <w:rPr>
          <w:rFonts w:cs="Arial"/>
        </w:rPr>
        <w:t xml:space="preserve"> </w:t>
      </w:r>
      <w:r w:rsidR="005321C0">
        <w:rPr>
          <w:rFonts w:cs="Arial"/>
        </w:rPr>
        <w:t xml:space="preserve">a list of </w:t>
      </w:r>
      <w:r w:rsidR="006127DE" w:rsidRPr="00CD590B">
        <w:rPr>
          <w:rFonts w:cs="Arial"/>
        </w:rPr>
        <w:t>ingredient</w:t>
      </w:r>
      <w:r w:rsidR="009304AB">
        <w:rPr>
          <w:rFonts w:cs="Arial"/>
        </w:rPr>
        <w:t>s</w:t>
      </w:r>
      <w:r w:rsidR="008B3B1B">
        <w:rPr>
          <w:rFonts w:cs="Arial"/>
        </w:rPr>
        <w:t xml:space="preserve"> </w:t>
      </w:r>
      <w:r w:rsidR="006127DE" w:rsidRPr="00CD590B">
        <w:rPr>
          <w:rFonts w:cs="Arial"/>
        </w:rPr>
        <w:t>on the product’s container or on the product itself</w:t>
      </w:r>
      <w:r w:rsidR="00D04782">
        <w:rPr>
          <w:rFonts w:cs="Arial"/>
        </w:rPr>
        <w:t xml:space="preserve">. </w:t>
      </w:r>
      <w:r w:rsidR="0093163D">
        <w:rPr>
          <w:rFonts w:cs="Arial"/>
        </w:rPr>
        <w:t xml:space="preserve">Where the container or product is of a size, shape or nature that prevents this, the information must be shown in </w:t>
      </w:r>
      <w:r w:rsidR="0093163D" w:rsidRPr="006033E7">
        <w:rPr>
          <w:rFonts w:cs="Arial"/>
        </w:rPr>
        <w:t>another way</w:t>
      </w:r>
      <w:r w:rsidR="00F65D88" w:rsidRPr="006033E7">
        <w:rPr>
          <w:rFonts w:cs="Arial"/>
        </w:rPr>
        <w:t xml:space="preserve"> to</w:t>
      </w:r>
      <w:r w:rsidR="00C2345B" w:rsidRPr="006033E7">
        <w:rPr>
          <w:rFonts w:cs="Arial"/>
        </w:rPr>
        <w:t xml:space="preserve"> provide</w:t>
      </w:r>
      <w:r w:rsidR="0035002B" w:rsidRPr="006033E7">
        <w:rPr>
          <w:rFonts w:cs="Arial"/>
        </w:rPr>
        <w:t xml:space="preserve"> </w:t>
      </w:r>
      <w:r w:rsidR="006033E7" w:rsidRPr="006033E7">
        <w:rPr>
          <w:rFonts w:cs="Arial"/>
        </w:rPr>
        <w:t>that a</w:t>
      </w:r>
      <w:r w:rsidR="0035002B" w:rsidRPr="006033E7">
        <w:rPr>
          <w:rFonts w:cs="Arial"/>
        </w:rPr>
        <w:t xml:space="preserve"> consumer </w:t>
      </w:r>
      <w:r w:rsidR="00C2345B" w:rsidRPr="006033E7">
        <w:rPr>
          <w:rFonts w:cs="Arial"/>
        </w:rPr>
        <w:t>can readily access information</w:t>
      </w:r>
      <w:r w:rsidR="0035002B" w:rsidRPr="006033E7">
        <w:rPr>
          <w:rFonts w:cs="Arial"/>
        </w:rPr>
        <w:t xml:space="preserve"> about the ingredients in the product</w:t>
      </w:r>
      <w:r w:rsidR="0093163D" w:rsidRPr="006033E7">
        <w:rPr>
          <w:rFonts w:cs="Arial"/>
        </w:rPr>
        <w:t xml:space="preserve"> (e.g. displayed on the shelf n</w:t>
      </w:r>
      <w:r w:rsidR="00161D86" w:rsidRPr="006033E7">
        <w:rPr>
          <w:rFonts w:cs="Arial"/>
        </w:rPr>
        <w:t>ear where the product is sold).</w:t>
      </w:r>
    </w:p>
    <w:p w14:paraId="1CE3F666" w14:textId="77777777" w:rsidR="003806A8" w:rsidRDefault="003806A8" w:rsidP="001E6247">
      <w:pPr>
        <w:spacing w:line="220" w:lineRule="atLeast"/>
        <w:rPr>
          <w:rFonts w:cs="Arial"/>
        </w:rPr>
      </w:pPr>
      <w:r>
        <w:rPr>
          <w:rFonts w:cs="Arial"/>
        </w:rPr>
        <w:t>The information standard allows for the listing of ingredients in the following way:</w:t>
      </w:r>
    </w:p>
    <w:p w14:paraId="117E0DF8" w14:textId="42CDFED4" w:rsidR="003806A8" w:rsidRPr="009356D7" w:rsidRDefault="003806A8" w:rsidP="009356D7">
      <w:pPr>
        <w:pStyle w:val="ListParagraph"/>
        <w:numPr>
          <w:ilvl w:val="0"/>
          <w:numId w:val="72"/>
        </w:numPr>
        <w:spacing w:line="220" w:lineRule="atLeast"/>
        <w:rPr>
          <w:rFonts w:eastAsiaTheme="majorEastAsia" w:cs="Arial"/>
          <w:bCs/>
        </w:rPr>
      </w:pPr>
      <w:r>
        <w:rPr>
          <w:rFonts w:cs="Arial"/>
        </w:rPr>
        <w:t>i</w:t>
      </w:r>
      <w:r w:rsidR="00D04782" w:rsidRPr="00B70386">
        <w:rPr>
          <w:rFonts w:cs="Arial"/>
        </w:rPr>
        <w:t>ngredients</w:t>
      </w:r>
      <w:r w:rsidR="0035002B" w:rsidRPr="00B70386">
        <w:rPr>
          <w:rFonts w:cs="Arial"/>
        </w:rPr>
        <w:t xml:space="preserve"> </w:t>
      </w:r>
      <w:r w:rsidR="0035002B" w:rsidRPr="00060366">
        <w:rPr>
          <w:rFonts w:cs="Arial"/>
        </w:rPr>
        <w:t>(except colour additives</w:t>
      </w:r>
      <w:r w:rsidR="0035002B" w:rsidRPr="000247B3">
        <w:rPr>
          <w:rFonts w:cs="Arial"/>
        </w:rPr>
        <w:t>)</w:t>
      </w:r>
      <w:r w:rsidR="00D04782" w:rsidRPr="000247B3">
        <w:rPr>
          <w:rFonts w:cs="Arial"/>
        </w:rPr>
        <w:t xml:space="preserve"> </w:t>
      </w:r>
      <w:r w:rsidRPr="00FD5770">
        <w:rPr>
          <w:rFonts w:cs="Arial"/>
        </w:rPr>
        <w:t xml:space="preserve">in concentrations of one per cent or more </w:t>
      </w:r>
      <w:r w:rsidR="006127DE" w:rsidRPr="00B70386">
        <w:rPr>
          <w:rFonts w:cs="Arial"/>
        </w:rPr>
        <w:t>in</w:t>
      </w:r>
      <w:r w:rsidR="000533A3">
        <w:rPr>
          <w:rFonts w:cs="Arial"/>
        </w:rPr>
        <w:t xml:space="preserve"> </w:t>
      </w:r>
      <w:r w:rsidR="006127DE" w:rsidRPr="00B70386">
        <w:rPr>
          <w:rFonts w:cs="Arial"/>
        </w:rPr>
        <w:t>desc</w:t>
      </w:r>
      <w:r w:rsidR="00495199" w:rsidRPr="008E7A3D">
        <w:rPr>
          <w:rFonts w:cs="Arial"/>
        </w:rPr>
        <w:t>ending order by volume or mass</w:t>
      </w:r>
      <w:r w:rsidR="00022A5B">
        <w:rPr>
          <w:rFonts w:cs="Arial"/>
        </w:rPr>
        <w:t>, followed by</w:t>
      </w:r>
    </w:p>
    <w:p w14:paraId="2448C334" w14:textId="25138BFB" w:rsidR="003806A8" w:rsidRPr="009356D7" w:rsidRDefault="006127DE" w:rsidP="009356D7">
      <w:pPr>
        <w:pStyle w:val="ListParagraph"/>
        <w:numPr>
          <w:ilvl w:val="0"/>
          <w:numId w:val="72"/>
        </w:numPr>
        <w:spacing w:line="220" w:lineRule="atLeast"/>
        <w:rPr>
          <w:rFonts w:eastAsiaTheme="majorEastAsia" w:cs="Arial"/>
          <w:bCs/>
        </w:rPr>
      </w:pPr>
      <w:r w:rsidRPr="00904A64">
        <w:rPr>
          <w:rFonts w:cs="Arial"/>
        </w:rPr>
        <w:t>ingredients</w:t>
      </w:r>
      <w:r w:rsidR="00F22EB5" w:rsidRPr="00904A64">
        <w:rPr>
          <w:rFonts w:cs="Arial"/>
        </w:rPr>
        <w:t xml:space="preserve"> (except colour additives)</w:t>
      </w:r>
      <w:r w:rsidRPr="00904A64">
        <w:rPr>
          <w:rFonts w:cs="Arial"/>
        </w:rPr>
        <w:t xml:space="preserve"> </w:t>
      </w:r>
      <w:r w:rsidR="003806A8">
        <w:rPr>
          <w:rFonts w:cs="Arial"/>
        </w:rPr>
        <w:t>in concentrations of less than one per cent in any order</w:t>
      </w:r>
      <w:r w:rsidR="00022A5B">
        <w:rPr>
          <w:rFonts w:cs="Arial"/>
        </w:rPr>
        <w:t>, followed by</w:t>
      </w:r>
    </w:p>
    <w:p w14:paraId="22453633" w14:textId="7F56D637" w:rsidR="003806A8" w:rsidRDefault="00495199" w:rsidP="009356D7">
      <w:pPr>
        <w:pStyle w:val="ListParagraph"/>
        <w:numPr>
          <w:ilvl w:val="0"/>
          <w:numId w:val="72"/>
        </w:numPr>
        <w:spacing w:line="220" w:lineRule="atLeast"/>
        <w:rPr>
          <w:rFonts w:eastAsiaTheme="majorEastAsia" w:cs="Arial"/>
          <w:bCs/>
        </w:rPr>
      </w:pPr>
      <w:r w:rsidRPr="001C475E">
        <w:rPr>
          <w:rFonts w:cs="Arial"/>
        </w:rPr>
        <w:t>colour additives</w:t>
      </w:r>
      <w:r w:rsidR="000D0EAC" w:rsidRPr="00244BDE">
        <w:rPr>
          <w:rFonts w:cs="Arial"/>
        </w:rPr>
        <w:t xml:space="preserve"> in any order</w:t>
      </w:r>
      <w:r w:rsidRPr="00244BDE">
        <w:rPr>
          <w:rFonts w:cs="Arial"/>
        </w:rPr>
        <w:t>.</w:t>
      </w:r>
    </w:p>
    <w:p w14:paraId="5C1EE0A8" w14:textId="1C7CCA37" w:rsidR="00420650" w:rsidRDefault="00744D01" w:rsidP="00B70386">
      <w:pPr>
        <w:spacing w:line="220" w:lineRule="atLeast"/>
        <w:rPr>
          <w:rFonts w:eastAsiaTheme="majorEastAsia" w:cs="Arial"/>
          <w:bCs/>
        </w:rPr>
      </w:pPr>
      <w:r w:rsidRPr="00B70386">
        <w:rPr>
          <w:rFonts w:eastAsiaTheme="majorEastAsia" w:cs="Arial"/>
          <w:bCs/>
        </w:rPr>
        <w:t xml:space="preserve">The names of the ingredients must be in either their English names or their </w:t>
      </w:r>
      <w:r w:rsidRPr="008E7A3D">
        <w:rPr>
          <w:rFonts w:eastAsiaTheme="majorEastAsia" w:cs="Arial"/>
          <w:bCs/>
        </w:rPr>
        <w:t xml:space="preserve">International </w:t>
      </w:r>
      <w:r w:rsidRPr="000247B3">
        <w:rPr>
          <w:rFonts w:eastAsiaTheme="majorEastAsia" w:cs="Arial"/>
          <w:bCs/>
        </w:rPr>
        <w:t>Nomenclature Cosmetic Ingredient (</w:t>
      </w:r>
      <w:r w:rsidRPr="000247B3">
        <w:rPr>
          <w:rFonts w:eastAsiaTheme="majorEastAsia" w:cs="Arial"/>
          <w:b/>
          <w:bCs/>
        </w:rPr>
        <w:t>INCI</w:t>
      </w:r>
      <w:r w:rsidR="00D703BF" w:rsidRPr="001C475E">
        <w:rPr>
          <w:rFonts w:eastAsiaTheme="majorEastAsia" w:cs="Arial"/>
          <w:bCs/>
        </w:rPr>
        <w:t>) names.</w:t>
      </w:r>
      <w:r w:rsidR="005C7388" w:rsidRPr="00244BDE">
        <w:rPr>
          <w:rFonts w:eastAsiaTheme="majorEastAsia" w:cs="Arial"/>
          <w:bCs/>
        </w:rPr>
        <w:t xml:space="preserve"> </w:t>
      </w:r>
      <w:r w:rsidR="00F22EB5" w:rsidRPr="00244BDE">
        <w:rPr>
          <w:rFonts w:eastAsiaTheme="majorEastAsia" w:cs="Arial"/>
          <w:bCs/>
        </w:rPr>
        <w:t>There may also be a list of ingredients in another language</w:t>
      </w:r>
      <w:r w:rsidR="00C2345B">
        <w:rPr>
          <w:rFonts w:eastAsiaTheme="majorEastAsia" w:cs="Arial"/>
          <w:bCs/>
        </w:rPr>
        <w:t xml:space="preserve"> in addition to these labelling requirements</w:t>
      </w:r>
      <w:r w:rsidR="00F22EB5" w:rsidRPr="00244BDE">
        <w:rPr>
          <w:rFonts w:eastAsiaTheme="majorEastAsia" w:cs="Arial"/>
          <w:bCs/>
        </w:rPr>
        <w:t xml:space="preserve">. </w:t>
      </w:r>
      <w:r w:rsidR="005C7388" w:rsidRPr="00B97A4E">
        <w:rPr>
          <w:rFonts w:eastAsiaTheme="majorEastAsia" w:cs="Arial"/>
          <w:bCs/>
        </w:rPr>
        <w:t>Fragrances a</w:t>
      </w:r>
      <w:r w:rsidR="00BA69ED" w:rsidRPr="00B97A4E">
        <w:rPr>
          <w:rFonts w:eastAsiaTheme="majorEastAsia" w:cs="Arial"/>
          <w:bCs/>
        </w:rPr>
        <w:t xml:space="preserve">nd flavours must also be </w:t>
      </w:r>
      <w:r w:rsidR="00D709EB" w:rsidRPr="00285C3F">
        <w:rPr>
          <w:rFonts w:eastAsiaTheme="majorEastAsia" w:cs="Arial"/>
          <w:bCs/>
        </w:rPr>
        <w:t>disclosed</w:t>
      </w:r>
      <w:r w:rsidR="00D709EB" w:rsidRPr="00966EB4">
        <w:rPr>
          <w:rFonts w:eastAsiaTheme="majorEastAsia" w:cs="Arial"/>
          <w:bCs/>
        </w:rPr>
        <w:t xml:space="preserve">, but do not need to </w:t>
      </w:r>
      <w:r w:rsidR="00D709EB" w:rsidRPr="004C0CF7">
        <w:rPr>
          <w:rFonts w:eastAsiaTheme="majorEastAsia" w:cs="Arial"/>
          <w:bCs/>
        </w:rPr>
        <w:t xml:space="preserve">include the ingredients </w:t>
      </w:r>
      <w:r w:rsidR="00C2345B">
        <w:rPr>
          <w:rFonts w:eastAsiaTheme="majorEastAsia" w:cs="Arial"/>
          <w:bCs/>
        </w:rPr>
        <w:t>composition of</w:t>
      </w:r>
      <w:r w:rsidR="00D709EB" w:rsidRPr="00654D6A">
        <w:rPr>
          <w:rFonts w:eastAsiaTheme="majorEastAsia" w:cs="Arial"/>
          <w:bCs/>
        </w:rPr>
        <w:t xml:space="preserve"> the fragrance or flavour</w:t>
      </w:r>
      <w:r w:rsidR="00BA69ED" w:rsidRPr="00654D6A">
        <w:rPr>
          <w:rFonts w:eastAsiaTheme="majorEastAsia" w:cs="Arial"/>
          <w:bCs/>
        </w:rPr>
        <w:t>.</w:t>
      </w:r>
      <w:r w:rsidR="007A0B79">
        <w:rPr>
          <w:rFonts w:eastAsiaTheme="majorEastAsia" w:cs="Arial"/>
          <w:bCs/>
        </w:rPr>
        <w:t xml:space="preserve"> The list of ingredients must be promine</w:t>
      </w:r>
      <w:r w:rsidR="00846ED7">
        <w:rPr>
          <w:rFonts w:eastAsiaTheme="majorEastAsia" w:cs="Arial"/>
          <w:bCs/>
        </w:rPr>
        <w:t>ntly shown and clearly legible.</w:t>
      </w:r>
    </w:p>
    <w:p w14:paraId="5819C76E" w14:textId="0E8D190E" w:rsidR="00CE68A9" w:rsidRDefault="00CE68A9" w:rsidP="00B70386">
      <w:pPr>
        <w:spacing w:line="220" w:lineRule="atLeast"/>
        <w:rPr>
          <w:rFonts w:eastAsiaTheme="majorEastAsia" w:cs="Arial"/>
          <w:bCs/>
        </w:rPr>
      </w:pPr>
      <w:r>
        <w:rPr>
          <w:rFonts w:eastAsiaTheme="majorEastAsia" w:cs="Arial"/>
          <w:bCs/>
        </w:rPr>
        <w:t xml:space="preserve">The information standard also provides a facility whereby suppliers may seek </w:t>
      </w:r>
      <w:r w:rsidR="00897315">
        <w:rPr>
          <w:rFonts w:eastAsiaTheme="majorEastAsia" w:cs="Arial"/>
          <w:bCs/>
        </w:rPr>
        <w:t xml:space="preserve">formal approval from the Minister </w:t>
      </w:r>
      <w:r>
        <w:rPr>
          <w:rFonts w:eastAsiaTheme="majorEastAsia" w:cs="Arial"/>
          <w:bCs/>
        </w:rPr>
        <w:t xml:space="preserve">to have an ingredient on their product listed as </w:t>
      </w:r>
      <w:r w:rsidR="00422068">
        <w:rPr>
          <w:rFonts w:eastAsiaTheme="majorEastAsia" w:cs="Arial"/>
          <w:bCs/>
        </w:rPr>
        <w:t>‘</w:t>
      </w:r>
      <w:r>
        <w:rPr>
          <w:rFonts w:eastAsiaTheme="majorEastAsia" w:cs="Arial"/>
          <w:bCs/>
        </w:rPr>
        <w:t>other ingredient</w:t>
      </w:r>
      <w:r w:rsidR="00422068">
        <w:rPr>
          <w:rFonts w:eastAsiaTheme="majorEastAsia" w:cs="Arial"/>
          <w:bCs/>
        </w:rPr>
        <w:t>’</w:t>
      </w:r>
      <w:r w:rsidR="00553435">
        <w:rPr>
          <w:rFonts w:eastAsiaTheme="majorEastAsia" w:cs="Arial"/>
          <w:bCs/>
        </w:rPr>
        <w:t xml:space="preserve">. In order for the Minister to consider such an application, the supplier must be able to show that </w:t>
      </w:r>
      <w:r>
        <w:rPr>
          <w:rFonts w:eastAsiaTheme="majorEastAsia" w:cs="Arial"/>
          <w:bCs/>
        </w:rPr>
        <w:t>revealing the name of the ingredient would prejudice a trade secret and that the ingredient is unlikely to be harmful to a consumer.</w:t>
      </w:r>
    </w:p>
    <w:p w14:paraId="6C0070EF" w14:textId="4CB80E5E" w:rsidR="00420650" w:rsidRPr="006A7B5F" w:rsidRDefault="008B221A" w:rsidP="007A64FF">
      <w:pPr>
        <w:pStyle w:val="Heading2"/>
        <w:widowControl w:val="0"/>
        <w:rPr>
          <w:rFonts w:eastAsia="Times New Roman" w:cs="Times New Roman"/>
          <w:color w:val="51626F"/>
        </w:rPr>
      </w:pPr>
      <w:r w:rsidRPr="006A7B5F">
        <w:rPr>
          <w:rFonts w:eastAsia="Times New Roman" w:cs="Times New Roman"/>
          <w:color w:val="51626F"/>
        </w:rPr>
        <w:t>The Australian regulatory framework</w:t>
      </w:r>
    </w:p>
    <w:p w14:paraId="40188B11" w14:textId="6F7360B5" w:rsidR="00BE462A" w:rsidRPr="008D3A24" w:rsidRDefault="00420650" w:rsidP="007A64FF">
      <w:pPr>
        <w:widowControl w:val="0"/>
        <w:tabs>
          <w:tab w:val="left" w:pos="993"/>
        </w:tabs>
        <w:rPr>
          <w:rFonts w:cs="Arial"/>
        </w:rPr>
      </w:pPr>
      <w:r>
        <w:rPr>
          <w:rFonts w:cs="Arial"/>
        </w:rPr>
        <w:t>The information standard operates within</w:t>
      </w:r>
      <w:r w:rsidR="00C2345B">
        <w:rPr>
          <w:rFonts w:cs="Arial"/>
        </w:rPr>
        <w:t xml:space="preserve"> and relies on</w:t>
      </w:r>
      <w:r>
        <w:rPr>
          <w:rFonts w:cs="Arial"/>
        </w:rPr>
        <w:t xml:space="preserve"> a broader regulatory framework that </w:t>
      </w:r>
      <w:r>
        <w:rPr>
          <w:rFonts w:cs="Arial"/>
        </w:rPr>
        <w:lastRenderedPageBreak/>
        <w:t xml:space="preserve">is concerned with facilitating the safe supply of cosmetic products and </w:t>
      </w:r>
      <w:r w:rsidR="003E3B8F">
        <w:rPr>
          <w:rFonts w:cs="Arial"/>
        </w:rPr>
        <w:t xml:space="preserve">providing </w:t>
      </w:r>
      <w:r>
        <w:rPr>
          <w:rFonts w:cs="Arial"/>
        </w:rPr>
        <w:t>information about the</w:t>
      </w:r>
      <w:r w:rsidR="003E3B8F">
        <w:rPr>
          <w:rFonts w:cs="Arial"/>
        </w:rPr>
        <w:t>m</w:t>
      </w:r>
      <w:r>
        <w:rPr>
          <w:rFonts w:cs="Arial"/>
        </w:rPr>
        <w:t xml:space="preserve"> to potential end users. </w:t>
      </w:r>
      <w:r w:rsidR="006137CB">
        <w:rPr>
          <w:rFonts w:cs="Arial"/>
        </w:rPr>
        <w:t xml:space="preserve">The </w:t>
      </w:r>
      <w:r w:rsidR="00BE462A">
        <w:rPr>
          <w:rFonts w:cs="Arial"/>
        </w:rPr>
        <w:t xml:space="preserve">responsibility for </w:t>
      </w:r>
      <w:r w:rsidR="00F833E1">
        <w:rPr>
          <w:rFonts w:cs="Arial"/>
        </w:rPr>
        <w:t xml:space="preserve">regulating </w:t>
      </w:r>
      <w:r w:rsidR="00BE462A">
        <w:rPr>
          <w:rFonts w:cs="Arial"/>
        </w:rPr>
        <w:t>chemical products is shared acr</w:t>
      </w:r>
      <w:r w:rsidR="00EE0A48">
        <w:rPr>
          <w:rFonts w:cs="Arial"/>
        </w:rPr>
        <w:t>oss several government agencies</w:t>
      </w:r>
      <w:r w:rsidR="00BE462A">
        <w:rPr>
          <w:rFonts w:cs="Arial"/>
        </w:rPr>
        <w:t xml:space="preserve"> </w:t>
      </w:r>
      <w:r w:rsidR="00312275">
        <w:rPr>
          <w:rFonts w:cs="Arial"/>
        </w:rPr>
        <w:t>including</w:t>
      </w:r>
      <w:r w:rsidR="00C6605A">
        <w:rPr>
          <w:rFonts w:cs="Arial"/>
        </w:rPr>
        <w:t>:</w:t>
      </w:r>
      <w:r w:rsidR="00BE462A">
        <w:rPr>
          <w:rFonts w:cs="Arial"/>
        </w:rPr>
        <w:t xml:space="preserve"> the Therapeutic Goods Administration (</w:t>
      </w:r>
      <w:r w:rsidR="00BE462A" w:rsidRPr="00432BA0">
        <w:rPr>
          <w:rFonts w:cs="Arial"/>
          <w:b/>
        </w:rPr>
        <w:t>TGA</w:t>
      </w:r>
      <w:r w:rsidR="00BE462A">
        <w:rPr>
          <w:rFonts w:cs="Arial"/>
        </w:rPr>
        <w:t>)</w:t>
      </w:r>
      <w:r w:rsidR="00312275">
        <w:rPr>
          <w:rFonts w:cs="Arial"/>
        </w:rPr>
        <w:t>,</w:t>
      </w:r>
      <w:r w:rsidR="00F833E1">
        <w:rPr>
          <w:rFonts w:cs="Arial"/>
        </w:rPr>
        <w:t xml:space="preserve"> </w:t>
      </w:r>
      <w:r w:rsidR="003E3B8F">
        <w:rPr>
          <w:rFonts w:cs="Arial"/>
        </w:rPr>
        <w:t xml:space="preserve">the </w:t>
      </w:r>
      <w:r w:rsidR="0012589E">
        <w:rPr>
          <w:rFonts w:cs="Arial"/>
        </w:rPr>
        <w:t>Office of Chemical Safety</w:t>
      </w:r>
      <w:r w:rsidR="00F833E1" w:rsidRPr="00352B57">
        <w:rPr>
          <w:rFonts w:cs="Arial"/>
        </w:rPr>
        <w:t xml:space="preserve"> (</w:t>
      </w:r>
      <w:r w:rsidR="0012589E">
        <w:rPr>
          <w:rFonts w:cs="Arial"/>
          <w:b/>
        </w:rPr>
        <w:t>OCS</w:t>
      </w:r>
      <w:r w:rsidR="00F833E1" w:rsidRPr="00352B57">
        <w:rPr>
          <w:rFonts w:cs="Arial"/>
        </w:rPr>
        <w:t>)</w:t>
      </w:r>
      <w:r w:rsidR="00312275">
        <w:rPr>
          <w:rFonts w:cs="Arial"/>
        </w:rPr>
        <w:t>,</w:t>
      </w:r>
      <w:r w:rsidR="00EE0A48">
        <w:rPr>
          <w:rFonts w:cs="Arial"/>
        </w:rPr>
        <w:t xml:space="preserve"> </w:t>
      </w:r>
      <w:r w:rsidR="00F833E1" w:rsidRPr="008D3A24">
        <w:rPr>
          <w:rFonts w:cs="Arial"/>
        </w:rPr>
        <w:t xml:space="preserve">the National </w:t>
      </w:r>
      <w:r w:rsidR="008B221A">
        <w:rPr>
          <w:rFonts w:cs="Arial"/>
        </w:rPr>
        <w:t>Measurement</w:t>
      </w:r>
      <w:r w:rsidR="00F833E1" w:rsidRPr="008D3A24">
        <w:rPr>
          <w:rFonts w:cs="Arial"/>
        </w:rPr>
        <w:t xml:space="preserve"> Institute (</w:t>
      </w:r>
      <w:r w:rsidR="00F833E1" w:rsidRPr="00432BA0">
        <w:rPr>
          <w:rFonts w:cs="Arial"/>
          <w:b/>
        </w:rPr>
        <w:t>NMI</w:t>
      </w:r>
      <w:r w:rsidR="00EE0A48">
        <w:rPr>
          <w:rFonts w:cs="Arial"/>
        </w:rPr>
        <w:t>)</w:t>
      </w:r>
      <w:r w:rsidR="006C665F" w:rsidRPr="00432BA0">
        <w:rPr>
          <w:rFonts w:cs="Arial"/>
          <w:shd w:val="clear" w:color="auto" w:fill="FFFFFF"/>
        </w:rPr>
        <w:t xml:space="preserve"> and the Department of Home Affairs</w:t>
      </w:r>
      <w:r w:rsidR="008D3426">
        <w:rPr>
          <w:rFonts w:cs="Arial"/>
          <w:shd w:val="clear" w:color="auto" w:fill="FFFFFF"/>
        </w:rPr>
        <w:t xml:space="preserve"> (</w:t>
      </w:r>
      <w:r w:rsidR="008D3426" w:rsidRPr="008D3426">
        <w:rPr>
          <w:rFonts w:cs="Arial"/>
          <w:b/>
          <w:shd w:val="clear" w:color="auto" w:fill="FFFFFF"/>
        </w:rPr>
        <w:t>DHA</w:t>
      </w:r>
      <w:r w:rsidR="008D3426">
        <w:rPr>
          <w:rFonts w:cs="Arial"/>
          <w:shd w:val="clear" w:color="auto" w:fill="FFFFFF"/>
        </w:rPr>
        <w:t>)</w:t>
      </w:r>
      <w:r w:rsidR="006C665F" w:rsidRPr="00432BA0">
        <w:rPr>
          <w:rFonts w:cs="Arial"/>
          <w:shd w:val="clear" w:color="auto" w:fill="FFFFFF"/>
        </w:rPr>
        <w:t>.</w:t>
      </w:r>
    </w:p>
    <w:p w14:paraId="3ADED656" w14:textId="4E90C36D" w:rsidR="00A53FBC" w:rsidRDefault="0012589E" w:rsidP="00592797">
      <w:pPr>
        <w:rPr>
          <w:rFonts w:cs="Arial"/>
        </w:rPr>
      </w:pPr>
      <w:r>
        <w:rPr>
          <w:rFonts w:cs="Arial"/>
        </w:rPr>
        <w:t>The O</w:t>
      </w:r>
      <w:r w:rsidR="008539CA">
        <w:rPr>
          <w:rFonts w:cs="Arial"/>
        </w:rPr>
        <w:t xml:space="preserve">ffice of Chemical Safety </w:t>
      </w:r>
      <w:r>
        <w:rPr>
          <w:rFonts w:cs="Arial"/>
        </w:rPr>
        <w:t>administer</w:t>
      </w:r>
      <w:r w:rsidR="00D709EB">
        <w:rPr>
          <w:rFonts w:cs="Arial"/>
        </w:rPr>
        <w:t>s</w:t>
      </w:r>
      <w:r>
        <w:rPr>
          <w:rFonts w:cs="Arial"/>
        </w:rPr>
        <w:t xml:space="preserve"> the National Industrial Chemicals Notification and Assessment Scheme (</w:t>
      </w:r>
      <w:r w:rsidR="006C665F" w:rsidRPr="00592797">
        <w:rPr>
          <w:rFonts w:cs="Arial"/>
          <w:b/>
        </w:rPr>
        <w:t>NICNAS</w:t>
      </w:r>
      <w:r w:rsidR="00A53FBC">
        <w:rPr>
          <w:rFonts w:cs="Arial"/>
        </w:rPr>
        <w:t>), which</w:t>
      </w:r>
      <w:r>
        <w:rPr>
          <w:rFonts w:cs="Arial"/>
        </w:rPr>
        <w:t xml:space="preserve"> </w:t>
      </w:r>
      <w:r w:rsidR="00A53FBC">
        <w:rPr>
          <w:rFonts w:cs="Arial"/>
        </w:rPr>
        <w:t xml:space="preserve">assesses the safety of new chemicals before they can be imported or </w:t>
      </w:r>
      <w:r w:rsidR="00D709EB">
        <w:rPr>
          <w:rFonts w:cs="Arial"/>
        </w:rPr>
        <w:t xml:space="preserve">manufactured </w:t>
      </w:r>
      <w:r w:rsidR="00A53FBC">
        <w:rPr>
          <w:rFonts w:cs="Arial"/>
        </w:rPr>
        <w:t>in Australia</w:t>
      </w:r>
      <w:r w:rsidR="00654ABF">
        <w:rPr>
          <w:rFonts w:cs="Arial"/>
        </w:rPr>
        <w:t xml:space="preserve">. </w:t>
      </w:r>
      <w:r w:rsidR="00A53FBC">
        <w:rPr>
          <w:rFonts w:cs="Arial"/>
        </w:rPr>
        <w:t xml:space="preserve">It also administers the </w:t>
      </w:r>
      <w:r w:rsidR="00A53FBC" w:rsidRPr="001E2A7A">
        <w:rPr>
          <w:rFonts w:cs="Arial"/>
        </w:rPr>
        <w:t>Australian Inventory of Chemical Substances (</w:t>
      </w:r>
      <w:r w:rsidR="00A53FBC" w:rsidRPr="00D1656D">
        <w:rPr>
          <w:rFonts w:cs="Arial"/>
          <w:b/>
        </w:rPr>
        <w:t>AICS</w:t>
      </w:r>
      <w:r w:rsidR="00A53FBC" w:rsidRPr="001E2A7A">
        <w:rPr>
          <w:rFonts w:cs="Arial"/>
        </w:rPr>
        <w:t>)</w:t>
      </w:r>
      <w:r w:rsidR="00A53FBC">
        <w:rPr>
          <w:rFonts w:cs="Arial"/>
        </w:rPr>
        <w:t xml:space="preserve"> which lists the chemicals that may be </w:t>
      </w:r>
      <w:r w:rsidR="00D709EB">
        <w:rPr>
          <w:rFonts w:cs="Arial"/>
        </w:rPr>
        <w:t>imported or manufactured</w:t>
      </w:r>
      <w:r w:rsidR="00A53FBC">
        <w:rPr>
          <w:rFonts w:cs="Arial"/>
        </w:rPr>
        <w:t xml:space="preserve"> in Australia</w:t>
      </w:r>
      <w:r w:rsidR="00D709EB">
        <w:rPr>
          <w:rFonts w:cs="Arial"/>
        </w:rPr>
        <w:t xml:space="preserve"> without pre-market notification and assessment by NICNAS</w:t>
      </w:r>
      <w:r w:rsidR="00654D6A">
        <w:rPr>
          <w:rFonts w:cs="Arial"/>
        </w:rPr>
        <w:t>,</w:t>
      </w:r>
      <w:r w:rsidR="00A53FBC">
        <w:rPr>
          <w:rFonts w:cs="Arial"/>
        </w:rPr>
        <w:t xml:space="preserve"> and specifies the conditions for their</w:t>
      </w:r>
      <w:r w:rsidR="00654D6A">
        <w:rPr>
          <w:rFonts w:cs="Arial"/>
        </w:rPr>
        <w:t xml:space="preserve"> importation, manufacture and</w:t>
      </w:r>
      <w:r w:rsidR="00A53FBC">
        <w:rPr>
          <w:rFonts w:cs="Arial"/>
        </w:rPr>
        <w:t xml:space="preserve"> use</w:t>
      </w:r>
      <w:r w:rsidR="00A53FBC" w:rsidRPr="001E2A7A">
        <w:rPr>
          <w:rFonts w:cs="Arial"/>
        </w:rPr>
        <w:t>.</w:t>
      </w:r>
      <w:r w:rsidR="00A53FBC">
        <w:rPr>
          <w:rFonts w:cs="Arial"/>
        </w:rPr>
        <w:t xml:space="preserve"> </w:t>
      </w:r>
      <w:r w:rsidR="00D75EC6">
        <w:rPr>
          <w:rFonts w:cs="Arial"/>
        </w:rPr>
        <w:t>From 1 July 2020, NICNAS will be replaced by the Australian Industrial Chemicals Introduction Scheme (</w:t>
      </w:r>
      <w:r w:rsidR="00D75EC6" w:rsidRPr="00592797">
        <w:rPr>
          <w:rFonts w:cs="Arial"/>
          <w:b/>
        </w:rPr>
        <w:t>AICIS</w:t>
      </w:r>
      <w:r w:rsidR="00D75EC6">
        <w:rPr>
          <w:rFonts w:cs="Arial"/>
        </w:rPr>
        <w:t>)</w:t>
      </w:r>
      <w:r w:rsidR="006110B8">
        <w:rPr>
          <w:rFonts w:cs="Arial"/>
        </w:rPr>
        <w:t xml:space="preserve"> established under the </w:t>
      </w:r>
      <w:r w:rsidR="006110B8" w:rsidRPr="00592797">
        <w:rPr>
          <w:rFonts w:cs="Arial"/>
          <w:i/>
        </w:rPr>
        <w:t>Industrial Chemicals Act 2019</w:t>
      </w:r>
      <w:r w:rsidR="00A720D3" w:rsidRPr="0096305F">
        <w:rPr>
          <w:rFonts w:cs="Arial"/>
        </w:rPr>
        <w:t>.</w:t>
      </w:r>
    </w:p>
    <w:p w14:paraId="4566DD14" w14:textId="5BE74EF3" w:rsidR="00420650" w:rsidRDefault="00F46397" w:rsidP="00635F08">
      <w:pPr>
        <w:tabs>
          <w:tab w:val="left" w:pos="993"/>
        </w:tabs>
        <w:rPr>
          <w:rFonts w:cs="Arial"/>
        </w:rPr>
      </w:pPr>
      <w:r>
        <w:rPr>
          <w:rFonts w:cs="Arial"/>
        </w:rPr>
        <w:t xml:space="preserve">The </w:t>
      </w:r>
      <w:r w:rsidR="008539CA">
        <w:rPr>
          <w:rFonts w:cs="Arial"/>
        </w:rPr>
        <w:t xml:space="preserve">Therapeutic Goods Administration </w:t>
      </w:r>
      <w:r>
        <w:rPr>
          <w:rFonts w:cs="Arial"/>
        </w:rPr>
        <w:t>regulate</w:t>
      </w:r>
      <w:r w:rsidR="006137CB">
        <w:rPr>
          <w:rFonts w:cs="Arial"/>
        </w:rPr>
        <w:t>s</w:t>
      </w:r>
      <w:r>
        <w:rPr>
          <w:rFonts w:cs="Arial"/>
        </w:rPr>
        <w:t xml:space="preserve"> products that make therapeutic claims</w:t>
      </w:r>
      <w:r w:rsidR="00F22EB5">
        <w:rPr>
          <w:rFonts w:cs="Arial"/>
        </w:rPr>
        <w:t xml:space="preserve"> under the </w:t>
      </w:r>
      <w:r w:rsidR="00F22EB5">
        <w:rPr>
          <w:rFonts w:cs="Arial"/>
          <w:i/>
        </w:rPr>
        <w:t>Therapeutic Goods Act 1989</w:t>
      </w:r>
      <w:r>
        <w:rPr>
          <w:rFonts w:cs="Arial"/>
        </w:rPr>
        <w:t>.</w:t>
      </w:r>
      <w:r w:rsidR="00F22EB5">
        <w:rPr>
          <w:rFonts w:cs="Arial"/>
        </w:rPr>
        <w:t xml:space="preserve"> Products regulated by the TGA are not cosmetic products for the purpose of the information standard. </w:t>
      </w:r>
      <w:r w:rsidR="006137CB">
        <w:rPr>
          <w:rFonts w:cs="Arial"/>
        </w:rPr>
        <w:t>The</w:t>
      </w:r>
      <w:r w:rsidR="00967E94">
        <w:rPr>
          <w:rFonts w:cs="Arial"/>
        </w:rPr>
        <w:t xml:space="preserve"> TGA</w:t>
      </w:r>
      <w:r w:rsidR="006137CB">
        <w:rPr>
          <w:rFonts w:cs="Arial"/>
        </w:rPr>
        <w:t>’s</w:t>
      </w:r>
      <w:r w:rsidR="00967E94">
        <w:rPr>
          <w:rFonts w:cs="Arial"/>
        </w:rPr>
        <w:t xml:space="preserve"> </w:t>
      </w:r>
      <w:r w:rsidR="004D061F" w:rsidRPr="00E80C21">
        <w:rPr>
          <w:rFonts w:cs="Arial"/>
          <w:i/>
        </w:rPr>
        <w:t>Therapeutic Goods (Excluded Goods) Determination 2018</w:t>
      </w:r>
      <w:r w:rsidR="004D061F">
        <w:rPr>
          <w:rFonts w:cs="Arial"/>
        </w:rPr>
        <w:t xml:space="preserve"> </w:t>
      </w:r>
      <w:r w:rsidR="006137CB">
        <w:rPr>
          <w:rFonts w:cs="Arial"/>
        </w:rPr>
        <w:t>sets out specific requirements for products that are excluded from its regulation. Once excluded</w:t>
      </w:r>
      <w:r w:rsidR="00635F08">
        <w:rPr>
          <w:rFonts w:cs="Arial"/>
        </w:rPr>
        <w:t xml:space="preserve"> from regulation by the TGA</w:t>
      </w:r>
      <w:r w:rsidR="006137CB">
        <w:rPr>
          <w:rFonts w:cs="Arial"/>
        </w:rPr>
        <w:t>, these products are regulated as cosmetics</w:t>
      </w:r>
      <w:r w:rsidR="00635F08">
        <w:rPr>
          <w:rFonts w:cs="Arial"/>
        </w:rPr>
        <w:t>, with ingredients subject to the requirements of NICNAS, and require labelling in accordance with</w:t>
      </w:r>
      <w:r w:rsidR="006137CB">
        <w:rPr>
          <w:rFonts w:cs="Arial"/>
        </w:rPr>
        <w:t xml:space="preserve"> </w:t>
      </w:r>
      <w:r w:rsidR="005979EB">
        <w:rPr>
          <w:rFonts w:cs="Arial"/>
        </w:rPr>
        <w:t>the information standard</w:t>
      </w:r>
      <w:r w:rsidR="00635F08">
        <w:rPr>
          <w:rFonts w:cs="Arial"/>
        </w:rPr>
        <w:t>.</w:t>
      </w:r>
    </w:p>
    <w:p w14:paraId="734551DA" w14:textId="23617AEF" w:rsidR="006D21F4" w:rsidRPr="00C37DFB" w:rsidRDefault="00967E94" w:rsidP="00EE0A48">
      <w:pPr>
        <w:tabs>
          <w:tab w:val="left" w:pos="993"/>
        </w:tabs>
      </w:pPr>
      <w:r>
        <w:rPr>
          <w:rFonts w:cs="Arial"/>
        </w:rPr>
        <w:t xml:space="preserve">The </w:t>
      </w:r>
      <w:r w:rsidR="008539CA" w:rsidRPr="008D3A24">
        <w:rPr>
          <w:rFonts w:cs="Arial"/>
        </w:rPr>
        <w:t xml:space="preserve">National </w:t>
      </w:r>
      <w:r w:rsidR="008539CA">
        <w:rPr>
          <w:rFonts w:cs="Arial"/>
        </w:rPr>
        <w:t>Measurement</w:t>
      </w:r>
      <w:r w:rsidR="008539CA" w:rsidRPr="008D3A24">
        <w:rPr>
          <w:rFonts w:cs="Arial"/>
        </w:rPr>
        <w:t xml:space="preserve"> Institute </w:t>
      </w:r>
      <w:r>
        <w:rPr>
          <w:rFonts w:cs="Arial"/>
        </w:rPr>
        <w:t>administer</w:t>
      </w:r>
      <w:r w:rsidR="005D1747">
        <w:rPr>
          <w:rFonts w:cs="Arial"/>
        </w:rPr>
        <w:t>s</w:t>
      </w:r>
      <w:r w:rsidR="00420650">
        <w:rPr>
          <w:rFonts w:cs="Arial"/>
        </w:rPr>
        <w:t xml:space="preserve"> regulations that stipulate labelling requirements relating to the measurement</w:t>
      </w:r>
      <w:r w:rsidR="008B221A">
        <w:rPr>
          <w:rFonts w:cs="Arial"/>
        </w:rPr>
        <w:t>,</w:t>
      </w:r>
      <w:r w:rsidR="00420650">
        <w:rPr>
          <w:rFonts w:cs="Arial"/>
        </w:rPr>
        <w:t xml:space="preserve"> marking and packer’s identification</w:t>
      </w:r>
      <w:r>
        <w:rPr>
          <w:rFonts w:cs="Arial"/>
        </w:rPr>
        <w:t xml:space="preserve"> of consumer products </w:t>
      </w:r>
      <w:r w:rsidR="0085103C">
        <w:rPr>
          <w:rFonts w:cs="Arial"/>
        </w:rPr>
        <w:t>including</w:t>
      </w:r>
      <w:r>
        <w:rPr>
          <w:rFonts w:cs="Arial"/>
        </w:rPr>
        <w:t xml:space="preserve"> cosmetics</w:t>
      </w:r>
      <w:r w:rsidR="0080176C">
        <w:rPr>
          <w:rFonts w:cs="Arial"/>
        </w:rPr>
        <w:t xml:space="preserve"> under the </w:t>
      </w:r>
      <w:r w:rsidR="0080176C">
        <w:rPr>
          <w:rFonts w:cs="Arial"/>
          <w:i/>
        </w:rPr>
        <w:t>National Measurement Act 1960</w:t>
      </w:r>
      <w:r w:rsidR="00A720D3">
        <w:rPr>
          <w:rFonts w:cs="Arial"/>
        </w:rPr>
        <w:t>.</w:t>
      </w:r>
    </w:p>
    <w:p w14:paraId="409DB8C6" w14:textId="3D3D7761" w:rsidR="006D21F4" w:rsidRDefault="00312275" w:rsidP="00312275">
      <w:pPr>
        <w:tabs>
          <w:tab w:val="left" w:pos="993"/>
        </w:tabs>
        <w:spacing w:before="240"/>
        <w:rPr>
          <w:rFonts w:cs="Arial"/>
        </w:rPr>
      </w:pPr>
      <w:r>
        <w:rPr>
          <w:rFonts w:cs="Arial"/>
        </w:rPr>
        <w:t>T</w:t>
      </w:r>
      <w:r w:rsidR="00CB5CB9">
        <w:rPr>
          <w:rFonts w:cs="Arial"/>
        </w:rPr>
        <w:t xml:space="preserve">he </w:t>
      </w:r>
      <w:r w:rsidR="008539CA" w:rsidRPr="00432BA0">
        <w:rPr>
          <w:rFonts w:cs="Arial"/>
          <w:shd w:val="clear" w:color="auto" w:fill="FFFFFF"/>
        </w:rPr>
        <w:t>Department of Home Affairs</w:t>
      </w:r>
      <w:r w:rsidR="008539CA">
        <w:rPr>
          <w:rFonts w:cs="Arial"/>
          <w:shd w:val="clear" w:color="auto" w:fill="FFFFFF"/>
        </w:rPr>
        <w:t xml:space="preserve"> </w:t>
      </w:r>
      <w:r>
        <w:rPr>
          <w:rFonts w:cs="Arial"/>
        </w:rPr>
        <w:t>regulate</w:t>
      </w:r>
      <w:r w:rsidR="005D1747">
        <w:rPr>
          <w:rFonts w:cs="Arial"/>
        </w:rPr>
        <w:t>s</w:t>
      </w:r>
      <w:r>
        <w:rPr>
          <w:rFonts w:cs="Arial"/>
        </w:rPr>
        <w:t xml:space="preserve"> the content of lead in cosmetics </w:t>
      </w:r>
      <w:r w:rsidR="00682059">
        <w:rPr>
          <w:rFonts w:cs="Arial"/>
        </w:rPr>
        <w:t xml:space="preserve">under the </w:t>
      </w:r>
      <w:r w:rsidR="00682059" w:rsidRPr="00312275">
        <w:rPr>
          <w:rFonts w:cs="Arial"/>
          <w:i/>
        </w:rPr>
        <w:t>Customs (Prohibited Imports) Regulations 1956</w:t>
      </w:r>
      <w:r w:rsidR="00CB5CB9">
        <w:rPr>
          <w:rFonts w:cs="Arial"/>
        </w:rPr>
        <w:t>.</w:t>
      </w:r>
      <w:r w:rsidR="000748D3">
        <w:rPr>
          <w:rFonts w:cs="Arial"/>
        </w:rPr>
        <w:t xml:space="preserve"> Cosmetic products containing more than 250 mg/kg of lead or lead compounds (calculated as lead) are prohibited from importation unless the Minister or an authorised person grant</w:t>
      </w:r>
      <w:r>
        <w:rPr>
          <w:rFonts w:cs="Arial"/>
        </w:rPr>
        <w:t>s an exemption.</w:t>
      </w:r>
      <w:r w:rsidR="000748D3">
        <w:rPr>
          <w:rFonts w:cs="Arial"/>
        </w:rPr>
        <w:t xml:space="preserve"> This prohibition excludes products containing more than 250 mg/kg of lead acetate designed for use in hair treatments.</w:t>
      </w:r>
    </w:p>
    <w:p w14:paraId="055C5885" w14:textId="77777777" w:rsidR="008E7798" w:rsidRPr="006A7B5F" w:rsidRDefault="008E7798" w:rsidP="006A7B5F">
      <w:pPr>
        <w:pStyle w:val="Heading2"/>
        <w:rPr>
          <w:rFonts w:eastAsia="Times New Roman" w:cs="Times New Roman"/>
          <w:color w:val="51626F"/>
        </w:rPr>
      </w:pPr>
      <w:r w:rsidRPr="006A7B5F">
        <w:rPr>
          <w:rFonts w:eastAsia="Times New Roman" w:cs="Times New Roman"/>
          <w:color w:val="51626F"/>
        </w:rPr>
        <w:t>Injuries</w:t>
      </w:r>
    </w:p>
    <w:p w14:paraId="42BC8915" w14:textId="412B0C4F" w:rsidR="008E7798" w:rsidRDefault="008E7798" w:rsidP="001E6247">
      <w:pPr>
        <w:tabs>
          <w:tab w:val="left" w:pos="993"/>
        </w:tabs>
        <w:rPr>
          <w:rFonts w:cs="Arial"/>
        </w:rPr>
      </w:pPr>
      <w:r>
        <w:rPr>
          <w:rFonts w:cs="Arial"/>
        </w:rPr>
        <w:t xml:space="preserve">Suppliers are required to </w:t>
      </w:r>
      <w:r w:rsidR="00AD70FE">
        <w:rPr>
          <w:rFonts w:cs="Arial"/>
        </w:rPr>
        <w:t>submit</w:t>
      </w:r>
      <w:r>
        <w:rPr>
          <w:rFonts w:cs="Arial"/>
        </w:rPr>
        <w:t xml:space="preserve"> a mandatory injury report</w:t>
      </w:r>
      <w:r w:rsidR="00AD70FE">
        <w:rPr>
          <w:rFonts w:cs="Arial"/>
        </w:rPr>
        <w:t xml:space="preserve"> to the ACCC</w:t>
      </w:r>
      <w:r>
        <w:rPr>
          <w:rFonts w:cs="Arial"/>
        </w:rPr>
        <w:t xml:space="preserve"> when they become aware that a product they supply has caused (or may have caused) the death, serious injury or illness of a consumer.</w:t>
      </w:r>
    </w:p>
    <w:p w14:paraId="4C8E326E" w14:textId="3E52428B" w:rsidR="008E7798" w:rsidRDefault="008E7798" w:rsidP="001E6247">
      <w:pPr>
        <w:rPr>
          <w:rFonts w:cs="Arial"/>
        </w:rPr>
      </w:pPr>
      <w:r>
        <w:rPr>
          <w:rFonts w:cs="Arial"/>
        </w:rPr>
        <w:t xml:space="preserve">From 2016 to 2018, </w:t>
      </w:r>
      <w:r w:rsidR="00890452">
        <w:rPr>
          <w:rFonts w:cs="Arial"/>
        </w:rPr>
        <w:t>we</w:t>
      </w:r>
      <w:r>
        <w:rPr>
          <w:rFonts w:cs="Arial"/>
        </w:rPr>
        <w:t xml:space="preserve"> received over 900 mandatory injury reports relating to injuries sustained from cosmetic products. </w:t>
      </w:r>
      <w:r w:rsidR="001457B7">
        <w:rPr>
          <w:rFonts w:cs="Arial"/>
        </w:rPr>
        <w:t>O</w:t>
      </w:r>
      <w:r>
        <w:rPr>
          <w:rFonts w:cs="Arial"/>
        </w:rPr>
        <w:t xml:space="preserve">ver 96 per cent </w:t>
      </w:r>
      <w:r w:rsidR="00AD70FE">
        <w:rPr>
          <w:rFonts w:cs="Arial"/>
        </w:rPr>
        <w:t xml:space="preserve">of </w:t>
      </w:r>
      <w:r w:rsidR="001457B7">
        <w:rPr>
          <w:rFonts w:cs="Arial"/>
        </w:rPr>
        <w:t xml:space="preserve">these reports </w:t>
      </w:r>
      <w:r w:rsidR="00AD70FE">
        <w:rPr>
          <w:rFonts w:cs="Arial"/>
        </w:rPr>
        <w:t xml:space="preserve">were </w:t>
      </w:r>
      <w:r w:rsidR="001457B7">
        <w:rPr>
          <w:rFonts w:cs="Arial"/>
        </w:rPr>
        <w:t>for</w:t>
      </w:r>
      <w:r>
        <w:rPr>
          <w:rFonts w:cs="Arial"/>
        </w:rPr>
        <w:t xml:space="preserve"> mild reactions to cosmetics, with the most common reaction being a skin rash or contact dermatitis. </w:t>
      </w:r>
      <w:r w:rsidR="00AD70FE">
        <w:rPr>
          <w:rFonts w:cs="Arial"/>
        </w:rPr>
        <w:t>Remaining reports</w:t>
      </w:r>
      <w:r>
        <w:rPr>
          <w:rFonts w:cs="Arial"/>
        </w:rPr>
        <w:t xml:space="preserve"> </w:t>
      </w:r>
      <w:r w:rsidR="00AD70FE">
        <w:rPr>
          <w:rFonts w:cs="Arial"/>
        </w:rPr>
        <w:t>indicated</w:t>
      </w:r>
      <w:r>
        <w:rPr>
          <w:rFonts w:cs="Arial"/>
        </w:rPr>
        <w:t xml:space="preserve"> more serious reactions </w:t>
      </w:r>
      <w:r w:rsidR="00AD70FE">
        <w:rPr>
          <w:rFonts w:cs="Arial"/>
        </w:rPr>
        <w:t>including</w:t>
      </w:r>
      <w:r>
        <w:rPr>
          <w:rFonts w:cs="Arial"/>
        </w:rPr>
        <w:t xml:space="preserve"> hair loss</w:t>
      </w:r>
      <w:r w:rsidR="00AD70FE">
        <w:rPr>
          <w:rFonts w:cs="Arial"/>
        </w:rPr>
        <w:t xml:space="preserve"> and</w:t>
      </w:r>
      <w:r>
        <w:rPr>
          <w:rFonts w:cs="Arial"/>
        </w:rPr>
        <w:t xml:space="preserve"> breathing problems due to a severe allergy.</w:t>
      </w:r>
    </w:p>
    <w:p w14:paraId="72435A1C" w14:textId="260530CF" w:rsidR="005C1622" w:rsidRPr="006A7B5F" w:rsidRDefault="005C1622" w:rsidP="006A7B5F">
      <w:pPr>
        <w:pStyle w:val="Heading2"/>
        <w:rPr>
          <w:rFonts w:eastAsia="Times New Roman" w:cs="Times New Roman"/>
          <w:color w:val="51626F"/>
        </w:rPr>
      </w:pPr>
      <w:r w:rsidRPr="006A7B5F">
        <w:rPr>
          <w:rFonts w:eastAsia="Times New Roman" w:cs="Times New Roman"/>
          <w:color w:val="51626F"/>
        </w:rPr>
        <w:t>Effectiveness of the information standard</w:t>
      </w:r>
    </w:p>
    <w:p w14:paraId="50D2D5BA" w14:textId="4A52ADE9" w:rsidR="00DD0CA8" w:rsidRDefault="005C1622" w:rsidP="001E6247">
      <w:pPr>
        <w:tabs>
          <w:tab w:val="left" w:pos="993"/>
        </w:tabs>
        <w:rPr>
          <w:rFonts w:cs="Arial"/>
        </w:rPr>
      </w:pPr>
      <w:r>
        <w:rPr>
          <w:rFonts w:cs="Arial"/>
        </w:rPr>
        <w:t xml:space="preserve">These incidents </w:t>
      </w:r>
      <w:r w:rsidR="008A4E7A">
        <w:rPr>
          <w:rFonts w:cs="Arial"/>
        </w:rPr>
        <w:t xml:space="preserve">highlight that some consumers continue to </w:t>
      </w:r>
      <w:r w:rsidR="00F72ABD">
        <w:rPr>
          <w:rFonts w:cs="Arial"/>
        </w:rPr>
        <w:t xml:space="preserve">suffer </w:t>
      </w:r>
      <w:r w:rsidR="008A4E7A">
        <w:rPr>
          <w:rFonts w:cs="Arial"/>
        </w:rPr>
        <w:t xml:space="preserve">allergic reactions to cosmetic products, and </w:t>
      </w:r>
      <w:r w:rsidR="00517CC4">
        <w:rPr>
          <w:rFonts w:cs="Arial"/>
        </w:rPr>
        <w:t xml:space="preserve">confirm </w:t>
      </w:r>
      <w:r>
        <w:rPr>
          <w:rFonts w:cs="Arial"/>
        </w:rPr>
        <w:t>the ongoing importance of the information standard to provide</w:t>
      </w:r>
      <w:r w:rsidR="005F7394">
        <w:rPr>
          <w:rFonts w:cs="Arial"/>
        </w:rPr>
        <w:t xml:space="preserve"> relevant </w:t>
      </w:r>
      <w:r>
        <w:rPr>
          <w:rFonts w:cs="Arial"/>
        </w:rPr>
        <w:t xml:space="preserve">information to </w:t>
      </w:r>
      <w:r w:rsidR="00503F0B">
        <w:rPr>
          <w:rFonts w:cs="Arial"/>
        </w:rPr>
        <w:t xml:space="preserve">be readily able to be read by </w:t>
      </w:r>
      <w:r>
        <w:rPr>
          <w:rFonts w:cs="Arial"/>
        </w:rPr>
        <w:t xml:space="preserve">consumers. </w:t>
      </w:r>
      <w:r w:rsidR="005F7394">
        <w:rPr>
          <w:rFonts w:cs="Arial"/>
        </w:rPr>
        <w:t>W</w:t>
      </w:r>
      <w:r>
        <w:rPr>
          <w:rFonts w:cs="Arial"/>
        </w:rPr>
        <w:t xml:space="preserve">e have assessed that incidents of consumer </w:t>
      </w:r>
      <w:r w:rsidR="009C4952">
        <w:rPr>
          <w:rFonts w:cs="Arial"/>
        </w:rPr>
        <w:t>detriment</w:t>
      </w:r>
      <w:r>
        <w:rPr>
          <w:rFonts w:cs="Arial"/>
        </w:rPr>
        <w:t xml:space="preserve"> would </w:t>
      </w:r>
      <w:r w:rsidR="007C2DD7">
        <w:rPr>
          <w:rFonts w:cs="Arial"/>
        </w:rPr>
        <w:t xml:space="preserve">likely </w:t>
      </w:r>
      <w:r>
        <w:rPr>
          <w:rFonts w:cs="Arial"/>
        </w:rPr>
        <w:t>increase</w:t>
      </w:r>
      <w:r w:rsidR="005F7394">
        <w:rPr>
          <w:rFonts w:cs="Arial"/>
        </w:rPr>
        <w:t xml:space="preserve"> in the absence of clear and </w:t>
      </w:r>
      <w:r w:rsidR="00426C8C">
        <w:rPr>
          <w:rFonts w:cs="Arial"/>
        </w:rPr>
        <w:t xml:space="preserve">comprehensible </w:t>
      </w:r>
      <w:r w:rsidR="005F7394">
        <w:rPr>
          <w:rFonts w:cs="Arial"/>
        </w:rPr>
        <w:t>information about cosmetic ingredients</w:t>
      </w:r>
      <w:r w:rsidR="00DD0CA8">
        <w:rPr>
          <w:rFonts w:cs="Arial"/>
        </w:rPr>
        <w:t>.</w:t>
      </w:r>
    </w:p>
    <w:p w14:paraId="5E50C4E6" w14:textId="348B6664" w:rsidR="005C7388" w:rsidRDefault="005C7388" w:rsidP="001E6247">
      <w:pPr>
        <w:tabs>
          <w:tab w:val="left" w:pos="993"/>
        </w:tabs>
        <w:rPr>
          <w:rFonts w:cs="Arial"/>
        </w:rPr>
      </w:pPr>
      <w:r>
        <w:rPr>
          <w:rFonts w:cs="Arial"/>
        </w:rPr>
        <w:t xml:space="preserve">The small number of mandatory injury reports </w:t>
      </w:r>
      <w:r w:rsidR="00E03B7A">
        <w:rPr>
          <w:rFonts w:cs="Arial"/>
        </w:rPr>
        <w:t>(</w:t>
      </w:r>
      <w:r w:rsidR="00DE1D7E">
        <w:rPr>
          <w:rFonts w:cs="Arial"/>
        </w:rPr>
        <w:t>when compared</w:t>
      </w:r>
      <w:r w:rsidR="00F72ABD">
        <w:rPr>
          <w:rFonts w:cs="Arial"/>
        </w:rPr>
        <w:t xml:space="preserve"> to the abundant use of cosmetics</w:t>
      </w:r>
      <w:r w:rsidR="00E03B7A">
        <w:rPr>
          <w:rFonts w:cs="Arial"/>
        </w:rPr>
        <w:t>)</w:t>
      </w:r>
      <w:r w:rsidR="00F72ABD">
        <w:rPr>
          <w:rFonts w:cs="Arial"/>
        </w:rPr>
        <w:t xml:space="preserve"> </w:t>
      </w:r>
      <w:r>
        <w:rPr>
          <w:rFonts w:cs="Arial"/>
        </w:rPr>
        <w:t xml:space="preserve">also </w:t>
      </w:r>
      <w:r w:rsidR="00426C8C">
        <w:rPr>
          <w:rFonts w:cs="Arial"/>
        </w:rPr>
        <w:t xml:space="preserve">suggests </w:t>
      </w:r>
      <w:r>
        <w:rPr>
          <w:rFonts w:cs="Arial"/>
        </w:rPr>
        <w:t xml:space="preserve">that the information standard has </w:t>
      </w:r>
      <w:r w:rsidR="00426C8C">
        <w:rPr>
          <w:rFonts w:cs="Arial"/>
        </w:rPr>
        <w:t>contributed towards</w:t>
      </w:r>
      <w:r>
        <w:rPr>
          <w:rFonts w:cs="Arial"/>
        </w:rPr>
        <w:t xml:space="preserve"> limiting </w:t>
      </w:r>
      <w:r>
        <w:rPr>
          <w:rFonts w:cs="Arial"/>
        </w:rPr>
        <w:lastRenderedPageBreak/>
        <w:t xml:space="preserve">incidents that would have occurred in the absence of labelling requirements. </w:t>
      </w:r>
      <w:r w:rsidR="00AD3645">
        <w:rPr>
          <w:rFonts w:cs="Arial"/>
        </w:rPr>
        <w:t>This has resulted in a positive net benefit on the Australian health system</w:t>
      </w:r>
      <w:r w:rsidR="00C77276">
        <w:rPr>
          <w:rFonts w:cs="Arial"/>
        </w:rPr>
        <w:t>.</w:t>
      </w:r>
      <w:r w:rsidR="003150B1">
        <w:rPr>
          <w:rFonts w:cs="Arial"/>
        </w:rPr>
        <w:t xml:space="preserve"> It is difficult to reliably estimate the quantum of costs that would accrue in the absence of the</w:t>
      </w:r>
      <w:r w:rsidR="002F1581">
        <w:rPr>
          <w:rFonts w:cs="Arial"/>
        </w:rPr>
        <w:t xml:space="preserve"> information</w:t>
      </w:r>
      <w:r w:rsidR="003150B1">
        <w:rPr>
          <w:rFonts w:cs="Arial"/>
        </w:rPr>
        <w:t xml:space="preserve"> standard but categories of cost include the impact on the health care system, lost labour hours, consumer utility loss where they could not use the product</w:t>
      </w:r>
      <w:r w:rsidR="007C2DD7">
        <w:rPr>
          <w:rFonts w:cs="Arial"/>
        </w:rPr>
        <w:t>,</w:t>
      </w:r>
      <w:r w:rsidR="003150B1">
        <w:rPr>
          <w:rFonts w:cs="Arial"/>
        </w:rPr>
        <w:t xml:space="preserve"> and costs to suppliers from addressing consumer complaints an</w:t>
      </w:r>
      <w:r w:rsidR="00A55273">
        <w:rPr>
          <w:rFonts w:cs="Arial"/>
        </w:rPr>
        <w:t>d facilitating product returns.</w:t>
      </w:r>
    </w:p>
    <w:p w14:paraId="341DC184" w14:textId="6C8DA7B8" w:rsidR="00E26483" w:rsidRDefault="00E26483" w:rsidP="00E26483">
      <w:pPr>
        <w:tabs>
          <w:tab w:val="left" w:pos="993"/>
        </w:tabs>
        <w:rPr>
          <w:rFonts w:cs="Arial"/>
        </w:rPr>
      </w:pPr>
      <w:r w:rsidRPr="00B70602">
        <w:rPr>
          <w:rFonts w:cs="Arial"/>
        </w:rPr>
        <w:t xml:space="preserve">As the information standard is limited to the provision of information already available to manufacturers and suppliers (via a label), it is achieved at a small input cost </w:t>
      </w:r>
      <w:r w:rsidR="00183AE1">
        <w:rPr>
          <w:rFonts w:cs="Arial"/>
        </w:rPr>
        <w:t>on</w:t>
      </w:r>
      <w:r w:rsidRPr="00B70602">
        <w:rPr>
          <w:rFonts w:cs="Arial"/>
        </w:rPr>
        <w:t xml:space="preserve"> production</w:t>
      </w:r>
      <w:r w:rsidR="003150B1" w:rsidRPr="00B70602">
        <w:rPr>
          <w:rFonts w:cs="Arial"/>
        </w:rPr>
        <w:t xml:space="preserve"> to produce and apply a label or to provide this information via an alternative means</w:t>
      </w:r>
      <w:r w:rsidRPr="00B70602">
        <w:rPr>
          <w:rFonts w:cs="Arial"/>
        </w:rPr>
        <w:t>.</w:t>
      </w:r>
      <w:r w:rsidR="003150B1" w:rsidRPr="00B70602">
        <w:rPr>
          <w:rFonts w:cs="Arial"/>
        </w:rPr>
        <w:t xml:space="preserve"> </w:t>
      </w:r>
      <w:r w:rsidR="003B41DA" w:rsidRPr="00B70602">
        <w:rPr>
          <w:rFonts w:cs="Arial"/>
        </w:rPr>
        <w:t>Notwithstanding this</w:t>
      </w:r>
      <w:r w:rsidR="003150B1" w:rsidRPr="00B70602">
        <w:rPr>
          <w:rFonts w:cs="Arial"/>
        </w:rPr>
        <w:t xml:space="preserve">, we </w:t>
      </w:r>
      <w:r w:rsidR="00B70602">
        <w:rPr>
          <w:rFonts w:cs="Arial"/>
        </w:rPr>
        <w:t>understand</w:t>
      </w:r>
      <w:r w:rsidR="003150B1" w:rsidRPr="00B70602">
        <w:rPr>
          <w:rFonts w:cs="Arial"/>
        </w:rPr>
        <w:t xml:space="preserve"> there </w:t>
      </w:r>
      <w:r w:rsidR="003B41DA" w:rsidRPr="00B70602">
        <w:rPr>
          <w:rFonts w:cs="Arial"/>
        </w:rPr>
        <w:t>would be</w:t>
      </w:r>
      <w:r w:rsidR="003150B1" w:rsidRPr="00B70602">
        <w:rPr>
          <w:rFonts w:cs="Arial"/>
        </w:rPr>
        <w:t xml:space="preserve"> costs </w:t>
      </w:r>
      <w:r w:rsidR="003B41DA" w:rsidRPr="00B70602">
        <w:rPr>
          <w:rFonts w:cs="Arial"/>
        </w:rPr>
        <w:t>borne by</w:t>
      </w:r>
      <w:r w:rsidR="003150B1" w:rsidRPr="00B70602">
        <w:rPr>
          <w:rFonts w:cs="Arial"/>
        </w:rPr>
        <w:t xml:space="preserve"> suppliers to establish and maintain a compliance framework to ensure that </w:t>
      </w:r>
      <w:r w:rsidR="007C2DD7">
        <w:rPr>
          <w:rFonts w:cs="Arial"/>
        </w:rPr>
        <w:t xml:space="preserve">products are </w:t>
      </w:r>
      <w:r w:rsidR="003150B1" w:rsidRPr="00B70602">
        <w:rPr>
          <w:rFonts w:cs="Arial"/>
        </w:rPr>
        <w:t>labelled</w:t>
      </w:r>
      <w:r w:rsidR="00B70602">
        <w:rPr>
          <w:rFonts w:cs="Arial"/>
        </w:rPr>
        <w:t xml:space="preserve"> according </w:t>
      </w:r>
      <w:r w:rsidR="003150B1" w:rsidRPr="00B70602">
        <w:rPr>
          <w:rFonts w:cs="Arial"/>
        </w:rPr>
        <w:t xml:space="preserve">to the requirements of the information standard </w:t>
      </w:r>
      <w:r w:rsidR="00B70602">
        <w:rPr>
          <w:rFonts w:cs="Arial"/>
        </w:rPr>
        <w:t>(e.g.</w:t>
      </w:r>
      <w:r w:rsidR="003150B1" w:rsidRPr="00B70602">
        <w:rPr>
          <w:rFonts w:cs="Arial"/>
        </w:rPr>
        <w:t xml:space="preserve"> labour, search and documentation costs</w:t>
      </w:r>
      <w:r w:rsidR="00B70602">
        <w:rPr>
          <w:rFonts w:cs="Arial"/>
        </w:rPr>
        <w:t>)</w:t>
      </w:r>
      <w:r w:rsidR="003150B1" w:rsidRPr="00B70602">
        <w:rPr>
          <w:rFonts w:cs="Arial"/>
        </w:rPr>
        <w:t>.</w:t>
      </w:r>
    </w:p>
    <w:p w14:paraId="2D7F1FBC" w14:textId="62D8E03C" w:rsidR="00D33AE6" w:rsidRPr="00AC5BA1" w:rsidRDefault="00792A6E" w:rsidP="00A31114">
      <w:pPr>
        <w:pStyle w:val="Numbered1"/>
        <w:numPr>
          <w:ilvl w:val="0"/>
          <w:numId w:val="12"/>
        </w:numPr>
        <w:ind w:left="357" w:hanging="357"/>
        <w:rPr>
          <w:rFonts w:ascii="Lucida Fax" w:hAnsi="Lucida Fax"/>
          <w:color w:val="51626F"/>
        </w:rPr>
      </w:pPr>
      <w:bookmarkStart w:id="15" w:name="_Toc17366902"/>
      <w:r w:rsidRPr="00AC5BA1">
        <w:rPr>
          <w:rFonts w:ascii="Lucida Fax" w:hAnsi="Lucida Fax"/>
          <w:color w:val="51626F"/>
        </w:rPr>
        <w:t>Compliance</w:t>
      </w:r>
      <w:bookmarkEnd w:id="15"/>
    </w:p>
    <w:p w14:paraId="39D22D37" w14:textId="65FF423D" w:rsidR="0051122A" w:rsidRDefault="00553566" w:rsidP="001E6247">
      <w:pPr>
        <w:spacing w:line="220" w:lineRule="atLeast"/>
        <w:rPr>
          <w:rFonts w:cs="Arial"/>
        </w:rPr>
      </w:pPr>
      <w:r>
        <w:rPr>
          <w:rFonts w:cs="Arial"/>
        </w:rPr>
        <w:t>T</w:t>
      </w:r>
      <w:r w:rsidR="00443569">
        <w:rPr>
          <w:rFonts w:cs="Arial"/>
        </w:rPr>
        <w:t xml:space="preserve">he ACCC has identified high levels of compliance with the </w:t>
      </w:r>
      <w:r w:rsidR="00DE1D7E">
        <w:rPr>
          <w:rFonts w:cs="Arial"/>
        </w:rPr>
        <w:t xml:space="preserve">information </w:t>
      </w:r>
      <w:r w:rsidR="00443569">
        <w:rPr>
          <w:rFonts w:cs="Arial"/>
        </w:rPr>
        <w:t>standard</w:t>
      </w:r>
      <w:r w:rsidR="004B5271">
        <w:rPr>
          <w:rFonts w:cs="Arial"/>
        </w:rPr>
        <w:t xml:space="preserve"> among the </w:t>
      </w:r>
      <w:r w:rsidR="00443569">
        <w:rPr>
          <w:rFonts w:cs="Arial"/>
        </w:rPr>
        <w:t>major brands sold at retail level, and</w:t>
      </w:r>
      <w:r>
        <w:rPr>
          <w:rFonts w:cs="Arial"/>
        </w:rPr>
        <w:t xml:space="preserve"> concluded</w:t>
      </w:r>
      <w:r w:rsidR="00443569">
        <w:rPr>
          <w:rFonts w:cs="Arial"/>
        </w:rPr>
        <w:t xml:space="preserve"> that major </w:t>
      </w:r>
      <w:r w:rsidR="004B5271">
        <w:rPr>
          <w:rFonts w:cs="Arial"/>
        </w:rPr>
        <w:t xml:space="preserve">suppliers </w:t>
      </w:r>
      <w:r w:rsidR="00443569">
        <w:rPr>
          <w:rFonts w:cs="Arial"/>
        </w:rPr>
        <w:t>are aware of its requirements.</w:t>
      </w:r>
    </w:p>
    <w:p w14:paraId="6F5139EA" w14:textId="60CE7F0D" w:rsidR="00151F7D" w:rsidRDefault="00553566" w:rsidP="001E6247">
      <w:pPr>
        <w:spacing w:line="220" w:lineRule="atLeast"/>
        <w:rPr>
          <w:rFonts w:cs="Arial"/>
        </w:rPr>
      </w:pPr>
      <w:r w:rsidRPr="0051122A">
        <w:rPr>
          <w:rFonts w:cs="Arial"/>
        </w:rPr>
        <w:t>N</w:t>
      </w:r>
      <w:r w:rsidR="007A6F5C" w:rsidRPr="0051122A">
        <w:rPr>
          <w:rFonts w:cs="Arial"/>
        </w:rPr>
        <w:t xml:space="preserve">on-compliance </w:t>
      </w:r>
      <w:r w:rsidR="00FD79E5" w:rsidRPr="0051122A">
        <w:rPr>
          <w:rFonts w:cs="Arial"/>
        </w:rPr>
        <w:t xml:space="preserve">has been </w:t>
      </w:r>
      <w:r w:rsidR="007A6F5C" w:rsidRPr="0051122A">
        <w:rPr>
          <w:rFonts w:cs="Arial"/>
        </w:rPr>
        <w:t>detected</w:t>
      </w:r>
      <w:r w:rsidR="0051122A" w:rsidRPr="0051122A">
        <w:rPr>
          <w:rFonts w:cs="Arial"/>
        </w:rPr>
        <w:t xml:space="preserve"> </w:t>
      </w:r>
      <w:r w:rsidRPr="0051122A">
        <w:rPr>
          <w:rFonts w:cs="Arial"/>
        </w:rPr>
        <w:t>in</w:t>
      </w:r>
      <w:r w:rsidR="007A6F5C" w:rsidRPr="0051122A">
        <w:rPr>
          <w:rFonts w:cs="Arial"/>
        </w:rPr>
        <w:t xml:space="preserve"> the</w:t>
      </w:r>
      <w:r w:rsidR="004B5271" w:rsidRPr="0051122A">
        <w:rPr>
          <w:rFonts w:cs="Arial"/>
        </w:rPr>
        <w:t xml:space="preserve"> online market and among</w:t>
      </w:r>
      <w:r w:rsidR="00563279" w:rsidRPr="0051122A">
        <w:rPr>
          <w:rFonts w:cs="Arial"/>
        </w:rPr>
        <w:t xml:space="preserve"> some</w:t>
      </w:r>
      <w:r w:rsidR="004B5271" w:rsidRPr="0051122A">
        <w:rPr>
          <w:rFonts w:cs="Arial"/>
        </w:rPr>
        <w:t xml:space="preserve"> </w:t>
      </w:r>
      <w:r w:rsidR="000A1361" w:rsidRPr="0051122A">
        <w:rPr>
          <w:rFonts w:cs="Arial"/>
        </w:rPr>
        <w:t>independent</w:t>
      </w:r>
      <w:r w:rsidR="004B5271" w:rsidRPr="0051122A">
        <w:rPr>
          <w:rFonts w:cs="Arial"/>
        </w:rPr>
        <w:t xml:space="preserve"> </w:t>
      </w:r>
      <w:r w:rsidR="005D150D">
        <w:rPr>
          <w:rFonts w:cs="Arial"/>
        </w:rPr>
        <w:t xml:space="preserve">retailers that </w:t>
      </w:r>
      <w:r w:rsidR="005D150D" w:rsidRPr="00D23C3A">
        <w:rPr>
          <w:rFonts w:cs="Arial"/>
        </w:rPr>
        <w:t xml:space="preserve">supply branded </w:t>
      </w:r>
      <w:r w:rsidR="005D150D">
        <w:rPr>
          <w:rFonts w:cs="Arial"/>
        </w:rPr>
        <w:t xml:space="preserve">and unbranded </w:t>
      </w:r>
      <w:r w:rsidR="005D150D" w:rsidRPr="00D23C3A">
        <w:rPr>
          <w:rFonts w:cs="Arial"/>
        </w:rPr>
        <w:t>product</w:t>
      </w:r>
      <w:r w:rsidR="005D150D">
        <w:rPr>
          <w:rFonts w:cs="Arial"/>
        </w:rPr>
        <w:t>s</w:t>
      </w:r>
      <w:r w:rsidR="005D150D" w:rsidRPr="00D23C3A">
        <w:rPr>
          <w:rFonts w:cs="Arial"/>
        </w:rPr>
        <w:t xml:space="preserve"> </w:t>
      </w:r>
      <w:r w:rsidR="005D150D">
        <w:rPr>
          <w:rFonts w:cs="Arial"/>
        </w:rPr>
        <w:t>intended</w:t>
      </w:r>
      <w:r w:rsidR="005D150D" w:rsidRPr="00D23C3A">
        <w:rPr>
          <w:rFonts w:cs="Arial"/>
        </w:rPr>
        <w:t xml:space="preserve"> for the local market from which they are imported (e.g. Japan or China)</w:t>
      </w:r>
      <w:r w:rsidR="005D150D">
        <w:rPr>
          <w:rFonts w:cs="Arial"/>
        </w:rPr>
        <w:t>.</w:t>
      </w:r>
      <w:r w:rsidR="00563279" w:rsidRPr="0051122A">
        <w:rPr>
          <w:rFonts w:cs="Arial"/>
        </w:rPr>
        <w:t xml:space="preserve"> </w:t>
      </w:r>
      <w:r w:rsidR="00C21032">
        <w:rPr>
          <w:rFonts w:cs="Arial"/>
        </w:rPr>
        <w:t>By</w:t>
      </w:r>
      <w:r w:rsidR="00563279" w:rsidRPr="0051122A">
        <w:rPr>
          <w:rFonts w:cs="Arial"/>
        </w:rPr>
        <w:t xml:space="preserve"> way of example,</w:t>
      </w:r>
      <w:r w:rsidR="00C21032">
        <w:rPr>
          <w:rFonts w:cs="Arial"/>
        </w:rPr>
        <w:t xml:space="preserve"> in 2018</w:t>
      </w:r>
      <w:r w:rsidR="00563279" w:rsidRPr="0051122A">
        <w:rPr>
          <w:rFonts w:cs="Arial"/>
        </w:rPr>
        <w:t xml:space="preserve"> </w:t>
      </w:r>
      <w:r w:rsidR="007A6F5C" w:rsidRPr="0051122A">
        <w:rPr>
          <w:rFonts w:cs="Arial"/>
        </w:rPr>
        <w:t>t</w:t>
      </w:r>
      <w:r w:rsidR="000A1361" w:rsidRPr="0051122A">
        <w:rPr>
          <w:rFonts w:cs="Arial"/>
        </w:rPr>
        <w:t xml:space="preserve">hirteen </w:t>
      </w:r>
      <w:r w:rsidR="007A6F5C" w:rsidRPr="0051122A">
        <w:rPr>
          <w:rFonts w:cs="Arial"/>
        </w:rPr>
        <w:t xml:space="preserve">cosmetic </w:t>
      </w:r>
      <w:r w:rsidR="000A1361" w:rsidRPr="0051122A">
        <w:rPr>
          <w:rFonts w:cs="Arial"/>
        </w:rPr>
        <w:t xml:space="preserve">products were recalled for </w:t>
      </w:r>
      <w:r w:rsidR="00D41C51" w:rsidRPr="0051122A">
        <w:rPr>
          <w:rFonts w:cs="Arial"/>
        </w:rPr>
        <w:t xml:space="preserve">failing to </w:t>
      </w:r>
      <w:r w:rsidR="000A1361" w:rsidRPr="0051122A">
        <w:rPr>
          <w:rFonts w:cs="Arial"/>
        </w:rPr>
        <w:t>provid</w:t>
      </w:r>
      <w:r w:rsidR="00D41C51" w:rsidRPr="0051122A">
        <w:rPr>
          <w:rFonts w:cs="Arial"/>
        </w:rPr>
        <w:t>e</w:t>
      </w:r>
      <w:r w:rsidR="000A1361" w:rsidRPr="0051122A">
        <w:rPr>
          <w:rFonts w:cs="Arial"/>
        </w:rPr>
        <w:t xml:space="preserve"> ingredient</w:t>
      </w:r>
      <w:r w:rsidR="009304AB" w:rsidRPr="0051122A">
        <w:rPr>
          <w:rFonts w:cs="Arial"/>
        </w:rPr>
        <w:t>s</w:t>
      </w:r>
      <w:r w:rsidR="004B5271" w:rsidRPr="0051122A">
        <w:rPr>
          <w:rFonts w:cs="Arial"/>
        </w:rPr>
        <w:t xml:space="preserve"> in </w:t>
      </w:r>
      <w:r w:rsidR="00D41C51" w:rsidRPr="0051122A">
        <w:rPr>
          <w:rFonts w:cs="Arial"/>
        </w:rPr>
        <w:t xml:space="preserve">either </w:t>
      </w:r>
      <w:r w:rsidR="004B5271" w:rsidRPr="0051122A">
        <w:rPr>
          <w:rFonts w:cs="Arial"/>
        </w:rPr>
        <w:t>English or by their INCI</w:t>
      </w:r>
      <w:r w:rsidR="00427F18" w:rsidRPr="0051122A">
        <w:rPr>
          <w:rFonts w:cs="Arial"/>
        </w:rPr>
        <w:t xml:space="preserve"> names</w:t>
      </w:r>
      <w:r w:rsidR="00B413A2">
        <w:rPr>
          <w:rFonts w:cs="Arial"/>
        </w:rPr>
        <w:t>,</w:t>
      </w:r>
      <w:r w:rsidR="005D150D">
        <w:rPr>
          <w:rFonts w:cs="Arial"/>
        </w:rPr>
        <w:t xml:space="preserve"> in breach of the information standard</w:t>
      </w:r>
      <w:r w:rsidR="00161D86" w:rsidRPr="0051122A">
        <w:rPr>
          <w:rFonts w:cs="Arial"/>
        </w:rPr>
        <w:t>.</w:t>
      </w:r>
    </w:p>
    <w:p w14:paraId="4D9D2D74" w14:textId="6B08EBDE" w:rsidR="005D150D" w:rsidRPr="005D150D" w:rsidRDefault="005D150D" w:rsidP="001E6247">
      <w:pPr>
        <w:spacing w:line="220" w:lineRule="atLeast"/>
        <w:rPr>
          <w:rFonts w:eastAsiaTheme="majorEastAsia" w:cs="Arial"/>
          <w:bCs/>
        </w:rPr>
      </w:pPr>
      <w:r>
        <w:rPr>
          <w:rFonts w:eastAsiaTheme="majorEastAsia" w:cs="Arial"/>
          <w:bCs/>
        </w:rPr>
        <w:t>T</w:t>
      </w:r>
      <w:r>
        <w:t xml:space="preserve">he ACCC continues to undertake surveillance and liaise with these suppliers to raise awareness about their responsibilities under the </w:t>
      </w:r>
      <w:r w:rsidR="002A252C">
        <w:t xml:space="preserve">information </w:t>
      </w:r>
      <w:r>
        <w:t>standard and mitigate the issue. This type of engagement has proven effective in past surveillance activities, as evidenced by the high levels of compliance</w:t>
      </w:r>
      <w:r w:rsidR="00FB0349">
        <w:t>.</w:t>
      </w:r>
    </w:p>
    <w:p w14:paraId="3312E6FE" w14:textId="3E6DF5A3" w:rsidR="000A1361" w:rsidRDefault="00035767" w:rsidP="001E6247">
      <w:pPr>
        <w:spacing w:line="220" w:lineRule="atLeast"/>
        <w:rPr>
          <w:rFonts w:cs="Arial"/>
        </w:rPr>
      </w:pPr>
      <w:r w:rsidRPr="0051122A">
        <w:rPr>
          <w:rFonts w:cs="Arial"/>
        </w:rPr>
        <w:t>An</w:t>
      </w:r>
      <w:r w:rsidR="000A1361" w:rsidRPr="0051122A">
        <w:rPr>
          <w:rFonts w:cs="Arial"/>
        </w:rPr>
        <w:t xml:space="preserve">other </w:t>
      </w:r>
      <w:r w:rsidR="00482743">
        <w:rPr>
          <w:rFonts w:cs="Arial"/>
        </w:rPr>
        <w:t>category</w:t>
      </w:r>
      <w:r w:rsidR="000A1361" w:rsidRPr="0051122A">
        <w:rPr>
          <w:rFonts w:cs="Arial"/>
        </w:rPr>
        <w:t xml:space="preserve"> of non-compliance </w:t>
      </w:r>
      <w:r w:rsidR="00D41C51" w:rsidRPr="0051122A">
        <w:rPr>
          <w:rFonts w:cs="Arial"/>
        </w:rPr>
        <w:t xml:space="preserve">was </w:t>
      </w:r>
      <w:r w:rsidR="00183AE1">
        <w:rPr>
          <w:rFonts w:cs="Arial"/>
        </w:rPr>
        <w:t xml:space="preserve">in the discount and </w:t>
      </w:r>
      <w:r w:rsidR="000A1361" w:rsidRPr="0051122A">
        <w:rPr>
          <w:rFonts w:cs="Arial"/>
        </w:rPr>
        <w:t xml:space="preserve">variety sector </w:t>
      </w:r>
      <w:r w:rsidR="00482743">
        <w:rPr>
          <w:rFonts w:cs="Arial"/>
        </w:rPr>
        <w:t>which supplies</w:t>
      </w:r>
      <w:r w:rsidR="000A1361" w:rsidRPr="0051122A">
        <w:rPr>
          <w:rFonts w:cs="Arial"/>
        </w:rPr>
        <w:t xml:space="preserve"> toy and novelty products</w:t>
      </w:r>
      <w:r w:rsidR="00482743">
        <w:rPr>
          <w:rFonts w:cs="Arial"/>
        </w:rPr>
        <w:t xml:space="preserve"> that, as a cosmetic, must meet the requirements of the information standard</w:t>
      </w:r>
      <w:r w:rsidR="000A1361" w:rsidRPr="0051122A">
        <w:rPr>
          <w:rFonts w:cs="Arial"/>
        </w:rPr>
        <w:t xml:space="preserve">. </w:t>
      </w:r>
      <w:r w:rsidR="007D2FE0" w:rsidRPr="0051122A">
        <w:rPr>
          <w:rFonts w:cs="Arial"/>
        </w:rPr>
        <w:t xml:space="preserve">These </w:t>
      </w:r>
      <w:r w:rsidR="00D41C51" w:rsidRPr="0051122A">
        <w:rPr>
          <w:rFonts w:cs="Arial"/>
        </w:rPr>
        <w:t xml:space="preserve">suppliers </w:t>
      </w:r>
      <w:r w:rsidR="000A1361" w:rsidRPr="0051122A">
        <w:rPr>
          <w:rFonts w:cs="Arial"/>
        </w:rPr>
        <w:t xml:space="preserve">are </w:t>
      </w:r>
      <w:r w:rsidR="007D2FE0" w:rsidRPr="0051122A">
        <w:rPr>
          <w:rFonts w:cs="Arial"/>
        </w:rPr>
        <w:t xml:space="preserve">mainly </w:t>
      </w:r>
      <w:r w:rsidR="000A1361" w:rsidRPr="0051122A">
        <w:rPr>
          <w:rFonts w:cs="Arial"/>
        </w:rPr>
        <w:t xml:space="preserve">sole traders that </w:t>
      </w:r>
      <w:r w:rsidR="007D2FE0" w:rsidRPr="0051122A">
        <w:rPr>
          <w:rFonts w:cs="Arial"/>
        </w:rPr>
        <w:t xml:space="preserve">supply </w:t>
      </w:r>
      <w:r w:rsidR="00D41C51" w:rsidRPr="0051122A">
        <w:rPr>
          <w:rFonts w:cs="Arial"/>
        </w:rPr>
        <w:t xml:space="preserve">a vast range of products including </w:t>
      </w:r>
      <w:r w:rsidR="000A1361" w:rsidRPr="0051122A">
        <w:rPr>
          <w:rFonts w:cs="Arial"/>
        </w:rPr>
        <w:t>face paint</w:t>
      </w:r>
      <w:r w:rsidR="00FD79E5" w:rsidRPr="0051122A">
        <w:rPr>
          <w:rFonts w:cs="Arial"/>
        </w:rPr>
        <w:t>s</w:t>
      </w:r>
      <w:r w:rsidR="000A1361" w:rsidRPr="0051122A">
        <w:rPr>
          <w:rFonts w:cs="Arial"/>
        </w:rPr>
        <w:t>, fake blood and temporary tattoos</w:t>
      </w:r>
      <w:r w:rsidR="008C07B2" w:rsidRPr="0051122A">
        <w:rPr>
          <w:rFonts w:cs="Arial"/>
        </w:rPr>
        <w:t>.</w:t>
      </w:r>
      <w:r w:rsidR="007D2FE0" w:rsidRPr="0051122A">
        <w:rPr>
          <w:rFonts w:cs="Arial"/>
        </w:rPr>
        <w:t xml:space="preserve"> </w:t>
      </w:r>
      <w:r w:rsidR="00482743">
        <w:rPr>
          <w:rFonts w:cs="Arial"/>
        </w:rPr>
        <w:t>Some of t</w:t>
      </w:r>
      <w:r w:rsidR="008C07B2" w:rsidRPr="0051122A">
        <w:rPr>
          <w:rFonts w:cs="Arial"/>
        </w:rPr>
        <w:t>he</w:t>
      </w:r>
      <w:r w:rsidR="00D41C51" w:rsidRPr="0051122A">
        <w:rPr>
          <w:rFonts w:cs="Arial"/>
        </w:rPr>
        <w:t>se suppliers</w:t>
      </w:r>
      <w:r w:rsidR="00482743">
        <w:rPr>
          <w:rFonts w:cs="Arial"/>
        </w:rPr>
        <w:t xml:space="preserve"> and the associated product manufacturers</w:t>
      </w:r>
      <w:r w:rsidR="00D41C51" w:rsidRPr="0051122A">
        <w:rPr>
          <w:rFonts w:cs="Arial"/>
        </w:rPr>
        <w:t xml:space="preserve"> </w:t>
      </w:r>
      <w:r w:rsidR="008C07B2" w:rsidRPr="0051122A">
        <w:rPr>
          <w:rFonts w:cs="Arial"/>
        </w:rPr>
        <w:t xml:space="preserve">may </w:t>
      </w:r>
      <w:r w:rsidR="003150B1">
        <w:rPr>
          <w:rFonts w:cs="Arial"/>
        </w:rPr>
        <w:t>have been</w:t>
      </w:r>
      <w:r w:rsidR="008C07B2" w:rsidRPr="0051122A">
        <w:rPr>
          <w:rFonts w:cs="Arial"/>
        </w:rPr>
        <w:t xml:space="preserve"> </w:t>
      </w:r>
      <w:r w:rsidR="007D2FE0" w:rsidRPr="0051122A">
        <w:rPr>
          <w:rFonts w:cs="Arial"/>
        </w:rPr>
        <w:t xml:space="preserve">unaware </w:t>
      </w:r>
      <w:r w:rsidRPr="0051122A">
        <w:rPr>
          <w:rFonts w:cs="Arial"/>
        </w:rPr>
        <w:t>of the information standard</w:t>
      </w:r>
      <w:r w:rsidR="00DE1D7E">
        <w:rPr>
          <w:rFonts w:cs="Arial"/>
        </w:rPr>
        <w:t xml:space="preserve"> and its requirements</w:t>
      </w:r>
      <w:r w:rsidR="008C07B2" w:rsidRPr="0051122A">
        <w:rPr>
          <w:rFonts w:cs="Arial"/>
        </w:rPr>
        <w:t>,</w:t>
      </w:r>
      <w:r w:rsidR="00482743">
        <w:rPr>
          <w:rFonts w:cs="Arial"/>
        </w:rPr>
        <w:t xml:space="preserve"> </w:t>
      </w:r>
      <w:r w:rsidR="00B3217B">
        <w:rPr>
          <w:rFonts w:cs="Arial"/>
        </w:rPr>
        <w:t>or</w:t>
      </w:r>
      <w:r w:rsidR="00482743">
        <w:rPr>
          <w:rFonts w:cs="Arial"/>
        </w:rPr>
        <w:t xml:space="preserve"> may not be aware that these products are defined as a cosmetic for the purpose of the information standard.</w:t>
      </w:r>
      <w:r w:rsidR="007D2FE0" w:rsidRPr="0051122A">
        <w:rPr>
          <w:rFonts w:cs="Arial"/>
        </w:rPr>
        <w:t xml:space="preserve"> </w:t>
      </w:r>
      <w:r w:rsidR="00D41C51" w:rsidRPr="0051122A">
        <w:rPr>
          <w:rFonts w:cs="Arial"/>
        </w:rPr>
        <w:t>In 2018</w:t>
      </w:r>
      <w:r w:rsidRPr="0051122A">
        <w:rPr>
          <w:rFonts w:cs="Arial"/>
        </w:rPr>
        <w:t>, by way of example,</w:t>
      </w:r>
      <w:r w:rsidR="00D41C51" w:rsidRPr="0051122A">
        <w:rPr>
          <w:rFonts w:cs="Arial"/>
        </w:rPr>
        <w:t xml:space="preserve"> there were s</w:t>
      </w:r>
      <w:r w:rsidR="007D2FE0" w:rsidRPr="0051122A">
        <w:rPr>
          <w:rFonts w:cs="Arial"/>
        </w:rPr>
        <w:t xml:space="preserve">ix recalls </w:t>
      </w:r>
      <w:r w:rsidR="00D41C51" w:rsidRPr="0051122A">
        <w:rPr>
          <w:rFonts w:cs="Arial"/>
        </w:rPr>
        <w:t>of face paints and temporary tattoos</w:t>
      </w:r>
      <w:r w:rsidR="004973A2" w:rsidRPr="0051122A">
        <w:rPr>
          <w:rFonts w:cs="Arial"/>
        </w:rPr>
        <w:t xml:space="preserve">, none of these recalled products </w:t>
      </w:r>
      <w:r w:rsidR="00FD79E5" w:rsidRPr="0051122A">
        <w:rPr>
          <w:rFonts w:cs="Arial"/>
        </w:rPr>
        <w:t xml:space="preserve">contained </w:t>
      </w:r>
      <w:r w:rsidR="004973A2" w:rsidRPr="0051122A">
        <w:rPr>
          <w:rFonts w:cs="Arial"/>
        </w:rPr>
        <w:t>a list of ingredients.</w:t>
      </w:r>
    </w:p>
    <w:p w14:paraId="30226C07" w14:textId="6778ADFE" w:rsidR="00151F7D" w:rsidRDefault="004973A2" w:rsidP="001E6247">
      <w:pPr>
        <w:spacing w:line="220" w:lineRule="atLeast"/>
        <w:rPr>
          <w:rFonts w:cs="Arial"/>
        </w:rPr>
      </w:pPr>
      <w:r>
        <w:rPr>
          <w:rFonts w:cs="Arial"/>
        </w:rPr>
        <w:t>In 2011 and 2015</w:t>
      </w:r>
      <w:r w:rsidR="003F72A1">
        <w:rPr>
          <w:rFonts w:cs="Arial"/>
        </w:rPr>
        <w:t>,</w:t>
      </w:r>
      <w:r>
        <w:rPr>
          <w:rFonts w:cs="Arial"/>
        </w:rPr>
        <w:t xml:space="preserve"> t</w:t>
      </w:r>
      <w:r w:rsidR="007D2FE0">
        <w:rPr>
          <w:rFonts w:cs="Arial"/>
        </w:rPr>
        <w:t>he ACCC conducted audits</w:t>
      </w:r>
      <w:r>
        <w:rPr>
          <w:rFonts w:cs="Arial"/>
        </w:rPr>
        <w:t xml:space="preserve"> </w:t>
      </w:r>
      <w:r w:rsidR="00CF753F">
        <w:rPr>
          <w:rFonts w:cs="Arial"/>
        </w:rPr>
        <w:t xml:space="preserve">on a range of cosmetics </w:t>
      </w:r>
      <w:r>
        <w:rPr>
          <w:rFonts w:cs="Arial"/>
        </w:rPr>
        <w:t>to verify the</w:t>
      </w:r>
      <w:r w:rsidR="00CF753F">
        <w:rPr>
          <w:rFonts w:cs="Arial"/>
        </w:rPr>
        <w:t>ir</w:t>
      </w:r>
      <w:r>
        <w:rPr>
          <w:rFonts w:cs="Arial"/>
        </w:rPr>
        <w:t xml:space="preserve"> ingredient content</w:t>
      </w:r>
      <w:r w:rsidR="00CF753F">
        <w:rPr>
          <w:rFonts w:cs="Arial"/>
        </w:rPr>
        <w:t>s</w:t>
      </w:r>
      <w:r>
        <w:rPr>
          <w:rFonts w:cs="Arial"/>
        </w:rPr>
        <w:t xml:space="preserve"> </w:t>
      </w:r>
      <w:r w:rsidR="007D2FE0">
        <w:rPr>
          <w:rFonts w:cs="Arial"/>
        </w:rPr>
        <w:t xml:space="preserve">following </w:t>
      </w:r>
      <w:r w:rsidR="00CF753F">
        <w:rPr>
          <w:rFonts w:cs="Arial"/>
        </w:rPr>
        <w:t>a</w:t>
      </w:r>
      <w:r w:rsidR="00482962">
        <w:rPr>
          <w:rFonts w:cs="Arial"/>
        </w:rPr>
        <w:t>n increase in the</w:t>
      </w:r>
      <w:r w:rsidR="00B54E94">
        <w:rPr>
          <w:rFonts w:cs="Arial"/>
        </w:rPr>
        <w:t xml:space="preserve"> </w:t>
      </w:r>
      <w:r w:rsidR="007D2FE0">
        <w:rPr>
          <w:rFonts w:cs="Arial"/>
        </w:rPr>
        <w:t xml:space="preserve">number of mandatory injury reports. </w:t>
      </w:r>
      <w:r>
        <w:rPr>
          <w:rFonts w:cs="Arial"/>
        </w:rPr>
        <w:t>Alt</w:t>
      </w:r>
      <w:r w:rsidR="008305C0">
        <w:rPr>
          <w:rFonts w:cs="Arial"/>
        </w:rPr>
        <w:t>hough the</w:t>
      </w:r>
      <w:r w:rsidR="007D2FE0">
        <w:rPr>
          <w:rFonts w:cs="Arial"/>
        </w:rPr>
        <w:t xml:space="preserve"> </w:t>
      </w:r>
      <w:r w:rsidR="008C07B2">
        <w:rPr>
          <w:rFonts w:cs="Arial"/>
        </w:rPr>
        <w:t xml:space="preserve">majority of reports </w:t>
      </w:r>
      <w:r w:rsidR="007D2FE0">
        <w:rPr>
          <w:rFonts w:cs="Arial"/>
        </w:rPr>
        <w:t xml:space="preserve">were </w:t>
      </w:r>
      <w:r w:rsidR="008C07B2">
        <w:rPr>
          <w:rFonts w:cs="Arial"/>
        </w:rPr>
        <w:t xml:space="preserve">for </w:t>
      </w:r>
      <w:r w:rsidR="007D2FE0">
        <w:rPr>
          <w:rFonts w:cs="Arial"/>
        </w:rPr>
        <w:t>minor</w:t>
      </w:r>
      <w:r w:rsidR="00766CE7">
        <w:rPr>
          <w:rFonts w:cs="Arial"/>
        </w:rPr>
        <w:t xml:space="preserve"> </w:t>
      </w:r>
      <w:r w:rsidR="00096A2F">
        <w:rPr>
          <w:rFonts w:cs="Arial"/>
        </w:rPr>
        <w:t xml:space="preserve">and short-lived </w:t>
      </w:r>
      <w:r w:rsidR="00766CE7">
        <w:rPr>
          <w:rFonts w:cs="Arial"/>
        </w:rPr>
        <w:t xml:space="preserve">reactions </w:t>
      </w:r>
      <w:r w:rsidR="008C07B2">
        <w:rPr>
          <w:rFonts w:cs="Arial"/>
        </w:rPr>
        <w:t>to</w:t>
      </w:r>
      <w:r w:rsidR="00766CE7">
        <w:rPr>
          <w:rFonts w:cs="Arial"/>
        </w:rPr>
        <w:t xml:space="preserve"> product</w:t>
      </w:r>
      <w:r w:rsidR="008C07B2">
        <w:rPr>
          <w:rFonts w:cs="Arial"/>
        </w:rPr>
        <w:t>s</w:t>
      </w:r>
      <w:r w:rsidR="00766CE7">
        <w:rPr>
          <w:rFonts w:cs="Arial"/>
        </w:rPr>
        <w:t xml:space="preserve">, </w:t>
      </w:r>
      <w:r w:rsidR="00096A2F">
        <w:rPr>
          <w:rFonts w:cs="Arial"/>
        </w:rPr>
        <w:t xml:space="preserve">the </w:t>
      </w:r>
      <w:r w:rsidR="00CF753F">
        <w:rPr>
          <w:rFonts w:cs="Arial"/>
        </w:rPr>
        <w:t xml:space="preserve">total </w:t>
      </w:r>
      <w:r w:rsidR="00096A2F">
        <w:rPr>
          <w:rFonts w:cs="Arial"/>
        </w:rPr>
        <w:t xml:space="preserve">number of reports received prompted </w:t>
      </w:r>
      <w:r w:rsidR="00766CE7">
        <w:rPr>
          <w:rFonts w:cs="Arial"/>
        </w:rPr>
        <w:t xml:space="preserve">concerns that ingredient labels may not have accurately </w:t>
      </w:r>
      <w:r w:rsidR="00D1602D">
        <w:rPr>
          <w:rFonts w:cs="Arial"/>
        </w:rPr>
        <w:t xml:space="preserve">listed </w:t>
      </w:r>
      <w:r w:rsidR="00766CE7">
        <w:rPr>
          <w:rFonts w:cs="Arial"/>
        </w:rPr>
        <w:t>the che</w:t>
      </w:r>
      <w:r w:rsidR="00161D86">
        <w:rPr>
          <w:rFonts w:cs="Arial"/>
        </w:rPr>
        <w:t>mical contents of the products.</w:t>
      </w:r>
    </w:p>
    <w:p w14:paraId="0ECEE2E2" w14:textId="1C0E4392" w:rsidR="00066910" w:rsidRDefault="00766CE7" w:rsidP="001E6247">
      <w:pPr>
        <w:spacing w:line="220" w:lineRule="atLeast"/>
        <w:rPr>
          <w:rFonts w:cs="Arial"/>
        </w:rPr>
      </w:pPr>
      <w:r>
        <w:rPr>
          <w:rFonts w:cs="Arial"/>
        </w:rPr>
        <w:t>The audits found</w:t>
      </w:r>
      <w:r w:rsidR="004973A2">
        <w:rPr>
          <w:rFonts w:cs="Arial"/>
        </w:rPr>
        <w:t xml:space="preserve"> ingredient labels</w:t>
      </w:r>
      <w:r w:rsidR="00035767">
        <w:rPr>
          <w:rFonts w:cs="Arial"/>
        </w:rPr>
        <w:t xml:space="preserve"> were provided with the </w:t>
      </w:r>
      <w:r w:rsidR="00DE1D7E">
        <w:rPr>
          <w:rFonts w:cs="Arial"/>
        </w:rPr>
        <w:t xml:space="preserve">cosmetic </w:t>
      </w:r>
      <w:r w:rsidR="00035767">
        <w:rPr>
          <w:rFonts w:cs="Arial"/>
        </w:rPr>
        <w:t>product</w:t>
      </w:r>
      <w:r w:rsidR="00DE1D7E">
        <w:rPr>
          <w:rFonts w:cs="Arial"/>
        </w:rPr>
        <w:t>s</w:t>
      </w:r>
      <w:r w:rsidR="00035767">
        <w:rPr>
          <w:rFonts w:cs="Arial"/>
        </w:rPr>
        <w:t xml:space="preserve"> in compliance with the information standard and</w:t>
      </w:r>
      <w:r w:rsidR="004973A2">
        <w:rPr>
          <w:rFonts w:cs="Arial"/>
        </w:rPr>
        <w:t xml:space="preserve"> </w:t>
      </w:r>
      <w:r w:rsidR="00035767">
        <w:rPr>
          <w:rFonts w:cs="Arial"/>
        </w:rPr>
        <w:t>that they accurately identified and listed ingredient</w:t>
      </w:r>
      <w:r w:rsidR="00342517">
        <w:rPr>
          <w:rFonts w:cs="Arial"/>
        </w:rPr>
        <w:t xml:space="preserve"> information</w:t>
      </w:r>
      <w:r w:rsidR="00035767">
        <w:rPr>
          <w:rFonts w:cs="Arial"/>
        </w:rPr>
        <w:t>.</w:t>
      </w:r>
      <w:r w:rsidR="00B33690">
        <w:rPr>
          <w:rFonts w:cs="Arial"/>
        </w:rPr>
        <w:t xml:space="preserve"> </w:t>
      </w:r>
      <w:r w:rsidR="00EB766F">
        <w:rPr>
          <w:rFonts w:cs="Arial"/>
        </w:rPr>
        <w:t>While</w:t>
      </w:r>
      <w:r w:rsidR="002A252C">
        <w:rPr>
          <w:rFonts w:cs="Arial"/>
        </w:rPr>
        <w:t xml:space="preserve"> the injury reports weren’t a consequence of policy issues with the information standard, </w:t>
      </w:r>
      <w:r w:rsidR="00EB766F">
        <w:rPr>
          <w:rFonts w:cs="Arial"/>
        </w:rPr>
        <w:t xml:space="preserve">it is our </w:t>
      </w:r>
      <w:r w:rsidR="00482962">
        <w:rPr>
          <w:rFonts w:cs="Arial"/>
        </w:rPr>
        <w:t>assessment</w:t>
      </w:r>
      <w:r w:rsidR="00EB766F">
        <w:rPr>
          <w:rFonts w:cs="Arial"/>
        </w:rPr>
        <w:t xml:space="preserve"> that </w:t>
      </w:r>
      <w:r w:rsidR="002A252C">
        <w:rPr>
          <w:rFonts w:cs="Arial"/>
        </w:rPr>
        <w:t>the significant number of reports</w:t>
      </w:r>
      <w:r w:rsidR="00482962">
        <w:rPr>
          <w:rFonts w:cs="Arial"/>
        </w:rPr>
        <w:t xml:space="preserve"> during this period</w:t>
      </w:r>
      <w:r w:rsidR="002A252C">
        <w:rPr>
          <w:rFonts w:cs="Arial"/>
        </w:rPr>
        <w:t xml:space="preserve"> </w:t>
      </w:r>
      <w:r w:rsidR="00482962">
        <w:rPr>
          <w:rFonts w:cs="Arial"/>
        </w:rPr>
        <w:t>reinforces its</w:t>
      </w:r>
      <w:r w:rsidR="002A252C">
        <w:rPr>
          <w:rFonts w:cs="Arial"/>
        </w:rPr>
        <w:t xml:space="preserve"> </w:t>
      </w:r>
      <w:r w:rsidR="00FB0349">
        <w:rPr>
          <w:rFonts w:cs="Arial"/>
        </w:rPr>
        <w:t xml:space="preserve">ongoing </w:t>
      </w:r>
      <w:r w:rsidR="002A252C">
        <w:rPr>
          <w:rFonts w:cs="Arial"/>
        </w:rPr>
        <w:t>ne</w:t>
      </w:r>
      <w:r w:rsidR="00A720D3">
        <w:rPr>
          <w:rFonts w:cs="Arial"/>
        </w:rPr>
        <w:t>ed</w:t>
      </w:r>
      <w:r w:rsidR="00482962">
        <w:rPr>
          <w:rFonts w:cs="Arial"/>
        </w:rPr>
        <w:t>.</w:t>
      </w:r>
    </w:p>
    <w:p w14:paraId="4861D3F0" w14:textId="5C50AD6D" w:rsidR="00AC5BA1" w:rsidRPr="007859AE" w:rsidRDefault="00096FDA" w:rsidP="00EE0A48">
      <w:pPr>
        <w:pStyle w:val="Numbered1"/>
        <w:keepNext/>
        <w:numPr>
          <w:ilvl w:val="0"/>
          <w:numId w:val="12"/>
        </w:numPr>
        <w:ind w:left="357" w:hanging="357"/>
        <w:rPr>
          <w:rFonts w:ascii="Lucida Fax" w:hAnsi="Lucida Fax"/>
          <w:color w:val="51626F"/>
        </w:rPr>
      </w:pPr>
      <w:bookmarkStart w:id="16" w:name="_Toc17366903"/>
      <w:r>
        <w:rPr>
          <w:rFonts w:ascii="Lucida Fax" w:hAnsi="Lucida Fax"/>
          <w:color w:val="51626F"/>
        </w:rPr>
        <w:lastRenderedPageBreak/>
        <w:t>I</w:t>
      </w:r>
      <w:r w:rsidR="00AC5BA1" w:rsidRPr="007859AE">
        <w:rPr>
          <w:rFonts w:ascii="Lucida Fax" w:hAnsi="Lucida Fax"/>
          <w:color w:val="51626F"/>
        </w:rPr>
        <w:t xml:space="preserve">ssues </w:t>
      </w:r>
      <w:r>
        <w:rPr>
          <w:rFonts w:ascii="Lucida Fax" w:hAnsi="Lucida Fax"/>
          <w:color w:val="51626F"/>
        </w:rPr>
        <w:t>&amp;</w:t>
      </w:r>
      <w:r w:rsidRPr="007859AE">
        <w:rPr>
          <w:rFonts w:ascii="Lucida Fax" w:hAnsi="Lucida Fax"/>
          <w:color w:val="51626F"/>
        </w:rPr>
        <w:t xml:space="preserve"> </w:t>
      </w:r>
      <w:r w:rsidR="00AC5BA1" w:rsidRPr="007859AE">
        <w:rPr>
          <w:rFonts w:ascii="Lucida Fax" w:hAnsi="Lucida Fax"/>
          <w:color w:val="51626F"/>
        </w:rPr>
        <w:t>proposed solutions</w:t>
      </w:r>
      <w:bookmarkEnd w:id="16"/>
    </w:p>
    <w:p w14:paraId="1C83641F" w14:textId="094371D0" w:rsidR="00C0566F" w:rsidRPr="006A7B5F" w:rsidRDefault="00AC5BA1" w:rsidP="008E3F14">
      <w:pPr>
        <w:pStyle w:val="Heading2"/>
        <w:keepNext/>
        <w:rPr>
          <w:rFonts w:eastAsia="Times New Roman" w:cs="Times New Roman"/>
          <w:color w:val="51626F"/>
        </w:rPr>
      </w:pPr>
      <w:r w:rsidRPr="006A7B5F">
        <w:rPr>
          <w:rFonts w:eastAsia="Times New Roman" w:cs="Times New Roman"/>
          <w:color w:val="51626F"/>
        </w:rPr>
        <w:t>Children’s cosmetics</w:t>
      </w:r>
    </w:p>
    <w:p w14:paraId="270D4D35" w14:textId="6B8DB05F" w:rsidR="00421D7D" w:rsidRDefault="00AF53DE" w:rsidP="001E6247">
      <w:r>
        <w:rPr>
          <w:rFonts w:cs="Arial"/>
          <w:szCs w:val="20"/>
        </w:rPr>
        <w:t xml:space="preserve">The information standard </w:t>
      </w:r>
      <w:r w:rsidR="00EC31DF">
        <w:rPr>
          <w:rFonts w:cs="Arial"/>
          <w:szCs w:val="20"/>
        </w:rPr>
        <w:t>applies to cosmetic products regardless of whether the products are intended</w:t>
      </w:r>
      <w:r w:rsidR="009F10EE">
        <w:rPr>
          <w:rFonts w:cs="Arial"/>
          <w:szCs w:val="20"/>
        </w:rPr>
        <w:t xml:space="preserve"> for use by children or adults.</w:t>
      </w:r>
      <w:r w:rsidR="005B6C16">
        <w:rPr>
          <w:rFonts w:cs="Arial"/>
          <w:szCs w:val="20"/>
        </w:rPr>
        <w:t xml:space="preserve"> </w:t>
      </w:r>
      <w:r w:rsidR="00EC31DF">
        <w:rPr>
          <w:rFonts w:cs="Arial"/>
          <w:szCs w:val="20"/>
        </w:rPr>
        <w:t xml:space="preserve">This means </w:t>
      </w:r>
      <w:r>
        <w:rPr>
          <w:rFonts w:cs="Arial"/>
          <w:szCs w:val="20"/>
        </w:rPr>
        <w:t>that cosmetics</w:t>
      </w:r>
      <w:r w:rsidR="00D168CE">
        <w:rPr>
          <w:rFonts w:cs="Arial"/>
          <w:szCs w:val="20"/>
        </w:rPr>
        <w:t xml:space="preserve"> marketed and</w:t>
      </w:r>
      <w:r>
        <w:rPr>
          <w:rFonts w:cs="Arial"/>
          <w:szCs w:val="20"/>
        </w:rPr>
        <w:t xml:space="preserve"> supplied to children</w:t>
      </w:r>
      <w:r w:rsidR="00EC31DF">
        <w:rPr>
          <w:rFonts w:cs="Arial"/>
          <w:szCs w:val="20"/>
        </w:rPr>
        <w:t>, such as</w:t>
      </w:r>
      <w:r>
        <w:rPr>
          <w:rFonts w:cs="Arial"/>
          <w:szCs w:val="20"/>
        </w:rPr>
        <w:t xml:space="preserve"> </w:t>
      </w:r>
      <w:r w:rsidR="00EC31DF" w:rsidRPr="00C36F32">
        <w:rPr>
          <w:rFonts w:cs="Arial"/>
        </w:rPr>
        <w:t>face and body paints</w:t>
      </w:r>
      <w:r w:rsidR="00EC31DF">
        <w:rPr>
          <w:rStyle w:val="FootnoteReference"/>
          <w:rFonts w:cs="Arial"/>
        </w:rPr>
        <w:footnoteReference w:id="13"/>
      </w:r>
      <w:r w:rsidR="00EC31DF" w:rsidRPr="00C36F32">
        <w:rPr>
          <w:rFonts w:cs="Arial"/>
        </w:rPr>
        <w:t xml:space="preserve">, temporary tattoos, makeup kits, </w:t>
      </w:r>
      <w:r w:rsidR="00BF6F1F">
        <w:rPr>
          <w:rFonts w:cs="Arial"/>
        </w:rPr>
        <w:t xml:space="preserve">and </w:t>
      </w:r>
      <w:r w:rsidR="00EC31DF" w:rsidRPr="00C36F32">
        <w:rPr>
          <w:rFonts w:cs="Arial"/>
        </w:rPr>
        <w:t>baby personal hygiene products</w:t>
      </w:r>
      <w:r w:rsidR="00EC31DF">
        <w:rPr>
          <w:rFonts w:cs="Arial"/>
          <w:szCs w:val="20"/>
        </w:rPr>
        <w:t xml:space="preserve"> </w:t>
      </w:r>
      <w:r>
        <w:rPr>
          <w:rFonts w:cs="Arial"/>
          <w:szCs w:val="20"/>
        </w:rPr>
        <w:t xml:space="preserve">are captured by </w:t>
      </w:r>
      <w:r w:rsidR="00EC31DF">
        <w:rPr>
          <w:rFonts w:cs="Arial"/>
          <w:szCs w:val="20"/>
        </w:rPr>
        <w:t>the information standard</w:t>
      </w:r>
      <w:r w:rsidR="006749B7">
        <w:rPr>
          <w:rFonts w:cs="Arial"/>
          <w:szCs w:val="20"/>
        </w:rPr>
        <w:t>.</w:t>
      </w:r>
      <w:r>
        <w:rPr>
          <w:rFonts w:cs="Arial"/>
          <w:szCs w:val="20"/>
        </w:rPr>
        <w:t xml:space="preserve"> </w:t>
      </w:r>
      <w:r w:rsidR="00AC5BA1" w:rsidRPr="00C36F32">
        <w:rPr>
          <w:rFonts w:cs="Arial"/>
          <w:szCs w:val="20"/>
        </w:rPr>
        <w:t>Suppliers</w:t>
      </w:r>
      <w:r w:rsidR="00D168CE">
        <w:rPr>
          <w:rFonts w:cs="Arial"/>
          <w:szCs w:val="20"/>
        </w:rPr>
        <w:t xml:space="preserve">, including </w:t>
      </w:r>
      <w:r w:rsidR="00821E43">
        <w:rPr>
          <w:rFonts w:cs="Arial"/>
          <w:szCs w:val="20"/>
        </w:rPr>
        <w:t xml:space="preserve">those </w:t>
      </w:r>
      <w:r w:rsidR="00D168CE">
        <w:rPr>
          <w:rFonts w:cs="Arial"/>
          <w:szCs w:val="20"/>
        </w:rPr>
        <w:t>in</w:t>
      </w:r>
      <w:r w:rsidR="00AC5BA1" w:rsidRPr="00C36F32">
        <w:rPr>
          <w:rFonts w:cs="Arial"/>
          <w:szCs w:val="20"/>
        </w:rPr>
        <w:t xml:space="preserve"> </w:t>
      </w:r>
      <w:r w:rsidR="00ED73E4">
        <w:rPr>
          <w:rFonts w:cs="Arial"/>
          <w:szCs w:val="20"/>
        </w:rPr>
        <w:t>the discount and variety sector</w:t>
      </w:r>
      <w:r w:rsidR="00D168CE">
        <w:rPr>
          <w:rFonts w:cs="Arial"/>
          <w:szCs w:val="20"/>
        </w:rPr>
        <w:t>,</w:t>
      </w:r>
      <w:r w:rsidR="00ED73E4">
        <w:rPr>
          <w:rFonts w:cs="Arial"/>
          <w:szCs w:val="20"/>
        </w:rPr>
        <w:t xml:space="preserve"> may not be aware of the </w:t>
      </w:r>
      <w:r w:rsidR="002B592A">
        <w:rPr>
          <w:rFonts w:cs="Arial"/>
          <w:szCs w:val="20"/>
        </w:rPr>
        <w:t xml:space="preserve">information </w:t>
      </w:r>
      <w:r w:rsidR="00ED73E4">
        <w:rPr>
          <w:rFonts w:cs="Arial"/>
          <w:szCs w:val="20"/>
        </w:rPr>
        <w:t>standard or may not be aware that</w:t>
      </w:r>
      <w:r w:rsidR="00CA75F9">
        <w:rPr>
          <w:rFonts w:cs="Arial"/>
          <w:szCs w:val="20"/>
        </w:rPr>
        <w:t xml:space="preserve"> products of this type are</w:t>
      </w:r>
      <w:r w:rsidR="00ED73E4">
        <w:rPr>
          <w:rFonts w:cs="Arial"/>
          <w:szCs w:val="20"/>
        </w:rPr>
        <w:t xml:space="preserve"> </w:t>
      </w:r>
      <w:r w:rsidR="00AC5BA1" w:rsidRPr="00C36F32">
        <w:rPr>
          <w:rFonts w:cs="Arial"/>
          <w:szCs w:val="20"/>
        </w:rPr>
        <w:t>cosmetics</w:t>
      </w:r>
      <w:r w:rsidR="00CA75F9">
        <w:rPr>
          <w:rFonts w:cs="Arial"/>
          <w:szCs w:val="20"/>
        </w:rPr>
        <w:t xml:space="preserve"> for the purpose of the information standard</w:t>
      </w:r>
      <w:r w:rsidR="00D168CE">
        <w:rPr>
          <w:rFonts w:cs="Arial"/>
          <w:szCs w:val="20"/>
        </w:rPr>
        <w:t>.</w:t>
      </w:r>
    </w:p>
    <w:p w14:paraId="331AD50D" w14:textId="724B5710" w:rsidR="00CF6268" w:rsidRDefault="00421D7D" w:rsidP="00CF6268">
      <w:r>
        <w:rPr>
          <w:rFonts w:cs="Arial"/>
        </w:rPr>
        <w:t>S</w:t>
      </w:r>
      <w:r w:rsidR="00D8317A">
        <w:rPr>
          <w:rFonts w:cs="Arial"/>
        </w:rPr>
        <w:t xml:space="preserve">uppliers may also consider </w:t>
      </w:r>
      <w:r w:rsidR="004A679B">
        <w:rPr>
          <w:rFonts w:cs="Arial"/>
        </w:rPr>
        <w:t xml:space="preserve">that </w:t>
      </w:r>
      <w:r w:rsidR="00D8317A">
        <w:rPr>
          <w:rFonts w:cs="Arial"/>
        </w:rPr>
        <w:t xml:space="preserve">children’s cosmetics </w:t>
      </w:r>
      <w:r w:rsidR="004A679B">
        <w:rPr>
          <w:rFonts w:cs="Arial"/>
        </w:rPr>
        <w:t>are</w:t>
      </w:r>
      <w:r w:rsidR="00D8317A">
        <w:rPr>
          <w:rFonts w:cs="Arial"/>
        </w:rPr>
        <w:t xml:space="preserve"> toys rather than cosmetics.</w:t>
      </w:r>
      <w:r w:rsidR="00913ED2">
        <w:rPr>
          <w:rFonts w:cs="Arial"/>
        </w:rPr>
        <w:t xml:space="preserve"> In this instance, </w:t>
      </w:r>
      <w:r>
        <w:rPr>
          <w:rFonts w:cs="Arial"/>
        </w:rPr>
        <w:t>they</w:t>
      </w:r>
      <w:r w:rsidR="00913ED2">
        <w:rPr>
          <w:rFonts w:cs="Arial"/>
        </w:rPr>
        <w:t xml:space="preserve"> may consult the regulations for toys and observe that</w:t>
      </w:r>
      <w:r w:rsidR="00A833FD">
        <w:rPr>
          <w:rFonts w:cs="Arial"/>
        </w:rPr>
        <w:t>,</w:t>
      </w:r>
      <w:r w:rsidR="00CA75F9">
        <w:rPr>
          <w:rFonts w:cs="Arial"/>
        </w:rPr>
        <w:t xml:space="preserve"> as</w:t>
      </w:r>
      <w:r w:rsidR="00913ED2">
        <w:rPr>
          <w:rFonts w:cs="Arial"/>
        </w:rPr>
        <w:t xml:space="preserve"> cosmetic products are</w:t>
      </w:r>
      <w:r w:rsidR="00FD79E5">
        <w:rPr>
          <w:rFonts w:cs="Arial"/>
        </w:rPr>
        <w:t xml:space="preserve"> not</w:t>
      </w:r>
      <w:r w:rsidR="00913ED2">
        <w:rPr>
          <w:rFonts w:cs="Arial"/>
        </w:rPr>
        <w:t xml:space="preserve"> captured</w:t>
      </w:r>
      <w:r w:rsidR="00CA75F9">
        <w:rPr>
          <w:rFonts w:cs="Arial"/>
        </w:rPr>
        <w:t xml:space="preserve"> there</w:t>
      </w:r>
      <w:r w:rsidR="00A833FD">
        <w:rPr>
          <w:rFonts w:cs="Arial"/>
        </w:rPr>
        <w:t>, there</w:t>
      </w:r>
      <w:r w:rsidR="00CA75F9">
        <w:rPr>
          <w:rFonts w:cs="Arial"/>
        </w:rPr>
        <w:t xml:space="preserve"> are no compliance requirements.</w:t>
      </w:r>
    </w:p>
    <w:p w14:paraId="0C775F09" w14:textId="19463EC7" w:rsidR="00CF6268" w:rsidRDefault="00CF6268" w:rsidP="00CF6268">
      <w:r>
        <w:t xml:space="preserve">To address this </w:t>
      </w:r>
      <w:r w:rsidR="00BF6F1F">
        <w:t xml:space="preserve">issue </w:t>
      </w:r>
      <w:r>
        <w:t xml:space="preserve">we are consulting on an option to </w:t>
      </w:r>
      <w:r w:rsidR="00482962">
        <w:t>include</w:t>
      </w:r>
      <w:r>
        <w:t xml:space="preserve"> an explanatory note into the information standard to make it clear that children’s cosmetics</w:t>
      </w:r>
      <w:r w:rsidR="006749B7">
        <w:t xml:space="preserve"> (e.g. makeup, face paints and </w:t>
      </w:r>
      <w:r>
        <w:t xml:space="preserve">temporary tattoos) fall within the definition of a cosmetic product and are required to </w:t>
      </w:r>
      <w:r w:rsidR="002B592A">
        <w:t xml:space="preserve">display </w:t>
      </w:r>
      <w:r>
        <w:t xml:space="preserve">ingredient </w:t>
      </w:r>
      <w:r w:rsidR="002B592A">
        <w:t>information</w:t>
      </w:r>
      <w:r>
        <w:t>.</w:t>
      </w:r>
    </w:p>
    <w:p w14:paraId="5ACBBEB0" w14:textId="1C6791A2" w:rsidR="00AC5BA1" w:rsidRDefault="00AC5BA1" w:rsidP="00AC5BA1">
      <w:pPr>
        <w:spacing w:line="220" w:lineRule="atLeast"/>
        <w:jc w:val="center"/>
        <w:rPr>
          <w:rFonts w:cs="Arial"/>
          <w:szCs w:val="20"/>
        </w:rPr>
      </w:pPr>
      <w:r>
        <w:rPr>
          <w:noProof/>
          <w:lang w:eastAsia="en-AU"/>
        </w:rPr>
        <w:drawing>
          <wp:inline distT="0" distB="0" distL="0" distR="0" wp14:anchorId="41BC5375" wp14:editId="6AC84441">
            <wp:extent cx="2764127" cy="1988726"/>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770738" cy="1993482"/>
                    </a:xfrm>
                    <a:prstGeom prst="rect">
                      <a:avLst/>
                    </a:prstGeom>
                  </pic:spPr>
                </pic:pic>
              </a:graphicData>
            </a:graphic>
          </wp:inline>
        </w:drawing>
      </w:r>
      <w:r w:rsidR="003341D6">
        <w:rPr>
          <w:rFonts w:cs="Arial"/>
          <w:szCs w:val="20"/>
        </w:rPr>
        <w:t xml:space="preserve"> </w:t>
      </w:r>
      <w:r w:rsidR="003341D6">
        <w:rPr>
          <w:rFonts w:cs="Arial"/>
          <w:noProof/>
          <w:szCs w:val="20"/>
          <w:lang w:eastAsia="en-AU"/>
        </w:rPr>
        <w:drawing>
          <wp:inline distT="0" distB="0" distL="0" distR="0" wp14:anchorId="77F837FC" wp14:editId="351E1AC7">
            <wp:extent cx="2703416" cy="2005054"/>
            <wp:effectExtent l="0" t="0" r="190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31857" cy="2026148"/>
                    </a:xfrm>
                    <a:prstGeom prst="rect">
                      <a:avLst/>
                    </a:prstGeom>
                    <a:noFill/>
                    <a:ln>
                      <a:noFill/>
                    </a:ln>
                  </pic:spPr>
                </pic:pic>
              </a:graphicData>
            </a:graphic>
          </wp:inline>
        </w:drawing>
      </w:r>
    </w:p>
    <w:p w14:paraId="3D48D2B8" w14:textId="301D0A80" w:rsidR="00F261ED" w:rsidRDefault="00D168CE" w:rsidP="001E6247">
      <w:r>
        <w:t xml:space="preserve">For completeness this option would also </w:t>
      </w:r>
      <w:r w:rsidR="00B73814">
        <w:t xml:space="preserve">insert a note into </w:t>
      </w:r>
      <w:r w:rsidR="002529E3">
        <w:t xml:space="preserve">the </w:t>
      </w:r>
      <w:r w:rsidR="00114F18">
        <w:t xml:space="preserve">relevant children’s toy standards so that suppliers may be informed that the </w:t>
      </w:r>
      <w:r w:rsidR="002B592A">
        <w:t xml:space="preserve">information </w:t>
      </w:r>
      <w:r w:rsidR="00114F18">
        <w:t>standard also applies to face paints, temporary ta</w:t>
      </w:r>
      <w:r w:rsidR="00161D86">
        <w:t>ttoos and children’s cosmetics.</w:t>
      </w:r>
    </w:p>
    <w:p w14:paraId="48935EE4" w14:textId="5E610C3A" w:rsidR="00DE5641" w:rsidRPr="006A7B5F" w:rsidRDefault="00DE5641" w:rsidP="00DE5641">
      <w:pPr>
        <w:pStyle w:val="Heading2"/>
        <w:rPr>
          <w:rFonts w:eastAsia="Times New Roman" w:cs="Times New Roman"/>
          <w:color w:val="51626F"/>
        </w:rPr>
      </w:pPr>
      <w:r>
        <w:rPr>
          <w:rFonts w:eastAsia="Times New Roman" w:cs="Times New Roman"/>
          <w:color w:val="51626F"/>
        </w:rPr>
        <w:t>Nanomaterials</w:t>
      </w:r>
    </w:p>
    <w:p w14:paraId="4E61A0BB" w14:textId="017A74BA" w:rsidR="00DE5641" w:rsidRDefault="00DE5641" w:rsidP="00DE5641">
      <w:r w:rsidRPr="00F613F0">
        <w:t>Nano</w:t>
      </w:r>
      <w:r>
        <w:t xml:space="preserve">materials </w:t>
      </w:r>
      <w:r w:rsidRPr="00F613F0">
        <w:t xml:space="preserve">are </w:t>
      </w:r>
      <w:r w:rsidR="00953809">
        <w:t>material</w:t>
      </w:r>
      <w:r w:rsidR="00B70386">
        <w:t>s</w:t>
      </w:r>
      <w:r w:rsidR="00953809">
        <w:t xml:space="preserve"> that contain nanoparticles</w:t>
      </w:r>
      <w:r>
        <w:t xml:space="preserve"> with</w:t>
      </w:r>
      <w:r w:rsidRPr="00F613F0">
        <w:t xml:space="preserve"> one or more dimensions </w:t>
      </w:r>
      <w:r>
        <w:t xml:space="preserve">measuring </w:t>
      </w:r>
      <w:r w:rsidRPr="00F613F0">
        <w:t>between one and 100</w:t>
      </w:r>
      <w:r>
        <w:t xml:space="preserve"> </w:t>
      </w:r>
      <w:r w:rsidRPr="00F613F0">
        <w:t>n</w:t>
      </w:r>
      <w:r>
        <w:t>ano</w:t>
      </w:r>
      <w:r w:rsidRPr="00F613F0">
        <w:t>m</w:t>
      </w:r>
      <w:r>
        <w:t>etres</w:t>
      </w:r>
      <w:r w:rsidR="00704DE8">
        <w:t xml:space="preserve"> (</w:t>
      </w:r>
      <w:r w:rsidR="00704DE8" w:rsidRPr="007C6481">
        <w:rPr>
          <w:b/>
        </w:rPr>
        <w:t>nm</w:t>
      </w:r>
      <w:r w:rsidR="00704DE8">
        <w:t>)</w:t>
      </w:r>
      <w:r w:rsidRPr="00F613F0">
        <w:t>.</w:t>
      </w:r>
      <w:r>
        <w:t xml:space="preserve"> </w:t>
      </w:r>
      <w:r w:rsidR="00721E44">
        <w:t xml:space="preserve">At this </w:t>
      </w:r>
      <w:r w:rsidR="00B70386">
        <w:t xml:space="preserve">small </w:t>
      </w:r>
      <w:r w:rsidR="00721E44">
        <w:t>scale</w:t>
      </w:r>
      <w:r w:rsidR="00B70386">
        <w:t>,</w:t>
      </w:r>
      <w:r w:rsidR="00721E44">
        <w:t xml:space="preserve"> a chemical may have different properties </w:t>
      </w:r>
      <w:r w:rsidR="00B70386">
        <w:t xml:space="preserve">to its conventional ‘bulk’ form, </w:t>
      </w:r>
      <w:r w:rsidR="00721E44">
        <w:t xml:space="preserve">including </w:t>
      </w:r>
      <w:r w:rsidR="009D4D03">
        <w:t>its</w:t>
      </w:r>
      <w:r w:rsidR="00721E44">
        <w:t xml:space="preserve"> reactivity, strength</w:t>
      </w:r>
      <w:r w:rsidR="00B70386">
        <w:t>,</w:t>
      </w:r>
      <w:r w:rsidR="00721E44">
        <w:t xml:space="preserve"> and electrical and magnetic behaviours</w:t>
      </w:r>
      <w:r w:rsidR="004232DB">
        <w:t>.</w:t>
      </w:r>
      <w:r w:rsidR="00AD7AA4">
        <w:t xml:space="preserve"> This </w:t>
      </w:r>
      <w:r w:rsidR="00DE1D7E">
        <w:t xml:space="preserve">altered </w:t>
      </w:r>
      <w:r w:rsidR="00AD7AA4">
        <w:t>form</w:t>
      </w:r>
      <w:r w:rsidR="004232DB">
        <w:t xml:space="preserve"> </w:t>
      </w:r>
      <w:r w:rsidR="00AD7AA4">
        <w:t>may lead to unique properties</w:t>
      </w:r>
      <w:r w:rsidR="00B70386">
        <w:t xml:space="preserve"> that</w:t>
      </w:r>
      <w:r w:rsidR="00AD7AA4">
        <w:t xml:space="preserve"> could affect the function, quality, safety or effectiveness of the </w:t>
      </w:r>
      <w:r w:rsidR="009D4D03">
        <w:t>cosmetic products</w:t>
      </w:r>
      <w:r w:rsidR="00AD7AA4">
        <w:t xml:space="preserve"> containing them. </w:t>
      </w:r>
      <w:r w:rsidR="00F328B9">
        <w:t>The</w:t>
      </w:r>
      <w:r w:rsidR="00AD7AA4">
        <w:t xml:space="preserve"> NICNAS regulates industrial nanomaterials used i</w:t>
      </w:r>
      <w:r w:rsidR="00A55273">
        <w:t xml:space="preserve">n products </w:t>
      </w:r>
      <w:r w:rsidR="00AA1464">
        <w:t>(</w:t>
      </w:r>
      <w:r w:rsidR="00A55273">
        <w:t>including cosmetics</w:t>
      </w:r>
      <w:r w:rsidR="00AA1464">
        <w:t>)</w:t>
      </w:r>
      <w:r w:rsidR="00F328B9">
        <w:t xml:space="preserve"> within the existing framework for conventional industrial chemicals as noted above in this paper.</w:t>
      </w:r>
    </w:p>
    <w:p w14:paraId="4653DE8A" w14:textId="5424C3B7" w:rsidR="00DE5641" w:rsidRDefault="00DE5641" w:rsidP="00DE5641">
      <w:r>
        <w:t xml:space="preserve">Nanomaterials </w:t>
      </w:r>
      <w:r w:rsidR="00FE53B0">
        <w:t>may</w:t>
      </w:r>
      <w:r>
        <w:t xml:space="preserve"> be present in cosmetics under the following circumstances:</w:t>
      </w:r>
    </w:p>
    <w:p w14:paraId="7B65D838" w14:textId="7A6B6504" w:rsidR="00DE5641" w:rsidRDefault="00ED0362" w:rsidP="00592797">
      <w:pPr>
        <w:pStyle w:val="ListParagraph"/>
        <w:numPr>
          <w:ilvl w:val="0"/>
          <w:numId w:val="66"/>
        </w:numPr>
      </w:pPr>
      <w:r>
        <w:t>N</w:t>
      </w:r>
      <w:r w:rsidR="00DE5641">
        <w:t xml:space="preserve">anomaterials that are produced as an artefact of the manufacturing process and not intended to impart any functional or technical properties </w:t>
      </w:r>
      <w:r w:rsidR="00A31114">
        <w:t>on</w:t>
      </w:r>
      <w:r w:rsidR="00DE5641">
        <w:t xml:space="preserve"> the product</w:t>
      </w:r>
      <w:r w:rsidR="001556C3">
        <w:t>.</w:t>
      </w:r>
    </w:p>
    <w:p w14:paraId="19816FA9" w14:textId="7F81A7AC" w:rsidR="00067A90" w:rsidRDefault="00DE5641">
      <w:pPr>
        <w:pStyle w:val="ListParagraph"/>
        <w:numPr>
          <w:ilvl w:val="0"/>
          <w:numId w:val="66"/>
        </w:numPr>
      </w:pPr>
      <w:r>
        <w:lastRenderedPageBreak/>
        <w:t>Manufactured nanomaterials</w:t>
      </w:r>
      <w:r w:rsidR="0034326C">
        <w:t xml:space="preserve"> intentionally produced, manufactured or engineered and included in a product to achieve a specific purpose </w:t>
      </w:r>
      <w:r w:rsidR="001556C3">
        <w:t>(e.g.</w:t>
      </w:r>
      <w:r w:rsidR="0034326C">
        <w:t xml:space="preserve"> colorant or UV-filter</w:t>
      </w:r>
      <w:r w:rsidR="001556C3">
        <w:t>)</w:t>
      </w:r>
      <w:r w:rsidR="00A55273">
        <w:t>.</w:t>
      </w:r>
    </w:p>
    <w:p w14:paraId="6D03299C" w14:textId="06D04196" w:rsidR="0034326C" w:rsidRPr="00183AE1" w:rsidRDefault="0034326C" w:rsidP="00584348">
      <w:pPr>
        <w:pStyle w:val="Heading2"/>
        <w:keepNext/>
        <w:rPr>
          <w:rFonts w:eastAsia="Times New Roman" w:cs="Times New Roman"/>
          <w:color w:val="51626F"/>
        </w:rPr>
      </w:pPr>
      <w:r w:rsidRPr="00183AE1">
        <w:rPr>
          <w:rFonts w:eastAsia="Times New Roman" w:cs="Times New Roman"/>
          <w:color w:val="51626F"/>
        </w:rPr>
        <w:t>Regulatory treatment of nanomaterials</w:t>
      </w:r>
    </w:p>
    <w:p w14:paraId="6E84F04D" w14:textId="2370017A" w:rsidR="00904A64" w:rsidRDefault="00614058">
      <w:pPr>
        <w:rPr>
          <w:rFonts w:cs="Arial"/>
        </w:rPr>
      </w:pPr>
      <w:r>
        <w:t>For the purposes of information provision to consumers, i</w:t>
      </w:r>
      <w:r w:rsidR="00C55DC4">
        <w:t>n Europe and New Zealand nanomaterials are subject to the same disclosure requirements as any other cosmetic ingredient, only these must be</w:t>
      </w:r>
      <w:r w:rsidR="00C55DC4" w:rsidRPr="00681C7F">
        <w:rPr>
          <w:rFonts w:cs="Arial"/>
        </w:rPr>
        <w:t xml:space="preserve"> identified with the word ‘nano’ in brackets after the name of the ingredient.</w:t>
      </w:r>
      <w:r w:rsidR="00C55DC4">
        <w:rPr>
          <w:rFonts w:cs="Arial"/>
        </w:rPr>
        <w:t xml:space="preserve"> This is not currently a requirement in Australia, the U</w:t>
      </w:r>
      <w:r w:rsidR="00CF0F0C">
        <w:rPr>
          <w:rFonts w:cs="Arial"/>
        </w:rPr>
        <w:t xml:space="preserve">nited </w:t>
      </w:r>
      <w:r w:rsidR="00C55DC4">
        <w:rPr>
          <w:rFonts w:cs="Arial"/>
        </w:rPr>
        <w:t>S</w:t>
      </w:r>
      <w:r w:rsidR="00CF0F0C">
        <w:rPr>
          <w:rFonts w:cs="Arial"/>
        </w:rPr>
        <w:t>tates</w:t>
      </w:r>
      <w:r w:rsidR="00C55DC4">
        <w:rPr>
          <w:rFonts w:cs="Arial"/>
        </w:rPr>
        <w:t xml:space="preserve"> or Canada.</w:t>
      </w:r>
      <w:r w:rsidR="00482962">
        <w:rPr>
          <w:rFonts w:cs="Arial"/>
        </w:rPr>
        <w:t xml:space="preserve"> Given community interest in accessing information about nanomaterials</w:t>
      </w:r>
      <w:r w:rsidR="000B5276">
        <w:rPr>
          <w:rFonts w:cs="Arial"/>
        </w:rPr>
        <w:t>,</w:t>
      </w:r>
      <w:r w:rsidR="00482962">
        <w:rPr>
          <w:rFonts w:cs="Arial"/>
        </w:rPr>
        <w:t xml:space="preserve"> </w:t>
      </w:r>
      <w:r w:rsidR="006E101C">
        <w:rPr>
          <w:rFonts w:cs="Arial"/>
        </w:rPr>
        <w:t xml:space="preserve">and the purpose of the information standard being the provision of information to consumers, </w:t>
      </w:r>
      <w:r w:rsidR="00482962">
        <w:rPr>
          <w:rFonts w:cs="Arial"/>
        </w:rPr>
        <w:t xml:space="preserve">the ACCC is </w:t>
      </w:r>
      <w:r w:rsidR="00222C6C">
        <w:rPr>
          <w:rFonts w:cs="Arial"/>
        </w:rPr>
        <w:t xml:space="preserve">considering </w:t>
      </w:r>
      <w:r w:rsidR="00482962">
        <w:rPr>
          <w:rFonts w:cs="Arial"/>
        </w:rPr>
        <w:t xml:space="preserve">introducing a requirement </w:t>
      </w:r>
      <w:r w:rsidR="000B5276">
        <w:rPr>
          <w:rFonts w:cs="Arial"/>
        </w:rPr>
        <w:t>to identify nanomaterials (if contained in the cosmetic product)</w:t>
      </w:r>
      <w:r w:rsidR="00183AE1">
        <w:rPr>
          <w:rFonts w:cs="Arial"/>
        </w:rPr>
        <w:t xml:space="preserve"> via ingredients labelling.</w:t>
      </w:r>
    </w:p>
    <w:p w14:paraId="14F099B2" w14:textId="4A9E2F0E" w:rsidR="00AA1464" w:rsidRDefault="00904A64" w:rsidP="00904A64">
      <w:r>
        <w:t xml:space="preserve">If the information standard </w:t>
      </w:r>
      <w:r w:rsidR="00222C6C">
        <w:t>was updated to include</w:t>
      </w:r>
      <w:r>
        <w:t xml:space="preserve"> the declaration of nanomaterials</w:t>
      </w:r>
      <w:r w:rsidR="00AA1464">
        <w:t xml:space="preserve">, it could rely on existing disclosure requirements in overseas standards. The information standard could also include </w:t>
      </w:r>
      <w:r w:rsidR="007A0B79">
        <w:t>a</w:t>
      </w:r>
      <w:r w:rsidR="00AA1464">
        <w:t xml:space="preserve"> definition of ‘nanomaterial’</w:t>
      </w:r>
      <w:r>
        <w:t xml:space="preserve"> to facilitate industry compliance. In doing so, it </w:t>
      </w:r>
      <w:r w:rsidR="00AA1464">
        <w:t>would be prudent</w:t>
      </w:r>
      <w:r>
        <w:t xml:space="preserve"> that the definition </w:t>
      </w:r>
      <w:r w:rsidR="00AA1464">
        <w:t xml:space="preserve">was </w:t>
      </w:r>
      <w:r>
        <w:t>consistent with other Australian and international definitions, particularly those definitions in other regulatory schemes applicable to cosmetics</w:t>
      </w:r>
      <w:r>
        <w:rPr>
          <w:rFonts w:cs="Arial"/>
        </w:rPr>
        <w:t xml:space="preserve">. </w:t>
      </w:r>
      <w:r w:rsidR="00ED205B">
        <w:t xml:space="preserve">We note </w:t>
      </w:r>
      <w:r w:rsidR="00AA1464">
        <w:t xml:space="preserve">that although </w:t>
      </w:r>
      <w:r w:rsidR="00ED205B">
        <w:t>there is no</w:t>
      </w:r>
      <w:r w:rsidR="00AA1464">
        <w:t>t a</w:t>
      </w:r>
      <w:r w:rsidR="00ED205B">
        <w:t xml:space="preserve"> </w:t>
      </w:r>
      <w:r w:rsidR="00BD25C6">
        <w:t>uniform</w:t>
      </w:r>
      <w:r w:rsidRPr="00564FC4">
        <w:t xml:space="preserve"> definition</w:t>
      </w:r>
      <w:r w:rsidR="00BD25C6">
        <w:t xml:space="preserve"> </w:t>
      </w:r>
      <w:r>
        <w:t>for</w:t>
      </w:r>
      <w:r w:rsidR="002A4918">
        <w:t xml:space="preserve"> </w:t>
      </w:r>
      <w:r>
        <w:t>nanomaterial</w:t>
      </w:r>
      <w:r w:rsidR="00ED205B">
        <w:t xml:space="preserve"> across international regulations</w:t>
      </w:r>
      <w:r w:rsidR="00AA1464">
        <w:t>, our preliminary assessment through consultation with NICNAS is that the definition in European regulations is consistent with the definition proposed to be included in domestic legislation.</w:t>
      </w:r>
    </w:p>
    <w:p w14:paraId="341ECCCF" w14:textId="1FF2CE89" w:rsidR="0034326C" w:rsidRDefault="00F91E47">
      <w:r>
        <w:t>Cosmetic ingredient labelling is regulated in Europe via Regulation</w:t>
      </w:r>
      <w:r w:rsidR="0063133C">
        <w:t xml:space="preserve"> (EC) No 1223/2009 of the European Parliament and of the Council</w:t>
      </w:r>
      <w:r>
        <w:t>, which</w:t>
      </w:r>
      <w:r w:rsidR="0063133C">
        <w:t xml:space="preserve"> defines a nanomaterial as:</w:t>
      </w:r>
    </w:p>
    <w:p w14:paraId="2A77D290" w14:textId="2CB6BE27" w:rsidR="0063133C" w:rsidRPr="00FA4429" w:rsidRDefault="0063133C" w:rsidP="00FA4429">
      <w:pPr>
        <w:ind w:left="340"/>
        <w:rPr>
          <w:i/>
        </w:rPr>
      </w:pPr>
      <w:r w:rsidRPr="00FA4429">
        <w:rPr>
          <w:i/>
        </w:rPr>
        <w:t>“…an insoluble or biopersistant and intentionally manufactured material with one or more external dimensions, or an internal structure, on the scale from 1 to 100 nm.”</w:t>
      </w:r>
    </w:p>
    <w:p w14:paraId="1B1990DF" w14:textId="0B4E116A" w:rsidR="0063133C" w:rsidRPr="0034326C" w:rsidRDefault="00D73791">
      <w:r>
        <w:t>The N</w:t>
      </w:r>
      <w:r w:rsidR="00CF0F0C">
        <w:t xml:space="preserve">ew </w:t>
      </w:r>
      <w:r>
        <w:t>Z</w:t>
      </w:r>
      <w:r w:rsidR="00CF0F0C">
        <w:t>ealand</w:t>
      </w:r>
      <w:r>
        <w:t xml:space="preserve"> standard replicates </w:t>
      </w:r>
      <w:r w:rsidR="007E0E19">
        <w:t xml:space="preserve">the </w:t>
      </w:r>
      <w:r>
        <w:t>definition for nanomaterials and the labelling requirements of the E</w:t>
      </w:r>
      <w:r w:rsidR="00CF0F0C">
        <w:t>uropean</w:t>
      </w:r>
      <w:r>
        <w:t xml:space="preserve"> s</w:t>
      </w:r>
      <w:r w:rsidR="00A55273">
        <w:t>tandard.</w:t>
      </w:r>
    </w:p>
    <w:p w14:paraId="6A91DAF0" w14:textId="63DF87B3" w:rsidR="00060366" w:rsidRDefault="00FD0A4E" w:rsidP="00704DE8">
      <w:r>
        <w:t xml:space="preserve">The ACCC has undertaken initial consultation with the </w:t>
      </w:r>
      <w:r w:rsidR="00C50895">
        <w:rPr>
          <w:rFonts w:cs="Arial"/>
        </w:rPr>
        <w:t>Office of Chemical Safety</w:t>
      </w:r>
      <w:r w:rsidR="00C50895" w:rsidRPr="00352B57">
        <w:rPr>
          <w:rFonts w:cs="Arial"/>
        </w:rPr>
        <w:t xml:space="preserve"> </w:t>
      </w:r>
      <w:r>
        <w:t xml:space="preserve">and is conscious of the need for consistency between definitions in Australian regulatory structures. </w:t>
      </w:r>
      <w:r w:rsidR="00704DE8">
        <w:t xml:space="preserve">The </w:t>
      </w:r>
      <w:r w:rsidR="002F1581">
        <w:rPr>
          <w:rFonts w:cs="Arial"/>
        </w:rPr>
        <w:t>OCS</w:t>
      </w:r>
      <w:r w:rsidR="00C50895" w:rsidRPr="00352B57">
        <w:rPr>
          <w:rFonts w:cs="Arial"/>
        </w:rPr>
        <w:t xml:space="preserve"> </w:t>
      </w:r>
      <w:r w:rsidR="00704DE8">
        <w:t xml:space="preserve">has advised that delegated legislation under </w:t>
      </w:r>
      <w:r w:rsidR="00C50895">
        <w:rPr>
          <w:rFonts w:cs="Arial"/>
        </w:rPr>
        <w:t xml:space="preserve">the </w:t>
      </w:r>
      <w:r w:rsidR="00C50895" w:rsidRPr="00592797">
        <w:rPr>
          <w:rFonts w:cs="Arial"/>
          <w:i/>
        </w:rPr>
        <w:t>Industrial Chemicals Act 2019</w:t>
      </w:r>
      <w:r w:rsidR="00C50895">
        <w:rPr>
          <w:rFonts w:cs="Arial"/>
        </w:rPr>
        <w:t xml:space="preserve"> </w:t>
      </w:r>
      <w:r w:rsidR="00704DE8">
        <w:t>will include a definition of ‘nanoscale’. T</w:t>
      </w:r>
      <w:r w:rsidR="00704DE8" w:rsidRPr="00564FC4">
        <w:t xml:space="preserve">he </w:t>
      </w:r>
      <w:r w:rsidR="00704DE8" w:rsidRPr="00251315">
        <w:t>current proposed definition</w:t>
      </w:r>
      <w:r w:rsidR="00A55273">
        <w:t xml:space="preserve"> is:</w:t>
      </w:r>
    </w:p>
    <w:p w14:paraId="345F89F5" w14:textId="32776EBA" w:rsidR="000B4E0B" w:rsidRDefault="00704DE8" w:rsidP="00261C39">
      <w:pPr>
        <w:ind w:left="340"/>
      </w:pPr>
      <w:r w:rsidRPr="00ED6A73">
        <w:rPr>
          <w:i/>
        </w:rPr>
        <w:t>“</w:t>
      </w:r>
      <w:r w:rsidR="00060366">
        <w:rPr>
          <w:i/>
        </w:rPr>
        <w:t>…</w:t>
      </w:r>
      <w:r w:rsidRPr="00ED6A73">
        <w:rPr>
          <w:i/>
        </w:rPr>
        <w:t>the industrial chemical is a solid or in a dispersion and</w:t>
      </w:r>
      <w:r>
        <w:t xml:space="preserve"> </w:t>
      </w:r>
      <w:r w:rsidRPr="00983035">
        <w:rPr>
          <w:i/>
        </w:rPr>
        <w:t>consists of particles in an unbound state or as an aggregate or agglomerate, at least 50% of which (by number size distribution) have at least one external dimension in the</w:t>
      </w:r>
      <w:r>
        <w:rPr>
          <w:i/>
        </w:rPr>
        <w:t xml:space="preserve"> particle size range of 1 to 100 nm”</w:t>
      </w:r>
      <w:r w:rsidRPr="00ED6A73">
        <w:t>.</w:t>
      </w:r>
    </w:p>
    <w:p w14:paraId="2ADF9CFB" w14:textId="720C1BE3" w:rsidR="00AA1464" w:rsidRDefault="00AA1464" w:rsidP="00BD3C14">
      <w:r>
        <w:t>We note that cosmetic ingredient labelling is regulated in the United States via Part 701 of Title 21 of the Code of Federal Regulations (21 CFR), which</w:t>
      </w:r>
      <w:r>
        <w:rPr>
          <w:rFonts w:cs="Arial"/>
        </w:rPr>
        <w:t xml:space="preserve"> does not contain a legal definition for nanomaterials.</w:t>
      </w:r>
    </w:p>
    <w:p w14:paraId="172A15FB" w14:textId="77777777" w:rsidR="008514A0" w:rsidRPr="006A7B5F" w:rsidRDefault="005D6179" w:rsidP="00A31114">
      <w:pPr>
        <w:pStyle w:val="Heading2"/>
        <w:keepNext/>
        <w:rPr>
          <w:rFonts w:eastAsia="Times New Roman" w:cs="Times New Roman"/>
          <w:color w:val="51626F"/>
        </w:rPr>
      </w:pPr>
      <w:r w:rsidRPr="006A7B5F">
        <w:rPr>
          <w:rFonts w:eastAsia="Times New Roman" w:cs="Times New Roman"/>
          <w:color w:val="51626F"/>
        </w:rPr>
        <w:t>O</w:t>
      </w:r>
      <w:r w:rsidR="00AC5BA1" w:rsidRPr="006A7B5F">
        <w:rPr>
          <w:rFonts w:eastAsia="Times New Roman" w:cs="Times New Roman"/>
          <w:color w:val="51626F"/>
        </w:rPr>
        <w:t>nline supply</w:t>
      </w:r>
    </w:p>
    <w:p w14:paraId="77F3D87A" w14:textId="460FB791" w:rsidR="00491AC0" w:rsidRDefault="00062A9B" w:rsidP="00491AC0">
      <w:pPr>
        <w:rPr>
          <w:rFonts w:cs="Arial"/>
        </w:rPr>
      </w:pPr>
      <w:r>
        <w:rPr>
          <w:rFonts w:cs="Arial"/>
        </w:rPr>
        <w:t>Fifty five</w:t>
      </w:r>
      <w:r w:rsidR="00491AC0">
        <w:rPr>
          <w:rFonts w:cs="Arial"/>
        </w:rPr>
        <w:t xml:space="preserve"> per cent of the world’s pop</w:t>
      </w:r>
      <w:r w:rsidR="007D419C">
        <w:rPr>
          <w:rFonts w:cs="Arial"/>
        </w:rPr>
        <w:t xml:space="preserve">ulation regularly shop online </w:t>
      </w:r>
      <w:r w:rsidR="002861D6">
        <w:rPr>
          <w:rFonts w:cs="Arial"/>
        </w:rPr>
        <w:t xml:space="preserve">to </w:t>
      </w:r>
      <w:r w:rsidR="00491AC0">
        <w:rPr>
          <w:rFonts w:cs="Arial"/>
        </w:rPr>
        <w:t>p</w:t>
      </w:r>
      <w:r w:rsidR="007D419C">
        <w:rPr>
          <w:rFonts w:cs="Arial"/>
        </w:rPr>
        <w:t>urchase</w:t>
      </w:r>
      <w:r w:rsidR="00491AC0">
        <w:rPr>
          <w:rFonts w:cs="Arial"/>
        </w:rPr>
        <w:t xml:space="preserve"> goods via the internet. Cosmetic sales currently represent 1</w:t>
      </w:r>
      <w:r w:rsidR="00103E20">
        <w:rPr>
          <w:rFonts w:cs="Arial"/>
        </w:rPr>
        <w:t>8</w:t>
      </w:r>
      <w:r w:rsidR="00491AC0">
        <w:rPr>
          <w:rFonts w:cs="Arial"/>
        </w:rPr>
        <w:t xml:space="preserve"> per cent of all online shopping sales in </w:t>
      </w:r>
      <w:r w:rsidR="008616D1">
        <w:rPr>
          <w:rFonts w:cs="Arial"/>
        </w:rPr>
        <w:t>Australia</w:t>
      </w:r>
      <w:r>
        <w:rPr>
          <w:rFonts w:cs="Arial"/>
        </w:rPr>
        <w:t xml:space="preserve">, </w:t>
      </w:r>
      <w:r w:rsidR="008119CF">
        <w:rPr>
          <w:rFonts w:cs="Arial"/>
        </w:rPr>
        <w:t xml:space="preserve">and </w:t>
      </w:r>
      <w:r w:rsidR="005E4C42">
        <w:rPr>
          <w:rFonts w:cs="Arial"/>
        </w:rPr>
        <w:t>this figure is</w:t>
      </w:r>
      <w:r w:rsidR="008119CF">
        <w:rPr>
          <w:rFonts w:cs="Arial"/>
        </w:rPr>
        <w:t xml:space="preserve"> predicted to increase to 26 per cent by 2023.</w:t>
      </w:r>
      <w:r w:rsidR="008119CF">
        <w:rPr>
          <w:rStyle w:val="FootnoteReference"/>
          <w:rFonts w:cs="Arial"/>
        </w:rPr>
        <w:footnoteReference w:id="14"/>
      </w:r>
    </w:p>
    <w:p w14:paraId="27A91E44" w14:textId="764F49D7" w:rsidR="008E47E6" w:rsidRDefault="000236FA" w:rsidP="001E6247">
      <w:r w:rsidRPr="005A5899">
        <w:rPr>
          <w:rFonts w:cs="Arial"/>
        </w:rPr>
        <w:lastRenderedPageBreak/>
        <w:t xml:space="preserve">The online market has facilitated the entry of </w:t>
      </w:r>
      <w:r>
        <w:rPr>
          <w:rFonts w:cs="Arial"/>
        </w:rPr>
        <w:t>private individual, small-scale producers through e</w:t>
      </w:r>
      <w:r w:rsidRPr="005A5899">
        <w:rPr>
          <w:rFonts w:cs="Arial"/>
        </w:rPr>
        <w:t>Bay</w:t>
      </w:r>
      <w:r>
        <w:rPr>
          <w:rFonts w:cs="Arial"/>
        </w:rPr>
        <w:t>, Etsy</w:t>
      </w:r>
      <w:r w:rsidRPr="005A5899">
        <w:rPr>
          <w:rFonts w:cs="Arial"/>
        </w:rPr>
        <w:t xml:space="preserve"> and social networking websites such as Facebook.</w:t>
      </w:r>
      <w:r>
        <w:rPr>
          <w:rFonts w:cs="Arial"/>
        </w:rPr>
        <w:t xml:space="preserve"> T</w:t>
      </w:r>
      <w:r w:rsidRPr="00D345C2">
        <w:rPr>
          <w:rFonts w:cs="Arial"/>
        </w:rPr>
        <w:t>he eas</w:t>
      </w:r>
      <w:r>
        <w:rPr>
          <w:rFonts w:cs="Arial"/>
        </w:rPr>
        <w:t>e with which cosmetic products such as soaps and shampoos</w:t>
      </w:r>
      <w:r w:rsidRPr="00D345C2">
        <w:rPr>
          <w:rFonts w:cs="Arial"/>
        </w:rPr>
        <w:t xml:space="preserve"> can be produced </w:t>
      </w:r>
      <w:r>
        <w:rPr>
          <w:rFonts w:cs="Arial"/>
        </w:rPr>
        <w:t xml:space="preserve">at home and supplied via online platforms and local farmer and craft markets </w:t>
      </w:r>
      <w:r w:rsidRPr="00D345C2">
        <w:rPr>
          <w:rFonts w:cs="Arial"/>
        </w:rPr>
        <w:t>poses a challenge for regulators.</w:t>
      </w:r>
    </w:p>
    <w:p w14:paraId="26630AC1" w14:textId="48199B8C" w:rsidR="008E47E6" w:rsidRPr="008E47E6" w:rsidRDefault="008E47E6" w:rsidP="001E6247">
      <w:pPr>
        <w:rPr>
          <w:rFonts w:cs="Arial"/>
        </w:rPr>
      </w:pPr>
      <w:r w:rsidRPr="008E47E6">
        <w:rPr>
          <w:rFonts w:cs="Arial"/>
        </w:rPr>
        <w:t xml:space="preserve">The ACCC </w:t>
      </w:r>
      <w:r>
        <w:rPr>
          <w:rFonts w:cs="Arial"/>
        </w:rPr>
        <w:t>has engaged with</w:t>
      </w:r>
      <w:r w:rsidRPr="008E47E6">
        <w:rPr>
          <w:rFonts w:cs="Arial"/>
        </w:rPr>
        <w:t xml:space="preserve"> online selling platforms to improve product safety compliance in the online marketplace. </w:t>
      </w:r>
      <w:r w:rsidR="00C34EC2">
        <w:rPr>
          <w:rFonts w:cs="Arial"/>
        </w:rPr>
        <w:t>These</w:t>
      </w:r>
      <w:r w:rsidRPr="008E47E6">
        <w:rPr>
          <w:rFonts w:cs="Arial"/>
        </w:rPr>
        <w:t xml:space="preserve"> platforms are undertaking </w:t>
      </w:r>
      <w:r w:rsidR="00C34EC2">
        <w:rPr>
          <w:rFonts w:cs="Arial"/>
        </w:rPr>
        <w:t xml:space="preserve">initiatives </w:t>
      </w:r>
      <w:r w:rsidRPr="008E47E6">
        <w:rPr>
          <w:rFonts w:cs="Arial"/>
        </w:rPr>
        <w:t xml:space="preserve">to improve </w:t>
      </w:r>
      <w:r w:rsidR="009636D7">
        <w:rPr>
          <w:rFonts w:cs="Arial"/>
        </w:rPr>
        <w:t xml:space="preserve">suppliers’ </w:t>
      </w:r>
      <w:r w:rsidRPr="008E47E6">
        <w:rPr>
          <w:rFonts w:cs="Arial"/>
        </w:rPr>
        <w:t>awareness of unsafe products</w:t>
      </w:r>
      <w:r w:rsidR="00C34EC2">
        <w:rPr>
          <w:rFonts w:cs="Arial"/>
        </w:rPr>
        <w:t>,</w:t>
      </w:r>
      <w:r w:rsidRPr="008E47E6">
        <w:rPr>
          <w:rFonts w:cs="Arial"/>
        </w:rPr>
        <w:t xml:space="preserve"> includ</w:t>
      </w:r>
      <w:r w:rsidR="00C34EC2">
        <w:rPr>
          <w:rFonts w:cs="Arial"/>
        </w:rPr>
        <w:t>ing</w:t>
      </w:r>
      <w:r w:rsidRPr="008E47E6">
        <w:rPr>
          <w:rFonts w:cs="Arial"/>
        </w:rPr>
        <w:t xml:space="preserve"> tailored compliance alerts</w:t>
      </w:r>
      <w:r w:rsidR="00C34EC2">
        <w:rPr>
          <w:rFonts w:cs="Arial"/>
        </w:rPr>
        <w:t xml:space="preserve">, sending </w:t>
      </w:r>
      <w:r w:rsidRPr="008E47E6">
        <w:rPr>
          <w:rFonts w:cs="Arial"/>
        </w:rPr>
        <w:t>information to s</w:t>
      </w:r>
      <w:r w:rsidR="009636D7">
        <w:rPr>
          <w:rFonts w:cs="Arial"/>
        </w:rPr>
        <w:t>uppliers</w:t>
      </w:r>
      <w:r w:rsidRPr="008E47E6">
        <w:rPr>
          <w:rFonts w:cs="Arial"/>
        </w:rPr>
        <w:t xml:space="preserve"> about Australian regulations, and putting processes in place </w:t>
      </w:r>
      <w:r>
        <w:rPr>
          <w:rFonts w:cs="Arial"/>
        </w:rPr>
        <w:t>to</w:t>
      </w:r>
      <w:r w:rsidRPr="008E47E6">
        <w:rPr>
          <w:rFonts w:cs="Arial"/>
        </w:rPr>
        <w:t xml:space="preserve"> enable swifter </w:t>
      </w:r>
      <w:r w:rsidR="000A1CF5">
        <w:rPr>
          <w:rFonts w:cs="Arial"/>
        </w:rPr>
        <w:t xml:space="preserve">identification and </w:t>
      </w:r>
      <w:r w:rsidRPr="008E47E6">
        <w:rPr>
          <w:rFonts w:cs="Arial"/>
        </w:rPr>
        <w:t xml:space="preserve">removal </w:t>
      </w:r>
      <w:r w:rsidR="009636D7">
        <w:rPr>
          <w:rFonts w:cs="Arial"/>
        </w:rPr>
        <w:t>of</w:t>
      </w:r>
      <w:r w:rsidRPr="008E47E6">
        <w:rPr>
          <w:rFonts w:cs="Arial"/>
        </w:rPr>
        <w:t xml:space="preserve"> unsafe product</w:t>
      </w:r>
      <w:r w:rsidR="000A1CF5" w:rsidRPr="000A1CF5">
        <w:rPr>
          <w:rFonts w:cs="Arial"/>
        </w:rPr>
        <w:t xml:space="preserve"> </w:t>
      </w:r>
      <w:r w:rsidR="000A1CF5" w:rsidRPr="008E47E6">
        <w:rPr>
          <w:rFonts w:cs="Arial"/>
        </w:rPr>
        <w:t>listings</w:t>
      </w:r>
      <w:r w:rsidRPr="008E47E6">
        <w:rPr>
          <w:rFonts w:cs="Arial"/>
        </w:rPr>
        <w:t>.</w:t>
      </w:r>
    </w:p>
    <w:p w14:paraId="7ADEA778" w14:textId="56FAA2BB" w:rsidR="008E47E6" w:rsidRDefault="008E47E6" w:rsidP="001E6247">
      <w:pPr>
        <w:rPr>
          <w:rFonts w:cs="Arial"/>
        </w:rPr>
      </w:pPr>
      <w:r w:rsidRPr="008E47E6">
        <w:rPr>
          <w:rFonts w:cs="Arial"/>
        </w:rPr>
        <w:t xml:space="preserve">The ACCC </w:t>
      </w:r>
      <w:r>
        <w:rPr>
          <w:rFonts w:cs="Arial"/>
        </w:rPr>
        <w:t>is</w:t>
      </w:r>
      <w:r w:rsidRPr="008E47E6">
        <w:rPr>
          <w:rFonts w:cs="Arial"/>
        </w:rPr>
        <w:t xml:space="preserve"> also </w:t>
      </w:r>
      <w:r w:rsidR="00CF0F0C">
        <w:rPr>
          <w:rFonts w:cs="Arial"/>
        </w:rPr>
        <w:t>educating</w:t>
      </w:r>
      <w:r w:rsidRPr="008E47E6">
        <w:rPr>
          <w:rFonts w:cs="Arial"/>
        </w:rPr>
        <w:t xml:space="preserve"> suppliers in the online marketplace through initiatives such as the </w:t>
      </w:r>
      <w:hyperlink r:id="rId20" w:history="1">
        <w:r w:rsidRPr="00062C59">
          <w:rPr>
            <w:rStyle w:val="Hyperlink"/>
            <w:rFonts w:cs="Arial"/>
          </w:rPr>
          <w:t>Selling online</w:t>
        </w:r>
      </w:hyperlink>
      <w:r w:rsidRPr="008E47E6">
        <w:rPr>
          <w:rFonts w:cs="Arial"/>
        </w:rPr>
        <w:t xml:space="preserve"> hub for suppliers and platforms on the Product Safety Australia website.</w:t>
      </w:r>
    </w:p>
    <w:p w14:paraId="1C0B09E3" w14:textId="2F82E0CF" w:rsidR="008103CA" w:rsidRPr="00253370" w:rsidRDefault="000E4291" w:rsidP="001126CC">
      <w:pPr>
        <w:rPr>
          <w:rFonts w:cs="Arial"/>
          <w:iCs/>
        </w:rPr>
      </w:pPr>
      <w:r w:rsidRPr="00253370">
        <w:rPr>
          <w:rFonts w:cs="Arial"/>
          <w:iCs/>
        </w:rPr>
        <w:t>T</w:t>
      </w:r>
      <w:r w:rsidR="00E31B2B" w:rsidRPr="00253370">
        <w:rPr>
          <w:rFonts w:cs="Arial"/>
          <w:iCs/>
        </w:rPr>
        <w:t>he</w:t>
      </w:r>
      <w:r w:rsidR="008103CA" w:rsidRPr="00253370">
        <w:rPr>
          <w:rFonts w:cs="Arial"/>
          <w:iCs/>
        </w:rPr>
        <w:t xml:space="preserve"> </w:t>
      </w:r>
      <w:r w:rsidR="00E31B2B" w:rsidRPr="00253370">
        <w:rPr>
          <w:rFonts w:cs="Arial"/>
          <w:iCs/>
        </w:rPr>
        <w:t xml:space="preserve">information standard </w:t>
      </w:r>
      <w:r w:rsidR="008103CA" w:rsidRPr="00253370">
        <w:rPr>
          <w:rFonts w:cs="Arial"/>
          <w:iCs/>
        </w:rPr>
        <w:t>appl</w:t>
      </w:r>
      <w:r w:rsidR="005E5F26">
        <w:rPr>
          <w:rFonts w:cs="Arial"/>
          <w:iCs/>
        </w:rPr>
        <w:t>ies</w:t>
      </w:r>
      <w:r w:rsidR="008103CA" w:rsidRPr="00253370">
        <w:rPr>
          <w:rFonts w:cs="Arial"/>
          <w:iCs/>
        </w:rPr>
        <w:t xml:space="preserve"> to</w:t>
      </w:r>
      <w:r w:rsidR="004A5F97" w:rsidRPr="00253370">
        <w:rPr>
          <w:rFonts w:cs="Arial"/>
          <w:iCs/>
        </w:rPr>
        <w:t xml:space="preserve"> </w:t>
      </w:r>
      <w:r w:rsidR="00E31B2B" w:rsidRPr="00253370">
        <w:rPr>
          <w:rFonts w:cs="Arial"/>
          <w:iCs/>
        </w:rPr>
        <w:t xml:space="preserve">cosmetic </w:t>
      </w:r>
      <w:r w:rsidR="005E5F26">
        <w:rPr>
          <w:rFonts w:cs="Arial"/>
          <w:iCs/>
        </w:rPr>
        <w:t>suppliers</w:t>
      </w:r>
      <w:r w:rsidR="008103CA" w:rsidRPr="00253370">
        <w:rPr>
          <w:rFonts w:cs="Arial"/>
          <w:iCs/>
        </w:rPr>
        <w:t xml:space="preserve"> </w:t>
      </w:r>
      <w:r w:rsidRPr="00253370">
        <w:rPr>
          <w:rFonts w:cs="Arial"/>
          <w:iCs/>
        </w:rPr>
        <w:t xml:space="preserve">whether they </w:t>
      </w:r>
      <w:r w:rsidR="005E5F26">
        <w:rPr>
          <w:rFonts w:cs="Arial"/>
          <w:iCs/>
        </w:rPr>
        <w:t>sell</w:t>
      </w:r>
      <w:r w:rsidR="005E5F26" w:rsidRPr="00253370">
        <w:rPr>
          <w:rFonts w:cs="Arial"/>
          <w:iCs/>
        </w:rPr>
        <w:t xml:space="preserve"> </w:t>
      </w:r>
      <w:r w:rsidR="00E31B2B" w:rsidRPr="00253370">
        <w:rPr>
          <w:rFonts w:cs="Arial"/>
          <w:iCs/>
        </w:rPr>
        <w:t xml:space="preserve">online </w:t>
      </w:r>
      <w:r w:rsidRPr="00253370">
        <w:rPr>
          <w:rFonts w:cs="Arial"/>
          <w:iCs/>
        </w:rPr>
        <w:t xml:space="preserve">or </w:t>
      </w:r>
      <w:r w:rsidR="00E31B2B" w:rsidRPr="00253370">
        <w:rPr>
          <w:rFonts w:cs="Arial"/>
          <w:iCs/>
        </w:rPr>
        <w:t xml:space="preserve">in </w:t>
      </w:r>
      <w:r w:rsidRPr="00253370">
        <w:rPr>
          <w:rFonts w:cs="Arial"/>
          <w:iCs/>
        </w:rPr>
        <w:t xml:space="preserve">a </w:t>
      </w:r>
      <w:r w:rsidR="00F804DC" w:rsidRPr="00253370">
        <w:rPr>
          <w:rFonts w:cs="Arial"/>
          <w:iCs/>
        </w:rPr>
        <w:t xml:space="preserve">bricks and mortar </w:t>
      </w:r>
      <w:r w:rsidR="00E31B2B" w:rsidRPr="00253370">
        <w:rPr>
          <w:rFonts w:cs="Arial"/>
          <w:iCs/>
        </w:rPr>
        <w:t>store</w:t>
      </w:r>
      <w:r w:rsidR="00C92BDE" w:rsidRPr="00253370">
        <w:rPr>
          <w:rFonts w:cs="Arial"/>
          <w:iCs/>
        </w:rPr>
        <w:t xml:space="preserve">. </w:t>
      </w:r>
      <w:r w:rsidR="005E5F26">
        <w:rPr>
          <w:rFonts w:cs="Arial"/>
          <w:iCs/>
        </w:rPr>
        <w:t>However, a</w:t>
      </w:r>
      <w:r w:rsidR="00C92BDE" w:rsidRPr="00253370">
        <w:rPr>
          <w:rFonts w:cs="Arial"/>
          <w:iCs/>
        </w:rPr>
        <w:t xml:space="preserve">s </w:t>
      </w:r>
      <w:r w:rsidR="008103CA" w:rsidRPr="00253370">
        <w:rPr>
          <w:rFonts w:cs="Arial"/>
          <w:iCs/>
        </w:rPr>
        <w:t xml:space="preserve">currently </w:t>
      </w:r>
      <w:r w:rsidR="00C92BDE" w:rsidRPr="00253370">
        <w:rPr>
          <w:rFonts w:cs="Arial"/>
          <w:iCs/>
        </w:rPr>
        <w:t>constructed the</w:t>
      </w:r>
      <w:r w:rsidR="00610DF2" w:rsidRPr="00253370">
        <w:rPr>
          <w:rFonts w:cs="Arial"/>
          <w:iCs/>
        </w:rPr>
        <w:t xml:space="preserve"> information</w:t>
      </w:r>
      <w:r w:rsidR="00C92BDE" w:rsidRPr="00253370">
        <w:rPr>
          <w:rFonts w:cs="Arial"/>
          <w:iCs/>
        </w:rPr>
        <w:t xml:space="preserve"> </w:t>
      </w:r>
      <w:r w:rsidR="00A841F2" w:rsidRPr="00253370">
        <w:rPr>
          <w:rFonts w:cs="Arial"/>
          <w:iCs/>
        </w:rPr>
        <w:t xml:space="preserve">standard does not require </w:t>
      </w:r>
      <w:r w:rsidR="001A7C38" w:rsidRPr="00253370">
        <w:rPr>
          <w:rFonts w:cs="Arial"/>
          <w:iCs/>
        </w:rPr>
        <w:t>online supplier</w:t>
      </w:r>
      <w:r w:rsidR="00A841F2" w:rsidRPr="00253370">
        <w:rPr>
          <w:rFonts w:cs="Arial"/>
          <w:iCs/>
        </w:rPr>
        <w:t>s</w:t>
      </w:r>
      <w:r w:rsidR="00922F33" w:rsidRPr="00253370">
        <w:rPr>
          <w:rFonts w:cs="Arial"/>
          <w:iCs/>
        </w:rPr>
        <w:t xml:space="preserve"> to list</w:t>
      </w:r>
      <w:r w:rsidR="001A7C38" w:rsidRPr="00253370">
        <w:rPr>
          <w:rFonts w:cs="Arial"/>
          <w:iCs/>
        </w:rPr>
        <w:t xml:space="preserve"> </w:t>
      </w:r>
      <w:r w:rsidR="00610DF2" w:rsidRPr="00253370">
        <w:rPr>
          <w:rFonts w:cs="Arial"/>
          <w:iCs/>
        </w:rPr>
        <w:t xml:space="preserve">ingredient information </w:t>
      </w:r>
      <w:r w:rsidR="00922F33" w:rsidRPr="00253370">
        <w:rPr>
          <w:rFonts w:cs="Arial"/>
          <w:iCs/>
        </w:rPr>
        <w:t xml:space="preserve">on </w:t>
      </w:r>
      <w:r w:rsidR="005E5F26">
        <w:rPr>
          <w:rFonts w:cs="Arial"/>
          <w:iCs/>
        </w:rPr>
        <w:t>their</w:t>
      </w:r>
      <w:r w:rsidR="005E5F26" w:rsidRPr="00253370">
        <w:rPr>
          <w:rFonts w:cs="Arial"/>
          <w:iCs/>
        </w:rPr>
        <w:t xml:space="preserve"> </w:t>
      </w:r>
      <w:r w:rsidR="00922F33" w:rsidRPr="00253370">
        <w:rPr>
          <w:rFonts w:cs="Arial"/>
          <w:iCs/>
        </w:rPr>
        <w:t>online platform</w:t>
      </w:r>
      <w:r w:rsidR="000A1CF5">
        <w:rPr>
          <w:rFonts w:cs="Arial"/>
          <w:iCs/>
        </w:rPr>
        <w:t>, rather i</w:t>
      </w:r>
      <w:r w:rsidR="00246C6F">
        <w:rPr>
          <w:rFonts w:cs="Arial"/>
          <w:iCs/>
        </w:rPr>
        <w:t>t</w:t>
      </w:r>
      <w:r w:rsidR="000A1CF5">
        <w:rPr>
          <w:rFonts w:cs="Arial"/>
          <w:iCs/>
        </w:rPr>
        <w:t xml:space="preserve"> applies when </w:t>
      </w:r>
      <w:r w:rsidR="00246C6F">
        <w:rPr>
          <w:rFonts w:cs="Arial"/>
          <w:iCs/>
        </w:rPr>
        <w:t xml:space="preserve">the product is actually </w:t>
      </w:r>
      <w:r w:rsidR="000A1CF5">
        <w:rPr>
          <w:rFonts w:cs="Arial"/>
          <w:iCs/>
        </w:rPr>
        <w:t xml:space="preserve">supplied </w:t>
      </w:r>
      <w:r w:rsidR="00246C6F">
        <w:rPr>
          <w:rFonts w:cs="Arial"/>
          <w:iCs/>
        </w:rPr>
        <w:t>to the consumer (</w:t>
      </w:r>
      <w:r w:rsidR="000A1CF5">
        <w:rPr>
          <w:rFonts w:cs="Arial"/>
          <w:iCs/>
        </w:rPr>
        <w:t xml:space="preserve">post </w:t>
      </w:r>
      <w:r w:rsidR="00246C6F">
        <w:rPr>
          <w:rFonts w:cs="Arial"/>
          <w:iCs/>
        </w:rPr>
        <w:t xml:space="preserve">their </w:t>
      </w:r>
      <w:r w:rsidR="000A1CF5">
        <w:rPr>
          <w:rFonts w:cs="Arial"/>
          <w:iCs/>
        </w:rPr>
        <w:t>purchasing decision</w:t>
      </w:r>
      <w:r w:rsidR="00246C6F">
        <w:rPr>
          <w:rFonts w:cs="Arial"/>
          <w:iCs/>
        </w:rPr>
        <w:t>)</w:t>
      </w:r>
      <w:r w:rsidR="008103CA" w:rsidRPr="00253370">
        <w:rPr>
          <w:rFonts w:cs="Arial"/>
          <w:iCs/>
        </w:rPr>
        <w:t>.</w:t>
      </w:r>
      <w:r w:rsidR="00922F33" w:rsidRPr="00253370">
        <w:rPr>
          <w:rFonts w:cs="Arial"/>
          <w:iCs/>
        </w:rPr>
        <w:t xml:space="preserve"> </w:t>
      </w:r>
      <w:r w:rsidR="005E4C42">
        <w:rPr>
          <w:rFonts w:cs="Arial"/>
          <w:iCs/>
        </w:rPr>
        <w:t xml:space="preserve">With </w:t>
      </w:r>
      <w:r w:rsidR="00922F33" w:rsidRPr="00253370">
        <w:rPr>
          <w:rFonts w:cs="Arial"/>
          <w:iCs/>
        </w:rPr>
        <w:t>the increasing prevalence of online sales</w:t>
      </w:r>
      <w:r w:rsidR="005E4C42">
        <w:rPr>
          <w:rFonts w:cs="Arial"/>
          <w:iCs/>
        </w:rPr>
        <w:t>, t</w:t>
      </w:r>
      <w:r w:rsidR="005E4C42" w:rsidRPr="00253370">
        <w:rPr>
          <w:rFonts w:cs="Arial"/>
          <w:iCs/>
        </w:rPr>
        <w:t xml:space="preserve">he ACCC has identified that </w:t>
      </w:r>
      <w:r w:rsidR="00922F33" w:rsidRPr="00253370">
        <w:rPr>
          <w:rFonts w:cs="Arial"/>
          <w:iCs/>
        </w:rPr>
        <w:t xml:space="preserve">this is </w:t>
      </w:r>
      <w:r w:rsidR="005E4C42" w:rsidRPr="00253370">
        <w:rPr>
          <w:rFonts w:cs="Arial"/>
          <w:iCs/>
        </w:rPr>
        <w:t>limiting</w:t>
      </w:r>
      <w:r w:rsidR="00922F33" w:rsidRPr="00253370">
        <w:rPr>
          <w:rFonts w:cs="Arial"/>
          <w:iCs/>
        </w:rPr>
        <w:t xml:space="preserve"> the intent of the </w:t>
      </w:r>
      <w:r w:rsidR="005E4C42">
        <w:rPr>
          <w:rFonts w:cs="Arial"/>
          <w:iCs/>
        </w:rPr>
        <w:t xml:space="preserve">information </w:t>
      </w:r>
      <w:r w:rsidR="00922F33" w:rsidRPr="00253370">
        <w:rPr>
          <w:rFonts w:cs="Arial"/>
          <w:iCs/>
        </w:rPr>
        <w:t>standard to inform consumers prior to the point of purchase.</w:t>
      </w:r>
    </w:p>
    <w:p w14:paraId="164174FE" w14:textId="612F9474" w:rsidR="00E11C82" w:rsidRDefault="00922F33" w:rsidP="001126CC">
      <w:r w:rsidRPr="00253370">
        <w:rPr>
          <w:rFonts w:cs="Arial"/>
          <w:iCs/>
        </w:rPr>
        <w:t>W</w:t>
      </w:r>
      <w:r w:rsidR="000D3B00" w:rsidRPr="00253370">
        <w:rPr>
          <w:rFonts w:cs="Arial"/>
          <w:iCs/>
        </w:rPr>
        <w:t>e</w:t>
      </w:r>
      <w:r w:rsidR="001A7C38" w:rsidRPr="00253370">
        <w:rPr>
          <w:rFonts w:cs="Arial"/>
          <w:iCs/>
        </w:rPr>
        <w:t xml:space="preserve"> </w:t>
      </w:r>
      <w:r w:rsidR="00774AF7">
        <w:rPr>
          <w:rFonts w:cs="Arial"/>
          <w:iCs/>
        </w:rPr>
        <w:t>are considering introducing</w:t>
      </w:r>
      <w:r w:rsidR="001A7C38" w:rsidRPr="00253370">
        <w:rPr>
          <w:rFonts w:cs="Arial"/>
          <w:iCs/>
        </w:rPr>
        <w:t xml:space="preserve"> a new requirement</w:t>
      </w:r>
      <w:r w:rsidRPr="00253370">
        <w:rPr>
          <w:rFonts w:cs="Arial"/>
          <w:iCs/>
        </w:rPr>
        <w:t xml:space="preserve"> in the</w:t>
      </w:r>
      <w:r w:rsidR="005E4C42">
        <w:rPr>
          <w:rFonts w:cs="Arial"/>
          <w:iCs/>
        </w:rPr>
        <w:t xml:space="preserve"> information</w:t>
      </w:r>
      <w:r w:rsidRPr="00253370">
        <w:rPr>
          <w:rFonts w:cs="Arial"/>
          <w:iCs/>
        </w:rPr>
        <w:t xml:space="preserve"> standard to require </w:t>
      </w:r>
      <w:r w:rsidR="005E4C42">
        <w:rPr>
          <w:rFonts w:cs="Arial"/>
          <w:iCs/>
        </w:rPr>
        <w:t xml:space="preserve">cosmetic </w:t>
      </w:r>
      <w:r w:rsidRPr="00253370">
        <w:rPr>
          <w:rFonts w:cs="Arial"/>
          <w:iCs/>
        </w:rPr>
        <w:t>suppliers to list</w:t>
      </w:r>
      <w:r w:rsidR="006F16FF" w:rsidRPr="00253370">
        <w:rPr>
          <w:rFonts w:cs="Arial"/>
          <w:iCs/>
        </w:rPr>
        <w:t xml:space="preserve"> ingredi</w:t>
      </w:r>
      <w:r w:rsidRPr="00253370">
        <w:rPr>
          <w:rFonts w:cs="Arial"/>
          <w:iCs/>
        </w:rPr>
        <w:t>ent information on their online platform</w:t>
      </w:r>
      <w:r w:rsidR="005E4C42">
        <w:rPr>
          <w:rFonts w:cs="Arial"/>
          <w:iCs/>
        </w:rPr>
        <w:t>. This</w:t>
      </w:r>
      <w:r w:rsidR="00B01B18" w:rsidRPr="00253370">
        <w:t xml:space="preserve"> </w:t>
      </w:r>
      <w:r w:rsidR="005C75FE" w:rsidRPr="00253370">
        <w:t xml:space="preserve">would provide online </w:t>
      </w:r>
      <w:r w:rsidR="009018BA" w:rsidRPr="00253370">
        <w:t>consumers</w:t>
      </w:r>
      <w:r w:rsidR="005C75FE" w:rsidRPr="00253370">
        <w:t xml:space="preserve"> with </w:t>
      </w:r>
      <w:r w:rsidR="00B01B18" w:rsidRPr="00253370">
        <w:t xml:space="preserve">the same level of information </w:t>
      </w:r>
      <w:r w:rsidR="005E4C42">
        <w:t>that</w:t>
      </w:r>
      <w:r w:rsidR="005E4C42" w:rsidRPr="00253370">
        <w:t xml:space="preserve"> </w:t>
      </w:r>
      <w:r w:rsidR="00845596" w:rsidRPr="00253370">
        <w:t xml:space="preserve">they </w:t>
      </w:r>
      <w:r w:rsidR="005E4C42">
        <w:t>would receive at</w:t>
      </w:r>
      <w:r w:rsidR="00B01B18" w:rsidRPr="00253370">
        <w:t xml:space="preserve"> a bricks and mortar </w:t>
      </w:r>
      <w:r w:rsidR="00E11C82" w:rsidRPr="00253370">
        <w:t>store</w:t>
      </w:r>
      <w:r w:rsidR="005E4C42">
        <w:t xml:space="preserve">, </w:t>
      </w:r>
      <w:r w:rsidR="00845596" w:rsidRPr="00253370">
        <w:t>afford</w:t>
      </w:r>
      <w:r w:rsidR="005E4C42">
        <w:t>ing them</w:t>
      </w:r>
      <w:r w:rsidR="00845596" w:rsidRPr="00253370">
        <w:t xml:space="preserve"> </w:t>
      </w:r>
      <w:r w:rsidR="005E4C42">
        <w:t>equivalent</w:t>
      </w:r>
      <w:r w:rsidR="00845596" w:rsidRPr="00253370">
        <w:t xml:space="preserve"> information to guide their decision making</w:t>
      </w:r>
      <w:r w:rsidR="006265E7" w:rsidRPr="00253370">
        <w:t>.</w:t>
      </w:r>
      <w:r w:rsidR="007A5B9D">
        <w:t xml:space="preserve"> In considering this requirement, we are aware that an online platform is likely to ship products to a number of regulatory jurisdictions with somewhat different labelling requirements. To address this matter</w:t>
      </w:r>
      <w:r w:rsidR="00354946">
        <w:t>,</w:t>
      </w:r>
      <w:r w:rsidR="007A5B9D">
        <w:t xml:space="preserve"> the requirements for online disclosure could be restricted to list </w:t>
      </w:r>
      <w:r w:rsidR="00354946">
        <w:t xml:space="preserve">the </w:t>
      </w:r>
      <w:r w:rsidR="007A5B9D">
        <w:t>cosmetic ingredients through the use of the INCI database or the ingredient</w:t>
      </w:r>
      <w:r w:rsidR="00354946">
        <w:t>’</w:t>
      </w:r>
      <w:r w:rsidR="007A5B9D">
        <w:t xml:space="preserve">s common </w:t>
      </w:r>
      <w:r w:rsidR="00D4494E">
        <w:t>English terms</w:t>
      </w:r>
      <w:r w:rsidR="00354946">
        <w:t>, a</w:t>
      </w:r>
      <w:r w:rsidR="00D4494E">
        <w:t xml:space="preserve">s these requirements are consistent across the various overseas and Australian standards. </w:t>
      </w:r>
    </w:p>
    <w:p w14:paraId="181AA145" w14:textId="079F6E80" w:rsidR="007F567A" w:rsidRPr="00594565" w:rsidRDefault="0060284F" w:rsidP="00DA738E">
      <w:pPr>
        <w:pStyle w:val="Heading2"/>
        <w:rPr>
          <w:rFonts w:eastAsia="Times New Roman" w:cs="Times New Roman"/>
          <w:color w:val="51626F"/>
        </w:rPr>
      </w:pPr>
      <w:r w:rsidRPr="00594565">
        <w:rPr>
          <w:rFonts w:eastAsia="Times New Roman" w:cs="Times New Roman"/>
          <w:color w:val="51626F"/>
        </w:rPr>
        <w:t>Additional labelling information</w:t>
      </w:r>
      <w:bookmarkStart w:id="17" w:name="_Toc14788110"/>
      <w:bookmarkStart w:id="18" w:name="_Toc14796243"/>
      <w:bookmarkEnd w:id="17"/>
      <w:bookmarkEnd w:id="18"/>
    </w:p>
    <w:p w14:paraId="4C776086" w14:textId="6EC18A93" w:rsidR="00750460" w:rsidRDefault="00DB176E">
      <w:r>
        <w:t>The information standard does not require the inclusion of certain information</w:t>
      </w:r>
      <w:r w:rsidR="006D5B08">
        <w:t xml:space="preserve"> on a label</w:t>
      </w:r>
      <w:r w:rsidR="00D95F88">
        <w:t>,</w:t>
      </w:r>
      <w:r w:rsidR="00750460">
        <w:t xml:space="preserve"> including</w:t>
      </w:r>
      <w:r w:rsidR="00584348">
        <w:t xml:space="preserve"> the</w:t>
      </w:r>
      <w:r w:rsidR="00750460">
        <w:t>:</w:t>
      </w:r>
      <w:bookmarkStart w:id="19" w:name="_Toc14788111"/>
      <w:bookmarkStart w:id="20" w:name="_Toc14796244"/>
      <w:bookmarkEnd w:id="19"/>
      <w:bookmarkEnd w:id="20"/>
    </w:p>
    <w:p w14:paraId="060CEB4D" w14:textId="53A61F73" w:rsidR="0060284F" w:rsidRPr="00254D56" w:rsidRDefault="00D95F88" w:rsidP="00DA738E">
      <w:pPr>
        <w:pStyle w:val="ListParagraph"/>
        <w:numPr>
          <w:ilvl w:val="0"/>
          <w:numId w:val="70"/>
        </w:numPr>
      </w:pPr>
      <w:r w:rsidRPr="00254D56">
        <w:t>date of expiration/</w:t>
      </w:r>
      <w:r w:rsidR="00750460" w:rsidRPr="00254D56">
        <w:t>minimum durability</w:t>
      </w:r>
      <w:bookmarkStart w:id="21" w:name="_Toc14788112"/>
      <w:bookmarkStart w:id="22" w:name="_Toc14796245"/>
      <w:bookmarkEnd w:id="21"/>
      <w:bookmarkEnd w:id="22"/>
    </w:p>
    <w:p w14:paraId="646D9431" w14:textId="2D0DED5F" w:rsidR="00750460" w:rsidRDefault="00D95F88" w:rsidP="00DA738E">
      <w:pPr>
        <w:pStyle w:val="ListParagraph"/>
        <w:numPr>
          <w:ilvl w:val="0"/>
          <w:numId w:val="70"/>
        </w:numPr>
      </w:pPr>
      <w:r>
        <w:t>b</w:t>
      </w:r>
      <w:r w:rsidR="00750460">
        <w:t>atch number of manufacture</w:t>
      </w:r>
      <w:bookmarkStart w:id="23" w:name="_Toc14788113"/>
      <w:bookmarkStart w:id="24" w:name="_Toc14796246"/>
      <w:bookmarkEnd w:id="23"/>
      <w:bookmarkEnd w:id="24"/>
    </w:p>
    <w:p w14:paraId="57B25E1C" w14:textId="52C848DF" w:rsidR="00750460" w:rsidRDefault="00D95F88" w:rsidP="00750460">
      <w:pPr>
        <w:pStyle w:val="ListParagraph"/>
        <w:numPr>
          <w:ilvl w:val="0"/>
          <w:numId w:val="70"/>
        </w:numPr>
      </w:pPr>
      <w:r>
        <w:t>n</w:t>
      </w:r>
      <w:r w:rsidR="00750460">
        <w:t>am</w:t>
      </w:r>
      <w:r>
        <w:t>e and address of manufacturer/</w:t>
      </w:r>
      <w:r w:rsidR="00750460">
        <w:t>distributor</w:t>
      </w:r>
      <w:bookmarkStart w:id="25" w:name="_Toc14788114"/>
      <w:bookmarkStart w:id="26" w:name="_Toc14796247"/>
      <w:bookmarkEnd w:id="25"/>
      <w:bookmarkEnd w:id="26"/>
      <w:r>
        <w:t>.</w:t>
      </w:r>
    </w:p>
    <w:p w14:paraId="37032A94" w14:textId="4FE79DAF" w:rsidR="008E61D1" w:rsidRDefault="00D95F88" w:rsidP="009356D7">
      <w:r w:rsidRPr="00254D56">
        <w:t>Detailing the date of expiration or</w:t>
      </w:r>
      <w:r w:rsidR="00252154" w:rsidRPr="00254D56">
        <w:t xml:space="preserve"> minimum durability may assist consumers to make full use of a product and to minimise waste which would increase consumer utility.</w:t>
      </w:r>
      <w:r w:rsidR="00252154">
        <w:t xml:space="preserve"> </w:t>
      </w:r>
      <w:r w:rsidR="00254D56">
        <w:t xml:space="preserve">However, if the information standard was to require the disclosure of expiry dates, such dates </w:t>
      </w:r>
      <w:r w:rsidR="00AD6BE9">
        <w:t>would need to</w:t>
      </w:r>
      <w:r w:rsidR="00254D56">
        <w:t xml:space="preserve"> be </w:t>
      </w:r>
      <w:r w:rsidR="00AD6BE9">
        <w:t>accurate and</w:t>
      </w:r>
      <w:r w:rsidR="00254D56">
        <w:t xml:space="preserve"> defensible so </w:t>
      </w:r>
      <w:r w:rsidR="00584348">
        <w:t>they do</w:t>
      </w:r>
      <w:r w:rsidR="00254D56">
        <w:t xml:space="preserve"> not</w:t>
      </w:r>
      <w:r w:rsidR="00AD6BE9">
        <w:t xml:space="preserve"> risk</w:t>
      </w:r>
      <w:r w:rsidR="00254D56">
        <w:t xml:space="preserve"> misrepresent</w:t>
      </w:r>
      <w:r w:rsidR="00AD6BE9">
        <w:t>ing</w:t>
      </w:r>
      <w:r w:rsidR="00254D56">
        <w:t xml:space="preserve"> the actual durability and lifespan of the</w:t>
      </w:r>
      <w:r w:rsidR="00AD6BE9">
        <w:t xml:space="preserve"> particular</w:t>
      </w:r>
      <w:r w:rsidR="00254D56">
        <w:t xml:space="preserve"> </w:t>
      </w:r>
      <w:r w:rsidR="00AD6BE9">
        <w:t>product</w:t>
      </w:r>
      <w:r w:rsidR="00254D56">
        <w:t>.</w:t>
      </w:r>
      <w:r w:rsidR="005F0023">
        <w:t xml:space="preserve"> </w:t>
      </w:r>
      <w:r w:rsidR="008E61D1">
        <w:t>Additionally, r</w:t>
      </w:r>
      <w:r w:rsidR="00252154">
        <w:t xml:space="preserve">equirements for batch numbers </w:t>
      </w:r>
      <w:r>
        <w:t xml:space="preserve">and to identify </w:t>
      </w:r>
      <w:r w:rsidR="008E61D1">
        <w:t>the manufacturer</w:t>
      </w:r>
      <w:r>
        <w:t xml:space="preserve"> or </w:t>
      </w:r>
      <w:r w:rsidR="008E61D1">
        <w:t>distributor</w:t>
      </w:r>
      <w:r w:rsidR="00252154">
        <w:t xml:space="preserve"> would assist with product recalls in the event that a produ</w:t>
      </w:r>
      <w:r w:rsidR="00A55273">
        <w:t>ct was identified as defective.</w:t>
      </w:r>
    </w:p>
    <w:p w14:paraId="463ACDAF" w14:textId="1C805D2D" w:rsidR="008E61D1" w:rsidRDefault="00252154" w:rsidP="009356D7">
      <w:r>
        <w:t>The addition of this information</w:t>
      </w:r>
      <w:r w:rsidR="00774AF7" w:rsidRPr="00774AF7">
        <w:t xml:space="preserve"> </w:t>
      </w:r>
      <w:r w:rsidR="00774AF7">
        <w:t>on an existing label is unlikely to increase compliance costs</w:t>
      </w:r>
      <w:r>
        <w:t xml:space="preserve">, especially where information about batch numbers is already kept by a </w:t>
      </w:r>
      <w:r w:rsidR="008E61D1">
        <w:t>manufacturer or distributor</w:t>
      </w:r>
      <w:r w:rsidR="00774AF7">
        <w:t xml:space="preserve">. </w:t>
      </w:r>
      <w:r>
        <w:t xml:space="preserve">These requirements could be included in a new information </w:t>
      </w:r>
      <w:r w:rsidR="008E61D1">
        <w:t xml:space="preserve">standard </w:t>
      </w:r>
      <w:r>
        <w:t xml:space="preserve">or, as discussed below, by permitting suppliers to achieve compliance through reference to an overseas standard </w:t>
      </w:r>
      <w:r w:rsidR="008E61D1">
        <w:t>(</w:t>
      </w:r>
      <w:r>
        <w:t>which already includes these requirements</w:t>
      </w:r>
      <w:r w:rsidR="008E61D1">
        <w:t>)</w:t>
      </w:r>
      <w:r w:rsidR="00A55273">
        <w:t>.</w:t>
      </w:r>
    </w:p>
    <w:p w14:paraId="30DA33D3" w14:textId="2F5C0A7F" w:rsidR="00F63432" w:rsidRPr="00253370" w:rsidRDefault="00350391" w:rsidP="00AC5BA1">
      <w:pPr>
        <w:pStyle w:val="Numbered1"/>
        <w:numPr>
          <w:ilvl w:val="0"/>
          <w:numId w:val="12"/>
        </w:numPr>
        <w:ind w:left="357" w:hanging="357"/>
        <w:rPr>
          <w:rFonts w:ascii="Lucida Fax" w:hAnsi="Lucida Fax"/>
          <w:color w:val="51626F"/>
        </w:rPr>
      </w:pPr>
      <w:bookmarkStart w:id="27" w:name="_Toc14788115"/>
      <w:bookmarkStart w:id="28" w:name="_Toc14796248"/>
      <w:bookmarkStart w:id="29" w:name="_Toc14788116"/>
      <w:bookmarkStart w:id="30" w:name="_Toc14796249"/>
      <w:bookmarkStart w:id="31" w:name="_Toc17366904"/>
      <w:bookmarkEnd w:id="27"/>
      <w:bookmarkEnd w:id="28"/>
      <w:bookmarkEnd w:id="29"/>
      <w:bookmarkEnd w:id="30"/>
      <w:r>
        <w:rPr>
          <w:rFonts w:ascii="Lucida Fax" w:hAnsi="Lucida Fax"/>
          <w:color w:val="51626F"/>
        </w:rPr>
        <w:lastRenderedPageBreak/>
        <w:t>Overseas</w:t>
      </w:r>
      <w:r w:rsidR="00F63432" w:rsidRPr="00253370">
        <w:rPr>
          <w:rFonts w:ascii="Lucida Fax" w:hAnsi="Lucida Fax"/>
          <w:color w:val="51626F"/>
        </w:rPr>
        <w:t xml:space="preserve"> standards</w:t>
      </w:r>
      <w:bookmarkEnd w:id="31"/>
    </w:p>
    <w:p w14:paraId="1862F659" w14:textId="7905A4E4" w:rsidR="00CA6C5D" w:rsidRDefault="00CA6C5D" w:rsidP="001E6247">
      <w:r w:rsidRPr="00282D20">
        <w:t>When making recommendations for new and amended regulations</w:t>
      </w:r>
      <w:r w:rsidR="00EB76C8">
        <w:t xml:space="preserve"> the</w:t>
      </w:r>
      <w:r w:rsidRPr="00282D20">
        <w:t xml:space="preserve"> </w:t>
      </w:r>
      <w:r w:rsidRPr="00282D20">
        <w:rPr>
          <w:i/>
        </w:rPr>
        <w:t>Australian Government Guide to Regulation 2014</w:t>
      </w:r>
      <w:r w:rsidRPr="00282D20">
        <w:t xml:space="preserve"> requires policy makers to consider </w:t>
      </w:r>
      <w:r w:rsidR="00350391">
        <w:t>overseas</w:t>
      </w:r>
      <w:r w:rsidRPr="00282D20">
        <w:t xml:space="preserve"> standar</w:t>
      </w:r>
      <w:r>
        <w:t>ds as an option for regulation.</w:t>
      </w:r>
    </w:p>
    <w:p w14:paraId="3509F91E" w14:textId="2037846B" w:rsidR="00CA6C5D" w:rsidRDefault="007E6842" w:rsidP="001E6247">
      <w:pPr>
        <w:spacing w:line="220" w:lineRule="atLeast"/>
        <w:rPr>
          <w:rFonts w:cs="Arial"/>
        </w:rPr>
      </w:pPr>
      <w:r>
        <w:rPr>
          <w:rFonts w:cs="Arial"/>
        </w:rPr>
        <w:t>The European Union</w:t>
      </w:r>
      <w:r w:rsidR="000626EE">
        <w:rPr>
          <w:rFonts w:cs="Arial"/>
        </w:rPr>
        <w:t xml:space="preserve">, New Zealand </w:t>
      </w:r>
      <w:r>
        <w:rPr>
          <w:rFonts w:cs="Arial"/>
        </w:rPr>
        <w:t xml:space="preserve">and the </w:t>
      </w:r>
      <w:r w:rsidR="00F911CC">
        <w:rPr>
          <w:rFonts w:cs="Arial"/>
        </w:rPr>
        <w:t xml:space="preserve">United States </w:t>
      </w:r>
      <w:r w:rsidR="005714AB">
        <w:rPr>
          <w:rFonts w:cs="Arial"/>
        </w:rPr>
        <w:t>are among a number of</w:t>
      </w:r>
      <w:r>
        <w:rPr>
          <w:rFonts w:cs="Arial"/>
        </w:rPr>
        <w:t xml:space="preserve"> jurisdictions with mandatory requi</w:t>
      </w:r>
      <w:r w:rsidR="00364261">
        <w:rPr>
          <w:rFonts w:cs="Arial"/>
        </w:rPr>
        <w:t>rements for cosmetic ingredient</w:t>
      </w:r>
      <w:r>
        <w:rPr>
          <w:rFonts w:cs="Arial"/>
        </w:rPr>
        <w:t xml:space="preserve"> labelling.</w:t>
      </w:r>
      <w:r w:rsidR="00DA2BAC">
        <w:rPr>
          <w:rFonts w:cs="Arial"/>
        </w:rPr>
        <w:t xml:space="preserve"> </w:t>
      </w:r>
      <w:r w:rsidR="000626EE">
        <w:rPr>
          <w:rFonts w:cs="Arial"/>
        </w:rPr>
        <w:t xml:space="preserve">Each of these </w:t>
      </w:r>
      <w:r w:rsidR="00CA45DC">
        <w:rPr>
          <w:rFonts w:cs="Arial"/>
        </w:rPr>
        <w:t xml:space="preserve">jurisdictions </w:t>
      </w:r>
      <w:r w:rsidR="000626EE">
        <w:rPr>
          <w:rFonts w:cs="Arial"/>
        </w:rPr>
        <w:t>ha</w:t>
      </w:r>
      <w:r w:rsidR="00F47DF1">
        <w:rPr>
          <w:rFonts w:cs="Arial"/>
        </w:rPr>
        <w:t>ve</w:t>
      </w:r>
      <w:r w:rsidR="000626EE">
        <w:rPr>
          <w:rFonts w:cs="Arial"/>
        </w:rPr>
        <w:t xml:space="preserve"> requirements for labelling</w:t>
      </w:r>
      <w:r w:rsidR="00A47271">
        <w:rPr>
          <w:rFonts w:cs="Arial"/>
        </w:rPr>
        <w:t xml:space="preserve"> within the scope of </w:t>
      </w:r>
      <w:r w:rsidR="006D0897">
        <w:rPr>
          <w:rFonts w:cs="Arial"/>
        </w:rPr>
        <w:t xml:space="preserve">a </w:t>
      </w:r>
      <w:r w:rsidR="00A47271">
        <w:rPr>
          <w:rFonts w:cs="Arial"/>
        </w:rPr>
        <w:t xml:space="preserve">broader </w:t>
      </w:r>
      <w:r w:rsidR="006D0897">
        <w:rPr>
          <w:rFonts w:cs="Arial"/>
        </w:rPr>
        <w:t xml:space="preserve">set of </w:t>
      </w:r>
      <w:r w:rsidR="00A47271">
        <w:rPr>
          <w:rFonts w:cs="Arial"/>
        </w:rPr>
        <w:t>requirements</w:t>
      </w:r>
      <w:r w:rsidR="00CA45DC">
        <w:rPr>
          <w:rFonts w:cs="Arial"/>
        </w:rPr>
        <w:t>. However</w:t>
      </w:r>
      <w:r w:rsidR="006D0897">
        <w:rPr>
          <w:rFonts w:cs="Arial"/>
        </w:rPr>
        <w:t xml:space="preserve"> in Australia </w:t>
      </w:r>
      <w:r w:rsidR="00CA45DC">
        <w:rPr>
          <w:rFonts w:cs="Arial"/>
        </w:rPr>
        <w:t xml:space="preserve">these broader requirements </w:t>
      </w:r>
      <w:r w:rsidR="006D0897">
        <w:rPr>
          <w:rFonts w:cs="Arial"/>
        </w:rPr>
        <w:t>are the responsibility of regulators other than the ACCC and are beyond the scope of the information standard</w:t>
      </w:r>
      <w:r w:rsidR="00A47271">
        <w:rPr>
          <w:rFonts w:cs="Arial"/>
        </w:rPr>
        <w:t>.</w:t>
      </w:r>
    </w:p>
    <w:p w14:paraId="5CE77CB6" w14:textId="7AFF095F" w:rsidR="00CA6C5D" w:rsidRPr="00282D20" w:rsidRDefault="00CA6C5D" w:rsidP="00B1766E">
      <w:pPr>
        <w:spacing w:after="120"/>
      </w:pPr>
      <w:r>
        <w:t>The ACCC has</w:t>
      </w:r>
      <w:r w:rsidR="006D0897">
        <w:t xml:space="preserve"> undertaken a detailed</w:t>
      </w:r>
      <w:r>
        <w:t xml:space="preserve"> assess</w:t>
      </w:r>
      <w:r w:rsidR="006D0897">
        <w:t>ment</w:t>
      </w:r>
      <w:r>
        <w:t xml:space="preserve"> </w:t>
      </w:r>
      <w:r w:rsidR="0043796D">
        <w:t xml:space="preserve">of </w:t>
      </w:r>
      <w:r>
        <w:t xml:space="preserve">the </w:t>
      </w:r>
      <w:r w:rsidR="00C50895">
        <w:rPr>
          <w:rFonts w:cs="Arial"/>
        </w:rPr>
        <w:t xml:space="preserve">European, New Zealand and United States </w:t>
      </w:r>
      <w:r w:rsidR="00EB76C8">
        <w:rPr>
          <w:rFonts w:cs="Arial"/>
        </w:rPr>
        <w:t xml:space="preserve">mandatory </w:t>
      </w:r>
      <w:r>
        <w:t>standards against the criteria for using international standards in consumer product safety standards and bans</w:t>
      </w:r>
      <w:r w:rsidR="000F6B0C" w:rsidRPr="001C3798">
        <w:rPr>
          <w:sz w:val="18"/>
          <w:szCs w:val="18"/>
          <w:vertAlign w:val="superscript"/>
        </w:rPr>
        <w:footnoteReference w:id="15"/>
      </w:r>
      <w:r w:rsidRPr="00282D20">
        <w:t>:</w:t>
      </w:r>
    </w:p>
    <w:p w14:paraId="13A61BE3" w14:textId="63431C29" w:rsidR="00F63432" w:rsidRDefault="007411B5" w:rsidP="00AC5BA1">
      <w:pPr>
        <w:pStyle w:val="ListParagraph"/>
        <w:numPr>
          <w:ilvl w:val="0"/>
          <w:numId w:val="46"/>
        </w:numPr>
        <w:spacing w:before="0" w:after="120"/>
        <w:rPr>
          <w:rFonts w:cs="Arial"/>
        </w:rPr>
      </w:pPr>
      <w:r>
        <w:rPr>
          <w:rFonts w:cs="Arial"/>
        </w:rPr>
        <w:t>E</w:t>
      </w:r>
      <w:r w:rsidR="00C50895">
        <w:rPr>
          <w:rFonts w:cs="Arial"/>
        </w:rPr>
        <w:t>uropean Union</w:t>
      </w:r>
      <w:r>
        <w:rPr>
          <w:rFonts w:cs="Arial"/>
        </w:rPr>
        <w:t xml:space="preserve"> </w:t>
      </w:r>
      <w:r w:rsidR="00F47DF1">
        <w:rPr>
          <w:rFonts w:cs="Arial"/>
        </w:rPr>
        <w:t xml:space="preserve">– </w:t>
      </w:r>
      <w:r w:rsidR="002D2C82">
        <w:rPr>
          <w:rFonts w:cs="Arial"/>
        </w:rPr>
        <w:t xml:space="preserve">Chapter VI, Consumer Information, Article 19, Labelling requirements of the Cosmetics </w:t>
      </w:r>
      <w:r w:rsidR="00757E92" w:rsidRPr="00C206D8">
        <w:rPr>
          <w:rFonts w:cs="Arial"/>
        </w:rPr>
        <w:t>Regulation (EC) No 1223/2009</w:t>
      </w:r>
    </w:p>
    <w:p w14:paraId="49FB9033" w14:textId="2683FA5D" w:rsidR="000626EE" w:rsidRPr="00C206D8" w:rsidRDefault="000626EE" w:rsidP="00AC5BA1">
      <w:pPr>
        <w:pStyle w:val="ListParagraph"/>
        <w:numPr>
          <w:ilvl w:val="0"/>
          <w:numId w:val="46"/>
        </w:numPr>
        <w:spacing w:before="0" w:after="120"/>
        <w:rPr>
          <w:rFonts w:cs="Arial"/>
        </w:rPr>
      </w:pPr>
      <w:r>
        <w:rPr>
          <w:rFonts w:cs="Arial"/>
        </w:rPr>
        <w:t>N</w:t>
      </w:r>
      <w:r w:rsidR="00C50895">
        <w:rPr>
          <w:rFonts w:cs="Arial"/>
        </w:rPr>
        <w:t>ew Zealand</w:t>
      </w:r>
      <w:r>
        <w:rPr>
          <w:rFonts w:cs="Arial"/>
        </w:rPr>
        <w:t xml:space="preserve"> – Cosmetics Group Standard 2017 – HSR002552</w:t>
      </w:r>
    </w:p>
    <w:p w14:paraId="43F8B27A" w14:textId="71EE52F9" w:rsidR="0043796D" w:rsidRPr="00DA1977" w:rsidRDefault="007411B5" w:rsidP="002849BB">
      <w:pPr>
        <w:pStyle w:val="ListParagraph"/>
        <w:numPr>
          <w:ilvl w:val="0"/>
          <w:numId w:val="46"/>
        </w:numPr>
        <w:spacing w:before="0" w:after="120"/>
      </w:pPr>
      <w:r w:rsidRPr="0043796D">
        <w:rPr>
          <w:rFonts w:cs="Arial"/>
        </w:rPr>
        <w:t>U</w:t>
      </w:r>
      <w:r w:rsidR="00C50895">
        <w:rPr>
          <w:rFonts w:cs="Arial"/>
        </w:rPr>
        <w:t>nited States</w:t>
      </w:r>
      <w:r w:rsidRPr="0043796D">
        <w:rPr>
          <w:rFonts w:cs="Arial"/>
        </w:rPr>
        <w:t xml:space="preserve"> </w:t>
      </w:r>
      <w:r w:rsidR="00F47DF1" w:rsidRPr="0043796D">
        <w:rPr>
          <w:rFonts w:cs="Arial"/>
        </w:rPr>
        <w:t xml:space="preserve">– </w:t>
      </w:r>
      <w:r w:rsidR="002D2C82" w:rsidRPr="0043796D">
        <w:rPr>
          <w:rFonts w:cs="Arial"/>
        </w:rPr>
        <w:t>Federal Food, Drug, and Cosmetic</w:t>
      </w:r>
      <w:r w:rsidR="002D2C82" w:rsidRPr="0043796D" w:rsidDel="002D2C82">
        <w:rPr>
          <w:rFonts w:cs="Arial"/>
        </w:rPr>
        <w:t xml:space="preserve"> </w:t>
      </w:r>
      <w:r w:rsidR="002D2C82" w:rsidRPr="0043796D">
        <w:rPr>
          <w:rFonts w:cs="Arial"/>
        </w:rPr>
        <w:t>Act and the</w:t>
      </w:r>
      <w:r w:rsidR="00726B03" w:rsidRPr="0043796D">
        <w:rPr>
          <w:rFonts w:cs="Arial"/>
        </w:rPr>
        <w:t xml:space="preserve"> </w:t>
      </w:r>
      <w:r w:rsidR="00DD30B9" w:rsidRPr="0043796D">
        <w:rPr>
          <w:rFonts w:cs="Arial"/>
        </w:rPr>
        <w:t xml:space="preserve">Fair Packaging and </w:t>
      </w:r>
      <w:r w:rsidR="00BC7527" w:rsidRPr="0043796D">
        <w:rPr>
          <w:rFonts w:cs="Arial"/>
        </w:rPr>
        <w:t>Labelling</w:t>
      </w:r>
      <w:r w:rsidR="00DD30B9" w:rsidRPr="0043796D">
        <w:rPr>
          <w:rFonts w:cs="Arial"/>
        </w:rPr>
        <w:t xml:space="preserve"> Act </w:t>
      </w:r>
      <w:r w:rsidR="00726B03" w:rsidRPr="0043796D">
        <w:rPr>
          <w:rFonts w:cs="Arial"/>
        </w:rPr>
        <w:t>and regulations</w:t>
      </w:r>
    </w:p>
    <w:p w14:paraId="55A42028" w14:textId="01C3C172" w:rsidR="00DA1977" w:rsidRDefault="00A1426A" w:rsidP="002849BB">
      <w:pPr>
        <w:pStyle w:val="ListParagraph"/>
        <w:numPr>
          <w:ilvl w:val="0"/>
          <w:numId w:val="46"/>
        </w:numPr>
        <w:spacing w:before="0" w:after="120"/>
      </w:pPr>
      <w:r>
        <w:rPr>
          <w:rFonts w:cs="Arial"/>
        </w:rPr>
        <w:t>International Organization for Standardiz</w:t>
      </w:r>
      <w:r w:rsidR="00DD4FC9">
        <w:rPr>
          <w:rFonts w:cs="Arial"/>
        </w:rPr>
        <w:t>ation</w:t>
      </w:r>
      <w:r>
        <w:rPr>
          <w:rFonts w:cs="Arial"/>
        </w:rPr>
        <w:t xml:space="preserve"> (ISO)</w:t>
      </w:r>
      <w:r w:rsidR="00DA1977">
        <w:rPr>
          <w:rFonts w:cs="Arial"/>
        </w:rPr>
        <w:t xml:space="preserve"> </w:t>
      </w:r>
      <w:r w:rsidR="005801C1">
        <w:rPr>
          <w:rFonts w:cs="Arial"/>
        </w:rPr>
        <w:t xml:space="preserve">– </w:t>
      </w:r>
      <w:r w:rsidR="00DA1977">
        <w:t xml:space="preserve">ISO 22715 </w:t>
      </w:r>
      <w:r w:rsidR="005801C1">
        <w:rPr>
          <w:rFonts w:cs="Arial"/>
        </w:rPr>
        <w:t xml:space="preserve">– </w:t>
      </w:r>
      <w:r w:rsidR="00DA1977">
        <w:t>Cosmetics – Packaging and labelling</w:t>
      </w:r>
      <w:r w:rsidR="00E4795F">
        <w:t>.</w:t>
      </w:r>
    </w:p>
    <w:p w14:paraId="0A46F669" w14:textId="2CD3E422" w:rsidR="00E355BE" w:rsidRPr="00594565" w:rsidRDefault="003F3F86" w:rsidP="00251DD9">
      <w:pPr>
        <w:pStyle w:val="Heading2"/>
        <w:rPr>
          <w:rFonts w:eastAsia="Times New Roman" w:cs="Times New Roman"/>
          <w:color w:val="51626F"/>
        </w:rPr>
      </w:pPr>
      <w:r w:rsidRPr="00594565">
        <w:rPr>
          <w:rFonts w:eastAsia="Times New Roman" w:cs="Times New Roman"/>
          <w:color w:val="51626F"/>
        </w:rPr>
        <w:t xml:space="preserve">European </w:t>
      </w:r>
      <w:r w:rsidR="00E355BE" w:rsidRPr="00594565">
        <w:rPr>
          <w:rFonts w:eastAsia="Times New Roman" w:cs="Times New Roman"/>
          <w:color w:val="51626F"/>
        </w:rPr>
        <w:t>regulations</w:t>
      </w:r>
    </w:p>
    <w:p w14:paraId="1E6A1189" w14:textId="011326C3" w:rsidR="00567077" w:rsidRPr="00B97A4E" w:rsidRDefault="005F20E5" w:rsidP="000A09E3">
      <w:pPr>
        <w:rPr>
          <w:rFonts w:cs="Arial"/>
        </w:rPr>
      </w:pPr>
      <w:r w:rsidRPr="000A09E3">
        <w:rPr>
          <w:rFonts w:cs="Arial"/>
        </w:rPr>
        <w:t xml:space="preserve">The </w:t>
      </w:r>
      <w:r w:rsidR="00306CC3">
        <w:rPr>
          <w:rFonts w:cs="Arial"/>
        </w:rPr>
        <w:t xml:space="preserve">European </w:t>
      </w:r>
      <w:r w:rsidRPr="000A09E3">
        <w:rPr>
          <w:rFonts w:cs="Arial"/>
        </w:rPr>
        <w:t>mandatory standard</w:t>
      </w:r>
      <w:r w:rsidR="00C8662F" w:rsidRPr="005F20E5">
        <w:rPr>
          <w:rFonts w:cs="Arial"/>
        </w:rPr>
        <w:t xml:space="preserve"> </w:t>
      </w:r>
      <w:r w:rsidRPr="005F20E5">
        <w:rPr>
          <w:rFonts w:cs="Arial"/>
        </w:rPr>
        <w:t>is</w:t>
      </w:r>
      <w:r w:rsidR="004B1254">
        <w:rPr>
          <w:rFonts w:cs="Arial"/>
        </w:rPr>
        <w:t xml:space="preserve"> </w:t>
      </w:r>
      <w:r w:rsidR="002849BB">
        <w:rPr>
          <w:rFonts w:cs="Arial"/>
        </w:rPr>
        <w:t>far</w:t>
      </w:r>
      <w:r w:rsidR="004B1254">
        <w:rPr>
          <w:rFonts w:cs="Arial"/>
        </w:rPr>
        <w:t xml:space="preserve"> broader</w:t>
      </w:r>
      <w:r w:rsidR="008851F2">
        <w:rPr>
          <w:rFonts w:cs="Arial"/>
        </w:rPr>
        <w:t xml:space="preserve"> in scope</w:t>
      </w:r>
      <w:r w:rsidR="004B1254">
        <w:rPr>
          <w:rFonts w:cs="Arial"/>
        </w:rPr>
        <w:t xml:space="preserve"> than </w:t>
      </w:r>
      <w:r w:rsidR="002849BB">
        <w:rPr>
          <w:rFonts w:cs="Arial"/>
        </w:rPr>
        <w:t xml:space="preserve">the </w:t>
      </w:r>
      <w:r w:rsidR="004B1254">
        <w:rPr>
          <w:rFonts w:cs="Arial"/>
        </w:rPr>
        <w:t>information standard</w:t>
      </w:r>
      <w:r w:rsidR="00DA4139">
        <w:rPr>
          <w:rFonts w:cs="Arial"/>
        </w:rPr>
        <w:t xml:space="preserve">, with ingredients labelling </w:t>
      </w:r>
      <w:r>
        <w:rPr>
          <w:rFonts w:cs="Arial"/>
        </w:rPr>
        <w:t xml:space="preserve">just </w:t>
      </w:r>
      <w:r w:rsidR="00DA4139">
        <w:rPr>
          <w:rFonts w:cs="Arial"/>
        </w:rPr>
        <w:t>one subset of requirements.</w:t>
      </w:r>
      <w:r w:rsidR="008851F2">
        <w:rPr>
          <w:rFonts w:cs="Arial"/>
        </w:rPr>
        <w:t xml:space="preserve"> </w:t>
      </w:r>
      <w:r w:rsidR="00567077" w:rsidRPr="000247B3">
        <w:rPr>
          <w:rFonts w:cs="Arial"/>
        </w:rPr>
        <w:t xml:space="preserve">Even within this subset of requirements, the </w:t>
      </w:r>
      <w:r w:rsidR="00016BA6">
        <w:rPr>
          <w:rFonts w:cs="Arial"/>
        </w:rPr>
        <w:t>European</w:t>
      </w:r>
      <w:r w:rsidR="00016BA6" w:rsidRPr="000247B3">
        <w:rPr>
          <w:rFonts w:cs="Arial"/>
        </w:rPr>
        <w:t xml:space="preserve"> </w:t>
      </w:r>
      <w:r w:rsidR="00EB76C8">
        <w:rPr>
          <w:rFonts w:cs="Arial"/>
        </w:rPr>
        <w:t>mandatory standard</w:t>
      </w:r>
      <w:r w:rsidR="00567077" w:rsidRPr="00244BDE">
        <w:rPr>
          <w:rFonts w:cs="Arial"/>
        </w:rPr>
        <w:t xml:space="preserve"> consider matters</w:t>
      </w:r>
      <w:r w:rsidR="003E3ED1">
        <w:rPr>
          <w:rFonts w:cs="Arial"/>
        </w:rPr>
        <w:t xml:space="preserve"> that are not currently captured by</w:t>
      </w:r>
      <w:r w:rsidR="00567077" w:rsidRPr="00244BDE">
        <w:rPr>
          <w:rFonts w:cs="Arial"/>
        </w:rPr>
        <w:t xml:space="preserve"> the information standard such as:</w:t>
      </w:r>
    </w:p>
    <w:p w14:paraId="674D3B96" w14:textId="690C3E4F" w:rsidR="0003339C" w:rsidRPr="00A82C41" w:rsidRDefault="008851F2" w:rsidP="00251DD9">
      <w:pPr>
        <w:pStyle w:val="ListParagraph"/>
        <w:numPr>
          <w:ilvl w:val="0"/>
          <w:numId w:val="69"/>
        </w:numPr>
        <w:rPr>
          <w:rFonts w:cs="Arial"/>
        </w:rPr>
      </w:pPr>
      <w:r>
        <w:rPr>
          <w:rFonts w:cs="Arial"/>
        </w:rPr>
        <w:t>name or registered name of the responsible person</w:t>
      </w:r>
    </w:p>
    <w:p w14:paraId="6B6E8A40" w14:textId="73B6D7E6" w:rsidR="00004DE1" w:rsidRDefault="00004DE1" w:rsidP="00251DD9">
      <w:pPr>
        <w:pStyle w:val="ListParagraph"/>
        <w:numPr>
          <w:ilvl w:val="0"/>
          <w:numId w:val="69"/>
        </w:numPr>
        <w:rPr>
          <w:rFonts w:cs="Arial"/>
        </w:rPr>
      </w:pPr>
      <w:r>
        <w:rPr>
          <w:rFonts w:cs="Arial"/>
        </w:rPr>
        <w:t>weight</w:t>
      </w:r>
    </w:p>
    <w:p w14:paraId="291B8D37" w14:textId="15BF3ABD" w:rsidR="0003339C" w:rsidRDefault="00DA4139" w:rsidP="00251DD9">
      <w:pPr>
        <w:pStyle w:val="ListParagraph"/>
        <w:numPr>
          <w:ilvl w:val="0"/>
          <w:numId w:val="69"/>
        </w:numPr>
        <w:rPr>
          <w:rFonts w:cs="Arial"/>
        </w:rPr>
      </w:pPr>
      <w:r>
        <w:rPr>
          <w:rFonts w:cs="Arial"/>
        </w:rPr>
        <w:t>e</w:t>
      </w:r>
      <w:r w:rsidR="00E355BE">
        <w:rPr>
          <w:rFonts w:cs="Arial"/>
        </w:rPr>
        <w:t>xpiry date</w:t>
      </w:r>
    </w:p>
    <w:p w14:paraId="773EF09E" w14:textId="643D168F" w:rsidR="00E355BE" w:rsidRDefault="00DA4139" w:rsidP="00251DD9">
      <w:pPr>
        <w:pStyle w:val="ListParagraph"/>
        <w:numPr>
          <w:ilvl w:val="0"/>
          <w:numId w:val="69"/>
        </w:numPr>
        <w:rPr>
          <w:rFonts w:cs="Arial"/>
        </w:rPr>
      </w:pPr>
      <w:r>
        <w:rPr>
          <w:rFonts w:cs="Arial"/>
        </w:rPr>
        <w:t>b</w:t>
      </w:r>
      <w:r w:rsidR="00E355BE">
        <w:rPr>
          <w:rFonts w:cs="Arial"/>
        </w:rPr>
        <w:t>atch number of manufacture</w:t>
      </w:r>
    </w:p>
    <w:p w14:paraId="4F8A64E7" w14:textId="16976B1B" w:rsidR="00E355BE" w:rsidRDefault="00E355BE" w:rsidP="00251DD9">
      <w:pPr>
        <w:pStyle w:val="ListParagraph"/>
        <w:numPr>
          <w:ilvl w:val="0"/>
          <w:numId w:val="69"/>
        </w:numPr>
        <w:rPr>
          <w:rFonts w:cs="Arial"/>
        </w:rPr>
      </w:pPr>
      <w:r>
        <w:rPr>
          <w:rFonts w:cs="Arial"/>
        </w:rPr>
        <w:t>function of a cosmetic product</w:t>
      </w:r>
      <w:r w:rsidR="00DA4139">
        <w:rPr>
          <w:rFonts w:cs="Arial"/>
        </w:rPr>
        <w:t>.</w:t>
      </w:r>
    </w:p>
    <w:p w14:paraId="30469369" w14:textId="33A06D57" w:rsidR="00567077" w:rsidRDefault="00567077" w:rsidP="0003339C">
      <w:pPr>
        <w:rPr>
          <w:rFonts w:cs="Arial"/>
        </w:rPr>
      </w:pPr>
      <w:r>
        <w:rPr>
          <w:rFonts w:cs="Arial"/>
        </w:rPr>
        <w:t>In Australia, some</w:t>
      </w:r>
      <w:r w:rsidR="0003339C">
        <w:rPr>
          <w:rFonts w:cs="Arial"/>
        </w:rPr>
        <w:t xml:space="preserve"> of these requirements are mandated through other regulatory frameworks including the </w:t>
      </w:r>
      <w:r w:rsidR="0003339C" w:rsidRPr="00251DD9">
        <w:rPr>
          <w:rFonts w:cs="Arial"/>
          <w:i/>
        </w:rPr>
        <w:t>National Measurement Act 1960</w:t>
      </w:r>
      <w:r w:rsidRPr="000A09E3">
        <w:rPr>
          <w:rFonts w:cs="Arial"/>
        </w:rPr>
        <w:t>,</w:t>
      </w:r>
      <w:r w:rsidR="0003339C" w:rsidRPr="000A09E3">
        <w:rPr>
          <w:rFonts w:cs="Arial"/>
        </w:rPr>
        <w:t xml:space="preserve"> </w:t>
      </w:r>
      <w:r w:rsidR="0003339C">
        <w:rPr>
          <w:rFonts w:cs="Arial"/>
        </w:rPr>
        <w:t xml:space="preserve">while other requirements </w:t>
      </w:r>
      <w:r>
        <w:rPr>
          <w:rFonts w:cs="Arial"/>
        </w:rPr>
        <w:t>(</w:t>
      </w:r>
      <w:r w:rsidR="00D456DD">
        <w:rPr>
          <w:rFonts w:cs="Arial"/>
        </w:rPr>
        <w:t>e.g.</w:t>
      </w:r>
      <w:r w:rsidR="00E355BE">
        <w:rPr>
          <w:rFonts w:cs="Arial"/>
        </w:rPr>
        <w:t xml:space="preserve"> expiry date</w:t>
      </w:r>
      <w:r w:rsidR="00D456DD">
        <w:rPr>
          <w:rFonts w:cs="Arial"/>
        </w:rPr>
        <w:t xml:space="preserve">, </w:t>
      </w:r>
      <w:r w:rsidR="00E355BE">
        <w:rPr>
          <w:rFonts w:cs="Arial"/>
        </w:rPr>
        <w:t>batch number</w:t>
      </w:r>
      <w:r>
        <w:rPr>
          <w:rFonts w:cs="Arial"/>
        </w:rPr>
        <w:t>)</w:t>
      </w:r>
      <w:r w:rsidR="00E355BE">
        <w:rPr>
          <w:rFonts w:cs="Arial"/>
        </w:rPr>
        <w:t xml:space="preserve"> </w:t>
      </w:r>
      <w:r>
        <w:rPr>
          <w:rFonts w:cs="Arial"/>
        </w:rPr>
        <w:t>do not</w:t>
      </w:r>
      <w:r w:rsidR="00E355BE">
        <w:rPr>
          <w:rFonts w:cs="Arial"/>
        </w:rPr>
        <w:t xml:space="preserve"> have an equivalent </w:t>
      </w:r>
      <w:r>
        <w:rPr>
          <w:rFonts w:cs="Arial"/>
        </w:rPr>
        <w:t>regulation</w:t>
      </w:r>
      <w:r w:rsidR="00A55273">
        <w:rPr>
          <w:rFonts w:cs="Arial"/>
        </w:rPr>
        <w:t>.</w:t>
      </w:r>
    </w:p>
    <w:p w14:paraId="404FCBCF" w14:textId="7F8A5105" w:rsidR="00E355BE" w:rsidRPr="001C475E" w:rsidRDefault="00610EED" w:rsidP="000247B3">
      <w:pPr>
        <w:rPr>
          <w:rFonts w:cs="Arial"/>
        </w:rPr>
      </w:pPr>
      <w:r>
        <w:rPr>
          <w:rFonts w:cs="Arial"/>
        </w:rPr>
        <w:t xml:space="preserve">When considering </w:t>
      </w:r>
      <w:r w:rsidR="00E355BE">
        <w:rPr>
          <w:rFonts w:cs="Arial"/>
        </w:rPr>
        <w:t>matters addressed by the information standard</w:t>
      </w:r>
      <w:r>
        <w:rPr>
          <w:rFonts w:cs="Arial"/>
        </w:rPr>
        <w:t xml:space="preserve"> in isolation,</w:t>
      </w:r>
      <w:r w:rsidR="00E355BE">
        <w:rPr>
          <w:rFonts w:cs="Arial"/>
        </w:rPr>
        <w:t xml:space="preserve"> the </w:t>
      </w:r>
      <w:r w:rsidR="00016BA6">
        <w:rPr>
          <w:rFonts w:cs="Arial"/>
        </w:rPr>
        <w:t xml:space="preserve">European </w:t>
      </w:r>
      <w:r w:rsidR="00D456DD">
        <w:rPr>
          <w:rFonts w:cs="Arial"/>
        </w:rPr>
        <w:t xml:space="preserve">mandatory </w:t>
      </w:r>
      <w:r w:rsidR="00E355BE">
        <w:rPr>
          <w:rFonts w:cs="Arial"/>
        </w:rPr>
        <w:t>standard appears to have broadly consistent requirement</w:t>
      </w:r>
      <w:r>
        <w:rPr>
          <w:rFonts w:cs="Arial"/>
        </w:rPr>
        <w:t xml:space="preserve">s except that </w:t>
      </w:r>
      <w:r w:rsidR="00AA50B3">
        <w:rPr>
          <w:rFonts w:cs="Arial"/>
        </w:rPr>
        <w:t xml:space="preserve">it </w:t>
      </w:r>
      <w:r w:rsidR="00896487" w:rsidRPr="000247B3">
        <w:rPr>
          <w:rFonts w:cs="Arial"/>
        </w:rPr>
        <w:t>require</w:t>
      </w:r>
      <w:r w:rsidR="00F26AF3">
        <w:rPr>
          <w:rFonts w:cs="Arial"/>
        </w:rPr>
        <w:t>s</w:t>
      </w:r>
      <w:r w:rsidR="00896487" w:rsidRPr="000247B3">
        <w:rPr>
          <w:rFonts w:cs="Arial"/>
        </w:rPr>
        <w:t xml:space="preserve"> nanomaterials </w:t>
      </w:r>
      <w:r>
        <w:rPr>
          <w:rFonts w:cs="Arial"/>
        </w:rPr>
        <w:t>to be</w:t>
      </w:r>
      <w:r w:rsidR="00896487" w:rsidRPr="000247B3">
        <w:rPr>
          <w:rFonts w:cs="Arial"/>
        </w:rPr>
        <w:t xml:space="preserve"> disclosed in the</w:t>
      </w:r>
      <w:r>
        <w:rPr>
          <w:rFonts w:cs="Arial"/>
        </w:rPr>
        <w:t xml:space="preserve"> </w:t>
      </w:r>
      <w:r w:rsidR="00F26AF3">
        <w:rPr>
          <w:rFonts w:cs="Arial"/>
        </w:rPr>
        <w:t>ingredient information</w:t>
      </w:r>
      <w:r w:rsidR="00896487" w:rsidRPr="000247B3">
        <w:rPr>
          <w:rFonts w:cs="Arial"/>
        </w:rPr>
        <w:t xml:space="preserve">. </w:t>
      </w:r>
      <w:r>
        <w:rPr>
          <w:rFonts w:cs="Arial"/>
        </w:rPr>
        <w:t>Additionally,</w:t>
      </w:r>
      <w:r w:rsidR="00271CBA">
        <w:rPr>
          <w:rFonts w:cs="Arial"/>
        </w:rPr>
        <w:t xml:space="preserve"> ingredients must be listed</w:t>
      </w:r>
      <w:r w:rsidR="004207EC" w:rsidRPr="000247B3">
        <w:rPr>
          <w:rFonts w:cs="Arial"/>
        </w:rPr>
        <w:t xml:space="preserve"> </w:t>
      </w:r>
      <w:r w:rsidR="00884E23">
        <w:rPr>
          <w:rFonts w:cs="Arial"/>
        </w:rPr>
        <w:t>in the language</w:t>
      </w:r>
      <w:r w:rsidR="004207EC" w:rsidRPr="000247B3">
        <w:rPr>
          <w:rFonts w:cs="Arial"/>
        </w:rPr>
        <w:t xml:space="preserve"> determined by the law of the member state in which the product is made available for use</w:t>
      </w:r>
      <w:r>
        <w:rPr>
          <w:rFonts w:cs="Arial"/>
        </w:rPr>
        <w:t>, whereas</w:t>
      </w:r>
      <w:r w:rsidR="004207EC" w:rsidRPr="000247B3">
        <w:rPr>
          <w:rFonts w:cs="Arial"/>
        </w:rPr>
        <w:t xml:space="preserve"> in Australia the ingredients are req</w:t>
      </w:r>
      <w:r w:rsidR="004207EC" w:rsidRPr="001C475E">
        <w:rPr>
          <w:rFonts w:cs="Arial"/>
        </w:rPr>
        <w:t>uired to be listed in English.</w:t>
      </w:r>
    </w:p>
    <w:p w14:paraId="7882ADA5" w14:textId="24A26E17" w:rsidR="00C47D5A" w:rsidRDefault="004207EC" w:rsidP="001B2540">
      <w:pPr>
        <w:rPr>
          <w:rFonts w:cs="Arial"/>
        </w:rPr>
      </w:pPr>
      <w:r w:rsidRPr="00244BDE">
        <w:rPr>
          <w:rFonts w:cs="Arial"/>
        </w:rPr>
        <w:t>On the face of this analysis</w:t>
      </w:r>
      <w:r w:rsidR="002E4521" w:rsidRPr="00244BDE">
        <w:rPr>
          <w:rFonts w:cs="Arial"/>
        </w:rPr>
        <w:t>,</w:t>
      </w:r>
      <w:r w:rsidRPr="00B97A4E">
        <w:rPr>
          <w:rFonts w:cs="Arial"/>
        </w:rPr>
        <w:t xml:space="preserve"> the </w:t>
      </w:r>
      <w:r w:rsidR="00016BA6">
        <w:rPr>
          <w:rFonts w:cs="Arial"/>
        </w:rPr>
        <w:t>European</w:t>
      </w:r>
      <w:r w:rsidR="00016BA6" w:rsidRPr="00B97A4E">
        <w:rPr>
          <w:rFonts w:cs="Arial"/>
        </w:rPr>
        <w:t xml:space="preserve"> </w:t>
      </w:r>
      <w:r w:rsidR="00884E23">
        <w:rPr>
          <w:rFonts w:cs="Arial"/>
        </w:rPr>
        <w:t xml:space="preserve">mandatory </w:t>
      </w:r>
      <w:r w:rsidRPr="00B97A4E">
        <w:rPr>
          <w:rFonts w:cs="Arial"/>
        </w:rPr>
        <w:t xml:space="preserve">standard appears suitable for Australian conditions. </w:t>
      </w:r>
      <w:r w:rsidR="00C47D5A">
        <w:rPr>
          <w:rFonts w:cs="Arial"/>
        </w:rPr>
        <w:t>The</w:t>
      </w:r>
      <w:r w:rsidRPr="00B97A4E">
        <w:rPr>
          <w:rFonts w:cs="Arial"/>
        </w:rPr>
        <w:t xml:space="preserve"> </w:t>
      </w:r>
      <w:r w:rsidR="00016BA6">
        <w:rPr>
          <w:rFonts w:cs="Arial"/>
        </w:rPr>
        <w:t>European</w:t>
      </w:r>
      <w:r w:rsidR="00C47D5A">
        <w:rPr>
          <w:rFonts w:cs="Arial"/>
        </w:rPr>
        <w:t xml:space="preserve"> mandatory standard requires a cosmetics</w:t>
      </w:r>
      <w:r w:rsidR="00016BA6" w:rsidRPr="00B97A4E">
        <w:rPr>
          <w:rFonts w:cs="Arial"/>
        </w:rPr>
        <w:t xml:space="preserve"> </w:t>
      </w:r>
      <w:r w:rsidRPr="00B97A4E">
        <w:rPr>
          <w:rFonts w:cs="Arial"/>
        </w:rPr>
        <w:t xml:space="preserve">label </w:t>
      </w:r>
      <w:r w:rsidR="00C47D5A">
        <w:rPr>
          <w:rFonts w:cs="Arial"/>
        </w:rPr>
        <w:t>to</w:t>
      </w:r>
      <w:r w:rsidR="00401D77">
        <w:rPr>
          <w:rFonts w:cs="Arial"/>
        </w:rPr>
        <w:t xml:space="preserve"> </w:t>
      </w:r>
      <w:r w:rsidR="00C47D5A">
        <w:rPr>
          <w:rFonts w:cs="Arial"/>
        </w:rPr>
        <w:t xml:space="preserve">list </w:t>
      </w:r>
      <w:r w:rsidR="00C47D5A">
        <w:rPr>
          <w:rFonts w:cs="Arial"/>
        </w:rPr>
        <w:lastRenderedPageBreak/>
        <w:t>cosmetic ingredients</w:t>
      </w:r>
      <w:r w:rsidR="00401D77">
        <w:rPr>
          <w:rFonts w:cs="Arial"/>
        </w:rPr>
        <w:t xml:space="preserve"> </w:t>
      </w:r>
      <w:r w:rsidR="00C47D5A">
        <w:rPr>
          <w:rFonts w:cs="Arial"/>
        </w:rPr>
        <w:t>consistent with</w:t>
      </w:r>
      <w:r w:rsidRPr="00B97A4E">
        <w:rPr>
          <w:rFonts w:cs="Arial"/>
        </w:rPr>
        <w:t xml:space="preserve"> the information sta</w:t>
      </w:r>
      <w:r w:rsidR="00327064" w:rsidRPr="00B97A4E">
        <w:rPr>
          <w:rFonts w:cs="Arial"/>
        </w:rPr>
        <w:t>ndard</w:t>
      </w:r>
      <w:r w:rsidR="000247B3" w:rsidRPr="000A09E3">
        <w:rPr>
          <w:rFonts w:cs="Arial"/>
        </w:rPr>
        <w:t xml:space="preserve"> </w:t>
      </w:r>
      <w:r w:rsidR="00C47D5A">
        <w:rPr>
          <w:rFonts w:cs="Arial"/>
        </w:rPr>
        <w:t>and includes additional requirements that a label list</w:t>
      </w:r>
      <w:r w:rsidR="000247B3" w:rsidRPr="000A09E3">
        <w:rPr>
          <w:rFonts w:cs="Arial"/>
        </w:rPr>
        <w:t xml:space="preserve"> </w:t>
      </w:r>
      <w:r w:rsidR="00327064" w:rsidRPr="001C475E">
        <w:rPr>
          <w:rFonts w:cs="Arial"/>
        </w:rPr>
        <w:t>information about nanomaterials, expiration and the function of the cosmetic</w:t>
      </w:r>
      <w:r w:rsidR="000247B3" w:rsidRPr="000A09E3">
        <w:rPr>
          <w:rFonts w:cs="Arial"/>
        </w:rPr>
        <w:t>.</w:t>
      </w:r>
      <w:r w:rsidR="00EB38B0">
        <w:rPr>
          <w:rFonts w:cs="Arial"/>
        </w:rPr>
        <w:t xml:space="preserve"> These requirements are consistent with the scope of the information standard to provide information about a </w:t>
      </w:r>
      <w:r w:rsidR="00EB76C8">
        <w:rPr>
          <w:rFonts w:cs="Arial"/>
        </w:rPr>
        <w:t>cosmetic</w:t>
      </w:r>
      <w:r w:rsidR="00EB38B0">
        <w:rPr>
          <w:rFonts w:cs="Arial"/>
        </w:rPr>
        <w:t xml:space="preserve"> product.</w:t>
      </w:r>
    </w:p>
    <w:p w14:paraId="41C0F4BA" w14:textId="34C4162F" w:rsidR="004207EC" w:rsidRDefault="00EB38B0" w:rsidP="0003339C">
      <w:pPr>
        <w:rPr>
          <w:rFonts w:cs="Arial"/>
        </w:rPr>
      </w:pPr>
      <w:r>
        <w:rPr>
          <w:rFonts w:cs="Arial"/>
        </w:rPr>
        <w:t xml:space="preserve">Notwithstanding this point, </w:t>
      </w:r>
      <w:r w:rsidR="000247B3" w:rsidRPr="000A09E3">
        <w:rPr>
          <w:rFonts w:cs="Arial"/>
        </w:rPr>
        <w:t>the ACCC</w:t>
      </w:r>
      <w:r w:rsidR="00313E6C" w:rsidRPr="001C475E">
        <w:rPr>
          <w:rFonts w:cs="Arial"/>
        </w:rPr>
        <w:t xml:space="preserve"> has not made a detailed comparison of other labelling requirements</w:t>
      </w:r>
      <w:r w:rsidR="00C67260">
        <w:rPr>
          <w:rFonts w:cs="Arial"/>
        </w:rPr>
        <w:t>,</w:t>
      </w:r>
      <w:r w:rsidR="00313E6C" w:rsidRPr="001C475E">
        <w:rPr>
          <w:rFonts w:cs="Arial"/>
        </w:rPr>
        <w:t xml:space="preserve"> such as those detailed in the </w:t>
      </w:r>
      <w:r w:rsidR="00313E6C" w:rsidRPr="000A09E3">
        <w:rPr>
          <w:rFonts w:cs="Arial"/>
          <w:i/>
        </w:rPr>
        <w:t>National Measurement Act</w:t>
      </w:r>
      <w:r w:rsidR="00C67260">
        <w:rPr>
          <w:rFonts w:cs="Arial"/>
          <w:i/>
        </w:rPr>
        <w:t>,</w:t>
      </w:r>
      <w:r w:rsidR="00313E6C" w:rsidRPr="001C475E">
        <w:rPr>
          <w:rFonts w:cs="Arial"/>
        </w:rPr>
        <w:t xml:space="preserve"> to assess whether there are material deviations between</w:t>
      </w:r>
      <w:r w:rsidR="0083642D" w:rsidRPr="00244BDE">
        <w:rPr>
          <w:rFonts w:cs="Arial"/>
        </w:rPr>
        <w:t xml:space="preserve"> </w:t>
      </w:r>
      <w:r w:rsidR="00016BA6">
        <w:rPr>
          <w:rFonts w:cs="Arial"/>
        </w:rPr>
        <w:t>European</w:t>
      </w:r>
      <w:r w:rsidR="00016BA6" w:rsidRPr="00B97A4E">
        <w:rPr>
          <w:rFonts w:cs="Arial"/>
        </w:rPr>
        <w:t xml:space="preserve"> </w:t>
      </w:r>
      <w:r w:rsidR="009F10EE">
        <w:rPr>
          <w:rFonts w:cs="Arial"/>
        </w:rPr>
        <w:t>and Australian regulations.</w:t>
      </w:r>
      <w:r w:rsidR="00DA2BAC">
        <w:rPr>
          <w:rFonts w:cs="Arial"/>
        </w:rPr>
        <w:t xml:space="preserve"> </w:t>
      </w:r>
      <w:r w:rsidR="00313E6C" w:rsidRPr="00B97A4E">
        <w:rPr>
          <w:rFonts w:cs="Arial"/>
        </w:rPr>
        <w:t>Reference to</w:t>
      </w:r>
      <w:r w:rsidR="00884E23">
        <w:rPr>
          <w:rFonts w:cs="Arial"/>
        </w:rPr>
        <w:t xml:space="preserve"> the</w:t>
      </w:r>
      <w:r w:rsidR="00313E6C" w:rsidRPr="00B97A4E">
        <w:rPr>
          <w:rFonts w:cs="Arial"/>
        </w:rPr>
        <w:t xml:space="preserve"> </w:t>
      </w:r>
      <w:r w:rsidR="00016BA6">
        <w:rPr>
          <w:rFonts w:cs="Arial"/>
        </w:rPr>
        <w:t>European</w:t>
      </w:r>
      <w:r w:rsidR="00016BA6" w:rsidRPr="00B97A4E">
        <w:rPr>
          <w:rFonts w:cs="Arial"/>
        </w:rPr>
        <w:t xml:space="preserve"> </w:t>
      </w:r>
      <w:r w:rsidR="00884E23">
        <w:rPr>
          <w:rFonts w:cs="Arial"/>
        </w:rPr>
        <w:t>mandatory standard</w:t>
      </w:r>
      <w:r w:rsidR="00313E6C" w:rsidRPr="00B97A4E">
        <w:rPr>
          <w:rFonts w:cs="Arial"/>
        </w:rPr>
        <w:t xml:space="preserve"> via the information standard would </w:t>
      </w:r>
      <w:r w:rsidR="00313E6C" w:rsidRPr="00B912D8">
        <w:rPr>
          <w:rFonts w:cs="Arial"/>
        </w:rPr>
        <w:t>be limited to the scope of the information sta</w:t>
      </w:r>
      <w:r w:rsidR="00313E6C" w:rsidRPr="00904A64">
        <w:rPr>
          <w:rFonts w:cs="Arial"/>
        </w:rPr>
        <w:t xml:space="preserve">ndard. Prospective suppliers would need to satisfy themselves that they had met other regulatory requirements detailed in </w:t>
      </w:r>
      <w:r w:rsidR="000273AA" w:rsidRPr="000A09E3">
        <w:rPr>
          <w:rFonts w:cs="Arial"/>
        </w:rPr>
        <w:t xml:space="preserve">all relevant </w:t>
      </w:r>
      <w:r w:rsidR="00313E6C" w:rsidRPr="001C475E">
        <w:rPr>
          <w:rFonts w:cs="Arial"/>
        </w:rPr>
        <w:t>Australian law</w:t>
      </w:r>
      <w:r w:rsidR="000273AA" w:rsidRPr="000A09E3">
        <w:rPr>
          <w:rFonts w:cs="Arial"/>
        </w:rPr>
        <w:t>s</w:t>
      </w:r>
      <w:r w:rsidR="00313E6C" w:rsidRPr="001C475E">
        <w:rPr>
          <w:rFonts w:cs="Arial"/>
        </w:rPr>
        <w:t>.</w:t>
      </w:r>
    </w:p>
    <w:p w14:paraId="2EF152CC" w14:textId="4CE8545E" w:rsidR="00A50439" w:rsidRDefault="00A50439" w:rsidP="0003339C">
      <w:pPr>
        <w:rPr>
          <w:rFonts w:cs="Arial"/>
        </w:rPr>
      </w:pPr>
      <w:r>
        <w:rPr>
          <w:rFonts w:cs="Arial"/>
        </w:rPr>
        <w:t xml:space="preserve">Permitting compliance through reference to the </w:t>
      </w:r>
      <w:r w:rsidR="00016BA6">
        <w:rPr>
          <w:rFonts w:cs="Arial"/>
        </w:rPr>
        <w:t xml:space="preserve">European </w:t>
      </w:r>
      <w:r>
        <w:rPr>
          <w:rFonts w:cs="Arial"/>
        </w:rPr>
        <w:t xml:space="preserve">mandatory standard is likely to benefit suppliers by reducing compliance costs as they would not need to be familiar with the </w:t>
      </w:r>
      <w:r w:rsidR="00016BA6">
        <w:rPr>
          <w:rFonts w:cs="Arial"/>
        </w:rPr>
        <w:t>i</w:t>
      </w:r>
      <w:r>
        <w:rPr>
          <w:rFonts w:cs="Arial"/>
        </w:rPr>
        <w:t xml:space="preserve">nformation standard in addition to the </w:t>
      </w:r>
      <w:r w:rsidR="00016BA6">
        <w:rPr>
          <w:rFonts w:cs="Arial"/>
        </w:rPr>
        <w:t>European</w:t>
      </w:r>
      <w:r w:rsidR="00EB76C8">
        <w:rPr>
          <w:rFonts w:cs="Arial"/>
        </w:rPr>
        <w:t xml:space="preserve"> mandatory</w:t>
      </w:r>
      <w:r w:rsidR="00016BA6">
        <w:rPr>
          <w:rFonts w:cs="Arial"/>
        </w:rPr>
        <w:t xml:space="preserve"> </w:t>
      </w:r>
      <w:r>
        <w:rPr>
          <w:rFonts w:cs="Arial"/>
        </w:rPr>
        <w:t xml:space="preserve">standard. It would also appear to benefit cosmetic </w:t>
      </w:r>
      <w:r w:rsidR="00016BA6">
        <w:rPr>
          <w:rFonts w:cs="Arial"/>
        </w:rPr>
        <w:t xml:space="preserve">suppliers </w:t>
      </w:r>
      <w:r>
        <w:rPr>
          <w:rFonts w:cs="Arial"/>
        </w:rPr>
        <w:t xml:space="preserve">that export products into Europe and other jurisdictions that rely on the </w:t>
      </w:r>
      <w:r w:rsidR="00016BA6">
        <w:rPr>
          <w:rFonts w:cs="Arial"/>
        </w:rPr>
        <w:t xml:space="preserve">European </w:t>
      </w:r>
      <w:r w:rsidR="00A55273">
        <w:rPr>
          <w:rFonts w:cs="Arial"/>
        </w:rPr>
        <w:t>standard.</w:t>
      </w:r>
    </w:p>
    <w:p w14:paraId="65E201CF" w14:textId="1E8817A4" w:rsidR="001B2540" w:rsidRDefault="00C20C57" w:rsidP="0003339C">
      <w:pPr>
        <w:rPr>
          <w:rFonts w:cs="Arial"/>
        </w:rPr>
      </w:pPr>
      <w:r>
        <w:rPr>
          <w:rFonts w:cs="Arial"/>
        </w:rPr>
        <w:t>Consumers would benefit from additional information disclosure requirements for nanomaterials, the function of the cosmetic product and expiration d</w:t>
      </w:r>
      <w:r w:rsidR="00A55273">
        <w:rPr>
          <w:rFonts w:cs="Arial"/>
        </w:rPr>
        <w:t>ate.</w:t>
      </w:r>
    </w:p>
    <w:p w14:paraId="4FCB80A2" w14:textId="6CFE6054" w:rsidR="003F3F86" w:rsidRPr="00594565" w:rsidRDefault="00FC1B5F" w:rsidP="00251DD9">
      <w:pPr>
        <w:pStyle w:val="Heading2"/>
        <w:rPr>
          <w:rFonts w:eastAsia="Times New Roman" w:cs="Times New Roman"/>
          <w:color w:val="51626F"/>
        </w:rPr>
      </w:pPr>
      <w:r>
        <w:rPr>
          <w:rFonts w:eastAsia="Times New Roman" w:cs="Times New Roman"/>
          <w:color w:val="51626F"/>
        </w:rPr>
        <w:t>New Zealand r</w:t>
      </w:r>
      <w:r w:rsidR="003F3F86" w:rsidRPr="00594565">
        <w:rPr>
          <w:rFonts w:eastAsia="Times New Roman" w:cs="Times New Roman"/>
          <w:color w:val="51626F"/>
        </w:rPr>
        <w:t>egulations</w:t>
      </w:r>
    </w:p>
    <w:p w14:paraId="5374BA34" w14:textId="6F2A385E" w:rsidR="009E78A4" w:rsidRDefault="008913F7" w:rsidP="0003339C">
      <w:pPr>
        <w:rPr>
          <w:rFonts w:cs="Arial"/>
        </w:rPr>
      </w:pPr>
      <w:r>
        <w:rPr>
          <w:rFonts w:cs="Arial"/>
        </w:rPr>
        <w:t xml:space="preserve">The </w:t>
      </w:r>
      <w:r w:rsidR="00306CC3">
        <w:rPr>
          <w:rFonts w:cs="Arial"/>
        </w:rPr>
        <w:t xml:space="preserve">New Zealand </w:t>
      </w:r>
      <w:r w:rsidR="00057215">
        <w:rPr>
          <w:rFonts w:cs="Arial"/>
        </w:rPr>
        <w:t xml:space="preserve">mandatory standard </w:t>
      </w:r>
      <w:r>
        <w:rPr>
          <w:rFonts w:cs="Arial"/>
        </w:rPr>
        <w:t>closely follows the</w:t>
      </w:r>
      <w:r w:rsidR="004B2373">
        <w:rPr>
          <w:rFonts w:cs="Arial"/>
        </w:rPr>
        <w:t xml:space="preserve"> </w:t>
      </w:r>
      <w:r w:rsidR="00016BA6">
        <w:rPr>
          <w:rFonts w:cs="Arial"/>
        </w:rPr>
        <w:t xml:space="preserve">European </w:t>
      </w:r>
      <w:r w:rsidR="00057215">
        <w:rPr>
          <w:rFonts w:cs="Arial"/>
        </w:rPr>
        <w:t>mandatory standard</w:t>
      </w:r>
      <w:r w:rsidR="009E78A4">
        <w:rPr>
          <w:rFonts w:cs="Arial"/>
        </w:rPr>
        <w:t xml:space="preserve">. When considering matters addressed by the information standard in isolation, the </w:t>
      </w:r>
      <w:r w:rsidR="00306CC3">
        <w:rPr>
          <w:rFonts w:cs="Arial"/>
        </w:rPr>
        <w:t xml:space="preserve">New Zealand </w:t>
      </w:r>
      <w:r w:rsidR="00057215">
        <w:rPr>
          <w:rFonts w:cs="Arial"/>
        </w:rPr>
        <w:t>mandatory</w:t>
      </w:r>
      <w:r w:rsidR="009E78A4">
        <w:rPr>
          <w:rFonts w:cs="Arial"/>
        </w:rPr>
        <w:t xml:space="preserve"> standard appears to have broadly consistent requirements</w:t>
      </w:r>
      <w:r w:rsidR="00DA417B">
        <w:rPr>
          <w:rFonts w:cs="Arial"/>
        </w:rPr>
        <w:t xml:space="preserve"> </w:t>
      </w:r>
      <w:r w:rsidR="009E78A4">
        <w:rPr>
          <w:rFonts w:cs="Arial"/>
        </w:rPr>
        <w:t xml:space="preserve">except that </w:t>
      </w:r>
      <w:r w:rsidR="00DA417B">
        <w:rPr>
          <w:rFonts w:cs="Arial"/>
        </w:rPr>
        <w:t>it</w:t>
      </w:r>
      <w:r w:rsidR="009E78A4" w:rsidRPr="000247B3">
        <w:rPr>
          <w:rFonts w:cs="Arial"/>
        </w:rPr>
        <w:t xml:space="preserve"> require</w:t>
      </w:r>
      <w:r w:rsidR="00057215">
        <w:rPr>
          <w:rFonts w:cs="Arial"/>
        </w:rPr>
        <w:t>s</w:t>
      </w:r>
      <w:r w:rsidR="009E78A4" w:rsidRPr="000247B3">
        <w:rPr>
          <w:rFonts w:cs="Arial"/>
        </w:rPr>
        <w:t xml:space="preserve"> nanomaterials </w:t>
      </w:r>
      <w:r w:rsidR="009E78A4">
        <w:rPr>
          <w:rFonts w:cs="Arial"/>
        </w:rPr>
        <w:t>to be</w:t>
      </w:r>
      <w:r w:rsidR="009E78A4" w:rsidRPr="000247B3">
        <w:rPr>
          <w:rFonts w:cs="Arial"/>
        </w:rPr>
        <w:t xml:space="preserve"> disclosed in the</w:t>
      </w:r>
      <w:r w:rsidR="009E78A4">
        <w:rPr>
          <w:rFonts w:cs="Arial"/>
        </w:rPr>
        <w:t xml:space="preserve"> </w:t>
      </w:r>
      <w:r w:rsidR="00057215">
        <w:rPr>
          <w:rFonts w:cs="Arial"/>
        </w:rPr>
        <w:t>ingredient information</w:t>
      </w:r>
      <w:r w:rsidR="009E78A4">
        <w:rPr>
          <w:rFonts w:cs="Arial"/>
        </w:rPr>
        <w:t xml:space="preserve">. Additionally, all imported or manufactured nanomaterials intended to be added to a cosmetic product must be </w:t>
      </w:r>
      <w:r w:rsidR="00057215">
        <w:rPr>
          <w:rFonts w:cs="Arial"/>
        </w:rPr>
        <w:t>reported</w:t>
      </w:r>
      <w:r w:rsidR="009E78A4">
        <w:rPr>
          <w:rFonts w:cs="Arial"/>
        </w:rPr>
        <w:t xml:space="preserve"> to the New Zealand Environmental Protection Authority</w:t>
      </w:r>
      <w:r w:rsidR="00212C5F">
        <w:rPr>
          <w:rFonts w:cs="Arial"/>
        </w:rPr>
        <w:t xml:space="preserve"> (</w:t>
      </w:r>
      <w:r w:rsidR="00212C5F" w:rsidRPr="000A09E3">
        <w:rPr>
          <w:rFonts w:cs="Arial"/>
          <w:b/>
        </w:rPr>
        <w:t>NZEPA</w:t>
      </w:r>
      <w:r w:rsidR="00212C5F">
        <w:rPr>
          <w:rFonts w:cs="Arial"/>
        </w:rPr>
        <w:t>)</w:t>
      </w:r>
      <w:r w:rsidR="009E78A4">
        <w:rPr>
          <w:rFonts w:cs="Arial"/>
        </w:rPr>
        <w:t>.</w:t>
      </w:r>
    </w:p>
    <w:p w14:paraId="1F441417" w14:textId="6DDB6759" w:rsidR="000831A6" w:rsidRDefault="00EB76C8" w:rsidP="00E34F0C">
      <w:pPr>
        <w:rPr>
          <w:rFonts w:cs="Arial"/>
        </w:rPr>
      </w:pPr>
      <w:r w:rsidRPr="00EB76C8">
        <w:rPr>
          <w:rFonts w:cs="Arial"/>
        </w:rPr>
        <w:t>The</w:t>
      </w:r>
      <w:r w:rsidR="00415712" w:rsidRPr="00EB76C8">
        <w:rPr>
          <w:rFonts w:cs="Arial"/>
        </w:rPr>
        <w:t xml:space="preserve"> New Zealand mandatory standard </w:t>
      </w:r>
      <w:r w:rsidR="00E34F0C" w:rsidRPr="00EB76C8">
        <w:rPr>
          <w:rFonts w:cs="Arial"/>
        </w:rPr>
        <w:t>does not require</w:t>
      </w:r>
      <w:r w:rsidR="003F4B14" w:rsidRPr="00EB76C8">
        <w:rPr>
          <w:rFonts w:cs="Arial"/>
        </w:rPr>
        <w:t xml:space="preserve"> compliance with</w:t>
      </w:r>
      <w:r w:rsidR="00364261" w:rsidRPr="00EB76C8">
        <w:rPr>
          <w:rFonts w:cs="Arial"/>
        </w:rPr>
        <w:t xml:space="preserve"> </w:t>
      </w:r>
      <w:r w:rsidRPr="00EB76C8">
        <w:rPr>
          <w:rFonts w:cs="Arial"/>
        </w:rPr>
        <w:t>the</w:t>
      </w:r>
      <w:r w:rsidR="00364261" w:rsidRPr="00EB76C8">
        <w:rPr>
          <w:rFonts w:cs="Arial"/>
        </w:rPr>
        <w:t xml:space="preserve"> ingredient</w:t>
      </w:r>
      <w:r w:rsidR="00E34F0C" w:rsidRPr="00EB76C8">
        <w:rPr>
          <w:rFonts w:cs="Arial"/>
        </w:rPr>
        <w:t xml:space="preserve"> labelling requirements in subclause 1.2 of Part 1 if the </w:t>
      </w:r>
      <w:r w:rsidR="008F1B34" w:rsidRPr="00EB76C8">
        <w:rPr>
          <w:rFonts w:cs="Arial"/>
        </w:rPr>
        <w:t>label on a cosmetic</w:t>
      </w:r>
      <w:r w:rsidRPr="00EB76C8">
        <w:rPr>
          <w:rFonts w:cs="Arial"/>
        </w:rPr>
        <w:t xml:space="preserve"> product</w:t>
      </w:r>
      <w:r w:rsidR="008F1B34" w:rsidRPr="00EB76C8">
        <w:rPr>
          <w:rFonts w:cs="Arial"/>
        </w:rPr>
        <w:t xml:space="preserve"> is compliant with</w:t>
      </w:r>
      <w:r w:rsidR="00E34F0C" w:rsidRPr="00EB76C8">
        <w:rPr>
          <w:rFonts w:cs="Arial"/>
        </w:rPr>
        <w:t xml:space="preserve"> labelling </w:t>
      </w:r>
      <w:r w:rsidR="008F1B34" w:rsidRPr="00EB76C8">
        <w:rPr>
          <w:rFonts w:cs="Arial"/>
        </w:rPr>
        <w:t>regulations as required in</w:t>
      </w:r>
      <w:r w:rsidR="00E34F0C" w:rsidRPr="00EB76C8">
        <w:rPr>
          <w:rFonts w:cs="Arial"/>
        </w:rPr>
        <w:t xml:space="preserve"> Australia, </w:t>
      </w:r>
      <w:r w:rsidR="008F1B34" w:rsidRPr="00EB76C8">
        <w:rPr>
          <w:rFonts w:cs="Arial"/>
        </w:rPr>
        <w:t>Canada,</w:t>
      </w:r>
      <w:r w:rsidR="00E34F0C" w:rsidRPr="00EB76C8">
        <w:rPr>
          <w:rFonts w:cs="Arial"/>
        </w:rPr>
        <w:t xml:space="preserve"> the European Union</w:t>
      </w:r>
      <w:r w:rsidR="008F1B34" w:rsidRPr="00EB76C8">
        <w:rPr>
          <w:rFonts w:cs="Arial"/>
        </w:rPr>
        <w:t xml:space="preserve"> or the </w:t>
      </w:r>
      <w:r w:rsidRPr="00EB76C8">
        <w:rPr>
          <w:rFonts w:cs="Arial"/>
        </w:rPr>
        <w:t>United States</w:t>
      </w:r>
      <w:r w:rsidR="008F1B34" w:rsidRPr="00EB76C8">
        <w:rPr>
          <w:rFonts w:cs="Arial"/>
        </w:rPr>
        <w:t>,</w:t>
      </w:r>
      <w:r w:rsidR="00E34F0C" w:rsidRPr="00EB76C8">
        <w:rPr>
          <w:rFonts w:cs="Arial"/>
        </w:rPr>
        <w:t xml:space="preserve"> as if the substance were for sale or supply in those countries.</w:t>
      </w:r>
      <w:r w:rsidR="008F1B34" w:rsidRPr="00EB76C8">
        <w:rPr>
          <w:rFonts w:cs="Arial"/>
        </w:rPr>
        <w:t xml:space="preserve"> </w:t>
      </w:r>
      <w:r w:rsidR="00E34F0C" w:rsidRPr="00EB76C8">
        <w:rPr>
          <w:rFonts w:cs="Arial"/>
        </w:rPr>
        <w:t>Not</w:t>
      </w:r>
      <w:r w:rsidR="008F1B34" w:rsidRPr="00EB76C8">
        <w:rPr>
          <w:rFonts w:cs="Arial"/>
        </w:rPr>
        <w:t>withstanding this alternative</w:t>
      </w:r>
      <w:r w:rsidRPr="00EB76C8">
        <w:rPr>
          <w:rFonts w:cs="Arial"/>
        </w:rPr>
        <w:t xml:space="preserve"> compliance model</w:t>
      </w:r>
      <w:r w:rsidR="00E34F0C" w:rsidRPr="00EB76C8">
        <w:rPr>
          <w:rFonts w:cs="Arial"/>
        </w:rPr>
        <w:t>, a supplier that seeks compliance via this mechanism must meet other labelling requirements</w:t>
      </w:r>
      <w:r w:rsidRPr="00EB76C8">
        <w:rPr>
          <w:rFonts w:cs="Arial"/>
        </w:rPr>
        <w:t xml:space="preserve"> of the New Zealand mandatory standard,</w:t>
      </w:r>
      <w:r w:rsidR="00E34F0C" w:rsidRPr="00EB76C8">
        <w:rPr>
          <w:rFonts w:cs="Arial"/>
        </w:rPr>
        <w:t xml:space="preserve"> </w:t>
      </w:r>
      <w:r w:rsidR="000831A6" w:rsidRPr="00EB76C8">
        <w:rPr>
          <w:rFonts w:cs="Arial"/>
        </w:rPr>
        <w:t>including the requirement to disclose nanomaterials</w:t>
      </w:r>
      <w:r w:rsidR="008F1B34" w:rsidRPr="00EB76C8">
        <w:rPr>
          <w:rFonts w:cs="Arial"/>
        </w:rPr>
        <w:t>. We note</w:t>
      </w:r>
      <w:r w:rsidR="00956BAA" w:rsidRPr="00EB76C8">
        <w:rPr>
          <w:rFonts w:cs="Arial"/>
        </w:rPr>
        <w:t xml:space="preserve"> that policy option 3 would achieve the same effect as New Zealand’s </w:t>
      </w:r>
      <w:r>
        <w:rPr>
          <w:rFonts w:cs="Arial"/>
        </w:rPr>
        <w:t>alternative compliance</w:t>
      </w:r>
      <w:r w:rsidR="00956BAA" w:rsidRPr="00EB76C8">
        <w:rPr>
          <w:rFonts w:cs="Arial"/>
        </w:rPr>
        <w:t xml:space="preserve"> model.</w:t>
      </w:r>
    </w:p>
    <w:p w14:paraId="1CC5A3A1" w14:textId="692A1A45" w:rsidR="001C475E" w:rsidRDefault="0083642D" w:rsidP="0083642D">
      <w:pPr>
        <w:rPr>
          <w:rFonts w:cs="Arial"/>
        </w:rPr>
      </w:pPr>
      <w:r>
        <w:rPr>
          <w:rFonts w:cs="Arial"/>
        </w:rPr>
        <w:t>On the face of this analysis</w:t>
      </w:r>
      <w:r w:rsidR="001C475E">
        <w:rPr>
          <w:rFonts w:cs="Arial"/>
        </w:rPr>
        <w:t>,</w:t>
      </w:r>
      <w:r>
        <w:rPr>
          <w:rFonts w:cs="Arial"/>
        </w:rPr>
        <w:t xml:space="preserve"> the </w:t>
      </w:r>
      <w:r w:rsidR="00306CC3">
        <w:rPr>
          <w:rFonts w:cs="Arial"/>
        </w:rPr>
        <w:t xml:space="preserve">New Zealand </w:t>
      </w:r>
      <w:r w:rsidR="00057215">
        <w:rPr>
          <w:rFonts w:cs="Arial"/>
        </w:rPr>
        <w:t xml:space="preserve">mandatory </w:t>
      </w:r>
      <w:r>
        <w:rPr>
          <w:rFonts w:cs="Arial"/>
        </w:rPr>
        <w:t>standard appears suitable for Australian conditions</w:t>
      </w:r>
      <w:r w:rsidR="001C475E">
        <w:rPr>
          <w:rFonts w:cs="Arial"/>
        </w:rPr>
        <w:t xml:space="preserve"> under the same circumstances as</w:t>
      </w:r>
      <w:r w:rsidR="00057215">
        <w:rPr>
          <w:rFonts w:cs="Arial"/>
        </w:rPr>
        <w:t xml:space="preserve"> the</w:t>
      </w:r>
      <w:r w:rsidR="001C475E">
        <w:rPr>
          <w:rFonts w:cs="Arial"/>
        </w:rPr>
        <w:t xml:space="preserve"> </w:t>
      </w:r>
      <w:r w:rsidR="00016BA6">
        <w:rPr>
          <w:rFonts w:cs="Arial"/>
        </w:rPr>
        <w:t xml:space="preserve">European </w:t>
      </w:r>
      <w:r w:rsidR="00057215">
        <w:rPr>
          <w:rFonts w:cs="Arial"/>
        </w:rPr>
        <w:t>mandatory standard</w:t>
      </w:r>
      <w:r w:rsidR="001C475E">
        <w:rPr>
          <w:rFonts w:cs="Arial"/>
        </w:rPr>
        <w:t xml:space="preserve">. </w:t>
      </w:r>
      <w:r w:rsidR="00C20C57">
        <w:rPr>
          <w:rFonts w:cs="Arial"/>
        </w:rPr>
        <w:t xml:space="preserve">The benefits for manufacturers, suppliers and consumers from adoption of the </w:t>
      </w:r>
      <w:r w:rsidR="00016BA6">
        <w:rPr>
          <w:rFonts w:cs="Arial"/>
        </w:rPr>
        <w:t>European</w:t>
      </w:r>
      <w:r w:rsidR="00EB52E1">
        <w:rPr>
          <w:rFonts w:cs="Arial"/>
        </w:rPr>
        <w:t xml:space="preserve"> mandatory</w:t>
      </w:r>
      <w:r w:rsidR="00016BA6">
        <w:rPr>
          <w:rFonts w:cs="Arial"/>
        </w:rPr>
        <w:t xml:space="preserve"> </w:t>
      </w:r>
      <w:r w:rsidR="00C20C57">
        <w:rPr>
          <w:rFonts w:cs="Arial"/>
        </w:rPr>
        <w:t>standard apply to adoption of the N</w:t>
      </w:r>
      <w:r w:rsidR="00016BA6">
        <w:rPr>
          <w:rFonts w:cs="Arial"/>
        </w:rPr>
        <w:t xml:space="preserve">ew </w:t>
      </w:r>
      <w:r w:rsidR="00C20C57">
        <w:rPr>
          <w:rFonts w:cs="Arial"/>
        </w:rPr>
        <w:t>Z</w:t>
      </w:r>
      <w:r w:rsidR="00016BA6">
        <w:rPr>
          <w:rFonts w:cs="Arial"/>
        </w:rPr>
        <w:t>ealand</w:t>
      </w:r>
      <w:r w:rsidR="00EB52E1">
        <w:rPr>
          <w:rFonts w:cs="Arial"/>
        </w:rPr>
        <w:t xml:space="preserve"> mandatory</w:t>
      </w:r>
      <w:r w:rsidR="00A55273">
        <w:rPr>
          <w:rFonts w:cs="Arial"/>
        </w:rPr>
        <w:t xml:space="preserve"> standard.</w:t>
      </w:r>
    </w:p>
    <w:p w14:paraId="0300F6A7" w14:textId="6775F68B" w:rsidR="00FD403A" w:rsidRDefault="00FC1B5F" w:rsidP="007363FC">
      <w:pPr>
        <w:pStyle w:val="Heading2"/>
      </w:pPr>
      <w:r>
        <w:rPr>
          <w:rFonts w:eastAsia="Times New Roman" w:cs="Times New Roman"/>
          <w:color w:val="51626F"/>
        </w:rPr>
        <w:t>United States r</w:t>
      </w:r>
      <w:r w:rsidR="0083642D" w:rsidRPr="00594565">
        <w:rPr>
          <w:rFonts w:eastAsia="Times New Roman" w:cs="Times New Roman"/>
          <w:color w:val="51626F"/>
        </w:rPr>
        <w:t>egulations</w:t>
      </w:r>
    </w:p>
    <w:p w14:paraId="153D7A23" w14:textId="1615A1E7" w:rsidR="006A6BD0" w:rsidRDefault="0087492B" w:rsidP="0087492B">
      <w:r w:rsidRPr="00E90349">
        <w:t>The</w:t>
      </w:r>
      <w:r w:rsidR="00AC71E8" w:rsidRPr="00E90349">
        <w:t xml:space="preserve"> </w:t>
      </w:r>
      <w:r w:rsidR="00306CC3">
        <w:t>Unites States</w:t>
      </w:r>
      <w:r w:rsidR="00306CC3" w:rsidRPr="00E90349">
        <w:t xml:space="preserve"> </w:t>
      </w:r>
      <w:r w:rsidR="00E90349" w:rsidRPr="00E90349">
        <w:t>mandatory</w:t>
      </w:r>
      <w:r w:rsidR="00E90349">
        <w:t xml:space="preserve"> standard</w:t>
      </w:r>
      <w:r w:rsidR="00AC71E8">
        <w:t xml:space="preserve"> appear</w:t>
      </w:r>
      <w:r w:rsidR="00E90349">
        <w:t>s</w:t>
      </w:r>
      <w:r w:rsidR="00AC71E8">
        <w:t xml:space="preserve"> to be </w:t>
      </w:r>
      <w:r w:rsidR="0081386A">
        <w:t>broadly</w:t>
      </w:r>
      <w:r w:rsidR="00AC71E8">
        <w:t xml:space="preserve"> consistent with</w:t>
      </w:r>
      <w:r w:rsidR="00E90349">
        <w:t xml:space="preserve"> the</w:t>
      </w:r>
      <w:r>
        <w:t xml:space="preserve"> </w:t>
      </w:r>
      <w:r w:rsidR="00E90349">
        <w:t xml:space="preserve">information standard, as well as </w:t>
      </w:r>
      <w:r w:rsidR="00016BA6">
        <w:t xml:space="preserve">European </w:t>
      </w:r>
      <w:r>
        <w:t>and</w:t>
      </w:r>
      <w:r w:rsidR="00AC71E8">
        <w:t xml:space="preserve"> </w:t>
      </w:r>
      <w:r w:rsidR="00016BA6">
        <w:t xml:space="preserve">New Zealand </w:t>
      </w:r>
      <w:r w:rsidR="00E90349">
        <w:t>mandatory standards</w:t>
      </w:r>
      <w:r w:rsidR="00AC71E8">
        <w:t xml:space="preserve">. </w:t>
      </w:r>
      <w:r w:rsidR="0081386A">
        <w:t>For example,</w:t>
      </w:r>
      <w:r w:rsidR="00FF4D0E">
        <w:t xml:space="preserve"> </w:t>
      </w:r>
      <w:r w:rsidR="00E90349">
        <w:t xml:space="preserve">the </w:t>
      </w:r>
      <w:r w:rsidR="00016BA6">
        <w:t xml:space="preserve">United States </w:t>
      </w:r>
      <w:r w:rsidR="00E90349">
        <w:t>mandatory standard</w:t>
      </w:r>
      <w:r w:rsidR="00484911">
        <w:t xml:space="preserve"> require</w:t>
      </w:r>
      <w:r w:rsidR="00E90349">
        <w:t>s</w:t>
      </w:r>
      <w:r w:rsidR="00484911">
        <w:t xml:space="preserve"> that cosmetic ingredients are listed in </w:t>
      </w:r>
      <w:r w:rsidR="00FF4D0E">
        <w:t>descending order of prominence</w:t>
      </w:r>
      <w:r w:rsidR="00EB52E1">
        <w:t>.</w:t>
      </w:r>
    </w:p>
    <w:p w14:paraId="63C95A27" w14:textId="022BFFF5" w:rsidR="0087492B" w:rsidRDefault="0081386A" w:rsidP="0087492B">
      <w:r>
        <w:rPr>
          <w:rFonts w:cs="Arial"/>
        </w:rPr>
        <w:t>The U</w:t>
      </w:r>
      <w:r w:rsidR="00CA4DB2">
        <w:rPr>
          <w:rFonts w:cs="Arial"/>
        </w:rPr>
        <w:t xml:space="preserve">nited </w:t>
      </w:r>
      <w:r>
        <w:rPr>
          <w:rFonts w:cs="Arial"/>
        </w:rPr>
        <w:t>S</w:t>
      </w:r>
      <w:r w:rsidR="00CA4DB2">
        <w:rPr>
          <w:rFonts w:cs="Arial"/>
        </w:rPr>
        <w:t>tates mandatory</w:t>
      </w:r>
      <w:r>
        <w:rPr>
          <w:rFonts w:cs="Arial"/>
        </w:rPr>
        <w:t xml:space="preserve"> standard differ</w:t>
      </w:r>
      <w:r w:rsidR="00CA4DB2">
        <w:rPr>
          <w:rFonts w:cs="Arial"/>
        </w:rPr>
        <w:t>s</w:t>
      </w:r>
      <w:r>
        <w:rPr>
          <w:rFonts w:cs="Arial"/>
        </w:rPr>
        <w:t xml:space="preserve"> in the range of permitted databases that a supplier can rely on when listing cosmetic ingredients. </w:t>
      </w:r>
      <w:r w:rsidR="00CA4DB2">
        <w:rPr>
          <w:rFonts w:cs="Arial"/>
        </w:rPr>
        <w:t>While t</w:t>
      </w:r>
      <w:r w:rsidR="0087492B">
        <w:rPr>
          <w:rFonts w:cs="Arial"/>
        </w:rPr>
        <w:t xml:space="preserve">he </w:t>
      </w:r>
      <w:r w:rsidR="006764F9">
        <w:rPr>
          <w:rFonts w:cs="Arial"/>
        </w:rPr>
        <w:t>information standard</w:t>
      </w:r>
      <w:r w:rsidR="0087492B">
        <w:rPr>
          <w:rFonts w:cs="Arial"/>
        </w:rPr>
        <w:t xml:space="preserve"> </w:t>
      </w:r>
      <w:r w:rsidR="006764F9">
        <w:rPr>
          <w:rFonts w:cs="Arial"/>
        </w:rPr>
        <w:t>requires</w:t>
      </w:r>
      <w:r w:rsidR="0087492B">
        <w:rPr>
          <w:rFonts w:cs="Arial"/>
        </w:rPr>
        <w:t xml:space="preserve"> </w:t>
      </w:r>
      <w:r>
        <w:rPr>
          <w:rFonts w:cs="Arial"/>
        </w:rPr>
        <w:t>that</w:t>
      </w:r>
      <w:r w:rsidR="0087492B">
        <w:rPr>
          <w:rFonts w:cs="Arial"/>
        </w:rPr>
        <w:t xml:space="preserve"> ingredient</w:t>
      </w:r>
      <w:r w:rsidR="00CA4DB2">
        <w:rPr>
          <w:rFonts w:cs="Arial"/>
        </w:rPr>
        <w:t>s</w:t>
      </w:r>
      <w:r w:rsidR="0087492B">
        <w:rPr>
          <w:rFonts w:cs="Arial"/>
        </w:rPr>
        <w:t xml:space="preserve"> </w:t>
      </w:r>
      <w:r>
        <w:rPr>
          <w:rFonts w:cs="Arial"/>
        </w:rPr>
        <w:t>are</w:t>
      </w:r>
      <w:r w:rsidR="0087492B">
        <w:rPr>
          <w:rFonts w:cs="Arial"/>
        </w:rPr>
        <w:t xml:space="preserve"> listed </w:t>
      </w:r>
      <w:r w:rsidR="006764F9">
        <w:rPr>
          <w:rFonts w:cs="Arial"/>
        </w:rPr>
        <w:t>in</w:t>
      </w:r>
      <w:r w:rsidR="0087492B">
        <w:rPr>
          <w:rFonts w:cs="Arial"/>
        </w:rPr>
        <w:t xml:space="preserve"> either </w:t>
      </w:r>
      <w:r w:rsidR="007363FC">
        <w:rPr>
          <w:rFonts w:cs="Arial"/>
        </w:rPr>
        <w:t xml:space="preserve">their </w:t>
      </w:r>
      <w:r w:rsidR="0087492B">
        <w:rPr>
          <w:rFonts w:cs="Arial"/>
        </w:rPr>
        <w:t>English or INCI</w:t>
      </w:r>
      <w:r w:rsidR="0087492B" w:rsidRPr="00333A38">
        <w:rPr>
          <w:rFonts w:cs="Arial"/>
        </w:rPr>
        <w:t xml:space="preserve"> </w:t>
      </w:r>
      <w:r w:rsidR="00CA4DB2">
        <w:rPr>
          <w:rFonts w:cs="Arial"/>
        </w:rPr>
        <w:t>name</w:t>
      </w:r>
      <w:r w:rsidR="007363FC">
        <w:rPr>
          <w:rFonts w:cs="Arial"/>
        </w:rPr>
        <w:t>s</w:t>
      </w:r>
      <w:r w:rsidR="00CA4DB2">
        <w:rPr>
          <w:rFonts w:cs="Arial"/>
        </w:rPr>
        <w:t>,</w:t>
      </w:r>
      <w:r w:rsidR="0087492B">
        <w:rPr>
          <w:rFonts w:cs="Arial"/>
        </w:rPr>
        <w:t xml:space="preserve"> the </w:t>
      </w:r>
      <w:r w:rsidR="00016BA6">
        <w:rPr>
          <w:rFonts w:cs="Arial"/>
        </w:rPr>
        <w:t xml:space="preserve">United States </w:t>
      </w:r>
      <w:r w:rsidR="006764F9">
        <w:rPr>
          <w:rFonts w:cs="Arial"/>
        </w:rPr>
        <w:t>mandatory standard</w:t>
      </w:r>
      <w:r w:rsidR="00CA4DB2">
        <w:rPr>
          <w:rFonts w:cs="Arial"/>
        </w:rPr>
        <w:t xml:space="preserve"> allows a cosmetic supplier</w:t>
      </w:r>
      <w:r w:rsidR="0087492B">
        <w:rPr>
          <w:rFonts w:cs="Arial"/>
        </w:rPr>
        <w:t xml:space="preserve"> to use the INCI name</w:t>
      </w:r>
      <w:r w:rsidR="00CA4DB2">
        <w:rPr>
          <w:rFonts w:cs="Arial"/>
        </w:rPr>
        <w:t>,</w:t>
      </w:r>
      <w:r w:rsidR="0087492B">
        <w:rPr>
          <w:rFonts w:cs="Arial"/>
        </w:rPr>
        <w:t xml:space="preserve"> or in absence, a name </w:t>
      </w:r>
      <w:r w:rsidR="0087492B">
        <w:rPr>
          <w:rFonts w:cs="Arial"/>
        </w:rPr>
        <w:lastRenderedPageBreak/>
        <w:t>given by either t</w:t>
      </w:r>
      <w:r w:rsidR="0087492B" w:rsidRPr="00333A38">
        <w:rPr>
          <w:rFonts w:cs="Arial"/>
        </w:rPr>
        <w:t>he United States Pharmaco</w:t>
      </w:r>
      <w:r w:rsidR="0087492B">
        <w:rPr>
          <w:rFonts w:cs="Arial"/>
        </w:rPr>
        <w:t>peia</w:t>
      </w:r>
      <w:r w:rsidR="006764F9">
        <w:rPr>
          <w:rFonts w:cs="Arial"/>
        </w:rPr>
        <w:t xml:space="preserve"> (</w:t>
      </w:r>
      <w:r w:rsidR="006764F9" w:rsidRPr="000A09E3">
        <w:rPr>
          <w:rFonts w:cs="Arial"/>
          <w:b/>
        </w:rPr>
        <w:t>USP</w:t>
      </w:r>
      <w:r w:rsidR="006764F9">
        <w:rPr>
          <w:rFonts w:cs="Arial"/>
        </w:rPr>
        <w:t>)</w:t>
      </w:r>
      <w:r w:rsidR="0087492B">
        <w:rPr>
          <w:rFonts w:cs="Arial"/>
        </w:rPr>
        <w:t>, the National Formulary, the Food C</w:t>
      </w:r>
      <w:r w:rsidR="0087492B" w:rsidRPr="00333A38">
        <w:rPr>
          <w:rFonts w:cs="Arial"/>
        </w:rPr>
        <w:t>hemical Codex</w:t>
      </w:r>
      <w:r w:rsidR="00422068">
        <w:rPr>
          <w:rFonts w:cs="Arial"/>
        </w:rPr>
        <w:t xml:space="preserve"> or</w:t>
      </w:r>
      <w:r w:rsidR="0087492B" w:rsidRPr="00333A38">
        <w:rPr>
          <w:rFonts w:cs="Arial"/>
        </w:rPr>
        <w:t xml:space="preserve"> </w:t>
      </w:r>
      <w:r w:rsidR="006764F9">
        <w:rPr>
          <w:rFonts w:cs="Arial"/>
        </w:rPr>
        <w:t>United States Adopted Names (</w:t>
      </w:r>
      <w:r w:rsidR="006764F9" w:rsidRPr="000A09E3">
        <w:rPr>
          <w:rFonts w:cs="Arial"/>
          <w:b/>
        </w:rPr>
        <w:t>USAN</w:t>
      </w:r>
      <w:r w:rsidR="006764F9">
        <w:rPr>
          <w:rFonts w:cs="Arial"/>
        </w:rPr>
        <w:t>)</w:t>
      </w:r>
      <w:r w:rsidR="00422068">
        <w:rPr>
          <w:rFonts w:cs="Arial"/>
        </w:rPr>
        <w:t>.</w:t>
      </w:r>
    </w:p>
    <w:p w14:paraId="15540947" w14:textId="5E60AF87" w:rsidR="00FF4D0E" w:rsidRPr="00320C46" w:rsidRDefault="00FF4D0E">
      <w:pPr>
        <w:rPr>
          <w:rFonts w:cs="Arial"/>
        </w:rPr>
      </w:pPr>
      <w:r>
        <w:t xml:space="preserve">We have some concerns that adoption of </w:t>
      </w:r>
      <w:r w:rsidR="00320C46">
        <w:t xml:space="preserve">the </w:t>
      </w:r>
      <w:r w:rsidR="003A58B3">
        <w:t xml:space="preserve">United States </w:t>
      </w:r>
      <w:r w:rsidR="00320C46">
        <w:t xml:space="preserve">mandatory standard </w:t>
      </w:r>
      <w:r w:rsidR="006A6BD0">
        <w:rPr>
          <w:rFonts w:cs="Arial"/>
        </w:rPr>
        <w:t xml:space="preserve">could lead to confusion about </w:t>
      </w:r>
      <w:r w:rsidR="00320C46">
        <w:rPr>
          <w:rFonts w:cs="Arial"/>
        </w:rPr>
        <w:t>a cosmetic’s</w:t>
      </w:r>
      <w:r w:rsidR="006A6BD0">
        <w:rPr>
          <w:rFonts w:cs="Arial"/>
        </w:rPr>
        <w:t xml:space="preserve"> </w:t>
      </w:r>
      <w:r w:rsidR="00320C46">
        <w:rPr>
          <w:rFonts w:cs="Arial"/>
        </w:rPr>
        <w:t>ingredients</w:t>
      </w:r>
      <w:r w:rsidR="006A6BD0">
        <w:rPr>
          <w:rFonts w:cs="Arial"/>
        </w:rPr>
        <w:t xml:space="preserve"> if those </w:t>
      </w:r>
      <w:r w:rsidR="00320C46">
        <w:rPr>
          <w:rFonts w:cs="Arial"/>
        </w:rPr>
        <w:t>ingredients</w:t>
      </w:r>
      <w:r w:rsidR="006A6BD0">
        <w:rPr>
          <w:rFonts w:cs="Arial"/>
        </w:rPr>
        <w:t xml:space="preserve"> are referenced through the use of inconsistent nomenclature.</w:t>
      </w:r>
      <w:r w:rsidR="006A6BD0">
        <w:t xml:space="preserve"> This</w:t>
      </w:r>
      <w:r>
        <w:t xml:space="preserve"> may hamper</w:t>
      </w:r>
      <w:r w:rsidR="006A6BD0">
        <w:t xml:space="preserve"> the</w:t>
      </w:r>
      <w:r>
        <w:t xml:space="preserve"> identification of </w:t>
      </w:r>
      <w:r w:rsidR="00320C46">
        <w:t>certain</w:t>
      </w:r>
      <w:r>
        <w:t xml:space="preserve"> ingredients to wh</w:t>
      </w:r>
      <w:r w:rsidR="00846ED7">
        <w:t>ich a consumer may be allergic.</w:t>
      </w:r>
      <w:r w:rsidR="001422F4">
        <w:t xml:space="preserve"> However,</w:t>
      </w:r>
      <w:r w:rsidR="0081386A">
        <w:t xml:space="preserve"> this matter could be addressed by permitting compliance via the U</w:t>
      </w:r>
      <w:r w:rsidR="00A9197F">
        <w:t xml:space="preserve">nited </w:t>
      </w:r>
      <w:r w:rsidR="0081386A">
        <w:t>S</w:t>
      </w:r>
      <w:r w:rsidR="00A9197F">
        <w:t>tates mandatory</w:t>
      </w:r>
      <w:r w:rsidR="0081386A">
        <w:t xml:space="preserve"> standard without reference to the USP and USAN databases as permitted alternatives. </w:t>
      </w:r>
      <w:r w:rsidR="001422F4">
        <w:t xml:space="preserve"> </w:t>
      </w:r>
    </w:p>
    <w:p w14:paraId="59F5336C" w14:textId="56F387B2" w:rsidR="001C0548" w:rsidRDefault="001C0548">
      <w:r>
        <w:t xml:space="preserve">Similar to </w:t>
      </w:r>
      <w:r w:rsidR="000C35E6">
        <w:t xml:space="preserve">the </w:t>
      </w:r>
      <w:r w:rsidR="003A58B3">
        <w:t xml:space="preserve">European </w:t>
      </w:r>
      <w:r>
        <w:t xml:space="preserve">and </w:t>
      </w:r>
      <w:r w:rsidR="003A58B3">
        <w:t xml:space="preserve">New Zealand </w:t>
      </w:r>
      <w:r w:rsidR="000C35E6">
        <w:t>mandatory standards</w:t>
      </w:r>
      <w:r w:rsidR="000753E1">
        <w:t>,</w:t>
      </w:r>
      <w:r w:rsidR="000C35E6">
        <w:t xml:space="preserve"> the</w:t>
      </w:r>
      <w:r>
        <w:t xml:space="preserve"> </w:t>
      </w:r>
      <w:r w:rsidR="003A58B3">
        <w:t xml:space="preserve">Unites States </w:t>
      </w:r>
      <w:r w:rsidR="000C35E6">
        <w:t>mandatory standard</w:t>
      </w:r>
      <w:r>
        <w:t xml:space="preserve"> </w:t>
      </w:r>
      <w:r w:rsidR="000753E1" w:rsidRPr="00244BDE">
        <w:rPr>
          <w:rFonts w:cs="Arial"/>
        </w:rPr>
        <w:t>consider</w:t>
      </w:r>
      <w:r w:rsidR="000C35E6">
        <w:rPr>
          <w:rFonts w:cs="Arial"/>
        </w:rPr>
        <w:t xml:space="preserve">s </w:t>
      </w:r>
      <w:r w:rsidR="00607E1E">
        <w:rPr>
          <w:rFonts w:cs="Arial"/>
        </w:rPr>
        <w:t xml:space="preserve">additional requirements </w:t>
      </w:r>
      <w:r w:rsidR="00ED1B62">
        <w:rPr>
          <w:rFonts w:cs="Arial"/>
        </w:rPr>
        <w:t xml:space="preserve">to the information standard </w:t>
      </w:r>
      <w:r w:rsidR="000C35E6">
        <w:rPr>
          <w:rFonts w:cs="Arial"/>
        </w:rPr>
        <w:t>(e.g</w:t>
      </w:r>
      <w:r w:rsidR="000753E1">
        <w:rPr>
          <w:rFonts w:cs="Arial"/>
        </w:rPr>
        <w:t xml:space="preserve">. </w:t>
      </w:r>
      <w:r w:rsidR="000C35E6">
        <w:rPr>
          <w:rFonts w:cs="Arial"/>
        </w:rPr>
        <w:t xml:space="preserve">disclosure of </w:t>
      </w:r>
      <w:r w:rsidR="00570CC5">
        <w:rPr>
          <w:rFonts w:cs="Arial"/>
        </w:rPr>
        <w:t>name and place of business, warning and caution statements, informat</w:t>
      </w:r>
      <w:r w:rsidR="00212C5F">
        <w:rPr>
          <w:rFonts w:cs="Arial"/>
        </w:rPr>
        <w:t>ion about ‘material facts’</w:t>
      </w:r>
      <w:r w:rsidR="00570CC5">
        <w:rPr>
          <w:rFonts w:cs="Arial"/>
        </w:rPr>
        <w:t xml:space="preserve">). </w:t>
      </w:r>
      <w:r w:rsidR="002B66E2">
        <w:t xml:space="preserve">Information of this type, on the assumption that it is informative to the consumer, would meet the policy intent of the </w:t>
      </w:r>
      <w:r w:rsidR="00570CC5">
        <w:t>information standard.</w:t>
      </w:r>
    </w:p>
    <w:p w14:paraId="1FE7650C" w14:textId="306F07AB" w:rsidR="00B52EDF" w:rsidRDefault="00442415">
      <w:r>
        <w:t>As with</w:t>
      </w:r>
      <w:r w:rsidR="00484911">
        <w:t xml:space="preserve"> </w:t>
      </w:r>
      <w:r w:rsidR="000C35E6">
        <w:t>the information standard</w:t>
      </w:r>
      <w:r w:rsidR="00B52EDF">
        <w:t>,</w:t>
      </w:r>
      <w:r w:rsidR="00484911">
        <w:t xml:space="preserve"> there is no requirement</w:t>
      </w:r>
      <w:r>
        <w:t xml:space="preserve"> in</w:t>
      </w:r>
      <w:r w:rsidR="000C35E6">
        <w:t xml:space="preserve"> the</w:t>
      </w:r>
      <w:r>
        <w:t xml:space="preserve"> </w:t>
      </w:r>
      <w:r w:rsidR="003A58B3">
        <w:t xml:space="preserve">United States </w:t>
      </w:r>
      <w:r w:rsidR="000C35E6">
        <w:t>mandatory standard</w:t>
      </w:r>
      <w:r w:rsidR="00484911">
        <w:t xml:space="preserve"> to </w:t>
      </w:r>
      <w:r w:rsidR="00B52EDF">
        <w:t>disclose</w:t>
      </w:r>
      <w:r>
        <w:t xml:space="preserve"> nanomaterials</w:t>
      </w:r>
      <w:r w:rsidR="009F10EE">
        <w:t xml:space="preserve">. </w:t>
      </w:r>
      <w:r>
        <w:t xml:space="preserve">If </w:t>
      </w:r>
      <w:r w:rsidR="000C35E6">
        <w:t>the information standard was</w:t>
      </w:r>
      <w:r>
        <w:t xml:space="preserve"> to adopt </w:t>
      </w:r>
      <w:r w:rsidR="000C35E6">
        <w:t xml:space="preserve">the </w:t>
      </w:r>
      <w:r w:rsidR="003A58B3">
        <w:t xml:space="preserve">European </w:t>
      </w:r>
      <w:r w:rsidR="000C35E6">
        <w:t xml:space="preserve">and </w:t>
      </w:r>
      <w:r w:rsidR="003A58B3">
        <w:t xml:space="preserve">New Zealand </w:t>
      </w:r>
      <w:r w:rsidR="000C35E6">
        <w:t>mandatory standards</w:t>
      </w:r>
      <w:r w:rsidR="00A9197F">
        <w:t>,</w:t>
      </w:r>
      <w:r w:rsidR="0081386A">
        <w:t xml:space="preserve"> along with the </w:t>
      </w:r>
      <w:r w:rsidR="00A9197F">
        <w:t xml:space="preserve">United </w:t>
      </w:r>
      <w:r w:rsidR="0081386A">
        <w:t>S</w:t>
      </w:r>
      <w:r w:rsidR="00A9197F">
        <w:t>tates mandatory</w:t>
      </w:r>
      <w:r w:rsidR="0081386A">
        <w:t xml:space="preserve"> standard</w:t>
      </w:r>
      <w:r w:rsidR="00A9197F">
        <w:t>,</w:t>
      </w:r>
      <w:r w:rsidR="0081386A">
        <w:t xml:space="preserve"> this would give rise to two different requirements for the treatment of nanomaterials. In this case</w:t>
      </w:r>
      <w:r>
        <w:t xml:space="preserve"> we would have some reservations about adopting </w:t>
      </w:r>
      <w:r w:rsidR="000C35E6">
        <w:t xml:space="preserve">the </w:t>
      </w:r>
      <w:r w:rsidR="003A58B3">
        <w:t xml:space="preserve">United States </w:t>
      </w:r>
      <w:r w:rsidR="000C35E6">
        <w:t>mandatory standard</w:t>
      </w:r>
      <w:r>
        <w:t xml:space="preserve"> given this would lead to inconsistent labe</w:t>
      </w:r>
      <w:r w:rsidR="00A55273">
        <w:t>lling in the Australian market.</w:t>
      </w:r>
      <w:r w:rsidR="0081386A">
        <w:t xml:space="preserve"> This could be addressed </w:t>
      </w:r>
      <w:r w:rsidR="0046058B">
        <w:t>by permitting compliance via the U</w:t>
      </w:r>
      <w:r w:rsidR="00A9197F">
        <w:t xml:space="preserve">nited </w:t>
      </w:r>
      <w:r w:rsidR="0046058B">
        <w:t>S</w:t>
      </w:r>
      <w:r w:rsidR="00A9197F">
        <w:t>tates mandatory</w:t>
      </w:r>
      <w:r w:rsidR="0046058B">
        <w:t xml:space="preserve"> standard where that standard has the additional requirement to disclose the use of nanomaterials in a product. </w:t>
      </w:r>
    </w:p>
    <w:p w14:paraId="7053A7EE" w14:textId="639E6593" w:rsidR="00B4537E" w:rsidRDefault="001C0548">
      <w:r>
        <w:t xml:space="preserve">Finally, </w:t>
      </w:r>
      <w:r w:rsidR="009B6795">
        <w:t xml:space="preserve">other </w:t>
      </w:r>
      <w:r w:rsidR="00A21E63">
        <w:t xml:space="preserve">requirements under the </w:t>
      </w:r>
      <w:r w:rsidR="003A58B3">
        <w:t xml:space="preserve">United States </w:t>
      </w:r>
      <w:r w:rsidR="00A21E63">
        <w:t xml:space="preserve">mandatory standard </w:t>
      </w:r>
      <w:r>
        <w:t>for weights and measures do not accord with Australian regulations</w:t>
      </w:r>
      <w:r w:rsidR="009B6795">
        <w:t>,</w:t>
      </w:r>
      <w:r>
        <w:t xml:space="preserve"> which require provision of information through the use </w:t>
      </w:r>
      <w:r w:rsidR="00A55273">
        <w:t>of the metric system.</w:t>
      </w:r>
      <w:r w:rsidR="009B6795">
        <w:t xml:space="preserve"> However, these particular requirements fall outside the broader scope of the information standard and need not be considered in this review.  </w:t>
      </w:r>
    </w:p>
    <w:p w14:paraId="751DED21" w14:textId="7177B807" w:rsidR="00442415" w:rsidRDefault="002B66E2">
      <w:r>
        <w:t>On the basis of our preliminary assessment</w:t>
      </w:r>
      <w:r w:rsidR="00A21E63">
        <w:t>,</w:t>
      </w:r>
      <w:r w:rsidR="006559C7">
        <w:t xml:space="preserve"> </w:t>
      </w:r>
      <w:r>
        <w:t xml:space="preserve">we are of the view that the </w:t>
      </w:r>
      <w:r w:rsidR="003A58B3">
        <w:t xml:space="preserve">United States </w:t>
      </w:r>
      <w:r w:rsidR="00A21E63">
        <w:t xml:space="preserve">mandatory </w:t>
      </w:r>
      <w:r>
        <w:t>standard</w:t>
      </w:r>
      <w:r w:rsidR="006559C7">
        <w:t xml:space="preserve"> is sufficient where a supplier lists cosmetic ingredients in either English or</w:t>
      </w:r>
      <w:r w:rsidR="00703210">
        <w:t xml:space="preserve"> using their INCI name. If a supplier were to list ingredients using naming conventions specific to the United States, this </w:t>
      </w:r>
      <w:r w:rsidR="006559C7">
        <w:t>may hamper the identification of certain</w:t>
      </w:r>
      <w:r w:rsidR="00703210">
        <w:t xml:space="preserve"> ingredients and fail to meet </w:t>
      </w:r>
      <w:r>
        <w:t>the objective of the information standard</w:t>
      </w:r>
      <w:r w:rsidR="0081386A">
        <w:t xml:space="preserve"> </w:t>
      </w:r>
      <w:r>
        <w:t>to inform Australian consumers and health care professionals. This view would need to be balanced against the possible costs to consumers where a cosmetic produced in the U</w:t>
      </w:r>
      <w:r w:rsidR="002311A8">
        <w:t>nite</w:t>
      </w:r>
      <w:r w:rsidR="0081386A">
        <w:t>d</w:t>
      </w:r>
      <w:r w:rsidR="002311A8">
        <w:t xml:space="preserve"> </w:t>
      </w:r>
      <w:r>
        <w:t>S</w:t>
      </w:r>
      <w:r w:rsidR="002311A8">
        <w:t>tates</w:t>
      </w:r>
      <w:r>
        <w:t xml:space="preserve"> would need a different label</w:t>
      </w:r>
      <w:r w:rsidR="003A58B3">
        <w:t xml:space="preserve"> to be applied</w:t>
      </w:r>
      <w:r>
        <w:t>, or where, in the most extreme example, a product would not be imported due to the differin</w:t>
      </w:r>
      <w:r w:rsidR="00846ED7">
        <w:t>g labelling regimes.</w:t>
      </w:r>
    </w:p>
    <w:p w14:paraId="13FF7241" w14:textId="45AAA997" w:rsidR="00DA1977" w:rsidRPr="005801C1" w:rsidRDefault="00A1426A" w:rsidP="00DA1977">
      <w:pPr>
        <w:pStyle w:val="Heading2"/>
        <w:rPr>
          <w:rFonts w:eastAsia="Times New Roman" w:cs="Times New Roman"/>
          <w:color w:val="51626F"/>
        </w:rPr>
      </w:pPr>
      <w:r w:rsidRPr="005801C1">
        <w:rPr>
          <w:rFonts w:eastAsia="Times New Roman" w:cs="Times New Roman"/>
          <w:color w:val="51626F"/>
        </w:rPr>
        <w:t>International Organization for Standardization (ISO)</w:t>
      </w:r>
      <w:r w:rsidR="00DA1977" w:rsidRPr="005801C1">
        <w:rPr>
          <w:rFonts w:eastAsia="Times New Roman" w:cs="Times New Roman"/>
          <w:color w:val="51626F"/>
        </w:rPr>
        <w:t xml:space="preserve"> voluntary standard</w:t>
      </w:r>
    </w:p>
    <w:p w14:paraId="1DC041EB" w14:textId="0C2A1FBA" w:rsidR="00A1426A" w:rsidRPr="005801C1" w:rsidRDefault="00DA1977" w:rsidP="00DA1977">
      <w:r w:rsidRPr="005801C1">
        <w:t xml:space="preserve">The voluntary international standard </w:t>
      </w:r>
      <w:r w:rsidRPr="00784B25">
        <w:rPr>
          <w:i/>
        </w:rPr>
        <w:t xml:space="preserve">ISO 22715 </w:t>
      </w:r>
      <w:r w:rsidR="005801C1" w:rsidRPr="00784B25">
        <w:rPr>
          <w:rFonts w:cs="Arial"/>
          <w:i/>
        </w:rPr>
        <w:t xml:space="preserve">– </w:t>
      </w:r>
      <w:r w:rsidRPr="00784B25">
        <w:rPr>
          <w:i/>
        </w:rPr>
        <w:t>Cosmetics – Packaging and labelling</w:t>
      </w:r>
      <w:r w:rsidR="00A1426A" w:rsidRPr="005801C1">
        <w:t xml:space="preserve"> is broadly comparable to the discussed mandatory standards</w:t>
      </w:r>
      <w:r w:rsidR="00364261">
        <w:t xml:space="preserve"> for scope, ingredient</w:t>
      </w:r>
      <w:r w:rsidR="00B519F3" w:rsidRPr="005801C1">
        <w:t xml:space="preserve"> listing and packaging requirements</w:t>
      </w:r>
      <w:r w:rsidRPr="005801C1">
        <w:t>.</w:t>
      </w:r>
      <w:r w:rsidR="00B519F3" w:rsidRPr="005801C1">
        <w:t xml:space="preserve"> Compared to the information standard</w:t>
      </w:r>
      <w:r w:rsidR="00A1426A" w:rsidRPr="005801C1">
        <w:t xml:space="preserve"> </w:t>
      </w:r>
      <w:r w:rsidR="00B519F3" w:rsidRPr="005801C1">
        <w:t>i</w:t>
      </w:r>
      <w:r w:rsidR="00784B25">
        <w:t xml:space="preserve">t includes requirements for </w:t>
      </w:r>
      <w:r w:rsidR="00B519F3" w:rsidRPr="005801C1">
        <w:t>additional information about batch numbers, product function and the name and address of the responsible person</w:t>
      </w:r>
      <w:r w:rsidR="00784B25">
        <w:t>,</w:t>
      </w:r>
      <w:r w:rsidR="00B519F3" w:rsidRPr="005801C1">
        <w:t xml:space="preserve"> which is consistent with </w:t>
      </w:r>
      <w:r w:rsidR="005801C1" w:rsidRPr="005801C1">
        <w:t xml:space="preserve">European </w:t>
      </w:r>
      <w:r w:rsidR="00B519F3" w:rsidRPr="005801C1">
        <w:t xml:space="preserve">and </w:t>
      </w:r>
      <w:r w:rsidR="005801C1" w:rsidRPr="005801C1">
        <w:t xml:space="preserve">New Zealand </w:t>
      </w:r>
      <w:r w:rsidR="00B519F3" w:rsidRPr="005801C1">
        <w:t>regulations. The ISO standard also strongly s</w:t>
      </w:r>
      <w:r w:rsidR="00364261">
        <w:t>upports the use of ingredient</w:t>
      </w:r>
      <w:r w:rsidR="00B519F3" w:rsidRPr="005801C1">
        <w:t xml:space="preserve"> listing th</w:t>
      </w:r>
      <w:r w:rsidR="005801C1" w:rsidRPr="005801C1">
        <w:t>rough use of the INCI database.</w:t>
      </w:r>
    </w:p>
    <w:p w14:paraId="6BC3D3EF" w14:textId="3A7ABD84" w:rsidR="00DA1977" w:rsidRPr="005801C1" w:rsidRDefault="00B519F3" w:rsidP="00DA1977">
      <w:r w:rsidRPr="005801C1">
        <w:t xml:space="preserve">On this basis the ISO standard appears suitable for reference in a new information standard. However, unlike the </w:t>
      </w:r>
      <w:r w:rsidR="005801C1" w:rsidRPr="005801C1">
        <w:t>European</w:t>
      </w:r>
      <w:r w:rsidRPr="005801C1">
        <w:t xml:space="preserve"> and </w:t>
      </w:r>
      <w:r w:rsidR="005801C1" w:rsidRPr="005801C1">
        <w:t>New Zealand</w:t>
      </w:r>
      <w:r w:rsidRPr="005801C1">
        <w:t xml:space="preserve"> standards the ISO standard does not include a requirement that the use of nanomaterials is disclosed to consumers. Therefore adoption of the ISO standard </w:t>
      </w:r>
      <w:r w:rsidR="00C67260">
        <w:t>could include</w:t>
      </w:r>
      <w:r w:rsidR="00D70244">
        <w:t xml:space="preserve"> an additional requirement to disclose nanomaterials</w:t>
      </w:r>
      <w:r w:rsidR="00C67260">
        <w:t xml:space="preserve"> where this would provide for a consistent approach to labe</w:t>
      </w:r>
      <w:r w:rsidR="00784B25">
        <w:t>lling where the European and</w:t>
      </w:r>
      <w:r w:rsidR="00C67260">
        <w:t xml:space="preserve"> New Zealand </w:t>
      </w:r>
      <w:r w:rsidR="00784B25">
        <w:t xml:space="preserve">mandatory </w:t>
      </w:r>
      <w:r w:rsidR="00C67260">
        <w:t>standards were adopted.</w:t>
      </w:r>
    </w:p>
    <w:p w14:paraId="5F98E49F" w14:textId="2585A82F" w:rsidR="00126288" w:rsidRPr="005801C1" w:rsidRDefault="001741E9" w:rsidP="00E6110E">
      <w:pPr>
        <w:pStyle w:val="Numbered1"/>
        <w:numPr>
          <w:ilvl w:val="0"/>
          <w:numId w:val="12"/>
        </w:numPr>
        <w:ind w:left="357" w:hanging="357"/>
        <w:rPr>
          <w:rFonts w:ascii="Lucida Fax" w:hAnsi="Lucida Fax"/>
          <w:color w:val="51626F"/>
        </w:rPr>
      </w:pPr>
      <w:bookmarkStart w:id="32" w:name="_Toc14788119"/>
      <w:bookmarkStart w:id="33" w:name="_Toc14796252"/>
      <w:bookmarkStart w:id="34" w:name="_Toc14788120"/>
      <w:bookmarkStart w:id="35" w:name="_Toc14796253"/>
      <w:bookmarkStart w:id="36" w:name="_Toc14788121"/>
      <w:bookmarkStart w:id="37" w:name="_Toc14796254"/>
      <w:bookmarkStart w:id="38" w:name="_Toc14788122"/>
      <w:bookmarkStart w:id="39" w:name="_Toc14796255"/>
      <w:bookmarkStart w:id="40" w:name="_Toc17366905"/>
      <w:bookmarkEnd w:id="32"/>
      <w:bookmarkEnd w:id="33"/>
      <w:bookmarkEnd w:id="34"/>
      <w:bookmarkEnd w:id="35"/>
      <w:bookmarkEnd w:id="36"/>
      <w:bookmarkEnd w:id="37"/>
      <w:bookmarkEnd w:id="38"/>
      <w:bookmarkEnd w:id="39"/>
      <w:r w:rsidRPr="005801C1">
        <w:rPr>
          <w:rFonts w:ascii="Lucida Fax" w:hAnsi="Lucida Fax"/>
          <w:color w:val="51626F"/>
        </w:rPr>
        <w:lastRenderedPageBreak/>
        <w:t>Detailed p</w:t>
      </w:r>
      <w:r w:rsidR="00126288" w:rsidRPr="005801C1">
        <w:rPr>
          <w:rFonts w:ascii="Lucida Fax" w:hAnsi="Lucida Fax"/>
          <w:color w:val="51626F"/>
        </w:rPr>
        <w:t>olicy options</w:t>
      </w:r>
      <w:bookmarkEnd w:id="40"/>
    </w:p>
    <w:p w14:paraId="79240D55" w14:textId="40243C9C" w:rsidR="00053828" w:rsidRPr="006A7B5F" w:rsidRDefault="00053828" w:rsidP="00E6110E">
      <w:pPr>
        <w:pStyle w:val="Heading2"/>
        <w:rPr>
          <w:rFonts w:eastAsia="Times New Roman" w:cs="Times New Roman"/>
          <w:color w:val="51626F"/>
        </w:rPr>
      </w:pPr>
      <w:bookmarkStart w:id="41" w:name="_Toc529889558"/>
      <w:bookmarkStart w:id="42" w:name="_Toc530142496"/>
      <w:bookmarkStart w:id="43" w:name="_Toc530559852"/>
      <w:bookmarkStart w:id="44" w:name="_Toc531346515"/>
      <w:bookmarkStart w:id="45" w:name="_Toc532980647"/>
      <w:bookmarkStart w:id="46" w:name="_Toc534613891"/>
      <w:r w:rsidRPr="006A7B5F">
        <w:rPr>
          <w:rFonts w:eastAsia="Times New Roman" w:cs="Times New Roman"/>
          <w:color w:val="51626F"/>
        </w:rPr>
        <w:t xml:space="preserve">Option 1 – Maintain the current </w:t>
      </w:r>
      <w:r w:rsidR="00F47DF1">
        <w:rPr>
          <w:rFonts w:eastAsia="Times New Roman" w:cs="Times New Roman"/>
          <w:color w:val="51626F"/>
        </w:rPr>
        <w:t xml:space="preserve">information </w:t>
      </w:r>
      <w:r w:rsidRPr="006A7B5F">
        <w:rPr>
          <w:rFonts w:eastAsia="Times New Roman" w:cs="Times New Roman"/>
          <w:color w:val="51626F"/>
        </w:rPr>
        <w:t>standard (status quo)</w:t>
      </w:r>
      <w:bookmarkEnd w:id="41"/>
      <w:bookmarkEnd w:id="42"/>
      <w:bookmarkEnd w:id="43"/>
      <w:bookmarkEnd w:id="44"/>
      <w:bookmarkEnd w:id="45"/>
      <w:bookmarkEnd w:id="46"/>
    </w:p>
    <w:p w14:paraId="1C04C245" w14:textId="416510C4" w:rsidR="00096FDA" w:rsidRPr="00D96972" w:rsidRDefault="00C9245E" w:rsidP="00E6110E">
      <w:pPr>
        <w:tabs>
          <w:tab w:val="left" w:pos="993"/>
        </w:tabs>
        <w:spacing w:before="240"/>
        <w:rPr>
          <w:rFonts w:cs="Arial"/>
          <w:b/>
        </w:rPr>
      </w:pPr>
      <w:r w:rsidRPr="00D96972">
        <w:rPr>
          <w:rFonts w:cs="Arial"/>
          <w:b/>
        </w:rPr>
        <w:t>Description</w:t>
      </w:r>
    </w:p>
    <w:p w14:paraId="51D4764B" w14:textId="4C349FD0" w:rsidR="00C9245E" w:rsidRPr="00D96972" w:rsidRDefault="00CA75F9" w:rsidP="00E6110E">
      <w:pPr>
        <w:spacing w:line="220" w:lineRule="atLeast"/>
        <w:rPr>
          <w:rFonts w:cs="Arial"/>
        </w:rPr>
      </w:pPr>
      <w:r w:rsidRPr="00D96972">
        <w:rPr>
          <w:rFonts w:cs="Arial"/>
        </w:rPr>
        <w:t xml:space="preserve">Under this option the information standard would continue to operate </w:t>
      </w:r>
      <w:r w:rsidR="00D41A0E" w:rsidRPr="00D96972">
        <w:rPr>
          <w:rFonts w:cs="Arial"/>
        </w:rPr>
        <w:t xml:space="preserve">in its current form </w:t>
      </w:r>
      <w:r w:rsidRPr="00D96972">
        <w:rPr>
          <w:rFonts w:cs="Arial"/>
        </w:rPr>
        <w:t>without amendment.</w:t>
      </w:r>
    </w:p>
    <w:p w14:paraId="2E7D6F0A" w14:textId="394EAC73" w:rsidR="00096FDA" w:rsidRPr="00D96972" w:rsidRDefault="005B37FB" w:rsidP="00E6110E">
      <w:pPr>
        <w:tabs>
          <w:tab w:val="left" w:pos="993"/>
        </w:tabs>
        <w:spacing w:before="240"/>
        <w:rPr>
          <w:rFonts w:cs="Arial"/>
          <w:b/>
        </w:rPr>
      </w:pPr>
      <w:r w:rsidRPr="00D96972">
        <w:rPr>
          <w:rFonts w:cs="Arial"/>
          <w:b/>
        </w:rPr>
        <w:t>Benefits</w:t>
      </w:r>
    </w:p>
    <w:p w14:paraId="46972BEC" w14:textId="534CCB76" w:rsidR="00CA75F9" w:rsidRPr="00D96972" w:rsidRDefault="007C0003" w:rsidP="001E6247">
      <w:pPr>
        <w:spacing w:line="220" w:lineRule="atLeast"/>
        <w:rPr>
          <w:rFonts w:cs="Arial"/>
        </w:rPr>
      </w:pPr>
      <w:r w:rsidRPr="00D96972">
        <w:rPr>
          <w:rFonts w:cs="Arial"/>
        </w:rPr>
        <w:t xml:space="preserve">Consumers </w:t>
      </w:r>
      <w:r w:rsidR="005B37FB" w:rsidRPr="00D96972">
        <w:rPr>
          <w:rFonts w:cs="Arial"/>
        </w:rPr>
        <w:t xml:space="preserve">would </w:t>
      </w:r>
      <w:r w:rsidRPr="00D96972">
        <w:rPr>
          <w:rFonts w:cs="Arial"/>
        </w:rPr>
        <w:t>continue to have access to</w:t>
      </w:r>
      <w:r w:rsidR="00CA75F9" w:rsidRPr="00D96972">
        <w:rPr>
          <w:rFonts w:cs="Arial"/>
        </w:rPr>
        <w:t xml:space="preserve"> information about</w:t>
      </w:r>
      <w:r w:rsidRPr="00D96972">
        <w:rPr>
          <w:rFonts w:cs="Arial"/>
        </w:rPr>
        <w:t xml:space="preserve"> cosmetics </w:t>
      </w:r>
      <w:r w:rsidR="00CA75F9" w:rsidRPr="00D96972">
        <w:rPr>
          <w:rFonts w:cs="Arial"/>
        </w:rPr>
        <w:t xml:space="preserve">which would permit them to avoid known allergens, irritants or potentially harmful chemicals. Information would continue to be available to health care professionals to facilitate patient diagnosis and presentations to the health care system would continue to be minimised. This option also </w:t>
      </w:r>
      <w:r w:rsidR="002C07A5" w:rsidRPr="00D96972">
        <w:rPr>
          <w:rFonts w:cs="Arial"/>
        </w:rPr>
        <w:t>provides</w:t>
      </w:r>
      <w:r w:rsidR="00CA75F9" w:rsidRPr="00D96972">
        <w:rPr>
          <w:rFonts w:cs="Arial"/>
        </w:rPr>
        <w:t xml:space="preserve"> manufacturers</w:t>
      </w:r>
      <w:r w:rsidR="002C07A5" w:rsidRPr="00D96972">
        <w:rPr>
          <w:rFonts w:cs="Arial"/>
        </w:rPr>
        <w:t xml:space="preserve"> and other </w:t>
      </w:r>
      <w:r w:rsidR="002C46C8" w:rsidRPr="00D96972">
        <w:rPr>
          <w:rFonts w:cs="Arial"/>
        </w:rPr>
        <w:t>industry</w:t>
      </w:r>
      <w:r w:rsidR="002C07A5" w:rsidRPr="00D96972">
        <w:rPr>
          <w:rFonts w:cs="Arial"/>
        </w:rPr>
        <w:t xml:space="preserve"> participants with a known, consistent and understood regulatory framework</w:t>
      </w:r>
      <w:r w:rsidR="003D1B07" w:rsidRPr="00D96972">
        <w:rPr>
          <w:rFonts w:cs="Arial"/>
        </w:rPr>
        <w:t>.</w:t>
      </w:r>
    </w:p>
    <w:p w14:paraId="12CD1A93" w14:textId="77777777" w:rsidR="00096FDA" w:rsidRPr="00CF6E24" w:rsidRDefault="005B37FB" w:rsidP="00466B4F">
      <w:pPr>
        <w:keepNext/>
        <w:tabs>
          <w:tab w:val="left" w:pos="993"/>
        </w:tabs>
        <w:spacing w:before="240"/>
        <w:rPr>
          <w:rFonts w:cs="Arial"/>
          <w:b/>
        </w:rPr>
      </w:pPr>
      <w:r w:rsidRPr="00D96972">
        <w:rPr>
          <w:rFonts w:cs="Arial"/>
          <w:b/>
        </w:rPr>
        <w:t>Limitations</w:t>
      </w:r>
    </w:p>
    <w:p w14:paraId="0CA641ED" w14:textId="0C55CF99" w:rsidR="009C6EC0" w:rsidRPr="00244BDE" w:rsidRDefault="00803AF8" w:rsidP="001E6247">
      <w:pPr>
        <w:spacing w:line="220" w:lineRule="atLeast"/>
        <w:rPr>
          <w:rFonts w:cs="Arial"/>
        </w:rPr>
      </w:pPr>
      <w:r>
        <w:rPr>
          <w:rFonts w:cs="Arial"/>
        </w:rPr>
        <w:t>T</w:t>
      </w:r>
      <w:r w:rsidR="003D1B07">
        <w:rPr>
          <w:rFonts w:cs="Arial"/>
        </w:rPr>
        <w:t>his option</w:t>
      </w:r>
      <w:r w:rsidR="007375B8">
        <w:rPr>
          <w:rFonts w:cs="Arial"/>
        </w:rPr>
        <w:t xml:space="preserve"> may result in</w:t>
      </w:r>
      <w:r w:rsidR="003D1B07">
        <w:rPr>
          <w:rFonts w:cs="Arial"/>
        </w:rPr>
        <w:t xml:space="preserve"> greater compliance costs for manufacturers, exporters and suppliers that would otherwise seek to achieve compliance through reference to an overseas standard</w:t>
      </w:r>
      <w:r>
        <w:rPr>
          <w:rFonts w:cs="Arial"/>
        </w:rPr>
        <w:t xml:space="preserve"> (</w:t>
      </w:r>
      <w:r w:rsidR="003A58B3">
        <w:rPr>
          <w:rFonts w:cs="Arial"/>
        </w:rPr>
        <w:t>o</w:t>
      </w:r>
      <w:r>
        <w:rPr>
          <w:rFonts w:cs="Arial"/>
        </w:rPr>
        <w:t>ption 3)</w:t>
      </w:r>
      <w:r w:rsidR="003D1B07">
        <w:rPr>
          <w:rFonts w:cs="Arial"/>
        </w:rPr>
        <w:t>. This may result in consumer detriment where</w:t>
      </w:r>
      <w:r w:rsidR="003C4E18">
        <w:rPr>
          <w:rFonts w:cs="Arial"/>
        </w:rPr>
        <w:t xml:space="preserve"> such costs were passed to the consumer and resulted in</w:t>
      </w:r>
      <w:r w:rsidR="007375B8">
        <w:rPr>
          <w:rFonts w:cs="Arial"/>
        </w:rPr>
        <w:t xml:space="preserve"> more expensive products</w:t>
      </w:r>
      <w:r w:rsidR="003C4E18">
        <w:rPr>
          <w:rFonts w:cs="Arial"/>
        </w:rPr>
        <w:t>. This option may also result in</w:t>
      </w:r>
      <w:r w:rsidR="007375B8" w:rsidRPr="00244BDE">
        <w:rPr>
          <w:rFonts w:cs="Arial"/>
        </w:rPr>
        <w:t xml:space="preserve"> cosmetic product</w:t>
      </w:r>
      <w:r w:rsidR="002C46C8">
        <w:rPr>
          <w:rFonts w:cs="Arial"/>
        </w:rPr>
        <w:t>s</w:t>
      </w:r>
      <w:r w:rsidR="007375B8" w:rsidRPr="00244BDE">
        <w:rPr>
          <w:rFonts w:cs="Arial"/>
        </w:rPr>
        <w:t xml:space="preserve"> not being supplied </w:t>
      </w:r>
      <w:r w:rsidR="002C46C8">
        <w:rPr>
          <w:rFonts w:cs="Arial"/>
        </w:rPr>
        <w:t>to</w:t>
      </w:r>
      <w:r w:rsidR="007375B8" w:rsidRPr="00244BDE">
        <w:rPr>
          <w:rFonts w:cs="Arial"/>
        </w:rPr>
        <w:t xml:space="preserve"> the Austra</w:t>
      </w:r>
      <w:r w:rsidR="009C6EC0" w:rsidRPr="00244BDE">
        <w:rPr>
          <w:rFonts w:cs="Arial"/>
        </w:rPr>
        <w:t>lian market</w:t>
      </w:r>
      <w:r w:rsidR="003C4E18">
        <w:rPr>
          <w:rFonts w:cs="Arial"/>
        </w:rPr>
        <w:t xml:space="preserve"> where additional compliance costs </w:t>
      </w:r>
      <w:r w:rsidR="00D96972">
        <w:rPr>
          <w:rFonts w:cs="Arial"/>
        </w:rPr>
        <w:t>are</w:t>
      </w:r>
      <w:r w:rsidR="003C4E18">
        <w:rPr>
          <w:rFonts w:cs="Arial"/>
        </w:rPr>
        <w:t xml:space="preserve"> greater than returns to suppliers</w:t>
      </w:r>
      <w:r w:rsidR="00A55273">
        <w:rPr>
          <w:rFonts w:cs="Arial"/>
        </w:rPr>
        <w:t>.</w:t>
      </w:r>
    </w:p>
    <w:p w14:paraId="2E1DB5E0" w14:textId="24004CA8" w:rsidR="002C46C8" w:rsidRPr="000A09E3" w:rsidRDefault="003C4E18" w:rsidP="006A7B5F">
      <w:pPr>
        <w:pStyle w:val="Heading2"/>
        <w:rPr>
          <w:rFonts w:cs="Arial"/>
          <w:color w:val="auto"/>
          <w:sz w:val="22"/>
          <w:szCs w:val="22"/>
        </w:rPr>
      </w:pPr>
      <w:r>
        <w:rPr>
          <w:rFonts w:cs="Arial"/>
          <w:color w:val="auto"/>
          <w:sz w:val="22"/>
          <w:szCs w:val="22"/>
        </w:rPr>
        <w:t>This option would</w:t>
      </w:r>
      <w:r w:rsidR="009C6EC0" w:rsidRPr="000A09E3">
        <w:rPr>
          <w:rFonts w:cs="Arial"/>
          <w:color w:val="auto"/>
          <w:sz w:val="22"/>
          <w:szCs w:val="22"/>
        </w:rPr>
        <w:t xml:space="preserve"> </w:t>
      </w:r>
      <w:r>
        <w:rPr>
          <w:rFonts w:cs="Arial"/>
          <w:color w:val="auto"/>
          <w:sz w:val="22"/>
          <w:szCs w:val="22"/>
        </w:rPr>
        <w:t xml:space="preserve">not facilitate the </w:t>
      </w:r>
      <w:r w:rsidR="00D96972">
        <w:rPr>
          <w:rFonts w:cs="Arial"/>
          <w:color w:val="auto"/>
          <w:sz w:val="22"/>
          <w:szCs w:val="22"/>
        </w:rPr>
        <w:t>disclosure</w:t>
      </w:r>
      <w:r>
        <w:rPr>
          <w:rFonts w:cs="Arial"/>
          <w:color w:val="auto"/>
          <w:sz w:val="22"/>
          <w:szCs w:val="22"/>
        </w:rPr>
        <w:t xml:space="preserve"> of </w:t>
      </w:r>
      <w:r w:rsidR="00D96972">
        <w:rPr>
          <w:rFonts w:cs="Arial"/>
          <w:color w:val="auto"/>
          <w:sz w:val="22"/>
          <w:szCs w:val="22"/>
        </w:rPr>
        <w:t xml:space="preserve">ingredients </w:t>
      </w:r>
      <w:r>
        <w:rPr>
          <w:rFonts w:cs="Arial"/>
          <w:color w:val="auto"/>
          <w:sz w:val="22"/>
          <w:szCs w:val="22"/>
        </w:rPr>
        <w:t>information</w:t>
      </w:r>
      <w:r w:rsidR="009C6EC0" w:rsidRPr="000A09E3">
        <w:rPr>
          <w:rFonts w:cs="Arial"/>
          <w:color w:val="auto"/>
          <w:sz w:val="22"/>
          <w:szCs w:val="22"/>
        </w:rPr>
        <w:t xml:space="preserve"> to consumers purchasing </w:t>
      </w:r>
      <w:r w:rsidR="00D96972">
        <w:rPr>
          <w:rFonts w:cs="Arial"/>
          <w:color w:val="auto"/>
          <w:sz w:val="22"/>
          <w:szCs w:val="22"/>
        </w:rPr>
        <w:t xml:space="preserve">online, or allow access to certain information </w:t>
      </w:r>
      <w:r>
        <w:rPr>
          <w:rFonts w:cs="Arial"/>
          <w:color w:val="auto"/>
          <w:sz w:val="22"/>
          <w:szCs w:val="22"/>
        </w:rPr>
        <w:t xml:space="preserve">already </w:t>
      </w:r>
      <w:r w:rsidR="00D96972">
        <w:rPr>
          <w:rFonts w:cs="Arial"/>
          <w:color w:val="auto"/>
          <w:sz w:val="22"/>
          <w:szCs w:val="22"/>
        </w:rPr>
        <w:t>available</w:t>
      </w:r>
      <w:r>
        <w:rPr>
          <w:rFonts w:cs="Arial"/>
          <w:color w:val="auto"/>
          <w:sz w:val="22"/>
          <w:szCs w:val="22"/>
        </w:rPr>
        <w:t xml:space="preserve"> to consumers in overseas markets </w:t>
      </w:r>
      <w:r w:rsidR="00D96972">
        <w:rPr>
          <w:rFonts w:cs="Arial"/>
          <w:color w:val="auto"/>
          <w:sz w:val="22"/>
          <w:szCs w:val="22"/>
        </w:rPr>
        <w:t>(e.g.</w:t>
      </w:r>
      <w:r>
        <w:rPr>
          <w:rFonts w:cs="Arial"/>
          <w:color w:val="auto"/>
          <w:sz w:val="22"/>
          <w:szCs w:val="22"/>
        </w:rPr>
        <w:t xml:space="preserve"> </w:t>
      </w:r>
      <w:r w:rsidR="009C6EC0" w:rsidRPr="000A09E3">
        <w:rPr>
          <w:rFonts w:cs="Arial"/>
          <w:color w:val="auto"/>
          <w:sz w:val="22"/>
          <w:szCs w:val="22"/>
        </w:rPr>
        <w:t>nanomaterials</w:t>
      </w:r>
      <w:r>
        <w:rPr>
          <w:rFonts w:cs="Arial"/>
          <w:color w:val="auto"/>
          <w:sz w:val="22"/>
          <w:szCs w:val="22"/>
        </w:rPr>
        <w:t xml:space="preserve"> and expiry dates</w:t>
      </w:r>
      <w:r w:rsidR="00D96972">
        <w:rPr>
          <w:rFonts w:cs="Arial"/>
          <w:color w:val="auto"/>
          <w:sz w:val="22"/>
          <w:szCs w:val="22"/>
        </w:rPr>
        <w:t>)</w:t>
      </w:r>
      <w:r>
        <w:rPr>
          <w:rFonts w:cs="Arial"/>
          <w:color w:val="auto"/>
          <w:sz w:val="22"/>
          <w:szCs w:val="22"/>
        </w:rPr>
        <w:t>.</w:t>
      </w:r>
    </w:p>
    <w:p w14:paraId="247B9079" w14:textId="77777777" w:rsidR="006B72C9" w:rsidRDefault="003A58B3" w:rsidP="00803AF8">
      <w:pPr>
        <w:pStyle w:val="Heading2"/>
        <w:rPr>
          <w:rFonts w:cs="Arial"/>
          <w:color w:val="auto"/>
          <w:sz w:val="22"/>
          <w:szCs w:val="22"/>
        </w:rPr>
      </w:pPr>
      <w:r>
        <w:rPr>
          <w:rFonts w:cs="Arial"/>
          <w:color w:val="auto"/>
          <w:sz w:val="22"/>
          <w:szCs w:val="22"/>
        </w:rPr>
        <w:t>M</w:t>
      </w:r>
      <w:r w:rsidR="00F911CC" w:rsidRPr="000A09E3">
        <w:rPr>
          <w:rFonts w:cs="Arial"/>
          <w:color w:val="auto"/>
          <w:sz w:val="22"/>
          <w:szCs w:val="22"/>
        </w:rPr>
        <w:t xml:space="preserve">aintaining </w:t>
      </w:r>
      <w:r w:rsidR="00C9245E" w:rsidRPr="000A09E3">
        <w:rPr>
          <w:rFonts w:cs="Arial"/>
          <w:color w:val="auto"/>
          <w:sz w:val="22"/>
          <w:szCs w:val="22"/>
        </w:rPr>
        <w:t>the</w:t>
      </w:r>
      <w:r w:rsidR="000C6900" w:rsidRPr="000A09E3">
        <w:rPr>
          <w:rFonts w:cs="Arial"/>
          <w:color w:val="auto"/>
          <w:sz w:val="22"/>
          <w:szCs w:val="22"/>
        </w:rPr>
        <w:t xml:space="preserve"> information</w:t>
      </w:r>
      <w:r w:rsidR="00C9245E" w:rsidRPr="000A09E3">
        <w:rPr>
          <w:rFonts w:cs="Arial"/>
          <w:color w:val="auto"/>
          <w:sz w:val="22"/>
          <w:szCs w:val="22"/>
        </w:rPr>
        <w:t xml:space="preserve"> standard</w:t>
      </w:r>
      <w:r w:rsidR="000C6900" w:rsidRPr="000A09E3">
        <w:rPr>
          <w:rFonts w:cs="Arial"/>
          <w:color w:val="auto"/>
          <w:sz w:val="22"/>
          <w:szCs w:val="22"/>
        </w:rPr>
        <w:t xml:space="preserve"> in its current form</w:t>
      </w:r>
      <w:r w:rsidR="00C9245E" w:rsidRPr="000A09E3">
        <w:rPr>
          <w:rFonts w:cs="Arial"/>
          <w:color w:val="auto"/>
          <w:sz w:val="22"/>
          <w:szCs w:val="22"/>
        </w:rPr>
        <w:t xml:space="preserve"> would not address the </w:t>
      </w:r>
      <w:r w:rsidR="00D96972">
        <w:rPr>
          <w:rFonts w:cs="Arial"/>
          <w:color w:val="auto"/>
          <w:sz w:val="22"/>
          <w:szCs w:val="22"/>
        </w:rPr>
        <w:t>issue</w:t>
      </w:r>
      <w:r w:rsidR="000E20E9" w:rsidRPr="000A09E3">
        <w:rPr>
          <w:rFonts w:cs="Arial"/>
          <w:color w:val="auto"/>
          <w:sz w:val="22"/>
          <w:szCs w:val="22"/>
        </w:rPr>
        <w:t xml:space="preserve"> </w:t>
      </w:r>
      <w:r w:rsidR="00D96972">
        <w:rPr>
          <w:rFonts w:cs="Arial"/>
          <w:color w:val="auto"/>
          <w:sz w:val="22"/>
          <w:szCs w:val="22"/>
        </w:rPr>
        <w:t>of children’s cosmetic suppliers</w:t>
      </w:r>
      <w:r w:rsidR="002C46C8" w:rsidRPr="000A09E3">
        <w:rPr>
          <w:rFonts w:cs="Arial"/>
          <w:color w:val="auto"/>
          <w:sz w:val="22"/>
          <w:szCs w:val="22"/>
        </w:rPr>
        <w:t xml:space="preserve"> </w:t>
      </w:r>
      <w:r w:rsidR="009C6EC0" w:rsidRPr="000A09E3">
        <w:rPr>
          <w:rFonts w:cs="Arial"/>
          <w:color w:val="auto"/>
          <w:sz w:val="22"/>
          <w:szCs w:val="22"/>
        </w:rPr>
        <w:t xml:space="preserve">inadvertently </w:t>
      </w:r>
      <w:r w:rsidR="000E20E9" w:rsidRPr="000A09E3">
        <w:rPr>
          <w:rFonts w:cs="Arial"/>
          <w:color w:val="auto"/>
          <w:sz w:val="22"/>
          <w:szCs w:val="22"/>
        </w:rPr>
        <w:t>failing to provide ingredient</w:t>
      </w:r>
      <w:r w:rsidR="002C46C8" w:rsidRPr="000A09E3">
        <w:rPr>
          <w:rFonts w:cs="Arial"/>
          <w:color w:val="auto"/>
          <w:sz w:val="22"/>
          <w:szCs w:val="22"/>
        </w:rPr>
        <w:t xml:space="preserve"> information </w:t>
      </w:r>
      <w:r w:rsidR="000C6900" w:rsidRPr="000A09E3">
        <w:rPr>
          <w:rFonts w:cs="Arial"/>
          <w:color w:val="auto"/>
          <w:sz w:val="22"/>
          <w:szCs w:val="22"/>
        </w:rPr>
        <w:t xml:space="preserve">where they </w:t>
      </w:r>
      <w:r w:rsidR="009C6EC0" w:rsidRPr="000A09E3">
        <w:rPr>
          <w:rFonts w:cs="Arial"/>
          <w:color w:val="auto"/>
          <w:sz w:val="22"/>
          <w:szCs w:val="22"/>
        </w:rPr>
        <w:t>are</w:t>
      </w:r>
      <w:r w:rsidR="000C6900" w:rsidRPr="000A09E3">
        <w:rPr>
          <w:rFonts w:cs="Arial"/>
          <w:color w:val="auto"/>
          <w:sz w:val="22"/>
          <w:szCs w:val="22"/>
        </w:rPr>
        <w:t xml:space="preserve"> </w:t>
      </w:r>
      <w:r w:rsidR="002C46C8" w:rsidRPr="000A09E3">
        <w:rPr>
          <w:rFonts w:cs="Arial"/>
          <w:color w:val="auto"/>
          <w:sz w:val="22"/>
          <w:szCs w:val="22"/>
        </w:rPr>
        <w:t>un</w:t>
      </w:r>
      <w:r w:rsidR="000C6900" w:rsidRPr="000A09E3">
        <w:rPr>
          <w:rFonts w:cs="Arial"/>
          <w:color w:val="auto"/>
          <w:sz w:val="22"/>
          <w:szCs w:val="22"/>
        </w:rPr>
        <w:t>aware of their obligations</w:t>
      </w:r>
      <w:r w:rsidR="000E20E9" w:rsidRPr="000A09E3">
        <w:rPr>
          <w:rFonts w:cs="Arial"/>
          <w:color w:val="auto"/>
          <w:sz w:val="22"/>
          <w:szCs w:val="22"/>
        </w:rPr>
        <w:t>.</w:t>
      </w:r>
      <w:r w:rsidR="003C4E18">
        <w:rPr>
          <w:rFonts w:cs="Arial"/>
          <w:color w:val="auto"/>
          <w:sz w:val="22"/>
          <w:szCs w:val="22"/>
        </w:rPr>
        <w:t xml:space="preserve"> </w:t>
      </w:r>
    </w:p>
    <w:p w14:paraId="6203AF5B" w14:textId="3D23E100" w:rsidR="003C4E18" w:rsidRPr="00803AF8" w:rsidRDefault="003C4E18" w:rsidP="00803AF8">
      <w:pPr>
        <w:pStyle w:val="Heading2"/>
        <w:rPr>
          <w:rFonts w:cs="Arial"/>
          <w:color w:val="auto"/>
          <w:sz w:val="22"/>
          <w:szCs w:val="22"/>
        </w:rPr>
      </w:pPr>
      <w:r>
        <w:rPr>
          <w:rFonts w:cs="Arial"/>
          <w:color w:val="auto"/>
          <w:sz w:val="22"/>
          <w:szCs w:val="22"/>
        </w:rPr>
        <w:t xml:space="preserve">Our preliminary assessment is that this option would result </w:t>
      </w:r>
      <w:bookmarkStart w:id="47" w:name="_Toc529889560"/>
      <w:bookmarkStart w:id="48" w:name="_Toc530142498"/>
      <w:bookmarkStart w:id="49" w:name="_Toc530559854"/>
      <w:bookmarkStart w:id="50" w:name="_Toc531346516"/>
      <w:bookmarkStart w:id="51" w:name="_Toc532980648"/>
      <w:bookmarkStart w:id="52" w:name="_Toc534613892"/>
      <w:r w:rsidR="00A55273">
        <w:rPr>
          <w:rFonts w:cs="Arial"/>
          <w:color w:val="auto"/>
          <w:sz w:val="22"/>
          <w:szCs w:val="22"/>
        </w:rPr>
        <w:t>in a net cost to the community.</w:t>
      </w:r>
    </w:p>
    <w:p w14:paraId="7518A4AC" w14:textId="2E9F50B7" w:rsidR="00DB0567" w:rsidRPr="006A7B5F" w:rsidRDefault="00856856" w:rsidP="006A7B5F">
      <w:pPr>
        <w:pStyle w:val="Heading2"/>
        <w:rPr>
          <w:rFonts w:eastAsia="Times New Roman" w:cs="Times New Roman"/>
          <w:color w:val="51626F"/>
        </w:rPr>
      </w:pPr>
      <w:r w:rsidRPr="006A7B5F">
        <w:rPr>
          <w:rFonts w:eastAsia="Times New Roman" w:cs="Times New Roman"/>
          <w:color w:val="51626F"/>
        </w:rPr>
        <w:t xml:space="preserve">Option 2 – Amend the </w:t>
      </w:r>
      <w:r w:rsidR="00F47DF1">
        <w:rPr>
          <w:rFonts w:eastAsia="Times New Roman" w:cs="Times New Roman"/>
          <w:color w:val="51626F"/>
        </w:rPr>
        <w:t xml:space="preserve">information </w:t>
      </w:r>
      <w:r w:rsidRPr="006A7B5F">
        <w:rPr>
          <w:rFonts w:eastAsia="Times New Roman" w:cs="Times New Roman"/>
          <w:color w:val="51626F"/>
        </w:rPr>
        <w:t>standard</w:t>
      </w:r>
      <w:bookmarkEnd w:id="47"/>
      <w:bookmarkEnd w:id="48"/>
      <w:bookmarkEnd w:id="49"/>
      <w:bookmarkEnd w:id="50"/>
      <w:bookmarkEnd w:id="51"/>
      <w:bookmarkEnd w:id="52"/>
    </w:p>
    <w:p w14:paraId="79ADFE61" w14:textId="77777777" w:rsidR="00DB0567" w:rsidRPr="001E6247" w:rsidRDefault="003A7C09" w:rsidP="001E6247">
      <w:pPr>
        <w:tabs>
          <w:tab w:val="left" w:pos="993"/>
        </w:tabs>
        <w:spacing w:before="240"/>
        <w:rPr>
          <w:rFonts w:cs="Arial"/>
          <w:b/>
        </w:rPr>
      </w:pPr>
      <w:r w:rsidRPr="001E6247">
        <w:rPr>
          <w:rFonts w:cs="Arial"/>
          <w:b/>
        </w:rPr>
        <w:t>Description</w:t>
      </w:r>
    </w:p>
    <w:p w14:paraId="5E1846A0" w14:textId="19B9DD02" w:rsidR="004A5F97" w:rsidRDefault="0021451A" w:rsidP="001E6247">
      <w:pPr>
        <w:spacing w:line="220" w:lineRule="atLeast"/>
      </w:pPr>
      <w:r>
        <w:t xml:space="preserve">This option would </w:t>
      </w:r>
      <w:r w:rsidR="003C4E18">
        <w:t>make a new</w:t>
      </w:r>
      <w:r w:rsidR="00381ECD">
        <w:t xml:space="preserve"> </w:t>
      </w:r>
      <w:r w:rsidR="00481AFF">
        <w:t xml:space="preserve">information </w:t>
      </w:r>
      <w:r w:rsidR="00587D52">
        <w:t>standard to</w:t>
      </w:r>
      <w:r w:rsidR="004A5F97">
        <w:t>:</w:t>
      </w:r>
    </w:p>
    <w:p w14:paraId="32F52E80" w14:textId="681E1D9D" w:rsidR="00B542A6" w:rsidRDefault="00C373CD" w:rsidP="00594565">
      <w:pPr>
        <w:pStyle w:val="ListParagraph"/>
        <w:numPr>
          <w:ilvl w:val="0"/>
          <w:numId w:val="65"/>
        </w:numPr>
        <w:spacing w:line="220" w:lineRule="atLeast"/>
        <w:ind w:left="360"/>
      </w:pPr>
      <w:r>
        <w:t>R</w:t>
      </w:r>
      <w:r w:rsidR="00B542A6">
        <w:t xml:space="preserve">equire the disclosure of nanomaterials in the </w:t>
      </w:r>
      <w:r w:rsidR="00CE3CE5">
        <w:t>ingredient information</w:t>
      </w:r>
      <w:r>
        <w:t>.</w:t>
      </w:r>
    </w:p>
    <w:p w14:paraId="681FCA3D" w14:textId="380D4EFB" w:rsidR="00B542A6" w:rsidRDefault="00C373CD" w:rsidP="00594565">
      <w:pPr>
        <w:pStyle w:val="ListParagraph"/>
        <w:numPr>
          <w:ilvl w:val="0"/>
          <w:numId w:val="65"/>
        </w:numPr>
        <w:spacing w:line="220" w:lineRule="atLeast"/>
        <w:ind w:left="360"/>
      </w:pPr>
      <w:r>
        <w:t>R</w:t>
      </w:r>
      <w:r w:rsidR="00B542A6">
        <w:t>equire</w:t>
      </w:r>
      <w:r w:rsidR="00E37BE1">
        <w:t xml:space="preserve"> additional information on a cosmetic label </w:t>
      </w:r>
      <w:r w:rsidR="00B542A6">
        <w:t xml:space="preserve">to </w:t>
      </w:r>
      <w:r w:rsidR="00E37BE1">
        <w:t>includ</w:t>
      </w:r>
      <w:r w:rsidR="00B542A6">
        <w:t>e</w:t>
      </w:r>
      <w:r w:rsidR="006B72C9">
        <w:t xml:space="preserve"> the</w:t>
      </w:r>
      <w:r w:rsidR="00B542A6">
        <w:t>:</w:t>
      </w:r>
    </w:p>
    <w:p w14:paraId="27A6D435" w14:textId="076E302A" w:rsidR="00B542A6" w:rsidRDefault="00E37BE1" w:rsidP="000A09E3">
      <w:pPr>
        <w:pStyle w:val="ListParagraph"/>
        <w:numPr>
          <w:ilvl w:val="0"/>
          <w:numId w:val="75"/>
        </w:numPr>
        <w:spacing w:line="220" w:lineRule="atLeast"/>
      </w:pPr>
      <w:r>
        <w:t>name or registered name of the responsible person</w:t>
      </w:r>
    </w:p>
    <w:p w14:paraId="034044E4" w14:textId="1B4D32EE" w:rsidR="00B542A6" w:rsidRDefault="00E37BE1" w:rsidP="000A09E3">
      <w:pPr>
        <w:pStyle w:val="ListParagraph"/>
        <w:numPr>
          <w:ilvl w:val="0"/>
          <w:numId w:val="75"/>
        </w:numPr>
        <w:spacing w:line="220" w:lineRule="atLeast"/>
      </w:pPr>
      <w:r>
        <w:t>expiry date</w:t>
      </w:r>
    </w:p>
    <w:p w14:paraId="3DE46A14" w14:textId="73765D9F" w:rsidR="00B542A6" w:rsidRDefault="00E37BE1" w:rsidP="000A09E3">
      <w:pPr>
        <w:pStyle w:val="ListParagraph"/>
        <w:numPr>
          <w:ilvl w:val="0"/>
          <w:numId w:val="75"/>
        </w:numPr>
        <w:spacing w:line="220" w:lineRule="atLeast"/>
      </w:pPr>
      <w:r>
        <w:t>batch number of manufacture</w:t>
      </w:r>
    </w:p>
    <w:p w14:paraId="1E465235" w14:textId="314A4F10" w:rsidR="00E37BE1" w:rsidRDefault="00E37BE1" w:rsidP="000A09E3">
      <w:pPr>
        <w:pStyle w:val="ListParagraph"/>
        <w:numPr>
          <w:ilvl w:val="0"/>
          <w:numId w:val="75"/>
        </w:numPr>
        <w:spacing w:line="220" w:lineRule="atLeast"/>
      </w:pPr>
      <w:r>
        <w:t>function of a cosmetic product.</w:t>
      </w:r>
    </w:p>
    <w:p w14:paraId="07EDDE33" w14:textId="1F906E4C" w:rsidR="004A5F97" w:rsidRPr="00D64A10" w:rsidRDefault="00C373CD" w:rsidP="00F47DF1">
      <w:pPr>
        <w:pStyle w:val="ListParagraph"/>
        <w:numPr>
          <w:ilvl w:val="0"/>
          <w:numId w:val="65"/>
        </w:numPr>
        <w:spacing w:line="220" w:lineRule="atLeast"/>
        <w:ind w:left="360"/>
      </w:pPr>
      <w:r>
        <w:t>I</w:t>
      </w:r>
      <w:r w:rsidR="00381ECD">
        <w:t xml:space="preserve">nclude </w:t>
      </w:r>
      <w:r w:rsidR="003A7C09">
        <w:t xml:space="preserve">an explanatory note </w:t>
      </w:r>
      <w:r w:rsidR="00381ECD">
        <w:t xml:space="preserve">to make it clear that </w:t>
      </w:r>
      <w:r w:rsidR="004A5F97">
        <w:t>certain children’s</w:t>
      </w:r>
      <w:r w:rsidR="000E1045">
        <w:t xml:space="preserve"> </w:t>
      </w:r>
      <w:r w:rsidR="00F47DF1">
        <w:t xml:space="preserve">cosmetics </w:t>
      </w:r>
      <w:r w:rsidR="000E1045">
        <w:t xml:space="preserve">(e.g. </w:t>
      </w:r>
      <w:r w:rsidR="00FA7E76">
        <w:t xml:space="preserve">makeup, </w:t>
      </w:r>
      <w:r w:rsidR="003A7C09">
        <w:t xml:space="preserve">face </w:t>
      </w:r>
      <w:r w:rsidR="00FA7E76">
        <w:t>paint</w:t>
      </w:r>
      <w:r w:rsidR="00EF50F8">
        <w:t>s and</w:t>
      </w:r>
      <w:r w:rsidR="00FA7E76">
        <w:t xml:space="preserve"> temporary tattoos</w:t>
      </w:r>
      <w:r w:rsidR="000E1045">
        <w:t>)</w:t>
      </w:r>
      <w:r w:rsidR="004A5F97">
        <w:t xml:space="preserve"> are captured by the </w:t>
      </w:r>
      <w:r w:rsidR="00481AFF">
        <w:t xml:space="preserve">information </w:t>
      </w:r>
      <w:r w:rsidR="004A5F97" w:rsidRPr="00D64A10">
        <w:t>standard</w:t>
      </w:r>
      <w:r w:rsidR="00FA7E76" w:rsidRPr="00D64A10">
        <w:t>.</w:t>
      </w:r>
      <w:r w:rsidR="00821E43" w:rsidRPr="00D64A10">
        <w:t xml:space="preserve"> </w:t>
      </w:r>
      <w:r w:rsidR="004A5F97" w:rsidRPr="00D64A10">
        <w:t>For completeness an</w:t>
      </w:r>
      <w:r w:rsidR="00A16EAF" w:rsidRPr="00D64A10">
        <w:t xml:space="preserve"> explanatory note</w:t>
      </w:r>
      <w:r w:rsidR="004A5F97" w:rsidRPr="00D64A10">
        <w:t xml:space="preserve"> </w:t>
      </w:r>
      <w:r w:rsidR="003A58B3">
        <w:t>c</w:t>
      </w:r>
      <w:r w:rsidR="004A5F97" w:rsidRPr="00D64A10">
        <w:t xml:space="preserve">ould </w:t>
      </w:r>
      <w:r w:rsidR="00F47DF1">
        <w:t xml:space="preserve">also </w:t>
      </w:r>
      <w:r w:rsidR="004A5F97" w:rsidRPr="00D64A10">
        <w:t>be included</w:t>
      </w:r>
      <w:r w:rsidR="00A16EAF" w:rsidRPr="00D64A10">
        <w:t xml:space="preserve"> in</w:t>
      </w:r>
      <w:r w:rsidR="006C3366" w:rsidRPr="00D64A10">
        <w:t xml:space="preserve"> the</w:t>
      </w:r>
      <w:r w:rsidR="00A16EAF" w:rsidRPr="00D64A10">
        <w:t xml:space="preserve"> </w:t>
      </w:r>
      <w:r w:rsidR="00903AF5" w:rsidRPr="00D64A10">
        <w:t>relevant toy standards</w:t>
      </w:r>
      <w:r w:rsidR="006E6939">
        <w:t>.</w:t>
      </w:r>
    </w:p>
    <w:p w14:paraId="76BE475F" w14:textId="1A665726" w:rsidR="005966C7" w:rsidRPr="00D64A10" w:rsidRDefault="00C373CD" w:rsidP="00F47DF1">
      <w:pPr>
        <w:pStyle w:val="ListParagraph"/>
        <w:numPr>
          <w:ilvl w:val="0"/>
          <w:numId w:val="64"/>
        </w:numPr>
        <w:spacing w:line="220" w:lineRule="atLeast"/>
        <w:ind w:left="360"/>
      </w:pPr>
      <w:r>
        <w:lastRenderedPageBreak/>
        <w:t>R</w:t>
      </w:r>
      <w:r w:rsidR="004A5F97" w:rsidRPr="00D64A10">
        <w:t xml:space="preserve">equire </w:t>
      </w:r>
      <w:r w:rsidR="005966C7" w:rsidRPr="00D64A10">
        <w:t xml:space="preserve">suppliers </w:t>
      </w:r>
      <w:r w:rsidR="00C91EA9" w:rsidRPr="00D64A10">
        <w:t>of cosm</w:t>
      </w:r>
      <w:r w:rsidR="004A5F97" w:rsidRPr="00D64A10">
        <w:t>etics in the online marketplace to provide ingredient</w:t>
      </w:r>
      <w:r w:rsidR="005966C7" w:rsidRPr="00D64A10">
        <w:t xml:space="preserve"> information </w:t>
      </w:r>
      <w:r w:rsidR="006A2953" w:rsidRPr="00D64A10">
        <w:t xml:space="preserve">with </w:t>
      </w:r>
      <w:r w:rsidR="00C91EA9" w:rsidRPr="00D64A10">
        <w:t>the online listing of the</w:t>
      </w:r>
      <w:r w:rsidR="006A2953" w:rsidRPr="00D64A10">
        <w:t>ir</w:t>
      </w:r>
      <w:r w:rsidR="00C91EA9" w:rsidRPr="00D64A10">
        <w:t xml:space="preserve"> product</w:t>
      </w:r>
      <w:r w:rsidR="004A5F97" w:rsidRPr="00D64A10">
        <w:t>s</w:t>
      </w:r>
      <w:r w:rsidR="006A2953" w:rsidRPr="00D64A10">
        <w:t>.</w:t>
      </w:r>
    </w:p>
    <w:p w14:paraId="4C8E9FCC" w14:textId="690DC708" w:rsidR="000E2CAE" w:rsidRPr="001E6247" w:rsidRDefault="001D0310" w:rsidP="00F47DF1">
      <w:pPr>
        <w:keepNext/>
        <w:tabs>
          <w:tab w:val="left" w:pos="993"/>
        </w:tabs>
        <w:spacing w:before="240"/>
        <w:rPr>
          <w:rFonts w:cs="Arial"/>
          <w:b/>
        </w:rPr>
      </w:pPr>
      <w:r w:rsidRPr="005B37FB">
        <w:rPr>
          <w:rFonts w:cs="Arial"/>
          <w:b/>
        </w:rPr>
        <w:t>Benefits</w:t>
      </w:r>
    </w:p>
    <w:p w14:paraId="50D50EBE" w14:textId="24CAE0A9" w:rsidR="00C373CD" w:rsidRDefault="00FA7E76" w:rsidP="00E37BE1">
      <w:pPr>
        <w:rPr>
          <w:rFonts w:cs="Arial"/>
        </w:rPr>
      </w:pPr>
      <w:r>
        <w:rPr>
          <w:rFonts w:cs="Arial"/>
        </w:rPr>
        <w:t>Th</w:t>
      </w:r>
      <w:r w:rsidR="00381ECD">
        <w:rPr>
          <w:rFonts w:cs="Arial"/>
        </w:rPr>
        <w:t>is</w:t>
      </w:r>
      <w:r w:rsidR="000C6900">
        <w:rPr>
          <w:rFonts w:cs="Arial"/>
        </w:rPr>
        <w:t xml:space="preserve"> option includes the benefits detailed in </w:t>
      </w:r>
      <w:r w:rsidR="003A58B3">
        <w:rPr>
          <w:rFonts w:cs="Arial"/>
        </w:rPr>
        <w:t>o</w:t>
      </w:r>
      <w:r w:rsidR="000C6900">
        <w:rPr>
          <w:rFonts w:cs="Arial"/>
        </w:rPr>
        <w:t>ption 1</w:t>
      </w:r>
      <w:r w:rsidR="00C373CD">
        <w:rPr>
          <w:rFonts w:cs="Arial"/>
        </w:rPr>
        <w:t>.</w:t>
      </w:r>
    </w:p>
    <w:p w14:paraId="4EB07D15" w14:textId="42A045F1" w:rsidR="00E37BE1" w:rsidRPr="00C373CD" w:rsidRDefault="0082599E" w:rsidP="00E37BE1">
      <w:pPr>
        <w:rPr>
          <w:rFonts w:cs="Arial"/>
        </w:rPr>
      </w:pPr>
      <w:r>
        <w:rPr>
          <w:rFonts w:cs="Arial"/>
        </w:rPr>
        <w:t>Consumers would benefit from</w:t>
      </w:r>
      <w:r w:rsidR="000C6900">
        <w:rPr>
          <w:rFonts w:cs="Arial"/>
        </w:rPr>
        <w:t xml:space="preserve"> </w:t>
      </w:r>
      <w:r w:rsidR="00E37BE1">
        <w:rPr>
          <w:rFonts w:cs="Arial"/>
        </w:rPr>
        <w:t xml:space="preserve">additional information to </w:t>
      </w:r>
      <w:r w:rsidR="00EF49CF">
        <w:rPr>
          <w:rFonts w:cs="Arial"/>
        </w:rPr>
        <w:t xml:space="preserve">help </w:t>
      </w:r>
      <w:r w:rsidR="00F937AE">
        <w:rPr>
          <w:rFonts w:cs="Arial"/>
        </w:rPr>
        <w:t xml:space="preserve">inform purchasing decisions </w:t>
      </w:r>
      <w:r w:rsidR="00EF49CF">
        <w:rPr>
          <w:rFonts w:cs="Arial"/>
        </w:rPr>
        <w:t>through the disclosure of nanomaterials</w:t>
      </w:r>
      <w:r w:rsidR="00C373CD">
        <w:rPr>
          <w:rFonts w:cs="Arial"/>
        </w:rPr>
        <w:t xml:space="preserve"> </w:t>
      </w:r>
      <w:r w:rsidR="00EF49CF">
        <w:rPr>
          <w:rFonts w:cs="Arial"/>
        </w:rPr>
        <w:t>and making ingredient information available with online listings</w:t>
      </w:r>
      <w:r w:rsidR="00C373CD">
        <w:t xml:space="preserve">. </w:t>
      </w:r>
      <w:r w:rsidR="00E37BE1" w:rsidRPr="00D64A10">
        <w:t xml:space="preserve">This would </w:t>
      </w:r>
      <w:r w:rsidR="00E37BE1">
        <w:t>reduce</w:t>
      </w:r>
      <w:r w:rsidR="00E37BE1" w:rsidRPr="00D64A10">
        <w:t xml:space="preserve"> costs associated with returning </w:t>
      </w:r>
      <w:r w:rsidR="00EF49CF">
        <w:t>unwanted</w:t>
      </w:r>
      <w:r w:rsidR="00E37BE1" w:rsidRPr="00D64A10">
        <w:t xml:space="preserve"> product</w:t>
      </w:r>
      <w:r w:rsidR="00EF49CF">
        <w:t>s</w:t>
      </w:r>
      <w:r w:rsidR="00E37BE1" w:rsidRPr="00D64A10">
        <w:t xml:space="preserve"> to the supplier or </w:t>
      </w:r>
      <w:r w:rsidR="003A58B3">
        <w:t xml:space="preserve">through </w:t>
      </w:r>
      <w:r w:rsidR="00E37BE1" w:rsidRPr="00D64A10">
        <w:t>disposal</w:t>
      </w:r>
      <w:r w:rsidR="00E37BE1">
        <w:t>.</w:t>
      </w:r>
    </w:p>
    <w:p w14:paraId="0961B1B1" w14:textId="1FDBB5D4" w:rsidR="009170AF" w:rsidRDefault="00103E20" w:rsidP="009170AF">
      <w:r>
        <w:t>C</w:t>
      </w:r>
      <w:r w:rsidR="001D0310">
        <w:t>larify</w:t>
      </w:r>
      <w:r>
        <w:t>ing</w:t>
      </w:r>
      <w:r w:rsidR="001D0310">
        <w:t xml:space="preserve"> the scope of the </w:t>
      </w:r>
      <w:r w:rsidR="009170AF">
        <w:t xml:space="preserve">information </w:t>
      </w:r>
      <w:r w:rsidR="001D0310">
        <w:t>standard</w:t>
      </w:r>
      <w:r w:rsidR="007C0EF2">
        <w:t xml:space="preserve"> </w:t>
      </w:r>
      <w:r>
        <w:t>would lessen</w:t>
      </w:r>
      <w:r w:rsidR="000C6900">
        <w:t xml:space="preserve"> inadvertent non-compliance</w:t>
      </w:r>
      <w:r w:rsidR="003742DF">
        <w:t xml:space="preserve"> </w:t>
      </w:r>
      <w:r w:rsidR="007C0EF2">
        <w:t xml:space="preserve">where </w:t>
      </w:r>
      <w:r w:rsidR="003742DF">
        <w:t>suppliers</w:t>
      </w:r>
      <w:r w:rsidR="007C0EF2">
        <w:t xml:space="preserve"> of children’s cosmetics</w:t>
      </w:r>
      <w:r w:rsidR="003742DF">
        <w:t xml:space="preserve"> </w:t>
      </w:r>
      <w:r w:rsidR="000E2CAE">
        <w:t>mistakenly fail to provide ingredient information with products</w:t>
      </w:r>
      <w:r w:rsidR="00B31BBC">
        <w:t>.</w:t>
      </w:r>
      <w:r w:rsidR="00660620">
        <w:t xml:space="preserve"> </w:t>
      </w:r>
      <w:r w:rsidR="00D40CFC">
        <w:t>This</w:t>
      </w:r>
      <w:r w:rsidR="00660620">
        <w:t xml:space="preserve"> </w:t>
      </w:r>
      <w:r w:rsidR="00D40CFC">
        <w:t>may</w:t>
      </w:r>
      <w:r>
        <w:t xml:space="preserve"> also</w:t>
      </w:r>
      <w:r w:rsidR="00660620">
        <w:t xml:space="preserve"> reduce</w:t>
      </w:r>
      <w:r w:rsidR="00D40CFC">
        <w:t xml:space="preserve"> the </w:t>
      </w:r>
      <w:r w:rsidR="000C6900">
        <w:t>incidents</w:t>
      </w:r>
      <w:r w:rsidR="00D40CFC">
        <w:t xml:space="preserve"> of</w:t>
      </w:r>
      <w:r w:rsidR="00660620">
        <w:t xml:space="preserve"> injuries to children</w:t>
      </w:r>
      <w:r w:rsidR="00D40CFC">
        <w:t>, and subsequently reduce the cost to Australia’s health care system that arise when consumers seek treatment for a</w:t>
      </w:r>
      <w:r w:rsidR="00797878">
        <w:t>llergic reactions to cosmetics.</w:t>
      </w:r>
      <w:r w:rsidR="00EC75CE">
        <w:t xml:space="preserve"> It would also reduce compliance costs </w:t>
      </w:r>
      <w:r w:rsidR="007D4532">
        <w:t xml:space="preserve">for </w:t>
      </w:r>
      <w:r w:rsidR="00EC75CE">
        <w:t xml:space="preserve">suppliers that would otherwise have been </w:t>
      </w:r>
      <w:r w:rsidR="00D41A0E">
        <w:t xml:space="preserve">subject </w:t>
      </w:r>
      <w:r w:rsidR="00EF49CF">
        <w:t xml:space="preserve">to </w:t>
      </w:r>
      <w:r w:rsidR="00D41A0E">
        <w:t>a recall process.</w:t>
      </w:r>
    </w:p>
    <w:p w14:paraId="0C94B5E9" w14:textId="78DF1849" w:rsidR="000E2CAE" w:rsidRPr="00D64A10" w:rsidRDefault="003742DF" w:rsidP="00A435AA">
      <w:pPr>
        <w:keepNext/>
        <w:tabs>
          <w:tab w:val="left" w:pos="993"/>
        </w:tabs>
        <w:spacing w:before="240"/>
        <w:rPr>
          <w:rFonts w:cs="Arial"/>
          <w:b/>
        </w:rPr>
      </w:pPr>
      <w:r w:rsidRPr="00D64A10">
        <w:rPr>
          <w:rFonts w:cs="Arial"/>
          <w:b/>
        </w:rPr>
        <w:t>Limitations</w:t>
      </w:r>
    </w:p>
    <w:p w14:paraId="657F4C89" w14:textId="48078ADE" w:rsidR="0082599E" w:rsidRDefault="00246C6F" w:rsidP="007F120F">
      <w:pPr>
        <w:rPr>
          <w:rFonts w:cs="Arial"/>
        </w:rPr>
      </w:pPr>
      <w:r>
        <w:rPr>
          <w:rFonts w:cs="Arial"/>
        </w:rPr>
        <w:t>This</w:t>
      </w:r>
      <w:r w:rsidR="0082599E">
        <w:rPr>
          <w:rFonts w:cs="Arial"/>
        </w:rPr>
        <w:t xml:space="preserve"> option would appear to result in </w:t>
      </w:r>
      <w:r w:rsidR="00426C8C">
        <w:rPr>
          <w:rFonts w:cs="Arial"/>
        </w:rPr>
        <w:t>higher</w:t>
      </w:r>
      <w:r w:rsidR="0082599E">
        <w:rPr>
          <w:rFonts w:cs="Arial"/>
        </w:rPr>
        <w:t xml:space="preserve"> compliance costs to manufacturers, suppliers and exporters where those entities </w:t>
      </w:r>
      <w:r w:rsidR="00A346B0">
        <w:rPr>
          <w:rFonts w:cs="Arial"/>
        </w:rPr>
        <w:t xml:space="preserve">could have achieved </w:t>
      </w:r>
      <w:r w:rsidR="0082599E">
        <w:rPr>
          <w:rFonts w:cs="Arial"/>
        </w:rPr>
        <w:t>compliance through reference to</w:t>
      </w:r>
      <w:r w:rsidR="00A346B0">
        <w:rPr>
          <w:rFonts w:cs="Arial"/>
        </w:rPr>
        <w:t xml:space="preserve"> an overseas standard. As with </w:t>
      </w:r>
      <w:r w:rsidR="00F01470">
        <w:rPr>
          <w:rFonts w:cs="Arial"/>
        </w:rPr>
        <w:t>o</w:t>
      </w:r>
      <w:r w:rsidR="0082599E">
        <w:rPr>
          <w:rFonts w:cs="Arial"/>
        </w:rPr>
        <w:t>ption 1</w:t>
      </w:r>
      <w:r w:rsidR="00A346B0">
        <w:rPr>
          <w:rFonts w:cs="Arial"/>
        </w:rPr>
        <w:t>,</w:t>
      </w:r>
      <w:r w:rsidR="006E7266">
        <w:rPr>
          <w:rFonts w:cs="Arial"/>
        </w:rPr>
        <w:t xml:space="preserve"> there would be </w:t>
      </w:r>
      <w:r w:rsidR="00426C8C">
        <w:rPr>
          <w:rFonts w:cs="Arial"/>
        </w:rPr>
        <w:t xml:space="preserve">some </w:t>
      </w:r>
      <w:r w:rsidR="006E7266">
        <w:rPr>
          <w:rFonts w:cs="Arial"/>
        </w:rPr>
        <w:t>consumer detriment where higher compliance costs resulted in more expensiv</w:t>
      </w:r>
      <w:r w:rsidR="00A55273">
        <w:rPr>
          <w:rFonts w:cs="Arial"/>
        </w:rPr>
        <w:t>e products or their non-supply.</w:t>
      </w:r>
    </w:p>
    <w:p w14:paraId="0BFAFC46" w14:textId="01F46AC4" w:rsidR="00DE74A9" w:rsidRDefault="00DE74A9" w:rsidP="007F120F">
      <w:pPr>
        <w:rPr>
          <w:rFonts w:cs="Arial"/>
        </w:rPr>
      </w:pPr>
      <w:r>
        <w:rPr>
          <w:rFonts w:cs="Arial"/>
        </w:rPr>
        <w:t xml:space="preserve">Costs would accrue to label redesign and the production of new label templates, although these would appear to be a one-off cost. Ongoing printing costs for redesigned labels would likely be the same as costs under the current information standard. These costs could be addressed through permitting compliance </w:t>
      </w:r>
      <w:r w:rsidR="00C828E6">
        <w:rPr>
          <w:rFonts w:cs="Arial"/>
        </w:rPr>
        <w:t>with</w:t>
      </w:r>
      <w:r w:rsidR="00A55273">
        <w:rPr>
          <w:rFonts w:cs="Arial"/>
        </w:rPr>
        <w:t xml:space="preserve"> overseas standards.</w:t>
      </w:r>
    </w:p>
    <w:p w14:paraId="62700987" w14:textId="09EACAC5" w:rsidR="007F120F" w:rsidRPr="00D64A10" w:rsidRDefault="006E7266" w:rsidP="007F120F">
      <w:pPr>
        <w:rPr>
          <w:rFonts w:cs="Arial"/>
        </w:rPr>
      </w:pPr>
      <w:r>
        <w:rPr>
          <w:rFonts w:cs="Arial"/>
        </w:rPr>
        <w:t>This option may</w:t>
      </w:r>
      <w:r w:rsidR="00DE74A9">
        <w:rPr>
          <w:rFonts w:cs="Arial"/>
        </w:rPr>
        <w:t xml:space="preserve"> also</w:t>
      </w:r>
      <w:r>
        <w:rPr>
          <w:rFonts w:cs="Arial"/>
        </w:rPr>
        <w:t xml:space="preserve"> result in </w:t>
      </w:r>
      <w:r w:rsidR="00C828E6">
        <w:rPr>
          <w:rFonts w:cs="Arial"/>
        </w:rPr>
        <w:t>additional</w:t>
      </w:r>
      <w:r>
        <w:rPr>
          <w:rFonts w:cs="Arial"/>
        </w:rPr>
        <w:t xml:space="preserve"> c</w:t>
      </w:r>
      <w:r w:rsidR="00DE74A9">
        <w:rPr>
          <w:rFonts w:cs="Arial"/>
        </w:rPr>
        <w:t>osts</w:t>
      </w:r>
      <w:r w:rsidR="008149CA">
        <w:rPr>
          <w:rFonts w:cs="Arial"/>
        </w:rPr>
        <w:t xml:space="preserve"> associated with listing</w:t>
      </w:r>
      <w:r>
        <w:rPr>
          <w:rFonts w:cs="Arial"/>
        </w:rPr>
        <w:t xml:space="preserve"> product ingredients </w:t>
      </w:r>
      <w:r w:rsidR="00DE74A9">
        <w:rPr>
          <w:rFonts w:cs="Arial"/>
        </w:rPr>
        <w:t>online</w:t>
      </w:r>
      <w:r w:rsidR="00C828E6">
        <w:rPr>
          <w:rFonts w:cs="Arial"/>
        </w:rPr>
        <w:t xml:space="preserve">, for example </w:t>
      </w:r>
      <w:r w:rsidR="00DE74A9">
        <w:rPr>
          <w:rFonts w:cs="Arial"/>
        </w:rPr>
        <w:t>where a supplier</w:t>
      </w:r>
      <w:r w:rsidR="00845596" w:rsidRPr="00D64A10">
        <w:rPr>
          <w:rFonts w:cs="Arial"/>
        </w:rPr>
        <w:t xml:space="preserve"> </w:t>
      </w:r>
      <w:r w:rsidR="00C828E6">
        <w:rPr>
          <w:rFonts w:cs="Arial"/>
        </w:rPr>
        <w:t>would need to make</w:t>
      </w:r>
      <w:r w:rsidR="00DE74A9">
        <w:rPr>
          <w:rFonts w:cs="Arial"/>
        </w:rPr>
        <w:t xml:space="preserve"> </w:t>
      </w:r>
      <w:r w:rsidR="00C828E6">
        <w:rPr>
          <w:rFonts w:cs="Arial"/>
        </w:rPr>
        <w:t>modifications</w:t>
      </w:r>
      <w:r w:rsidR="00DE74A9">
        <w:rPr>
          <w:rFonts w:cs="Arial"/>
        </w:rPr>
        <w:t xml:space="preserve"> to</w:t>
      </w:r>
      <w:r w:rsidR="00845596" w:rsidRPr="00D64A10">
        <w:rPr>
          <w:rFonts w:cs="Arial"/>
        </w:rPr>
        <w:t xml:space="preserve"> their online platform</w:t>
      </w:r>
      <w:r w:rsidR="00A55273">
        <w:rPr>
          <w:rFonts w:cs="Arial"/>
        </w:rPr>
        <w:t>s.</w:t>
      </w:r>
    </w:p>
    <w:p w14:paraId="38153251" w14:textId="27B2768A" w:rsidR="00FA7E76" w:rsidRPr="006A7B5F" w:rsidRDefault="00856856" w:rsidP="006A7B5F">
      <w:pPr>
        <w:pStyle w:val="Heading2"/>
        <w:rPr>
          <w:rFonts w:eastAsia="Times New Roman" w:cs="Times New Roman"/>
          <w:color w:val="51626F"/>
        </w:rPr>
      </w:pPr>
      <w:bookmarkStart w:id="53" w:name="_Toc531346517"/>
      <w:bookmarkStart w:id="54" w:name="_Toc532980649"/>
      <w:bookmarkStart w:id="55" w:name="_Toc534613893"/>
      <w:r w:rsidRPr="006A7B5F">
        <w:rPr>
          <w:rFonts w:eastAsia="Times New Roman" w:cs="Times New Roman"/>
          <w:color w:val="51626F"/>
        </w:rPr>
        <w:t xml:space="preserve">Option </w:t>
      </w:r>
      <w:r w:rsidR="00A16EAF" w:rsidRPr="006A7B5F">
        <w:rPr>
          <w:rFonts w:eastAsia="Times New Roman" w:cs="Times New Roman"/>
          <w:color w:val="51626F"/>
        </w:rPr>
        <w:t>3</w:t>
      </w:r>
      <w:r w:rsidRPr="006A7B5F">
        <w:rPr>
          <w:rFonts w:eastAsia="Times New Roman" w:cs="Times New Roman"/>
          <w:color w:val="51626F"/>
        </w:rPr>
        <w:t xml:space="preserve"> – Allow </w:t>
      </w:r>
      <w:r w:rsidR="004D7814" w:rsidRPr="006A7B5F">
        <w:rPr>
          <w:rFonts w:eastAsia="Times New Roman" w:cs="Times New Roman"/>
          <w:color w:val="51626F"/>
        </w:rPr>
        <w:t>overseas</w:t>
      </w:r>
      <w:r w:rsidRPr="006A7B5F">
        <w:rPr>
          <w:rFonts w:eastAsia="Times New Roman" w:cs="Times New Roman"/>
          <w:color w:val="51626F"/>
        </w:rPr>
        <w:t xml:space="preserve"> standards</w:t>
      </w:r>
      <w:bookmarkEnd w:id="53"/>
      <w:bookmarkEnd w:id="54"/>
      <w:bookmarkEnd w:id="55"/>
    </w:p>
    <w:p w14:paraId="272A9357" w14:textId="77777777" w:rsidR="000E2CAE" w:rsidRPr="001E6247" w:rsidRDefault="0076610A" w:rsidP="001E6247">
      <w:pPr>
        <w:tabs>
          <w:tab w:val="left" w:pos="993"/>
        </w:tabs>
        <w:spacing w:before="240"/>
        <w:rPr>
          <w:rFonts w:cs="Arial"/>
          <w:b/>
        </w:rPr>
      </w:pPr>
      <w:r w:rsidRPr="001E6247">
        <w:rPr>
          <w:rFonts w:cs="Arial"/>
          <w:b/>
        </w:rPr>
        <w:t>Description</w:t>
      </w:r>
    </w:p>
    <w:p w14:paraId="2185B71A" w14:textId="6D50685F" w:rsidR="00BF4EF8" w:rsidRDefault="00127A0F" w:rsidP="0076610A">
      <w:r>
        <w:t xml:space="preserve">This option would build on </w:t>
      </w:r>
      <w:r w:rsidR="00F01470">
        <w:t>o</w:t>
      </w:r>
      <w:r>
        <w:t xml:space="preserve">ption 2. While allowing compliance to be achieved through meeting the labelling requirements of the </w:t>
      </w:r>
      <w:r w:rsidR="00F01470">
        <w:t xml:space="preserve">New Zealand </w:t>
      </w:r>
      <w:r>
        <w:t xml:space="preserve">and </w:t>
      </w:r>
      <w:r w:rsidR="00F01470">
        <w:t>European</w:t>
      </w:r>
      <w:r w:rsidR="00F01470" w:rsidRPr="00675E0F">
        <w:t xml:space="preserve"> </w:t>
      </w:r>
      <w:r>
        <w:t xml:space="preserve">mandatory standards as </w:t>
      </w:r>
      <w:r w:rsidRPr="000E7EF7">
        <w:t>permissible alternatives to the information standard, it would also require ingredient information to be provided online.</w:t>
      </w:r>
      <w:r w:rsidR="00E513B1" w:rsidRPr="000E7EF7">
        <w:t xml:space="preserve"> </w:t>
      </w:r>
    </w:p>
    <w:p w14:paraId="4A950357" w14:textId="677388C0" w:rsidR="00127A0F" w:rsidRDefault="00E513B1" w:rsidP="0076610A">
      <w:r w:rsidRPr="000E7EF7">
        <w:t xml:space="preserve">This option could also consider adoption of the ISO </w:t>
      </w:r>
      <w:r w:rsidR="00DD15C5" w:rsidRPr="000E7EF7">
        <w:t>standard,</w:t>
      </w:r>
      <w:r w:rsidRPr="000E7EF7">
        <w:t xml:space="preserve"> either with an additional requirement that a supplier seeking compliance through this option also list nanomaterials where they are used</w:t>
      </w:r>
      <w:r w:rsidR="000E7EF7" w:rsidRPr="000E7EF7">
        <w:t>,</w:t>
      </w:r>
      <w:r w:rsidRPr="000E7EF7">
        <w:t xml:space="preserve"> or with the caveat that products that conformed to its requirements would not</w:t>
      </w:r>
      <w:r w:rsidR="00846ED7">
        <w:t xml:space="preserve"> list the use of nanomaterials.</w:t>
      </w:r>
    </w:p>
    <w:p w14:paraId="56522A0E" w14:textId="0FEE559F" w:rsidR="00BF4EF8" w:rsidRPr="000E7EF7" w:rsidRDefault="00BF4EF8" w:rsidP="0076610A">
      <w:r>
        <w:t>Additionally, t</w:t>
      </w:r>
      <w:r w:rsidRPr="000E7EF7">
        <w:t xml:space="preserve">his option could consider adoption of the </w:t>
      </w:r>
      <w:r>
        <w:t>United States mandatory</w:t>
      </w:r>
      <w:r w:rsidRPr="000E7EF7">
        <w:t xml:space="preserve"> </w:t>
      </w:r>
      <w:r>
        <w:t xml:space="preserve">standard with the aforementioned requirement </w:t>
      </w:r>
      <w:r w:rsidR="000605EA">
        <w:t>that</w:t>
      </w:r>
      <w:r>
        <w:t xml:space="preserve"> the supplier lists cosmetic ingredients in either English or using their INCI name.</w:t>
      </w:r>
    </w:p>
    <w:p w14:paraId="28D13BF3" w14:textId="77777777" w:rsidR="000E2CAE" w:rsidRDefault="0076610A" w:rsidP="00E6110E">
      <w:pPr>
        <w:tabs>
          <w:tab w:val="left" w:pos="993"/>
        </w:tabs>
        <w:spacing w:before="240"/>
        <w:rPr>
          <w:rFonts w:cs="Arial"/>
          <w:b/>
        </w:rPr>
      </w:pPr>
      <w:r w:rsidRPr="000E7EF7">
        <w:rPr>
          <w:rFonts w:cs="Arial"/>
          <w:b/>
        </w:rPr>
        <w:t>Benefits</w:t>
      </w:r>
    </w:p>
    <w:p w14:paraId="57EDC82C" w14:textId="339BAD77" w:rsidR="00076B9B" w:rsidRDefault="00631E65" w:rsidP="00E6110E">
      <w:pPr>
        <w:rPr>
          <w:rFonts w:cs="Arial"/>
        </w:rPr>
      </w:pPr>
      <w:r>
        <w:rPr>
          <w:rFonts w:cs="Arial"/>
        </w:rPr>
        <w:t xml:space="preserve">Compared to </w:t>
      </w:r>
      <w:r w:rsidR="00F01470">
        <w:rPr>
          <w:rFonts w:cs="Arial"/>
        </w:rPr>
        <w:t>o</w:t>
      </w:r>
      <w:r>
        <w:rPr>
          <w:rFonts w:cs="Arial"/>
        </w:rPr>
        <w:t xml:space="preserve">ption 2, this option would appear to reduce the cost of compliance for manufacturers, suppliers and exporters whose products comply with the labelling </w:t>
      </w:r>
      <w:r>
        <w:rPr>
          <w:rFonts w:cs="Arial"/>
        </w:rPr>
        <w:lastRenderedPageBreak/>
        <w:t xml:space="preserve">requirements of overseas standards as they would </w:t>
      </w:r>
      <w:r w:rsidR="008149CA">
        <w:rPr>
          <w:rFonts w:cs="Arial"/>
        </w:rPr>
        <w:t>not need to be separately labelled for the Australian market.</w:t>
      </w:r>
    </w:p>
    <w:p w14:paraId="53131445" w14:textId="6BD3E026" w:rsidR="0076610A" w:rsidRDefault="00A82C41" w:rsidP="00E6110E">
      <w:pPr>
        <w:rPr>
          <w:rFonts w:cs="Arial"/>
        </w:rPr>
      </w:pPr>
      <w:r>
        <w:rPr>
          <w:rFonts w:cs="Arial"/>
        </w:rPr>
        <w:t xml:space="preserve">Consumers would </w:t>
      </w:r>
      <w:r w:rsidR="00631E65">
        <w:rPr>
          <w:rFonts w:cs="Arial"/>
        </w:rPr>
        <w:t xml:space="preserve">benefit from the same additional information under </w:t>
      </w:r>
      <w:r w:rsidR="00F01470">
        <w:rPr>
          <w:rFonts w:cs="Arial"/>
        </w:rPr>
        <w:t>o</w:t>
      </w:r>
      <w:r w:rsidR="00631E65">
        <w:rPr>
          <w:rFonts w:cs="Arial"/>
        </w:rPr>
        <w:t xml:space="preserve">ption 2, as well as potentially lower costs </w:t>
      </w:r>
      <w:r w:rsidR="00E31E32">
        <w:rPr>
          <w:rFonts w:cs="Arial"/>
        </w:rPr>
        <w:t>for cosmetic products</w:t>
      </w:r>
      <w:r>
        <w:rPr>
          <w:rFonts w:cs="Arial"/>
        </w:rPr>
        <w:t xml:space="preserve"> or </w:t>
      </w:r>
      <w:r w:rsidR="00631E65">
        <w:rPr>
          <w:rFonts w:cs="Arial"/>
        </w:rPr>
        <w:t>a wider</w:t>
      </w:r>
      <w:r>
        <w:rPr>
          <w:rFonts w:cs="Arial"/>
        </w:rPr>
        <w:t xml:space="preserve"> range of available </w:t>
      </w:r>
      <w:r w:rsidR="005C650D">
        <w:rPr>
          <w:rFonts w:cs="Arial"/>
        </w:rPr>
        <w:t>cosmetic</w:t>
      </w:r>
      <w:r w:rsidR="00631E65">
        <w:rPr>
          <w:rFonts w:cs="Arial"/>
        </w:rPr>
        <w:t>s</w:t>
      </w:r>
      <w:r w:rsidR="00A55273">
        <w:rPr>
          <w:rFonts w:cs="Arial"/>
        </w:rPr>
        <w:t>.</w:t>
      </w:r>
    </w:p>
    <w:p w14:paraId="0965186D" w14:textId="77777777" w:rsidR="005A7BA8" w:rsidRDefault="0076610A" w:rsidP="00E6110E">
      <w:pPr>
        <w:tabs>
          <w:tab w:val="left" w:pos="993"/>
        </w:tabs>
        <w:spacing w:before="240"/>
        <w:rPr>
          <w:rFonts w:cs="Arial"/>
          <w:b/>
        </w:rPr>
      </w:pPr>
      <w:r w:rsidRPr="00675E0F">
        <w:rPr>
          <w:rFonts w:cs="Arial"/>
          <w:b/>
        </w:rPr>
        <w:t>Limitations</w:t>
      </w:r>
    </w:p>
    <w:p w14:paraId="7539747B" w14:textId="77777777" w:rsidR="00B34E5D" w:rsidRDefault="00310CBE" w:rsidP="00675E0F">
      <w:r w:rsidRPr="000E7EF7">
        <w:t>The</w:t>
      </w:r>
      <w:r w:rsidR="00E31E32" w:rsidRPr="000E7EF7">
        <w:t>re appear to be few</w:t>
      </w:r>
      <w:r w:rsidRPr="000E7EF7">
        <w:t xml:space="preserve"> limitations</w:t>
      </w:r>
      <w:r w:rsidR="0032748D" w:rsidRPr="000E7EF7">
        <w:t xml:space="preserve"> from adopting </w:t>
      </w:r>
      <w:r w:rsidR="00D57F1A" w:rsidRPr="000E7EF7">
        <w:t xml:space="preserve">the </w:t>
      </w:r>
      <w:r w:rsidR="00F9189D">
        <w:t>overseas</w:t>
      </w:r>
      <w:r w:rsidR="0032748D" w:rsidRPr="000E7EF7">
        <w:t xml:space="preserve"> standards as this option </w:t>
      </w:r>
      <w:r w:rsidR="0008336E" w:rsidRPr="000E7EF7">
        <w:t>would</w:t>
      </w:r>
      <w:r w:rsidR="0032748D" w:rsidRPr="000E7EF7">
        <w:t xml:space="preserve"> increase information available to consumers and potentially reduce compliance costs</w:t>
      </w:r>
      <w:r w:rsidR="00D57F1A" w:rsidRPr="000E7EF7">
        <w:t xml:space="preserve"> for suppliers</w:t>
      </w:r>
      <w:r w:rsidR="00E31E32" w:rsidRPr="000E7EF7">
        <w:t xml:space="preserve"> </w:t>
      </w:r>
      <w:r w:rsidR="00CC4B92" w:rsidRPr="000E7EF7">
        <w:t xml:space="preserve">when </w:t>
      </w:r>
      <w:r w:rsidR="00E31E32" w:rsidRPr="000E7EF7">
        <w:t xml:space="preserve">compared </w:t>
      </w:r>
      <w:r w:rsidR="00CC4B92" w:rsidRPr="000E7EF7">
        <w:t>with</w:t>
      </w:r>
      <w:r w:rsidR="00E31E32" w:rsidRPr="000E7EF7">
        <w:t xml:space="preserve"> </w:t>
      </w:r>
      <w:r w:rsidR="00F01470" w:rsidRPr="000E7EF7">
        <w:t>o</w:t>
      </w:r>
      <w:r w:rsidR="00CC4B92" w:rsidRPr="000E7EF7">
        <w:t xml:space="preserve">ption 1 or </w:t>
      </w:r>
      <w:r w:rsidR="00F01470" w:rsidRPr="000E7EF7">
        <w:t>o</w:t>
      </w:r>
      <w:r w:rsidR="00E31E32" w:rsidRPr="000E7EF7">
        <w:t>ption 2</w:t>
      </w:r>
      <w:r w:rsidR="00A55273" w:rsidRPr="000E7EF7">
        <w:t>.</w:t>
      </w:r>
      <w:r w:rsidR="00E513B1" w:rsidRPr="000E7EF7">
        <w:t xml:space="preserve"> </w:t>
      </w:r>
    </w:p>
    <w:p w14:paraId="75866EAB" w14:textId="51564247" w:rsidR="00CC4B92" w:rsidRDefault="00E513B1" w:rsidP="00675E0F">
      <w:r w:rsidRPr="000E7EF7">
        <w:t xml:space="preserve">Allowing compliance through reference to the </w:t>
      </w:r>
      <w:r w:rsidR="00F9189D">
        <w:t xml:space="preserve">United States mandatory standard and </w:t>
      </w:r>
      <w:r w:rsidRPr="000E7EF7">
        <w:t xml:space="preserve">ISO standard without requiring </w:t>
      </w:r>
      <w:r w:rsidR="000E7EF7" w:rsidRPr="000E7EF7">
        <w:t xml:space="preserve">a </w:t>
      </w:r>
      <w:r w:rsidRPr="000E7EF7">
        <w:t xml:space="preserve">list of nanomaterials would lead to inconsistency in labelling information for consumers for these ingredients. The extent of this limitation is dependent on the utility value consumers place on this </w:t>
      </w:r>
      <w:r w:rsidR="000E7EF7" w:rsidRPr="000E7EF7">
        <w:t>information</w:t>
      </w:r>
      <w:r w:rsidRPr="000E7EF7">
        <w:t xml:space="preserve"> and the extent to which </w:t>
      </w:r>
      <w:r w:rsidR="000E7EF7" w:rsidRPr="000E7EF7">
        <w:t>it</w:t>
      </w:r>
      <w:r w:rsidRPr="000E7EF7">
        <w:t xml:space="preserve"> would impact their purchasing decisions.</w:t>
      </w:r>
      <w:r>
        <w:t xml:space="preserve"> </w:t>
      </w:r>
    </w:p>
    <w:p w14:paraId="077C0E40" w14:textId="10958F65" w:rsidR="00CC4B92" w:rsidRDefault="00CC4B92" w:rsidP="00CC4B92">
      <w:pPr>
        <w:rPr>
          <w:rFonts w:cs="Arial"/>
        </w:rPr>
      </w:pPr>
      <w:bookmarkStart w:id="56" w:name="_Toc529889559"/>
      <w:bookmarkStart w:id="57" w:name="_Toc530142497"/>
      <w:bookmarkStart w:id="58" w:name="_Toc530559853"/>
      <w:bookmarkStart w:id="59" w:name="_Toc531346518"/>
      <w:bookmarkStart w:id="60" w:name="_Toc532980650"/>
      <w:bookmarkStart w:id="61" w:name="_Toc534613894"/>
      <w:r>
        <w:rPr>
          <w:rFonts w:cs="Arial"/>
        </w:rPr>
        <w:t xml:space="preserve">Like </w:t>
      </w:r>
      <w:r w:rsidR="00F01470">
        <w:rPr>
          <w:rFonts w:cs="Arial"/>
        </w:rPr>
        <w:t>o</w:t>
      </w:r>
      <w:r>
        <w:rPr>
          <w:rFonts w:cs="Arial"/>
        </w:rPr>
        <w:t>ption 2, this option may also result in additional costs associated with listing product ingredients online.</w:t>
      </w:r>
    </w:p>
    <w:p w14:paraId="6D2DDD11" w14:textId="4DEDCA49" w:rsidR="009123CC" w:rsidRPr="006A7B5F" w:rsidRDefault="00856856" w:rsidP="00466B4F">
      <w:pPr>
        <w:pStyle w:val="Heading2"/>
        <w:keepNext/>
        <w:rPr>
          <w:rFonts w:eastAsia="Times New Roman" w:cs="Times New Roman"/>
          <w:color w:val="51626F"/>
        </w:rPr>
      </w:pPr>
      <w:r w:rsidRPr="006A7B5F">
        <w:rPr>
          <w:rFonts w:eastAsia="Times New Roman" w:cs="Times New Roman"/>
          <w:color w:val="51626F"/>
        </w:rPr>
        <w:t xml:space="preserve">Option </w:t>
      </w:r>
      <w:r w:rsidR="00956BAA">
        <w:rPr>
          <w:rFonts w:eastAsia="Times New Roman" w:cs="Times New Roman"/>
          <w:color w:val="51626F"/>
        </w:rPr>
        <w:t>4</w:t>
      </w:r>
      <w:r w:rsidR="00053828" w:rsidRPr="006A7B5F">
        <w:rPr>
          <w:rFonts w:eastAsia="Times New Roman" w:cs="Times New Roman"/>
          <w:color w:val="51626F"/>
        </w:rPr>
        <w:t xml:space="preserve"> – Revoke the </w:t>
      </w:r>
      <w:r w:rsidR="00317756">
        <w:rPr>
          <w:rFonts w:eastAsia="Times New Roman" w:cs="Times New Roman"/>
          <w:color w:val="51626F"/>
        </w:rPr>
        <w:t xml:space="preserve">information </w:t>
      </w:r>
      <w:r w:rsidR="00053828" w:rsidRPr="006A7B5F">
        <w:rPr>
          <w:rFonts w:eastAsia="Times New Roman" w:cs="Times New Roman"/>
          <w:color w:val="51626F"/>
        </w:rPr>
        <w:t>standard</w:t>
      </w:r>
      <w:bookmarkEnd w:id="56"/>
      <w:bookmarkEnd w:id="57"/>
      <w:bookmarkEnd w:id="58"/>
      <w:bookmarkEnd w:id="59"/>
      <w:bookmarkEnd w:id="60"/>
      <w:bookmarkEnd w:id="61"/>
    </w:p>
    <w:p w14:paraId="2C65E8DA" w14:textId="4485BB61" w:rsidR="00B1081F" w:rsidRPr="001E6247" w:rsidRDefault="009123CC" w:rsidP="00466B4F">
      <w:pPr>
        <w:keepNext/>
        <w:tabs>
          <w:tab w:val="left" w:pos="993"/>
        </w:tabs>
        <w:spacing w:before="240"/>
        <w:rPr>
          <w:rFonts w:cs="Arial"/>
          <w:b/>
        </w:rPr>
      </w:pPr>
      <w:r w:rsidRPr="001E6247">
        <w:rPr>
          <w:rFonts w:cs="Arial"/>
          <w:b/>
        </w:rPr>
        <w:t>Description</w:t>
      </w:r>
    </w:p>
    <w:p w14:paraId="53DDECDC" w14:textId="2E42AE52" w:rsidR="00E513B1" w:rsidRDefault="00D35FAA" w:rsidP="00EC75CE">
      <w:r w:rsidRPr="00B1081F">
        <w:t xml:space="preserve">The </w:t>
      </w:r>
      <w:r w:rsidR="00822526">
        <w:t xml:space="preserve">information </w:t>
      </w:r>
      <w:r w:rsidRPr="00B1081F">
        <w:t>standard would be revoked and s</w:t>
      </w:r>
      <w:r w:rsidR="009123CC" w:rsidRPr="00B1081F">
        <w:t>uppliers of cosmetics would no</w:t>
      </w:r>
      <w:r w:rsidR="00EF3EA9">
        <w:t>t be required</w:t>
      </w:r>
      <w:r w:rsidR="009123CC" w:rsidRPr="00B1081F">
        <w:t xml:space="preserve"> to provide ingredient</w:t>
      </w:r>
      <w:r w:rsidR="00822526">
        <w:t xml:space="preserve"> information</w:t>
      </w:r>
      <w:r w:rsidR="00DF167A">
        <w:t xml:space="preserve"> </w:t>
      </w:r>
      <w:r w:rsidR="009123CC" w:rsidRPr="00B1081F">
        <w:t xml:space="preserve">to consumers. </w:t>
      </w:r>
      <w:r w:rsidR="00EF3EA9">
        <w:t>Some suppliers may cont</w:t>
      </w:r>
      <w:r w:rsidR="001A4BF6">
        <w:t>inue to supply ingredient</w:t>
      </w:r>
      <w:r w:rsidR="00EA20B6">
        <w:t xml:space="preserve"> information</w:t>
      </w:r>
      <w:r w:rsidR="001A4BF6">
        <w:t xml:space="preserve"> which may differ across suppliers and some may not </w:t>
      </w:r>
      <w:r w:rsidR="00EA20B6">
        <w:t>provide</w:t>
      </w:r>
      <w:r w:rsidR="00822526">
        <w:t xml:space="preserve"> ingredient</w:t>
      </w:r>
      <w:r w:rsidR="00EA20B6">
        <w:t xml:space="preserve"> information</w:t>
      </w:r>
      <w:r w:rsidR="00822526">
        <w:t xml:space="preserve"> at all</w:t>
      </w:r>
      <w:r w:rsidR="001A4BF6">
        <w:t>, or do so</w:t>
      </w:r>
      <w:r w:rsidR="00714FDE">
        <w:t xml:space="preserve"> </w:t>
      </w:r>
      <w:r w:rsidR="001A4BF6">
        <w:t>i</w:t>
      </w:r>
      <w:r w:rsidR="00A720D3">
        <w:t>n languages other than English.</w:t>
      </w:r>
    </w:p>
    <w:p w14:paraId="4EFD77A5" w14:textId="39B523E0" w:rsidR="00B1081F" w:rsidRPr="00EC75CE" w:rsidRDefault="005B37FB" w:rsidP="00E6110E">
      <w:pPr>
        <w:keepNext/>
      </w:pPr>
      <w:r w:rsidRPr="001E6247">
        <w:rPr>
          <w:rFonts w:cs="Arial"/>
          <w:b/>
        </w:rPr>
        <w:t>Benefits</w:t>
      </w:r>
    </w:p>
    <w:p w14:paraId="7986FEBB" w14:textId="3D4C1227" w:rsidR="0032501F" w:rsidRDefault="000D152F" w:rsidP="00EF10BB">
      <w:r>
        <w:t>Th</w:t>
      </w:r>
      <w:r w:rsidR="00E31E32">
        <w:t>is</w:t>
      </w:r>
      <w:r>
        <w:t xml:space="preserve"> </w:t>
      </w:r>
      <w:r w:rsidR="00E31E32">
        <w:t>would</w:t>
      </w:r>
      <w:r w:rsidR="005B37FB" w:rsidRPr="00B1081F">
        <w:t xml:space="preserve"> </w:t>
      </w:r>
      <w:r w:rsidR="00E31E32">
        <w:t>appear to lead to</w:t>
      </w:r>
      <w:r w:rsidR="005B37FB" w:rsidRPr="00B1081F">
        <w:t xml:space="preserve"> </w:t>
      </w:r>
      <w:r w:rsidR="00D1232F" w:rsidRPr="00B1081F">
        <w:t>a reduction in</w:t>
      </w:r>
      <w:r w:rsidR="005B37FB" w:rsidRPr="00B1081F">
        <w:t xml:space="preserve"> compliance costs for industry</w:t>
      </w:r>
      <w:r w:rsidR="00E31E32">
        <w:t xml:space="preserve"> compared to the status quo. Compliance savings would be</w:t>
      </w:r>
      <w:r w:rsidR="00CE5D33">
        <w:t xml:space="preserve"> reduced where a new regulation would permit compliance with </w:t>
      </w:r>
      <w:r w:rsidR="0068117B">
        <w:t>overseas</w:t>
      </w:r>
      <w:r w:rsidR="00F01470">
        <w:t xml:space="preserve"> </w:t>
      </w:r>
      <w:r w:rsidR="00642F98">
        <w:t>mandatory standards</w:t>
      </w:r>
      <w:r w:rsidR="0068117B">
        <w:t xml:space="preserve"> and the ISO standard</w:t>
      </w:r>
      <w:r w:rsidR="0032501F">
        <w:t>.</w:t>
      </w:r>
    </w:p>
    <w:p w14:paraId="7D1B48C3" w14:textId="24FB679C" w:rsidR="00E31E32" w:rsidRDefault="00E31E32" w:rsidP="00EF10BB">
      <w:r>
        <w:t xml:space="preserve">This option </w:t>
      </w:r>
      <w:r w:rsidR="00426C8C">
        <w:t>will lead to</w:t>
      </w:r>
      <w:r>
        <w:t xml:space="preserve"> consumer</w:t>
      </w:r>
      <w:r w:rsidR="00426C8C">
        <w:t xml:space="preserve"> detriment</w:t>
      </w:r>
      <w:r>
        <w:t xml:space="preserve"> </w:t>
      </w:r>
      <w:r w:rsidR="0032501F">
        <w:t xml:space="preserve">when </w:t>
      </w:r>
      <w:r>
        <w:t xml:space="preserve">compared to the </w:t>
      </w:r>
      <w:r w:rsidR="0032501F">
        <w:t>other options.</w:t>
      </w:r>
    </w:p>
    <w:p w14:paraId="688AA236" w14:textId="1623C368" w:rsidR="00B1081F" w:rsidRPr="001E6247" w:rsidRDefault="005B37FB" w:rsidP="00EF10BB">
      <w:pPr>
        <w:tabs>
          <w:tab w:val="left" w:pos="993"/>
        </w:tabs>
        <w:spacing w:before="240"/>
        <w:rPr>
          <w:rFonts w:cs="Arial"/>
          <w:b/>
        </w:rPr>
      </w:pPr>
      <w:r w:rsidRPr="001E6247">
        <w:rPr>
          <w:rFonts w:cs="Arial"/>
          <w:b/>
        </w:rPr>
        <w:t>Limitations</w:t>
      </w:r>
    </w:p>
    <w:p w14:paraId="09AC00C0" w14:textId="2B6510B8" w:rsidR="000240A5" w:rsidRDefault="005B37FB" w:rsidP="00EF10BB">
      <w:r w:rsidRPr="00B1081F">
        <w:t xml:space="preserve">Revoking the </w:t>
      </w:r>
      <w:r w:rsidR="00822526">
        <w:t xml:space="preserve">information </w:t>
      </w:r>
      <w:r w:rsidRPr="00B1081F">
        <w:t xml:space="preserve">standard could </w:t>
      </w:r>
      <w:r w:rsidR="001A4313" w:rsidRPr="00B1081F">
        <w:t>lead to</w:t>
      </w:r>
      <w:r w:rsidR="00053828" w:rsidRPr="00B1081F">
        <w:t xml:space="preserve"> the </w:t>
      </w:r>
      <w:r w:rsidR="00B1081F">
        <w:t>recurrence</w:t>
      </w:r>
      <w:r w:rsidR="00B1081F" w:rsidRPr="00B1081F">
        <w:t xml:space="preserve"> </w:t>
      </w:r>
      <w:r w:rsidR="00053828" w:rsidRPr="00B1081F">
        <w:t xml:space="preserve">of </w:t>
      </w:r>
      <w:r w:rsidR="00B1081F">
        <w:t>issue</w:t>
      </w:r>
      <w:r w:rsidR="001A4BF6">
        <w:t xml:space="preserve">s </w:t>
      </w:r>
      <w:r w:rsidR="0021451A">
        <w:t xml:space="preserve">that occurred before </w:t>
      </w:r>
      <w:r w:rsidR="00822526">
        <w:t>it</w:t>
      </w:r>
      <w:r w:rsidR="0021451A">
        <w:t xml:space="preserve"> was introduced</w:t>
      </w:r>
      <w:r w:rsidR="001A4BF6">
        <w:t xml:space="preserve">. It is likely that incidents of consumer reaction to cosmetics </w:t>
      </w:r>
      <w:r w:rsidR="000240A5">
        <w:t>(e.g.</w:t>
      </w:r>
      <w:r w:rsidR="001A4BF6">
        <w:t xml:space="preserve"> skin allergies</w:t>
      </w:r>
      <w:r w:rsidR="000240A5">
        <w:t>)</w:t>
      </w:r>
      <w:r w:rsidR="001A4BF6">
        <w:t xml:space="preserve"> would increase in the absence of clear and readily understood ingredient </w:t>
      </w:r>
      <w:r w:rsidR="00822526">
        <w:t xml:space="preserve">information </w:t>
      </w:r>
      <w:r w:rsidR="001A4BF6">
        <w:t xml:space="preserve">which would result </w:t>
      </w:r>
      <w:r w:rsidR="00933211">
        <w:t>in consumer detriment</w:t>
      </w:r>
      <w:r w:rsidR="001A4BF6">
        <w:t>.</w:t>
      </w:r>
    </w:p>
    <w:p w14:paraId="58793E1A" w14:textId="6B3E7D74" w:rsidR="00D40CFC" w:rsidRDefault="001A4BF6" w:rsidP="00EF10BB">
      <w:r>
        <w:t>M</w:t>
      </w:r>
      <w:r w:rsidR="00053828" w:rsidRPr="00B1081F">
        <w:t xml:space="preserve">edical professionals </w:t>
      </w:r>
      <w:r>
        <w:t>would be</w:t>
      </w:r>
      <w:r w:rsidR="00053828" w:rsidRPr="00B1081F">
        <w:t xml:space="preserve"> </w:t>
      </w:r>
      <w:r>
        <w:t>hampered in their ability</w:t>
      </w:r>
      <w:r w:rsidR="00053828" w:rsidRPr="00B1081F">
        <w:t xml:space="preserve"> to quickly identify the ingredients</w:t>
      </w:r>
      <w:r w:rsidR="00822526">
        <w:t xml:space="preserve"> of a cosmetic product,</w:t>
      </w:r>
      <w:r w:rsidR="00053828" w:rsidRPr="00B1081F">
        <w:t xml:space="preserve"> </w:t>
      </w:r>
      <w:r>
        <w:t>limiting their ability to diagnose and</w:t>
      </w:r>
      <w:r w:rsidR="00CE5D33">
        <w:t xml:space="preserve"> provide appropriate</w:t>
      </w:r>
      <w:r>
        <w:t xml:space="preserve"> treat</w:t>
      </w:r>
      <w:r w:rsidR="00CE5D33">
        <w:t xml:space="preserve">ment </w:t>
      </w:r>
      <w:r w:rsidR="000240A5">
        <w:t>to</w:t>
      </w:r>
      <w:r>
        <w:t xml:space="preserve"> a patient. </w:t>
      </w:r>
      <w:r w:rsidR="00DB4288" w:rsidRPr="00B1081F">
        <w:t xml:space="preserve">This </w:t>
      </w:r>
      <w:r w:rsidR="00E77DC0">
        <w:t>c</w:t>
      </w:r>
      <w:r w:rsidR="00E77DC0" w:rsidRPr="00B1081F">
        <w:t xml:space="preserve">ould </w:t>
      </w:r>
      <w:r w:rsidR="00DB4288" w:rsidRPr="00B1081F">
        <w:t>subsequently make</w:t>
      </w:r>
      <w:r w:rsidR="00053828" w:rsidRPr="00B1081F">
        <w:t xml:space="preserve"> di</w:t>
      </w:r>
      <w:r w:rsidR="00C74247" w:rsidRPr="00B1081F">
        <w:t>agnosis and treatment difficult</w:t>
      </w:r>
      <w:r w:rsidR="00053828" w:rsidRPr="00B1081F">
        <w:t>, delayed</w:t>
      </w:r>
      <w:r w:rsidR="00933211">
        <w:t xml:space="preserve">, </w:t>
      </w:r>
      <w:r w:rsidR="00C74247" w:rsidRPr="00B1081F">
        <w:t>costly</w:t>
      </w:r>
      <w:r w:rsidR="0021451A">
        <w:t>,</w:t>
      </w:r>
      <w:r w:rsidR="00053828" w:rsidRPr="00B1081F">
        <w:t xml:space="preserve"> and time consuming</w:t>
      </w:r>
      <w:r w:rsidR="00642F98">
        <w:t>, resulting</w:t>
      </w:r>
      <w:r w:rsidR="00DC2BA0">
        <w:t xml:space="preserve"> in increased costs to government and an additional </w:t>
      </w:r>
      <w:r w:rsidR="00D40CFC">
        <w:t xml:space="preserve">burden </w:t>
      </w:r>
      <w:r w:rsidR="00DC2BA0">
        <w:t>on</w:t>
      </w:r>
      <w:r w:rsidR="00D40CFC">
        <w:t xml:space="preserve"> Australia’s health system.</w:t>
      </w:r>
    </w:p>
    <w:p w14:paraId="4278CBBC" w14:textId="5C326E04" w:rsidR="007639C0" w:rsidRPr="00B1081F" w:rsidRDefault="007639C0" w:rsidP="00B1081F">
      <w:r>
        <w:t xml:space="preserve">This approach would be </w:t>
      </w:r>
      <w:r w:rsidR="00933211">
        <w:t>inconsistent</w:t>
      </w:r>
      <w:r>
        <w:t xml:space="preserve"> with</w:t>
      </w:r>
      <w:r w:rsidR="00933211">
        <w:t xml:space="preserve"> regulatory approaches in other</w:t>
      </w:r>
      <w:r>
        <w:t xml:space="preserve"> jurisdictions which</w:t>
      </w:r>
      <w:r w:rsidR="00933211">
        <w:t xml:space="preserve"> have assessed that there is a clear public benefit </w:t>
      </w:r>
      <w:r w:rsidR="00822526">
        <w:t>in providing</w:t>
      </w:r>
      <w:r>
        <w:t xml:space="preserve"> cosmetic</w:t>
      </w:r>
      <w:r w:rsidR="00822526">
        <w:t xml:space="preserve"> in</w:t>
      </w:r>
      <w:r w:rsidR="00364261">
        <w:t>gredient</w:t>
      </w:r>
      <w:r w:rsidR="00822526">
        <w:t xml:space="preserve"> information</w:t>
      </w:r>
      <w:r>
        <w:t>.</w:t>
      </w:r>
      <w:r w:rsidR="00CE5D33">
        <w:t xml:space="preserve"> Our preliminary view is that this option is likely to resul</w:t>
      </w:r>
      <w:r w:rsidR="00A55273">
        <w:t>t in a net community detriment.</w:t>
      </w:r>
    </w:p>
    <w:p w14:paraId="0B72A2DC" w14:textId="77777777" w:rsidR="003475BF" w:rsidRPr="006A363D" w:rsidRDefault="00126288" w:rsidP="00445E96">
      <w:pPr>
        <w:pStyle w:val="Numbered1"/>
        <w:keepNext/>
        <w:numPr>
          <w:ilvl w:val="0"/>
          <w:numId w:val="12"/>
        </w:numPr>
        <w:ind w:left="357" w:hanging="357"/>
        <w:rPr>
          <w:rFonts w:ascii="Lucida Fax" w:hAnsi="Lucida Fax"/>
          <w:color w:val="51626F"/>
        </w:rPr>
      </w:pPr>
      <w:bookmarkStart w:id="62" w:name="_Toc17366906"/>
      <w:r w:rsidRPr="006A363D">
        <w:rPr>
          <w:rFonts w:ascii="Lucida Fax" w:hAnsi="Lucida Fax"/>
          <w:color w:val="51626F"/>
        </w:rPr>
        <w:lastRenderedPageBreak/>
        <w:t>Key questions</w:t>
      </w:r>
      <w:bookmarkEnd w:id="62"/>
    </w:p>
    <w:p w14:paraId="66158B0F" w14:textId="0EF53843" w:rsidR="0068117B" w:rsidRDefault="00291099" w:rsidP="00D41A0E">
      <w:pPr>
        <w:spacing w:after="240"/>
      </w:pPr>
      <w:r w:rsidRPr="00291099">
        <w:t>Please consider the following questions in your submission. Submissions do not need to answer all or any of these questions and may include any information that might be relevant for this review.</w:t>
      </w:r>
    </w:p>
    <w:tbl>
      <w:tblPr>
        <w:tblStyle w:val="TableGrid"/>
        <w:tblW w:w="9116" w:type="dxa"/>
        <w:tblInd w:w="5"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9116"/>
      </w:tblGrid>
      <w:tr w:rsidR="00291099" w14:paraId="39DC957D" w14:textId="77777777" w:rsidTr="00EC75CE">
        <w:trPr>
          <w:cnfStyle w:val="100000000000" w:firstRow="1" w:lastRow="0" w:firstColumn="0" w:lastColumn="0" w:oddVBand="0" w:evenVBand="0" w:oddHBand="0" w:evenHBand="0" w:firstRowFirstColumn="0" w:firstRowLastColumn="0" w:lastRowFirstColumn="0" w:lastRowLastColumn="0"/>
          <w:trHeight w:val="3539"/>
        </w:trPr>
        <w:tc>
          <w:tcPr>
            <w:cnfStyle w:val="001000000000" w:firstRow="0" w:lastRow="0" w:firstColumn="1" w:lastColumn="0" w:oddVBand="0" w:evenVBand="0" w:oddHBand="0" w:evenHBand="0" w:firstRowFirstColumn="0" w:firstRowLastColumn="0" w:lastRowFirstColumn="0" w:lastRowLastColumn="0"/>
            <w:tcW w:w="911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0178E73" w14:textId="77777777" w:rsidR="00C738C7" w:rsidRPr="00F929CE" w:rsidRDefault="00291099" w:rsidP="008E3F14">
            <w:pPr>
              <w:pStyle w:val="LegalNumbering"/>
              <w:numPr>
                <w:ilvl w:val="0"/>
                <w:numId w:val="54"/>
              </w:numPr>
              <w:tabs>
                <w:tab w:val="clear" w:pos="340"/>
                <w:tab w:val="clear" w:pos="680"/>
                <w:tab w:val="clear" w:pos="1021"/>
                <w:tab w:val="clear" w:pos="1361"/>
                <w:tab w:val="left" w:pos="4299"/>
              </w:tabs>
              <w:ind w:left="465" w:hanging="425"/>
              <w:rPr>
                <w:b w:val="0"/>
                <w:sz w:val="22"/>
              </w:rPr>
            </w:pPr>
            <w:r w:rsidRPr="00F929CE">
              <w:rPr>
                <w:b w:val="0"/>
                <w:sz w:val="22"/>
              </w:rPr>
              <w:t>What is your preferred option and why?</w:t>
            </w:r>
          </w:p>
          <w:p w14:paraId="69472270" w14:textId="41C5EE2E" w:rsidR="00C738C7" w:rsidRDefault="00C738C7" w:rsidP="00F929CE">
            <w:pPr>
              <w:pStyle w:val="LegalNumbering"/>
              <w:keepNext/>
              <w:numPr>
                <w:ilvl w:val="0"/>
                <w:numId w:val="54"/>
              </w:numPr>
              <w:tabs>
                <w:tab w:val="clear" w:pos="340"/>
                <w:tab w:val="clear" w:pos="680"/>
                <w:tab w:val="clear" w:pos="1021"/>
                <w:tab w:val="clear" w:pos="1361"/>
                <w:tab w:val="left" w:pos="4299"/>
              </w:tabs>
              <w:ind w:left="465" w:hanging="425"/>
              <w:rPr>
                <w:b w:val="0"/>
                <w:sz w:val="22"/>
              </w:rPr>
            </w:pPr>
            <w:r w:rsidRPr="00F929CE">
              <w:rPr>
                <w:b w:val="0"/>
                <w:sz w:val="22"/>
              </w:rPr>
              <w:t>Is the information standard an effective mechanism to inform consumers and health care professionals about ingredients in cosmetic products?</w:t>
            </w:r>
          </w:p>
          <w:p w14:paraId="3FE759F7" w14:textId="77777777" w:rsidR="00846ED7" w:rsidRDefault="00C738C7" w:rsidP="00F929CE">
            <w:pPr>
              <w:pStyle w:val="LegalNumbering"/>
              <w:keepNext/>
              <w:numPr>
                <w:ilvl w:val="0"/>
                <w:numId w:val="54"/>
              </w:numPr>
              <w:tabs>
                <w:tab w:val="clear" w:pos="340"/>
                <w:tab w:val="clear" w:pos="680"/>
                <w:tab w:val="clear" w:pos="1021"/>
                <w:tab w:val="clear" w:pos="1361"/>
                <w:tab w:val="left" w:pos="4299"/>
              </w:tabs>
              <w:ind w:left="465" w:hanging="425"/>
              <w:rPr>
                <w:b w:val="0"/>
                <w:sz w:val="22"/>
              </w:rPr>
            </w:pPr>
            <w:r w:rsidRPr="00F929CE">
              <w:rPr>
                <w:b w:val="0"/>
                <w:sz w:val="22"/>
              </w:rPr>
              <w:t>What are the costs associated with meeting the compliance</w:t>
            </w:r>
            <w:r w:rsidR="00F361C2" w:rsidRPr="00F929CE">
              <w:rPr>
                <w:b w:val="0"/>
                <w:sz w:val="22"/>
              </w:rPr>
              <w:t xml:space="preserve"> requirements of th</w:t>
            </w:r>
            <w:r w:rsidR="00F01470">
              <w:rPr>
                <w:b w:val="0"/>
                <w:sz w:val="22"/>
              </w:rPr>
              <w:t>e current</w:t>
            </w:r>
            <w:r w:rsidR="00F361C2" w:rsidRPr="00F929CE">
              <w:rPr>
                <w:b w:val="0"/>
                <w:sz w:val="22"/>
              </w:rPr>
              <w:t xml:space="preserve"> </w:t>
            </w:r>
            <w:r w:rsidR="00822526">
              <w:rPr>
                <w:b w:val="0"/>
                <w:sz w:val="22"/>
              </w:rPr>
              <w:t xml:space="preserve">information </w:t>
            </w:r>
            <w:r w:rsidR="00F361C2" w:rsidRPr="00F929CE">
              <w:rPr>
                <w:b w:val="0"/>
                <w:sz w:val="22"/>
              </w:rPr>
              <w:t>standard?</w:t>
            </w:r>
          </w:p>
          <w:p w14:paraId="5A0A523E" w14:textId="5D144293" w:rsidR="006B63EB" w:rsidRDefault="006B63EB" w:rsidP="00F929CE">
            <w:pPr>
              <w:pStyle w:val="LegalNumbering"/>
              <w:keepNext/>
              <w:numPr>
                <w:ilvl w:val="0"/>
                <w:numId w:val="54"/>
              </w:numPr>
              <w:tabs>
                <w:tab w:val="clear" w:pos="340"/>
                <w:tab w:val="clear" w:pos="680"/>
                <w:tab w:val="clear" w:pos="1021"/>
                <w:tab w:val="clear" w:pos="1361"/>
                <w:tab w:val="left" w:pos="4299"/>
              </w:tabs>
              <w:ind w:left="465" w:hanging="425"/>
              <w:rPr>
                <w:b w:val="0"/>
                <w:sz w:val="22"/>
              </w:rPr>
            </w:pPr>
            <w:r w:rsidRPr="00F929CE">
              <w:rPr>
                <w:b w:val="0"/>
                <w:sz w:val="22"/>
              </w:rPr>
              <w:t xml:space="preserve">Do you think </w:t>
            </w:r>
            <w:r w:rsidR="00F929CE">
              <w:rPr>
                <w:b w:val="0"/>
                <w:sz w:val="22"/>
              </w:rPr>
              <w:t xml:space="preserve">online </w:t>
            </w:r>
            <w:r w:rsidRPr="00F929CE">
              <w:rPr>
                <w:b w:val="0"/>
                <w:sz w:val="22"/>
              </w:rPr>
              <w:t xml:space="preserve">suppliers should </w:t>
            </w:r>
            <w:r w:rsidR="006749B7">
              <w:rPr>
                <w:b w:val="0"/>
                <w:sz w:val="22"/>
              </w:rPr>
              <w:t xml:space="preserve">be required to </w:t>
            </w:r>
            <w:r w:rsidRPr="00F929CE">
              <w:rPr>
                <w:b w:val="0"/>
                <w:sz w:val="22"/>
              </w:rPr>
              <w:t>p</w:t>
            </w:r>
            <w:r w:rsidR="00364261">
              <w:rPr>
                <w:b w:val="0"/>
                <w:sz w:val="22"/>
              </w:rPr>
              <w:t>rovide ingredient</w:t>
            </w:r>
            <w:r w:rsidR="00F929CE">
              <w:rPr>
                <w:b w:val="0"/>
                <w:sz w:val="22"/>
              </w:rPr>
              <w:t xml:space="preserve"> </w:t>
            </w:r>
            <w:r w:rsidR="006749B7">
              <w:rPr>
                <w:b w:val="0"/>
                <w:sz w:val="22"/>
              </w:rPr>
              <w:t>information</w:t>
            </w:r>
            <w:r w:rsidR="00F929CE">
              <w:rPr>
                <w:b w:val="0"/>
                <w:sz w:val="22"/>
              </w:rPr>
              <w:t xml:space="preserve"> with the listing of their cosmetics</w:t>
            </w:r>
            <w:r w:rsidRPr="00F929CE">
              <w:rPr>
                <w:b w:val="0"/>
                <w:sz w:val="22"/>
              </w:rPr>
              <w:t>?</w:t>
            </w:r>
          </w:p>
          <w:p w14:paraId="4CC92088" w14:textId="65FCA0BD" w:rsidR="000972E9" w:rsidRDefault="000972E9" w:rsidP="00F929CE">
            <w:pPr>
              <w:pStyle w:val="LegalNumbering"/>
              <w:keepNext/>
              <w:numPr>
                <w:ilvl w:val="0"/>
                <w:numId w:val="54"/>
              </w:numPr>
              <w:tabs>
                <w:tab w:val="clear" w:pos="340"/>
                <w:tab w:val="clear" w:pos="680"/>
                <w:tab w:val="clear" w:pos="1021"/>
                <w:tab w:val="clear" w:pos="1361"/>
                <w:tab w:val="left" w:pos="4299"/>
              </w:tabs>
              <w:ind w:left="465" w:hanging="425"/>
              <w:rPr>
                <w:b w:val="0"/>
                <w:sz w:val="22"/>
              </w:rPr>
            </w:pPr>
            <w:r>
              <w:rPr>
                <w:b w:val="0"/>
                <w:sz w:val="22"/>
              </w:rPr>
              <w:t>Do you think suppliers should be required to disclose nanomaterials in the list of cosmetic ingredients?</w:t>
            </w:r>
            <w:r w:rsidR="00C67260">
              <w:rPr>
                <w:b w:val="0"/>
                <w:sz w:val="22"/>
              </w:rPr>
              <w:t xml:space="preserve"> Are there practical implications in adopting this requirement?</w:t>
            </w:r>
          </w:p>
          <w:p w14:paraId="6CB38ACF" w14:textId="784548CC" w:rsidR="000972E9" w:rsidRPr="00F929CE" w:rsidRDefault="000972E9" w:rsidP="00F929CE">
            <w:pPr>
              <w:pStyle w:val="LegalNumbering"/>
              <w:keepNext/>
              <w:numPr>
                <w:ilvl w:val="0"/>
                <w:numId w:val="54"/>
              </w:numPr>
              <w:tabs>
                <w:tab w:val="clear" w:pos="340"/>
                <w:tab w:val="clear" w:pos="680"/>
                <w:tab w:val="clear" w:pos="1021"/>
                <w:tab w:val="clear" w:pos="1361"/>
                <w:tab w:val="left" w:pos="4299"/>
              </w:tabs>
              <w:ind w:left="465" w:hanging="425"/>
              <w:rPr>
                <w:b w:val="0"/>
                <w:sz w:val="22"/>
              </w:rPr>
            </w:pPr>
            <w:r>
              <w:rPr>
                <w:b w:val="0"/>
                <w:sz w:val="22"/>
              </w:rPr>
              <w:t>Do you think suppliers should be required to disclose additional information on their cosmetic</w:t>
            </w:r>
            <w:r w:rsidR="00ED1B62">
              <w:rPr>
                <w:b w:val="0"/>
                <w:sz w:val="22"/>
              </w:rPr>
              <w:t>s</w:t>
            </w:r>
            <w:r>
              <w:rPr>
                <w:b w:val="0"/>
                <w:sz w:val="22"/>
              </w:rPr>
              <w:t xml:space="preserve"> (e.g. batch number, date of expiration, name and address of the manufacturer or distributor</w:t>
            </w:r>
            <w:r w:rsidR="00C67260">
              <w:rPr>
                <w:b w:val="0"/>
                <w:sz w:val="22"/>
              </w:rPr>
              <w:t>, function of the cosmetic product</w:t>
            </w:r>
            <w:r>
              <w:rPr>
                <w:b w:val="0"/>
                <w:sz w:val="22"/>
              </w:rPr>
              <w:t>)?</w:t>
            </w:r>
          </w:p>
          <w:p w14:paraId="343DF1C6" w14:textId="27142850" w:rsidR="006B63EB" w:rsidRDefault="006B63EB" w:rsidP="00F929CE">
            <w:pPr>
              <w:pStyle w:val="LegalNumbering"/>
              <w:keepNext/>
              <w:numPr>
                <w:ilvl w:val="0"/>
                <w:numId w:val="54"/>
              </w:numPr>
              <w:tabs>
                <w:tab w:val="clear" w:pos="340"/>
                <w:tab w:val="clear" w:pos="680"/>
                <w:tab w:val="clear" w:pos="1021"/>
                <w:tab w:val="clear" w:pos="1361"/>
                <w:tab w:val="left" w:pos="4299"/>
              </w:tabs>
              <w:ind w:left="465" w:hanging="425"/>
              <w:rPr>
                <w:b w:val="0"/>
                <w:sz w:val="22"/>
              </w:rPr>
            </w:pPr>
            <w:r w:rsidRPr="00F929CE">
              <w:rPr>
                <w:b w:val="0"/>
                <w:sz w:val="22"/>
              </w:rPr>
              <w:t xml:space="preserve">If you are a supplier, can you </w:t>
            </w:r>
            <w:r w:rsidR="00F929CE">
              <w:rPr>
                <w:b w:val="0"/>
                <w:sz w:val="22"/>
              </w:rPr>
              <w:t xml:space="preserve">advise of any increased costs </w:t>
            </w:r>
            <w:r w:rsidRPr="00F929CE">
              <w:rPr>
                <w:b w:val="0"/>
                <w:sz w:val="22"/>
              </w:rPr>
              <w:t xml:space="preserve">associated with </w:t>
            </w:r>
            <w:r w:rsidR="00F01470">
              <w:rPr>
                <w:b w:val="0"/>
                <w:sz w:val="22"/>
              </w:rPr>
              <w:t>o</w:t>
            </w:r>
            <w:r w:rsidRPr="00F929CE">
              <w:rPr>
                <w:b w:val="0"/>
                <w:sz w:val="22"/>
              </w:rPr>
              <w:t>ption 2</w:t>
            </w:r>
            <w:r w:rsidR="00F01470">
              <w:rPr>
                <w:b w:val="0"/>
                <w:sz w:val="22"/>
              </w:rPr>
              <w:t xml:space="preserve"> and option 3</w:t>
            </w:r>
            <w:r w:rsidRPr="00F929CE">
              <w:rPr>
                <w:b w:val="0"/>
                <w:sz w:val="22"/>
              </w:rPr>
              <w:t>?</w:t>
            </w:r>
          </w:p>
          <w:p w14:paraId="4D60B50C" w14:textId="0DE6D11C" w:rsidR="006B63EB" w:rsidRPr="00F929CE" w:rsidRDefault="00291099" w:rsidP="00F929CE">
            <w:pPr>
              <w:pStyle w:val="LegalNumbering"/>
              <w:keepNext/>
              <w:numPr>
                <w:ilvl w:val="0"/>
                <w:numId w:val="54"/>
              </w:numPr>
              <w:tabs>
                <w:tab w:val="clear" w:pos="340"/>
                <w:tab w:val="clear" w:pos="680"/>
                <w:tab w:val="clear" w:pos="1021"/>
                <w:tab w:val="clear" w:pos="1361"/>
                <w:tab w:val="left" w:pos="4299"/>
              </w:tabs>
              <w:ind w:left="465" w:hanging="425"/>
              <w:rPr>
                <w:b w:val="0"/>
                <w:sz w:val="22"/>
              </w:rPr>
            </w:pPr>
            <w:r w:rsidRPr="00F929CE">
              <w:rPr>
                <w:b w:val="0"/>
                <w:sz w:val="22"/>
              </w:rPr>
              <w:t xml:space="preserve">Are there </w:t>
            </w:r>
            <w:r w:rsidR="00C738C7" w:rsidRPr="00F929CE">
              <w:rPr>
                <w:b w:val="0"/>
                <w:sz w:val="22"/>
              </w:rPr>
              <w:t>additional matters</w:t>
            </w:r>
            <w:r w:rsidRPr="00F929CE">
              <w:rPr>
                <w:b w:val="0"/>
                <w:sz w:val="22"/>
              </w:rPr>
              <w:t xml:space="preserve"> the ACCC should consider?</w:t>
            </w:r>
          </w:p>
          <w:p w14:paraId="744FF0FA" w14:textId="589B0020" w:rsidR="00291099" w:rsidRPr="00291099" w:rsidRDefault="00291099" w:rsidP="00F929CE">
            <w:pPr>
              <w:pStyle w:val="LegalNumbering"/>
              <w:keepNext/>
              <w:numPr>
                <w:ilvl w:val="0"/>
                <w:numId w:val="54"/>
              </w:numPr>
              <w:tabs>
                <w:tab w:val="clear" w:pos="340"/>
                <w:tab w:val="clear" w:pos="680"/>
                <w:tab w:val="clear" w:pos="1021"/>
                <w:tab w:val="clear" w:pos="1361"/>
                <w:tab w:val="left" w:pos="4299"/>
              </w:tabs>
              <w:ind w:left="465" w:hanging="425"/>
              <w:rPr>
                <w:b w:val="0"/>
                <w:sz w:val="22"/>
              </w:rPr>
            </w:pPr>
            <w:r w:rsidRPr="00F929CE">
              <w:rPr>
                <w:b w:val="0"/>
                <w:sz w:val="22"/>
              </w:rPr>
              <w:t>Do you have any other comments or suggestions?</w:t>
            </w:r>
          </w:p>
        </w:tc>
      </w:tr>
    </w:tbl>
    <w:p w14:paraId="2CC30C7B" w14:textId="156832D9" w:rsidR="000F121A" w:rsidRPr="006A363D" w:rsidRDefault="0051448C" w:rsidP="009F10EE">
      <w:pPr>
        <w:pStyle w:val="Numbered1"/>
        <w:keepNext/>
        <w:numPr>
          <w:ilvl w:val="0"/>
          <w:numId w:val="12"/>
        </w:numPr>
        <w:ind w:left="357" w:hanging="357"/>
        <w:rPr>
          <w:rFonts w:ascii="Lucida Fax" w:hAnsi="Lucida Fax"/>
          <w:color w:val="51626F"/>
        </w:rPr>
      </w:pPr>
      <w:bookmarkStart w:id="63" w:name="_Toc17366907"/>
      <w:r w:rsidRPr="006A363D">
        <w:rPr>
          <w:rFonts w:ascii="Lucida Fax" w:hAnsi="Lucida Fax"/>
          <w:color w:val="51626F"/>
        </w:rPr>
        <w:t>Have your say</w:t>
      </w:r>
      <w:bookmarkEnd w:id="63"/>
    </w:p>
    <w:p w14:paraId="164F0CE1" w14:textId="0D85643A" w:rsidR="0051448C" w:rsidRDefault="0051448C" w:rsidP="009F10EE">
      <w:pPr>
        <w:keepNext/>
      </w:pPr>
      <w:r>
        <w:t>The ACCC invites</w:t>
      </w:r>
      <w:r w:rsidR="00CF6268">
        <w:t xml:space="preserve"> you to comment on this review.</w:t>
      </w:r>
      <w:r w:rsidR="00E849B7">
        <w:t xml:space="preserve"> </w:t>
      </w:r>
      <w:r>
        <w:t>Th</w:t>
      </w:r>
      <w:r w:rsidR="00EB7B42">
        <w:t xml:space="preserve">is </w:t>
      </w:r>
      <w:r>
        <w:t xml:space="preserve">consultation is open </w:t>
      </w:r>
      <w:r w:rsidRPr="00403C99">
        <w:t xml:space="preserve">from </w:t>
      </w:r>
      <w:r w:rsidR="00403C99" w:rsidRPr="00403C99">
        <w:t xml:space="preserve">14 November to 13 December </w:t>
      </w:r>
      <w:r w:rsidR="00AC2497" w:rsidRPr="00403C99">
        <w:t>2019</w:t>
      </w:r>
      <w:r w:rsidRPr="00403C99">
        <w:t>.</w:t>
      </w:r>
    </w:p>
    <w:p w14:paraId="71ADD5D3" w14:textId="77777777" w:rsidR="0051448C" w:rsidRDefault="0051448C" w:rsidP="008E3F14">
      <w:r>
        <w:t xml:space="preserve">The ACCC prefers that you submit your answers and other feedback online on our </w:t>
      </w:r>
      <w:r w:rsidRPr="00D854DB">
        <w:t>consultation hub</w:t>
      </w:r>
      <w:r w:rsidRPr="00D854DB">
        <w:rPr>
          <w:rStyle w:val="Hyperlink"/>
          <w:color w:val="auto"/>
          <w:u w:val="none"/>
        </w:rPr>
        <w:t xml:space="preserve"> at </w:t>
      </w:r>
      <w:hyperlink r:id="rId21" w:history="1">
        <w:r w:rsidRPr="0071058F">
          <w:rPr>
            <w:rStyle w:val="Hyperlink"/>
          </w:rPr>
          <w:t>consultation.accc.gov.au</w:t>
        </w:r>
      </w:hyperlink>
      <w:r>
        <w:t>.</w:t>
      </w:r>
    </w:p>
    <w:p w14:paraId="34F0E16F" w14:textId="77777777" w:rsidR="0051448C" w:rsidRDefault="0051448C" w:rsidP="00817C00">
      <w:pPr>
        <w:keepNext/>
      </w:pPr>
      <w:r>
        <w:t>Submissions can also be posted to:</w:t>
      </w:r>
    </w:p>
    <w:p w14:paraId="18053AD0" w14:textId="77777777" w:rsidR="0051448C" w:rsidRPr="002747CF" w:rsidRDefault="0051448C" w:rsidP="0051448C">
      <w:pPr>
        <w:ind w:left="340"/>
      </w:pPr>
      <w:r>
        <w:t>Director</w:t>
      </w:r>
      <w:r>
        <w:br/>
      </w:r>
      <w:r w:rsidRPr="00A07FB8">
        <w:t>Standards</w:t>
      </w:r>
      <w:r>
        <w:t xml:space="preserve"> and</w:t>
      </w:r>
      <w:r w:rsidRPr="00A07FB8">
        <w:t xml:space="preserve"> Policy</w:t>
      </w:r>
      <w:r>
        <w:br/>
        <w:t>Consumer Product Safety Branch</w:t>
      </w:r>
      <w:r>
        <w:br/>
      </w:r>
      <w:r w:rsidRPr="002747CF">
        <w:t>Australian Competition and Consumer Commission</w:t>
      </w:r>
      <w:r w:rsidRPr="002747CF">
        <w:br/>
        <w:t>GPO Box 3131</w:t>
      </w:r>
      <w:r w:rsidRPr="002747CF">
        <w:br/>
        <w:t>CANBERRA ACT 2601</w:t>
      </w:r>
    </w:p>
    <w:p w14:paraId="07A456BD" w14:textId="0C7638F1" w:rsidR="0051448C" w:rsidRPr="008751E9" w:rsidRDefault="0051448C" w:rsidP="0051448C">
      <w:r w:rsidRPr="00F806A2">
        <w:t>If the information you provide is of a confidential nature, we assure you that we will treat the details you provided confidentially. That is, the ACCC will not disclose the confidential information to third parties, other than advisors or consultants engaged directly by the ACCC, without first providing you with notice of its intention to do so, such as where it is compelled to do so by law. Please note that any information that you believe to be of a confidential nature should be clearly marked or identified as confidential.</w:t>
      </w:r>
      <w:r>
        <w:t xml:space="preserve"> See the </w:t>
      </w:r>
      <w:hyperlink r:id="rId22" w:history="1">
        <w:r>
          <w:rPr>
            <w:rStyle w:val="Hyperlink"/>
          </w:rPr>
          <w:t>ACCC &amp; AER information policy: collection and disclosure of information</w:t>
        </w:r>
      </w:hyperlink>
      <w:r>
        <w:t xml:space="preserve"> publication for more information.</w:t>
      </w:r>
    </w:p>
    <w:sectPr w:rsidR="0051448C" w:rsidRPr="008751E9" w:rsidSect="00CC0BB1">
      <w:headerReference w:type="even" r:id="rId23"/>
      <w:headerReference w:type="default" r:id="rId24"/>
      <w:footerReference w:type="default" r:id="rId25"/>
      <w:headerReference w:type="first" r:id="rId26"/>
      <w:footerReference w:type="first" r:id="rId27"/>
      <w:pgSz w:w="11906" w:h="16838"/>
      <w:pgMar w:top="1276" w:right="1440" w:bottom="1440" w:left="1440" w:header="708" w:footer="708" w:gutter="0"/>
      <w:pgNumType w:start="4"/>
      <w:cols w:space="708"/>
      <w:titlePg/>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419A6722" w16cid:durableId="1F9F9EA6"/>
  <w16cid:commentId w16cid:paraId="5B73491C" w16cid:durableId="1F9F9F95"/>
  <w16cid:commentId w16cid:paraId="70C89521" w16cid:durableId="1F9F9FBC"/>
  <w16cid:commentId w16cid:paraId="5A0E0AA6" w16cid:durableId="1F9FA08E"/>
  <w16cid:commentId w16cid:paraId="67BB5F4A" w16cid:durableId="1F9F9EA7"/>
  <w16cid:commentId w16cid:paraId="75D718D6" w16cid:durableId="1F9FA0CF"/>
  <w16cid:commentId w16cid:paraId="57E0C167" w16cid:durableId="1F9F9EA8"/>
  <w16cid:commentId w16cid:paraId="64686967" w16cid:durableId="1F9FA16A"/>
  <w16cid:commentId w16cid:paraId="4705F368" w16cid:durableId="1F9FA1E6"/>
  <w16cid:commentId w16cid:paraId="4A57AE3A" w16cid:durableId="1F9FA1B8"/>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71263FD" w14:textId="77777777" w:rsidR="00031E4C" w:rsidRDefault="00031E4C" w:rsidP="004B4412">
      <w:pPr>
        <w:spacing w:before="0"/>
      </w:pPr>
      <w:r>
        <w:separator/>
      </w:r>
    </w:p>
  </w:endnote>
  <w:endnote w:type="continuationSeparator" w:id="0">
    <w:p w14:paraId="0F53149F" w14:textId="77777777" w:rsidR="00031E4C" w:rsidRDefault="00031E4C" w:rsidP="004B4412">
      <w:pPr>
        <w:spacing w:before="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altName w:val="Calibri"/>
    <w:panose1 w:val="020F05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Palatino Linotype">
    <w:panose1 w:val="02040502050505030304"/>
    <w:charset w:val="00"/>
    <w:family w:val="roman"/>
    <w:pitch w:val="variable"/>
    <w:sig w:usb0="E0000287" w:usb1="40000013" w:usb2="00000000" w:usb3="00000000" w:csb0="0000019F" w:csb1="00000000"/>
  </w:font>
  <w:font w:name="Tahoma">
    <w:panose1 w:val="020B0604030504040204"/>
    <w:charset w:val="00"/>
    <w:family w:val="swiss"/>
    <w:pitch w:val="variable"/>
    <w:sig w:usb0="E1002EFF" w:usb1="C000605B" w:usb2="00000029" w:usb3="00000000" w:csb0="000101FF" w:csb1="00000000"/>
  </w:font>
  <w:font w:name="Lucida Fax">
    <w:panose1 w:val="020606020505050202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74621546"/>
      <w:docPartObj>
        <w:docPartGallery w:val="Page Numbers (Bottom of Page)"/>
        <w:docPartUnique/>
      </w:docPartObj>
    </w:sdtPr>
    <w:sdtEndPr>
      <w:rPr>
        <w:noProof/>
      </w:rPr>
    </w:sdtEndPr>
    <w:sdtContent>
      <w:p w14:paraId="1CD64871" w14:textId="26CC9493" w:rsidR="00A87F51" w:rsidRDefault="00A87F51">
        <w:pPr>
          <w:pStyle w:val="Footer"/>
          <w:jc w:val="right"/>
        </w:pPr>
        <w:r>
          <w:fldChar w:fldCharType="begin"/>
        </w:r>
        <w:r>
          <w:instrText xml:space="preserve"> PAGE   \* MERGEFORMAT </w:instrText>
        </w:r>
        <w:r>
          <w:fldChar w:fldCharType="separate"/>
        </w:r>
        <w:r w:rsidR="00C45A23">
          <w:rPr>
            <w:noProof/>
          </w:rPr>
          <w:t>3</w:t>
        </w:r>
        <w:r>
          <w:rPr>
            <w:noProof/>
          </w:rPr>
          <w:fldChar w:fldCharType="end"/>
        </w:r>
      </w:p>
    </w:sdtContent>
  </w:sdt>
  <w:p w14:paraId="6AEE9A84" w14:textId="77777777" w:rsidR="00F01470" w:rsidRDefault="00F0147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95049720"/>
      <w:docPartObj>
        <w:docPartGallery w:val="Page Numbers (Bottom of Page)"/>
        <w:docPartUnique/>
      </w:docPartObj>
    </w:sdtPr>
    <w:sdtEndPr>
      <w:rPr>
        <w:noProof/>
      </w:rPr>
    </w:sdtEndPr>
    <w:sdtContent>
      <w:p w14:paraId="02535358" w14:textId="1D0CAB54" w:rsidR="00F01470" w:rsidRDefault="00F01470">
        <w:pPr>
          <w:pStyle w:val="Footer"/>
          <w:jc w:val="right"/>
        </w:pPr>
        <w:r>
          <w:fldChar w:fldCharType="begin"/>
        </w:r>
        <w:r>
          <w:instrText xml:space="preserve"> PAGE   \* MERGEFORMAT </w:instrText>
        </w:r>
        <w:r>
          <w:fldChar w:fldCharType="separate"/>
        </w:r>
        <w:r w:rsidR="00C45A23">
          <w:rPr>
            <w:noProof/>
          </w:rPr>
          <w:t>5</w:t>
        </w:r>
        <w:r>
          <w:rPr>
            <w:noProof/>
          </w:rPr>
          <w:fldChar w:fldCharType="end"/>
        </w:r>
      </w:p>
    </w:sdtContent>
  </w:sdt>
  <w:p w14:paraId="18213534" w14:textId="47F71F0E" w:rsidR="00F01470" w:rsidRDefault="00F01470" w:rsidP="008E4741">
    <w:pPr>
      <w:pStyle w:val="Footer"/>
      <w:jc w:val="center"/>
    </w:pPr>
    <w:r>
      <w:t xml:space="preserve">Review of </w:t>
    </w:r>
    <w:r w:rsidRPr="00CC0BB1">
      <w:t xml:space="preserve">the </w:t>
    </w:r>
    <w:r>
      <w:t>information standard - Cosmetics ingredient labelling</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2737195"/>
      <w:docPartObj>
        <w:docPartGallery w:val="Page Numbers (Bottom of Page)"/>
        <w:docPartUnique/>
      </w:docPartObj>
    </w:sdtPr>
    <w:sdtEndPr>
      <w:rPr>
        <w:noProof/>
      </w:rPr>
    </w:sdtEndPr>
    <w:sdtContent>
      <w:p w14:paraId="3823A498" w14:textId="1B4DA501" w:rsidR="00F01470" w:rsidRDefault="00F01470">
        <w:pPr>
          <w:pStyle w:val="Footer"/>
          <w:jc w:val="right"/>
        </w:pPr>
        <w:r>
          <w:fldChar w:fldCharType="begin"/>
        </w:r>
        <w:r>
          <w:instrText xml:space="preserve"> PAGE   \* MERGEFORMAT </w:instrText>
        </w:r>
        <w:r>
          <w:fldChar w:fldCharType="separate"/>
        </w:r>
        <w:r w:rsidR="00C45A23">
          <w:rPr>
            <w:noProof/>
          </w:rPr>
          <w:t>4</w:t>
        </w:r>
        <w:r>
          <w:rPr>
            <w:noProof/>
          </w:rPr>
          <w:fldChar w:fldCharType="end"/>
        </w:r>
      </w:p>
    </w:sdtContent>
  </w:sdt>
  <w:p w14:paraId="0CFBD767" w14:textId="182FF82F" w:rsidR="00F01470" w:rsidRDefault="00F01470" w:rsidP="00CC0BB1">
    <w:pPr>
      <w:pStyle w:val="Footer"/>
      <w:jc w:val="center"/>
    </w:pPr>
    <w:r>
      <w:t xml:space="preserve">Review of </w:t>
    </w:r>
    <w:r w:rsidRPr="00CC0BB1">
      <w:t xml:space="preserve">the </w:t>
    </w:r>
    <w:r>
      <w:t>information standard - Cosmetics ingredient labelling</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2CE6140" w14:textId="77777777" w:rsidR="00031E4C" w:rsidRDefault="00031E4C" w:rsidP="004B4412">
      <w:pPr>
        <w:spacing w:before="0"/>
      </w:pPr>
      <w:r>
        <w:separator/>
      </w:r>
    </w:p>
  </w:footnote>
  <w:footnote w:type="continuationSeparator" w:id="0">
    <w:p w14:paraId="2EDF7F09" w14:textId="77777777" w:rsidR="00031E4C" w:rsidRDefault="00031E4C" w:rsidP="004B4412">
      <w:pPr>
        <w:spacing w:before="0"/>
      </w:pPr>
      <w:r>
        <w:continuationSeparator/>
      </w:r>
    </w:p>
  </w:footnote>
  <w:footnote w:id="1">
    <w:p w14:paraId="0EF66045" w14:textId="4079B588" w:rsidR="00F01470" w:rsidRDefault="00F01470" w:rsidP="004B4CE9">
      <w:pPr>
        <w:pStyle w:val="FootnoteText"/>
      </w:pPr>
      <w:r>
        <w:rPr>
          <w:rStyle w:val="FootnoteReference"/>
        </w:rPr>
        <w:footnoteRef/>
      </w:r>
      <w:r>
        <w:t xml:space="preserve"> </w:t>
      </w:r>
      <w:r w:rsidRPr="000F2013">
        <w:t>Harvard T.H. Chan School of Public Healt</w:t>
      </w:r>
      <w:r>
        <w:t xml:space="preserve">h, </w:t>
      </w:r>
      <w:hyperlink r:id="rId1" w:history="1">
        <w:r w:rsidRPr="0089457E">
          <w:rPr>
            <w:rStyle w:val="Hyperlink"/>
            <w:sz w:val="16"/>
          </w:rPr>
          <w:t>https://www.hsph.harvard.edu/news/hsph-in-the-news/personal-care-products-health-risks/</w:t>
        </w:r>
      </w:hyperlink>
      <w:r>
        <w:t>, accessed 21 December 2018</w:t>
      </w:r>
    </w:p>
  </w:footnote>
  <w:footnote w:id="2">
    <w:p w14:paraId="6B601998" w14:textId="18391B19" w:rsidR="00F01470" w:rsidRDefault="00F01470" w:rsidP="006B5A1B">
      <w:pPr>
        <w:pStyle w:val="FootnoteText"/>
      </w:pPr>
      <w:r>
        <w:rPr>
          <w:rStyle w:val="FootnoteReference"/>
        </w:rPr>
        <w:footnoteRef/>
      </w:r>
      <w:r>
        <w:t xml:space="preserve"> </w:t>
      </w:r>
      <w:r w:rsidRPr="00F331B2">
        <w:t>ASCIA</w:t>
      </w:r>
      <w:r>
        <w:t xml:space="preserve">, </w:t>
      </w:r>
      <w:hyperlink r:id="rId2" w:history="1">
        <w:r w:rsidRPr="0089457E">
          <w:rPr>
            <w:rStyle w:val="Hyperlink"/>
            <w:sz w:val="16"/>
          </w:rPr>
          <w:t>https://www.allergy.org.au/patients/skin-allergy/contact-dermatitis</w:t>
        </w:r>
      </w:hyperlink>
      <w:r>
        <w:t>, accessed 21 December 2018</w:t>
      </w:r>
    </w:p>
  </w:footnote>
  <w:footnote w:id="3">
    <w:p w14:paraId="2DE13CD1" w14:textId="1AC6E7E5" w:rsidR="00F01470" w:rsidRDefault="00F01470" w:rsidP="00BC7167">
      <w:pPr>
        <w:pStyle w:val="FootnoteText"/>
      </w:pPr>
      <w:r>
        <w:rPr>
          <w:rStyle w:val="FootnoteReference"/>
        </w:rPr>
        <w:footnoteRef/>
      </w:r>
      <w:r>
        <w:t xml:space="preserve"> </w:t>
      </w:r>
      <w:r w:rsidRPr="00BC7167">
        <w:rPr>
          <w:i/>
        </w:rPr>
        <w:t>Cosmetics and contact dermatitis</w:t>
      </w:r>
      <w:r>
        <w:rPr>
          <w:i/>
        </w:rPr>
        <w:t>,</w:t>
      </w:r>
      <w:r w:rsidRPr="008869B5">
        <w:t xml:space="preserve"> Wolf R, Wolf D, Tüzün B, Tüzün Y. Dermatol Therapy</w:t>
      </w:r>
      <w:r w:rsidR="003B1A22">
        <w:t>. 2001;14:181–7</w:t>
      </w:r>
    </w:p>
  </w:footnote>
  <w:footnote w:id="4">
    <w:p w14:paraId="70A04EC2" w14:textId="3B133E02" w:rsidR="003B1A22" w:rsidRPr="00604812" w:rsidRDefault="003B1A22" w:rsidP="003B1A22">
      <w:pPr>
        <w:pStyle w:val="FootnoteText"/>
        <w:rPr>
          <w:szCs w:val="16"/>
        </w:rPr>
      </w:pPr>
      <w:r>
        <w:rPr>
          <w:rStyle w:val="FootnoteReference"/>
        </w:rPr>
        <w:footnoteRef/>
      </w:r>
      <w:r>
        <w:t xml:space="preserve"> </w:t>
      </w:r>
      <w:r w:rsidRPr="00604812">
        <w:rPr>
          <w:rFonts w:cs="Arial"/>
          <w:szCs w:val="16"/>
          <w:shd w:val="clear" w:color="auto" w:fill="FFFFFF"/>
        </w:rPr>
        <w:t>Zukiewicz-Sobczak WA, Adamczuk P, Wróblewska P, et al, Allergy to selected cosmetic ingredients, </w:t>
      </w:r>
      <w:r w:rsidRPr="00604812">
        <w:rPr>
          <w:rFonts w:cs="Arial"/>
          <w:i/>
          <w:iCs/>
          <w:szCs w:val="16"/>
          <w:shd w:val="clear" w:color="auto" w:fill="FFFFFF"/>
        </w:rPr>
        <w:t>Postepy Dermatol Alergol</w:t>
      </w:r>
      <w:r w:rsidRPr="00604812">
        <w:rPr>
          <w:rFonts w:cs="Arial"/>
          <w:szCs w:val="16"/>
          <w:shd w:val="clear" w:color="auto" w:fill="FFFFFF"/>
        </w:rPr>
        <w:t>, 2013, pp. 307–310</w:t>
      </w:r>
    </w:p>
  </w:footnote>
  <w:footnote w:id="5">
    <w:p w14:paraId="166CA0E6" w14:textId="2EB6D37A" w:rsidR="00F01470" w:rsidRPr="00943CAC" w:rsidRDefault="00F01470" w:rsidP="00A50D89">
      <w:pPr>
        <w:pStyle w:val="FootnoteText"/>
        <w:rPr>
          <w:szCs w:val="16"/>
        </w:rPr>
      </w:pPr>
      <w:r w:rsidRPr="00604812">
        <w:rPr>
          <w:rStyle w:val="FootnoteReference"/>
        </w:rPr>
        <w:footnoteRef/>
      </w:r>
      <w:r w:rsidRPr="00604812">
        <w:t xml:space="preserve"> </w:t>
      </w:r>
      <w:r w:rsidRPr="00604812">
        <w:rPr>
          <w:i/>
        </w:rPr>
        <w:t xml:space="preserve">Hazardous Ingredients in Cosmetics </w:t>
      </w:r>
      <w:r w:rsidRPr="00D1656D">
        <w:rPr>
          <w:i/>
        </w:rPr>
        <w:t>and Personal Care Products and Health Concern: A Review</w:t>
      </w:r>
      <w:r w:rsidRPr="00EC7463">
        <w:t xml:space="preserve"> Siti Zulaikha R., Sharifah Norkhadijah S. I.*, Praveena S. M. Department of Environmental and Occupational Health, Faculty of Medicine and Health Sciences</w:t>
      </w:r>
      <w:r w:rsidRPr="00943CAC">
        <w:rPr>
          <w:szCs w:val="16"/>
        </w:rPr>
        <w:t>, Universiti Putra Mal</w:t>
      </w:r>
      <w:r>
        <w:rPr>
          <w:szCs w:val="16"/>
        </w:rPr>
        <w:t>aysia, Selangor, Malaysia, 2015</w:t>
      </w:r>
    </w:p>
  </w:footnote>
  <w:footnote w:id="6">
    <w:p w14:paraId="7E803AFE" w14:textId="1A4E6455" w:rsidR="00F01470" w:rsidRPr="00943CAC" w:rsidRDefault="00F01470" w:rsidP="00BD25EB">
      <w:pPr>
        <w:pStyle w:val="FootnoteText"/>
        <w:rPr>
          <w:szCs w:val="16"/>
        </w:rPr>
      </w:pPr>
      <w:r w:rsidRPr="00943CAC">
        <w:rPr>
          <w:rStyle w:val="FootnoteReference"/>
          <w:szCs w:val="16"/>
        </w:rPr>
        <w:footnoteRef/>
      </w:r>
      <w:r w:rsidRPr="00943CAC">
        <w:rPr>
          <w:szCs w:val="16"/>
        </w:rPr>
        <w:t xml:space="preserve"> Statista</w:t>
      </w:r>
      <w:r>
        <w:rPr>
          <w:szCs w:val="16"/>
        </w:rPr>
        <w:t>,</w:t>
      </w:r>
      <w:r w:rsidRPr="00943CAC">
        <w:rPr>
          <w:szCs w:val="16"/>
        </w:rPr>
        <w:t xml:space="preserve"> </w:t>
      </w:r>
      <w:hyperlink r:id="rId3" w:history="1">
        <w:r w:rsidRPr="00943CAC">
          <w:rPr>
            <w:rStyle w:val="Hyperlink"/>
            <w:sz w:val="16"/>
            <w:szCs w:val="16"/>
          </w:rPr>
          <w:t>https://www.statista.com/outlook/70000000/107/beauty-personal-care/australia</w:t>
        </w:r>
      </w:hyperlink>
      <w:r>
        <w:rPr>
          <w:szCs w:val="16"/>
        </w:rPr>
        <w:t xml:space="preserve">, accessed </w:t>
      </w:r>
      <w:r w:rsidRPr="00943CAC">
        <w:rPr>
          <w:szCs w:val="16"/>
        </w:rPr>
        <w:t>5 June 2019</w:t>
      </w:r>
    </w:p>
  </w:footnote>
  <w:footnote w:id="7">
    <w:p w14:paraId="543FD3A4" w14:textId="164FA0BC" w:rsidR="00F01470" w:rsidRDefault="00F01470" w:rsidP="00D95421">
      <w:pPr>
        <w:pStyle w:val="FootnoteText"/>
      </w:pPr>
      <w:r>
        <w:rPr>
          <w:rStyle w:val="FootnoteReference"/>
        </w:rPr>
        <w:footnoteRef/>
      </w:r>
      <w:r>
        <w:t xml:space="preserve"> IBISWorld, </w:t>
      </w:r>
      <w:hyperlink r:id="rId4" w:history="1">
        <w:r w:rsidRPr="00CD5534">
          <w:rPr>
            <w:rStyle w:val="Hyperlink"/>
            <w:sz w:val="16"/>
          </w:rPr>
          <w:t>http://clients1.ibisworld.com.au/reports/au/industry/productsandmarkets.aspx?entid=1879</w:t>
        </w:r>
      </w:hyperlink>
      <w:r>
        <w:t>, accessed 29 November 2018</w:t>
      </w:r>
    </w:p>
  </w:footnote>
  <w:footnote w:id="8">
    <w:p w14:paraId="2FA712FF" w14:textId="36D66B35" w:rsidR="00F01470" w:rsidRPr="00D81B55" w:rsidRDefault="00F01470" w:rsidP="00D95421">
      <w:pPr>
        <w:pStyle w:val="FootnoteText"/>
        <w:rPr>
          <w:b/>
        </w:rPr>
      </w:pPr>
      <w:r>
        <w:rPr>
          <w:rStyle w:val="FootnoteReference"/>
        </w:rPr>
        <w:footnoteRef/>
      </w:r>
      <w:r>
        <w:t xml:space="preserve"> Euromonitor International, Beauty and Personal Care in Australia, May 2018, </w:t>
      </w:r>
      <w:hyperlink r:id="rId5" w:history="1">
        <w:r w:rsidRPr="00B62573">
          <w:rPr>
            <w:rStyle w:val="Hyperlink"/>
            <w:sz w:val="16"/>
          </w:rPr>
          <w:t>https://www.euromonitor.com/beuty-and-personal-care-in-australia/report</w:t>
        </w:r>
      </w:hyperlink>
      <w:r w:rsidRPr="00D20B63">
        <w:rPr>
          <w:rStyle w:val="Hyperlink"/>
          <w:color w:val="auto"/>
          <w:sz w:val="16"/>
          <w:u w:val="none"/>
        </w:rPr>
        <w:t>,</w:t>
      </w:r>
      <w:r w:rsidRPr="00D20B63">
        <w:t xml:space="preserve"> </w:t>
      </w:r>
      <w:r>
        <w:t>accessed 30 November 2018</w:t>
      </w:r>
    </w:p>
  </w:footnote>
  <w:footnote w:id="9">
    <w:p w14:paraId="6341B476" w14:textId="4EB271BA" w:rsidR="00F01470" w:rsidRPr="004C0CF7" w:rsidRDefault="00F01470">
      <w:pPr>
        <w:pStyle w:val="FootnoteText"/>
        <w:rPr>
          <w:szCs w:val="16"/>
        </w:rPr>
      </w:pPr>
      <w:r>
        <w:rPr>
          <w:rStyle w:val="FootnoteReference"/>
        </w:rPr>
        <w:footnoteRef/>
      </w:r>
      <w:r>
        <w:t xml:space="preserve"> Statista, Cosmetics &amp; </w:t>
      </w:r>
      <w:r w:rsidRPr="004C0CF7">
        <w:rPr>
          <w:szCs w:val="16"/>
        </w:rPr>
        <w:t>Personal Care Report 2019, Statista Consumer Market Outlook – Market Report, April 2019</w:t>
      </w:r>
    </w:p>
  </w:footnote>
  <w:footnote w:id="10">
    <w:p w14:paraId="67A36029" w14:textId="1F386947" w:rsidR="00672742" w:rsidRDefault="00672742" w:rsidP="00672742">
      <w:pPr>
        <w:pStyle w:val="FootnoteText"/>
      </w:pPr>
      <w:r w:rsidRPr="004C0CF7">
        <w:rPr>
          <w:rStyle w:val="FootnoteReference"/>
          <w:szCs w:val="16"/>
        </w:rPr>
        <w:footnoteRef/>
      </w:r>
      <w:r w:rsidRPr="004C0CF7">
        <w:rPr>
          <w:szCs w:val="16"/>
        </w:rPr>
        <w:t xml:space="preserve"> </w:t>
      </w:r>
      <w:r w:rsidRPr="00654D6A">
        <w:rPr>
          <w:szCs w:val="16"/>
        </w:rPr>
        <w:t>IBISworld</w:t>
      </w:r>
      <w:r>
        <w:rPr>
          <w:szCs w:val="16"/>
        </w:rPr>
        <w:t xml:space="preserve"> Industry Report C1852</w:t>
      </w:r>
      <w:r w:rsidR="003F60B0">
        <w:rPr>
          <w:szCs w:val="16"/>
        </w:rPr>
        <w:t>,</w:t>
      </w:r>
      <w:r w:rsidRPr="004C0CF7">
        <w:rPr>
          <w:szCs w:val="16"/>
        </w:rPr>
        <w:t xml:space="preserve"> </w:t>
      </w:r>
      <w:hyperlink r:id="rId6" w:history="1">
        <w:r w:rsidRPr="003359BE">
          <w:rPr>
            <w:rStyle w:val="Hyperlink"/>
            <w:sz w:val="16"/>
            <w:szCs w:val="16"/>
          </w:rPr>
          <w:t>http://clients1.ibisworld.com.au/reports/au/industry/default.aspx?entid=191</w:t>
        </w:r>
      </w:hyperlink>
      <w:r>
        <w:rPr>
          <w:szCs w:val="16"/>
        </w:rPr>
        <w:t>, accessed 23 July 2019</w:t>
      </w:r>
    </w:p>
  </w:footnote>
  <w:footnote w:id="11">
    <w:p w14:paraId="2AEEA89D" w14:textId="22FAFF1A" w:rsidR="00F01470" w:rsidRPr="00943CAC" w:rsidRDefault="00F01470" w:rsidP="006178FD">
      <w:pPr>
        <w:pStyle w:val="FootnoteText"/>
        <w:rPr>
          <w:szCs w:val="16"/>
        </w:rPr>
      </w:pPr>
      <w:r w:rsidRPr="00943CAC">
        <w:rPr>
          <w:rStyle w:val="FootnoteReference"/>
          <w:szCs w:val="16"/>
        </w:rPr>
        <w:footnoteRef/>
      </w:r>
      <w:r w:rsidRPr="00943CAC">
        <w:rPr>
          <w:szCs w:val="16"/>
        </w:rPr>
        <w:t xml:space="preserve"> </w:t>
      </w:r>
      <w:r>
        <w:rPr>
          <w:szCs w:val="16"/>
        </w:rPr>
        <w:t>IBISworld,</w:t>
      </w:r>
      <w:r w:rsidRPr="00943CAC">
        <w:rPr>
          <w:szCs w:val="16"/>
        </w:rPr>
        <w:t xml:space="preserve"> </w:t>
      </w:r>
      <w:hyperlink r:id="rId7" w:history="1">
        <w:r w:rsidRPr="00FD5770">
          <w:rPr>
            <w:rStyle w:val="Hyperlink"/>
            <w:sz w:val="16"/>
            <w:szCs w:val="16"/>
          </w:rPr>
          <w:t>http://clients1.ibisworld.com.au/reports/au/industry/currentperformance.aspx?entid=191</w:t>
        </w:r>
      </w:hyperlink>
      <w:r>
        <w:rPr>
          <w:szCs w:val="16"/>
        </w:rPr>
        <w:t>, accessed 23 July 2019</w:t>
      </w:r>
    </w:p>
  </w:footnote>
  <w:footnote w:id="12">
    <w:p w14:paraId="237FD5B2" w14:textId="3DA7672F" w:rsidR="00F01470" w:rsidRDefault="00F01470" w:rsidP="005B0065">
      <w:pPr>
        <w:pStyle w:val="FootnoteText"/>
      </w:pPr>
      <w:r>
        <w:rPr>
          <w:rStyle w:val="FootnoteReference"/>
        </w:rPr>
        <w:footnoteRef/>
      </w:r>
      <w:r>
        <w:t xml:space="preserve"> Sunscreens with an SPF rating of over four are regulated as therapeutic goods by the Therapeutic Goods Administration (TGA) and may have different or additional requirements. Secondary sunscreens that meet the requirements of the TGA’s Therapeutic Goods (Excluded Goods) Determination 2018 are regulated as cosmetics. </w:t>
      </w:r>
    </w:p>
  </w:footnote>
  <w:footnote w:id="13">
    <w:p w14:paraId="4405B2C6" w14:textId="77777777" w:rsidR="00F01470" w:rsidRDefault="00F01470" w:rsidP="00EC31DF">
      <w:pPr>
        <w:pStyle w:val="FootnoteText"/>
      </w:pPr>
      <w:r>
        <w:rPr>
          <w:rStyle w:val="FootnoteReference"/>
        </w:rPr>
        <w:footnoteRef/>
      </w:r>
      <w:r>
        <w:t xml:space="preserve"> Finger paints are excluded from cosmetic regulations and instead captured under Consumer Protection Notice No. 1 of 2009 – </w:t>
      </w:r>
      <w:r w:rsidRPr="008B3B1B">
        <w:rPr>
          <w:i/>
        </w:rPr>
        <w:t>Consumer Product Safety Standard for Lead and Certain Elements in Children’s Toys</w:t>
      </w:r>
    </w:p>
  </w:footnote>
  <w:footnote w:id="14">
    <w:p w14:paraId="0E0B3E25" w14:textId="77777777" w:rsidR="00F01470" w:rsidRDefault="00F01470" w:rsidP="008119CF">
      <w:pPr>
        <w:pStyle w:val="FootnoteText"/>
      </w:pPr>
      <w:r>
        <w:rPr>
          <w:rStyle w:val="FootnoteReference"/>
        </w:rPr>
        <w:footnoteRef/>
      </w:r>
      <w:r>
        <w:t xml:space="preserve"> Cosmetics &amp; Personal Care Report 2019, Statista Consumer Market Outlook – Market Report, April 2019</w:t>
      </w:r>
    </w:p>
  </w:footnote>
  <w:footnote w:id="15">
    <w:p w14:paraId="11345129" w14:textId="77777777" w:rsidR="00F01470" w:rsidRDefault="00F01470" w:rsidP="000F6B0C">
      <w:pPr>
        <w:pStyle w:val="FootnoteText"/>
      </w:pPr>
      <w:r>
        <w:rPr>
          <w:rStyle w:val="FootnoteReference"/>
        </w:rPr>
        <w:footnoteRef/>
      </w:r>
      <w:r>
        <w:t xml:space="preserve"> ACCC, </w:t>
      </w:r>
      <w:r w:rsidRPr="000268CC">
        <w:rPr>
          <w:szCs w:val="16"/>
        </w:rPr>
        <w:t xml:space="preserve">International standards for the safety of consumer products - criteria for acceptance, ACCC policy principles, 22 July 2015, </w:t>
      </w:r>
      <w:hyperlink r:id="rId8" w:history="1">
        <w:r w:rsidRPr="00625A3A">
          <w:rPr>
            <w:rStyle w:val="Hyperlink"/>
            <w:sz w:val="16"/>
            <w:szCs w:val="16"/>
          </w:rPr>
          <w:t>www.productsafety.gov.au/content/index.phtml/itemId/1014180</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492C1C" w14:textId="4D461D24" w:rsidR="00F01470" w:rsidRDefault="00F0147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1431C4" w14:textId="15D8C73F" w:rsidR="00F01470" w:rsidRDefault="00F01470">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7122DE" w14:textId="59F5FF0B" w:rsidR="00F01470" w:rsidRDefault="00F01470">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1257CF" w14:textId="677D4A5E" w:rsidR="00F01470" w:rsidRDefault="00F01470">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6E1432" w14:textId="4C9AE95D" w:rsidR="00F01470" w:rsidRDefault="00F01470">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981049" w14:textId="38607535" w:rsidR="00F01470" w:rsidRDefault="00F0147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w14:anchorId="42EC9E44"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8" type="#_x0000_t75" style="width:3in;height:3in" o:bullet="t"/>
    </w:pict>
  </w:numPicBullet>
  <w:numPicBullet w:numPicBulletId="1">
    <w:pict>
      <v:shape id="_x0000_i1049" type="#_x0000_t75" style="width:3in;height:3in" o:bullet="t"/>
    </w:pict>
  </w:numPicBullet>
  <w:numPicBullet w:numPicBulletId="2">
    <w:pict>
      <v:shape id="_x0000_i1050" type="#_x0000_t75" style="width:3in;height:3in" o:bullet="t"/>
    </w:pict>
  </w:numPicBullet>
  <w:abstractNum w:abstractNumId="0" w15:restartNumberingAfterBreak="0">
    <w:nsid w:val="FFFFFF7C"/>
    <w:multiLevelType w:val="singleLevel"/>
    <w:tmpl w:val="34BEAAD6"/>
    <w:lvl w:ilvl="0">
      <w:start w:val="1"/>
      <w:numFmt w:val="decimal"/>
      <w:pStyle w:val="ListNumber5"/>
      <w:lvlText w:val="%1."/>
      <w:lvlJc w:val="left"/>
      <w:pPr>
        <w:ind w:left="1701" w:hanging="340"/>
      </w:pPr>
      <w:rPr>
        <w:rFonts w:hint="default"/>
      </w:rPr>
    </w:lvl>
  </w:abstractNum>
  <w:abstractNum w:abstractNumId="1" w15:restartNumberingAfterBreak="0">
    <w:nsid w:val="FFFFFF7D"/>
    <w:multiLevelType w:val="singleLevel"/>
    <w:tmpl w:val="33EA20A0"/>
    <w:lvl w:ilvl="0">
      <w:start w:val="1"/>
      <w:numFmt w:val="decimal"/>
      <w:pStyle w:val="ListNumber4"/>
      <w:lvlText w:val="%1."/>
      <w:lvlJc w:val="left"/>
      <w:pPr>
        <w:ind w:left="1361" w:hanging="340"/>
      </w:pPr>
      <w:rPr>
        <w:rFonts w:hint="default"/>
      </w:rPr>
    </w:lvl>
  </w:abstractNum>
  <w:abstractNum w:abstractNumId="2" w15:restartNumberingAfterBreak="0">
    <w:nsid w:val="FFFFFF7E"/>
    <w:multiLevelType w:val="singleLevel"/>
    <w:tmpl w:val="91FCDF1E"/>
    <w:lvl w:ilvl="0">
      <w:start w:val="1"/>
      <w:numFmt w:val="decimal"/>
      <w:pStyle w:val="ListNumber3"/>
      <w:lvlText w:val="%1."/>
      <w:lvlJc w:val="left"/>
      <w:pPr>
        <w:ind w:left="1021" w:hanging="341"/>
      </w:pPr>
      <w:rPr>
        <w:rFonts w:hint="default"/>
      </w:rPr>
    </w:lvl>
  </w:abstractNum>
  <w:abstractNum w:abstractNumId="3" w15:restartNumberingAfterBreak="0">
    <w:nsid w:val="FFFFFF7F"/>
    <w:multiLevelType w:val="singleLevel"/>
    <w:tmpl w:val="C1DEEDE0"/>
    <w:lvl w:ilvl="0">
      <w:start w:val="1"/>
      <w:numFmt w:val="decimal"/>
      <w:pStyle w:val="ListNumber2"/>
      <w:lvlText w:val="%1."/>
      <w:lvlJc w:val="left"/>
      <w:pPr>
        <w:ind w:left="680" w:hanging="340"/>
      </w:pPr>
      <w:rPr>
        <w:rFonts w:hint="default"/>
      </w:rPr>
    </w:lvl>
  </w:abstractNum>
  <w:abstractNum w:abstractNumId="4" w15:restartNumberingAfterBreak="0">
    <w:nsid w:val="FFFFFF80"/>
    <w:multiLevelType w:val="singleLevel"/>
    <w:tmpl w:val="E38619F2"/>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93BE8B62"/>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E46A7DC6"/>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E262730C"/>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42BC9528"/>
    <w:lvl w:ilvl="0">
      <w:start w:val="1"/>
      <w:numFmt w:val="decimal"/>
      <w:pStyle w:val="ListNumber"/>
      <w:lvlText w:val="%1."/>
      <w:lvlJc w:val="left"/>
      <w:pPr>
        <w:tabs>
          <w:tab w:val="num" w:pos="340"/>
        </w:tabs>
        <w:ind w:left="340" w:hanging="340"/>
      </w:pPr>
      <w:rPr>
        <w:rFonts w:hint="default"/>
      </w:rPr>
    </w:lvl>
  </w:abstractNum>
  <w:abstractNum w:abstractNumId="9" w15:restartNumberingAfterBreak="0">
    <w:nsid w:val="05997284"/>
    <w:multiLevelType w:val="hybridMultilevel"/>
    <w:tmpl w:val="E8B87A9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 w15:restartNumberingAfterBreak="0">
    <w:nsid w:val="06521535"/>
    <w:multiLevelType w:val="hybridMultilevel"/>
    <w:tmpl w:val="B310E290"/>
    <w:lvl w:ilvl="0" w:tplc="9B7204F0">
      <w:start w:val="3"/>
      <w:numFmt w:val="bullet"/>
      <w:lvlText w:val="-"/>
      <w:lvlJc w:val="left"/>
      <w:pPr>
        <w:ind w:left="720" w:hanging="36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0AD66225"/>
    <w:multiLevelType w:val="hybridMultilevel"/>
    <w:tmpl w:val="F1AC0F9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0DD2542B"/>
    <w:multiLevelType w:val="hybridMultilevel"/>
    <w:tmpl w:val="7C60E1FC"/>
    <w:lvl w:ilvl="0" w:tplc="021E8868">
      <w:start w:val="1"/>
      <w:numFmt w:val="decimal"/>
      <w:pStyle w:val="ListParagraph"/>
      <w:lvlText w:val="%1."/>
      <w:lvlJc w:val="left"/>
      <w:pPr>
        <w:ind w:left="340" w:hanging="34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3" w15:restartNumberingAfterBreak="0">
    <w:nsid w:val="0FC6537F"/>
    <w:multiLevelType w:val="hybridMultilevel"/>
    <w:tmpl w:val="E6AC024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 w15:restartNumberingAfterBreak="0">
    <w:nsid w:val="133E73B6"/>
    <w:multiLevelType w:val="hybridMultilevel"/>
    <w:tmpl w:val="80220B84"/>
    <w:lvl w:ilvl="0" w:tplc="F5987420">
      <w:start w:val="1"/>
      <w:numFmt w:val="decimal"/>
      <w:pStyle w:val="Numberedparagraph"/>
      <w:lvlText w:val="%1."/>
      <w:lvlJc w:val="left"/>
      <w:pPr>
        <w:ind w:left="360" w:hanging="360"/>
      </w:pPr>
      <w:rPr>
        <w:rFonts w:hint="default"/>
      </w:rPr>
    </w:lvl>
    <w:lvl w:ilvl="1" w:tplc="A5728FDE">
      <w:start w:val="1"/>
      <w:numFmt w:val="bullet"/>
      <w:lvlText w:val="o"/>
      <w:lvlJc w:val="left"/>
      <w:pPr>
        <w:ind w:left="2520" w:hanging="360"/>
      </w:pPr>
      <w:rPr>
        <w:rFonts w:ascii="Courier New" w:hAnsi="Courier New" w:cs="Courier New" w:hint="default"/>
      </w:rPr>
    </w:lvl>
    <w:lvl w:ilvl="2" w:tplc="B6B8266A" w:tentative="1">
      <w:start w:val="1"/>
      <w:numFmt w:val="bullet"/>
      <w:lvlText w:val=""/>
      <w:lvlJc w:val="left"/>
      <w:pPr>
        <w:ind w:left="3240" w:hanging="360"/>
      </w:pPr>
      <w:rPr>
        <w:rFonts w:ascii="Wingdings" w:hAnsi="Wingdings" w:hint="default"/>
      </w:rPr>
    </w:lvl>
    <w:lvl w:ilvl="3" w:tplc="0E067E3E" w:tentative="1">
      <w:start w:val="1"/>
      <w:numFmt w:val="bullet"/>
      <w:lvlText w:val=""/>
      <w:lvlJc w:val="left"/>
      <w:pPr>
        <w:ind w:left="3960" w:hanging="360"/>
      </w:pPr>
      <w:rPr>
        <w:rFonts w:ascii="Symbol" w:hAnsi="Symbol" w:hint="default"/>
      </w:rPr>
    </w:lvl>
    <w:lvl w:ilvl="4" w:tplc="9D8444DE" w:tentative="1">
      <w:start w:val="1"/>
      <w:numFmt w:val="bullet"/>
      <w:lvlText w:val="o"/>
      <w:lvlJc w:val="left"/>
      <w:pPr>
        <w:ind w:left="4680" w:hanging="360"/>
      </w:pPr>
      <w:rPr>
        <w:rFonts w:ascii="Courier New" w:hAnsi="Courier New" w:cs="Courier New" w:hint="default"/>
      </w:rPr>
    </w:lvl>
    <w:lvl w:ilvl="5" w:tplc="47DE7D34" w:tentative="1">
      <w:start w:val="1"/>
      <w:numFmt w:val="bullet"/>
      <w:lvlText w:val=""/>
      <w:lvlJc w:val="left"/>
      <w:pPr>
        <w:ind w:left="5400" w:hanging="360"/>
      </w:pPr>
      <w:rPr>
        <w:rFonts w:ascii="Wingdings" w:hAnsi="Wingdings" w:hint="default"/>
      </w:rPr>
    </w:lvl>
    <w:lvl w:ilvl="6" w:tplc="9D0AFFEA" w:tentative="1">
      <w:start w:val="1"/>
      <w:numFmt w:val="bullet"/>
      <w:lvlText w:val=""/>
      <w:lvlJc w:val="left"/>
      <w:pPr>
        <w:ind w:left="6120" w:hanging="360"/>
      </w:pPr>
      <w:rPr>
        <w:rFonts w:ascii="Symbol" w:hAnsi="Symbol" w:hint="default"/>
      </w:rPr>
    </w:lvl>
    <w:lvl w:ilvl="7" w:tplc="663EE25A" w:tentative="1">
      <w:start w:val="1"/>
      <w:numFmt w:val="bullet"/>
      <w:lvlText w:val="o"/>
      <w:lvlJc w:val="left"/>
      <w:pPr>
        <w:ind w:left="6840" w:hanging="360"/>
      </w:pPr>
      <w:rPr>
        <w:rFonts w:ascii="Courier New" w:hAnsi="Courier New" w:cs="Courier New" w:hint="default"/>
      </w:rPr>
    </w:lvl>
    <w:lvl w:ilvl="8" w:tplc="2DD24F62" w:tentative="1">
      <w:start w:val="1"/>
      <w:numFmt w:val="bullet"/>
      <w:lvlText w:val=""/>
      <w:lvlJc w:val="left"/>
      <w:pPr>
        <w:ind w:left="7560" w:hanging="360"/>
      </w:pPr>
      <w:rPr>
        <w:rFonts w:ascii="Wingdings" w:hAnsi="Wingdings" w:hint="default"/>
      </w:rPr>
    </w:lvl>
  </w:abstractNum>
  <w:abstractNum w:abstractNumId="15" w15:restartNumberingAfterBreak="0">
    <w:nsid w:val="16C66F44"/>
    <w:multiLevelType w:val="hybridMultilevel"/>
    <w:tmpl w:val="4ED4762C"/>
    <w:lvl w:ilvl="0" w:tplc="78E8CC60">
      <w:start w:val="1"/>
      <w:numFmt w:val="lowerRoman"/>
      <w:pStyle w:val="ListLegal5"/>
      <w:lvlText w:val="%1."/>
      <w:lvlJc w:val="right"/>
      <w:pPr>
        <w:ind w:left="2041" w:hanging="340"/>
      </w:pPr>
      <w:rPr>
        <w:rFonts w:hint="default"/>
      </w:rPr>
    </w:lvl>
    <w:lvl w:ilvl="1" w:tplc="0C090019" w:tentative="1">
      <w:start w:val="1"/>
      <w:numFmt w:val="lowerLetter"/>
      <w:lvlText w:val="%2."/>
      <w:lvlJc w:val="left"/>
      <w:pPr>
        <w:ind w:left="2781" w:hanging="360"/>
      </w:pPr>
    </w:lvl>
    <w:lvl w:ilvl="2" w:tplc="0C09001B" w:tentative="1">
      <w:start w:val="1"/>
      <w:numFmt w:val="lowerRoman"/>
      <w:lvlText w:val="%3."/>
      <w:lvlJc w:val="right"/>
      <w:pPr>
        <w:ind w:left="3501" w:hanging="180"/>
      </w:pPr>
    </w:lvl>
    <w:lvl w:ilvl="3" w:tplc="0C09000F" w:tentative="1">
      <w:start w:val="1"/>
      <w:numFmt w:val="decimal"/>
      <w:lvlText w:val="%4."/>
      <w:lvlJc w:val="left"/>
      <w:pPr>
        <w:ind w:left="4221" w:hanging="360"/>
      </w:pPr>
    </w:lvl>
    <w:lvl w:ilvl="4" w:tplc="0C090019" w:tentative="1">
      <w:start w:val="1"/>
      <w:numFmt w:val="lowerLetter"/>
      <w:lvlText w:val="%5."/>
      <w:lvlJc w:val="left"/>
      <w:pPr>
        <w:ind w:left="4941" w:hanging="360"/>
      </w:pPr>
    </w:lvl>
    <w:lvl w:ilvl="5" w:tplc="0C09001B" w:tentative="1">
      <w:start w:val="1"/>
      <w:numFmt w:val="lowerRoman"/>
      <w:lvlText w:val="%6."/>
      <w:lvlJc w:val="right"/>
      <w:pPr>
        <w:ind w:left="5661" w:hanging="180"/>
      </w:pPr>
    </w:lvl>
    <w:lvl w:ilvl="6" w:tplc="0C09000F" w:tentative="1">
      <w:start w:val="1"/>
      <w:numFmt w:val="decimal"/>
      <w:lvlText w:val="%7."/>
      <w:lvlJc w:val="left"/>
      <w:pPr>
        <w:ind w:left="6381" w:hanging="360"/>
      </w:pPr>
    </w:lvl>
    <w:lvl w:ilvl="7" w:tplc="0C090019" w:tentative="1">
      <w:start w:val="1"/>
      <w:numFmt w:val="lowerLetter"/>
      <w:lvlText w:val="%8."/>
      <w:lvlJc w:val="left"/>
      <w:pPr>
        <w:ind w:left="7101" w:hanging="360"/>
      </w:pPr>
    </w:lvl>
    <w:lvl w:ilvl="8" w:tplc="0C09001B" w:tentative="1">
      <w:start w:val="1"/>
      <w:numFmt w:val="lowerRoman"/>
      <w:lvlText w:val="%9."/>
      <w:lvlJc w:val="right"/>
      <w:pPr>
        <w:ind w:left="7821" w:hanging="180"/>
      </w:pPr>
    </w:lvl>
  </w:abstractNum>
  <w:abstractNum w:abstractNumId="16" w15:restartNumberingAfterBreak="0">
    <w:nsid w:val="188675E0"/>
    <w:multiLevelType w:val="hybridMultilevel"/>
    <w:tmpl w:val="8E72564E"/>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7" w15:restartNumberingAfterBreak="0">
    <w:nsid w:val="19D53C31"/>
    <w:multiLevelType w:val="hybridMultilevel"/>
    <w:tmpl w:val="AD40E92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8" w15:restartNumberingAfterBreak="0">
    <w:nsid w:val="1CF519CE"/>
    <w:multiLevelType w:val="multilevel"/>
    <w:tmpl w:val="65B8C748"/>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23152337"/>
    <w:multiLevelType w:val="hybridMultilevel"/>
    <w:tmpl w:val="4DCCFA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27E54902"/>
    <w:multiLevelType w:val="hybridMultilevel"/>
    <w:tmpl w:val="4C329B5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1" w15:restartNumberingAfterBreak="0">
    <w:nsid w:val="2B9B065C"/>
    <w:multiLevelType w:val="hybridMultilevel"/>
    <w:tmpl w:val="32207CA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2ECD239F"/>
    <w:multiLevelType w:val="hybridMultilevel"/>
    <w:tmpl w:val="AC0A96F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2FD122C3"/>
    <w:multiLevelType w:val="hybridMultilevel"/>
    <w:tmpl w:val="47C4A7EA"/>
    <w:lvl w:ilvl="0" w:tplc="051C4910">
      <w:numFmt w:val="bullet"/>
      <w:lvlText w:val="-"/>
      <w:lvlJc w:val="left"/>
      <w:pPr>
        <w:ind w:left="720" w:hanging="36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30D93BBC"/>
    <w:multiLevelType w:val="hybridMultilevel"/>
    <w:tmpl w:val="E7EAB04C"/>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5" w15:restartNumberingAfterBreak="0">
    <w:nsid w:val="32F94747"/>
    <w:multiLevelType w:val="hybridMultilevel"/>
    <w:tmpl w:val="86A050F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34B82394"/>
    <w:multiLevelType w:val="hybridMultilevel"/>
    <w:tmpl w:val="546ADF06"/>
    <w:lvl w:ilvl="0" w:tplc="403EE442">
      <w:start w:val="1"/>
      <w:numFmt w:val="lowerLetter"/>
      <w:pStyle w:val="Listalphabet3"/>
      <w:lvlText w:val="(%1)"/>
      <w:lvlJc w:val="left"/>
      <w:pPr>
        <w:ind w:left="1021" w:hanging="341"/>
      </w:pPr>
      <w:rPr>
        <w:rFonts w:hint="default"/>
      </w:rPr>
    </w:lvl>
    <w:lvl w:ilvl="1" w:tplc="0C090019" w:tentative="1">
      <w:start w:val="1"/>
      <w:numFmt w:val="lowerLetter"/>
      <w:lvlText w:val="%2."/>
      <w:lvlJc w:val="left"/>
      <w:pPr>
        <w:ind w:left="1760" w:hanging="360"/>
      </w:pPr>
    </w:lvl>
    <w:lvl w:ilvl="2" w:tplc="0C09001B" w:tentative="1">
      <w:start w:val="1"/>
      <w:numFmt w:val="lowerRoman"/>
      <w:lvlText w:val="%3."/>
      <w:lvlJc w:val="right"/>
      <w:pPr>
        <w:ind w:left="2480" w:hanging="180"/>
      </w:pPr>
    </w:lvl>
    <w:lvl w:ilvl="3" w:tplc="0C09000F" w:tentative="1">
      <w:start w:val="1"/>
      <w:numFmt w:val="decimal"/>
      <w:lvlText w:val="%4."/>
      <w:lvlJc w:val="left"/>
      <w:pPr>
        <w:ind w:left="3200" w:hanging="360"/>
      </w:pPr>
    </w:lvl>
    <w:lvl w:ilvl="4" w:tplc="0C090019" w:tentative="1">
      <w:start w:val="1"/>
      <w:numFmt w:val="lowerLetter"/>
      <w:lvlText w:val="%5."/>
      <w:lvlJc w:val="left"/>
      <w:pPr>
        <w:ind w:left="3920" w:hanging="360"/>
      </w:pPr>
    </w:lvl>
    <w:lvl w:ilvl="5" w:tplc="0C09001B" w:tentative="1">
      <w:start w:val="1"/>
      <w:numFmt w:val="lowerRoman"/>
      <w:lvlText w:val="%6."/>
      <w:lvlJc w:val="right"/>
      <w:pPr>
        <w:ind w:left="4640" w:hanging="180"/>
      </w:pPr>
    </w:lvl>
    <w:lvl w:ilvl="6" w:tplc="0C09000F" w:tentative="1">
      <w:start w:val="1"/>
      <w:numFmt w:val="decimal"/>
      <w:lvlText w:val="%7."/>
      <w:lvlJc w:val="left"/>
      <w:pPr>
        <w:ind w:left="5360" w:hanging="360"/>
      </w:pPr>
    </w:lvl>
    <w:lvl w:ilvl="7" w:tplc="0C090019" w:tentative="1">
      <w:start w:val="1"/>
      <w:numFmt w:val="lowerLetter"/>
      <w:lvlText w:val="%8."/>
      <w:lvlJc w:val="left"/>
      <w:pPr>
        <w:ind w:left="6080" w:hanging="360"/>
      </w:pPr>
    </w:lvl>
    <w:lvl w:ilvl="8" w:tplc="0C09001B" w:tentative="1">
      <w:start w:val="1"/>
      <w:numFmt w:val="lowerRoman"/>
      <w:lvlText w:val="%9."/>
      <w:lvlJc w:val="right"/>
      <w:pPr>
        <w:ind w:left="6800" w:hanging="180"/>
      </w:pPr>
    </w:lvl>
  </w:abstractNum>
  <w:abstractNum w:abstractNumId="27" w15:restartNumberingAfterBreak="0">
    <w:nsid w:val="36AB0989"/>
    <w:multiLevelType w:val="hybridMultilevel"/>
    <w:tmpl w:val="4DF62DEA"/>
    <w:lvl w:ilvl="0" w:tplc="83689BEE">
      <w:start w:val="1"/>
      <w:numFmt w:val="lowerLetter"/>
      <w:pStyle w:val="Listalphabet2"/>
      <w:lvlText w:val="(%1)"/>
      <w:lvlJc w:val="left"/>
      <w:pPr>
        <w:ind w:left="680" w:hanging="340"/>
      </w:pPr>
      <w:rPr>
        <w:rFonts w:hint="default"/>
      </w:rPr>
    </w:lvl>
    <w:lvl w:ilvl="1" w:tplc="0C090019" w:tentative="1">
      <w:start w:val="1"/>
      <w:numFmt w:val="lowerLetter"/>
      <w:lvlText w:val="%2."/>
      <w:lvlJc w:val="left"/>
      <w:pPr>
        <w:ind w:left="1420" w:hanging="360"/>
      </w:pPr>
    </w:lvl>
    <w:lvl w:ilvl="2" w:tplc="0C09001B" w:tentative="1">
      <w:start w:val="1"/>
      <w:numFmt w:val="lowerRoman"/>
      <w:lvlText w:val="%3."/>
      <w:lvlJc w:val="right"/>
      <w:pPr>
        <w:ind w:left="2140" w:hanging="180"/>
      </w:pPr>
    </w:lvl>
    <w:lvl w:ilvl="3" w:tplc="0C09000F" w:tentative="1">
      <w:start w:val="1"/>
      <w:numFmt w:val="decimal"/>
      <w:lvlText w:val="%4."/>
      <w:lvlJc w:val="left"/>
      <w:pPr>
        <w:ind w:left="2860" w:hanging="360"/>
      </w:pPr>
    </w:lvl>
    <w:lvl w:ilvl="4" w:tplc="0C090019" w:tentative="1">
      <w:start w:val="1"/>
      <w:numFmt w:val="lowerLetter"/>
      <w:lvlText w:val="%5."/>
      <w:lvlJc w:val="left"/>
      <w:pPr>
        <w:ind w:left="3580" w:hanging="360"/>
      </w:pPr>
    </w:lvl>
    <w:lvl w:ilvl="5" w:tplc="0C09001B" w:tentative="1">
      <w:start w:val="1"/>
      <w:numFmt w:val="lowerRoman"/>
      <w:lvlText w:val="%6."/>
      <w:lvlJc w:val="right"/>
      <w:pPr>
        <w:ind w:left="4300" w:hanging="180"/>
      </w:pPr>
    </w:lvl>
    <w:lvl w:ilvl="6" w:tplc="0C09000F" w:tentative="1">
      <w:start w:val="1"/>
      <w:numFmt w:val="decimal"/>
      <w:lvlText w:val="%7."/>
      <w:lvlJc w:val="left"/>
      <w:pPr>
        <w:ind w:left="5020" w:hanging="360"/>
      </w:pPr>
    </w:lvl>
    <w:lvl w:ilvl="7" w:tplc="0C090019" w:tentative="1">
      <w:start w:val="1"/>
      <w:numFmt w:val="lowerLetter"/>
      <w:lvlText w:val="%8."/>
      <w:lvlJc w:val="left"/>
      <w:pPr>
        <w:ind w:left="5740" w:hanging="360"/>
      </w:pPr>
    </w:lvl>
    <w:lvl w:ilvl="8" w:tplc="0C09001B" w:tentative="1">
      <w:start w:val="1"/>
      <w:numFmt w:val="lowerRoman"/>
      <w:lvlText w:val="%9."/>
      <w:lvlJc w:val="right"/>
      <w:pPr>
        <w:ind w:left="6460" w:hanging="180"/>
      </w:pPr>
    </w:lvl>
  </w:abstractNum>
  <w:abstractNum w:abstractNumId="28" w15:restartNumberingAfterBreak="0">
    <w:nsid w:val="3792287D"/>
    <w:multiLevelType w:val="multilevel"/>
    <w:tmpl w:val="0C00E0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390817D1"/>
    <w:multiLevelType w:val="hybridMultilevel"/>
    <w:tmpl w:val="69AA0DD2"/>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0" w15:restartNumberingAfterBreak="0">
    <w:nsid w:val="3923347D"/>
    <w:multiLevelType w:val="hybridMultilevel"/>
    <w:tmpl w:val="D45C48E2"/>
    <w:lvl w:ilvl="0" w:tplc="D66A534E">
      <w:start w:val="1"/>
      <w:numFmt w:val="bullet"/>
      <w:pStyle w:val="ListBullet"/>
      <w:lvlText w:val=""/>
      <w:lvlJc w:val="left"/>
      <w:pPr>
        <w:ind w:left="720" w:hanging="360"/>
      </w:pPr>
      <w:rPr>
        <w:rFonts w:ascii="Symbol" w:hAnsi="Symbol" w:hint="default"/>
        <w:sz w:val="2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3CF07D5F"/>
    <w:multiLevelType w:val="hybridMultilevel"/>
    <w:tmpl w:val="D6DC675A"/>
    <w:lvl w:ilvl="0" w:tplc="6C6CF7F2">
      <w:start w:val="1"/>
      <w:numFmt w:val="lowerLetter"/>
      <w:pStyle w:val="Listalphabet4"/>
      <w:lvlText w:val="(%1)"/>
      <w:lvlJc w:val="left"/>
      <w:pPr>
        <w:ind w:left="1361" w:hanging="340"/>
      </w:pPr>
      <w:rPr>
        <w:rFonts w:hint="default"/>
      </w:rPr>
    </w:lvl>
    <w:lvl w:ilvl="1" w:tplc="0C090019" w:tentative="1">
      <w:start w:val="1"/>
      <w:numFmt w:val="lowerLetter"/>
      <w:lvlText w:val="%2."/>
      <w:lvlJc w:val="left"/>
      <w:pPr>
        <w:ind w:left="2101" w:hanging="360"/>
      </w:pPr>
    </w:lvl>
    <w:lvl w:ilvl="2" w:tplc="0C09001B" w:tentative="1">
      <w:start w:val="1"/>
      <w:numFmt w:val="lowerRoman"/>
      <w:lvlText w:val="%3."/>
      <w:lvlJc w:val="right"/>
      <w:pPr>
        <w:ind w:left="2821" w:hanging="180"/>
      </w:pPr>
    </w:lvl>
    <w:lvl w:ilvl="3" w:tplc="0C09000F" w:tentative="1">
      <w:start w:val="1"/>
      <w:numFmt w:val="decimal"/>
      <w:lvlText w:val="%4."/>
      <w:lvlJc w:val="left"/>
      <w:pPr>
        <w:ind w:left="3541" w:hanging="360"/>
      </w:pPr>
    </w:lvl>
    <w:lvl w:ilvl="4" w:tplc="0C090019" w:tentative="1">
      <w:start w:val="1"/>
      <w:numFmt w:val="lowerLetter"/>
      <w:lvlText w:val="%5."/>
      <w:lvlJc w:val="left"/>
      <w:pPr>
        <w:ind w:left="4261" w:hanging="360"/>
      </w:pPr>
    </w:lvl>
    <w:lvl w:ilvl="5" w:tplc="0C09001B" w:tentative="1">
      <w:start w:val="1"/>
      <w:numFmt w:val="lowerRoman"/>
      <w:lvlText w:val="%6."/>
      <w:lvlJc w:val="right"/>
      <w:pPr>
        <w:ind w:left="4981" w:hanging="180"/>
      </w:pPr>
    </w:lvl>
    <w:lvl w:ilvl="6" w:tplc="0C09000F" w:tentative="1">
      <w:start w:val="1"/>
      <w:numFmt w:val="decimal"/>
      <w:lvlText w:val="%7."/>
      <w:lvlJc w:val="left"/>
      <w:pPr>
        <w:ind w:left="5701" w:hanging="360"/>
      </w:pPr>
    </w:lvl>
    <w:lvl w:ilvl="7" w:tplc="0C090019" w:tentative="1">
      <w:start w:val="1"/>
      <w:numFmt w:val="lowerLetter"/>
      <w:lvlText w:val="%8."/>
      <w:lvlJc w:val="left"/>
      <w:pPr>
        <w:ind w:left="6421" w:hanging="360"/>
      </w:pPr>
    </w:lvl>
    <w:lvl w:ilvl="8" w:tplc="0C09001B" w:tentative="1">
      <w:start w:val="1"/>
      <w:numFmt w:val="lowerRoman"/>
      <w:lvlText w:val="%9."/>
      <w:lvlJc w:val="right"/>
      <w:pPr>
        <w:ind w:left="7141" w:hanging="180"/>
      </w:pPr>
    </w:lvl>
  </w:abstractNum>
  <w:abstractNum w:abstractNumId="32" w15:restartNumberingAfterBreak="0">
    <w:nsid w:val="4050785E"/>
    <w:multiLevelType w:val="hybridMultilevel"/>
    <w:tmpl w:val="DFE62990"/>
    <w:lvl w:ilvl="0" w:tplc="0C090001">
      <w:start w:val="1"/>
      <w:numFmt w:val="bullet"/>
      <w:lvlText w:val=""/>
      <w:lvlJc w:val="left"/>
      <w:pPr>
        <w:ind w:left="720" w:hanging="360"/>
      </w:pPr>
      <w:rPr>
        <w:rFonts w:ascii="Symbol" w:hAnsi="Symbol" w:hint="default"/>
      </w:rPr>
    </w:lvl>
    <w:lvl w:ilvl="1" w:tplc="7898D91A">
      <w:start w:val="1"/>
      <w:numFmt w:val="bullet"/>
      <w:lvlText w:val="-"/>
      <w:lvlJc w:val="left"/>
      <w:pPr>
        <w:ind w:left="1440" w:hanging="360"/>
      </w:pPr>
      <w:rPr>
        <w:rFonts w:ascii="Verdana" w:hAnsi="Verdana"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42C96A39"/>
    <w:multiLevelType w:val="hybridMultilevel"/>
    <w:tmpl w:val="ACA8559E"/>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4" w15:restartNumberingAfterBreak="0">
    <w:nsid w:val="47F5374A"/>
    <w:multiLevelType w:val="multilevel"/>
    <w:tmpl w:val="B07E5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49E52C90"/>
    <w:multiLevelType w:val="hybridMultilevel"/>
    <w:tmpl w:val="CBAC43EA"/>
    <w:lvl w:ilvl="0" w:tplc="F8C681F8">
      <w:start w:val="1"/>
      <w:numFmt w:val="lowerRoman"/>
      <w:pStyle w:val="ListLegal"/>
      <w:lvlText w:val="%1."/>
      <w:lvlJc w:val="right"/>
      <w:pPr>
        <w:ind w:left="680" w:hanging="34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 w15:restartNumberingAfterBreak="0">
    <w:nsid w:val="4AA96D03"/>
    <w:multiLevelType w:val="multilevel"/>
    <w:tmpl w:val="B3BEF9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50CE44F9"/>
    <w:multiLevelType w:val="hybridMultilevel"/>
    <w:tmpl w:val="A76E9E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521C33D3"/>
    <w:multiLevelType w:val="hybridMultilevel"/>
    <w:tmpl w:val="CACEE80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9" w15:restartNumberingAfterBreak="0">
    <w:nsid w:val="536E57B0"/>
    <w:multiLevelType w:val="hybridMultilevel"/>
    <w:tmpl w:val="6A74674C"/>
    <w:lvl w:ilvl="0" w:tplc="65D4CF04">
      <w:start w:val="2018"/>
      <w:numFmt w:val="bullet"/>
      <w:lvlText w:val="-"/>
      <w:lvlJc w:val="left"/>
      <w:pPr>
        <w:ind w:left="720" w:hanging="36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57D37A9E"/>
    <w:multiLevelType w:val="multilevel"/>
    <w:tmpl w:val="A5EE36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58AE64F9"/>
    <w:multiLevelType w:val="hybridMultilevel"/>
    <w:tmpl w:val="37F65A5A"/>
    <w:lvl w:ilvl="0" w:tplc="00FC3C78">
      <w:start w:val="1"/>
      <w:numFmt w:val="decimal"/>
      <w:lvlText w:val="%1."/>
      <w:lvlJc w:val="left"/>
      <w:pPr>
        <w:ind w:left="360" w:hanging="360"/>
      </w:pPr>
      <w:rPr>
        <w:rFonts w:eastAsiaTheme="minorHAnsi"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2" w15:restartNumberingAfterBreak="0">
    <w:nsid w:val="59474DF1"/>
    <w:multiLevelType w:val="multilevel"/>
    <w:tmpl w:val="5BC065FC"/>
    <w:lvl w:ilvl="0">
      <w:start w:val="1"/>
      <w:numFmt w:val="decimal"/>
      <w:isLgl/>
      <w:lvlText w:val="%1)"/>
      <w:lvlJc w:val="left"/>
      <w:pPr>
        <w:ind w:left="340" w:hanging="340"/>
      </w:pPr>
      <w:rPr>
        <w:rFonts w:hint="default"/>
      </w:rPr>
    </w:lvl>
    <w:lvl w:ilvl="1">
      <w:start w:val="1"/>
      <w:numFmt w:val="lowerLetter"/>
      <w:lvlText w:val="%2) "/>
      <w:lvlJc w:val="left"/>
      <w:pPr>
        <w:ind w:left="680" w:hanging="340"/>
      </w:pPr>
      <w:rPr>
        <w:rFonts w:hint="default"/>
      </w:rPr>
    </w:lvl>
    <w:lvl w:ilvl="2">
      <w:start w:val="1"/>
      <w:numFmt w:val="lowerRoman"/>
      <w:lvlText w:val="%3)"/>
      <w:lvlJc w:val="left"/>
      <w:pPr>
        <w:tabs>
          <w:tab w:val="num" w:pos="1701"/>
        </w:tabs>
        <w:ind w:left="1021" w:hanging="341"/>
      </w:pPr>
      <w:rPr>
        <w:rFonts w:hint="default"/>
      </w:rPr>
    </w:lvl>
    <w:lvl w:ilvl="3">
      <w:start w:val="1"/>
      <w:numFmt w:val="decimal"/>
      <w:lvlText w:val="(%4) "/>
      <w:lvlJc w:val="left"/>
      <w:pPr>
        <w:tabs>
          <w:tab w:val="num" w:pos="1758"/>
        </w:tabs>
        <w:ind w:left="1361" w:hanging="340"/>
      </w:pPr>
      <w:rPr>
        <w:rFonts w:hint="default"/>
      </w:rPr>
    </w:lvl>
    <w:lvl w:ilvl="4">
      <w:start w:val="1"/>
      <w:numFmt w:val="lowerLetter"/>
      <w:lvlText w:val="(%5)"/>
      <w:lvlJc w:val="left"/>
      <w:pPr>
        <w:ind w:left="1701" w:hanging="340"/>
      </w:pPr>
      <w:rPr>
        <w:rFonts w:hint="default"/>
      </w:rPr>
    </w:lvl>
    <w:lvl w:ilvl="5">
      <w:start w:val="1"/>
      <w:numFmt w:val="lowerRoman"/>
      <w:lvlText w:val="(%6)"/>
      <w:lvlJc w:val="left"/>
      <w:pPr>
        <w:tabs>
          <w:tab w:val="num" w:pos="2608"/>
        </w:tabs>
        <w:ind w:left="2041" w:hanging="340"/>
      </w:pPr>
      <w:rPr>
        <w:rFonts w:hint="default"/>
      </w:rPr>
    </w:lvl>
    <w:lvl w:ilvl="6">
      <w:start w:val="1"/>
      <w:numFmt w:val="decimal"/>
      <w:lvlText w:val="%7."/>
      <w:lvlJc w:val="left"/>
      <w:pPr>
        <w:tabs>
          <w:tab w:val="num" w:pos="3175"/>
        </w:tabs>
        <w:ind w:left="2381" w:hanging="340"/>
      </w:pPr>
      <w:rPr>
        <w:rFonts w:hint="default"/>
      </w:rPr>
    </w:lvl>
    <w:lvl w:ilvl="7">
      <w:start w:val="1"/>
      <w:numFmt w:val="lowerLetter"/>
      <w:lvlText w:val="%8."/>
      <w:lvlJc w:val="left"/>
      <w:pPr>
        <w:tabs>
          <w:tab w:val="num" w:pos="3799"/>
        </w:tabs>
        <w:ind w:left="2722" w:hanging="341"/>
      </w:pPr>
      <w:rPr>
        <w:rFonts w:hint="default"/>
      </w:rPr>
    </w:lvl>
    <w:lvl w:ilvl="8">
      <w:start w:val="1"/>
      <w:numFmt w:val="lowerRoman"/>
      <w:lvlText w:val="%9."/>
      <w:lvlJc w:val="left"/>
      <w:pPr>
        <w:ind w:left="3062" w:hanging="340"/>
      </w:pPr>
      <w:rPr>
        <w:rFonts w:hint="default"/>
      </w:rPr>
    </w:lvl>
  </w:abstractNum>
  <w:abstractNum w:abstractNumId="43" w15:restartNumberingAfterBreak="0">
    <w:nsid w:val="5E3C5E39"/>
    <w:multiLevelType w:val="hybridMultilevel"/>
    <w:tmpl w:val="F32A4D36"/>
    <w:lvl w:ilvl="0" w:tplc="7898D91A">
      <w:start w:val="1"/>
      <w:numFmt w:val="bullet"/>
      <w:lvlText w:val="-"/>
      <w:lvlJc w:val="left"/>
      <w:pPr>
        <w:ind w:left="720" w:hanging="360"/>
      </w:pPr>
      <w:rPr>
        <w:rFonts w:ascii="Verdana" w:hAnsi="Verdana" w:hint="default"/>
      </w:rPr>
    </w:lvl>
    <w:lvl w:ilvl="1" w:tplc="7898D91A">
      <w:start w:val="1"/>
      <w:numFmt w:val="bullet"/>
      <w:lvlText w:val="-"/>
      <w:lvlJc w:val="left"/>
      <w:pPr>
        <w:ind w:left="1440" w:hanging="360"/>
      </w:pPr>
      <w:rPr>
        <w:rFonts w:ascii="Verdana" w:hAnsi="Verdana"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5E65025C"/>
    <w:multiLevelType w:val="hybridMultilevel"/>
    <w:tmpl w:val="F9F26C90"/>
    <w:lvl w:ilvl="0" w:tplc="1B002C04">
      <w:start w:val="3"/>
      <w:numFmt w:val="bullet"/>
      <w:lvlText w:val="-"/>
      <w:lvlJc w:val="left"/>
      <w:pPr>
        <w:ind w:left="720" w:hanging="36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5F6311FE"/>
    <w:multiLevelType w:val="hybridMultilevel"/>
    <w:tmpl w:val="DFAE90B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61124A8F"/>
    <w:multiLevelType w:val="hybridMultilevel"/>
    <w:tmpl w:val="65447B5C"/>
    <w:lvl w:ilvl="0" w:tplc="F77037F0">
      <w:start w:val="1"/>
      <w:numFmt w:val="lowerLetter"/>
      <w:pStyle w:val="Listalphabet"/>
      <w:lvlText w:val="(%1)"/>
      <w:lvlJc w:val="left"/>
      <w:pPr>
        <w:ind w:left="340" w:hanging="34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7" w15:restartNumberingAfterBreak="0">
    <w:nsid w:val="615B2E6C"/>
    <w:multiLevelType w:val="hybridMultilevel"/>
    <w:tmpl w:val="59DEF0B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8" w15:restartNumberingAfterBreak="0">
    <w:nsid w:val="66DC52CE"/>
    <w:multiLevelType w:val="multilevel"/>
    <w:tmpl w:val="F8CC5C92"/>
    <w:lvl w:ilvl="0">
      <w:start w:val="1"/>
      <w:numFmt w:val="decimal"/>
      <w:pStyle w:val="Heading9"/>
      <w:lvlText w:val="Table %1"/>
      <w:lvlJc w:val="left"/>
      <w:pPr>
        <w:ind w:left="36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9" w15:restartNumberingAfterBreak="0">
    <w:nsid w:val="6726588A"/>
    <w:multiLevelType w:val="hybridMultilevel"/>
    <w:tmpl w:val="CC927964"/>
    <w:lvl w:ilvl="0" w:tplc="0C09000F">
      <w:start w:val="1"/>
      <w:numFmt w:val="bullet"/>
      <w:pStyle w:val="Bulletpoint2"/>
      <w:lvlText w:val="o"/>
      <w:lvlJc w:val="left"/>
      <w:pPr>
        <w:ind w:left="1003" w:hanging="360"/>
      </w:pPr>
      <w:rPr>
        <w:rFonts w:ascii="Courier New" w:hAnsi="Courier New" w:cs="Courier New" w:hint="default"/>
      </w:rPr>
    </w:lvl>
    <w:lvl w:ilvl="1" w:tplc="0C090019" w:tentative="1">
      <w:start w:val="1"/>
      <w:numFmt w:val="bullet"/>
      <w:lvlText w:val="o"/>
      <w:lvlJc w:val="left"/>
      <w:pPr>
        <w:ind w:left="1723" w:hanging="360"/>
      </w:pPr>
      <w:rPr>
        <w:rFonts w:ascii="Courier New" w:hAnsi="Courier New" w:cs="Courier New" w:hint="default"/>
      </w:rPr>
    </w:lvl>
    <w:lvl w:ilvl="2" w:tplc="0C09001B" w:tentative="1">
      <w:start w:val="1"/>
      <w:numFmt w:val="bullet"/>
      <w:lvlText w:val=""/>
      <w:lvlJc w:val="left"/>
      <w:pPr>
        <w:ind w:left="2443" w:hanging="360"/>
      </w:pPr>
      <w:rPr>
        <w:rFonts w:ascii="Wingdings" w:hAnsi="Wingdings" w:hint="default"/>
      </w:rPr>
    </w:lvl>
    <w:lvl w:ilvl="3" w:tplc="0C09000F" w:tentative="1">
      <w:start w:val="1"/>
      <w:numFmt w:val="bullet"/>
      <w:lvlText w:val=""/>
      <w:lvlJc w:val="left"/>
      <w:pPr>
        <w:ind w:left="3163" w:hanging="360"/>
      </w:pPr>
      <w:rPr>
        <w:rFonts w:ascii="Symbol" w:hAnsi="Symbol" w:hint="default"/>
      </w:rPr>
    </w:lvl>
    <w:lvl w:ilvl="4" w:tplc="0C090019" w:tentative="1">
      <w:start w:val="1"/>
      <w:numFmt w:val="bullet"/>
      <w:lvlText w:val="o"/>
      <w:lvlJc w:val="left"/>
      <w:pPr>
        <w:ind w:left="3883" w:hanging="360"/>
      </w:pPr>
      <w:rPr>
        <w:rFonts w:ascii="Courier New" w:hAnsi="Courier New" w:cs="Courier New" w:hint="default"/>
      </w:rPr>
    </w:lvl>
    <w:lvl w:ilvl="5" w:tplc="0C09001B" w:tentative="1">
      <w:start w:val="1"/>
      <w:numFmt w:val="bullet"/>
      <w:lvlText w:val=""/>
      <w:lvlJc w:val="left"/>
      <w:pPr>
        <w:ind w:left="4603" w:hanging="360"/>
      </w:pPr>
      <w:rPr>
        <w:rFonts w:ascii="Wingdings" w:hAnsi="Wingdings" w:hint="default"/>
      </w:rPr>
    </w:lvl>
    <w:lvl w:ilvl="6" w:tplc="0C09000F" w:tentative="1">
      <w:start w:val="1"/>
      <w:numFmt w:val="bullet"/>
      <w:lvlText w:val=""/>
      <w:lvlJc w:val="left"/>
      <w:pPr>
        <w:ind w:left="5323" w:hanging="360"/>
      </w:pPr>
      <w:rPr>
        <w:rFonts w:ascii="Symbol" w:hAnsi="Symbol" w:hint="default"/>
      </w:rPr>
    </w:lvl>
    <w:lvl w:ilvl="7" w:tplc="0C090019" w:tentative="1">
      <w:start w:val="1"/>
      <w:numFmt w:val="bullet"/>
      <w:lvlText w:val="o"/>
      <w:lvlJc w:val="left"/>
      <w:pPr>
        <w:ind w:left="6043" w:hanging="360"/>
      </w:pPr>
      <w:rPr>
        <w:rFonts w:ascii="Courier New" w:hAnsi="Courier New" w:cs="Courier New" w:hint="default"/>
      </w:rPr>
    </w:lvl>
    <w:lvl w:ilvl="8" w:tplc="0C09001B" w:tentative="1">
      <w:start w:val="1"/>
      <w:numFmt w:val="bullet"/>
      <w:lvlText w:val=""/>
      <w:lvlJc w:val="left"/>
      <w:pPr>
        <w:ind w:left="6763" w:hanging="360"/>
      </w:pPr>
      <w:rPr>
        <w:rFonts w:ascii="Wingdings" w:hAnsi="Wingdings" w:hint="default"/>
      </w:rPr>
    </w:lvl>
  </w:abstractNum>
  <w:abstractNum w:abstractNumId="50" w15:restartNumberingAfterBreak="0">
    <w:nsid w:val="6744769B"/>
    <w:multiLevelType w:val="hybridMultilevel"/>
    <w:tmpl w:val="C2B4F9F8"/>
    <w:lvl w:ilvl="0" w:tplc="3C14478C">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1" w15:restartNumberingAfterBreak="0">
    <w:nsid w:val="6B852E74"/>
    <w:multiLevelType w:val="hybridMultilevel"/>
    <w:tmpl w:val="91F85FA2"/>
    <w:lvl w:ilvl="0" w:tplc="3C14478C">
      <w:start w:val="1"/>
      <w:numFmt w:val="bullet"/>
      <w:lvlText w:val=""/>
      <w:lvlJc w:val="left"/>
      <w:pPr>
        <w:tabs>
          <w:tab w:val="num" w:pos="360"/>
        </w:tabs>
        <w:ind w:left="360" w:hanging="360"/>
      </w:pPr>
      <w:rPr>
        <w:rFonts w:ascii="Wingdings" w:hAnsi="Wingdings"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52" w15:restartNumberingAfterBreak="0">
    <w:nsid w:val="71052EFE"/>
    <w:multiLevelType w:val="hybridMultilevel"/>
    <w:tmpl w:val="638C8810"/>
    <w:lvl w:ilvl="0" w:tplc="E1922DFC">
      <w:start w:val="1"/>
      <w:numFmt w:val="lowerRoman"/>
      <w:pStyle w:val="ListLegal3"/>
      <w:lvlText w:val="%1."/>
      <w:lvlJc w:val="right"/>
      <w:pPr>
        <w:ind w:left="1361" w:hanging="341"/>
      </w:pPr>
      <w:rPr>
        <w:rFonts w:hint="default"/>
      </w:rPr>
    </w:lvl>
    <w:lvl w:ilvl="1" w:tplc="0C090019">
      <w:start w:val="1"/>
      <w:numFmt w:val="lowerLetter"/>
      <w:lvlText w:val="%2."/>
      <w:lvlJc w:val="left"/>
      <w:pPr>
        <w:ind w:left="2100" w:hanging="360"/>
      </w:pPr>
    </w:lvl>
    <w:lvl w:ilvl="2" w:tplc="0C09001B" w:tentative="1">
      <w:start w:val="1"/>
      <w:numFmt w:val="lowerRoman"/>
      <w:lvlText w:val="%3."/>
      <w:lvlJc w:val="right"/>
      <w:pPr>
        <w:ind w:left="2820" w:hanging="180"/>
      </w:pPr>
    </w:lvl>
    <w:lvl w:ilvl="3" w:tplc="0C09000F" w:tentative="1">
      <w:start w:val="1"/>
      <w:numFmt w:val="decimal"/>
      <w:lvlText w:val="%4."/>
      <w:lvlJc w:val="left"/>
      <w:pPr>
        <w:ind w:left="3540" w:hanging="360"/>
      </w:pPr>
    </w:lvl>
    <w:lvl w:ilvl="4" w:tplc="0C090019" w:tentative="1">
      <w:start w:val="1"/>
      <w:numFmt w:val="lowerLetter"/>
      <w:lvlText w:val="%5."/>
      <w:lvlJc w:val="left"/>
      <w:pPr>
        <w:ind w:left="4260" w:hanging="360"/>
      </w:pPr>
    </w:lvl>
    <w:lvl w:ilvl="5" w:tplc="0C09001B" w:tentative="1">
      <w:start w:val="1"/>
      <w:numFmt w:val="lowerRoman"/>
      <w:lvlText w:val="%6."/>
      <w:lvlJc w:val="right"/>
      <w:pPr>
        <w:ind w:left="4980" w:hanging="180"/>
      </w:pPr>
    </w:lvl>
    <w:lvl w:ilvl="6" w:tplc="0C09000F" w:tentative="1">
      <w:start w:val="1"/>
      <w:numFmt w:val="decimal"/>
      <w:lvlText w:val="%7."/>
      <w:lvlJc w:val="left"/>
      <w:pPr>
        <w:ind w:left="5700" w:hanging="360"/>
      </w:pPr>
    </w:lvl>
    <w:lvl w:ilvl="7" w:tplc="0C090019" w:tentative="1">
      <w:start w:val="1"/>
      <w:numFmt w:val="lowerLetter"/>
      <w:lvlText w:val="%8."/>
      <w:lvlJc w:val="left"/>
      <w:pPr>
        <w:ind w:left="6420" w:hanging="360"/>
      </w:pPr>
    </w:lvl>
    <w:lvl w:ilvl="8" w:tplc="0C09001B" w:tentative="1">
      <w:start w:val="1"/>
      <w:numFmt w:val="lowerRoman"/>
      <w:lvlText w:val="%9."/>
      <w:lvlJc w:val="right"/>
      <w:pPr>
        <w:ind w:left="7140" w:hanging="180"/>
      </w:pPr>
    </w:lvl>
  </w:abstractNum>
  <w:abstractNum w:abstractNumId="53" w15:restartNumberingAfterBreak="0">
    <w:nsid w:val="727C4DCB"/>
    <w:multiLevelType w:val="hybridMultilevel"/>
    <w:tmpl w:val="D43EFA70"/>
    <w:lvl w:ilvl="0" w:tplc="0C090001">
      <w:numFmt w:val="bullet"/>
      <w:lvlText w:val=""/>
      <w:lvlJc w:val="left"/>
      <w:pPr>
        <w:ind w:left="720" w:hanging="360"/>
      </w:pPr>
      <w:rPr>
        <w:rFonts w:ascii="Symbol" w:eastAsia="Times New Roman" w:hAnsi="Symbol"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4" w15:restartNumberingAfterBreak="0">
    <w:nsid w:val="730560EB"/>
    <w:multiLevelType w:val="hybridMultilevel"/>
    <w:tmpl w:val="B350781C"/>
    <w:lvl w:ilvl="0" w:tplc="0C09000F">
      <w:start w:val="1"/>
      <w:numFmt w:val="decimal"/>
      <w:lvlText w:val="%1."/>
      <w:lvlJc w:val="left"/>
      <w:pPr>
        <w:ind w:left="360" w:hanging="360"/>
      </w:pPr>
      <w:rPr>
        <w:rFont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5" w15:restartNumberingAfterBreak="0">
    <w:nsid w:val="73317677"/>
    <w:multiLevelType w:val="multilevel"/>
    <w:tmpl w:val="2FDA4358"/>
    <w:lvl w:ilvl="0">
      <w:start w:val="1"/>
      <w:numFmt w:val="bullet"/>
      <w:lvlText w:val=""/>
      <w:lvlPicBulletId w:val="0"/>
      <w:lvlJc w:val="left"/>
      <w:pPr>
        <w:tabs>
          <w:tab w:val="num" w:pos="720"/>
        </w:tabs>
        <w:ind w:left="720" w:hanging="360"/>
      </w:pPr>
      <w:rPr>
        <w:rFonts w:ascii="Symbol" w:hAnsi="Symbol" w:hint="default"/>
        <w:sz w:val="20"/>
      </w:rPr>
    </w:lvl>
    <w:lvl w:ilvl="1" w:tentative="1">
      <w:start w:val="1"/>
      <w:numFmt w:val="bullet"/>
      <w:lvlText w:val="o"/>
      <w:lvlPicBulletId w:val="1"/>
      <w:lvlJc w:val="left"/>
      <w:pPr>
        <w:tabs>
          <w:tab w:val="num" w:pos="1440"/>
        </w:tabs>
        <w:ind w:left="1440" w:hanging="360"/>
      </w:pPr>
      <w:rPr>
        <w:rFonts w:ascii="Courier New" w:hAnsi="Courier New" w:hint="default"/>
        <w:sz w:val="20"/>
      </w:rPr>
    </w:lvl>
    <w:lvl w:ilvl="2" w:tentative="1">
      <w:start w:val="1"/>
      <w:numFmt w:val="bullet"/>
      <w:lvlText w:val=""/>
      <w:lvlPicBulletId w:val="2"/>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73734116"/>
    <w:multiLevelType w:val="hybridMultilevel"/>
    <w:tmpl w:val="66DED72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7" w15:restartNumberingAfterBreak="0">
    <w:nsid w:val="73F84B72"/>
    <w:multiLevelType w:val="hybridMultilevel"/>
    <w:tmpl w:val="CDC0D9C4"/>
    <w:lvl w:ilvl="0" w:tplc="6C5C8C5A">
      <w:start w:val="1"/>
      <w:numFmt w:val="lowerLetter"/>
      <w:pStyle w:val="Listalphabet5"/>
      <w:lvlText w:val="(%1)"/>
      <w:lvlJc w:val="left"/>
      <w:pPr>
        <w:ind w:left="1701" w:hanging="341"/>
      </w:pPr>
      <w:rPr>
        <w:rFonts w:hint="default"/>
      </w:rPr>
    </w:lvl>
    <w:lvl w:ilvl="1" w:tplc="0C090019" w:tentative="1">
      <w:start w:val="1"/>
      <w:numFmt w:val="lowerLetter"/>
      <w:lvlText w:val="%2."/>
      <w:lvlJc w:val="left"/>
      <w:pPr>
        <w:ind w:left="2440" w:hanging="360"/>
      </w:pPr>
    </w:lvl>
    <w:lvl w:ilvl="2" w:tplc="0C09001B" w:tentative="1">
      <w:start w:val="1"/>
      <w:numFmt w:val="lowerRoman"/>
      <w:lvlText w:val="%3."/>
      <w:lvlJc w:val="right"/>
      <w:pPr>
        <w:ind w:left="3160" w:hanging="180"/>
      </w:pPr>
    </w:lvl>
    <w:lvl w:ilvl="3" w:tplc="0C09000F" w:tentative="1">
      <w:start w:val="1"/>
      <w:numFmt w:val="decimal"/>
      <w:lvlText w:val="%4."/>
      <w:lvlJc w:val="left"/>
      <w:pPr>
        <w:ind w:left="3880" w:hanging="360"/>
      </w:pPr>
    </w:lvl>
    <w:lvl w:ilvl="4" w:tplc="0C090019" w:tentative="1">
      <w:start w:val="1"/>
      <w:numFmt w:val="lowerLetter"/>
      <w:lvlText w:val="%5."/>
      <w:lvlJc w:val="left"/>
      <w:pPr>
        <w:ind w:left="4600" w:hanging="360"/>
      </w:pPr>
    </w:lvl>
    <w:lvl w:ilvl="5" w:tplc="0C09001B" w:tentative="1">
      <w:start w:val="1"/>
      <w:numFmt w:val="lowerRoman"/>
      <w:lvlText w:val="%6."/>
      <w:lvlJc w:val="right"/>
      <w:pPr>
        <w:ind w:left="5320" w:hanging="180"/>
      </w:pPr>
    </w:lvl>
    <w:lvl w:ilvl="6" w:tplc="0C09000F" w:tentative="1">
      <w:start w:val="1"/>
      <w:numFmt w:val="decimal"/>
      <w:lvlText w:val="%7."/>
      <w:lvlJc w:val="left"/>
      <w:pPr>
        <w:ind w:left="6040" w:hanging="360"/>
      </w:pPr>
    </w:lvl>
    <w:lvl w:ilvl="7" w:tplc="0C090019" w:tentative="1">
      <w:start w:val="1"/>
      <w:numFmt w:val="lowerLetter"/>
      <w:lvlText w:val="%8."/>
      <w:lvlJc w:val="left"/>
      <w:pPr>
        <w:ind w:left="6760" w:hanging="360"/>
      </w:pPr>
    </w:lvl>
    <w:lvl w:ilvl="8" w:tplc="0C09001B" w:tentative="1">
      <w:start w:val="1"/>
      <w:numFmt w:val="lowerRoman"/>
      <w:lvlText w:val="%9."/>
      <w:lvlJc w:val="right"/>
      <w:pPr>
        <w:ind w:left="7480" w:hanging="180"/>
      </w:pPr>
    </w:lvl>
  </w:abstractNum>
  <w:abstractNum w:abstractNumId="58" w15:restartNumberingAfterBreak="0">
    <w:nsid w:val="75D250B1"/>
    <w:multiLevelType w:val="multilevel"/>
    <w:tmpl w:val="B0DA25DA"/>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59" w15:restartNumberingAfterBreak="0">
    <w:nsid w:val="760C7082"/>
    <w:multiLevelType w:val="hybridMultilevel"/>
    <w:tmpl w:val="C9D6B284"/>
    <w:lvl w:ilvl="0" w:tplc="A9080AEA">
      <w:start w:val="1"/>
      <w:numFmt w:val="lowerRoman"/>
      <w:pStyle w:val="ListLegal4"/>
      <w:lvlText w:val="%1."/>
      <w:lvlJc w:val="right"/>
      <w:pPr>
        <w:ind w:left="1701" w:hanging="340"/>
      </w:pPr>
      <w:rPr>
        <w:rFonts w:hint="default"/>
      </w:rPr>
    </w:lvl>
    <w:lvl w:ilvl="1" w:tplc="0C090019" w:tentative="1">
      <w:start w:val="1"/>
      <w:numFmt w:val="lowerLetter"/>
      <w:lvlText w:val="%2."/>
      <w:lvlJc w:val="left"/>
      <w:pPr>
        <w:ind w:left="2441" w:hanging="360"/>
      </w:pPr>
    </w:lvl>
    <w:lvl w:ilvl="2" w:tplc="0C09001B" w:tentative="1">
      <w:start w:val="1"/>
      <w:numFmt w:val="lowerRoman"/>
      <w:lvlText w:val="%3."/>
      <w:lvlJc w:val="right"/>
      <w:pPr>
        <w:ind w:left="3161" w:hanging="180"/>
      </w:pPr>
    </w:lvl>
    <w:lvl w:ilvl="3" w:tplc="0C09000F" w:tentative="1">
      <w:start w:val="1"/>
      <w:numFmt w:val="decimal"/>
      <w:lvlText w:val="%4."/>
      <w:lvlJc w:val="left"/>
      <w:pPr>
        <w:ind w:left="3881" w:hanging="360"/>
      </w:pPr>
    </w:lvl>
    <w:lvl w:ilvl="4" w:tplc="0C090019" w:tentative="1">
      <w:start w:val="1"/>
      <w:numFmt w:val="lowerLetter"/>
      <w:lvlText w:val="%5."/>
      <w:lvlJc w:val="left"/>
      <w:pPr>
        <w:ind w:left="4601" w:hanging="360"/>
      </w:pPr>
    </w:lvl>
    <w:lvl w:ilvl="5" w:tplc="0C09001B" w:tentative="1">
      <w:start w:val="1"/>
      <w:numFmt w:val="lowerRoman"/>
      <w:lvlText w:val="%6."/>
      <w:lvlJc w:val="right"/>
      <w:pPr>
        <w:ind w:left="5321" w:hanging="180"/>
      </w:pPr>
    </w:lvl>
    <w:lvl w:ilvl="6" w:tplc="0C09000F" w:tentative="1">
      <w:start w:val="1"/>
      <w:numFmt w:val="decimal"/>
      <w:lvlText w:val="%7."/>
      <w:lvlJc w:val="left"/>
      <w:pPr>
        <w:ind w:left="6041" w:hanging="360"/>
      </w:pPr>
    </w:lvl>
    <w:lvl w:ilvl="7" w:tplc="0C090019" w:tentative="1">
      <w:start w:val="1"/>
      <w:numFmt w:val="lowerLetter"/>
      <w:lvlText w:val="%8."/>
      <w:lvlJc w:val="left"/>
      <w:pPr>
        <w:ind w:left="6761" w:hanging="360"/>
      </w:pPr>
    </w:lvl>
    <w:lvl w:ilvl="8" w:tplc="0C09001B" w:tentative="1">
      <w:start w:val="1"/>
      <w:numFmt w:val="lowerRoman"/>
      <w:lvlText w:val="%9."/>
      <w:lvlJc w:val="right"/>
      <w:pPr>
        <w:ind w:left="7481" w:hanging="180"/>
      </w:pPr>
    </w:lvl>
  </w:abstractNum>
  <w:abstractNum w:abstractNumId="60" w15:restartNumberingAfterBreak="0">
    <w:nsid w:val="763067BF"/>
    <w:multiLevelType w:val="multilevel"/>
    <w:tmpl w:val="A000B7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76CC4C35"/>
    <w:multiLevelType w:val="hybridMultilevel"/>
    <w:tmpl w:val="9AC4FDD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2" w15:restartNumberingAfterBreak="0">
    <w:nsid w:val="7AA736F5"/>
    <w:multiLevelType w:val="hybridMultilevel"/>
    <w:tmpl w:val="1E167E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3" w15:restartNumberingAfterBreak="0">
    <w:nsid w:val="7ACB7F6B"/>
    <w:multiLevelType w:val="hybridMultilevel"/>
    <w:tmpl w:val="0F2A3F9A"/>
    <w:lvl w:ilvl="0" w:tplc="1038B32C">
      <w:start w:val="1"/>
      <w:numFmt w:val="lowerRoman"/>
      <w:pStyle w:val="ListLegal2"/>
      <w:lvlText w:val="%1."/>
      <w:lvlJc w:val="right"/>
      <w:pPr>
        <w:ind w:left="1021" w:hanging="341"/>
      </w:pPr>
      <w:rPr>
        <w:rFonts w:hint="default"/>
      </w:rPr>
    </w:lvl>
    <w:lvl w:ilvl="1" w:tplc="0C090019" w:tentative="1">
      <w:start w:val="1"/>
      <w:numFmt w:val="lowerLetter"/>
      <w:lvlText w:val="%2."/>
      <w:lvlJc w:val="left"/>
      <w:pPr>
        <w:ind w:left="1760" w:hanging="360"/>
      </w:pPr>
    </w:lvl>
    <w:lvl w:ilvl="2" w:tplc="0C09001B" w:tentative="1">
      <w:start w:val="1"/>
      <w:numFmt w:val="lowerRoman"/>
      <w:lvlText w:val="%3."/>
      <w:lvlJc w:val="right"/>
      <w:pPr>
        <w:ind w:left="2480" w:hanging="180"/>
      </w:pPr>
    </w:lvl>
    <w:lvl w:ilvl="3" w:tplc="0C09000F" w:tentative="1">
      <w:start w:val="1"/>
      <w:numFmt w:val="decimal"/>
      <w:lvlText w:val="%4."/>
      <w:lvlJc w:val="left"/>
      <w:pPr>
        <w:ind w:left="3200" w:hanging="360"/>
      </w:pPr>
    </w:lvl>
    <w:lvl w:ilvl="4" w:tplc="0C090019" w:tentative="1">
      <w:start w:val="1"/>
      <w:numFmt w:val="lowerLetter"/>
      <w:lvlText w:val="%5."/>
      <w:lvlJc w:val="left"/>
      <w:pPr>
        <w:ind w:left="3920" w:hanging="360"/>
      </w:pPr>
    </w:lvl>
    <w:lvl w:ilvl="5" w:tplc="0C09001B" w:tentative="1">
      <w:start w:val="1"/>
      <w:numFmt w:val="lowerRoman"/>
      <w:lvlText w:val="%6."/>
      <w:lvlJc w:val="right"/>
      <w:pPr>
        <w:ind w:left="4640" w:hanging="180"/>
      </w:pPr>
    </w:lvl>
    <w:lvl w:ilvl="6" w:tplc="0C09000F" w:tentative="1">
      <w:start w:val="1"/>
      <w:numFmt w:val="decimal"/>
      <w:lvlText w:val="%7."/>
      <w:lvlJc w:val="left"/>
      <w:pPr>
        <w:ind w:left="5360" w:hanging="360"/>
      </w:pPr>
    </w:lvl>
    <w:lvl w:ilvl="7" w:tplc="0C090019" w:tentative="1">
      <w:start w:val="1"/>
      <w:numFmt w:val="lowerLetter"/>
      <w:lvlText w:val="%8."/>
      <w:lvlJc w:val="left"/>
      <w:pPr>
        <w:ind w:left="6080" w:hanging="360"/>
      </w:pPr>
    </w:lvl>
    <w:lvl w:ilvl="8" w:tplc="0C09001B" w:tentative="1">
      <w:start w:val="1"/>
      <w:numFmt w:val="lowerRoman"/>
      <w:lvlText w:val="%9."/>
      <w:lvlJc w:val="right"/>
      <w:pPr>
        <w:ind w:left="6800" w:hanging="180"/>
      </w:pPr>
    </w:lvl>
  </w:abstractNum>
  <w:abstractNum w:abstractNumId="64" w15:restartNumberingAfterBreak="0">
    <w:nsid w:val="7C5066C9"/>
    <w:multiLevelType w:val="hybridMultilevel"/>
    <w:tmpl w:val="13EA49C8"/>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5" w15:restartNumberingAfterBreak="0">
    <w:nsid w:val="7CFF1C2B"/>
    <w:multiLevelType w:val="hybridMultilevel"/>
    <w:tmpl w:val="CB42161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6" w15:restartNumberingAfterBreak="0">
    <w:nsid w:val="7E2819EC"/>
    <w:multiLevelType w:val="multilevel"/>
    <w:tmpl w:val="1250F310"/>
    <w:lvl w:ilvl="0">
      <w:start w:val="1"/>
      <w:numFmt w:val="bullet"/>
      <w:pStyle w:val="Bulletpoint"/>
      <w:lvlText w:val=""/>
      <w:lvlJc w:val="left"/>
      <w:pPr>
        <w:ind w:left="360" w:hanging="360"/>
      </w:pPr>
      <w:rPr>
        <w:rFonts w:ascii="Symbol" w:hAnsi="Symbol"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7" w15:restartNumberingAfterBreak="0">
    <w:nsid w:val="7EF666F3"/>
    <w:multiLevelType w:val="hybridMultilevel"/>
    <w:tmpl w:val="D770A500"/>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num w:numId="1">
    <w:abstractNumId w:val="14"/>
  </w:num>
  <w:num w:numId="2">
    <w:abstractNumId w:val="66"/>
  </w:num>
  <w:num w:numId="3">
    <w:abstractNumId w:val="7"/>
  </w:num>
  <w:num w:numId="4">
    <w:abstractNumId w:val="6"/>
  </w:num>
  <w:num w:numId="5">
    <w:abstractNumId w:val="5"/>
  </w:num>
  <w:num w:numId="6">
    <w:abstractNumId w:val="4"/>
  </w:num>
  <w:num w:numId="7">
    <w:abstractNumId w:val="1"/>
  </w:num>
  <w:num w:numId="8">
    <w:abstractNumId w:val="0"/>
  </w:num>
  <w:num w:numId="9">
    <w:abstractNumId w:val="49"/>
  </w:num>
  <w:num w:numId="10">
    <w:abstractNumId w:val="30"/>
  </w:num>
  <w:num w:numId="11">
    <w:abstractNumId w:val="12"/>
  </w:num>
  <w:num w:numId="12">
    <w:abstractNumId w:val="18"/>
  </w:num>
  <w:num w:numId="13">
    <w:abstractNumId w:val="27"/>
  </w:num>
  <w:num w:numId="14">
    <w:abstractNumId w:val="2"/>
  </w:num>
  <w:num w:numId="15">
    <w:abstractNumId w:val="52"/>
  </w:num>
  <w:num w:numId="16">
    <w:abstractNumId w:val="63"/>
  </w:num>
  <w:num w:numId="17">
    <w:abstractNumId w:val="59"/>
  </w:num>
  <w:num w:numId="18">
    <w:abstractNumId w:val="42"/>
  </w:num>
  <w:num w:numId="19">
    <w:abstractNumId w:val="26"/>
  </w:num>
  <w:num w:numId="20">
    <w:abstractNumId w:val="31"/>
  </w:num>
  <w:num w:numId="21">
    <w:abstractNumId w:val="57"/>
  </w:num>
  <w:num w:numId="22">
    <w:abstractNumId w:val="46"/>
  </w:num>
  <w:num w:numId="23">
    <w:abstractNumId w:val="8"/>
  </w:num>
  <w:num w:numId="24">
    <w:abstractNumId w:val="3"/>
  </w:num>
  <w:num w:numId="25">
    <w:abstractNumId w:val="35"/>
  </w:num>
  <w:num w:numId="26">
    <w:abstractNumId w:val="15"/>
  </w:num>
  <w:num w:numId="27">
    <w:abstractNumId w:val="48"/>
  </w:num>
  <w:num w:numId="28">
    <w:abstractNumId w:val="51"/>
  </w:num>
  <w:num w:numId="29">
    <w:abstractNumId w:val="16"/>
  </w:num>
  <w:num w:numId="30">
    <w:abstractNumId w:val="50"/>
  </w:num>
  <w:num w:numId="31">
    <w:abstractNumId w:val="10"/>
  </w:num>
  <w:num w:numId="32">
    <w:abstractNumId w:val="44"/>
  </w:num>
  <w:num w:numId="33">
    <w:abstractNumId w:val="62"/>
  </w:num>
  <w:num w:numId="34">
    <w:abstractNumId w:val="55"/>
  </w:num>
  <w:num w:numId="35">
    <w:abstractNumId w:val="64"/>
  </w:num>
  <w:num w:numId="36">
    <w:abstractNumId w:val="39"/>
  </w:num>
  <w:num w:numId="37">
    <w:abstractNumId w:val="54"/>
  </w:num>
  <w:num w:numId="38">
    <w:abstractNumId w:val="38"/>
  </w:num>
  <w:num w:numId="39">
    <w:abstractNumId w:val="61"/>
  </w:num>
  <w:num w:numId="40">
    <w:abstractNumId w:val="36"/>
  </w:num>
  <w:num w:numId="41">
    <w:abstractNumId w:val="28"/>
  </w:num>
  <w:num w:numId="42">
    <w:abstractNumId w:val="17"/>
  </w:num>
  <w:num w:numId="43">
    <w:abstractNumId w:val="58"/>
  </w:num>
  <w:num w:numId="44">
    <w:abstractNumId w:val="40"/>
  </w:num>
  <w:num w:numId="45">
    <w:abstractNumId w:val="9"/>
  </w:num>
  <w:num w:numId="46">
    <w:abstractNumId w:val="33"/>
  </w:num>
  <w:num w:numId="47">
    <w:abstractNumId w:val="12"/>
  </w:num>
  <w:num w:numId="48">
    <w:abstractNumId w:val="37"/>
  </w:num>
  <w:num w:numId="49">
    <w:abstractNumId w:val="56"/>
  </w:num>
  <w:num w:numId="50">
    <w:abstractNumId w:val="12"/>
  </w:num>
  <w:num w:numId="51">
    <w:abstractNumId w:val="25"/>
  </w:num>
  <w:num w:numId="52">
    <w:abstractNumId w:val="21"/>
  </w:num>
  <w:num w:numId="53">
    <w:abstractNumId w:val="11"/>
  </w:num>
  <w:num w:numId="54">
    <w:abstractNumId w:val="29"/>
  </w:num>
  <w:num w:numId="55">
    <w:abstractNumId w:val="12"/>
  </w:num>
  <w:num w:numId="56">
    <w:abstractNumId w:val="12"/>
  </w:num>
  <w:num w:numId="57">
    <w:abstractNumId w:val="34"/>
  </w:num>
  <w:num w:numId="58">
    <w:abstractNumId w:val="53"/>
  </w:num>
  <w:num w:numId="59">
    <w:abstractNumId w:val="23"/>
  </w:num>
  <w:num w:numId="60">
    <w:abstractNumId w:val="60"/>
  </w:num>
  <w:num w:numId="61">
    <w:abstractNumId w:val="12"/>
  </w:num>
  <w:num w:numId="62">
    <w:abstractNumId w:val="12"/>
  </w:num>
  <w:num w:numId="63">
    <w:abstractNumId w:val="67"/>
  </w:num>
  <w:num w:numId="64">
    <w:abstractNumId w:val="19"/>
  </w:num>
  <w:num w:numId="65">
    <w:abstractNumId w:val="45"/>
  </w:num>
  <w:num w:numId="66">
    <w:abstractNumId w:val="65"/>
  </w:num>
  <w:num w:numId="67">
    <w:abstractNumId w:val="41"/>
  </w:num>
  <w:num w:numId="68">
    <w:abstractNumId w:val="24"/>
  </w:num>
  <w:num w:numId="69">
    <w:abstractNumId w:val="20"/>
  </w:num>
  <w:num w:numId="70">
    <w:abstractNumId w:val="13"/>
  </w:num>
  <w:num w:numId="71">
    <w:abstractNumId w:val="12"/>
  </w:num>
  <w:num w:numId="72">
    <w:abstractNumId w:val="47"/>
  </w:num>
  <w:num w:numId="73">
    <w:abstractNumId w:val="22"/>
  </w:num>
  <w:num w:numId="74">
    <w:abstractNumId w:val="32"/>
  </w:num>
  <w:num w:numId="75">
    <w:abstractNumId w:val="43"/>
  </w:num>
  <w:numIdMacAtCleanup w:val="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attachedTemplate r:id="rId1"/>
  <w:stylePaneFormatFilter w:val="9721" w:allStyles="1" w:customStyles="0" w:latentStyles="0" w:stylesInUse="0" w:headingStyles="1" w:numberingStyles="0" w:tableStyles="0" w:directFormattingOnRuns="1" w:directFormattingOnParagraphs="1" w:directFormattingOnNumbering="1" w:directFormattingOnTables="0" w:clearFormatting="1" w:top3HeadingStyles="0" w:visibleStyles="0" w:alternateStyleNames="1"/>
  <w:stylePaneSortMethod w:val="0000"/>
  <w:defaultTabStop w:val="34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urrentname" w:val="T:\Strat_Comms\Pubs_Design\Templates\ACCC\In Progress\ACCC\ACCC Report Template_04.dotm"/>
  </w:docVars>
  <w:rsids>
    <w:rsidRoot w:val="00126288"/>
    <w:rsid w:val="00001D95"/>
    <w:rsid w:val="00004DE1"/>
    <w:rsid w:val="00005041"/>
    <w:rsid w:val="00005887"/>
    <w:rsid w:val="0000763F"/>
    <w:rsid w:val="00014FD8"/>
    <w:rsid w:val="00016BA6"/>
    <w:rsid w:val="00017C0F"/>
    <w:rsid w:val="00020ABC"/>
    <w:rsid w:val="0002115F"/>
    <w:rsid w:val="00021202"/>
    <w:rsid w:val="000214DB"/>
    <w:rsid w:val="000225C4"/>
    <w:rsid w:val="00022A5B"/>
    <w:rsid w:val="000236FA"/>
    <w:rsid w:val="000240A5"/>
    <w:rsid w:val="000247B3"/>
    <w:rsid w:val="00026205"/>
    <w:rsid w:val="00026C37"/>
    <w:rsid w:val="000273AA"/>
    <w:rsid w:val="00030AA3"/>
    <w:rsid w:val="00030B8B"/>
    <w:rsid w:val="00031E4C"/>
    <w:rsid w:val="0003339C"/>
    <w:rsid w:val="00033590"/>
    <w:rsid w:val="000355C9"/>
    <w:rsid w:val="00035767"/>
    <w:rsid w:val="0003578C"/>
    <w:rsid w:val="000375D3"/>
    <w:rsid w:val="00040EA3"/>
    <w:rsid w:val="00042104"/>
    <w:rsid w:val="0004344D"/>
    <w:rsid w:val="00043A28"/>
    <w:rsid w:val="0004459F"/>
    <w:rsid w:val="00050FF0"/>
    <w:rsid w:val="000533A3"/>
    <w:rsid w:val="00053828"/>
    <w:rsid w:val="00053DB9"/>
    <w:rsid w:val="00054B11"/>
    <w:rsid w:val="00055B25"/>
    <w:rsid w:val="00057215"/>
    <w:rsid w:val="00060366"/>
    <w:rsid w:val="000605EA"/>
    <w:rsid w:val="000619AF"/>
    <w:rsid w:val="000626EE"/>
    <w:rsid w:val="00062A9B"/>
    <w:rsid w:val="00062C59"/>
    <w:rsid w:val="00063247"/>
    <w:rsid w:val="0006414D"/>
    <w:rsid w:val="000665A1"/>
    <w:rsid w:val="00066910"/>
    <w:rsid w:val="00067A90"/>
    <w:rsid w:val="00067AEE"/>
    <w:rsid w:val="00070295"/>
    <w:rsid w:val="00070F9F"/>
    <w:rsid w:val="0007137B"/>
    <w:rsid w:val="000748D3"/>
    <w:rsid w:val="000753E1"/>
    <w:rsid w:val="000754A7"/>
    <w:rsid w:val="00076B9B"/>
    <w:rsid w:val="00077B2F"/>
    <w:rsid w:val="000818D4"/>
    <w:rsid w:val="000822E0"/>
    <w:rsid w:val="000831A6"/>
    <w:rsid w:val="0008336E"/>
    <w:rsid w:val="00084979"/>
    <w:rsid w:val="00085663"/>
    <w:rsid w:val="00085EBF"/>
    <w:rsid w:val="00087730"/>
    <w:rsid w:val="00096A2F"/>
    <w:rsid w:val="00096FDA"/>
    <w:rsid w:val="00097246"/>
    <w:rsid w:val="000972E9"/>
    <w:rsid w:val="00097F84"/>
    <w:rsid w:val="000A09E3"/>
    <w:rsid w:val="000A1361"/>
    <w:rsid w:val="000A1970"/>
    <w:rsid w:val="000A1CF5"/>
    <w:rsid w:val="000A2C42"/>
    <w:rsid w:val="000A403A"/>
    <w:rsid w:val="000A4322"/>
    <w:rsid w:val="000A4A05"/>
    <w:rsid w:val="000B166F"/>
    <w:rsid w:val="000B1C9D"/>
    <w:rsid w:val="000B23A9"/>
    <w:rsid w:val="000B2656"/>
    <w:rsid w:val="000B3EBF"/>
    <w:rsid w:val="000B4E0B"/>
    <w:rsid w:val="000B5276"/>
    <w:rsid w:val="000C0C76"/>
    <w:rsid w:val="000C335A"/>
    <w:rsid w:val="000C35E6"/>
    <w:rsid w:val="000C4A8B"/>
    <w:rsid w:val="000C4F12"/>
    <w:rsid w:val="000C5938"/>
    <w:rsid w:val="000C6900"/>
    <w:rsid w:val="000C7587"/>
    <w:rsid w:val="000C79ED"/>
    <w:rsid w:val="000D058C"/>
    <w:rsid w:val="000D099C"/>
    <w:rsid w:val="000D0EAC"/>
    <w:rsid w:val="000D122C"/>
    <w:rsid w:val="000D152F"/>
    <w:rsid w:val="000D39D7"/>
    <w:rsid w:val="000D3B00"/>
    <w:rsid w:val="000D404B"/>
    <w:rsid w:val="000D4087"/>
    <w:rsid w:val="000D4B75"/>
    <w:rsid w:val="000D52DF"/>
    <w:rsid w:val="000D612E"/>
    <w:rsid w:val="000D69DC"/>
    <w:rsid w:val="000D6ACD"/>
    <w:rsid w:val="000D7511"/>
    <w:rsid w:val="000D76A6"/>
    <w:rsid w:val="000E054E"/>
    <w:rsid w:val="000E1045"/>
    <w:rsid w:val="000E1819"/>
    <w:rsid w:val="000E20E9"/>
    <w:rsid w:val="000E2CAE"/>
    <w:rsid w:val="000E3A2E"/>
    <w:rsid w:val="000E4291"/>
    <w:rsid w:val="000E49B3"/>
    <w:rsid w:val="000E4EB1"/>
    <w:rsid w:val="000E6C72"/>
    <w:rsid w:val="000E7EF7"/>
    <w:rsid w:val="000F0003"/>
    <w:rsid w:val="000F121A"/>
    <w:rsid w:val="000F2013"/>
    <w:rsid w:val="000F2368"/>
    <w:rsid w:val="000F3D0F"/>
    <w:rsid w:val="000F4CA0"/>
    <w:rsid w:val="000F51B5"/>
    <w:rsid w:val="000F6B0C"/>
    <w:rsid w:val="00100043"/>
    <w:rsid w:val="00103E20"/>
    <w:rsid w:val="0010439E"/>
    <w:rsid w:val="00107541"/>
    <w:rsid w:val="001126CC"/>
    <w:rsid w:val="00114F18"/>
    <w:rsid w:val="00116C49"/>
    <w:rsid w:val="00116EB2"/>
    <w:rsid w:val="00117EBF"/>
    <w:rsid w:val="001205BE"/>
    <w:rsid w:val="001231A0"/>
    <w:rsid w:val="0012327D"/>
    <w:rsid w:val="00123B6C"/>
    <w:rsid w:val="00124295"/>
    <w:rsid w:val="00124609"/>
    <w:rsid w:val="0012589E"/>
    <w:rsid w:val="00126288"/>
    <w:rsid w:val="00126CC2"/>
    <w:rsid w:val="00127A0F"/>
    <w:rsid w:val="00130ADA"/>
    <w:rsid w:val="001310BE"/>
    <w:rsid w:val="00132C6E"/>
    <w:rsid w:val="001342BA"/>
    <w:rsid w:val="00136A38"/>
    <w:rsid w:val="001411A7"/>
    <w:rsid w:val="00141247"/>
    <w:rsid w:val="001422F4"/>
    <w:rsid w:val="00142640"/>
    <w:rsid w:val="00143172"/>
    <w:rsid w:val="001435A4"/>
    <w:rsid w:val="001448FE"/>
    <w:rsid w:val="001457B7"/>
    <w:rsid w:val="00145FFC"/>
    <w:rsid w:val="0014696D"/>
    <w:rsid w:val="0014749F"/>
    <w:rsid w:val="00147D18"/>
    <w:rsid w:val="0015064B"/>
    <w:rsid w:val="00151061"/>
    <w:rsid w:val="00151F7D"/>
    <w:rsid w:val="00154A0D"/>
    <w:rsid w:val="001556C3"/>
    <w:rsid w:val="001573E4"/>
    <w:rsid w:val="00157DE9"/>
    <w:rsid w:val="00160756"/>
    <w:rsid w:val="0016187A"/>
    <w:rsid w:val="00161D86"/>
    <w:rsid w:val="0016275A"/>
    <w:rsid w:val="0016407C"/>
    <w:rsid w:val="0016543A"/>
    <w:rsid w:val="00165876"/>
    <w:rsid w:val="0017232E"/>
    <w:rsid w:val="00173A14"/>
    <w:rsid w:val="00174102"/>
    <w:rsid w:val="001741E9"/>
    <w:rsid w:val="00180157"/>
    <w:rsid w:val="00181223"/>
    <w:rsid w:val="00181D93"/>
    <w:rsid w:val="00183AE1"/>
    <w:rsid w:val="001857A8"/>
    <w:rsid w:val="00186F77"/>
    <w:rsid w:val="001926A4"/>
    <w:rsid w:val="00193734"/>
    <w:rsid w:val="001948CA"/>
    <w:rsid w:val="00194B3B"/>
    <w:rsid w:val="00197B29"/>
    <w:rsid w:val="001A0700"/>
    <w:rsid w:val="001A1087"/>
    <w:rsid w:val="001A154A"/>
    <w:rsid w:val="001A1D21"/>
    <w:rsid w:val="001A4313"/>
    <w:rsid w:val="001A444B"/>
    <w:rsid w:val="001A4BF6"/>
    <w:rsid w:val="001A6B3B"/>
    <w:rsid w:val="001A7C38"/>
    <w:rsid w:val="001B1219"/>
    <w:rsid w:val="001B238E"/>
    <w:rsid w:val="001B2540"/>
    <w:rsid w:val="001B376B"/>
    <w:rsid w:val="001B45A0"/>
    <w:rsid w:val="001B6927"/>
    <w:rsid w:val="001B6CF6"/>
    <w:rsid w:val="001B75EA"/>
    <w:rsid w:val="001C0100"/>
    <w:rsid w:val="001C0548"/>
    <w:rsid w:val="001C0F1C"/>
    <w:rsid w:val="001C18EE"/>
    <w:rsid w:val="001C2625"/>
    <w:rsid w:val="001C3798"/>
    <w:rsid w:val="001C3EE0"/>
    <w:rsid w:val="001C42EB"/>
    <w:rsid w:val="001C460F"/>
    <w:rsid w:val="001C475E"/>
    <w:rsid w:val="001C4FAF"/>
    <w:rsid w:val="001C6123"/>
    <w:rsid w:val="001C710F"/>
    <w:rsid w:val="001C7C0D"/>
    <w:rsid w:val="001D0310"/>
    <w:rsid w:val="001D055E"/>
    <w:rsid w:val="001D161B"/>
    <w:rsid w:val="001D34CF"/>
    <w:rsid w:val="001D39F5"/>
    <w:rsid w:val="001D58A8"/>
    <w:rsid w:val="001D77C6"/>
    <w:rsid w:val="001E2A7A"/>
    <w:rsid w:val="001E6247"/>
    <w:rsid w:val="001F0485"/>
    <w:rsid w:val="001F089E"/>
    <w:rsid w:val="001F170E"/>
    <w:rsid w:val="001F341F"/>
    <w:rsid w:val="001F37EB"/>
    <w:rsid w:val="001F492E"/>
    <w:rsid w:val="001F6DA3"/>
    <w:rsid w:val="002035C5"/>
    <w:rsid w:val="00204940"/>
    <w:rsid w:val="00207635"/>
    <w:rsid w:val="00207926"/>
    <w:rsid w:val="00211816"/>
    <w:rsid w:val="00212737"/>
    <w:rsid w:val="00212C5F"/>
    <w:rsid w:val="00212DA1"/>
    <w:rsid w:val="00212E98"/>
    <w:rsid w:val="0021350B"/>
    <w:rsid w:val="0021436E"/>
    <w:rsid w:val="0021451A"/>
    <w:rsid w:val="002147B8"/>
    <w:rsid w:val="00215D32"/>
    <w:rsid w:val="00216649"/>
    <w:rsid w:val="00217482"/>
    <w:rsid w:val="00222C6C"/>
    <w:rsid w:val="002236E7"/>
    <w:rsid w:val="00224DB9"/>
    <w:rsid w:val="002256F5"/>
    <w:rsid w:val="002311A8"/>
    <w:rsid w:val="00232B24"/>
    <w:rsid w:val="00232F73"/>
    <w:rsid w:val="00233B6E"/>
    <w:rsid w:val="00233E85"/>
    <w:rsid w:val="002350EC"/>
    <w:rsid w:val="00237532"/>
    <w:rsid w:val="00240C79"/>
    <w:rsid w:val="00241EB6"/>
    <w:rsid w:val="00244BDE"/>
    <w:rsid w:val="00245C52"/>
    <w:rsid w:val="00246C6F"/>
    <w:rsid w:val="00247732"/>
    <w:rsid w:val="002503F0"/>
    <w:rsid w:val="00250B80"/>
    <w:rsid w:val="00251745"/>
    <w:rsid w:val="00251DD9"/>
    <w:rsid w:val="00252154"/>
    <w:rsid w:val="0025274E"/>
    <w:rsid w:val="002529E3"/>
    <w:rsid w:val="00253370"/>
    <w:rsid w:val="00253988"/>
    <w:rsid w:val="0025498C"/>
    <w:rsid w:val="00254D56"/>
    <w:rsid w:val="002609DC"/>
    <w:rsid w:val="00261657"/>
    <w:rsid w:val="00261C39"/>
    <w:rsid w:val="00262147"/>
    <w:rsid w:val="002628FF"/>
    <w:rsid w:val="00262AC1"/>
    <w:rsid w:val="00263449"/>
    <w:rsid w:val="00263AC0"/>
    <w:rsid w:val="00266003"/>
    <w:rsid w:val="0026772D"/>
    <w:rsid w:val="00271CBA"/>
    <w:rsid w:val="002754B7"/>
    <w:rsid w:val="002754C8"/>
    <w:rsid w:val="00275E44"/>
    <w:rsid w:val="002777A1"/>
    <w:rsid w:val="00280A4F"/>
    <w:rsid w:val="00283514"/>
    <w:rsid w:val="002849BB"/>
    <w:rsid w:val="00285C3F"/>
    <w:rsid w:val="002861D6"/>
    <w:rsid w:val="0028676A"/>
    <w:rsid w:val="00286874"/>
    <w:rsid w:val="00287172"/>
    <w:rsid w:val="00291099"/>
    <w:rsid w:val="00291248"/>
    <w:rsid w:val="0029503B"/>
    <w:rsid w:val="002962DA"/>
    <w:rsid w:val="00296B65"/>
    <w:rsid w:val="00296CE4"/>
    <w:rsid w:val="002A252C"/>
    <w:rsid w:val="002A2D55"/>
    <w:rsid w:val="002A2F16"/>
    <w:rsid w:val="002A429B"/>
    <w:rsid w:val="002A4918"/>
    <w:rsid w:val="002A5C4F"/>
    <w:rsid w:val="002A7DEF"/>
    <w:rsid w:val="002B3566"/>
    <w:rsid w:val="002B3F1C"/>
    <w:rsid w:val="002B592A"/>
    <w:rsid w:val="002B66E2"/>
    <w:rsid w:val="002B7310"/>
    <w:rsid w:val="002B7946"/>
    <w:rsid w:val="002C07A5"/>
    <w:rsid w:val="002C16A0"/>
    <w:rsid w:val="002C16A7"/>
    <w:rsid w:val="002C17EF"/>
    <w:rsid w:val="002C46C8"/>
    <w:rsid w:val="002C4AED"/>
    <w:rsid w:val="002C650D"/>
    <w:rsid w:val="002D1DCF"/>
    <w:rsid w:val="002D2C82"/>
    <w:rsid w:val="002D30A6"/>
    <w:rsid w:val="002D6E9C"/>
    <w:rsid w:val="002D7910"/>
    <w:rsid w:val="002E12A7"/>
    <w:rsid w:val="002E21B0"/>
    <w:rsid w:val="002E4521"/>
    <w:rsid w:val="002E5A42"/>
    <w:rsid w:val="002F0F6E"/>
    <w:rsid w:val="002F1581"/>
    <w:rsid w:val="002F2163"/>
    <w:rsid w:val="002F41B4"/>
    <w:rsid w:val="002F70EF"/>
    <w:rsid w:val="002F71D3"/>
    <w:rsid w:val="002F7986"/>
    <w:rsid w:val="002F7DE3"/>
    <w:rsid w:val="00300D05"/>
    <w:rsid w:val="00301286"/>
    <w:rsid w:val="0030289B"/>
    <w:rsid w:val="00303C4A"/>
    <w:rsid w:val="00304715"/>
    <w:rsid w:val="00306CC3"/>
    <w:rsid w:val="00306E84"/>
    <w:rsid w:val="00307F6D"/>
    <w:rsid w:val="00310CBE"/>
    <w:rsid w:val="00310D03"/>
    <w:rsid w:val="003112FD"/>
    <w:rsid w:val="00311775"/>
    <w:rsid w:val="00311A14"/>
    <w:rsid w:val="00312275"/>
    <w:rsid w:val="00313E6C"/>
    <w:rsid w:val="00314315"/>
    <w:rsid w:val="003150B1"/>
    <w:rsid w:val="00316947"/>
    <w:rsid w:val="00317756"/>
    <w:rsid w:val="003177A2"/>
    <w:rsid w:val="003206F7"/>
    <w:rsid w:val="00320C46"/>
    <w:rsid w:val="0032190D"/>
    <w:rsid w:val="00321912"/>
    <w:rsid w:val="0032196E"/>
    <w:rsid w:val="003224B1"/>
    <w:rsid w:val="003249BB"/>
    <w:rsid w:val="0032501F"/>
    <w:rsid w:val="003269FF"/>
    <w:rsid w:val="00327064"/>
    <w:rsid w:val="003271B5"/>
    <w:rsid w:val="003273B8"/>
    <w:rsid w:val="0032748D"/>
    <w:rsid w:val="00327CE1"/>
    <w:rsid w:val="00327F4E"/>
    <w:rsid w:val="00327FFC"/>
    <w:rsid w:val="00330C52"/>
    <w:rsid w:val="00331264"/>
    <w:rsid w:val="00332357"/>
    <w:rsid w:val="00333A38"/>
    <w:rsid w:val="003341D6"/>
    <w:rsid w:val="00334C8D"/>
    <w:rsid w:val="003359BE"/>
    <w:rsid w:val="00335E6F"/>
    <w:rsid w:val="00340202"/>
    <w:rsid w:val="00340655"/>
    <w:rsid w:val="00340E86"/>
    <w:rsid w:val="00342517"/>
    <w:rsid w:val="003430FC"/>
    <w:rsid w:val="0034326C"/>
    <w:rsid w:val="00344DDD"/>
    <w:rsid w:val="003451FA"/>
    <w:rsid w:val="0034544C"/>
    <w:rsid w:val="003459E6"/>
    <w:rsid w:val="00345D2B"/>
    <w:rsid w:val="003475BF"/>
    <w:rsid w:val="003478A5"/>
    <w:rsid w:val="0035002B"/>
    <w:rsid w:val="00350391"/>
    <w:rsid w:val="0035047B"/>
    <w:rsid w:val="0035052B"/>
    <w:rsid w:val="00350975"/>
    <w:rsid w:val="00350F62"/>
    <w:rsid w:val="003518B3"/>
    <w:rsid w:val="00352B57"/>
    <w:rsid w:val="00353CBD"/>
    <w:rsid w:val="0035409A"/>
    <w:rsid w:val="0035443B"/>
    <w:rsid w:val="00354946"/>
    <w:rsid w:val="00355A4C"/>
    <w:rsid w:val="003562F0"/>
    <w:rsid w:val="003607F7"/>
    <w:rsid w:val="00360972"/>
    <w:rsid w:val="00360D35"/>
    <w:rsid w:val="00361A40"/>
    <w:rsid w:val="0036209F"/>
    <w:rsid w:val="00364261"/>
    <w:rsid w:val="00366B79"/>
    <w:rsid w:val="003726AA"/>
    <w:rsid w:val="003742DF"/>
    <w:rsid w:val="00374A96"/>
    <w:rsid w:val="00375854"/>
    <w:rsid w:val="00377972"/>
    <w:rsid w:val="00377DBE"/>
    <w:rsid w:val="00377E14"/>
    <w:rsid w:val="003806A8"/>
    <w:rsid w:val="00381DD5"/>
    <w:rsid w:val="00381ECD"/>
    <w:rsid w:val="003831D5"/>
    <w:rsid w:val="00383A46"/>
    <w:rsid w:val="003846F1"/>
    <w:rsid w:val="00384EB3"/>
    <w:rsid w:val="00385481"/>
    <w:rsid w:val="0038592F"/>
    <w:rsid w:val="00385C52"/>
    <w:rsid w:val="0038655C"/>
    <w:rsid w:val="00386D6D"/>
    <w:rsid w:val="00391DFA"/>
    <w:rsid w:val="00392482"/>
    <w:rsid w:val="00392F30"/>
    <w:rsid w:val="003930D7"/>
    <w:rsid w:val="0039322E"/>
    <w:rsid w:val="00394215"/>
    <w:rsid w:val="00394256"/>
    <w:rsid w:val="003950D5"/>
    <w:rsid w:val="00395771"/>
    <w:rsid w:val="00397845"/>
    <w:rsid w:val="003A09B3"/>
    <w:rsid w:val="003A2FD9"/>
    <w:rsid w:val="003A3822"/>
    <w:rsid w:val="003A3C41"/>
    <w:rsid w:val="003A4A49"/>
    <w:rsid w:val="003A4DA6"/>
    <w:rsid w:val="003A506C"/>
    <w:rsid w:val="003A58B3"/>
    <w:rsid w:val="003A673F"/>
    <w:rsid w:val="003A7C09"/>
    <w:rsid w:val="003B0E2F"/>
    <w:rsid w:val="003B1A22"/>
    <w:rsid w:val="003B41DA"/>
    <w:rsid w:val="003B4468"/>
    <w:rsid w:val="003B4F89"/>
    <w:rsid w:val="003B507C"/>
    <w:rsid w:val="003B5A70"/>
    <w:rsid w:val="003B695A"/>
    <w:rsid w:val="003B69A8"/>
    <w:rsid w:val="003B6B4D"/>
    <w:rsid w:val="003C4E18"/>
    <w:rsid w:val="003C5C2F"/>
    <w:rsid w:val="003D010F"/>
    <w:rsid w:val="003D0218"/>
    <w:rsid w:val="003D12BC"/>
    <w:rsid w:val="003D1B07"/>
    <w:rsid w:val="003D7B0D"/>
    <w:rsid w:val="003D7D9D"/>
    <w:rsid w:val="003D7E96"/>
    <w:rsid w:val="003E11CB"/>
    <w:rsid w:val="003E132F"/>
    <w:rsid w:val="003E3B8F"/>
    <w:rsid w:val="003E3BE4"/>
    <w:rsid w:val="003E3ED1"/>
    <w:rsid w:val="003E4B85"/>
    <w:rsid w:val="003E4D99"/>
    <w:rsid w:val="003E5DE5"/>
    <w:rsid w:val="003E640A"/>
    <w:rsid w:val="003F104F"/>
    <w:rsid w:val="003F1805"/>
    <w:rsid w:val="003F23D4"/>
    <w:rsid w:val="003F2B62"/>
    <w:rsid w:val="003F3F86"/>
    <w:rsid w:val="003F4B14"/>
    <w:rsid w:val="003F60B0"/>
    <w:rsid w:val="003F6A1E"/>
    <w:rsid w:val="003F72A1"/>
    <w:rsid w:val="00401312"/>
    <w:rsid w:val="00401D77"/>
    <w:rsid w:val="00403C99"/>
    <w:rsid w:val="00411228"/>
    <w:rsid w:val="00411CA6"/>
    <w:rsid w:val="0041513B"/>
    <w:rsid w:val="00415712"/>
    <w:rsid w:val="00416500"/>
    <w:rsid w:val="004202AB"/>
    <w:rsid w:val="00420650"/>
    <w:rsid w:val="004207EC"/>
    <w:rsid w:val="004214B1"/>
    <w:rsid w:val="004217A5"/>
    <w:rsid w:val="00421D7D"/>
    <w:rsid w:val="00422068"/>
    <w:rsid w:val="004232DB"/>
    <w:rsid w:val="00426C8C"/>
    <w:rsid w:val="00427C80"/>
    <w:rsid w:val="00427F18"/>
    <w:rsid w:val="0043160E"/>
    <w:rsid w:val="00432170"/>
    <w:rsid w:val="0043229F"/>
    <w:rsid w:val="00432BA0"/>
    <w:rsid w:val="00432D74"/>
    <w:rsid w:val="0043321C"/>
    <w:rsid w:val="004351B7"/>
    <w:rsid w:val="00435A20"/>
    <w:rsid w:val="00435F06"/>
    <w:rsid w:val="00435F07"/>
    <w:rsid w:val="00436DE7"/>
    <w:rsid w:val="00436E77"/>
    <w:rsid w:val="0043796D"/>
    <w:rsid w:val="004403E9"/>
    <w:rsid w:val="00442415"/>
    <w:rsid w:val="004427E8"/>
    <w:rsid w:val="004430B4"/>
    <w:rsid w:val="00443569"/>
    <w:rsid w:val="00445E96"/>
    <w:rsid w:val="00454AAB"/>
    <w:rsid w:val="00455B6E"/>
    <w:rsid w:val="00457C88"/>
    <w:rsid w:val="0046058B"/>
    <w:rsid w:val="004620BF"/>
    <w:rsid w:val="00463EB0"/>
    <w:rsid w:val="004640E7"/>
    <w:rsid w:val="00465EB9"/>
    <w:rsid w:val="00466B4F"/>
    <w:rsid w:val="004711FE"/>
    <w:rsid w:val="004732AD"/>
    <w:rsid w:val="00473CAF"/>
    <w:rsid w:val="0047433A"/>
    <w:rsid w:val="00474C2A"/>
    <w:rsid w:val="00475DDE"/>
    <w:rsid w:val="00480B4B"/>
    <w:rsid w:val="00481AFF"/>
    <w:rsid w:val="00482743"/>
    <w:rsid w:val="00482962"/>
    <w:rsid w:val="004829E5"/>
    <w:rsid w:val="00482BFB"/>
    <w:rsid w:val="00482E52"/>
    <w:rsid w:val="00484499"/>
    <w:rsid w:val="00484911"/>
    <w:rsid w:val="0048506F"/>
    <w:rsid w:val="004851B2"/>
    <w:rsid w:val="00485DC4"/>
    <w:rsid w:val="00485E9A"/>
    <w:rsid w:val="00491596"/>
    <w:rsid w:val="00491AC0"/>
    <w:rsid w:val="00491F63"/>
    <w:rsid w:val="004943ED"/>
    <w:rsid w:val="00494815"/>
    <w:rsid w:val="00494B1D"/>
    <w:rsid w:val="00495199"/>
    <w:rsid w:val="00495777"/>
    <w:rsid w:val="004967BF"/>
    <w:rsid w:val="00496C62"/>
    <w:rsid w:val="004973A2"/>
    <w:rsid w:val="004A12D1"/>
    <w:rsid w:val="004A158E"/>
    <w:rsid w:val="004A2112"/>
    <w:rsid w:val="004A3F27"/>
    <w:rsid w:val="004A5115"/>
    <w:rsid w:val="004A5657"/>
    <w:rsid w:val="004A5F97"/>
    <w:rsid w:val="004A6034"/>
    <w:rsid w:val="004A60BA"/>
    <w:rsid w:val="004A674A"/>
    <w:rsid w:val="004A679B"/>
    <w:rsid w:val="004A6980"/>
    <w:rsid w:val="004B1254"/>
    <w:rsid w:val="004B2373"/>
    <w:rsid w:val="004B28E4"/>
    <w:rsid w:val="004B3EF3"/>
    <w:rsid w:val="004B4388"/>
    <w:rsid w:val="004B4412"/>
    <w:rsid w:val="004B456A"/>
    <w:rsid w:val="004B49E8"/>
    <w:rsid w:val="004B4CE9"/>
    <w:rsid w:val="004B5271"/>
    <w:rsid w:val="004B646C"/>
    <w:rsid w:val="004C0AE9"/>
    <w:rsid w:val="004C0CF7"/>
    <w:rsid w:val="004C10C4"/>
    <w:rsid w:val="004C17A3"/>
    <w:rsid w:val="004C348C"/>
    <w:rsid w:val="004C4F72"/>
    <w:rsid w:val="004C5D9C"/>
    <w:rsid w:val="004C5DD0"/>
    <w:rsid w:val="004D01B4"/>
    <w:rsid w:val="004D061F"/>
    <w:rsid w:val="004D1266"/>
    <w:rsid w:val="004D17BF"/>
    <w:rsid w:val="004D279D"/>
    <w:rsid w:val="004D528B"/>
    <w:rsid w:val="004D55BA"/>
    <w:rsid w:val="004D7814"/>
    <w:rsid w:val="004E2D08"/>
    <w:rsid w:val="004F0208"/>
    <w:rsid w:val="004F024E"/>
    <w:rsid w:val="004F0458"/>
    <w:rsid w:val="004F1396"/>
    <w:rsid w:val="004F2FDE"/>
    <w:rsid w:val="004F5617"/>
    <w:rsid w:val="004F5908"/>
    <w:rsid w:val="004F722A"/>
    <w:rsid w:val="00500499"/>
    <w:rsid w:val="0050152E"/>
    <w:rsid w:val="005038DB"/>
    <w:rsid w:val="00503F0B"/>
    <w:rsid w:val="005051E9"/>
    <w:rsid w:val="00505910"/>
    <w:rsid w:val="00505F5C"/>
    <w:rsid w:val="00507B91"/>
    <w:rsid w:val="00510533"/>
    <w:rsid w:val="0051122A"/>
    <w:rsid w:val="0051245D"/>
    <w:rsid w:val="00514143"/>
    <w:rsid w:val="0051448C"/>
    <w:rsid w:val="00517CC4"/>
    <w:rsid w:val="005243F9"/>
    <w:rsid w:val="00530128"/>
    <w:rsid w:val="005321C0"/>
    <w:rsid w:val="00532467"/>
    <w:rsid w:val="00533F4D"/>
    <w:rsid w:val="0053470E"/>
    <w:rsid w:val="005367C2"/>
    <w:rsid w:val="00536B72"/>
    <w:rsid w:val="00536D0F"/>
    <w:rsid w:val="00537025"/>
    <w:rsid w:val="0054242D"/>
    <w:rsid w:val="005448D2"/>
    <w:rsid w:val="0054608F"/>
    <w:rsid w:val="00546143"/>
    <w:rsid w:val="00547CCF"/>
    <w:rsid w:val="00550B5D"/>
    <w:rsid w:val="00550FA1"/>
    <w:rsid w:val="00551D2D"/>
    <w:rsid w:val="00552A38"/>
    <w:rsid w:val="00553435"/>
    <w:rsid w:val="00553566"/>
    <w:rsid w:val="00553D7A"/>
    <w:rsid w:val="00556141"/>
    <w:rsid w:val="00556AE6"/>
    <w:rsid w:val="00556FF8"/>
    <w:rsid w:val="00560193"/>
    <w:rsid w:val="00563279"/>
    <w:rsid w:val="00563F82"/>
    <w:rsid w:val="00564A4D"/>
    <w:rsid w:val="00566D76"/>
    <w:rsid w:val="00567077"/>
    <w:rsid w:val="00570CC5"/>
    <w:rsid w:val="00570FF3"/>
    <w:rsid w:val="005714AB"/>
    <w:rsid w:val="005716C3"/>
    <w:rsid w:val="00571B35"/>
    <w:rsid w:val="00571C9F"/>
    <w:rsid w:val="00573210"/>
    <w:rsid w:val="005738C6"/>
    <w:rsid w:val="0057494D"/>
    <w:rsid w:val="005766F3"/>
    <w:rsid w:val="00576F16"/>
    <w:rsid w:val="00577A09"/>
    <w:rsid w:val="005801C1"/>
    <w:rsid w:val="00582896"/>
    <w:rsid w:val="00584348"/>
    <w:rsid w:val="005843D7"/>
    <w:rsid w:val="00584D8F"/>
    <w:rsid w:val="005851AE"/>
    <w:rsid w:val="00587D52"/>
    <w:rsid w:val="00592797"/>
    <w:rsid w:val="00593DE3"/>
    <w:rsid w:val="00594565"/>
    <w:rsid w:val="005950E8"/>
    <w:rsid w:val="00596686"/>
    <w:rsid w:val="005966C7"/>
    <w:rsid w:val="00596D42"/>
    <w:rsid w:val="005979EB"/>
    <w:rsid w:val="005A153F"/>
    <w:rsid w:val="005A38B7"/>
    <w:rsid w:val="005A404D"/>
    <w:rsid w:val="005A4290"/>
    <w:rsid w:val="005A525C"/>
    <w:rsid w:val="005A5899"/>
    <w:rsid w:val="005A7BA8"/>
    <w:rsid w:val="005B0065"/>
    <w:rsid w:val="005B03B8"/>
    <w:rsid w:val="005B1BD7"/>
    <w:rsid w:val="005B1E3C"/>
    <w:rsid w:val="005B37FB"/>
    <w:rsid w:val="005B4537"/>
    <w:rsid w:val="005B4A09"/>
    <w:rsid w:val="005B6C16"/>
    <w:rsid w:val="005C0B7E"/>
    <w:rsid w:val="005C1622"/>
    <w:rsid w:val="005C26CC"/>
    <w:rsid w:val="005C2C8F"/>
    <w:rsid w:val="005C4072"/>
    <w:rsid w:val="005C5667"/>
    <w:rsid w:val="005C650D"/>
    <w:rsid w:val="005C7388"/>
    <w:rsid w:val="005C75FE"/>
    <w:rsid w:val="005D150D"/>
    <w:rsid w:val="005D1747"/>
    <w:rsid w:val="005D2134"/>
    <w:rsid w:val="005D2619"/>
    <w:rsid w:val="005D4A23"/>
    <w:rsid w:val="005D6179"/>
    <w:rsid w:val="005E4C42"/>
    <w:rsid w:val="005E5C5B"/>
    <w:rsid w:val="005E5D0B"/>
    <w:rsid w:val="005E5F26"/>
    <w:rsid w:val="005E6C0E"/>
    <w:rsid w:val="005E77F5"/>
    <w:rsid w:val="005E7AF8"/>
    <w:rsid w:val="005F0023"/>
    <w:rsid w:val="005F073E"/>
    <w:rsid w:val="005F207B"/>
    <w:rsid w:val="005F20E5"/>
    <w:rsid w:val="005F2192"/>
    <w:rsid w:val="005F369A"/>
    <w:rsid w:val="005F4E33"/>
    <w:rsid w:val="005F6B56"/>
    <w:rsid w:val="005F71E2"/>
    <w:rsid w:val="005F7394"/>
    <w:rsid w:val="005F797F"/>
    <w:rsid w:val="006002C0"/>
    <w:rsid w:val="00600425"/>
    <w:rsid w:val="00600944"/>
    <w:rsid w:val="0060284F"/>
    <w:rsid w:val="006033E7"/>
    <w:rsid w:val="00603458"/>
    <w:rsid w:val="00603A44"/>
    <w:rsid w:val="00604812"/>
    <w:rsid w:val="006048B1"/>
    <w:rsid w:val="00604BC4"/>
    <w:rsid w:val="00606E02"/>
    <w:rsid w:val="00606E38"/>
    <w:rsid w:val="0060776E"/>
    <w:rsid w:val="00607E1E"/>
    <w:rsid w:val="00610DF2"/>
    <w:rsid w:val="00610EED"/>
    <w:rsid w:val="006110B8"/>
    <w:rsid w:val="006127DE"/>
    <w:rsid w:val="00612AF6"/>
    <w:rsid w:val="006137CB"/>
    <w:rsid w:val="00614058"/>
    <w:rsid w:val="00614AF4"/>
    <w:rsid w:val="00615C6B"/>
    <w:rsid w:val="006178FD"/>
    <w:rsid w:val="00617B53"/>
    <w:rsid w:val="00620250"/>
    <w:rsid w:val="00620E33"/>
    <w:rsid w:val="00621BA1"/>
    <w:rsid w:val="0062274F"/>
    <w:rsid w:val="00624833"/>
    <w:rsid w:val="006265E7"/>
    <w:rsid w:val="006307F8"/>
    <w:rsid w:val="0063133C"/>
    <w:rsid w:val="00631E65"/>
    <w:rsid w:val="00632D6D"/>
    <w:rsid w:val="0063343F"/>
    <w:rsid w:val="00635F08"/>
    <w:rsid w:val="006366EC"/>
    <w:rsid w:val="00641F5A"/>
    <w:rsid w:val="00641F80"/>
    <w:rsid w:val="0064202E"/>
    <w:rsid w:val="00642C3E"/>
    <w:rsid w:val="00642F98"/>
    <w:rsid w:val="00644AE3"/>
    <w:rsid w:val="00646EE3"/>
    <w:rsid w:val="00647686"/>
    <w:rsid w:val="0065000D"/>
    <w:rsid w:val="0065358D"/>
    <w:rsid w:val="00653F9F"/>
    <w:rsid w:val="00654ABF"/>
    <w:rsid w:val="00654D6A"/>
    <w:rsid w:val="006559C7"/>
    <w:rsid w:val="00657DB2"/>
    <w:rsid w:val="00660620"/>
    <w:rsid w:val="00663DAD"/>
    <w:rsid w:val="00665429"/>
    <w:rsid w:val="00667978"/>
    <w:rsid w:val="00671AE7"/>
    <w:rsid w:val="00672742"/>
    <w:rsid w:val="006739D5"/>
    <w:rsid w:val="00674220"/>
    <w:rsid w:val="006749B7"/>
    <w:rsid w:val="006749D1"/>
    <w:rsid w:val="00674D2C"/>
    <w:rsid w:val="0067579F"/>
    <w:rsid w:val="00675820"/>
    <w:rsid w:val="00675E0F"/>
    <w:rsid w:val="006764F9"/>
    <w:rsid w:val="00676679"/>
    <w:rsid w:val="00680A8D"/>
    <w:rsid w:val="0068117B"/>
    <w:rsid w:val="006811BC"/>
    <w:rsid w:val="006812ED"/>
    <w:rsid w:val="00682059"/>
    <w:rsid w:val="006841B0"/>
    <w:rsid w:val="0068639A"/>
    <w:rsid w:val="00687F39"/>
    <w:rsid w:val="006904D1"/>
    <w:rsid w:val="00691ABC"/>
    <w:rsid w:val="00693BEB"/>
    <w:rsid w:val="00696146"/>
    <w:rsid w:val="006A0F77"/>
    <w:rsid w:val="006A1F33"/>
    <w:rsid w:val="006A2953"/>
    <w:rsid w:val="006A363D"/>
    <w:rsid w:val="006A6BD0"/>
    <w:rsid w:val="006A7B5F"/>
    <w:rsid w:val="006A7F50"/>
    <w:rsid w:val="006B0E6F"/>
    <w:rsid w:val="006B1CB5"/>
    <w:rsid w:val="006B3CCD"/>
    <w:rsid w:val="006B4AC7"/>
    <w:rsid w:val="006B4CF9"/>
    <w:rsid w:val="006B5A1B"/>
    <w:rsid w:val="006B63EB"/>
    <w:rsid w:val="006B72C9"/>
    <w:rsid w:val="006B732F"/>
    <w:rsid w:val="006B7AC8"/>
    <w:rsid w:val="006B7C41"/>
    <w:rsid w:val="006C3366"/>
    <w:rsid w:val="006C472D"/>
    <w:rsid w:val="006C4ED7"/>
    <w:rsid w:val="006C5043"/>
    <w:rsid w:val="006C665F"/>
    <w:rsid w:val="006C6C0B"/>
    <w:rsid w:val="006D0897"/>
    <w:rsid w:val="006D0A51"/>
    <w:rsid w:val="006D0B01"/>
    <w:rsid w:val="006D144F"/>
    <w:rsid w:val="006D21F4"/>
    <w:rsid w:val="006D3BF2"/>
    <w:rsid w:val="006D550F"/>
    <w:rsid w:val="006D5B08"/>
    <w:rsid w:val="006D66D6"/>
    <w:rsid w:val="006D77F3"/>
    <w:rsid w:val="006D79DA"/>
    <w:rsid w:val="006E0F25"/>
    <w:rsid w:val="006E101C"/>
    <w:rsid w:val="006E4C65"/>
    <w:rsid w:val="006E4D3B"/>
    <w:rsid w:val="006E5604"/>
    <w:rsid w:val="006E6939"/>
    <w:rsid w:val="006E7266"/>
    <w:rsid w:val="006F0476"/>
    <w:rsid w:val="006F16FF"/>
    <w:rsid w:val="006F295B"/>
    <w:rsid w:val="006F5A7E"/>
    <w:rsid w:val="006F6013"/>
    <w:rsid w:val="006F7B99"/>
    <w:rsid w:val="00701CAB"/>
    <w:rsid w:val="00703210"/>
    <w:rsid w:val="00704864"/>
    <w:rsid w:val="00704DE8"/>
    <w:rsid w:val="00706924"/>
    <w:rsid w:val="00707563"/>
    <w:rsid w:val="00707C70"/>
    <w:rsid w:val="00710801"/>
    <w:rsid w:val="007147BA"/>
    <w:rsid w:val="00714E68"/>
    <w:rsid w:val="00714FDE"/>
    <w:rsid w:val="00716F0A"/>
    <w:rsid w:val="0071754A"/>
    <w:rsid w:val="007179E6"/>
    <w:rsid w:val="007214F2"/>
    <w:rsid w:val="00721E44"/>
    <w:rsid w:val="00722567"/>
    <w:rsid w:val="0072348C"/>
    <w:rsid w:val="00724A37"/>
    <w:rsid w:val="00726B03"/>
    <w:rsid w:val="007303C3"/>
    <w:rsid w:val="00732049"/>
    <w:rsid w:val="00733921"/>
    <w:rsid w:val="00734BBB"/>
    <w:rsid w:val="007363FC"/>
    <w:rsid w:val="007372E3"/>
    <w:rsid w:val="007375B8"/>
    <w:rsid w:val="0074036D"/>
    <w:rsid w:val="00740CC3"/>
    <w:rsid w:val="007411B5"/>
    <w:rsid w:val="0074223A"/>
    <w:rsid w:val="00743223"/>
    <w:rsid w:val="00744777"/>
    <w:rsid w:val="00744AFB"/>
    <w:rsid w:val="00744D01"/>
    <w:rsid w:val="00744EEC"/>
    <w:rsid w:val="00746814"/>
    <w:rsid w:val="00746E01"/>
    <w:rsid w:val="00750460"/>
    <w:rsid w:val="00752E84"/>
    <w:rsid w:val="007554D4"/>
    <w:rsid w:val="00756ADD"/>
    <w:rsid w:val="007573DC"/>
    <w:rsid w:val="00757E92"/>
    <w:rsid w:val="00761AB3"/>
    <w:rsid w:val="007639C0"/>
    <w:rsid w:val="00763D44"/>
    <w:rsid w:val="00763E5D"/>
    <w:rsid w:val="0076610A"/>
    <w:rsid w:val="00766CE7"/>
    <w:rsid w:val="007674CC"/>
    <w:rsid w:val="00767740"/>
    <w:rsid w:val="00767820"/>
    <w:rsid w:val="007716BB"/>
    <w:rsid w:val="007718AD"/>
    <w:rsid w:val="00772E7F"/>
    <w:rsid w:val="00774AF7"/>
    <w:rsid w:val="00777EE6"/>
    <w:rsid w:val="007806AA"/>
    <w:rsid w:val="00781FCA"/>
    <w:rsid w:val="00782EEA"/>
    <w:rsid w:val="00783934"/>
    <w:rsid w:val="00784B25"/>
    <w:rsid w:val="007859AE"/>
    <w:rsid w:val="007860AF"/>
    <w:rsid w:val="00786A3F"/>
    <w:rsid w:val="00790B8D"/>
    <w:rsid w:val="00791D5B"/>
    <w:rsid w:val="00792215"/>
    <w:rsid w:val="00792A6E"/>
    <w:rsid w:val="00792A8B"/>
    <w:rsid w:val="0079488B"/>
    <w:rsid w:val="00794FB2"/>
    <w:rsid w:val="00795793"/>
    <w:rsid w:val="0079663C"/>
    <w:rsid w:val="00796733"/>
    <w:rsid w:val="007974AF"/>
    <w:rsid w:val="00797878"/>
    <w:rsid w:val="007A04A5"/>
    <w:rsid w:val="007A04D3"/>
    <w:rsid w:val="007A0B79"/>
    <w:rsid w:val="007A3AF9"/>
    <w:rsid w:val="007A4D8D"/>
    <w:rsid w:val="007A5B9D"/>
    <w:rsid w:val="007A64FF"/>
    <w:rsid w:val="007A6F5C"/>
    <w:rsid w:val="007A7FF5"/>
    <w:rsid w:val="007B10C6"/>
    <w:rsid w:val="007B1708"/>
    <w:rsid w:val="007B2C72"/>
    <w:rsid w:val="007B3D09"/>
    <w:rsid w:val="007C0003"/>
    <w:rsid w:val="007C0352"/>
    <w:rsid w:val="007C0EF2"/>
    <w:rsid w:val="007C11BB"/>
    <w:rsid w:val="007C1329"/>
    <w:rsid w:val="007C1C53"/>
    <w:rsid w:val="007C2DD7"/>
    <w:rsid w:val="007C4ED6"/>
    <w:rsid w:val="007C6481"/>
    <w:rsid w:val="007D2FE0"/>
    <w:rsid w:val="007D37CD"/>
    <w:rsid w:val="007D419C"/>
    <w:rsid w:val="007D4532"/>
    <w:rsid w:val="007D4931"/>
    <w:rsid w:val="007E03B1"/>
    <w:rsid w:val="007E0E19"/>
    <w:rsid w:val="007E1F1D"/>
    <w:rsid w:val="007E2209"/>
    <w:rsid w:val="007E26A9"/>
    <w:rsid w:val="007E4904"/>
    <w:rsid w:val="007E4CB5"/>
    <w:rsid w:val="007E6029"/>
    <w:rsid w:val="007E61F6"/>
    <w:rsid w:val="007E6842"/>
    <w:rsid w:val="007E717E"/>
    <w:rsid w:val="007F066B"/>
    <w:rsid w:val="007F120F"/>
    <w:rsid w:val="007F3CB0"/>
    <w:rsid w:val="007F4B9C"/>
    <w:rsid w:val="007F5141"/>
    <w:rsid w:val="007F567A"/>
    <w:rsid w:val="007F6743"/>
    <w:rsid w:val="007F681B"/>
    <w:rsid w:val="007F68EC"/>
    <w:rsid w:val="007F6D46"/>
    <w:rsid w:val="0080176C"/>
    <w:rsid w:val="008032EA"/>
    <w:rsid w:val="008033C4"/>
    <w:rsid w:val="00803AF8"/>
    <w:rsid w:val="0080424A"/>
    <w:rsid w:val="008051E5"/>
    <w:rsid w:val="00806C88"/>
    <w:rsid w:val="00806E71"/>
    <w:rsid w:val="0081034E"/>
    <w:rsid w:val="008103CA"/>
    <w:rsid w:val="008110F0"/>
    <w:rsid w:val="00811983"/>
    <w:rsid w:val="008119CF"/>
    <w:rsid w:val="0081386A"/>
    <w:rsid w:val="008149CA"/>
    <w:rsid w:val="0081584D"/>
    <w:rsid w:val="00817C00"/>
    <w:rsid w:val="00821E43"/>
    <w:rsid w:val="00822526"/>
    <w:rsid w:val="00824786"/>
    <w:rsid w:val="00824A15"/>
    <w:rsid w:val="008252BA"/>
    <w:rsid w:val="0082599E"/>
    <w:rsid w:val="0082628C"/>
    <w:rsid w:val="008305C0"/>
    <w:rsid w:val="00832443"/>
    <w:rsid w:val="008335F4"/>
    <w:rsid w:val="008344F6"/>
    <w:rsid w:val="008347DE"/>
    <w:rsid w:val="0083510F"/>
    <w:rsid w:val="0083642D"/>
    <w:rsid w:val="0084136B"/>
    <w:rsid w:val="00841A3D"/>
    <w:rsid w:val="00841B1A"/>
    <w:rsid w:val="00841B5F"/>
    <w:rsid w:val="00842542"/>
    <w:rsid w:val="00842A40"/>
    <w:rsid w:val="00845596"/>
    <w:rsid w:val="00846ED7"/>
    <w:rsid w:val="00847604"/>
    <w:rsid w:val="00847B93"/>
    <w:rsid w:val="0085033A"/>
    <w:rsid w:val="008503D1"/>
    <w:rsid w:val="0085103C"/>
    <w:rsid w:val="00851209"/>
    <w:rsid w:val="008514A0"/>
    <w:rsid w:val="00851775"/>
    <w:rsid w:val="00852E4E"/>
    <w:rsid w:val="008539CA"/>
    <w:rsid w:val="00855CBC"/>
    <w:rsid w:val="008565EF"/>
    <w:rsid w:val="00856856"/>
    <w:rsid w:val="00857B88"/>
    <w:rsid w:val="00860246"/>
    <w:rsid w:val="0086149C"/>
    <w:rsid w:val="008616D1"/>
    <w:rsid w:val="00862EC3"/>
    <w:rsid w:val="00863B85"/>
    <w:rsid w:val="00863D26"/>
    <w:rsid w:val="008644E1"/>
    <w:rsid w:val="0087492B"/>
    <w:rsid w:val="008751E9"/>
    <w:rsid w:val="00876501"/>
    <w:rsid w:val="0088007E"/>
    <w:rsid w:val="008828A1"/>
    <w:rsid w:val="00882C6A"/>
    <w:rsid w:val="008837AC"/>
    <w:rsid w:val="00883CDD"/>
    <w:rsid w:val="008841B0"/>
    <w:rsid w:val="00884948"/>
    <w:rsid w:val="00884E23"/>
    <w:rsid w:val="008851F2"/>
    <w:rsid w:val="008869B5"/>
    <w:rsid w:val="00890452"/>
    <w:rsid w:val="008908F0"/>
    <w:rsid w:val="008913F7"/>
    <w:rsid w:val="008945B4"/>
    <w:rsid w:val="0089506F"/>
    <w:rsid w:val="00895ED0"/>
    <w:rsid w:val="00896487"/>
    <w:rsid w:val="00896B54"/>
    <w:rsid w:val="00897315"/>
    <w:rsid w:val="008A22F8"/>
    <w:rsid w:val="008A2729"/>
    <w:rsid w:val="008A3EEE"/>
    <w:rsid w:val="008A41D4"/>
    <w:rsid w:val="008A4510"/>
    <w:rsid w:val="008A4562"/>
    <w:rsid w:val="008A4819"/>
    <w:rsid w:val="008A4E7A"/>
    <w:rsid w:val="008A587D"/>
    <w:rsid w:val="008A5BEE"/>
    <w:rsid w:val="008A618D"/>
    <w:rsid w:val="008A7892"/>
    <w:rsid w:val="008B027C"/>
    <w:rsid w:val="008B19FB"/>
    <w:rsid w:val="008B20E5"/>
    <w:rsid w:val="008B221A"/>
    <w:rsid w:val="008B3B1B"/>
    <w:rsid w:val="008C07B2"/>
    <w:rsid w:val="008C0C94"/>
    <w:rsid w:val="008C1BCC"/>
    <w:rsid w:val="008C1CC6"/>
    <w:rsid w:val="008C1CD1"/>
    <w:rsid w:val="008C30A0"/>
    <w:rsid w:val="008C5486"/>
    <w:rsid w:val="008C62C3"/>
    <w:rsid w:val="008D00D3"/>
    <w:rsid w:val="008D1330"/>
    <w:rsid w:val="008D2359"/>
    <w:rsid w:val="008D3426"/>
    <w:rsid w:val="008D3A24"/>
    <w:rsid w:val="008D7D84"/>
    <w:rsid w:val="008E3F14"/>
    <w:rsid w:val="008E4741"/>
    <w:rsid w:val="008E47E6"/>
    <w:rsid w:val="008E54BE"/>
    <w:rsid w:val="008E61D1"/>
    <w:rsid w:val="008E7031"/>
    <w:rsid w:val="008E7798"/>
    <w:rsid w:val="008E7A3D"/>
    <w:rsid w:val="008E7DD5"/>
    <w:rsid w:val="008F1B34"/>
    <w:rsid w:val="008F319D"/>
    <w:rsid w:val="008F3371"/>
    <w:rsid w:val="008F4293"/>
    <w:rsid w:val="008F4349"/>
    <w:rsid w:val="008F4DEB"/>
    <w:rsid w:val="008F5741"/>
    <w:rsid w:val="008F61C1"/>
    <w:rsid w:val="008F720B"/>
    <w:rsid w:val="009009B7"/>
    <w:rsid w:val="00900F1C"/>
    <w:rsid w:val="009018BA"/>
    <w:rsid w:val="00903AF5"/>
    <w:rsid w:val="0090453F"/>
    <w:rsid w:val="00904A64"/>
    <w:rsid w:val="00906BE2"/>
    <w:rsid w:val="009073B2"/>
    <w:rsid w:val="00910538"/>
    <w:rsid w:val="00912232"/>
    <w:rsid w:val="009123CC"/>
    <w:rsid w:val="009128B1"/>
    <w:rsid w:val="00913BC8"/>
    <w:rsid w:val="00913ED2"/>
    <w:rsid w:val="009159CB"/>
    <w:rsid w:val="009170AF"/>
    <w:rsid w:val="0092078A"/>
    <w:rsid w:val="00922C95"/>
    <w:rsid w:val="00922F33"/>
    <w:rsid w:val="009233EE"/>
    <w:rsid w:val="00923605"/>
    <w:rsid w:val="009304AB"/>
    <w:rsid w:val="009313AE"/>
    <w:rsid w:val="0093163D"/>
    <w:rsid w:val="00933211"/>
    <w:rsid w:val="00933D63"/>
    <w:rsid w:val="009356D7"/>
    <w:rsid w:val="009367D9"/>
    <w:rsid w:val="009374C3"/>
    <w:rsid w:val="00937A78"/>
    <w:rsid w:val="00937FC0"/>
    <w:rsid w:val="00942E87"/>
    <w:rsid w:val="00943CAC"/>
    <w:rsid w:val="0094508D"/>
    <w:rsid w:val="00945AA0"/>
    <w:rsid w:val="00951C9F"/>
    <w:rsid w:val="00952314"/>
    <w:rsid w:val="00952643"/>
    <w:rsid w:val="009531E3"/>
    <w:rsid w:val="00953809"/>
    <w:rsid w:val="00954E09"/>
    <w:rsid w:val="0095581A"/>
    <w:rsid w:val="00956BAA"/>
    <w:rsid w:val="0096305F"/>
    <w:rsid w:val="009636D7"/>
    <w:rsid w:val="00963C77"/>
    <w:rsid w:val="00965895"/>
    <w:rsid w:val="009661DE"/>
    <w:rsid w:val="00966C1B"/>
    <w:rsid w:val="00966EB4"/>
    <w:rsid w:val="00967439"/>
    <w:rsid w:val="00967E94"/>
    <w:rsid w:val="00970860"/>
    <w:rsid w:val="00970C43"/>
    <w:rsid w:val="00972258"/>
    <w:rsid w:val="00972B59"/>
    <w:rsid w:val="00973B16"/>
    <w:rsid w:val="009750E5"/>
    <w:rsid w:val="009752EB"/>
    <w:rsid w:val="009774BF"/>
    <w:rsid w:val="009856B7"/>
    <w:rsid w:val="0098602B"/>
    <w:rsid w:val="00986525"/>
    <w:rsid w:val="009872B8"/>
    <w:rsid w:val="00991B3B"/>
    <w:rsid w:val="00993BCB"/>
    <w:rsid w:val="0099400A"/>
    <w:rsid w:val="0099596D"/>
    <w:rsid w:val="009962BA"/>
    <w:rsid w:val="00996A30"/>
    <w:rsid w:val="0099732F"/>
    <w:rsid w:val="009A0F21"/>
    <w:rsid w:val="009A16EB"/>
    <w:rsid w:val="009A3473"/>
    <w:rsid w:val="009A48D4"/>
    <w:rsid w:val="009B070E"/>
    <w:rsid w:val="009B6795"/>
    <w:rsid w:val="009B74B0"/>
    <w:rsid w:val="009B764D"/>
    <w:rsid w:val="009C0018"/>
    <w:rsid w:val="009C1746"/>
    <w:rsid w:val="009C4952"/>
    <w:rsid w:val="009C5651"/>
    <w:rsid w:val="009C6EC0"/>
    <w:rsid w:val="009C75CB"/>
    <w:rsid w:val="009C7A36"/>
    <w:rsid w:val="009C7E02"/>
    <w:rsid w:val="009D128D"/>
    <w:rsid w:val="009D4414"/>
    <w:rsid w:val="009D4D03"/>
    <w:rsid w:val="009D63CC"/>
    <w:rsid w:val="009D6B46"/>
    <w:rsid w:val="009D7073"/>
    <w:rsid w:val="009E0607"/>
    <w:rsid w:val="009E18C6"/>
    <w:rsid w:val="009E3338"/>
    <w:rsid w:val="009E78A4"/>
    <w:rsid w:val="009F10EE"/>
    <w:rsid w:val="009F157D"/>
    <w:rsid w:val="009F2B78"/>
    <w:rsid w:val="009F2BE5"/>
    <w:rsid w:val="009F4940"/>
    <w:rsid w:val="00A065E6"/>
    <w:rsid w:val="00A07E5B"/>
    <w:rsid w:val="00A10273"/>
    <w:rsid w:val="00A126C0"/>
    <w:rsid w:val="00A1346E"/>
    <w:rsid w:val="00A140ED"/>
    <w:rsid w:val="00A1426A"/>
    <w:rsid w:val="00A15114"/>
    <w:rsid w:val="00A15CFF"/>
    <w:rsid w:val="00A1665B"/>
    <w:rsid w:val="00A16EAF"/>
    <w:rsid w:val="00A170E0"/>
    <w:rsid w:val="00A20B03"/>
    <w:rsid w:val="00A20EEA"/>
    <w:rsid w:val="00A21E63"/>
    <w:rsid w:val="00A235CE"/>
    <w:rsid w:val="00A24788"/>
    <w:rsid w:val="00A253A9"/>
    <w:rsid w:val="00A3080A"/>
    <w:rsid w:val="00A30EE2"/>
    <w:rsid w:val="00A31114"/>
    <w:rsid w:val="00A346B0"/>
    <w:rsid w:val="00A34CC6"/>
    <w:rsid w:val="00A35423"/>
    <w:rsid w:val="00A35AE9"/>
    <w:rsid w:val="00A414C0"/>
    <w:rsid w:val="00A41D69"/>
    <w:rsid w:val="00A435AA"/>
    <w:rsid w:val="00A43E55"/>
    <w:rsid w:val="00A4478A"/>
    <w:rsid w:val="00A44852"/>
    <w:rsid w:val="00A448B2"/>
    <w:rsid w:val="00A46D7A"/>
    <w:rsid w:val="00A47271"/>
    <w:rsid w:val="00A50439"/>
    <w:rsid w:val="00A50D89"/>
    <w:rsid w:val="00A5113E"/>
    <w:rsid w:val="00A51E68"/>
    <w:rsid w:val="00A51F0E"/>
    <w:rsid w:val="00A53667"/>
    <w:rsid w:val="00A53C29"/>
    <w:rsid w:val="00A53FBC"/>
    <w:rsid w:val="00A55273"/>
    <w:rsid w:val="00A57256"/>
    <w:rsid w:val="00A57D04"/>
    <w:rsid w:val="00A60A26"/>
    <w:rsid w:val="00A61598"/>
    <w:rsid w:val="00A618E0"/>
    <w:rsid w:val="00A622A5"/>
    <w:rsid w:val="00A642D1"/>
    <w:rsid w:val="00A653E8"/>
    <w:rsid w:val="00A7080C"/>
    <w:rsid w:val="00A70E0D"/>
    <w:rsid w:val="00A71989"/>
    <w:rsid w:val="00A71D14"/>
    <w:rsid w:val="00A720D3"/>
    <w:rsid w:val="00A74258"/>
    <w:rsid w:val="00A75E07"/>
    <w:rsid w:val="00A7627E"/>
    <w:rsid w:val="00A763CF"/>
    <w:rsid w:val="00A803DA"/>
    <w:rsid w:val="00A8183E"/>
    <w:rsid w:val="00A82116"/>
    <w:rsid w:val="00A8225E"/>
    <w:rsid w:val="00A82C41"/>
    <w:rsid w:val="00A83287"/>
    <w:rsid w:val="00A833FD"/>
    <w:rsid w:val="00A83FCC"/>
    <w:rsid w:val="00A841F2"/>
    <w:rsid w:val="00A84EF8"/>
    <w:rsid w:val="00A84F46"/>
    <w:rsid w:val="00A85074"/>
    <w:rsid w:val="00A871F4"/>
    <w:rsid w:val="00A87F51"/>
    <w:rsid w:val="00A90230"/>
    <w:rsid w:val="00A90CE5"/>
    <w:rsid w:val="00A9197F"/>
    <w:rsid w:val="00A91A04"/>
    <w:rsid w:val="00A91AD5"/>
    <w:rsid w:val="00A95824"/>
    <w:rsid w:val="00A9674F"/>
    <w:rsid w:val="00A97916"/>
    <w:rsid w:val="00AA1464"/>
    <w:rsid w:val="00AA2A38"/>
    <w:rsid w:val="00AA4458"/>
    <w:rsid w:val="00AA458D"/>
    <w:rsid w:val="00AA4FF7"/>
    <w:rsid w:val="00AA50B3"/>
    <w:rsid w:val="00AB6CB9"/>
    <w:rsid w:val="00AC116C"/>
    <w:rsid w:val="00AC1B2C"/>
    <w:rsid w:val="00AC2497"/>
    <w:rsid w:val="00AC2826"/>
    <w:rsid w:val="00AC2A46"/>
    <w:rsid w:val="00AC3264"/>
    <w:rsid w:val="00AC5A39"/>
    <w:rsid w:val="00AC5BA1"/>
    <w:rsid w:val="00AC6F01"/>
    <w:rsid w:val="00AC71E8"/>
    <w:rsid w:val="00AC7397"/>
    <w:rsid w:val="00AD1CD7"/>
    <w:rsid w:val="00AD3645"/>
    <w:rsid w:val="00AD6BE9"/>
    <w:rsid w:val="00AD6EE9"/>
    <w:rsid w:val="00AD70FE"/>
    <w:rsid w:val="00AD7AA4"/>
    <w:rsid w:val="00AE0FE2"/>
    <w:rsid w:val="00AE1743"/>
    <w:rsid w:val="00AE191E"/>
    <w:rsid w:val="00AE1BF1"/>
    <w:rsid w:val="00AE24C7"/>
    <w:rsid w:val="00AE27DF"/>
    <w:rsid w:val="00AE60AA"/>
    <w:rsid w:val="00AE64E3"/>
    <w:rsid w:val="00AE7C20"/>
    <w:rsid w:val="00AF06F3"/>
    <w:rsid w:val="00AF0DD2"/>
    <w:rsid w:val="00AF18DE"/>
    <w:rsid w:val="00AF53DE"/>
    <w:rsid w:val="00AF5B07"/>
    <w:rsid w:val="00AF5FE0"/>
    <w:rsid w:val="00AF6576"/>
    <w:rsid w:val="00B01626"/>
    <w:rsid w:val="00B01B18"/>
    <w:rsid w:val="00B0205B"/>
    <w:rsid w:val="00B039C7"/>
    <w:rsid w:val="00B03A87"/>
    <w:rsid w:val="00B04060"/>
    <w:rsid w:val="00B0410D"/>
    <w:rsid w:val="00B06919"/>
    <w:rsid w:val="00B10314"/>
    <w:rsid w:val="00B1081F"/>
    <w:rsid w:val="00B125D5"/>
    <w:rsid w:val="00B12E8A"/>
    <w:rsid w:val="00B13048"/>
    <w:rsid w:val="00B14725"/>
    <w:rsid w:val="00B15998"/>
    <w:rsid w:val="00B15A95"/>
    <w:rsid w:val="00B1716D"/>
    <w:rsid w:val="00B1766E"/>
    <w:rsid w:val="00B17A1D"/>
    <w:rsid w:val="00B17CED"/>
    <w:rsid w:val="00B207A0"/>
    <w:rsid w:val="00B2251E"/>
    <w:rsid w:val="00B26BB2"/>
    <w:rsid w:val="00B310DE"/>
    <w:rsid w:val="00B3168C"/>
    <w:rsid w:val="00B31BBC"/>
    <w:rsid w:val="00B31DF9"/>
    <w:rsid w:val="00B3217B"/>
    <w:rsid w:val="00B33690"/>
    <w:rsid w:val="00B34E5D"/>
    <w:rsid w:val="00B3588E"/>
    <w:rsid w:val="00B35C43"/>
    <w:rsid w:val="00B35CD1"/>
    <w:rsid w:val="00B3784E"/>
    <w:rsid w:val="00B413A2"/>
    <w:rsid w:val="00B42523"/>
    <w:rsid w:val="00B4537E"/>
    <w:rsid w:val="00B4584F"/>
    <w:rsid w:val="00B45E07"/>
    <w:rsid w:val="00B46A03"/>
    <w:rsid w:val="00B502E1"/>
    <w:rsid w:val="00B515EE"/>
    <w:rsid w:val="00B519F3"/>
    <w:rsid w:val="00B52EDF"/>
    <w:rsid w:val="00B542A6"/>
    <w:rsid w:val="00B54E94"/>
    <w:rsid w:val="00B559E6"/>
    <w:rsid w:val="00B56E03"/>
    <w:rsid w:val="00B60BC5"/>
    <w:rsid w:val="00B60F5D"/>
    <w:rsid w:val="00B66504"/>
    <w:rsid w:val="00B67E91"/>
    <w:rsid w:val="00B70386"/>
    <w:rsid w:val="00B70602"/>
    <w:rsid w:val="00B70741"/>
    <w:rsid w:val="00B7165D"/>
    <w:rsid w:val="00B73814"/>
    <w:rsid w:val="00B8001C"/>
    <w:rsid w:val="00B8070A"/>
    <w:rsid w:val="00B8080B"/>
    <w:rsid w:val="00B80DF6"/>
    <w:rsid w:val="00B81458"/>
    <w:rsid w:val="00B81FB6"/>
    <w:rsid w:val="00B831EE"/>
    <w:rsid w:val="00B87C39"/>
    <w:rsid w:val="00B90252"/>
    <w:rsid w:val="00B912D8"/>
    <w:rsid w:val="00B915EA"/>
    <w:rsid w:val="00B91CEF"/>
    <w:rsid w:val="00B91D0C"/>
    <w:rsid w:val="00B91FD5"/>
    <w:rsid w:val="00B92016"/>
    <w:rsid w:val="00B92798"/>
    <w:rsid w:val="00B92C0F"/>
    <w:rsid w:val="00B93AFE"/>
    <w:rsid w:val="00B96DAA"/>
    <w:rsid w:val="00B97536"/>
    <w:rsid w:val="00B978CA"/>
    <w:rsid w:val="00B97A4E"/>
    <w:rsid w:val="00BA3703"/>
    <w:rsid w:val="00BA4665"/>
    <w:rsid w:val="00BA69ED"/>
    <w:rsid w:val="00BB14A4"/>
    <w:rsid w:val="00BB2FB2"/>
    <w:rsid w:val="00BB3304"/>
    <w:rsid w:val="00BC2ECE"/>
    <w:rsid w:val="00BC5F82"/>
    <w:rsid w:val="00BC60A8"/>
    <w:rsid w:val="00BC7167"/>
    <w:rsid w:val="00BC7527"/>
    <w:rsid w:val="00BC7690"/>
    <w:rsid w:val="00BD0770"/>
    <w:rsid w:val="00BD08C6"/>
    <w:rsid w:val="00BD0EFE"/>
    <w:rsid w:val="00BD20D6"/>
    <w:rsid w:val="00BD2420"/>
    <w:rsid w:val="00BD25C6"/>
    <w:rsid w:val="00BD25EB"/>
    <w:rsid w:val="00BD25FD"/>
    <w:rsid w:val="00BD3446"/>
    <w:rsid w:val="00BD3C14"/>
    <w:rsid w:val="00BD58BF"/>
    <w:rsid w:val="00BD6885"/>
    <w:rsid w:val="00BD77C4"/>
    <w:rsid w:val="00BE1F1B"/>
    <w:rsid w:val="00BE2699"/>
    <w:rsid w:val="00BE3017"/>
    <w:rsid w:val="00BE462A"/>
    <w:rsid w:val="00BE47B5"/>
    <w:rsid w:val="00BE481E"/>
    <w:rsid w:val="00BE4C99"/>
    <w:rsid w:val="00BE56E4"/>
    <w:rsid w:val="00BE5910"/>
    <w:rsid w:val="00BE674A"/>
    <w:rsid w:val="00BE6C04"/>
    <w:rsid w:val="00BF06A3"/>
    <w:rsid w:val="00BF4EF8"/>
    <w:rsid w:val="00BF5D58"/>
    <w:rsid w:val="00BF6F1F"/>
    <w:rsid w:val="00C022A5"/>
    <w:rsid w:val="00C024DD"/>
    <w:rsid w:val="00C0566F"/>
    <w:rsid w:val="00C058AB"/>
    <w:rsid w:val="00C05C29"/>
    <w:rsid w:val="00C06739"/>
    <w:rsid w:val="00C07431"/>
    <w:rsid w:val="00C12712"/>
    <w:rsid w:val="00C1316C"/>
    <w:rsid w:val="00C13941"/>
    <w:rsid w:val="00C13F99"/>
    <w:rsid w:val="00C14134"/>
    <w:rsid w:val="00C20282"/>
    <w:rsid w:val="00C206D8"/>
    <w:rsid w:val="00C20C57"/>
    <w:rsid w:val="00C21032"/>
    <w:rsid w:val="00C21807"/>
    <w:rsid w:val="00C2183D"/>
    <w:rsid w:val="00C21BD3"/>
    <w:rsid w:val="00C21C8D"/>
    <w:rsid w:val="00C2345B"/>
    <w:rsid w:val="00C24B11"/>
    <w:rsid w:val="00C2554A"/>
    <w:rsid w:val="00C25EE8"/>
    <w:rsid w:val="00C261DF"/>
    <w:rsid w:val="00C26C48"/>
    <w:rsid w:val="00C312A0"/>
    <w:rsid w:val="00C31F7B"/>
    <w:rsid w:val="00C3219F"/>
    <w:rsid w:val="00C323C7"/>
    <w:rsid w:val="00C32957"/>
    <w:rsid w:val="00C34A77"/>
    <w:rsid w:val="00C34CBA"/>
    <w:rsid w:val="00C34EC2"/>
    <w:rsid w:val="00C356B4"/>
    <w:rsid w:val="00C36454"/>
    <w:rsid w:val="00C36EF7"/>
    <w:rsid w:val="00C36F32"/>
    <w:rsid w:val="00C373CD"/>
    <w:rsid w:val="00C42121"/>
    <w:rsid w:val="00C424A9"/>
    <w:rsid w:val="00C44283"/>
    <w:rsid w:val="00C44CAC"/>
    <w:rsid w:val="00C45A23"/>
    <w:rsid w:val="00C47D5A"/>
    <w:rsid w:val="00C506D1"/>
    <w:rsid w:val="00C50895"/>
    <w:rsid w:val="00C538A9"/>
    <w:rsid w:val="00C53B5A"/>
    <w:rsid w:val="00C54582"/>
    <w:rsid w:val="00C54D51"/>
    <w:rsid w:val="00C54F5A"/>
    <w:rsid w:val="00C55386"/>
    <w:rsid w:val="00C55624"/>
    <w:rsid w:val="00C55DC4"/>
    <w:rsid w:val="00C57DBD"/>
    <w:rsid w:val="00C57DBE"/>
    <w:rsid w:val="00C603A8"/>
    <w:rsid w:val="00C63430"/>
    <w:rsid w:val="00C63868"/>
    <w:rsid w:val="00C65EFC"/>
    <w:rsid w:val="00C6605A"/>
    <w:rsid w:val="00C66BE0"/>
    <w:rsid w:val="00C67260"/>
    <w:rsid w:val="00C7265D"/>
    <w:rsid w:val="00C738C7"/>
    <w:rsid w:val="00C74247"/>
    <w:rsid w:val="00C755AD"/>
    <w:rsid w:val="00C76AE1"/>
    <w:rsid w:val="00C77276"/>
    <w:rsid w:val="00C81881"/>
    <w:rsid w:val="00C828E6"/>
    <w:rsid w:val="00C83327"/>
    <w:rsid w:val="00C833C0"/>
    <w:rsid w:val="00C86364"/>
    <w:rsid w:val="00C8662F"/>
    <w:rsid w:val="00C86679"/>
    <w:rsid w:val="00C86D01"/>
    <w:rsid w:val="00C8773F"/>
    <w:rsid w:val="00C91BF5"/>
    <w:rsid w:val="00C91EA9"/>
    <w:rsid w:val="00C9245E"/>
    <w:rsid w:val="00C92BDE"/>
    <w:rsid w:val="00C93A51"/>
    <w:rsid w:val="00C93AEC"/>
    <w:rsid w:val="00C93EBC"/>
    <w:rsid w:val="00C9481B"/>
    <w:rsid w:val="00C9621D"/>
    <w:rsid w:val="00C977AF"/>
    <w:rsid w:val="00CA06EF"/>
    <w:rsid w:val="00CA1FA8"/>
    <w:rsid w:val="00CA36CB"/>
    <w:rsid w:val="00CA380A"/>
    <w:rsid w:val="00CA45DC"/>
    <w:rsid w:val="00CA4DB2"/>
    <w:rsid w:val="00CA582D"/>
    <w:rsid w:val="00CA5D7D"/>
    <w:rsid w:val="00CA6C5D"/>
    <w:rsid w:val="00CA7046"/>
    <w:rsid w:val="00CA75F9"/>
    <w:rsid w:val="00CB4E96"/>
    <w:rsid w:val="00CB5CB9"/>
    <w:rsid w:val="00CB666B"/>
    <w:rsid w:val="00CC0BB1"/>
    <w:rsid w:val="00CC2BEC"/>
    <w:rsid w:val="00CC4B92"/>
    <w:rsid w:val="00CC61DF"/>
    <w:rsid w:val="00CC7DED"/>
    <w:rsid w:val="00CD3812"/>
    <w:rsid w:val="00CD590B"/>
    <w:rsid w:val="00CD5CB1"/>
    <w:rsid w:val="00CD64F2"/>
    <w:rsid w:val="00CD6973"/>
    <w:rsid w:val="00CD7151"/>
    <w:rsid w:val="00CE0927"/>
    <w:rsid w:val="00CE0A6E"/>
    <w:rsid w:val="00CE0FAB"/>
    <w:rsid w:val="00CE1EAD"/>
    <w:rsid w:val="00CE3CE5"/>
    <w:rsid w:val="00CE5D33"/>
    <w:rsid w:val="00CE5F8B"/>
    <w:rsid w:val="00CE6185"/>
    <w:rsid w:val="00CE6293"/>
    <w:rsid w:val="00CE6475"/>
    <w:rsid w:val="00CE68A9"/>
    <w:rsid w:val="00CE76E7"/>
    <w:rsid w:val="00CF0F0C"/>
    <w:rsid w:val="00CF10EE"/>
    <w:rsid w:val="00CF1F29"/>
    <w:rsid w:val="00CF480E"/>
    <w:rsid w:val="00CF4ECF"/>
    <w:rsid w:val="00CF58A0"/>
    <w:rsid w:val="00CF603D"/>
    <w:rsid w:val="00CF6268"/>
    <w:rsid w:val="00CF6E24"/>
    <w:rsid w:val="00CF753F"/>
    <w:rsid w:val="00CF799E"/>
    <w:rsid w:val="00D007BA"/>
    <w:rsid w:val="00D01014"/>
    <w:rsid w:val="00D01CF0"/>
    <w:rsid w:val="00D02703"/>
    <w:rsid w:val="00D030DC"/>
    <w:rsid w:val="00D03DD7"/>
    <w:rsid w:val="00D0442A"/>
    <w:rsid w:val="00D04782"/>
    <w:rsid w:val="00D048E9"/>
    <w:rsid w:val="00D04D96"/>
    <w:rsid w:val="00D06562"/>
    <w:rsid w:val="00D1232F"/>
    <w:rsid w:val="00D15A9B"/>
    <w:rsid w:val="00D1602D"/>
    <w:rsid w:val="00D1656D"/>
    <w:rsid w:val="00D168CE"/>
    <w:rsid w:val="00D172AA"/>
    <w:rsid w:val="00D2029F"/>
    <w:rsid w:val="00D203E1"/>
    <w:rsid w:val="00D20B63"/>
    <w:rsid w:val="00D23C3A"/>
    <w:rsid w:val="00D2410F"/>
    <w:rsid w:val="00D33AE6"/>
    <w:rsid w:val="00D359C9"/>
    <w:rsid w:val="00D35B5A"/>
    <w:rsid w:val="00D35FAA"/>
    <w:rsid w:val="00D40CFC"/>
    <w:rsid w:val="00D410FC"/>
    <w:rsid w:val="00D41A0E"/>
    <w:rsid w:val="00D41C51"/>
    <w:rsid w:val="00D42232"/>
    <w:rsid w:val="00D43A1E"/>
    <w:rsid w:val="00D4494E"/>
    <w:rsid w:val="00D44AC1"/>
    <w:rsid w:val="00D456DD"/>
    <w:rsid w:val="00D50AF7"/>
    <w:rsid w:val="00D51EF6"/>
    <w:rsid w:val="00D53086"/>
    <w:rsid w:val="00D535C0"/>
    <w:rsid w:val="00D53619"/>
    <w:rsid w:val="00D544B8"/>
    <w:rsid w:val="00D5516E"/>
    <w:rsid w:val="00D567F1"/>
    <w:rsid w:val="00D56BFF"/>
    <w:rsid w:val="00D57161"/>
    <w:rsid w:val="00D57F1A"/>
    <w:rsid w:val="00D6022F"/>
    <w:rsid w:val="00D61388"/>
    <w:rsid w:val="00D61A54"/>
    <w:rsid w:val="00D61DF0"/>
    <w:rsid w:val="00D61EF0"/>
    <w:rsid w:val="00D62F94"/>
    <w:rsid w:val="00D638C2"/>
    <w:rsid w:val="00D63DF2"/>
    <w:rsid w:val="00D64A10"/>
    <w:rsid w:val="00D64AF7"/>
    <w:rsid w:val="00D64DEA"/>
    <w:rsid w:val="00D65D34"/>
    <w:rsid w:val="00D70244"/>
    <w:rsid w:val="00D703BF"/>
    <w:rsid w:val="00D70817"/>
    <w:rsid w:val="00D709EB"/>
    <w:rsid w:val="00D71F74"/>
    <w:rsid w:val="00D73791"/>
    <w:rsid w:val="00D7397A"/>
    <w:rsid w:val="00D73D5F"/>
    <w:rsid w:val="00D73F31"/>
    <w:rsid w:val="00D74196"/>
    <w:rsid w:val="00D74F74"/>
    <w:rsid w:val="00D75EC6"/>
    <w:rsid w:val="00D80893"/>
    <w:rsid w:val="00D8160A"/>
    <w:rsid w:val="00D81B55"/>
    <w:rsid w:val="00D822CA"/>
    <w:rsid w:val="00D8317A"/>
    <w:rsid w:val="00D8392F"/>
    <w:rsid w:val="00D83B51"/>
    <w:rsid w:val="00D84FDD"/>
    <w:rsid w:val="00D8783B"/>
    <w:rsid w:val="00D92CF1"/>
    <w:rsid w:val="00D92D38"/>
    <w:rsid w:val="00D93530"/>
    <w:rsid w:val="00D94F83"/>
    <w:rsid w:val="00D950F5"/>
    <w:rsid w:val="00D95421"/>
    <w:rsid w:val="00D95BED"/>
    <w:rsid w:val="00D95F88"/>
    <w:rsid w:val="00D96972"/>
    <w:rsid w:val="00D97432"/>
    <w:rsid w:val="00D976A3"/>
    <w:rsid w:val="00DA0397"/>
    <w:rsid w:val="00DA1977"/>
    <w:rsid w:val="00DA24CE"/>
    <w:rsid w:val="00DA2BAC"/>
    <w:rsid w:val="00DA2FFA"/>
    <w:rsid w:val="00DA3CBA"/>
    <w:rsid w:val="00DA4139"/>
    <w:rsid w:val="00DA417B"/>
    <w:rsid w:val="00DA4250"/>
    <w:rsid w:val="00DA4AAD"/>
    <w:rsid w:val="00DA738E"/>
    <w:rsid w:val="00DA7FF8"/>
    <w:rsid w:val="00DB0567"/>
    <w:rsid w:val="00DB0F93"/>
    <w:rsid w:val="00DB176E"/>
    <w:rsid w:val="00DB29DE"/>
    <w:rsid w:val="00DB4062"/>
    <w:rsid w:val="00DB4288"/>
    <w:rsid w:val="00DB53F7"/>
    <w:rsid w:val="00DB5F2F"/>
    <w:rsid w:val="00DC0120"/>
    <w:rsid w:val="00DC11F7"/>
    <w:rsid w:val="00DC2BA0"/>
    <w:rsid w:val="00DC4C2C"/>
    <w:rsid w:val="00DC542F"/>
    <w:rsid w:val="00DC7981"/>
    <w:rsid w:val="00DD0CA8"/>
    <w:rsid w:val="00DD15C5"/>
    <w:rsid w:val="00DD2246"/>
    <w:rsid w:val="00DD30B9"/>
    <w:rsid w:val="00DD4E34"/>
    <w:rsid w:val="00DD4FC9"/>
    <w:rsid w:val="00DD63EA"/>
    <w:rsid w:val="00DE01E2"/>
    <w:rsid w:val="00DE078B"/>
    <w:rsid w:val="00DE105E"/>
    <w:rsid w:val="00DE1D7E"/>
    <w:rsid w:val="00DE27BE"/>
    <w:rsid w:val="00DE4EFA"/>
    <w:rsid w:val="00DE5520"/>
    <w:rsid w:val="00DE5641"/>
    <w:rsid w:val="00DE679A"/>
    <w:rsid w:val="00DE74A9"/>
    <w:rsid w:val="00DF11B7"/>
    <w:rsid w:val="00DF167A"/>
    <w:rsid w:val="00DF3371"/>
    <w:rsid w:val="00DF6775"/>
    <w:rsid w:val="00DF7778"/>
    <w:rsid w:val="00E00031"/>
    <w:rsid w:val="00E0028B"/>
    <w:rsid w:val="00E02261"/>
    <w:rsid w:val="00E030C0"/>
    <w:rsid w:val="00E03B7A"/>
    <w:rsid w:val="00E04818"/>
    <w:rsid w:val="00E055A7"/>
    <w:rsid w:val="00E058DD"/>
    <w:rsid w:val="00E0601E"/>
    <w:rsid w:val="00E06442"/>
    <w:rsid w:val="00E10DC2"/>
    <w:rsid w:val="00E11C82"/>
    <w:rsid w:val="00E13D5C"/>
    <w:rsid w:val="00E16849"/>
    <w:rsid w:val="00E217F6"/>
    <w:rsid w:val="00E21DF8"/>
    <w:rsid w:val="00E23989"/>
    <w:rsid w:val="00E23993"/>
    <w:rsid w:val="00E2400F"/>
    <w:rsid w:val="00E25B8C"/>
    <w:rsid w:val="00E26483"/>
    <w:rsid w:val="00E268E2"/>
    <w:rsid w:val="00E27A4A"/>
    <w:rsid w:val="00E31B2B"/>
    <w:rsid w:val="00E31E32"/>
    <w:rsid w:val="00E34DAE"/>
    <w:rsid w:val="00E34F0C"/>
    <w:rsid w:val="00E355BE"/>
    <w:rsid w:val="00E3627C"/>
    <w:rsid w:val="00E365B7"/>
    <w:rsid w:val="00E370FD"/>
    <w:rsid w:val="00E37BE1"/>
    <w:rsid w:val="00E37BFC"/>
    <w:rsid w:val="00E37FE9"/>
    <w:rsid w:val="00E40652"/>
    <w:rsid w:val="00E41505"/>
    <w:rsid w:val="00E42191"/>
    <w:rsid w:val="00E45F1F"/>
    <w:rsid w:val="00E46711"/>
    <w:rsid w:val="00E4674F"/>
    <w:rsid w:val="00E47621"/>
    <w:rsid w:val="00E4795F"/>
    <w:rsid w:val="00E50E33"/>
    <w:rsid w:val="00E513B1"/>
    <w:rsid w:val="00E5211B"/>
    <w:rsid w:val="00E52C1F"/>
    <w:rsid w:val="00E52E93"/>
    <w:rsid w:val="00E5519D"/>
    <w:rsid w:val="00E56646"/>
    <w:rsid w:val="00E60350"/>
    <w:rsid w:val="00E60463"/>
    <w:rsid w:val="00E60652"/>
    <w:rsid w:val="00E6110E"/>
    <w:rsid w:val="00E615B1"/>
    <w:rsid w:val="00E6184A"/>
    <w:rsid w:val="00E61B72"/>
    <w:rsid w:val="00E61CCE"/>
    <w:rsid w:val="00E62511"/>
    <w:rsid w:val="00E62A3D"/>
    <w:rsid w:val="00E63137"/>
    <w:rsid w:val="00E63416"/>
    <w:rsid w:val="00E63639"/>
    <w:rsid w:val="00E6376B"/>
    <w:rsid w:val="00E65C85"/>
    <w:rsid w:val="00E66199"/>
    <w:rsid w:val="00E66360"/>
    <w:rsid w:val="00E663C0"/>
    <w:rsid w:val="00E6693E"/>
    <w:rsid w:val="00E66FA5"/>
    <w:rsid w:val="00E73395"/>
    <w:rsid w:val="00E755EC"/>
    <w:rsid w:val="00E7624D"/>
    <w:rsid w:val="00E76551"/>
    <w:rsid w:val="00E77068"/>
    <w:rsid w:val="00E77DC0"/>
    <w:rsid w:val="00E80C21"/>
    <w:rsid w:val="00E841F0"/>
    <w:rsid w:val="00E8420F"/>
    <w:rsid w:val="00E849B7"/>
    <w:rsid w:val="00E85579"/>
    <w:rsid w:val="00E85E67"/>
    <w:rsid w:val="00E8727D"/>
    <w:rsid w:val="00E874CB"/>
    <w:rsid w:val="00E87A15"/>
    <w:rsid w:val="00E90349"/>
    <w:rsid w:val="00E90DBE"/>
    <w:rsid w:val="00E91037"/>
    <w:rsid w:val="00E91E80"/>
    <w:rsid w:val="00E93ED0"/>
    <w:rsid w:val="00E956C0"/>
    <w:rsid w:val="00EA0109"/>
    <w:rsid w:val="00EA20B6"/>
    <w:rsid w:val="00EA316F"/>
    <w:rsid w:val="00EA3D42"/>
    <w:rsid w:val="00EA4405"/>
    <w:rsid w:val="00EA5C39"/>
    <w:rsid w:val="00EA6B1B"/>
    <w:rsid w:val="00EB073B"/>
    <w:rsid w:val="00EB0FAF"/>
    <w:rsid w:val="00EB38B0"/>
    <w:rsid w:val="00EB3BC0"/>
    <w:rsid w:val="00EB3C69"/>
    <w:rsid w:val="00EB4377"/>
    <w:rsid w:val="00EB52E1"/>
    <w:rsid w:val="00EB5D18"/>
    <w:rsid w:val="00EB766F"/>
    <w:rsid w:val="00EB76C8"/>
    <w:rsid w:val="00EB7B42"/>
    <w:rsid w:val="00EC097E"/>
    <w:rsid w:val="00EC157A"/>
    <w:rsid w:val="00EC2920"/>
    <w:rsid w:val="00EC31DF"/>
    <w:rsid w:val="00EC4570"/>
    <w:rsid w:val="00EC4EAA"/>
    <w:rsid w:val="00EC515B"/>
    <w:rsid w:val="00EC585F"/>
    <w:rsid w:val="00EC745D"/>
    <w:rsid w:val="00EC7463"/>
    <w:rsid w:val="00EC75CE"/>
    <w:rsid w:val="00EC7651"/>
    <w:rsid w:val="00ED0362"/>
    <w:rsid w:val="00ED1B62"/>
    <w:rsid w:val="00ED1D00"/>
    <w:rsid w:val="00ED205B"/>
    <w:rsid w:val="00ED44EF"/>
    <w:rsid w:val="00ED62C5"/>
    <w:rsid w:val="00ED73E4"/>
    <w:rsid w:val="00EE0A48"/>
    <w:rsid w:val="00EE1428"/>
    <w:rsid w:val="00EE1A59"/>
    <w:rsid w:val="00EE28F3"/>
    <w:rsid w:val="00EE3F1D"/>
    <w:rsid w:val="00EE44A7"/>
    <w:rsid w:val="00EF10BB"/>
    <w:rsid w:val="00EF1470"/>
    <w:rsid w:val="00EF2E43"/>
    <w:rsid w:val="00EF3EA9"/>
    <w:rsid w:val="00EF49CF"/>
    <w:rsid w:val="00EF50F8"/>
    <w:rsid w:val="00EF5110"/>
    <w:rsid w:val="00EF5840"/>
    <w:rsid w:val="00EF609C"/>
    <w:rsid w:val="00EF6FD1"/>
    <w:rsid w:val="00F01470"/>
    <w:rsid w:val="00F019CB"/>
    <w:rsid w:val="00F01A87"/>
    <w:rsid w:val="00F01E41"/>
    <w:rsid w:val="00F01EDE"/>
    <w:rsid w:val="00F04438"/>
    <w:rsid w:val="00F0641B"/>
    <w:rsid w:val="00F1082B"/>
    <w:rsid w:val="00F108E3"/>
    <w:rsid w:val="00F134CE"/>
    <w:rsid w:val="00F136F7"/>
    <w:rsid w:val="00F15882"/>
    <w:rsid w:val="00F16C81"/>
    <w:rsid w:val="00F20941"/>
    <w:rsid w:val="00F20BD3"/>
    <w:rsid w:val="00F21A2A"/>
    <w:rsid w:val="00F21EC9"/>
    <w:rsid w:val="00F22EB5"/>
    <w:rsid w:val="00F2479E"/>
    <w:rsid w:val="00F25C0C"/>
    <w:rsid w:val="00F261ED"/>
    <w:rsid w:val="00F264D4"/>
    <w:rsid w:val="00F26AF3"/>
    <w:rsid w:val="00F316C8"/>
    <w:rsid w:val="00F32601"/>
    <w:rsid w:val="00F328B9"/>
    <w:rsid w:val="00F331B2"/>
    <w:rsid w:val="00F3343D"/>
    <w:rsid w:val="00F343FD"/>
    <w:rsid w:val="00F361C2"/>
    <w:rsid w:val="00F373A5"/>
    <w:rsid w:val="00F379C9"/>
    <w:rsid w:val="00F42312"/>
    <w:rsid w:val="00F42EE8"/>
    <w:rsid w:val="00F443DD"/>
    <w:rsid w:val="00F44ED4"/>
    <w:rsid w:val="00F4558B"/>
    <w:rsid w:val="00F46397"/>
    <w:rsid w:val="00F47559"/>
    <w:rsid w:val="00F47DF1"/>
    <w:rsid w:val="00F535CE"/>
    <w:rsid w:val="00F553FF"/>
    <w:rsid w:val="00F56DC6"/>
    <w:rsid w:val="00F60BE4"/>
    <w:rsid w:val="00F613F0"/>
    <w:rsid w:val="00F615FD"/>
    <w:rsid w:val="00F61B84"/>
    <w:rsid w:val="00F6209D"/>
    <w:rsid w:val="00F623F9"/>
    <w:rsid w:val="00F62762"/>
    <w:rsid w:val="00F63148"/>
    <w:rsid w:val="00F63432"/>
    <w:rsid w:val="00F64C7B"/>
    <w:rsid w:val="00F65D88"/>
    <w:rsid w:val="00F66542"/>
    <w:rsid w:val="00F676DD"/>
    <w:rsid w:val="00F67823"/>
    <w:rsid w:val="00F707D6"/>
    <w:rsid w:val="00F71E04"/>
    <w:rsid w:val="00F7250D"/>
    <w:rsid w:val="00F72ABD"/>
    <w:rsid w:val="00F736C1"/>
    <w:rsid w:val="00F744E4"/>
    <w:rsid w:val="00F75A26"/>
    <w:rsid w:val="00F77CA6"/>
    <w:rsid w:val="00F804DC"/>
    <w:rsid w:val="00F833E1"/>
    <w:rsid w:val="00F839BE"/>
    <w:rsid w:val="00F83E19"/>
    <w:rsid w:val="00F83FAD"/>
    <w:rsid w:val="00F8483D"/>
    <w:rsid w:val="00F84D6F"/>
    <w:rsid w:val="00F859E1"/>
    <w:rsid w:val="00F86037"/>
    <w:rsid w:val="00F86EB2"/>
    <w:rsid w:val="00F911CC"/>
    <w:rsid w:val="00F912C2"/>
    <w:rsid w:val="00F9145C"/>
    <w:rsid w:val="00F9189D"/>
    <w:rsid w:val="00F91DC6"/>
    <w:rsid w:val="00F91E47"/>
    <w:rsid w:val="00F929CE"/>
    <w:rsid w:val="00F931F2"/>
    <w:rsid w:val="00F937AE"/>
    <w:rsid w:val="00F952A0"/>
    <w:rsid w:val="00F9567D"/>
    <w:rsid w:val="00F961FB"/>
    <w:rsid w:val="00F96C44"/>
    <w:rsid w:val="00F97390"/>
    <w:rsid w:val="00FA04C0"/>
    <w:rsid w:val="00FA0857"/>
    <w:rsid w:val="00FA0DF9"/>
    <w:rsid w:val="00FA32FC"/>
    <w:rsid w:val="00FA3C7F"/>
    <w:rsid w:val="00FA3C89"/>
    <w:rsid w:val="00FA4429"/>
    <w:rsid w:val="00FA4450"/>
    <w:rsid w:val="00FA45F9"/>
    <w:rsid w:val="00FA4C7F"/>
    <w:rsid w:val="00FA6715"/>
    <w:rsid w:val="00FA7E76"/>
    <w:rsid w:val="00FB001C"/>
    <w:rsid w:val="00FB0349"/>
    <w:rsid w:val="00FB0BFF"/>
    <w:rsid w:val="00FB14AA"/>
    <w:rsid w:val="00FB44CE"/>
    <w:rsid w:val="00FB4B92"/>
    <w:rsid w:val="00FB52D7"/>
    <w:rsid w:val="00FB5428"/>
    <w:rsid w:val="00FB6BE8"/>
    <w:rsid w:val="00FB74E2"/>
    <w:rsid w:val="00FC1899"/>
    <w:rsid w:val="00FC1B5F"/>
    <w:rsid w:val="00FC326E"/>
    <w:rsid w:val="00FC34C9"/>
    <w:rsid w:val="00FC4482"/>
    <w:rsid w:val="00FC4F4D"/>
    <w:rsid w:val="00FC6E1E"/>
    <w:rsid w:val="00FD0A4E"/>
    <w:rsid w:val="00FD403A"/>
    <w:rsid w:val="00FD5614"/>
    <w:rsid w:val="00FD6272"/>
    <w:rsid w:val="00FD6631"/>
    <w:rsid w:val="00FD743B"/>
    <w:rsid w:val="00FD7593"/>
    <w:rsid w:val="00FD79E5"/>
    <w:rsid w:val="00FE0BE1"/>
    <w:rsid w:val="00FE118B"/>
    <w:rsid w:val="00FE1DE9"/>
    <w:rsid w:val="00FE2942"/>
    <w:rsid w:val="00FE39C2"/>
    <w:rsid w:val="00FE3A30"/>
    <w:rsid w:val="00FE53B0"/>
    <w:rsid w:val="00FE64AE"/>
    <w:rsid w:val="00FE7561"/>
    <w:rsid w:val="00FE7AB7"/>
    <w:rsid w:val="00FF1553"/>
    <w:rsid w:val="00FF23F4"/>
    <w:rsid w:val="00FF2FD7"/>
    <w:rsid w:val="00FF37A8"/>
    <w:rsid w:val="00FF4ABF"/>
    <w:rsid w:val="00FF4D0E"/>
    <w:rsid w:val="00FF5FD9"/>
    <w:rsid w:val="00FF6490"/>
    <w:rsid w:val="00FF7E4B"/>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4A5976A"/>
  <w15:docId w15:val="{97C0B1EA-872B-441B-B5FF-BBB942097F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AU" w:eastAsia="en-US" w:bidi="ar-SA"/>
      </w:rPr>
    </w:rPrDefault>
    <w:pPrDefault>
      <w:pPr>
        <w:spacing w:before="200"/>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semiHidden="1" w:uiPriority="0"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B5A70"/>
    <w:rPr>
      <w:rFonts w:ascii="Arial" w:hAnsi="Arial"/>
    </w:rPr>
  </w:style>
  <w:style w:type="paragraph" w:styleId="Heading1">
    <w:name w:val="heading 1"/>
    <w:basedOn w:val="Normal"/>
    <w:next w:val="Normal"/>
    <w:link w:val="Heading1Char"/>
    <w:qFormat/>
    <w:rsid w:val="00E370FD"/>
    <w:pPr>
      <w:spacing w:before="240"/>
      <w:outlineLvl w:val="0"/>
    </w:pPr>
    <w:rPr>
      <w:rFonts w:ascii="Palatino Linotype" w:eastAsiaTheme="majorEastAsia" w:hAnsi="Palatino Linotype" w:cstheme="majorBidi"/>
      <w:bCs/>
      <w:color w:val="410099" w:themeColor="accent1"/>
      <w:sz w:val="32"/>
      <w:szCs w:val="28"/>
    </w:rPr>
  </w:style>
  <w:style w:type="paragraph" w:styleId="Heading2">
    <w:name w:val="heading 2"/>
    <w:next w:val="Normal"/>
    <w:link w:val="Heading2Char"/>
    <w:qFormat/>
    <w:rsid w:val="00E370FD"/>
    <w:pPr>
      <w:spacing w:line="240" w:lineRule="atLeast"/>
      <w:outlineLvl w:val="1"/>
    </w:pPr>
    <w:rPr>
      <w:rFonts w:ascii="Arial" w:eastAsiaTheme="majorEastAsia" w:hAnsi="Arial" w:cstheme="majorBidi"/>
      <w:bCs/>
      <w:color w:val="410099" w:themeColor="accent1"/>
      <w:sz w:val="28"/>
      <w:szCs w:val="26"/>
    </w:rPr>
  </w:style>
  <w:style w:type="paragraph" w:styleId="Heading3">
    <w:name w:val="heading 3"/>
    <w:basedOn w:val="Normal"/>
    <w:next w:val="Normal"/>
    <w:link w:val="Heading3Char"/>
    <w:qFormat/>
    <w:rsid w:val="009D6B46"/>
    <w:pPr>
      <w:spacing w:before="240"/>
      <w:outlineLvl w:val="2"/>
    </w:pPr>
    <w:rPr>
      <w:rFonts w:eastAsiaTheme="majorEastAsia" w:cstheme="majorBidi"/>
      <w:b/>
      <w:bCs/>
      <w:color w:val="000000" w:themeColor="text1" w:themeShade="BF"/>
      <w:sz w:val="24"/>
    </w:rPr>
  </w:style>
  <w:style w:type="paragraph" w:styleId="Heading4">
    <w:name w:val="heading 4"/>
    <w:basedOn w:val="Normal"/>
    <w:next w:val="Normal"/>
    <w:link w:val="Heading4Char"/>
    <w:qFormat/>
    <w:rsid w:val="00E370FD"/>
    <w:pPr>
      <w:spacing w:before="240"/>
      <w:outlineLvl w:val="3"/>
    </w:pPr>
    <w:rPr>
      <w:rFonts w:eastAsiaTheme="majorEastAsia" w:cstheme="majorBidi"/>
      <w:b/>
      <w:bCs/>
      <w:i/>
      <w:iCs/>
      <w:color w:val="410099" w:themeColor="accent1"/>
      <w:sz w:val="24"/>
    </w:rPr>
  </w:style>
  <w:style w:type="paragraph" w:styleId="Heading5">
    <w:name w:val="heading 5"/>
    <w:next w:val="Normal"/>
    <w:link w:val="Heading5Char"/>
    <w:uiPriority w:val="2"/>
    <w:qFormat/>
    <w:rsid w:val="009D6B46"/>
    <w:pPr>
      <w:spacing w:line="240" w:lineRule="atLeast"/>
      <w:outlineLvl w:val="4"/>
    </w:pPr>
    <w:rPr>
      <w:rFonts w:ascii="Arial" w:eastAsiaTheme="majorEastAsia" w:hAnsi="Arial" w:cstheme="majorBidi"/>
      <w:b/>
      <w:color w:val="20004C" w:themeColor="accent1" w:themeShade="7F"/>
    </w:rPr>
  </w:style>
  <w:style w:type="paragraph" w:styleId="Heading6">
    <w:name w:val="heading 6"/>
    <w:basedOn w:val="Normal"/>
    <w:next w:val="Normal"/>
    <w:link w:val="Heading6Char"/>
    <w:uiPriority w:val="2"/>
    <w:qFormat/>
    <w:rsid w:val="009D6B46"/>
    <w:pPr>
      <w:spacing w:before="240"/>
      <w:outlineLvl w:val="5"/>
    </w:pPr>
    <w:rPr>
      <w:rFonts w:eastAsiaTheme="majorEastAsia" w:cstheme="majorBidi"/>
      <w:b/>
      <w:i/>
      <w:iCs/>
    </w:rPr>
  </w:style>
  <w:style w:type="paragraph" w:styleId="Heading7">
    <w:name w:val="heading 7"/>
    <w:basedOn w:val="Normal"/>
    <w:next w:val="Normal"/>
    <w:link w:val="Heading7Char"/>
    <w:uiPriority w:val="2"/>
    <w:qFormat/>
    <w:rsid w:val="009D6B46"/>
    <w:pPr>
      <w:spacing w:before="240"/>
      <w:outlineLvl w:val="6"/>
    </w:pPr>
    <w:rPr>
      <w:rFonts w:eastAsiaTheme="majorEastAsia" w:cstheme="majorBidi"/>
      <w:i/>
      <w:iCs/>
      <w:color w:val="404040" w:themeColor="text1" w:themeTint="BF"/>
    </w:rPr>
  </w:style>
  <w:style w:type="paragraph" w:styleId="Heading8">
    <w:name w:val="heading 8"/>
    <w:basedOn w:val="Normal"/>
    <w:next w:val="Normal"/>
    <w:link w:val="Heading8Char"/>
    <w:uiPriority w:val="2"/>
    <w:qFormat/>
    <w:rsid w:val="009D6B46"/>
    <w:pPr>
      <w:spacing w:before="240"/>
      <w:outlineLvl w:val="7"/>
    </w:pPr>
    <w:rPr>
      <w:rFonts w:eastAsiaTheme="majorEastAsia" w:cstheme="majorBidi"/>
      <w:color w:val="410099" w:themeColor="accent1"/>
      <w:szCs w:val="20"/>
    </w:rPr>
  </w:style>
  <w:style w:type="paragraph" w:styleId="Heading9">
    <w:name w:val="heading 9"/>
    <w:aliases w:val="Numbered Table"/>
    <w:basedOn w:val="Normal"/>
    <w:next w:val="Normal"/>
    <w:link w:val="Heading9Char"/>
    <w:uiPriority w:val="2"/>
    <w:qFormat/>
    <w:rsid w:val="00D64AF7"/>
    <w:pPr>
      <w:numPr>
        <w:numId w:val="27"/>
      </w:numPr>
      <w:tabs>
        <w:tab w:val="left" w:pos="340"/>
      </w:tabs>
      <w:spacing w:before="240" w:after="120"/>
      <w:outlineLvl w:val="8"/>
    </w:pPr>
    <w:rPr>
      <w:rFonts w:eastAsiaTheme="majorEastAsia" w:cstheme="majorBidi"/>
      <w:b/>
      <w:iCs/>
      <w:color w:val="000000" w:themeColor="text1"/>
      <w:sz w:val="24"/>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E370FD"/>
    <w:rPr>
      <w:rFonts w:ascii="Palatino Linotype" w:eastAsiaTheme="majorEastAsia" w:hAnsi="Palatino Linotype" w:cstheme="majorBidi"/>
      <w:bCs/>
      <w:color w:val="410099" w:themeColor="accent1"/>
      <w:sz w:val="32"/>
      <w:szCs w:val="28"/>
    </w:rPr>
  </w:style>
  <w:style w:type="character" w:customStyle="1" w:styleId="Heading2Char">
    <w:name w:val="Heading 2 Char"/>
    <w:basedOn w:val="DefaultParagraphFont"/>
    <w:link w:val="Heading2"/>
    <w:rsid w:val="00E370FD"/>
    <w:rPr>
      <w:rFonts w:ascii="Arial" w:eastAsiaTheme="majorEastAsia" w:hAnsi="Arial" w:cstheme="majorBidi"/>
      <w:bCs/>
      <w:color w:val="410099" w:themeColor="accent1"/>
      <w:sz w:val="28"/>
      <w:szCs w:val="26"/>
    </w:rPr>
  </w:style>
  <w:style w:type="character" w:customStyle="1" w:styleId="Heading3Char">
    <w:name w:val="Heading 3 Char"/>
    <w:basedOn w:val="DefaultParagraphFont"/>
    <w:link w:val="Heading3"/>
    <w:rsid w:val="009D6B46"/>
    <w:rPr>
      <w:rFonts w:ascii="Arial" w:eastAsiaTheme="majorEastAsia" w:hAnsi="Arial" w:cstheme="majorBidi"/>
      <w:b/>
      <w:bCs/>
      <w:color w:val="000000" w:themeColor="text1" w:themeShade="BF"/>
      <w:sz w:val="24"/>
    </w:rPr>
  </w:style>
  <w:style w:type="character" w:customStyle="1" w:styleId="Heading4Char">
    <w:name w:val="Heading 4 Char"/>
    <w:basedOn w:val="DefaultParagraphFont"/>
    <w:link w:val="Heading4"/>
    <w:rsid w:val="00E370FD"/>
    <w:rPr>
      <w:rFonts w:ascii="Arial" w:eastAsiaTheme="majorEastAsia" w:hAnsi="Arial" w:cstheme="majorBidi"/>
      <w:b/>
      <w:bCs/>
      <w:i/>
      <w:iCs/>
      <w:color w:val="410099" w:themeColor="accent1"/>
      <w:sz w:val="24"/>
    </w:rPr>
  </w:style>
  <w:style w:type="character" w:customStyle="1" w:styleId="Heading5Char">
    <w:name w:val="Heading 5 Char"/>
    <w:basedOn w:val="DefaultParagraphFont"/>
    <w:link w:val="Heading5"/>
    <w:uiPriority w:val="2"/>
    <w:rsid w:val="009D6B46"/>
    <w:rPr>
      <w:rFonts w:ascii="Arial" w:eastAsiaTheme="majorEastAsia" w:hAnsi="Arial" w:cstheme="majorBidi"/>
      <w:b/>
      <w:color w:val="20004C" w:themeColor="accent1" w:themeShade="7F"/>
    </w:rPr>
  </w:style>
  <w:style w:type="character" w:customStyle="1" w:styleId="Heading6Char">
    <w:name w:val="Heading 6 Char"/>
    <w:basedOn w:val="DefaultParagraphFont"/>
    <w:link w:val="Heading6"/>
    <w:uiPriority w:val="2"/>
    <w:rsid w:val="009D6B46"/>
    <w:rPr>
      <w:rFonts w:ascii="Arial" w:eastAsiaTheme="majorEastAsia" w:hAnsi="Arial" w:cstheme="majorBidi"/>
      <w:b/>
      <w:i/>
      <w:iCs/>
    </w:rPr>
  </w:style>
  <w:style w:type="paragraph" w:customStyle="1" w:styleId="Chaptertitle">
    <w:name w:val="Chapter title"/>
    <w:basedOn w:val="Normal"/>
    <w:link w:val="ChaptertitleChar"/>
    <w:rsid w:val="00E370FD"/>
    <w:pPr>
      <w:spacing w:before="520" w:after="120"/>
    </w:pPr>
    <w:rPr>
      <w:rFonts w:ascii="Palatino Linotype" w:hAnsi="Palatino Linotype"/>
      <w:color w:val="410099" w:themeColor="accent1"/>
      <w:sz w:val="52"/>
      <w:szCs w:val="52"/>
    </w:rPr>
  </w:style>
  <w:style w:type="character" w:customStyle="1" w:styleId="ChaptertitleChar">
    <w:name w:val="Chapter title Char"/>
    <w:basedOn w:val="DefaultParagraphFont"/>
    <w:link w:val="Chaptertitle"/>
    <w:rsid w:val="00E370FD"/>
    <w:rPr>
      <w:rFonts w:ascii="Palatino Linotype" w:hAnsi="Palatino Linotype"/>
      <w:color w:val="410099" w:themeColor="accent1"/>
      <w:sz w:val="52"/>
      <w:szCs w:val="52"/>
    </w:rPr>
  </w:style>
  <w:style w:type="paragraph" w:customStyle="1" w:styleId="Tabletext">
    <w:name w:val="Table text"/>
    <w:basedOn w:val="Normal"/>
    <w:link w:val="TabletextChar"/>
    <w:uiPriority w:val="1"/>
    <w:qFormat/>
    <w:rsid w:val="00584D8F"/>
    <w:pPr>
      <w:spacing w:before="120" w:after="60"/>
    </w:pPr>
    <w:rPr>
      <w:sz w:val="20"/>
    </w:rPr>
  </w:style>
  <w:style w:type="paragraph" w:customStyle="1" w:styleId="Copyrighttext">
    <w:name w:val="Copyright text"/>
    <w:basedOn w:val="Normal"/>
    <w:link w:val="CopyrighttextChar"/>
    <w:uiPriority w:val="2"/>
    <w:qFormat/>
    <w:rsid w:val="00E370FD"/>
    <w:pPr>
      <w:spacing w:line="360" w:lineRule="auto"/>
      <w:contextualSpacing/>
    </w:pPr>
    <w:rPr>
      <w:sz w:val="16"/>
      <w:szCs w:val="16"/>
    </w:rPr>
  </w:style>
  <w:style w:type="character" w:customStyle="1" w:styleId="CopyrighttextChar">
    <w:name w:val="Copyright text Char"/>
    <w:basedOn w:val="DefaultParagraphFont"/>
    <w:link w:val="Copyrighttext"/>
    <w:uiPriority w:val="2"/>
    <w:rsid w:val="00E370FD"/>
    <w:rPr>
      <w:rFonts w:ascii="Arial" w:hAnsi="Arial"/>
      <w:sz w:val="16"/>
      <w:szCs w:val="16"/>
    </w:rPr>
  </w:style>
  <w:style w:type="paragraph" w:styleId="TOC8">
    <w:name w:val="toc 8"/>
    <w:basedOn w:val="Normal"/>
    <w:next w:val="Normal"/>
    <w:uiPriority w:val="39"/>
    <w:rsid w:val="009F4940"/>
    <w:pPr>
      <w:tabs>
        <w:tab w:val="right" w:leader="dot" w:pos="9016"/>
      </w:tabs>
      <w:spacing w:after="100"/>
      <w:ind w:left="2977"/>
    </w:pPr>
    <w:rPr>
      <w:noProof/>
    </w:rPr>
  </w:style>
  <w:style w:type="paragraph" w:styleId="TOC9">
    <w:name w:val="toc 9"/>
    <w:basedOn w:val="Normal"/>
    <w:next w:val="Normal"/>
    <w:uiPriority w:val="39"/>
    <w:rsid w:val="009F4940"/>
    <w:pPr>
      <w:tabs>
        <w:tab w:val="right" w:leader="dot" w:pos="9016"/>
      </w:tabs>
      <w:spacing w:after="100"/>
      <w:ind w:left="3402"/>
    </w:pPr>
    <w:rPr>
      <w:noProof/>
    </w:rPr>
  </w:style>
  <w:style w:type="paragraph" w:customStyle="1" w:styleId="Numbered1">
    <w:name w:val="Numbered 1"/>
    <w:basedOn w:val="Heading1"/>
    <w:next w:val="Normal"/>
    <w:link w:val="Numbered1Char"/>
    <w:uiPriority w:val="99"/>
    <w:qFormat/>
    <w:rsid w:val="00F61B84"/>
    <w:pPr>
      <w:tabs>
        <w:tab w:val="left" w:pos="680"/>
      </w:tabs>
    </w:pPr>
  </w:style>
  <w:style w:type="paragraph" w:customStyle="1" w:styleId="Numbered11">
    <w:name w:val="Numbered 1.1"/>
    <w:basedOn w:val="Heading2"/>
    <w:next w:val="Normal"/>
    <w:qFormat/>
    <w:rsid w:val="000E3A2E"/>
    <w:pPr>
      <w:tabs>
        <w:tab w:val="left" w:pos="1021"/>
      </w:tabs>
    </w:pPr>
    <w:rPr>
      <w:rFonts w:cs="Arial"/>
    </w:rPr>
  </w:style>
  <w:style w:type="paragraph" w:customStyle="1" w:styleId="Numbered111">
    <w:name w:val="Numbered 1.1.1"/>
    <w:basedOn w:val="Heading3"/>
    <w:next w:val="Normal"/>
    <w:qFormat/>
    <w:rsid w:val="009F2BE5"/>
    <w:pPr>
      <w:tabs>
        <w:tab w:val="left" w:pos="1361"/>
      </w:tabs>
      <w:contextualSpacing/>
    </w:pPr>
  </w:style>
  <w:style w:type="paragraph" w:customStyle="1" w:styleId="Numbered1111">
    <w:name w:val="Numbered 1.1.1.1"/>
    <w:basedOn w:val="Heading4"/>
    <w:next w:val="Normal"/>
    <w:rsid w:val="00F61B84"/>
    <w:pPr>
      <w:tabs>
        <w:tab w:val="left" w:pos="1361"/>
      </w:tabs>
    </w:pPr>
  </w:style>
  <w:style w:type="paragraph" w:customStyle="1" w:styleId="Numbered11111">
    <w:name w:val="Numbered 1.1.1.1.1"/>
    <w:basedOn w:val="Heading5"/>
    <w:next w:val="Normal"/>
    <w:uiPriority w:val="2"/>
    <w:rsid w:val="00F61B84"/>
    <w:pPr>
      <w:tabs>
        <w:tab w:val="left" w:pos="1701"/>
      </w:tabs>
    </w:pPr>
  </w:style>
  <w:style w:type="paragraph" w:customStyle="1" w:styleId="Numbered111111">
    <w:name w:val="Numbered 1.1.1.1.1.1"/>
    <w:basedOn w:val="Heading6"/>
    <w:next w:val="Normal"/>
    <w:uiPriority w:val="2"/>
    <w:rsid w:val="00F61B84"/>
    <w:pPr>
      <w:tabs>
        <w:tab w:val="left" w:pos="1701"/>
      </w:tabs>
    </w:pPr>
  </w:style>
  <w:style w:type="paragraph" w:styleId="Header">
    <w:name w:val="header"/>
    <w:basedOn w:val="Normal"/>
    <w:link w:val="HeaderChar"/>
    <w:uiPriority w:val="99"/>
    <w:unhideWhenUsed/>
    <w:qFormat/>
    <w:rsid w:val="00E370FD"/>
    <w:pPr>
      <w:tabs>
        <w:tab w:val="center" w:pos="4513"/>
        <w:tab w:val="right" w:pos="9026"/>
      </w:tabs>
      <w:spacing w:after="120"/>
    </w:pPr>
    <w:rPr>
      <w:sz w:val="18"/>
    </w:rPr>
  </w:style>
  <w:style w:type="character" w:customStyle="1" w:styleId="HeaderChar">
    <w:name w:val="Header Char"/>
    <w:basedOn w:val="DefaultParagraphFont"/>
    <w:link w:val="Header"/>
    <w:uiPriority w:val="99"/>
    <w:rsid w:val="00E370FD"/>
    <w:rPr>
      <w:rFonts w:ascii="Arial" w:hAnsi="Arial"/>
      <w:sz w:val="18"/>
    </w:rPr>
  </w:style>
  <w:style w:type="paragraph" w:styleId="NoSpacing">
    <w:name w:val="No Spacing"/>
    <w:uiPriority w:val="1"/>
    <w:qFormat/>
    <w:rsid w:val="00724A37"/>
    <w:pPr>
      <w:spacing w:before="0"/>
    </w:pPr>
    <w:rPr>
      <w:rFonts w:ascii="Arial" w:hAnsi="Arial"/>
    </w:rPr>
  </w:style>
  <w:style w:type="paragraph" w:customStyle="1" w:styleId="Tabletitle">
    <w:name w:val="Table title"/>
    <w:basedOn w:val="Normal"/>
    <w:link w:val="TabletitleChar"/>
    <w:qFormat/>
    <w:rsid w:val="00584D8F"/>
    <w:pPr>
      <w:spacing w:before="240" w:after="120"/>
    </w:pPr>
    <w:rPr>
      <w:b/>
      <w:szCs w:val="20"/>
    </w:rPr>
  </w:style>
  <w:style w:type="character" w:customStyle="1" w:styleId="TabletitleChar">
    <w:name w:val="Table title Char"/>
    <w:basedOn w:val="DefaultParagraphFont"/>
    <w:link w:val="Tabletitle"/>
    <w:rsid w:val="00584D8F"/>
    <w:rPr>
      <w:rFonts w:ascii="Arial" w:hAnsi="Arial"/>
      <w:b/>
      <w:szCs w:val="20"/>
    </w:rPr>
  </w:style>
  <w:style w:type="paragraph" w:customStyle="1" w:styleId="Charttitle">
    <w:name w:val="Chart title"/>
    <w:basedOn w:val="Tabletitle"/>
    <w:rsid w:val="005C26CC"/>
    <w:rPr>
      <w:sz w:val="24"/>
    </w:rPr>
  </w:style>
  <w:style w:type="paragraph" w:styleId="EndnoteText">
    <w:name w:val="endnote text"/>
    <w:basedOn w:val="Normal"/>
    <w:link w:val="EndnoteTextChar"/>
    <w:uiPriority w:val="99"/>
    <w:rsid w:val="00263AC0"/>
    <w:pPr>
      <w:spacing w:before="0"/>
    </w:pPr>
    <w:rPr>
      <w:sz w:val="20"/>
      <w:szCs w:val="20"/>
    </w:rPr>
  </w:style>
  <w:style w:type="paragraph" w:customStyle="1" w:styleId="Boxedtext">
    <w:name w:val="Boxed text"/>
    <w:basedOn w:val="Normal"/>
    <w:link w:val="BoxedtextChar"/>
    <w:uiPriority w:val="1"/>
    <w:rsid w:val="00180157"/>
    <w:pPr>
      <w:pBdr>
        <w:top w:val="single" w:sz="4" w:space="1" w:color="FFFFFF" w:themeColor="background1"/>
        <w:left w:val="single" w:sz="4" w:space="4" w:color="FFFFFF" w:themeColor="background1"/>
        <w:bottom w:val="single" w:sz="4" w:space="1" w:color="FFFFFF" w:themeColor="background1"/>
        <w:right w:val="single" w:sz="4" w:space="4" w:color="FFFFFF" w:themeColor="background1"/>
      </w:pBdr>
      <w:shd w:val="clear" w:color="auto" w:fill="F2F2F2" w:themeFill="background1" w:themeFillShade="F2"/>
      <w:spacing w:after="240"/>
    </w:pPr>
    <w:rPr>
      <w:szCs w:val="20"/>
    </w:rPr>
  </w:style>
  <w:style w:type="character" w:customStyle="1" w:styleId="BoxedtextChar">
    <w:name w:val="Boxed text Char"/>
    <w:basedOn w:val="DefaultParagraphFont"/>
    <w:link w:val="Boxedtext"/>
    <w:uiPriority w:val="1"/>
    <w:rsid w:val="00AE1BF1"/>
    <w:rPr>
      <w:rFonts w:ascii="Arial" w:hAnsi="Arial"/>
      <w:szCs w:val="20"/>
      <w:shd w:val="clear" w:color="auto" w:fill="F2F2F2" w:themeFill="background1" w:themeFillShade="F2"/>
    </w:rPr>
  </w:style>
  <w:style w:type="paragraph" w:customStyle="1" w:styleId="Pullquoteheading">
    <w:name w:val="Pull quote heading"/>
    <w:basedOn w:val="Normal"/>
    <w:link w:val="PullquoteheadingChar"/>
    <w:uiPriority w:val="1"/>
    <w:rsid w:val="00E370FD"/>
    <w:pPr>
      <w:spacing w:after="120"/>
      <w:contextualSpacing/>
    </w:pPr>
    <w:rPr>
      <w:rFonts w:ascii="Palatino Linotype" w:hAnsi="Palatino Linotype"/>
      <w:b/>
      <w:color w:val="362F52" w:themeColor="accent3"/>
      <w:sz w:val="24"/>
      <w:szCs w:val="24"/>
    </w:rPr>
  </w:style>
  <w:style w:type="character" w:customStyle="1" w:styleId="PullquoteheadingChar">
    <w:name w:val="Pull quote heading Char"/>
    <w:basedOn w:val="DefaultParagraphFont"/>
    <w:link w:val="Pullquoteheading"/>
    <w:uiPriority w:val="1"/>
    <w:rsid w:val="00E370FD"/>
    <w:rPr>
      <w:rFonts w:ascii="Palatino Linotype" w:hAnsi="Palatino Linotype"/>
      <w:b/>
      <w:color w:val="362F52" w:themeColor="accent3"/>
      <w:sz w:val="24"/>
      <w:szCs w:val="24"/>
    </w:rPr>
  </w:style>
  <w:style w:type="paragraph" w:customStyle="1" w:styleId="Pullquotetext">
    <w:name w:val="Pull quote text"/>
    <w:link w:val="PullquotetextChar"/>
    <w:uiPriority w:val="1"/>
    <w:rsid w:val="00E370FD"/>
    <w:pPr>
      <w:spacing w:before="120"/>
    </w:pPr>
    <w:rPr>
      <w:rFonts w:ascii="Palatino Linotype" w:hAnsi="Palatino Linotype"/>
      <w:color w:val="362F52" w:themeColor="accent3"/>
      <w:szCs w:val="24"/>
    </w:rPr>
  </w:style>
  <w:style w:type="character" w:customStyle="1" w:styleId="PullquotetextChar">
    <w:name w:val="Pull quote text Char"/>
    <w:basedOn w:val="PullquoteheadingChar"/>
    <w:link w:val="Pullquotetext"/>
    <w:uiPriority w:val="1"/>
    <w:rsid w:val="00E370FD"/>
    <w:rPr>
      <w:rFonts w:ascii="Palatino Linotype" w:hAnsi="Palatino Linotype"/>
      <w:b w:val="0"/>
      <w:color w:val="362F52" w:themeColor="accent3"/>
      <w:sz w:val="24"/>
      <w:szCs w:val="24"/>
    </w:rPr>
  </w:style>
  <w:style w:type="paragraph" w:customStyle="1" w:styleId="Note">
    <w:name w:val="Note"/>
    <w:basedOn w:val="Normal"/>
    <w:link w:val="NoteChar"/>
    <w:rsid w:val="00085663"/>
    <w:pPr>
      <w:spacing w:after="120"/>
    </w:pPr>
    <w:rPr>
      <w:i/>
      <w:sz w:val="16"/>
      <w:szCs w:val="16"/>
    </w:rPr>
  </w:style>
  <w:style w:type="character" w:customStyle="1" w:styleId="NoteChar">
    <w:name w:val="Note Char"/>
    <w:basedOn w:val="DefaultParagraphFont"/>
    <w:link w:val="Note"/>
    <w:rsid w:val="00085663"/>
    <w:rPr>
      <w:rFonts w:ascii="Arial" w:hAnsi="Arial"/>
      <w:i/>
      <w:sz w:val="16"/>
      <w:szCs w:val="16"/>
    </w:rPr>
  </w:style>
  <w:style w:type="paragraph" w:customStyle="1" w:styleId="Source">
    <w:name w:val="Source"/>
    <w:basedOn w:val="Normal"/>
    <w:link w:val="SourceChar"/>
    <w:rsid w:val="00085663"/>
    <w:pPr>
      <w:spacing w:after="60"/>
    </w:pPr>
    <w:rPr>
      <w:sz w:val="16"/>
      <w:szCs w:val="16"/>
    </w:rPr>
  </w:style>
  <w:style w:type="character" w:customStyle="1" w:styleId="SourceChar">
    <w:name w:val="Source Char"/>
    <w:basedOn w:val="DefaultParagraphFont"/>
    <w:link w:val="Source"/>
    <w:rsid w:val="00085663"/>
    <w:rPr>
      <w:rFonts w:ascii="Arial" w:hAnsi="Arial"/>
      <w:sz w:val="16"/>
      <w:szCs w:val="16"/>
    </w:rPr>
  </w:style>
  <w:style w:type="paragraph" w:customStyle="1" w:styleId="Footnotes">
    <w:name w:val="Footnotes"/>
    <w:basedOn w:val="FootnoteText"/>
    <w:link w:val="FootnotesChar"/>
    <w:uiPriority w:val="4"/>
    <w:semiHidden/>
    <w:qFormat/>
    <w:rsid w:val="00B8080B"/>
  </w:style>
  <w:style w:type="character" w:customStyle="1" w:styleId="FootnotesChar">
    <w:name w:val="Footnotes Char"/>
    <w:basedOn w:val="DefaultParagraphFont"/>
    <w:link w:val="Footnotes"/>
    <w:uiPriority w:val="4"/>
    <w:semiHidden/>
    <w:rsid w:val="00FE39C2"/>
    <w:rPr>
      <w:rFonts w:ascii="Arial" w:hAnsi="Arial"/>
      <w:sz w:val="20"/>
      <w:szCs w:val="20"/>
    </w:rPr>
  </w:style>
  <w:style w:type="paragraph" w:styleId="Quote">
    <w:name w:val="Quote"/>
    <w:basedOn w:val="Normal"/>
    <w:next w:val="Normal"/>
    <w:link w:val="QuoteChar"/>
    <w:uiPriority w:val="29"/>
    <w:rsid w:val="001D055E"/>
    <w:pPr>
      <w:ind w:left="737"/>
    </w:pPr>
    <w:rPr>
      <w:i/>
      <w:iCs/>
      <w:color w:val="000000" w:themeColor="text1"/>
    </w:rPr>
  </w:style>
  <w:style w:type="character" w:customStyle="1" w:styleId="QuoteChar">
    <w:name w:val="Quote Char"/>
    <w:basedOn w:val="DefaultParagraphFont"/>
    <w:link w:val="Quote"/>
    <w:uiPriority w:val="29"/>
    <w:rsid w:val="001D055E"/>
    <w:rPr>
      <w:rFonts w:ascii="Arial" w:hAnsi="Arial"/>
      <w:i/>
      <w:iCs/>
      <w:color w:val="000000" w:themeColor="text1"/>
    </w:rPr>
  </w:style>
  <w:style w:type="paragraph" w:customStyle="1" w:styleId="Bulletpoint">
    <w:name w:val="Bullet point"/>
    <w:basedOn w:val="ListBullet"/>
    <w:qFormat/>
    <w:rsid w:val="00E4674F"/>
    <w:pPr>
      <w:numPr>
        <w:numId w:val="2"/>
      </w:numPr>
      <w:ind w:left="340" w:hanging="340"/>
    </w:pPr>
    <w:rPr>
      <w:rFonts w:cs="Times New Roman"/>
    </w:rPr>
  </w:style>
  <w:style w:type="paragraph" w:styleId="ListBullet">
    <w:name w:val="List Bullet"/>
    <w:basedOn w:val="Normal"/>
    <w:uiPriority w:val="99"/>
    <w:rsid w:val="00DC542F"/>
    <w:pPr>
      <w:numPr>
        <w:numId w:val="10"/>
      </w:numPr>
      <w:tabs>
        <w:tab w:val="left" w:pos="340"/>
      </w:tabs>
      <w:spacing w:before="120"/>
      <w:ind w:left="340" w:hanging="340"/>
    </w:pPr>
  </w:style>
  <w:style w:type="paragraph" w:customStyle="1" w:styleId="Bulletpoint2">
    <w:name w:val="Bullet point 2"/>
    <w:basedOn w:val="ListBullet2"/>
    <w:uiPriority w:val="1"/>
    <w:qFormat/>
    <w:rsid w:val="00E4674F"/>
    <w:pPr>
      <w:numPr>
        <w:numId w:val="9"/>
      </w:numPr>
      <w:tabs>
        <w:tab w:val="left" w:pos="680"/>
      </w:tabs>
      <w:ind w:left="680" w:hanging="340"/>
    </w:pPr>
  </w:style>
  <w:style w:type="paragraph" w:styleId="ListNumber">
    <w:name w:val="List Number"/>
    <w:basedOn w:val="Normal"/>
    <w:uiPriority w:val="99"/>
    <w:rsid w:val="000F2368"/>
    <w:pPr>
      <w:numPr>
        <w:numId w:val="23"/>
      </w:numPr>
      <w:spacing w:before="120"/>
    </w:pPr>
    <w:rPr>
      <w:color w:val="000000" w:themeColor="text1" w:themeShade="BF"/>
    </w:rPr>
  </w:style>
  <w:style w:type="paragraph" w:styleId="ListBullet2">
    <w:name w:val="List Bullet 2"/>
    <w:basedOn w:val="Normal"/>
    <w:uiPriority w:val="99"/>
    <w:rsid w:val="00DC542F"/>
    <w:pPr>
      <w:numPr>
        <w:numId w:val="3"/>
      </w:numPr>
      <w:tabs>
        <w:tab w:val="clear" w:pos="643"/>
        <w:tab w:val="num" w:pos="680"/>
      </w:tabs>
      <w:spacing w:before="120"/>
      <w:ind w:left="680" w:hanging="340"/>
    </w:pPr>
  </w:style>
  <w:style w:type="paragraph" w:styleId="TOCHeading">
    <w:name w:val="TOC Heading"/>
    <w:basedOn w:val="Normal"/>
    <w:next w:val="Normal"/>
    <w:uiPriority w:val="39"/>
    <w:qFormat/>
    <w:rsid w:val="00E370FD"/>
    <w:pPr>
      <w:spacing w:before="480" w:after="120" w:line="276" w:lineRule="auto"/>
    </w:pPr>
    <w:rPr>
      <w:rFonts w:ascii="Palatino Linotype" w:eastAsiaTheme="majorEastAsia" w:hAnsi="Palatino Linotype" w:cstheme="majorBidi"/>
      <w:bCs/>
      <w:color w:val="410099" w:themeColor="accent1"/>
      <w:sz w:val="32"/>
      <w:szCs w:val="28"/>
      <w:lang w:val="en-US" w:eastAsia="ja-JP"/>
    </w:rPr>
  </w:style>
  <w:style w:type="paragraph" w:styleId="ListNumber2">
    <w:name w:val="List Number 2"/>
    <w:next w:val="Normal"/>
    <w:uiPriority w:val="99"/>
    <w:rsid w:val="00BE4C99"/>
    <w:pPr>
      <w:numPr>
        <w:numId w:val="24"/>
      </w:numPr>
      <w:tabs>
        <w:tab w:val="left" w:pos="680"/>
      </w:tabs>
      <w:spacing w:before="120"/>
    </w:pPr>
    <w:rPr>
      <w:rFonts w:ascii="Arial" w:hAnsi="Arial"/>
    </w:rPr>
  </w:style>
  <w:style w:type="character" w:styleId="Hyperlink">
    <w:name w:val="Hyperlink"/>
    <w:basedOn w:val="DefaultParagraphFont"/>
    <w:uiPriority w:val="99"/>
    <w:qFormat/>
    <w:rsid w:val="00BE1F1B"/>
    <w:rPr>
      <w:rFonts w:ascii="Arial" w:hAnsi="Arial"/>
      <w:color w:val="0000FF"/>
      <w:sz w:val="22"/>
      <w:u w:val="single"/>
    </w:rPr>
  </w:style>
  <w:style w:type="paragraph" w:styleId="BalloonText">
    <w:name w:val="Balloon Text"/>
    <w:basedOn w:val="Normal"/>
    <w:link w:val="BalloonTextChar"/>
    <w:uiPriority w:val="99"/>
    <w:semiHidden/>
    <w:unhideWhenUsed/>
    <w:rsid w:val="003518B3"/>
    <w:pPr>
      <w:spacing w:before="0"/>
    </w:pPr>
    <w:rPr>
      <w:rFonts w:ascii="Tahoma" w:hAnsi="Tahoma" w:cs="Tahoma"/>
      <w:sz w:val="16"/>
      <w:szCs w:val="16"/>
    </w:rPr>
  </w:style>
  <w:style w:type="character" w:customStyle="1" w:styleId="BalloonTextChar">
    <w:name w:val="Balloon Text Char"/>
    <w:basedOn w:val="DefaultParagraphFont"/>
    <w:link w:val="BalloonText"/>
    <w:uiPriority w:val="99"/>
    <w:semiHidden/>
    <w:rsid w:val="003518B3"/>
    <w:rPr>
      <w:rFonts w:ascii="Tahoma" w:hAnsi="Tahoma" w:cs="Tahoma"/>
      <w:sz w:val="16"/>
      <w:szCs w:val="16"/>
    </w:rPr>
  </w:style>
  <w:style w:type="paragraph" w:styleId="Footer">
    <w:name w:val="footer"/>
    <w:basedOn w:val="Normal"/>
    <w:link w:val="FooterChar"/>
    <w:uiPriority w:val="99"/>
    <w:unhideWhenUsed/>
    <w:qFormat/>
    <w:rsid w:val="00E370FD"/>
    <w:pPr>
      <w:tabs>
        <w:tab w:val="center" w:pos="4513"/>
        <w:tab w:val="right" w:pos="9026"/>
      </w:tabs>
      <w:spacing w:after="120"/>
    </w:pPr>
    <w:rPr>
      <w:sz w:val="18"/>
    </w:rPr>
  </w:style>
  <w:style w:type="character" w:customStyle="1" w:styleId="FooterChar">
    <w:name w:val="Footer Char"/>
    <w:basedOn w:val="DefaultParagraphFont"/>
    <w:link w:val="Footer"/>
    <w:uiPriority w:val="99"/>
    <w:rsid w:val="00E370FD"/>
    <w:rPr>
      <w:rFonts w:ascii="Arial" w:hAnsi="Arial"/>
      <w:sz w:val="18"/>
    </w:rPr>
  </w:style>
  <w:style w:type="paragraph" w:styleId="ListParagraph">
    <w:name w:val="List Paragraph"/>
    <w:basedOn w:val="Normal"/>
    <w:uiPriority w:val="34"/>
    <w:qFormat/>
    <w:rsid w:val="00F61B84"/>
    <w:pPr>
      <w:numPr>
        <w:numId w:val="11"/>
      </w:numPr>
      <w:tabs>
        <w:tab w:val="left" w:pos="340"/>
      </w:tabs>
      <w:spacing w:before="120"/>
    </w:pPr>
  </w:style>
  <w:style w:type="character" w:customStyle="1" w:styleId="Heading7Char">
    <w:name w:val="Heading 7 Char"/>
    <w:basedOn w:val="DefaultParagraphFont"/>
    <w:link w:val="Heading7"/>
    <w:uiPriority w:val="2"/>
    <w:rsid w:val="009D6B46"/>
    <w:rPr>
      <w:rFonts w:ascii="Arial" w:eastAsiaTheme="majorEastAsia" w:hAnsi="Arial" w:cstheme="majorBidi"/>
      <w:i/>
      <w:iCs/>
      <w:color w:val="404040" w:themeColor="text1" w:themeTint="BF"/>
    </w:rPr>
  </w:style>
  <w:style w:type="character" w:customStyle="1" w:styleId="Heading8Char">
    <w:name w:val="Heading 8 Char"/>
    <w:basedOn w:val="DefaultParagraphFont"/>
    <w:link w:val="Heading8"/>
    <w:uiPriority w:val="2"/>
    <w:rsid w:val="009D6B46"/>
    <w:rPr>
      <w:rFonts w:ascii="Arial" w:eastAsiaTheme="majorEastAsia" w:hAnsi="Arial" w:cstheme="majorBidi"/>
      <w:color w:val="410099" w:themeColor="accent1"/>
      <w:szCs w:val="20"/>
    </w:rPr>
  </w:style>
  <w:style w:type="character" w:customStyle="1" w:styleId="Heading9Char">
    <w:name w:val="Heading 9 Char"/>
    <w:aliases w:val="Numbered Table Char"/>
    <w:basedOn w:val="DefaultParagraphFont"/>
    <w:link w:val="Heading9"/>
    <w:uiPriority w:val="2"/>
    <w:rsid w:val="00D64AF7"/>
    <w:rPr>
      <w:rFonts w:ascii="Arial" w:eastAsiaTheme="majorEastAsia" w:hAnsi="Arial" w:cstheme="majorBidi"/>
      <w:b/>
      <w:iCs/>
      <w:color w:val="000000" w:themeColor="text1"/>
      <w:sz w:val="24"/>
      <w:szCs w:val="20"/>
    </w:rPr>
  </w:style>
  <w:style w:type="paragraph" w:customStyle="1" w:styleId="Numbered1111111">
    <w:name w:val="Numbered 1.1.1.1.1.1.1"/>
    <w:basedOn w:val="Heading7"/>
    <w:next w:val="Normal"/>
    <w:uiPriority w:val="2"/>
    <w:rsid w:val="00F61B84"/>
    <w:pPr>
      <w:tabs>
        <w:tab w:val="left" w:pos="2041"/>
      </w:tabs>
    </w:pPr>
  </w:style>
  <w:style w:type="paragraph" w:customStyle="1" w:styleId="Numbered11111111">
    <w:name w:val="Numbered 1.1.1.1.1.1.1.1"/>
    <w:basedOn w:val="Heading8"/>
    <w:next w:val="Normal"/>
    <w:uiPriority w:val="2"/>
    <w:rsid w:val="00F61B84"/>
    <w:pPr>
      <w:tabs>
        <w:tab w:val="left" w:pos="2041"/>
      </w:tabs>
    </w:pPr>
  </w:style>
  <w:style w:type="table" w:styleId="TableGrid">
    <w:name w:val="Table Grid"/>
    <w:aliases w:val="ACCC Table"/>
    <w:basedOn w:val="TableNormal"/>
    <w:uiPriority w:val="59"/>
    <w:rsid w:val="00C53B5A"/>
    <w:pPr>
      <w:spacing w:before="60" w:after="60"/>
    </w:pPr>
    <w:rPr>
      <w:rFonts w:ascii="Arial" w:hAnsi="Arial"/>
      <w:sz w:val="20"/>
    </w:rPr>
    <w:tblPr>
      <w:tblBorders>
        <w:top w:val="single" w:sz="4" w:space="0" w:color="BFBFBF" w:themeColor="background1" w:themeShade="BF"/>
        <w:bottom w:val="single" w:sz="4" w:space="0" w:color="BFBFBF" w:themeColor="background1" w:themeShade="BF"/>
      </w:tblBorders>
    </w:tblPr>
    <w:tcPr>
      <w:shd w:val="clear" w:color="auto" w:fill="auto"/>
    </w:tcPr>
    <w:tblStylePr w:type="firstRow">
      <w:pPr>
        <w:wordWrap/>
        <w:spacing w:beforeLines="0" w:before="120" w:beforeAutospacing="0" w:afterLines="0" w:after="120" w:afterAutospacing="0"/>
      </w:pPr>
      <w:rPr>
        <w:rFonts w:ascii="Arial" w:hAnsi="Arial"/>
        <w:b/>
        <w:sz w:val="20"/>
      </w:rPr>
      <w:tblPr/>
      <w:tcPr>
        <w:tcBorders>
          <w:top w:val="single" w:sz="4" w:space="0" w:color="BFBFBF" w:themeColor="background1" w:themeShade="BF"/>
          <w:left w:val="nil"/>
          <w:bottom w:val="single" w:sz="4" w:space="0" w:color="BFBFBF" w:themeColor="background1" w:themeShade="BF"/>
          <w:right w:val="nil"/>
          <w:insideH w:val="nil"/>
          <w:insideV w:val="nil"/>
          <w:tl2br w:val="nil"/>
          <w:tr2bl w:val="nil"/>
        </w:tcBorders>
        <w:shd w:val="clear" w:color="auto" w:fill="auto"/>
      </w:tcPr>
    </w:tblStylePr>
    <w:tblStylePr w:type="lastRow">
      <w:pPr>
        <w:wordWrap/>
        <w:spacing w:beforeLines="0" w:before="120" w:beforeAutospacing="0" w:afterLines="0" w:after="120" w:afterAutospacing="0" w:line="240" w:lineRule="auto"/>
      </w:pPr>
      <w:rPr>
        <w:rFonts w:ascii="Arial" w:hAnsi="Arial"/>
        <w:b/>
        <w:sz w:val="20"/>
      </w:rPr>
    </w:tblStylePr>
    <w:tblStylePr w:type="firstCol">
      <w:rPr>
        <w:rFonts w:ascii="Arial" w:hAnsi="Arial"/>
        <w:b/>
        <w:sz w:val="20"/>
      </w:rPr>
    </w:tblStylePr>
  </w:style>
  <w:style w:type="table" w:styleId="LightShading">
    <w:name w:val="Light Shading"/>
    <w:basedOn w:val="TableNormal"/>
    <w:uiPriority w:val="60"/>
    <w:rsid w:val="00C53B5A"/>
    <w:pPr>
      <w:spacing w:before="120" w:after="120"/>
    </w:pPr>
    <w:rPr>
      <w:sz w:val="20"/>
    </w:rPr>
    <w:tblPr>
      <w:tblBorders>
        <w:top w:val="single" w:sz="4" w:space="0" w:color="D5D6D2" w:themeColor="background2"/>
        <w:left w:val="single" w:sz="4" w:space="0" w:color="D5D6D2" w:themeColor="background2"/>
        <w:bottom w:val="single" w:sz="4" w:space="0" w:color="D5D6D2" w:themeColor="background2"/>
        <w:right w:val="single" w:sz="4" w:space="0" w:color="D5D6D2" w:themeColor="background2"/>
        <w:insideH w:val="single" w:sz="4" w:space="0" w:color="D5D6D2" w:themeColor="background2"/>
        <w:insideV w:val="single" w:sz="4" w:space="0" w:color="D5D6D2" w:themeColor="background2"/>
      </w:tblBorders>
    </w:tblPr>
    <w:tcPr>
      <w:shd w:val="clear" w:color="auto" w:fill="auto"/>
      <w:vAlign w:val="center"/>
    </w:tcPr>
    <w:tblStylePr w:type="firstRow">
      <w:pPr>
        <w:wordWrap/>
        <w:spacing w:beforeLines="0" w:before="120" w:beforeAutospacing="0" w:afterLines="0" w:after="120" w:afterAutospacing="0" w:line="240" w:lineRule="auto"/>
      </w:pPr>
      <w:rPr>
        <w:rFonts w:asciiTheme="minorHAnsi" w:hAnsiTheme="minorHAnsi"/>
        <w:b/>
        <w:bCs/>
        <w:sz w:val="20"/>
      </w:rPr>
      <w:tblPr/>
      <w:tcPr>
        <w:tcBorders>
          <w:top w:val="single" w:sz="4" w:space="0" w:color="D5D6D2" w:themeColor="background2"/>
          <w:left w:val="single" w:sz="4" w:space="0" w:color="D5D6D2" w:themeColor="background2"/>
          <w:bottom w:val="single" w:sz="4" w:space="0" w:color="D5D6D2" w:themeColor="background2"/>
          <w:right w:val="single" w:sz="4" w:space="0" w:color="D5D6D2" w:themeColor="background2"/>
          <w:insideH w:val="single" w:sz="4" w:space="0" w:color="D5D6D2" w:themeColor="background2"/>
          <w:insideV w:val="single" w:sz="4" w:space="0" w:color="D5D6D2" w:themeColor="background2"/>
        </w:tcBorders>
        <w:shd w:val="clear" w:color="auto" w:fill="auto"/>
      </w:tcPr>
    </w:tblStylePr>
    <w:tblStylePr w:type="lastRow">
      <w:pPr>
        <w:wordWrap/>
        <w:spacing w:beforeLines="0" w:before="120" w:beforeAutospacing="0" w:afterLines="0" w:after="120" w:afterAutospacing="0" w:line="240" w:lineRule="auto"/>
      </w:pPr>
      <w:rPr>
        <w:b/>
        <w:bCs/>
        <w:sz w:val="20"/>
      </w:rPr>
      <w:tblPr/>
      <w:tcPr>
        <w:tcBorders>
          <w:top w:val="single" w:sz="4" w:space="0" w:color="D5D6D2" w:themeColor="background2"/>
          <w:left w:val="single" w:sz="4" w:space="0" w:color="D5D6D2" w:themeColor="background2"/>
          <w:bottom w:val="single" w:sz="4" w:space="0" w:color="D5D6D2" w:themeColor="background2"/>
          <w:right w:val="single" w:sz="4" w:space="0" w:color="D5D6D2" w:themeColor="background2"/>
          <w:insideH w:val="single" w:sz="4" w:space="0" w:color="D5D6D2" w:themeColor="background2"/>
          <w:insideV w:val="single" w:sz="4" w:space="0" w:color="D5D6D2" w:themeColor="background2"/>
        </w:tcBorders>
      </w:tcPr>
    </w:tblStylePr>
    <w:tblStylePr w:type="firstCol">
      <w:rPr>
        <w:b/>
        <w:bCs/>
        <w:sz w:val="20"/>
      </w:rPr>
    </w:tblStylePr>
    <w:tblStylePr w:type="lastCol">
      <w:rPr>
        <w:b/>
        <w:bCs/>
      </w:rPr>
    </w:tblStylePr>
  </w:style>
  <w:style w:type="table" w:styleId="LightShading-Accent1">
    <w:name w:val="Light Shading Accent 1"/>
    <w:basedOn w:val="TableNormal"/>
    <w:uiPriority w:val="60"/>
    <w:rsid w:val="00A871F4"/>
    <w:pPr>
      <w:spacing w:before="0"/>
    </w:pPr>
    <w:rPr>
      <w:color w:val="300072" w:themeColor="accent1" w:themeShade="BF"/>
    </w:rPr>
    <w:tblPr>
      <w:tblStyleRowBandSize w:val="1"/>
      <w:tblStyleColBandSize w:val="1"/>
      <w:tblBorders>
        <w:top w:val="single" w:sz="8" w:space="0" w:color="410099" w:themeColor="accent1"/>
        <w:bottom w:val="single" w:sz="8" w:space="0" w:color="410099" w:themeColor="accent1"/>
      </w:tblBorders>
    </w:tblPr>
    <w:tblStylePr w:type="firstRow">
      <w:pPr>
        <w:spacing w:before="0" w:after="0" w:line="240" w:lineRule="auto"/>
      </w:pPr>
      <w:rPr>
        <w:b/>
        <w:bCs/>
      </w:rPr>
      <w:tblPr/>
      <w:tcPr>
        <w:tcBorders>
          <w:top w:val="single" w:sz="8" w:space="0" w:color="410099" w:themeColor="accent1"/>
          <w:left w:val="nil"/>
          <w:bottom w:val="single" w:sz="8" w:space="0" w:color="410099" w:themeColor="accent1"/>
          <w:right w:val="nil"/>
          <w:insideH w:val="nil"/>
          <w:insideV w:val="nil"/>
        </w:tcBorders>
      </w:tcPr>
    </w:tblStylePr>
    <w:tblStylePr w:type="lastRow">
      <w:pPr>
        <w:spacing w:before="0" w:after="0" w:line="240" w:lineRule="auto"/>
      </w:pPr>
      <w:rPr>
        <w:b/>
        <w:bCs/>
      </w:rPr>
      <w:tblPr/>
      <w:tcPr>
        <w:tcBorders>
          <w:top w:val="single" w:sz="8" w:space="0" w:color="410099" w:themeColor="accent1"/>
          <w:left w:val="nil"/>
          <w:bottom w:val="single" w:sz="8" w:space="0" w:color="410099"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CA6FF" w:themeFill="accent1" w:themeFillTint="3F"/>
      </w:tcPr>
    </w:tblStylePr>
    <w:tblStylePr w:type="band1Horz">
      <w:tblPr/>
      <w:tcPr>
        <w:tcBorders>
          <w:left w:val="nil"/>
          <w:right w:val="nil"/>
          <w:insideH w:val="nil"/>
          <w:insideV w:val="nil"/>
        </w:tcBorders>
        <w:shd w:val="clear" w:color="auto" w:fill="CCA6FF" w:themeFill="accent1" w:themeFillTint="3F"/>
      </w:tcPr>
    </w:tblStylePr>
  </w:style>
  <w:style w:type="table" w:styleId="LightShading-Accent2">
    <w:name w:val="Light Shading Accent 2"/>
    <w:basedOn w:val="TableNormal"/>
    <w:uiPriority w:val="60"/>
    <w:rsid w:val="00746E01"/>
    <w:pPr>
      <w:spacing w:before="0"/>
    </w:pPr>
    <w:rPr>
      <w:rFonts w:ascii="Arial" w:hAnsi="Arial"/>
      <w:color w:val="000000"/>
      <w14:textFill>
        <w14:solidFill>
          <w14:srgbClr w14:val="000000">
            <w14:lumMod w14:val="75000"/>
            <w14:lumOff w14:val="0"/>
          </w14:srgbClr>
        </w14:solidFill>
      </w14:textFill>
    </w:rPr>
    <w:tblPr>
      <w:tblBorders>
        <w:top w:val="single" w:sz="4" w:space="0" w:color="FFC502" w:themeColor="accent5"/>
        <w:left w:val="single" w:sz="4" w:space="0" w:color="FFC502" w:themeColor="accent5"/>
        <w:bottom w:val="single" w:sz="4" w:space="0" w:color="FFC502" w:themeColor="accent5"/>
        <w:right w:val="single" w:sz="4" w:space="0" w:color="FFC502" w:themeColor="accent5"/>
        <w:insideH w:val="single" w:sz="4" w:space="0" w:color="FFC502" w:themeColor="accent5"/>
        <w:insideV w:val="single" w:sz="4" w:space="0" w:color="FFC502" w:themeColor="accent5"/>
      </w:tblBorders>
    </w:tblPr>
    <w:tcPr>
      <w:vAlign w:val="center"/>
    </w:tcPr>
    <w:tblStylePr w:type="firstRow">
      <w:pPr>
        <w:spacing w:before="0" w:after="0" w:line="240" w:lineRule="auto"/>
      </w:pPr>
      <w:rPr>
        <w:b w:val="0"/>
        <w:bCs/>
      </w:rPr>
      <w:tblPr/>
      <w:tcPr>
        <w:tcBorders>
          <w:top w:val="single" w:sz="4" w:space="0" w:color="FFC502" w:themeColor="accent5"/>
          <w:left w:val="single" w:sz="4" w:space="0" w:color="FFC502" w:themeColor="accent5"/>
          <w:bottom w:val="single" w:sz="4" w:space="0" w:color="FFC502" w:themeColor="accent5"/>
          <w:right w:val="single" w:sz="4" w:space="0" w:color="FFC502" w:themeColor="accent5"/>
          <w:insideH w:val="single" w:sz="4" w:space="0" w:color="FFC502" w:themeColor="accent5"/>
          <w:insideV w:val="single" w:sz="4" w:space="0" w:color="FFC502" w:themeColor="accent5"/>
          <w:tl2br w:val="nil"/>
          <w:tr2bl w:val="nil"/>
        </w:tcBorders>
      </w:tcPr>
    </w:tblStylePr>
    <w:tblStylePr w:type="lastRow">
      <w:pPr>
        <w:spacing w:before="0" w:after="0" w:line="240" w:lineRule="auto"/>
      </w:pPr>
      <w:rPr>
        <w:b w:val="0"/>
        <w:bCs/>
      </w:rPr>
      <w:tblPr/>
      <w:tcPr>
        <w:tcBorders>
          <w:top w:val="single" w:sz="4" w:space="0" w:color="FFC502" w:themeColor="accent5"/>
          <w:left w:val="single" w:sz="4" w:space="0" w:color="FFC502" w:themeColor="accent5"/>
          <w:bottom w:val="single" w:sz="4" w:space="0" w:color="FFC502" w:themeColor="accent5"/>
          <w:right w:val="single" w:sz="4" w:space="0" w:color="FFC502" w:themeColor="accent5"/>
          <w:insideH w:val="single" w:sz="4" w:space="0" w:color="FFC502" w:themeColor="accent5"/>
          <w:insideV w:val="single" w:sz="4" w:space="0" w:color="FFC502" w:themeColor="accent5"/>
        </w:tcBorders>
      </w:tcPr>
    </w:tblStylePr>
    <w:tblStylePr w:type="firstCol">
      <w:rPr>
        <w:b w:val="0"/>
        <w:bCs/>
      </w:rPr>
    </w:tblStylePr>
    <w:tblStylePr w:type="lastCol">
      <w:rPr>
        <w:b w:val="0"/>
        <w:bCs/>
      </w:rPr>
    </w:tblStylePr>
  </w:style>
  <w:style w:type="table" w:styleId="LightShading-Accent3">
    <w:name w:val="Light Shading Accent 3"/>
    <w:basedOn w:val="TableNormal"/>
    <w:uiPriority w:val="60"/>
    <w:rsid w:val="00A871F4"/>
    <w:pPr>
      <w:spacing w:before="0"/>
    </w:pPr>
    <w:rPr>
      <w:color w:val="28233D" w:themeColor="accent3" w:themeShade="BF"/>
    </w:rPr>
    <w:tblPr>
      <w:tblStyleRowBandSize w:val="1"/>
      <w:tblStyleColBandSize w:val="1"/>
      <w:tblBorders>
        <w:top w:val="single" w:sz="8" w:space="0" w:color="362F52" w:themeColor="accent3"/>
        <w:bottom w:val="single" w:sz="8" w:space="0" w:color="362F52" w:themeColor="accent3"/>
      </w:tblBorders>
    </w:tblPr>
    <w:tblStylePr w:type="firstRow">
      <w:pPr>
        <w:spacing w:before="0" w:after="0" w:line="240" w:lineRule="auto"/>
      </w:pPr>
      <w:rPr>
        <w:b/>
        <w:bCs/>
      </w:rPr>
      <w:tblPr/>
      <w:tcPr>
        <w:tcBorders>
          <w:top w:val="single" w:sz="8" w:space="0" w:color="362F52" w:themeColor="accent3"/>
          <w:left w:val="nil"/>
          <w:bottom w:val="single" w:sz="8" w:space="0" w:color="362F52" w:themeColor="accent3"/>
          <w:right w:val="nil"/>
          <w:insideH w:val="nil"/>
          <w:insideV w:val="nil"/>
        </w:tcBorders>
      </w:tcPr>
    </w:tblStylePr>
    <w:tblStylePr w:type="lastRow">
      <w:pPr>
        <w:spacing w:before="0" w:after="0" w:line="240" w:lineRule="auto"/>
      </w:pPr>
      <w:rPr>
        <w:b/>
        <w:bCs/>
      </w:rPr>
      <w:tblPr/>
      <w:tcPr>
        <w:tcBorders>
          <w:top w:val="single" w:sz="8" w:space="0" w:color="362F52" w:themeColor="accent3"/>
          <w:left w:val="nil"/>
          <w:bottom w:val="single" w:sz="8" w:space="0" w:color="362F52"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8C3DC" w:themeFill="accent3" w:themeFillTint="3F"/>
      </w:tcPr>
    </w:tblStylePr>
    <w:tblStylePr w:type="band1Horz">
      <w:tblPr/>
      <w:tcPr>
        <w:tcBorders>
          <w:left w:val="nil"/>
          <w:right w:val="nil"/>
          <w:insideH w:val="nil"/>
          <w:insideV w:val="nil"/>
        </w:tcBorders>
        <w:shd w:val="clear" w:color="auto" w:fill="C8C3DC" w:themeFill="accent3" w:themeFillTint="3F"/>
      </w:tcPr>
    </w:tblStylePr>
  </w:style>
  <w:style w:type="table" w:styleId="LightGrid-Accent6">
    <w:name w:val="Light Grid Accent 6"/>
    <w:basedOn w:val="TableNormal"/>
    <w:uiPriority w:val="62"/>
    <w:rsid w:val="00A871F4"/>
    <w:pPr>
      <w:spacing w:before="0"/>
    </w:pPr>
    <w:tblPr>
      <w:tblStyleRowBandSize w:val="1"/>
      <w:tblStyleColBandSize w:val="1"/>
      <w:tblBorders>
        <w:top w:val="single" w:sz="8" w:space="0" w:color="FF7600" w:themeColor="accent6"/>
        <w:left w:val="single" w:sz="8" w:space="0" w:color="FF7600" w:themeColor="accent6"/>
        <w:bottom w:val="single" w:sz="8" w:space="0" w:color="FF7600" w:themeColor="accent6"/>
        <w:right w:val="single" w:sz="8" w:space="0" w:color="FF7600" w:themeColor="accent6"/>
        <w:insideH w:val="single" w:sz="8" w:space="0" w:color="FF7600" w:themeColor="accent6"/>
        <w:insideV w:val="single" w:sz="8" w:space="0" w:color="FF7600"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7600" w:themeColor="accent6"/>
          <w:left w:val="single" w:sz="8" w:space="0" w:color="FF7600" w:themeColor="accent6"/>
          <w:bottom w:val="single" w:sz="18" w:space="0" w:color="FF7600" w:themeColor="accent6"/>
          <w:right w:val="single" w:sz="8" w:space="0" w:color="FF7600" w:themeColor="accent6"/>
          <w:insideH w:val="nil"/>
          <w:insideV w:val="single" w:sz="8" w:space="0" w:color="FF7600"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7600" w:themeColor="accent6"/>
          <w:left w:val="single" w:sz="8" w:space="0" w:color="FF7600" w:themeColor="accent6"/>
          <w:bottom w:val="single" w:sz="8" w:space="0" w:color="FF7600" w:themeColor="accent6"/>
          <w:right w:val="single" w:sz="8" w:space="0" w:color="FF7600" w:themeColor="accent6"/>
          <w:insideH w:val="nil"/>
          <w:insideV w:val="single" w:sz="8" w:space="0" w:color="FF7600"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7600" w:themeColor="accent6"/>
          <w:left w:val="single" w:sz="8" w:space="0" w:color="FF7600" w:themeColor="accent6"/>
          <w:bottom w:val="single" w:sz="8" w:space="0" w:color="FF7600" w:themeColor="accent6"/>
          <w:right w:val="single" w:sz="8" w:space="0" w:color="FF7600" w:themeColor="accent6"/>
        </w:tcBorders>
      </w:tcPr>
    </w:tblStylePr>
    <w:tblStylePr w:type="band1Vert">
      <w:tblPr/>
      <w:tcPr>
        <w:tcBorders>
          <w:top w:val="single" w:sz="8" w:space="0" w:color="FF7600" w:themeColor="accent6"/>
          <w:left w:val="single" w:sz="8" w:space="0" w:color="FF7600" w:themeColor="accent6"/>
          <w:bottom w:val="single" w:sz="8" w:space="0" w:color="FF7600" w:themeColor="accent6"/>
          <w:right w:val="single" w:sz="8" w:space="0" w:color="FF7600" w:themeColor="accent6"/>
        </w:tcBorders>
        <w:shd w:val="clear" w:color="auto" w:fill="FFDDC0" w:themeFill="accent6" w:themeFillTint="3F"/>
      </w:tcPr>
    </w:tblStylePr>
    <w:tblStylePr w:type="band1Horz">
      <w:tblPr/>
      <w:tcPr>
        <w:tcBorders>
          <w:top w:val="single" w:sz="8" w:space="0" w:color="FF7600" w:themeColor="accent6"/>
          <w:left w:val="single" w:sz="8" w:space="0" w:color="FF7600" w:themeColor="accent6"/>
          <w:bottom w:val="single" w:sz="8" w:space="0" w:color="FF7600" w:themeColor="accent6"/>
          <w:right w:val="single" w:sz="8" w:space="0" w:color="FF7600" w:themeColor="accent6"/>
          <w:insideV w:val="single" w:sz="8" w:space="0" w:color="FF7600" w:themeColor="accent6"/>
        </w:tcBorders>
        <w:shd w:val="clear" w:color="auto" w:fill="FFDDC0" w:themeFill="accent6" w:themeFillTint="3F"/>
      </w:tcPr>
    </w:tblStylePr>
    <w:tblStylePr w:type="band2Horz">
      <w:tblPr/>
      <w:tcPr>
        <w:tcBorders>
          <w:top w:val="single" w:sz="8" w:space="0" w:color="FF7600" w:themeColor="accent6"/>
          <w:left w:val="single" w:sz="8" w:space="0" w:color="FF7600" w:themeColor="accent6"/>
          <w:bottom w:val="single" w:sz="8" w:space="0" w:color="FF7600" w:themeColor="accent6"/>
          <w:right w:val="single" w:sz="8" w:space="0" w:color="FF7600" w:themeColor="accent6"/>
          <w:insideV w:val="single" w:sz="8" w:space="0" w:color="FF7600" w:themeColor="accent6"/>
        </w:tcBorders>
      </w:tcPr>
    </w:tblStylePr>
  </w:style>
  <w:style w:type="table" w:styleId="MediumShading1">
    <w:name w:val="Medium Shading 1"/>
    <w:basedOn w:val="TableNormal"/>
    <w:uiPriority w:val="63"/>
    <w:rsid w:val="00A871F4"/>
    <w:pPr>
      <w:spacing w:before="0"/>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A871F4"/>
    <w:pPr>
      <w:spacing w:before="0"/>
    </w:pPr>
    <w:tblPr>
      <w:tblStyleRowBandSize w:val="1"/>
      <w:tblStyleColBandSize w:val="1"/>
      <w:tblBorders>
        <w:top w:val="single" w:sz="8" w:space="0" w:color="6600F2" w:themeColor="accent1" w:themeTint="BF"/>
        <w:left w:val="single" w:sz="8" w:space="0" w:color="6600F2" w:themeColor="accent1" w:themeTint="BF"/>
        <w:bottom w:val="single" w:sz="8" w:space="0" w:color="6600F2" w:themeColor="accent1" w:themeTint="BF"/>
        <w:right w:val="single" w:sz="8" w:space="0" w:color="6600F2" w:themeColor="accent1" w:themeTint="BF"/>
        <w:insideH w:val="single" w:sz="8" w:space="0" w:color="6600F2" w:themeColor="accent1" w:themeTint="BF"/>
      </w:tblBorders>
    </w:tblPr>
    <w:tblStylePr w:type="firstRow">
      <w:pPr>
        <w:spacing w:before="0" w:after="0" w:line="240" w:lineRule="auto"/>
      </w:pPr>
      <w:rPr>
        <w:b/>
        <w:bCs/>
        <w:color w:val="FFFFFF" w:themeColor="background1"/>
      </w:rPr>
      <w:tblPr/>
      <w:tcPr>
        <w:tcBorders>
          <w:top w:val="single" w:sz="8" w:space="0" w:color="6600F2" w:themeColor="accent1" w:themeTint="BF"/>
          <w:left w:val="single" w:sz="8" w:space="0" w:color="6600F2" w:themeColor="accent1" w:themeTint="BF"/>
          <w:bottom w:val="single" w:sz="8" w:space="0" w:color="6600F2" w:themeColor="accent1" w:themeTint="BF"/>
          <w:right w:val="single" w:sz="8" w:space="0" w:color="6600F2" w:themeColor="accent1" w:themeTint="BF"/>
          <w:insideH w:val="nil"/>
          <w:insideV w:val="nil"/>
        </w:tcBorders>
        <w:shd w:val="clear" w:color="auto" w:fill="410099" w:themeFill="accent1"/>
      </w:tcPr>
    </w:tblStylePr>
    <w:tblStylePr w:type="lastRow">
      <w:pPr>
        <w:spacing w:before="0" w:after="0" w:line="240" w:lineRule="auto"/>
      </w:pPr>
      <w:rPr>
        <w:b/>
        <w:bCs/>
      </w:rPr>
      <w:tblPr/>
      <w:tcPr>
        <w:tcBorders>
          <w:top w:val="double" w:sz="6" w:space="0" w:color="6600F2" w:themeColor="accent1" w:themeTint="BF"/>
          <w:left w:val="single" w:sz="8" w:space="0" w:color="6600F2" w:themeColor="accent1" w:themeTint="BF"/>
          <w:bottom w:val="single" w:sz="8" w:space="0" w:color="6600F2" w:themeColor="accent1" w:themeTint="BF"/>
          <w:right w:val="single" w:sz="8" w:space="0" w:color="6600F2" w:themeColor="accent1" w:themeTint="BF"/>
          <w:insideH w:val="nil"/>
          <w:insideV w:val="nil"/>
        </w:tcBorders>
      </w:tcPr>
    </w:tblStylePr>
    <w:tblStylePr w:type="firstCol">
      <w:rPr>
        <w:b/>
        <w:bCs/>
      </w:rPr>
    </w:tblStylePr>
    <w:tblStylePr w:type="lastCol">
      <w:rPr>
        <w:b/>
        <w:bCs/>
      </w:rPr>
    </w:tblStylePr>
    <w:tblStylePr w:type="band1Vert">
      <w:tblPr/>
      <w:tcPr>
        <w:shd w:val="clear" w:color="auto" w:fill="CCA6FF" w:themeFill="accent1" w:themeFillTint="3F"/>
      </w:tcPr>
    </w:tblStylePr>
    <w:tblStylePr w:type="band1Horz">
      <w:tblPr/>
      <w:tcPr>
        <w:tcBorders>
          <w:insideH w:val="nil"/>
          <w:insideV w:val="nil"/>
        </w:tcBorders>
        <w:shd w:val="clear" w:color="auto" w:fill="CCA6FF"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A871F4"/>
    <w:pPr>
      <w:spacing w:before="0"/>
    </w:pPr>
    <w:tblPr>
      <w:tblStyleRowBandSize w:val="1"/>
      <w:tblStyleColBandSize w:val="1"/>
      <w:tblBorders>
        <w:top w:val="single" w:sz="8" w:space="0" w:color="49E6E0" w:themeColor="accent2" w:themeTint="BF"/>
        <w:left w:val="single" w:sz="8" w:space="0" w:color="49E6E0" w:themeColor="accent2" w:themeTint="BF"/>
        <w:bottom w:val="single" w:sz="8" w:space="0" w:color="49E6E0" w:themeColor="accent2" w:themeTint="BF"/>
        <w:right w:val="single" w:sz="8" w:space="0" w:color="49E6E0" w:themeColor="accent2" w:themeTint="BF"/>
        <w:insideH w:val="single" w:sz="8" w:space="0" w:color="49E6E0" w:themeColor="accent2" w:themeTint="BF"/>
      </w:tblBorders>
    </w:tblPr>
    <w:tblStylePr w:type="firstRow">
      <w:pPr>
        <w:spacing w:before="0" w:after="0" w:line="240" w:lineRule="auto"/>
      </w:pPr>
      <w:rPr>
        <w:b/>
        <w:bCs/>
        <w:color w:val="FFFFFF" w:themeColor="background1"/>
      </w:rPr>
      <w:tblPr/>
      <w:tcPr>
        <w:tcBorders>
          <w:top w:val="single" w:sz="8" w:space="0" w:color="49E6E0" w:themeColor="accent2" w:themeTint="BF"/>
          <w:left w:val="single" w:sz="8" w:space="0" w:color="49E6E0" w:themeColor="accent2" w:themeTint="BF"/>
          <w:bottom w:val="single" w:sz="8" w:space="0" w:color="49E6E0" w:themeColor="accent2" w:themeTint="BF"/>
          <w:right w:val="single" w:sz="8" w:space="0" w:color="49E6E0" w:themeColor="accent2" w:themeTint="BF"/>
          <w:insideH w:val="nil"/>
          <w:insideV w:val="nil"/>
        </w:tcBorders>
        <w:shd w:val="clear" w:color="auto" w:fill="1CCFC9" w:themeFill="accent2"/>
      </w:tcPr>
    </w:tblStylePr>
    <w:tblStylePr w:type="lastRow">
      <w:pPr>
        <w:spacing w:before="0" w:after="0" w:line="240" w:lineRule="auto"/>
      </w:pPr>
      <w:rPr>
        <w:b/>
        <w:bCs/>
      </w:rPr>
      <w:tblPr/>
      <w:tcPr>
        <w:tcBorders>
          <w:top w:val="double" w:sz="6" w:space="0" w:color="49E6E0" w:themeColor="accent2" w:themeTint="BF"/>
          <w:left w:val="single" w:sz="8" w:space="0" w:color="49E6E0" w:themeColor="accent2" w:themeTint="BF"/>
          <w:bottom w:val="single" w:sz="8" w:space="0" w:color="49E6E0" w:themeColor="accent2" w:themeTint="BF"/>
          <w:right w:val="single" w:sz="8" w:space="0" w:color="49E6E0" w:themeColor="accent2" w:themeTint="BF"/>
          <w:insideH w:val="nil"/>
          <w:insideV w:val="nil"/>
        </w:tcBorders>
      </w:tcPr>
    </w:tblStylePr>
    <w:tblStylePr w:type="firstCol">
      <w:rPr>
        <w:b/>
        <w:bCs/>
      </w:rPr>
    </w:tblStylePr>
    <w:tblStylePr w:type="lastCol">
      <w:rPr>
        <w:b/>
        <w:bCs/>
      </w:rPr>
    </w:tblStylePr>
    <w:tblStylePr w:type="band1Vert">
      <w:tblPr/>
      <w:tcPr>
        <w:shd w:val="clear" w:color="auto" w:fill="C3F7F5" w:themeFill="accent2" w:themeFillTint="3F"/>
      </w:tcPr>
    </w:tblStylePr>
    <w:tblStylePr w:type="band1Horz">
      <w:tblPr/>
      <w:tcPr>
        <w:tcBorders>
          <w:insideH w:val="nil"/>
          <w:insideV w:val="nil"/>
        </w:tcBorders>
        <w:shd w:val="clear" w:color="auto" w:fill="C3F7F5"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A871F4"/>
    <w:pPr>
      <w:spacing w:before="0"/>
    </w:pPr>
    <w:tblPr>
      <w:tblStyleRowBandSize w:val="1"/>
      <w:tblStyleColBandSize w:val="1"/>
      <w:tblBorders>
        <w:top w:val="single" w:sz="8" w:space="0" w:color="5D518E" w:themeColor="accent3" w:themeTint="BF"/>
        <w:left w:val="single" w:sz="8" w:space="0" w:color="5D518E" w:themeColor="accent3" w:themeTint="BF"/>
        <w:bottom w:val="single" w:sz="8" w:space="0" w:color="5D518E" w:themeColor="accent3" w:themeTint="BF"/>
        <w:right w:val="single" w:sz="8" w:space="0" w:color="5D518E" w:themeColor="accent3" w:themeTint="BF"/>
        <w:insideH w:val="single" w:sz="8" w:space="0" w:color="5D518E" w:themeColor="accent3" w:themeTint="BF"/>
      </w:tblBorders>
    </w:tblPr>
    <w:tblStylePr w:type="firstRow">
      <w:pPr>
        <w:spacing w:before="0" w:after="0" w:line="240" w:lineRule="auto"/>
      </w:pPr>
      <w:rPr>
        <w:b/>
        <w:bCs/>
        <w:color w:val="FFFFFF" w:themeColor="background1"/>
      </w:rPr>
      <w:tblPr/>
      <w:tcPr>
        <w:tcBorders>
          <w:top w:val="single" w:sz="8" w:space="0" w:color="5D518E" w:themeColor="accent3" w:themeTint="BF"/>
          <w:left w:val="single" w:sz="8" w:space="0" w:color="5D518E" w:themeColor="accent3" w:themeTint="BF"/>
          <w:bottom w:val="single" w:sz="8" w:space="0" w:color="5D518E" w:themeColor="accent3" w:themeTint="BF"/>
          <w:right w:val="single" w:sz="8" w:space="0" w:color="5D518E" w:themeColor="accent3" w:themeTint="BF"/>
          <w:insideH w:val="nil"/>
          <w:insideV w:val="nil"/>
        </w:tcBorders>
        <w:shd w:val="clear" w:color="auto" w:fill="362F52" w:themeFill="accent3"/>
      </w:tcPr>
    </w:tblStylePr>
    <w:tblStylePr w:type="lastRow">
      <w:pPr>
        <w:spacing w:before="0" w:after="0" w:line="240" w:lineRule="auto"/>
      </w:pPr>
      <w:rPr>
        <w:b/>
        <w:bCs/>
      </w:rPr>
      <w:tblPr/>
      <w:tcPr>
        <w:tcBorders>
          <w:top w:val="double" w:sz="6" w:space="0" w:color="5D518E" w:themeColor="accent3" w:themeTint="BF"/>
          <w:left w:val="single" w:sz="8" w:space="0" w:color="5D518E" w:themeColor="accent3" w:themeTint="BF"/>
          <w:bottom w:val="single" w:sz="8" w:space="0" w:color="5D518E" w:themeColor="accent3" w:themeTint="BF"/>
          <w:right w:val="single" w:sz="8" w:space="0" w:color="5D518E" w:themeColor="accent3" w:themeTint="BF"/>
          <w:insideH w:val="nil"/>
          <w:insideV w:val="nil"/>
        </w:tcBorders>
      </w:tcPr>
    </w:tblStylePr>
    <w:tblStylePr w:type="firstCol">
      <w:rPr>
        <w:b/>
        <w:bCs/>
      </w:rPr>
    </w:tblStylePr>
    <w:tblStylePr w:type="lastCol">
      <w:rPr>
        <w:b/>
        <w:bCs/>
      </w:rPr>
    </w:tblStylePr>
    <w:tblStylePr w:type="band1Vert">
      <w:tblPr/>
      <w:tcPr>
        <w:shd w:val="clear" w:color="auto" w:fill="C8C3DC" w:themeFill="accent3" w:themeFillTint="3F"/>
      </w:tcPr>
    </w:tblStylePr>
    <w:tblStylePr w:type="band1Horz">
      <w:tblPr/>
      <w:tcPr>
        <w:tcBorders>
          <w:insideH w:val="nil"/>
          <w:insideV w:val="nil"/>
        </w:tcBorders>
        <w:shd w:val="clear" w:color="auto" w:fill="C8C3DC"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A871F4"/>
    <w:pPr>
      <w:spacing w:before="0"/>
    </w:pPr>
    <w:tblPr>
      <w:tblStyleRowBandSize w:val="1"/>
      <w:tblStyleColBandSize w:val="1"/>
      <w:tblBorders>
        <w:top w:val="single" w:sz="8" w:space="0" w:color="A8B5FF" w:themeColor="accent4" w:themeTint="BF"/>
        <w:left w:val="single" w:sz="8" w:space="0" w:color="A8B5FF" w:themeColor="accent4" w:themeTint="BF"/>
        <w:bottom w:val="single" w:sz="8" w:space="0" w:color="A8B5FF" w:themeColor="accent4" w:themeTint="BF"/>
        <w:right w:val="single" w:sz="8" w:space="0" w:color="A8B5FF" w:themeColor="accent4" w:themeTint="BF"/>
        <w:insideH w:val="single" w:sz="8" w:space="0" w:color="A8B5FF" w:themeColor="accent4" w:themeTint="BF"/>
      </w:tblBorders>
    </w:tblPr>
    <w:tblStylePr w:type="firstRow">
      <w:pPr>
        <w:spacing w:before="0" w:after="0" w:line="240" w:lineRule="auto"/>
      </w:pPr>
      <w:rPr>
        <w:b/>
        <w:bCs/>
        <w:color w:val="FFFFFF" w:themeColor="background1"/>
      </w:rPr>
      <w:tblPr/>
      <w:tcPr>
        <w:tcBorders>
          <w:top w:val="single" w:sz="8" w:space="0" w:color="A8B5FF" w:themeColor="accent4" w:themeTint="BF"/>
          <w:left w:val="single" w:sz="8" w:space="0" w:color="A8B5FF" w:themeColor="accent4" w:themeTint="BF"/>
          <w:bottom w:val="single" w:sz="8" w:space="0" w:color="A8B5FF" w:themeColor="accent4" w:themeTint="BF"/>
          <w:right w:val="single" w:sz="8" w:space="0" w:color="A8B5FF" w:themeColor="accent4" w:themeTint="BF"/>
          <w:insideH w:val="nil"/>
          <w:insideV w:val="nil"/>
        </w:tcBorders>
        <w:shd w:val="clear" w:color="auto" w:fill="8B9EFF" w:themeFill="accent4"/>
      </w:tcPr>
    </w:tblStylePr>
    <w:tblStylePr w:type="lastRow">
      <w:pPr>
        <w:spacing w:before="0" w:after="0" w:line="240" w:lineRule="auto"/>
      </w:pPr>
      <w:rPr>
        <w:b/>
        <w:bCs/>
      </w:rPr>
      <w:tblPr/>
      <w:tcPr>
        <w:tcBorders>
          <w:top w:val="double" w:sz="6" w:space="0" w:color="A8B5FF" w:themeColor="accent4" w:themeTint="BF"/>
          <w:left w:val="single" w:sz="8" w:space="0" w:color="A8B5FF" w:themeColor="accent4" w:themeTint="BF"/>
          <w:bottom w:val="single" w:sz="8" w:space="0" w:color="A8B5FF" w:themeColor="accent4" w:themeTint="BF"/>
          <w:right w:val="single" w:sz="8" w:space="0" w:color="A8B5FF" w:themeColor="accent4" w:themeTint="BF"/>
          <w:insideH w:val="nil"/>
          <w:insideV w:val="nil"/>
        </w:tcBorders>
      </w:tcPr>
    </w:tblStylePr>
    <w:tblStylePr w:type="firstCol">
      <w:rPr>
        <w:b/>
        <w:bCs/>
      </w:rPr>
    </w:tblStylePr>
    <w:tblStylePr w:type="lastCol">
      <w:rPr>
        <w:b/>
        <w:bCs/>
      </w:rPr>
    </w:tblStylePr>
    <w:tblStylePr w:type="band1Vert">
      <w:tblPr/>
      <w:tcPr>
        <w:shd w:val="clear" w:color="auto" w:fill="E2E6FF" w:themeFill="accent4" w:themeFillTint="3F"/>
      </w:tcPr>
    </w:tblStylePr>
    <w:tblStylePr w:type="band1Horz">
      <w:tblPr/>
      <w:tcPr>
        <w:tcBorders>
          <w:insideH w:val="nil"/>
          <w:insideV w:val="nil"/>
        </w:tcBorders>
        <w:shd w:val="clear" w:color="auto" w:fill="E2E6FF"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A871F4"/>
    <w:pPr>
      <w:spacing w:before="0"/>
    </w:pPr>
    <w:tblPr>
      <w:tblStyleRowBandSize w:val="1"/>
      <w:tblStyleColBandSize w:val="1"/>
      <w:tblBorders>
        <w:top w:val="single" w:sz="8" w:space="0" w:color="FFD341" w:themeColor="accent5" w:themeTint="BF"/>
        <w:left w:val="single" w:sz="8" w:space="0" w:color="FFD341" w:themeColor="accent5" w:themeTint="BF"/>
        <w:bottom w:val="single" w:sz="8" w:space="0" w:color="FFD341" w:themeColor="accent5" w:themeTint="BF"/>
        <w:right w:val="single" w:sz="8" w:space="0" w:color="FFD341" w:themeColor="accent5" w:themeTint="BF"/>
        <w:insideH w:val="single" w:sz="8" w:space="0" w:color="FFD341" w:themeColor="accent5" w:themeTint="BF"/>
      </w:tblBorders>
    </w:tblPr>
    <w:tblStylePr w:type="firstRow">
      <w:pPr>
        <w:spacing w:before="0" w:after="0" w:line="240" w:lineRule="auto"/>
      </w:pPr>
      <w:rPr>
        <w:b/>
        <w:bCs/>
        <w:color w:val="FFFFFF" w:themeColor="background1"/>
      </w:rPr>
      <w:tblPr/>
      <w:tcPr>
        <w:tcBorders>
          <w:top w:val="single" w:sz="8" w:space="0" w:color="FFD341" w:themeColor="accent5" w:themeTint="BF"/>
          <w:left w:val="single" w:sz="8" w:space="0" w:color="FFD341" w:themeColor="accent5" w:themeTint="BF"/>
          <w:bottom w:val="single" w:sz="8" w:space="0" w:color="FFD341" w:themeColor="accent5" w:themeTint="BF"/>
          <w:right w:val="single" w:sz="8" w:space="0" w:color="FFD341" w:themeColor="accent5" w:themeTint="BF"/>
          <w:insideH w:val="nil"/>
          <w:insideV w:val="nil"/>
        </w:tcBorders>
        <w:shd w:val="clear" w:color="auto" w:fill="FFC502" w:themeFill="accent5"/>
      </w:tcPr>
    </w:tblStylePr>
    <w:tblStylePr w:type="lastRow">
      <w:pPr>
        <w:spacing w:before="0" w:after="0" w:line="240" w:lineRule="auto"/>
      </w:pPr>
      <w:rPr>
        <w:b/>
        <w:bCs/>
      </w:rPr>
      <w:tblPr/>
      <w:tcPr>
        <w:tcBorders>
          <w:top w:val="double" w:sz="6" w:space="0" w:color="FFD341" w:themeColor="accent5" w:themeTint="BF"/>
          <w:left w:val="single" w:sz="8" w:space="0" w:color="FFD341" w:themeColor="accent5" w:themeTint="BF"/>
          <w:bottom w:val="single" w:sz="8" w:space="0" w:color="FFD341" w:themeColor="accent5" w:themeTint="BF"/>
          <w:right w:val="single" w:sz="8" w:space="0" w:color="FFD341" w:themeColor="accent5" w:themeTint="BF"/>
          <w:insideH w:val="nil"/>
          <w:insideV w:val="nil"/>
        </w:tcBorders>
      </w:tcPr>
    </w:tblStylePr>
    <w:tblStylePr w:type="firstCol">
      <w:rPr>
        <w:b/>
        <w:bCs/>
      </w:rPr>
    </w:tblStylePr>
    <w:tblStylePr w:type="lastCol">
      <w:rPr>
        <w:b/>
        <w:bCs/>
      </w:rPr>
    </w:tblStylePr>
    <w:tblStylePr w:type="band1Vert">
      <w:tblPr/>
      <w:tcPr>
        <w:shd w:val="clear" w:color="auto" w:fill="FFF0C0" w:themeFill="accent5" w:themeFillTint="3F"/>
      </w:tcPr>
    </w:tblStylePr>
    <w:tblStylePr w:type="band1Horz">
      <w:tblPr/>
      <w:tcPr>
        <w:tcBorders>
          <w:insideH w:val="nil"/>
          <w:insideV w:val="nil"/>
        </w:tcBorders>
        <w:shd w:val="clear" w:color="auto" w:fill="FFF0C0" w:themeFill="accent5" w:themeFillTint="3F"/>
      </w:tcPr>
    </w:tblStylePr>
    <w:tblStylePr w:type="band2Horz">
      <w:tblPr/>
      <w:tcPr>
        <w:tcBorders>
          <w:insideH w:val="nil"/>
          <w:insideV w:val="nil"/>
        </w:tcBorders>
      </w:tcPr>
    </w:tblStylePr>
  </w:style>
  <w:style w:type="table" w:styleId="LightList">
    <w:name w:val="Light List"/>
    <w:basedOn w:val="TableNormal"/>
    <w:uiPriority w:val="61"/>
    <w:rsid w:val="00A871F4"/>
    <w:pPr>
      <w:spacing w:before="0"/>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Shading-Accent5">
    <w:name w:val="Light Shading Accent 5"/>
    <w:basedOn w:val="TableNormal"/>
    <w:uiPriority w:val="60"/>
    <w:rsid w:val="00A871F4"/>
    <w:pPr>
      <w:spacing w:before="0"/>
    </w:pPr>
    <w:rPr>
      <w:color w:val="C09300" w:themeColor="accent5" w:themeShade="BF"/>
    </w:rPr>
    <w:tblPr>
      <w:tblStyleRowBandSize w:val="1"/>
      <w:tblStyleColBandSize w:val="1"/>
      <w:tblBorders>
        <w:top w:val="single" w:sz="8" w:space="0" w:color="FFC502" w:themeColor="accent5"/>
        <w:bottom w:val="single" w:sz="8" w:space="0" w:color="FFC502" w:themeColor="accent5"/>
      </w:tblBorders>
    </w:tblPr>
    <w:tblStylePr w:type="firstRow">
      <w:pPr>
        <w:spacing w:before="0" w:after="0" w:line="240" w:lineRule="auto"/>
      </w:pPr>
      <w:rPr>
        <w:b/>
        <w:bCs/>
      </w:rPr>
      <w:tblPr/>
      <w:tcPr>
        <w:tcBorders>
          <w:top w:val="single" w:sz="8" w:space="0" w:color="FFC502" w:themeColor="accent5"/>
          <w:left w:val="nil"/>
          <w:bottom w:val="single" w:sz="8" w:space="0" w:color="FFC502" w:themeColor="accent5"/>
          <w:right w:val="nil"/>
          <w:insideH w:val="nil"/>
          <w:insideV w:val="nil"/>
        </w:tcBorders>
      </w:tcPr>
    </w:tblStylePr>
    <w:tblStylePr w:type="lastRow">
      <w:pPr>
        <w:spacing w:before="0" w:after="0" w:line="240" w:lineRule="auto"/>
      </w:pPr>
      <w:rPr>
        <w:b/>
        <w:bCs/>
      </w:rPr>
      <w:tblPr/>
      <w:tcPr>
        <w:tcBorders>
          <w:top w:val="single" w:sz="8" w:space="0" w:color="FFC502" w:themeColor="accent5"/>
          <w:left w:val="nil"/>
          <w:bottom w:val="single" w:sz="8" w:space="0" w:color="FFC502"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F0C0" w:themeFill="accent5" w:themeFillTint="3F"/>
      </w:tcPr>
    </w:tblStylePr>
    <w:tblStylePr w:type="band1Horz">
      <w:tblPr/>
      <w:tcPr>
        <w:tcBorders>
          <w:left w:val="nil"/>
          <w:right w:val="nil"/>
          <w:insideH w:val="nil"/>
          <w:insideV w:val="nil"/>
        </w:tcBorders>
        <w:shd w:val="clear" w:color="auto" w:fill="FFF0C0" w:themeFill="accent5" w:themeFillTint="3F"/>
      </w:tcPr>
    </w:tblStylePr>
  </w:style>
  <w:style w:type="table" w:styleId="LightGrid-Accent3">
    <w:name w:val="Light Grid Accent 3"/>
    <w:basedOn w:val="TableNormal"/>
    <w:uiPriority w:val="62"/>
    <w:rsid w:val="00A871F4"/>
    <w:pPr>
      <w:spacing w:before="0"/>
    </w:pPr>
    <w:tblPr>
      <w:tblStyleRowBandSize w:val="1"/>
      <w:tblStyleColBandSize w:val="1"/>
      <w:tblBorders>
        <w:top w:val="single" w:sz="8" w:space="0" w:color="362F52" w:themeColor="accent3"/>
        <w:left w:val="single" w:sz="8" w:space="0" w:color="362F52" w:themeColor="accent3"/>
        <w:bottom w:val="single" w:sz="8" w:space="0" w:color="362F52" w:themeColor="accent3"/>
        <w:right w:val="single" w:sz="8" w:space="0" w:color="362F52" w:themeColor="accent3"/>
        <w:insideH w:val="single" w:sz="8" w:space="0" w:color="362F52" w:themeColor="accent3"/>
        <w:insideV w:val="single" w:sz="8" w:space="0" w:color="362F52"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362F52" w:themeColor="accent3"/>
          <w:left w:val="single" w:sz="8" w:space="0" w:color="362F52" w:themeColor="accent3"/>
          <w:bottom w:val="single" w:sz="18" w:space="0" w:color="362F52" w:themeColor="accent3"/>
          <w:right w:val="single" w:sz="8" w:space="0" w:color="362F52" w:themeColor="accent3"/>
          <w:insideH w:val="nil"/>
          <w:insideV w:val="single" w:sz="8" w:space="0" w:color="362F52"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362F52" w:themeColor="accent3"/>
          <w:left w:val="single" w:sz="8" w:space="0" w:color="362F52" w:themeColor="accent3"/>
          <w:bottom w:val="single" w:sz="8" w:space="0" w:color="362F52" w:themeColor="accent3"/>
          <w:right w:val="single" w:sz="8" w:space="0" w:color="362F52" w:themeColor="accent3"/>
          <w:insideH w:val="nil"/>
          <w:insideV w:val="single" w:sz="8" w:space="0" w:color="362F52"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362F52" w:themeColor="accent3"/>
          <w:left w:val="single" w:sz="8" w:space="0" w:color="362F52" w:themeColor="accent3"/>
          <w:bottom w:val="single" w:sz="8" w:space="0" w:color="362F52" w:themeColor="accent3"/>
          <w:right w:val="single" w:sz="8" w:space="0" w:color="362F52" w:themeColor="accent3"/>
        </w:tcBorders>
      </w:tcPr>
    </w:tblStylePr>
    <w:tblStylePr w:type="band1Vert">
      <w:tblPr/>
      <w:tcPr>
        <w:tcBorders>
          <w:top w:val="single" w:sz="8" w:space="0" w:color="362F52" w:themeColor="accent3"/>
          <w:left w:val="single" w:sz="8" w:space="0" w:color="362F52" w:themeColor="accent3"/>
          <w:bottom w:val="single" w:sz="8" w:space="0" w:color="362F52" w:themeColor="accent3"/>
          <w:right w:val="single" w:sz="8" w:space="0" w:color="362F52" w:themeColor="accent3"/>
        </w:tcBorders>
        <w:shd w:val="clear" w:color="auto" w:fill="C8C3DC" w:themeFill="accent3" w:themeFillTint="3F"/>
      </w:tcPr>
    </w:tblStylePr>
    <w:tblStylePr w:type="band1Horz">
      <w:tblPr/>
      <w:tcPr>
        <w:tcBorders>
          <w:top w:val="single" w:sz="8" w:space="0" w:color="362F52" w:themeColor="accent3"/>
          <w:left w:val="single" w:sz="8" w:space="0" w:color="362F52" w:themeColor="accent3"/>
          <w:bottom w:val="single" w:sz="8" w:space="0" w:color="362F52" w:themeColor="accent3"/>
          <w:right w:val="single" w:sz="8" w:space="0" w:color="362F52" w:themeColor="accent3"/>
          <w:insideV w:val="single" w:sz="8" w:space="0" w:color="362F52" w:themeColor="accent3"/>
        </w:tcBorders>
        <w:shd w:val="clear" w:color="auto" w:fill="C8C3DC" w:themeFill="accent3" w:themeFillTint="3F"/>
      </w:tcPr>
    </w:tblStylePr>
    <w:tblStylePr w:type="band2Horz">
      <w:tblPr/>
      <w:tcPr>
        <w:tcBorders>
          <w:top w:val="single" w:sz="8" w:space="0" w:color="362F52" w:themeColor="accent3"/>
          <w:left w:val="single" w:sz="8" w:space="0" w:color="362F52" w:themeColor="accent3"/>
          <w:bottom w:val="single" w:sz="8" w:space="0" w:color="362F52" w:themeColor="accent3"/>
          <w:right w:val="single" w:sz="8" w:space="0" w:color="362F52" w:themeColor="accent3"/>
          <w:insideV w:val="single" w:sz="8" w:space="0" w:color="362F52" w:themeColor="accent3"/>
        </w:tcBorders>
      </w:tcPr>
    </w:tblStylePr>
  </w:style>
  <w:style w:type="paragraph" w:styleId="Bibliography">
    <w:name w:val="Bibliography"/>
    <w:basedOn w:val="Normal"/>
    <w:next w:val="Normal"/>
    <w:uiPriority w:val="37"/>
    <w:semiHidden/>
    <w:rsid w:val="00EE28F3"/>
  </w:style>
  <w:style w:type="paragraph" w:styleId="BodyText3">
    <w:name w:val="Body Text 3"/>
    <w:basedOn w:val="Normal"/>
    <w:link w:val="BodyText3Char"/>
    <w:uiPriority w:val="99"/>
    <w:semiHidden/>
    <w:unhideWhenUsed/>
    <w:rsid w:val="005C26CC"/>
    <w:pPr>
      <w:spacing w:after="120"/>
    </w:pPr>
    <w:rPr>
      <w:szCs w:val="16"/>
    </w:rPr>
  </w:style>
  <w:style w:type="character" w:customStyle="1" w:styleId="BodyText3Char">
    <w:name w:val="Body Text 3 Char"/>
    <w:basedOn w:val="DefaultParagraphFont"/>
    <w:link w:val="BodyText3"/>
    <w:uiPriority w:val="99"/>
    <w:semiHidden/>
    <w:rsid w:val="005C26CC"/>
    <w:rPr>
      <w:rFonts w:ascii="Arial" w:hAnsi="Arial"/>
      <w:szCs w:val="16"/>
    </w:rPr>
  </w:style>
  <w:style w:type="paragraph" w:styleId="TOC1">
    <w:name w:val="toc 1"/>
    <w:basedOn w:val="Normal"/>
    <w:next w:val="Normal"/>
    <w:autoRedefine/>
    <w:uiPriority w:val="39"/>
    <w:qFormat/>
    <w:rsid w:val="009F4940"/>
    <w:pPr>
      <w:tabs>
        <w:tab w:val="left" w:pos="426"/>
        <w:tab w:val="right" w:leader="dot" w:pos="9016"/>
      </w:tabs>
      <w:spacing w:after="100"/>
    </w:pPr>
    <w:rPr>
      <w:noProof/>
      <w:lang w:val="en-US" w:eastAsia="ja-JP"/>
    </w:rPr>
  </w:style>
  <w:style w:type="paragraph" w:styleId="TOC2">
    <w:name w:val="toc 2"/>
    <w:basedOn w:val="Normal"/>
    <w:next w:val="Normal"/>
    <w:uiPriority w:val="39"/>
    <w:qFormat/>
    <w:rsid w:val="009F4940"/>
    <w:pPr>
      <w:tabs>
        <w:tab w:val="left" w:pos="880"/>
        <w:tab w:val="right" w:leader="dot" w:pos="9016"/>
      </w:tabs>
      <w:spacing w:after="100"/>
      <w:ind w:left="425"/>
    </w:pPr>
    <w:rPr>
      <w:noProof/>
    </w:rPr>
  </w:style>
  <w:style w:type="paragraph" w:styleId="TOC3">
    <w:name w:val="toc 3"/>
    <w:basedOn w:val="Normal"/>
    <w:next w:val="Normal"/>
    <w:uiPriority w:val="39"/>
    <w:qFormat/>
    <w:rsid w:val="009F4940"/>
    <w:pPr>
      <w:tabs>
        <w:tab w:val="left" w:pos="1760"/>
        <w:tab w:val="right" w:leader="dot" w:pos="9016"/>
      </w:tabs>
      <w:spacing w:after="100"/>
      <w:ind w:left="851"/>
    </w:pPr>
    <w:rPr>
      <w:noProof/>
    </w:rPr>
  </w:style>
  <w:style w:type="paragraph" w:styleId="Title">
    <w:name w:val="Title"/>
    <w:basedOn w:val="Normal"/>
    <w:next w:val="Normal"/>
    <w:link w:val="TitleChar"/>
    <w:uiPriority w:val="10"/>
    <w:qFormat/>
    <w:rsid w:val="00E370FD"/>
    <w:pPr>
      <w:spacing w:before="720" w:after="120"/>
      <w:contextualSpacing/>
      <w:outlineLvl w:val="0"/>
    </w:pPr>
    <w:rPr>
      <w:rFonts w:ascii="Palatino Linotype" w:eastAsiaTheme="majorEastAsia" w:hAnsi="Palatino Linotype" w:cstheme="majorBidi"/>
      <w:color w:val="410099" w:themeColor="accent1"/>
      <w:spacing w:val="5"/>
      <w:kern w:val="28"/>
      <w:sz w:val="72"/>
      <w:szCs w:val="52"/>
    </w:rPr>
  </w:style>
  <w:style w:type="character" w:customStyle="1" w:styleId="TitleChar">
    <w:name w:val="Title Char"/>
    <w:basedOn w:val="DefaultParagraphFont"/>
    <w:link w:val="Title"/>
    <w:uiPriority w:val="10"/>
    <w:rsid w:val="00E370FD"/>
    <w:rPr>
      <w:rFonts w:ascii="Palatino Linotype" w:eastAsiaTheme="majorEastAsia" w:hAnsi="Palatino Linotype" w:cstheme="majorBidi"/>
      <w:color w:val="410099" w:themeColor="accent1"/>
      <w:spacing w:val="5"/>
      <w:kern w:val="28"/>
      <w:sz w:val="72"/>
      <w:szCs w:val="52"/>
    </w:rPr>
  </w:style>
  <w:style w:type="paragraph" w:customStyle="1" w:styleId="CoverDate">
    <w:name w:val="Cover Date"/>
    <w:rsid w:val="00E370FD"/>
    <w:rPr>
      <w:rFonts w:ascii="Palatino Linotype" w:hAnsi="Palatino Linotype"/>
      <w:color w:val="362F52" w:themeColor="accent3"/>
      <w:sz w:val="24"/>
      <w:szCs w:val="24"/>
    </w:rPr>
  </w:style>
  <w:style w:type="character" w:styleId="BookTitle">
    <w:name w:val="Book Title"/>
    <w:uiPriority w:val="33"/>
    <w:rsid w:val="0081034E"/>
    <w:rPr>
      <w:rFonts w:ascii="Arial" w:hAnsi="Arial"/>
      <w:bCs/>
      <w:i/>
      <w:caps w:val="0"/>
      <w:smallCaps w:val="0"/>
      <w:spacing w:val="0"/>
      <w:sz w:val="22"/>
    </w:rPr>
  </w:style>
  <w:style w:type="table" w:styleId="LightList-Accent1">
    <w:name w:val="Light List Accent 1"/>
    <w:basedOn w:val="TableNormal"/>
    <w:uiPriority w:val="61"/>
    <w:rsid w:val="0081034E"/>
    <w:pPr>
      <w:spacing w:before="0"/>
    </w:pPr>
    <w:tblPr>
      <w:tblStyleRowBandSize w:val="1"/>
      <w:tblStyleColBandSize w:val="1"/>
      <w:tblBorders>
        <w:top w:val="single" w:sz="8" w:space="0" w:color="410099" w:themeColor="accent1"/>
        <w:left w:val="single" w:sz="8" w:space="0" w:color="410099" w:themeColor="accent1"/>
        <w:bottom w:val="single" w:sz="8" w:space="0" w:color="410099" w:themeColor="accent1"/>
        <w:right w:val="single" w:sz="8" w:space="0" w:color="410099" w:themeColor="accent1"/>
      </w:tblBorders>
    </w:tblPr>
    <w:tblStylePr w:type="firstRow">
      <w:pPr>
        <w:spacing w:before="0" w:after="0" w:line="240" w:lineRule="auto"/>
      </w:pPr>
      <w:rPr>
        <w:b/>
        <w:bCs/>
        <w:color w:val="FFFFFF" w:themeColor="background1"/>
      </w:rPr>
      <w:tblPr/>
      <w:tcPr>
        <w:shd w:val="clear" w:color="auto" w:fill="410099" w:themeFill="accent1"/>
      </w:tcPr>
    </w:tblStylePr>
    <w:tblStylePr w:type="lastRow">
      <w:pPr>
        <w:spacing w:before="0" w:after="0" w:line="240" w:lineRule="auto"/>
      </w:pPr>
      <w:rPr>
        <w:b/>
        <w:bCs/>
      </w:rPr>
      <w:tblPr/>
      <w:tcPr>
        <w:tcBorders>
          <w:top w:val="double" w:sz="6" w:space="0" w:color="410099" w:themeColor="accent1"/>
          <w:left w:val="single" w:sz="8" w:space="0" w:color="410099" w:themeColor="accent1"/>
          <w:bottom w:val="single" w:sz="8" w:space="0" w:color="410099" w:themeColor="accent1"/>
          <w:right w:val="single" w:sz="8" w:space="0" w:color="410099" w:themeColor="accent1"/>
        </w:tcBorders>
      </w:tcPr>
    </w:tblStylePr>
    <w:tblStylePr w:type="firstCol">
      <w:rPr>
        <w:b/>
        <w:bCs/>
      </w:rPr>
    </w:tblStylePr>
    <w:tblStylePr w:type="lastCol">
      <w:rPr>
        <w:b/>
        <w:bCs/>
      </w:rPr>
    </w:tblStylePr>
    <w:tblStylePr w:type="band1Vert">
      <w:tblPr/>
      <w:tcPr>
        <w:tcBorders>
          <w:top w:val="single" w:sz="8" w:space="0" w:color="410099" w:themeColor="accent1"/>
          <w:left w:val="single" w:sz="8" w:space="0" w:color="410099" w:themeColor="accent1"/>
          <w:bottom w:val="single" w:sz="8" w:space="0" w:color="410099" w:themeColor="accent1"/>
          <w:right w:val="single" w:sz="8" w:space="0" w:color="410099" w:themeColor="accent1"/>
        </w:tcBorders>
      </w:tcPr>
    </w:tblStylePr>
    <w:tblStylePr w:type="band1Horz">
      <w:tblPr/>
      <w:tcPr>
        <w:tcBorders>
          <w:top w:val="single" w:sz="8" w:space="0" w:color="410099" w:themeColor="accent1"/>
          <w:left w:val="single" w:sz="8" w:space="0" w:color="410099" w:themeColor="accent1"/>
          <w:bottom w:val="single" w:sz="8" w:space="0" w:color="410099" w:themeColor="accent1"/>
          <w:right w:val="single" w:sz="8" w:space="0" w:color="410099" w:themeColor="accent1"/>
        </w:tcBorders>
      </w:tcPr>
    </w:tblStylePr>
  </w:style>
  <w:style w:type="table" w:styleId="LightList-Accent3">
    <w:name w:val="Light List Accent 3"/>
    <w:basedOn w:val="TableNormal"/>
    <w:uiPriority w:val="61"/>
    <w:rsid w:val="0081034E"/>
    <w:pPr>
      <w:spacing w:before="0"/>
    </w:pPr>
    <w:tblPr>
      <w:tblStyleRowBandSize w:val="1"/>
      <w:tblStyleColBandSize w:val="1"/>
      <w:tblBorders>
        <w:top w:val="single" w:sz="8" w:space="0" w:color="362F52" w:themeColor="accent3"/>
        <w:left w:val="single" w:sz="8" w:space="0" w:color="362F52" w:themeColor="accent3"/>
        <w:bottom w:val="single" w:sz="8" w:space="0" w:color="362F52" w:themeColor="accent3"/>
        <w:right w:val="single" w:sz="8" w:space="0" w:color="362F52" w:themeColor="accent3"/>
      </w:tblBorders>
    </w:tblPr>
    <w:tblStylePr w:type="firstRow">
      <w:pPr>
        <w:spacing w:before="0" w:after="0" w:line="240" w:lineRule="auto"/>
      </w:pPr>
      <w:rPr>
        <w:b/>
        <w:bCs/>
        <w:color w:val="FFFFFF" w:themeColor="background1"/>
      </w:rPr>
      <w:tblPr/>
      <w:tcPr>
        <w:shd w:val="clear" w:color="auto" w:fill="362F52" w:themeFill="accent3"/>
      </w:tcPr>
    </w:tblStylePr>
    <w:tblStylePr w:type="lastRow">
      <w:pPr>
        <w:spacing w:before="0" w:after="0" w:line="240" w:lineRule="auto"/>
      </w:pPr>
      <w:rPr>
        <w:b/>
        <w:bCs/>
      </w:rPr>
      <w:tblPr/>
      <w:tcPr>
        <w:tcBorders>
          <w:top w:val="double" w:sz="6" w:space="0" w:color="362F52" w:themeColor="accent3"/>
          <w:left w:val="single" w:sz="8" w:space="0" w:color="362F52" w:themeColor="accent3"/>
          <w:bottom w:val="single" w:sz="8" w:space="0" w:color="362F52" w:themeColor="accent3"/>
          <w:right w:val="single" w:sz="8" w:space="0" w:color="362F52" w:themeColor="accent3"/>
        </w:tcBorders>
      </w:tcPr>
    </w:tblStylePr>
    <w:tblStylePr w:type="firstCol">
      <w:rPr>
        <w:b/>
        <w:bCs/>
      </w:rPr>
    </w:tblStylePr>
    <w:tblStylePr w:type="lastCol">
      <w:rPr>
        <w:b/>
        <w:bCs/>
      </w:rPr>
    </w:tblStylePr>
    <w:tblStylePr w:type="band1Vert">
      <w:tblPr/>
      <w:tcPr>
        <w:tcBorders>
          <w:top w:val="single" w:sz="8" w:space="0" w:color="362F52" w:themeColor="accent3"/>
          <w:left w:val="single" w:sz="8" w:space="0" w:color="362F52" w:themeColor="accent3"/>
          <w:bottom w:val="single" w:sz="8" w:space="0" w:color="362F52" w:themeColor="accent3"/>
          <w:right w:val="single" w:sz="8" w:space="0" w:color="362F52" w:themeColor="accent3"/>
        </w:tcBorders>
      </w:tcPr>
    </w:tblStylePr>
    <w:tblStylePr w:type="band1Horz">
      <w:tblPr/>
      <w:tcPr>
        <w:tcBorders>
          <w:top w:val="single" w:sz="8" w:space="0" w:color="362F52" w:themeColor="accent3"/>
          <w:left w:val="single" w:sz="8" w:space="0" w:color="362F52" w:themeColor="accent3"/>
          <w:bottom w:val="single" w:sz="8" w:space="0" w:color="362F52" w:themeColor="accent3"/>
          <w:right w:val="single" w:sz="8" w:space="0" w:color="362F52" w:themeColor="accent3"/>
        </w:tcBorders>
      </w:tcPr>
    </w:tblStylePr>
  </w:style>
  <w:style w:type="table" w:styleId="LightList-Accent5">
    <w:name w:val="Light List Accent 5"/>
    <w:basedOn w:val="TableNormal"/>
    <w:uiPriority w:val="61"/>
    <w:rsid w:val="005B1E3C"/>
    <w:pPr>
      <w:spacing w:before="0"/>
    </w:pPr>
    <w:tblPr>
      <w:tblStyleRowBandSize w:val="1"/>
      <w:tblStyleColBandSize w:val="1"/>
      <w:tblBorders>
        <w:top w:val="single" w:sz="8" w:space="0" w:color="FFC502" w:themeColor="accent5"/>
        <w:left w:val="single" w:sz="8" w:space="0" w:color="FFC502" w:themeColor="accent5"/>
        <w:bottom w:val="single" w:sz="8" w:space="0" w:color="FFC502" w:themeColor="accent5"/>
        <w:right w:val="single" w:sz="8" w:space="0" w:color="FFC502" w:themeColor="accent5"/>
      </w:tblBorders>
    </w:tblPr>
    <w:tblStylePr w:type="firstRow">
      <w:pPr>
        <w:spacing w:before="0" w:after="0" w:line="240" w:lineRule="auto"/>
      </w:pPr>
      <w:rPr>
        <w:b/>
        <w:bCs/>
        <w:color w:val="auto"/>
      </w:rPr>
      <w:tblPr/>
      <w:tcPr>
        <w:shd w:val="clear" w:color="auto" w:fill="FFC502" w:themeFill="accent5"/>
      </w:tcPr>
    </w:tblStylePr>
    <w:tblStylePr w:type="lastRow">
      <w:pPr>
        <w:spacing w:before="0" w:after="0" w:line="240" w:lineRule="auto"/>
      </w:pPr>
      <w:rPr>
        <w:b/>
        <w:bCs/>
      </w:rPr>
      <w:tblPr/>
      <w:tcPr>
        <w:tcBorders>
          <w:top w:val="double" w:sz="6" w:space="0" w:color="FFC502" w:themeColor="accent5"/>
          <w:left w:val="single" w:sz="8" w:space="0" w:color="FFC502" w:themeColor="accent5"/>
          <w:bottom w:val="single" w:sz="8" w:space="0" w:color="FFC502" w:themeColor="accent5"/>
          <w:right w:val="single" w:sz="8" w:space="0" w:color="FFC502" w:themeColor="accent5"/>
        </w:tcBorders>
      </w:tcPr>
    </w:tblStylePr>
    <w:tblStylePr w:type="firstCol">
      <w:rPr>
        <w:b/>
        <w:bCs/>
      </w:rPr>
    </w:tblStylePr>
    <w:tblStylePr w:type="lastCol">
      <w:rPr>
        <w:b/>
        <w:bCs/>
      </w:rPr>
    </w:tblStylePr>
    <w:tblStylePr w:type="band1Vert">
      <w:tblPr/>
      <w:tcPr>
        <w:tcBorders>
          <w:top w:val="single" w:sz="8" w:space="0" w:color="FFC502" w:themeColor="accent5"/>
          <w:left w:val="single" w:sz="8" w:space="0" w:color="FFC502" w:themeColor="accent5"/>
          <w:bottom w:val="single" w:sz="8" w:space="0" w:color="FFC502" w:themeColor="accent5"/>
          <w:right w:val="single" w:sz="8" w:space="0" w:color="FFC502" w:themeColor="accent5"/>
        </w:tcBorders>
      </w:tcPr>
    </w:tblStylePr>
    <w:tblStylePr w:type="band1Horz">
      <w:tblPr/>
      <w:tcPr>
        <w:tcBorders>
          <w:top w:val="single" w:sz="8" w:space="0" w:color="FFC502" w:themeColor="accent5"/>
          <w:left w:val="single" w:sz="8" w:space="0" w:color="FFC502" w:themeColor="accent5"/>
          <w:bottom w:val="single" w:sz="8" w:space="0" w:color="FFC502" w:themeColor="accent5"/>
          <w:right w:val="single" w:sz="8" w:space="0" w:color="FFC502" w:themeColor="accent5"/>
        </w:tcBorders>
      </w:tcPr>
    </w:tblStylePr>
  </w:style>
  <w:style w:type="character" w:styleId="Emphasis">
    <w:name w:val="Emphasis"/>
    <w:basedOn w:val="DefaultParagraphFont"/>
    <w:uiPriority w:val="20"/>
    <w:qFormat/>
    <w:rsid w:val="00701CAB"/>
    <w:rPr>
      <w:i/>
      <w:iCs/>
    </w:rPr>
  </w:style>
  <w:style w:type="paragraph" w:styleId="NormalIndent">
    <w:name w:val="Normal Indent"/>
    <w:basedOn w:val="Normal"/>
    <w:uiPriority w:val="1"/>
    <w:rsid w:val="00085663"/>
    <w:pPr>
      <w:ind w:left="720"/>
    </w:pPr>
  </w:style>
  <w:style w:type="paragraph" w:styleId="FootnoteText">
    <w:name w:val="footnote text"/>
    <w:basedOn w:val="Normal"/>
    <w:link w:val="FootnoteTextChar"/>
    <w:rsid w:val="00D73D5F"/>
    <w:pPr>
      <w:tabs>
        <w:tab w:val="left" w:pos="340"/>
      </w:tabs>
      <w:spacing w:before="60"/>
      <w:ind w:left="340" w:hanging="340"/>
    </w:pPr>
    <w:rPr>
      <w:sz w:val="16"/>
      <w:szCs w:val="20"/>
    </w:rPr>
  </w:style>
  <w:style w:type="character" w:customStyle="1" w:styleId="FootnoteTextChar">
    <w:name w:val="Footnote Text Char"/>
    <w:basedOn w:val="DefaultParagraphFont"/>
    <w:link w:val="FootnoteText"/>
    <w:rsid w:val="00D73D5F"/>
    <w:rPr>
      <w:rFonts w:ascii="Arial" w:hAnsi="Arial"/>
      <w:sz w:val="16"/>
      <w:szCs w:val="20"/>
    </w:rPr>
  </w:style>
  <w:style w:type="character" w:styleId="FootnoteReference">
    <w:name w:val="footnote reference"/>
    <w:basedOn w:val="DefaultParagraphFont"/>
    <w:semiHidden/>
    <w:unhideWhenUsed/>
    <w:rsid w:val="00701CAB"/>
    <w:rPr>
      <w:vertAlign w:val="superscript"/>
    </w:rPr>
  </w:style>
  <w:style w:type="character" w:styleId="Strong">
    <w:name w:val="Strong"/>
    <w:basedOn w:val="DefaultParagraphFont"/>
    <w:uiPriority w:val="22"/>
    <w:qFormat/>
    <w:rsid w:val="00EF5110"/>
    <w:rPr>
      <w:b/>
      <w:bCs/>
    </w:rPr>
  </w:style>
  <w:style w:type="paragraph" w:styleId="Subtitle">
    <w:name w:val="Subtitle"/>
    <w:next w:val="Normal"/>
    <w:link w:val="SubtitleChar"/>
    <w:uiPriority w:val="11"/>
    <w:qFormat/>
    <w:rsid w:val="00E370FD"/>
    <w:pPr>
      <w:spacing w:before="360" w:after="120"/>
    </w:pPr>
    <w:rPr>
      <w:rFonts w:ascii="Palatino Linotype" w:hAnsi="Palatino Linotype"/>
      <w:color w:val="410099" w:themeColor="accent1"/>
      <w:sz w:val="52"/>
      <w:szCs w:val="52"/>
    </w:rPr>
  </w:style>
  <w:style w:type="character" w:customStyle="1" w:styleId="SubtitleChar">
    <w:name w:val="Subtitle Char"/>
    <w:basedOn w:val="DefaultParagraphFont"/>
    <w:link w:val="Subtitle"/>
    <w:uiPriority w:val="11"/>
    <w:rsid w:val="00E370FD"/>
    <w:rPr>
      <w:rFonts w:ascii="Palatino Linotype" w:hAnsi="Palatino Linotype"/>
      <w:color w:val="410099" w:themeColor="accent1"/>
      <w:sz w:val="52"/>
      <w:szCs w:val="52"/>
    </w:rPr>
  </w:style>
  <w:style w:type="table" w:styleId="LightShading-Accent4">
    <w:name w:val="Light Shading Accent 4"/>
    <w:basedOn w:val="TableNormal"/>
    <w:uiPriority w:val="60"/>
    <w:rsid w:val="00746E01"/>
    <w:pPr>
      <w:spacing w:before="0"/>
    </w:pPr>
    <w:rPr>
      <w:color w:val="284AFF" w:themeColor="accent4" w:themeShade="BF"/>
    </w:rPr>
    <w:tblPr>
      <w:tblStyleRowBandSize w:val="1"/>
      <w:tblStyleColBandSize w:val="1"/>
      <w:tblBorders>
        <w:top w:val="single" w:sz="8" w:space="0" w:color="8B9EFF" w:themeColor="accent4"/>
        <w:bottom w:val="single" w:sz="8" w:space="0" w:color="8B9EFF" w:themeColor="accent4"/>
      </w:tblBorders>
    </w:tblPr>
    <w:tblStylePr w:type="firstRow">
      <w:pPr>
        <w:spacing w:before="0" w:after="0" w:line="240" w:lineRule="auto"/>
      </w:pPr>
      <w:rPr>
        <w:b/>
        <w:bCs/>
      </w:rPr>
      <w:tblPr/>
      <w:tcPr>
        <w:tcBorders>
          <w:top w:val="single" w:sz="8" w:space="0" w:color="8B9EFF" w:themeColor="accent4"/>
          <w:left w:val="nil"/>
          <w:bottom w:val="single" w:sz="8" w:space="0" w:color="8B9EFF" w:themeColor="accent4"/>
          <w:right w:val="nil"/>
          <w:insideH w:val="nil"/>
          <w:insideV w:val="nil"/>
        </w:tcBorders>
      </w:tcPr>
    </w:tblStylePr>
    <w:tblStylePr w:type="lastRow">
      <w:pPr>
        <w:spacing w:before="0" w:after="0" w:line="240" w:lineRule="auto"/>
      </w:pPr>
      <w:rPr>
        <w:b/>
        <w:bCs/>
      </w:rPr>
      <w:tblPr/>
      <w:tcPr>
        <w:tcBorders>
          <w:top w:val="single" w:sz="8" w:space="0" w:color="8B9EFF" w:themeColor="accent4"/>
          <w:left w:val="nil"/>
          <w:bottom w:val="single" w:sz="8" w:space="0" w:color="8B9EFF"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2E6FF" w:themeFill="accent4" w:themeFillTint="3F"/>
      </w:tcPr>
    </w:tblStylePr>
    <w:tblStylePr w:type="band1Horz">
      <w:tblPr/>
      <w:tcPr>
        <w:tcBorders>
          <w:left w:val="nil"/>
          <w:right w:val="nil"/>
          <w:insideH w:val="nil"/>
          <w:insideV w:val="nil"/>
        </w:tcBorders>
        <w:shd w:val="clear" w:color="auto" w:fill="E2E6FF" w:themeFill="accent4" w:themeFillTint="3F"/>
      </w:tcPr>
    </w:tblStylePr>
  </w:style>
  <w:style w:type="table" w:styleId="LightShading-Accent6">
    <w:name w:val="Light Shading Accent 6"/>
    <w:basedOn w:val="TableNormal"/>
    <w:uiPriority w:val="60"/>
    <w:rsid w:val="00746E01"/>
    <w:pPr>
      <w:spacing w:before="0"/>
    </w:pPr>
    <w:rPr>
      <w:color w:val="BF5800" w:themeColor="accent6" w:themeShade="BF"/>
    </w:rPr>
    <w:tblPr>
      <w:tblStyleRowBandSize w:val="1"/>
      <w:tblStyleColBandSize w:val="1"/>
      <w:tblBorders>
        <w:top w:val="single" w:sz="8" w:space="0" w:color="FF7600" w:themeColor="accent6"/>
        <w:bottom w:val="single" w:sz="8" w:space="0" w:color="FF7600" w:themeColor="accent6"/>
      </w:tblBorders>
    </w:tblPr>
    <w:tblStylePr w:type="firstRow">
      <w:pPr>
        <w:spacing w:before="0" w:after="0" w:line="240" w:lineRule="auto"/>
      </w:pPr>
      <w:rPr>
        <w:b/>
        <w:bCs/>
      </w:rPr>
      <w:tblPr/>
      <w:tcPr>
        <w:tcBorders>
          <w:top w:val="single" w:sz="8" w:space="0" w:color="FF7600" w:themeColor="accent6"/>
          <w:left w:val="nil"/>
          <w:bottom w:val="single" w:sz="8" w:space="0" w:color="FF7600" w:themeColor="accent6"/>
          <w:right w:val="nil"/>
          <w:insideH w:val="nil"/>
          <w:insideV w:val="nil"/>
        </w:tcBorders>
      </w:tcPr>
    </w:tblStylePr>
    <w:tblStylePr w:type="lastRow">
      <w:pPr>
        <w:spacing w:before="0" w:after="0" w:line="240" w:lineRule="auto"/>
      </w:pPr>
      <w:rPr>
        <w:b/>
        <w:bCs/>
      </w:rPr>
      <w:tblPr/>
      <w:tcPr>
        <w:tcBorders>
          <w:top w:val="single" w:sz="8" w:space="0" w:color="FF7600" w:themeColor="accent6"/>
          <w:left w:val="nil"/>
          <w:bottom w:val="single" w:sz="8" w:space="0" w:color="FF7600"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DDC0" w:themeFill="accent6" w:themeFillTint="3F"/>
      </w:tcPr>
    </w:tblStylePr>
    <w:tblStylePr w:type="band1Horz">
      <w:tblPr/>
      <w:tcPr>
        <w:tcBorders>
          <w:left w:val="nil"/>
          <w:right w:val="nil"/>
          <w:insideH w:val="nil"/>
          <w:insideV w:val="nil"/>
        </w:tcBorders>
        <w:shd w:val="clear" w:color="auto" w:fill="FFDDC0" w:themeFill="accent6" w:themeFillTint="3F"/>
      </w:tcPr>
    </w:tblStylePr>
  </w:style>
  <w:style w:type="paragraph" w:styleId="TOC4">
    <w:name w:val="toc 4"/>
    <w:basedOn w:val="Normal"/>
    <w:next w:val="Normal"/>
    <w:uiPriority w:val="39"/>
    <w:rsid w:val="009F4940"/>
    <w:pPr>
      <w:tabs>
        <w:tab w:val="right" w:leader="dot" w:pos="9016"/>
      </w:tabs>
      <w:spacing w:after="100"/>
      <w:ind w:left="1276"/>
    </w:pPr>
    <w:rPr>
      <w:noProof/>
    </w:rPr>
  </w:style>
  <w:style w:type="paragraph" w:styleId="TOC5">
    <w:name w:val="toc 5"/>
    <w:basedOn w:val="Normal"/>
    <w:next w:val="Normal"/>
    <w:uiPriority w:val="39"/>
    <w:rsid w:val="009F4940"/>
    <w:pPr>
      <w:tabs>
        <w:tab w:val="right" w:leader="dot" w:pos="9016"/>
      </w:tabs>
      <w:spacing w:after="100"/>
      <w:ind w:left="1701"/>
    </w:pPr>
    <w:rPr>
      <w:noProof/>
    </w:rPr>
  </w:style>
  <w:style w:type="paragraph" w:styleId="TOC6">
    <w:name w:val="toc 6"/>
    <w:basedOn w:val="Normal"/>
    <w:next w:val="Normal"/>
    <w:uiPriority w:val="39"/>
    <w:rsid w:val="009F4940"/>
    <w:pPr>
      <w:tabs>
        <w:tab w:val="right" w:leader="dot" w:pos="9016"/>
      </w:tabs>
      <w:spacing w:after="100"/>
      <w:ind w:left="2127"/>
    </w:pPr>
    <w:rPr>
      <w:noProof/>
    </w:rPr>
  </w:style>
  <w:style w:type="paragraph" w:styleId="TOC7">
    <w:name w:val="toc 7"/>
    <w:basedOn w:val="Normal"/>
    <w:next w:val="Normal"/>
    <w:uiPriority w:val="39"/>
    <w:rsid w:val="009F4940"/>
    <w:pPr>
      <w:tabs>
        <w:tab w:val="right" w:leader="dot" w:pos="9016"/>
      </w:tabs>
      <w:spacing w:after="100"/>
      <w:ind w:left="2552"/>
    </w:pPr>
    <w:rPr>
      <w:noProof/>
    </w:rPr>
  </w:style>
  <w:style w:type="paragraph" w:styleId="TableofAuthorities">
    <w:name w:val="table of authorities"/>
    <w:basedOn w:val="Normal"/>
    <w:next w:val="Normal"/>
    <w:uiPriority w:val="99"/>
    <w:unhideWhenUsed/>
    <w:rsid w:val="00B60F5D"/>
    <w:pPr>
      <w:ind w:left="220" w:hanging="220"/>
    </w:pPr>
  </w:style>
  <w:style w:type="table" w:customStyle="1" w:styleId="LightShading1">
    <w:name w:val="Light Shading1"/>
    <w:basedOn w:val="TableNormal"/>
    <w:next w:val="LightShading"/>
    <w:uiPriority w:val="60"/>
    <w:rsid w:val="00C53B5A"/>
    <w:pPr>
      <w:spacing w:before="120" w:after="120"/>
    </w:pPr>
    <w:rPr>
      <w:color w:val="000000" w:themeColor="text1" w:themeShade="BF"/>
      <w:sz w:val="20"/>
    </w:rPr>
    <w:tblPr>
      <w:tblBorders>
        <w:top w:val="single" w:sz="4" w:space="0" w:color="D5D6D2" w:themeColor="background2"/>
        <w:bottom w:val="single" w:sz="4" w:space="0" w:color="D5D6D2" w:themeColor="background2"/>
        <w:insideH w:val="single" w:sz="4" w:space="0" w:color="D5D6D2" w:themeColor="background2"/>
      </w:tblBorders>
    </w:tblPr>
    <w:tcPr>
      <w:shd w:val="clear" w:color="auto" w:fill="auto"/>
    </w:tcPr>
    <w:tblStylePr w:type="firstRow">
      <w:pPr>
        <w:wordWrap/>
        <w:spacing w:beforeLines="0" w:before="120" w:beforeAutospacing="0" w:afterLines="0" w:after="120" w:afterAutospacing="0" w:line="240" w:lineRule="auto"/>
      </w:pPr>
      <w:rPr>
        <w:rFonts w:ascii="Arial" w:hAnsi="Arial"/>
        <w:b/>
        <w:bCs/>
        <w:sz w:val="20"/>
      </w:rPr>
      <w:tblPr/>
      <w:tcPr>
        <w:tcBorders>
          <w:top w:val="single" w:sz="8" w:space="0" w:color="000000" w:themeColor="text1"/>
          <w:left w:val="nil"/>
          <w:bottom w:val="single" w:sz="8" w:space="0" w:color="000000" w:themeColor="text1"/>
          <w:right w:val="nil"/>
          <w:insideH w:val="nil"/>
          <w:insideV w:val="nil"/>
        </w:tcBorders>
        <w:shd w:val="clear" w:color="auto" w:fill="auto"/>
      </w:tcPr>
    </w:tblStylePr>
    <w:tblStylePr w:type="lastRow">
      <w:pPr>
        <w:wordWrap/>
        <w:spacing w:beforeLines="0" w:before="120" w:beforeAutospacing="0" w:afterLines="0" w:after="120" w:afterAutospacing="0" w:line="240" w:lineRule="auto"/>
      </w:pPr>
      <w:rPr>
        <w:rFonts w:ascii="Arial" w:hAnsi="Arial"/>
        <w:b/>
        <w:bCs/>
        <w:sz w:val="20"/>
      </w:rPr>
      <w:tblPr/>
      <w:tcPr>
        <w:tcBorders>
          <w:top w:val="single" w:sz="8" w:space="0" w:color="000000" w:themeColor="text1"/>
          <w:left w:val="nil"/>
          <w:bottom w:val="single" w:sz="8" w:space="0" w:color="000000" w:themeColor="text1"/>
          <w:right w:val="nil"/>
          <w:insideH w:val="nil"/>
          <w:insideV w:val="nil"/>
        </w:tcBorders>
        <w:vAlign w:val="center"/>
      </w:tcPr>
    </w:tblStylePr>
    <w:tblStylePr w:type="firstCol">
      <w:rPr>
        <w:b/>
        <w:bCs/>
        <w:sz w:val="20"/>
      </w:rPr>
    </w:tblStylePr>
    <w:tblStylePr w:type="lastCol">
      <w:rPr>
        <w:b/>
        <w:bCs/>
      </w:rPr>
    </w:tblStylePr>
  </w:style>
  <w:style w:type="table" w:styleId="LightList-Accent2">
    <w:name w:val="Light List Accent 2"/>
    <w:basedOn w:val="TableNormal"/>
    <w:uiPriority w:val="61"/>
    <w:rsid w:val="009661DE"/>
    <w:pPr>
      <w:spacing w:before="0"/>
    </w:pPr>
    <w:tblPr>
      <w:tblStyleRowBandSize w:val="1"/>
      <w:tblStyleColBandSize w:val="1"/>
      <w:tblBorders>
        <w:top w:val="single" w:sz="8" w:space="0" w:color="1CCFC9" w:themeColor="accent2"/>
        <w:left w:val="single" w:sz="8" w:space="0" w:color="1CCFC9" w:themeColor="accent2"/>
        <w:bottom w:val="single" w:sz="8" w:space="0" w:color="1CCFC9" w:themeColor="accent2"/>
        <w:right w:val="single" w:sz="8" w:space="0" w:color="1CCFC9" w:themeColor="accent2"/>
      </w:tblBorders>
    </w:tblPr>
    <w:tblStylePr w:type="firstRow">
      <w:pPr>
        <w:spacing w:before="0" w:after="0" w:line="240" w:lineRule="auto"/>
      </w:pPr>
      <w:rPr>
        <w:b/>
        <w:bCs/>
        <w:color w:val="FFFFFF" w:themeColor="background1"/>
      </w:rPr>
      <w:tblPr/>
      <w:tcPr>
        <w:shd w:val="clear" w:color="auto" w:fill="1CCFC9" w:themeFill="accent2"/>
      </w:tcPr>
    </w:tblStylePr>
    <w:tblStylePr w:type="lastRow">
      <w:pPr>
        <w:spacing w:before="0" w:after="0" w:line="240" w:lineRule="auto"/>
      </w:pPr>
      <w:rPr>
        <w:b/>
        <w:bCs/>
      </w:rPr>
      <w:tblPr/>
      <w:tcPr>
        <w:tcBorders>
          <w:top w:val="double" w:sz="6" w:space="0" w:color="1CCFC9" w:themeColor="accent2"/>
          <w:left w:val="single" w:sz="8" w:space="0" w:color="1CCFC9" w:themeColor="accent2"/>
          <w:bottom w:val="single" w:sz="8" w:space="0" w:color="1CCFC9" w:themeColor="accent2"/>
          <w:right w:val="single" w:sz="8" w:space="0" w:color="1CCFC9" w:themeColor="accent2"/>
        </w:tcBorders>
      </w:tcPr>
    </w:tblStylePr>
    <w:tblStylePr w:type="firstCol">
      <w:rPr>
        <w:b/>
        <w:bCs/>
      </w:rPr>
    </w:tblStylePr>
    <w:tblStylePr w:type="lastCol">
      <w:rPr>
        <w:b/>
        <w:bCs/>
      </w:rPr>
    </w:tblStylePr>
    <w:tblStylePr w:type="band1Vert">
      <w:tblPr/>
      <w:tcPr>
        <w:tcBorders>
          <w:top w:val="single" w:sz="8" w:space="0" w:color="1CCFC9" w:themeColor="accent2"/>
          <w:left w:val="single" w:sz="8" w:space="0" w:color="1CCFC9" w:themeColor="accent2"/>
          <w:bottom w:val="single" w:sz="8" w:space="0" w:color="1CCFC9" w:themeColor="accent2"/>
          <w:right w:val="single" w:sz="8" w:space="0" w:color="1CCFC9" w:themeColor="accent2"/>
        </w:tcBorders>
      </w:tcPr>
    </w:tblStylePr>
    <w:tblStylePr w:type="band1Horz">
      <w:tblPr/>
      <w:tcPr>
        <w:tcBorders>
          <w:top w:val="single" w:sz="8" w:space="0" w:color="1CCFC9" w:themeColor="accent2"/>
          <w:left w:val="single" w:sz="8" w:space="0" w:color="1CCFC9" w:themeColor="accent2"/>
          <w:bottom w:val="single" w:sz="8" w:space="0" w:color="1CCFC9" w:themeColor="accent2"/>
          <w:right w:val="single" w:sz="8" w:space="0" w:color="1CCFC9" w:themeColor="accent2"/>
        </w:tcBorders>
      </w:tcPr>
    </w:tblStylePr>
  </w:style>
  <w:style w:type="table" w:styleId="LightList-Accent4">
    <w:name w:val="Light List Accent 4"/>
    <w:basedOn w:val="TableNormal"/>
    <w:uiPriority w:val="61"/>
    <w:rsid w:val="009661DE"/>
    <w:pPr>
      <w:spacing w:before="0"/>
    </w:pPr>
    <w:tblPr>
      <w:tblStyleRowBandSize w:val="1"/>
      <w:tblStyleColBandSize w:val="1"/>
      <w:tblBorders>
        <w:top w:val="single" w:sz="8" w:space="0" w:color="8B9EFF" w:themeColor="accent4"/>
        <w:left w:val="single" w:sz="8" w:space="0" w:color="8B9EFF" w:themeColor="accent4"/>
        <w:bottom w:val="single" w:sz="8" w:space="0" w:color="8B9EFF" w:themeColor="accent4"/>
        <w:right w:val="single" w:sz="8" w:space="0" w:color="8B9EFF" w:themeColor="accent4"/>
      </w:tblBorders>
    </w:tblPr>
    <w:tblStylePr w:type="firstRow">
      <w:pPr>
        <w:spacing w:before="0" w:after="0" w:line="240" w:lineRule="auto"/>
      </w:pPr>
      <w:rPr>
        <w:b/>
        <w:bCs/>
        <w:color w:val="FFFFFF" w:themeColor="background1"/>
      </w:rPr>
      <w:tblPr/>
      <w:tcPr>
        <w:shd w:val="clear" w:color="auto" w:fill="8B9EFF" w:themeFill="accent4"/>
      </w:tcPr>
    </w:tblStylePr>
    <w:tblStylePr w:type="lastRow">
      <w:pPr>
        <w:spacing w:before="0" w:after="0" w:line="240" w:lineRule="auto"/>
      </w:pPr>
      <w:rPr>
        <w:b/>
        <w:bCs/>
      </w:rPr>
      <w:tblPr/>
      <w:tcPr>
        <w:tcBorders>
          <w:top w:val="double" w:sz="6" w:space="0" w:color="8B9EFF" w:themeColor="accent4"/>
          <w:left w:val="single" w:sz="8" w:space="0" w:color="8B9EFF" w:themeColor="accent4"/>
          <w:bottom w:val="single" w:sz="8" w:space="0" w:color="8B9EFF" w:themeColor="accent4"/>
          <w:right w:val="single" w:sz="8" w:space="0" w:color="8B9EFF" w:themeColor="accent4"/>
        </w:tcBorders>
      </w:tcPr>
    </w:tblStylePr>
    <w:tblStylePr w:type="firstCol">
      <w:rPr>
        <w:b/>
        <w:bCs/>
      </w:rPr>
    </w:tblStylePr>
    <w:tblStylePr w:type="lastCol">
      <w:rPr>
        <w:b/>
        <w:bCs/>
      </w:rPr>
    </w:tblStylePr>
    <w:tblStylePr w:type="band1Vert">
      <w:tblPr/>
      <w:tcPr>
        <w:tcBorders>
          <w:top w:val="single" w:sz="8" w:space="0" w:color="8B9EFF" w:themeColor="accent4"/>
          <w:left w:val="single" w:sz="8" w:space="0" w:color="8B9EFF" w:themeColor="accent4"/>
          <w:bottom w:val="single" w:sz="8" w:space="0" w:color="8B9EFF" w:themeColor="accent4"/>
          <w:right w:val="single" w:sz="8" w:space="0" w:color="8B9EFF" w:themeColor="accent4"/>
        </w:tcBorders>
      </w:tcPr>
    </w:tblStylePr>
    <w:tblStylePr w:type="band1Horz">
      <w:tblPr/>
      <w:tcPr>
        <w:tcBorders>
          <w:top w:val="single" w:sz="8" w:space="0" w:color="8B9EFF" w:themeColor="accent4"/>
          <w:left w:val="single" w:sz="8" w:space="0" w:color="8B9EFF" w:themeColor="accent4"/>
          <w:bottom w:val="single" w:sz="8" w:space="0" w:color="8B9EFF" w:themeColor="accent4"/>
          <w:right w:val="single" w:sz="8" w:space="0" w:color="8B9EFF" w:themeColor="accent4"/>
        </w:tcBorders>
      </w:tcPr>
    </w:tblStylePr>
  </w:style>
  <w:style w:type="table" w:styleId="LightList-Accent6">
    <w:name w:val="Light List Accent 6"/>
    <w:basedOn w:val="TableNormal"/>
    <w:uiPriority w:val="61"/>
    <w:rsid w:val="009661DE"/>
    <w:pPr>
      <w:spacing w:before="0"/>
    </w:pPr>
    <w:tblPr>
      <w:tblStyleRowBandSize w:val="1"/>
      <w:tblStyleColBandSize w:val="1"/>
      <w:tblBorders>
        <w:top w:val="single" w:sz="8" w:space="0" w:color="FF7600" w:themeColor="accent6"/>
        <w:left w:val="single" w:sz="8" w:space="0" w:color="FF7600" w:themeColor="accent6"/>
        <w:bottom w:val="single" w:sz="8" w:space="0" w:color="FF7600" w:themeColor="accent6"/>
        <w:right w:val="single" w:sz="8" w:space="0" w:color="FF7600" w:themeColor="accent6"/>
      </w:tblBorders>
    </w:tblPr>
    <w:tblStylePr w:type="firstRow">
      <w:pPr>
        <w:spacing w:before="0" w:after="0" w:line="240" w:lineRule="auto"/>
      </w:pPr>
      <w:rPr>
        <w:b/>
        <w:bCs/>
        <w:color w:val="FFFFFF" w:themeColor="background1"/>
      </w:rPr>
      <w:tblPr/>
      <w:tcPr>
        <w:shd w:val="clear" w:color="auto" w:fill="FF7600" w:themeFill="accent6"/>
      </w:tcPr>
    </w:tblStylePr>
    <w:tblStylePr w:type="lastRow">
      <w:pPr>
        <w:spacing w:before="0" w:after="0" w:line="240" w:lineRule="auto"/>
      </w:pPr>
      <w:rPr>
        <w:b/>
        <w:bCs/>
      </w:rPr>
      <w:tblPr/>
      <w:tcPr>
        <w:tcBorders>
          <w:top w:val="double" w:sz="6" w:space="0" w:color="FF7600" w:themeColor="accent6"/>
          <w:left w:val="single" w:sz="8" w:space="0" w:color="FF7600" w:themeColor="accent6"/>
          <w:bottom w:val="single" w:sz="8" w:space="0" w:color="FF7600" w:themeColor="accent6"/>
          <w:right w:val="single" w:sz="8" w:space="0" w:color="FF7600" w:themeColor="accent6"/>
        </w:tcBorders>
      </w:tcPr>
    </w:tblStylePr>
    <w:tblStylePr w:type="firstCol">
      <w:rPr>
        <w:b/>
        <w:bCs/>
      </w:rPr>
    </w:tblStylePr>
    <w:tblStylePr w:type="lastCol">
      <w:rPr>
        <w:b/>
        <w:bCs/>
      </w:rPr>
    </w:tblStylePr>
    <w:tblStylePr w:type="band1Vert">
      <w:tblPr/>
      <w:tcPr>
        <w:tcBorders>
          <w:top w:val="single" w:sz="8" w:space="0" w:color="FF7600" w:themeColor="accent6"/>
          <w:left w:val="single" w:sz="8" w:space="0" w:color="FF7600" w:themeColor="accent6"/>
          <w:bottom w:val="single" w:sz="8" w:space="0" w:color="FF7600" w:themeColor="accent6"/>
          <w:right w:val="single" w:sz="8" w:space="0" w:color="FF7600" w:themeColor="accent6"/>
        </w:tcBorders>
      </w:tcPr>
    </w:tblStylePr>
    <w:tblStylePr w:type="band1Horz">
      <w:tblPr/>
      <w:tcPr>
        <w:tcBorders>
          <w:top w:val="single" w:sz="8" w:space="0" w:color="FF7600" w:themeColor="accent6"/>
          <w:left w:val="single" w:sz="8" w:space="0" w:color="FF7600" w:themeColor="accent6"/>
          <w:bottom w:val="single" w:sz="8" w:space="0" w:color="FF7600" w:themeColor="accent6"/>
          <w:right w:val="single" w:sz="8" w:space="0" w:color="FF7600" w:themeColor="accent6"/>
        </w:tcBorders>
      </w:tcPr>
    </w:tblStylePr>
  </w:style>
  <w:style w:type="table" w:styleId="LightGrid">
    <w:name w:val="Light Grid"/>
    <w:basedOn w:val="TableNormal"/>
    <w:uiPriority w:val="62"/>
    <w:rsid w:val="009661DE"/>
    <w:pPr>
      <w:spacing w:before="0"/>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9661DE"/>
    <w:pPr>
      <w:spacing w:before="0"/>
    </w:pPr>
    <w:tblPr>
      <w:tblStyleRowBandSize w:val="1"/>
      <w:tblStyleColBandSize w:val="1"/>
      <w:tblBorders>
        <w:top w:val="single" w:sz="8" w:space="0" w:color="410099" w:themeColor="accent1"/>
        <w:left w:val="single" w:sz="8" w:space="0" w:color="410099" w:themeColor="accent1"/>
        <w:bottom w:val="single" w:sz="8" w:space="0" w:color="410099" w:themeColor="accent1"/>
        <w:right w:val="single" w:sz="8" w:space="0" w:color="410099" w:themeColor="accent1"/>
        <w:insideH w:val="single" w:sz="8" w:space="0" w:color="410099" w:themeColor="accent1"/>
        <w:insideV w:val="single" w:sz="8" w:space="0" w:color="410099"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10099" w:themeColor="accent1"/>
          <w:left w:val="single" w:sz="8" w:space="0" w:color="410099" w:themeColor="accent1"/>
          <w:bottom w:val="single" w:sz="18" w:space="0" w:color="410099" w:themeColor="accent1"/>
          <w:right w:val="single" w:sz="8" w:space="0" w:color="410099" w:themeColor="accent1"/>
          <w:insideH w:val="nil"/>
          <w:insideV w:val="single" w:sz="8" w:space="0" w:color="410099"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10099" w:themeColor="accent1"/>
          <w:left w:val="single" w:sz="8" w:space="0" w:color="410099" w:themeColor="accent1"/>
          <w:bottom w:val="single" w:sz="8" w:space="0" w:color="410099" w:themeColor="accent1"/>
          <w:right w:val="single" w:sz="8" w:space="0" w:color="410099" w:themeColor="accent1"/>
          <w:insideH w:val="nil"/>
          <w:insideV w:val="single" w:sz="8" w:space="0" w:color="410099"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10099" w:themeColor="accent1"/>
          <w:left w:val="single" w:sz="8" w:space="0" w:color="410099" w:themeColor="accent1"/>
          <w:bottom w:val="single" w:sz="8" w:space="0" w:color="410099" w:themeColor="accent1"/>
          <w:right w:val="single" w:sz="8" w:space="0" w:color="410099" w:themeColor="accent1"/>
        </w:tcBorders>
      </w:tcPr>
    </w:tblStylePr>
    <w:tblStylePr w:type="band1Vert">
      <w:tblPr/>
      <w:tcPr>
        <w:tcBorders>
          <w:top w:val="single" w:sz="8" w:space="0" w:color="410099" w:themeColor="accent1"/>
          <w:left w:val="single" w:sz="8" w:space="0" w:color="410099" w:themeColor="accent1"/>
          <w:bottom w:val="single" w:sz="8" w:space="0" w:color="410099" w:themeColor="accent1"/>
          <w:right w:val="single" w:sz="8" w:space="0" w:color="410099" w:themeColor="accent1"/>
        </w:tcBorders>
        <w:shd w:val="clear" w:color="auto" w:fill="CCA6FF" w:themeFill="accent1" w:themeFillTint="3F"/>
      </w:tcPr>
    </w:tblStylePr>
    <w:tblStylePr w:type="band1Horz">
      <w:tblPr/>
      <w:tcPr>
        <w:tcBorders>
          <w:top w:val="single" w:sz="8" w:space="0" w:color="410099" w:themeColor="accent1"/>
          <w:left w:val="single" w:sz="8" w:space="0" w:color="410099" w:themeColor="accent1"/>
          <w:bottom w:val="single" w:sz="8" w:space="0" w:color="410099" w:themeColor="accent1"/>
          <w:right w:val="single" w:sz="8" w:space="0" w:color="410099" w:themeColor="accent1"/>
          <w:insideV w:val="single" w:sz="8" w:space="0" w:color="410099" w:themeColor="accent1"/>
        </w:tcBorders>
        <w:shd w:val="clear" w:color="auto" w:fill="CCA6FF" w:themeFill="accent1" w:themeFillTint="3F"/>
      </w:tcPr>
    </w:tblStylePr>
    <w:tblStylePr w:type="band2Horz">
      <w:tblPr/>
      <w:tcPr>
        <w:tcBorders>
          <w:top w:val="single" w:sz="8" w:space="0" w:color="410099" w:themeColor="accent1"/>
          <w:left w:val="single" w:sz="8" w:space="0" w:color="410099" w:themeColor="accent1"/>
          <w:bottom w:val="single" w:sz="8" w:space="0" w:color="410099" w:themeColor="accent1"/>
          <w:right w:val="single" w:sz="8" w:space="0" w:color="410099" w:themeColor="accent1"/>
          <w:insideV w:val="single" w:sz="8" w:space="0" w:color="410099" w:themeColor="accent1"/>
        </w:tcBorders>
      </w:tcPr>
    </w:tblStylePr>
  </w:style>
  <w:style w:type="table" w:styleId="LightGrid-Accent2">
    <w:name w:val="Light Grid Accent 2"/>
    <w:basedOn w:val="TableNormal"/>
    <w:uiPriority w:val="62"/>
    <w:rsid w:val="009661DE"/>
    <w:pPr>
      <w:spacing w:before="0"/>
    </w:pPr>
    <w:tblPr>
      <w:tblStyleRowBandSize w:val="1"/>
      <w:tblStyleColBandSize w:val="1"/>
      <w:tblBorders>
        <w:top w:val="single" w:sz="8" w:space="0" w:color="1CCFC9" w:themeColor="accent2"/>
        <w:left w:val="single" w:sz="8" w:space="0" w:color="1CCFC9" w:themeColor="accent2"/>
        <w:bottom w:val="single" w:sz="8" w:space="0" w:color="1CCFC9" w:themeColor="accent2"/>
        <w:right w:val="single" w:sz="8" w:space="0" w:color="1CCFC9" w:themeColor="accent2"/>
        <w:insideH w:val="single" w:sz="8" w:space="0" w:color="1CCFC9" w:themeColor="accent2"/>
        <w:insideV w:val="single" w:sz="8" w:space="0" w:color="1CCFC9"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CCFC9" w:themeColor="accent2"/>
          <w:left w:val="single" w:sz="8" w:space="0" w:color="1CCFC9" w:themeColor="accent2"/>
          <w:bottom w:val="single" w:sz="18" w:space="0" w:color="1CCFC9" w:themeColor="accent2"/>
          <w:right w:val="single" w:sz="8" w:space="0" w:color="1CCFC9" w:themeColor="accent2"/>
          <w:insideH w:val="nil"/>
          <w:insideV w:val="single" w:sz="8" w:space="0" w:color="1CCFC9"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CCFC9" w:themeColor="accent2"/>
          <w:left w:val="single" w:sz="8" w:space="0" w:color="1CCFC9" w:themeColor="accent2"/>
          <w:bottom w:val="single" w:sz="8" w:space="0" w:color="1CCFC9" w:themeColor="accent2"/>
          <w:right w:val="single" w:sz="8" w:space="0" w:color="1CCFC9" w:themeColor="accent2"/>
          <w:insideH w:val="nil"/>
          <w:insideV w:val="single" w:sz="8" w:space="0" w:color="1CCFC9"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CCFC9" w:themeColor="accent2"/>
          <w:left w:val="single" w:sz="8" w:space="0" w:color="1CCFC9" w:themeColor="accent2"/>
          <w:bottom w:val="single" w:sz="8" w:space="0" w:color="1CCFC9" w:themeColor="accent2"/>
          <w:right w:val="single" w:sz="8" w:space="0" w:color="1CCFC9" w:themeColor="accent2"/>
        </w:tcBorders>
      </w:tcPr>
    </w:tblStylePr>
    <w:tblStylePr w:type="band1Vert">
      <w:tblPr/>
      <w:tcPr>
        <w:tcBorders>
          <w:top w:val="single" w:sz="8" w:space="0" w:color="1CCFC9" w:themeColor="accent2"/>
          <w:left w:val="single" w:sz="8" w:space="0" w:color="1CCFC9" w:themeColor="accent2"/>
          <w:bottom w:val="single" w:sz="8" w:space="0" w:color="1CCFC9" w:themeColor="accent2"/>
          <w:right w:val="single" w:sz="8" w:space="0" w:color="1CCFC9" w:themeColor="accent2"/>
        </w:tcBorders>
        <w:shd w:val="clear" w:color="auto" w:fill="C3F7F5" w:themeFill="accent2" w:themeFillTint="3F"/>
      </w:tcPr>
    </w:tblStylePr>
    <w:tblStylePr w:type="band1Horz">
      <w:tblPr/>
      <w:tcPr>
        <w:tcBorders>
          <w:top w:val="single" w:sz="8" w:space="0" w:color="1CCFC9" w:themeColor="accent2"/>
          <w:left w:val="single" w:sz="8" w:space="0" w:color="1CCFC9" w:themeColor="accent2"/>
          <w:bottom w:val="single" w:sz="8" w:space="0" w:color="1CCFC9" w:themeColor="accent2"/>
          <w:right w:val="single" w:sz="8" w:space="0" w:color="1CCFC9" w:themeColor="accent2"/>
          <w:insideV w:val="single" w:sz="8" w:space="0" w:color="1CCFC9" w:themeColor="accent2"/>
        </w:tcBorders>
        <w:shd w:val="clear" w:color="auto" w:fill="C3F7F5" w:themeFill="accent2" w:themeFillTint="3F"/>
      </w:tcPr>
    </w:tblStylePr>
    <w:tblStylePr w:type="band2Horz">
      <w:tblPr/>
      <w:tcPr>
        <w:tcBorders>
          <w:top w:val="single" w:sz="8" w:space="0" w:color="1CCFC9" w:themeColor="accent2"/>
          <w:left w:val="single" w:sz="8" w:space="0" w:color="1CCFC9" w:themeColor="accent2"/>
          <w:bottom w:val="single" w:sz="8" w:space="0" w:color="1CCFC9" w:themeColor="accent2"/>
          <w:right w:val="single" w:sz="8" w:space="0" w:color="1CCFC9" w:themeColor="accent2"/>
          <w:insideV w:val="single" w:sz="8" w:space="0" w:color="1CCFC9" w:themeColor="accent2"/>
        </w:tcBorders>
      </w:tcPr>
    </w:tblStylePr>
  </w:style>
  <w:style w:type="table" w:styleId="LightGrid-Accent4">
    <w:name w:val="Light Grid Accent 4"/>
    <w:basedOn w:val="TableNormal"/>
    <w:uiPriority w:val="62"/>
    <w:rsid w:val="009661DE"/>
    <w:pPr>
      <w:spacing w:before="0"/>
    </w:pPr>
    <w:tblPr>
      <w:tblStyleRowBandSize w:val="1"/>
      <w:tblStyleColBandSize w:val="1"/>
      <w:tblBorders>
        <w:top w:val="single" w:sz="8" w:space="0" w:color="8B9EFF" w:themeColor="accent4"/>
        <w:left w:val="single" w:sz="8" w:space="0" w:color="8B9EFF" w:themeColor="accent4"/>
        <w:bottom w:val="single" w:sz="8" w:space="0" w:color="8B9EFF" w:themeColor="accent4"/>
        <w:right w:val="single" w:sz="8" w:space="0" w:color="8B9EFF" w:themeColor="accent4"/>
        <w:insideH w:val="single" w:sz="8" w:space="0" w:color="8B9EFF" w:themeColor="accent4"/>
        <w:insideV w:val="single" w:sz="8" w:space="0" w:color="8B9EFF"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B9EFF" w:themeColor="accent4"/>
          <w:left w:val="single" w:sz="8" w:space="0" w:color="8B9EFF" w:themeColor="accent4"/>
          <w:bottom w:val="single" w:sz="18" w:space="0" w:color="8B9EFF" w:themeColor="accent4"/>
          <w:right w:val="single" w:sz="8" w:space="0" w:color="8B9EFF" w:themeColor="accent4"/>
          <w:insideH w:val="nil"/>
          <w:insideV w:val="single" w:sz="8" w:space="0" w:color="8B9EFF"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B9EFF" w:themeColor="accent4"/>
          <w:left w:val="single" w:sz="8" w:space="0" w:color="8B9EFF" w:themeColor="accent4"/>
          <w:bottom w:val="single" w:sz="8" w:space="0" w:color="8B9EFF" w:themeColor="accent4"/>
          <w:right w:val="single" w:sz="8" w:space="0" w:color="8B9EFF" w:themeColor="accent4"/>
          <w:insideH w:val="nil"/>
          <w:insideV w:val="single" w:sz="8" w:space="0" w:color="8B9EFF"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B9EFF" w:themeColor="accent4"/>
          <w:left w:val="single" w:sz="8" w:space="0" w:color="8B9EFF" w:themeColor="accent4"/>
          <w:bottom w:val="single" w:sz="8" w:space="0" w:color="8B9EFF" w:themeColor="accent4"/>
          <w:right w:val="single" w:sz="8" w:space="0" w:color="8B9EFF" w:themeColor="accent4"/>
        </w:tcBorders>
      </w:tcPr>
    </w:tblStylePr>
    <w:tblStylePr w:type="band1Vert">
      <w:tblPr/>
      <w:tcPr>
        <w:tcBorders>
          <w:top w:val="single" w:sz="8" w:space="0" w:color="8B9EFF" w:themeColor="accent4"/>
          <w:left w:val="single" w:sz="8" w:space="0" w:color="8B9EFF" w:themeColor="accent4"/>
          <w:bottom w:val="single" w:sz="8" w:space="0" w:color="8B9EFF" w:themeColor="accent4"/>
          <w:right w:val="single" w:sz="8" w:space="0" w:color="8B9EFF" w:themeColor="accent4"/>
        </w:tcBorders>
        <w:shd w:val="clear" w:color="auto" w:fill="E2E6FF" w:themeFill="accent4" w:themeFillTint="3F"/>
      </w:tcPr>
    </w:tblStylePr>
    <w:tblStylePr w:type="band1Horz">
      <w:tblPr/>
      <w:tcPr>
        <w:tcBorders>
          <w:top w:val="single" w:sz="8" w:space="0" w:color="8B9EFF" w:themeColor="accent4"/>
          <w:left w:val="single" w:sz="8" w:space="0" w:color="8B9EFF" w:themeColor="accent4"/>
          <w:bottom w:val="single" w:sz="8" w:space="0" w:color="8B9EFF" w:themeColor="accent4"/>
          <w:right w:val="single" w:sz="8" w:space="0" w:color="8B9EFF" w:themeColor="accent4"/>
          <w:insideV w:val="single" w:sz="8" w:space="0" w:color="8B9EFF" w:themeColor="accent4"/>
        </w:tcBorders>
        <w:shd w:val="clear" w:color="auto" w:fill="E2E6FF" w:themeFill="accent4" w:themeFillTint="3F"/>
      </w:tcPr>
    </w:tblStylePr>
    <w:tblStylePr w:type="band2Horz">
      <w:tblPr/>
      <w:tcPr>
        <w:tcBorders>
          <w:top w:val="single" w:sz="8" w:space="0" w:color="8B9EFF" w:themeColor="accent4"/>
          <w:left w:val="single" w:sz="8" w:space="0" w:color="8B9EFF" w:themeColor="accent4"/>
          <w:bottom w:val="single" w:sz="8" w:space="0" w:color="8B9EFF" w:themeColor="accent4"/>
          <w:right w:val="single" w:sz="8" w:space="0" w:color="8B9EFF" w:themeColor="accent4"/>
          <w:insideV w:val="single" w:sz="8" w:space="0" w:color="8B9EFF" w:themeColor="accent4"/>
        </w:tcBorders>
      </w:tcPr>
    </w:tblStylePr>
  </w:style>
  <w:style w:type="table" w:styleId="LightGrid-Accent5">
    <w:name w:val="Light Grid Accent 5"/>
    <w:basedOn w:val="TableNormal"/>
    <w:uiPriority w:val="62"/>
    <w:rsid w:val="009661DE"/>
    <w:pPr>
      <w:spacing w:before="0"/>
    </w:pPr>
    <w:tblPr>
      <w:tblStyleRowBandSize w:val="1"/>
      <w:tblStyleColBandSize w:val="1"/>
      <w:tblBorders>
        <w:top w:val="single" w:sz="8" w:space="0" w:color="FFC502" w:themeColor="accent5"/>
        <w:left w:val="single" w:sz="8" w:space="0" w:color="FFC502" w:themeColor="accent5"/>
        <w:bottom w:val="single" w:sz="8" w:space="0" w:color="FFC502" w:themeColor="accent5"/>
        <w:right w:val="single" w:sz="8" w:space="0" w:color="FFC502" w:themeColor="accent5"/>
        <w:insideH w:val="single" w:sz="8" w:space="0" w:color="FFC502" w:themeColor="accent5"/>
        <w:insideV w:val="single" w:sz="8" w:space="0" w:color="FFC502"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C502" w:themeColor="accent5"/>
          <w:left w:val="single" w:sz="8" w:space="0" w:color="FFC502" w:themeColor="accent5"/>
          <w:bottom w:val="single" w:sz="18" w:space="0" w:color="FFC502" w:themeColor="accent5"/>
          <w:right w:val="single" w:sz="8" w:space="0" w:color="FFC502" w:themeColor="accent5"/>
          <w:insideH w:val="nil"/>
          <w:insideV w:val="single" w:sz="8" w:space="0" w:color="FFC502"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C502" w:themeColor="accent5"/>
          <w:left w:val="single" w:sz="8" w:space="0" w:color="FFC502" w:themeColor="accent5"/>
          <w:bottom w:val="single" w:sz="8" w:space="0" w:color="FFC502" w:themeColor="accent5"/>
          <w:right w:val="single" w:sz="8" w:space="0" w:color="FFC502" w:themeColor="accent5"/>
          <w:insideH w:val="nil"/>
          <w:insideV w:val="single" w:sz="8" w:space="0" w:color="FFC502"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C502" w:themeColor="accent5"/>
          <w:left w:val="single" w:sz="8" w:space="0" w:color="FFC502" w:themeColor="accent5"/>
          <w:bottom w:val="single" w:sz="8" w:space="0" w:color="FFC502" w:themeColor="accent5"/>
          <w:right w:val="single" w:sz="8" w:space="0" w:color="FFC502" w:themeColor="accent5"/>
        </w:tcBorders>
      </w:tcPr>
    </w:tblStylePr>
    <w:tblStylePr w:type="band1Vert">
      <w:tblPr/>
      <w:tcPr>
        <w:tcBorders>
          <w:top w:val="single" w:sz="8" w:space="0" w:color="FFC502" w:themeColor="accent5"/>
          <w:left w:val="single" w:sz="8" w:space="0" w:color="FFC502" w:themeColor="accent5"/>
          <w:bottom w:val="single" w:sz="8" w:space="0" w:color="FFC502" w:themeColor="accent5"/>
          <w:right w:val="single" w:sz="8" w:space="0" w:color="FFC502" w:themeColor="accent5"/>
        </w:tcBorders>
        <w:shd w:val="clear" w:color="auto" w:fill="FFF0C0" w:themeFill="accent5" w:themeFillTint="3F"/>
      </w:tcPr>
    </w:tblStylePr>
    <w:tblStylePr w:type="band1Horz">
      <w:tblPr/>
      <w:tcPr>
        <w:tcBorders>
          <w:top w:val="single" w:sz="8" w:space="0" w:color="FFC502" w:themeColor="accent5"/>
          <w:left w:val="single" w:sz="8" w:space="0" w:color="FFC502" w:themeColor="accent5"/>
          <w:bottom w:val="single" w:sz="8" w:space="0" w:color="FFC502" w:themeColor="accent5"/>
          <w:right w:val="single" w:sz="8" w:space="0" w:color="FFC502" w:themeColor="accent5"/>
          <w:insideV w:val="single" w:sz="8" w:space="0" w:color="FFC502" w:themeColor="accent5"/>
        </w:tcBorders>
        <w:shd w:val="clear" w:color="auto" w:fill="FFF0C0" w:themeFill="accent5" w:themeFillTint="3F"/>
      </w:tcPr>
    </w:tblStylePr>
    <w:tblStylePr w:type="band2Horz">
      <w:tblPr/>
      <w:tcPr>
        <w:tcBorders>
          <w:top w:val="single" w:sz="8" w:space="0" w:color="FFC502" w:themeColor="accent5"/>
          <w:left w:val="single" w:sz="8" w:space="0" w:color="FFC502" w:themeColor="accent5"/>
          <w:bottom w:val="single" w:sz="8" w:space="0" w:color="FFC502" w:themeColor="accent5"/>
          <w:right w:val="single" w:sz="8" w:space="0" w:color="FFC502" w:themeColor="accent5"/>
          <w:insideV w:val="single" w:sz="8" w:space="0" w:color="FFC502" w:themeColor="accent5"/>
        </w:tcBorders>
      </w:tcPr>
    </w:tblStylePr>
  </w:style>
  <w:style w:type="paragraph" w:customStyle="1" w:styleId="HeaderRight">
    <w:name w:val="Header Right"/>
    <w:basedOn w:val="Header"/>
    <w:uiPriority w:val="35"/>
    <w:qFormat/>
    <w:rsid w:val="00E370FD"/>
    <w:pPr>
      <w:tabs>
        <w:tab w:val="clear" w:pos="4513"/>
        <w:tab w:val="clear" w:pos="9026"/>
        <w:tab w:val="center" w:pos="4320"/>
        <w:tab w:val="right" w:pos="8640"/>
      </w:tabs>
      <w:spacing w:before="0" w:after="200"/>
      <w:jc w:val="right"/>
    </w:pPr>
    <w:rPr>
      <w:rFonts w:cs="Times New Roman"/>
      <w:szCs w:val="20"/>
      <w:lang w:val="en-US" w:eastAsia="ja-JP"/>
    </w:rPr>
  </w:style>
  <w:style w:type="paragraph" w:customStyle="1" w:styleId="Numbered111111111">
    <w:name w:val="Numbered 1.1.1.1.1.1.1.1.1"/>
    <w:basedOn w:val="Heading9"/>
    <w:next w:val="Normal"/>
    <w:uiPriority w:val="2"/>
    <w:rsid w:val="00B60F5D"/>
    <w:pPr>
      <w:numPr>
        <w:numId w:val="0"/>
      </w:numPr>
      <w:tabs>
        <w:tab w:val="left" w:pos="2381"/>
      </w:tabs>
    </w:pPr>
  </w:style>
  <w:style w:type="paragraph" w:styleId="Caption">
    <w:name w:val="caption"/>
    <w:basedOn w:val="Normal"/>
    <w:next w:val="Normal"/>
    <w:uiPriority w:val="35"/>
    <w:unhideWhenUsed/>
    <w:qFormat/>
    <w:rsid w:val="00B1716D"/>
    <w:pPr>
      <w:spacing w:before="240" w:after="120"/>
    </w:pPr>
    <w:rPr>
      <w:b/>
      <w:bCs/>
      <w:sz w:val="24"/>
      <w:szCs w:val="18"/>
    </w:rPr>
  </w:style>
  <w:style w:type="paragraph" w:styleId="List">
    <w:name w:val="List"/>
    <w:basedOn w:val="Normal"/>
    <w:uiPriority w:val="99"/>
    <w:rsid w:val="00E4674F"/>
    <w:pPr>
      <w:tabs>
        <w:tab w:val="left" w:pos="340"/>
      </w:tabs>
      <w:spacing w:before="120"/>
      <w:ind w:left="340" w:hanging="340"/>
    </w:pPr>
  </w:style>
  <w:style w:type="paragraph" w:styleId="List2">
    <w:name w:val="List 2"/>
    <w:basedOn w:val="Normal"/>
    <w:uiPriority w:val="99"/>
    <w:rsid w:val="00E4674F"/>
    <w:pPr>
      <w:tabs>
        <w:tab w:val="left" w:pos="680"/>
      </w:tabs>
      <w:spacing w:before="120"/>
      <w:ind w:left="680" w:hanging="340"/>
    </w:pPr>
  </w:style>
  <w:style w:type="paragraph" w:styleId="List3">
    <w:name w:val="List 3"/>
    <w:basedOn w:val="Normal"/>
    <w:uiPriority w:val="99"/>
    <w:rsid w:val="00E4674F"/>
    <w:pPr>
      <w:tabs>
        <w:tab w:val="left" w:pos="1021"/>
      </w:tabs>
      <w:spacing w:before="120"/>
      <w:ind w:left="1020" w:hanging="340"/>
    </w:pPr>
  </w:style>
  <w:style w:type="paragraph" w:styleId="List4">
    <w:name w:val="List 4"/>
    <w:basedOn w:val="Normal"/>
    <w:uiPriority w:val="99"/>
    <w:rsid w:val="00E4674F"/>
    <w:pPr>
      <w:tabs>
        <w:tab w:val="left" w:pos="1361"/>
      </w:tabs>
      <w:spacing w:before="120"/>
      <w:ind w:left="1361" w:hanging="340"/>
    </w:pPr>
  </w:style>
  <w:style w:type="paragraph" w:styleId="List5">
    <w:name w:val="List 5"/>
    <w:basedOn w:val="Normal"/>
    <w:uiPriority w:val="99"/>
    <w:rsid w:val="00547CCF"/>
    <w:pPr>
      <w:tabs>
        <w:tab w:val="left" w:pos="1701"/>
      </w:tabs>
      <w:spacing w:before="120"/>
      <w:ind w:left="1701" w:hanging="340"/>
    </w:pPr>
  </w:style>
  <w:style w:type="paragraph" w:styleId="ListBullet3">
    <w:name w:val="List Bullet 3"/>
    <w:basedOn w:val="Normal"/>
    <w:uiPriority w:val="99"/>
    <w:rsid w:val="00181223"/>
    <w:pPr>
      <w:numPr>
        <w:numId w:val="4"/>
      </w:numPr>
      <w:tabs>
        <w:tab w:val="clear" w:pos="926"/>
        <w:tab w:val="num" w:pos="1021"/>
      </w:tabs>
      <w:spacing w:before="120"/>
      <w:ind w:left="1020" w:hanging="340"/>
    </w:pPr>
  </w:style>
  <w:style w:type="paragraph" w:styleId="ListBullet4">
    <w:name w:val="List Bullet 4"/>
    <w:basedOn w:val="Normal"/>
    <w:uiPriority w:val="99"/>
    <w:rsid w:val="00547CCF"/>
    <w:pPr>
      <w:numPr>
        <w:numId w:val="5"/>
      </w:numPr>
      <w:tabs>
        <w:tab w:val="clear" w:pos="1209"/>
        <w:tab w:val="num" w:pos="1361"/>
      </w:tabs>
      <w:spacing w:before="120"/>
      <w:ind w:left="1361" w:hanging="340"/>
    </w:pPr>
  </w:style>
  <w:style w:type="paragraph" w:styleId="ListBullet5">
    <w:name w:val="List Bullet 5"/>
    <w:basedOn w:val="Normal"/>
    <w:uiPriority w:val="99"/>
    <w:rsid w:val="00547CCF"/>
    <w:pPr>
      <w:numPr>
        <w:numId w:val="6"/>
      </w:numPr>
      <w:tabs>
        <w:tab w:val="clear" w:pos="1492"/>
        <w:tab w:val="num" w:pos="1701"/>
      </w:tabs>
      <w:spacing w:before="120"/>
      <w:ind w:left="1701" w:hanging="340"/>
    </w:pPr>
  </w:style>
  <w:style w:type="paragraph" w:styleId="ListContinue">
    <w:name w:val="List Continue"/>
    <w:basedOn w:val="Normal"/>
    <w:uiPriority w:val="99"/>
    <w:rsid w:val="00547CCF"/>
    <w:pPr>
      <w:tabs>
        <w:tab w:val="left" w:pos="340"/>
      </w:tabs>
      <w:spacing w:before="120"/>
      <w:ind w:left="340"/>
    </w:pPr>
  </w:style>
  <w:style w:type="paragraph" w:styleId="ListContinue2">
    <w:name w:val="List Continue 2"/>
    <w:basedOn w:val="Normal"/>
    <w:uiPriority w:val="99"/>
    <w:rsid w:val="00547CCF"/>
    <w:pPr>
      <w:tabs>
        <w:tab w:val="left" w:pos="680"/>
      </w:tabs>
      <w:spacing w:before="120"/>
      <w:ind w:left="680"/>
    </w:pPr>
  </w:style>
  <w:style w:type="paragraph" w:styleId="ListContinue3">
    <w:name w:val="List Continue 3"/>
    <w:basedOn w:val="Normal"/>
    <w:uiPriority w:val="99"/>
    <w:rsid w:val="00547CCF"/>
    <w:pPr>
      <w:tabs>
        <w:tab w:val="left" w:pos="1021"/>
      </w:tabs>
      <w:spacing w:before="120"/>
      <w:ind w:left="1021"/>
    </w:pPr>
  </w:style>
  <w:style w:type="paragraph" w:styleId="ListContinue4">
    <w:name w:val="List Continue 4"/>
    <w:basedOn w:val="Normal"/>
    <w:uiPriority w:val="99"/>
    <w:rsid w:val="00DC542F"/>
    <w:pPr>
      <w:tabs>
        <w:tab w:val="left" w:pos="1361"/>
      </w:tabs>
      <w:spacing w:before="120"/>
      <w:ind w:left="1361"/>
    </w:pPr>
  </w:style>
  <w:style w:type="paragraph" w:styleId="ListNumber3">
    <w:name w:val="List Number 3"/>
    <w:basedOn w:val="Normal"/>
    <w:uiPriority w:val="99"/>
    <w:rsid w:val="00BE4C99"/>
    <w:pPr>
      <w:numPr>
        <w:numId w:val="14"/>
      </w:numPr>
      <w:tabs>
        <w:tab w:val="left" w:pos="1021"/>
      </w:tabs>
      <w:spacing w:before="120"/>
    </w:pPr>
  </w:style>
  <w:style w:type="paragraph" w:styleId="ListNumber4">
    <w:name w:val="List Number 4"/>
    <w:basedOn w:val="Normal"/>
    <w:uiPriority w:val="99"/>
    <w:rsid w:val="00BE4C99"/>
    <w:pPr>
      <w:numPr>
        <w:numId w:val="7"/>
      </w:numPr>
      <w:tabs>
        <w:tab w:val="left" w:pos="1701"/>
      </w:tabs>
      <w:spacing w:before="120"/>
    </w:pPr>
  </w:style>
  <w:style w:type="paragraph" w:styleId="ListNumber5">
    <w:name w:val="List Number 5"/>
    <w:basedOn w:val="Normal"/>
    <w:uiPriority w:val="99"/>
    <w:rsid w:val="00BE4C99"/>
    <w:pPr>
      <w:numPr>
        <w:numId w:val="8"/>
      </w:numPr>
      <w:spacing w:before="120"/>
    </w:pPr>
  </w:style>
  <w:style w:type="table" w:customStyle="1" w:styleId="ACCCTable1">
    <w:name w:val="ACCC Table1"/>
    <w:basedOn w:val="TableNormal"/>
    <w:next w:val="TableGrid"/>
    <w:uiPriority w:val="59"/>
    <w:rsid w:val="000E3A2E"/>
    <w:pPr>
      <w:spacing w:before="60" w:after="60"/>
    </w:pPr>
    <w:rPr>
      <w:rFonts w:ascii="Arial" w:hAnsi="Arial"/>
      <w:sz w:val="20"/>
    </w:rPr>
    <w:tblPr>
      <w:tblBorders>
        <w:top w:val="single" w:sz="4" w:space="0" w:color="BFBFBF" w:themeColor="background1" w:themeShade="BF"/>
        <w:bottom w:val="single" w:sz="4" w:space="0" w:color="BFBFBF" w:themeColor="background1" w:themeShade="BF"/>
      </w:tblBorders>
    </w:tblPr>
    <w:tcPr>
      <w:shd w:val="clear" w:color="auto" w:fill="auto"/>
    </w:tcPr>
    <w:tblStylePr w:type="firstRow">
      <w:pPr>
        <w:wordWrap/>
        <w:spacing w:beforeLines="0" w:before="120" w:beforeAutospacing="0" w:afterLines="0" w:after="120" w:afterAutospacing="0"/>
      </w:pPr>
      <w:rPr>
        <w:rFonts w:ascii="Arial" w:hAnsi="Arial"/>
        <w:b/>
        <w:sz w:val="20"/>
      </w:rPr>
      <w:tblPr/>
      <w:tcPr>
        <w:tcBorders>
          <w:top w:val="single" w:sz="4" w:space="0" w:color="BFBFBF" w:themeColor="background1" w:themeShade="BF"/>
          <w:left w:val="nil"/>
          <w:bottom w:val="single" w:sz="4" w:space="0" w:color="BFBFBF" w:themeColor="background1" w:themeShade="BF"/>
          <w:right w:val="nil"/>
          <w:insideH w:val="nil"/>
          <w:insideV w:val="nil"/>
          <w:tl2br w:val="nil"/>
          <w:tr2bl w:val="nil"/>
        </w:tcBorders>
        <w:shd w:val="clear" w:color="auto" w:fill="auto"/>
      </w:tcPr>
    </w:tblStylePr>
    <w:tblStylePr w:type="lastRow">
      <w:pPr>
        <w:wordWrap/>
        <w:spacing w:beforeLines="0" w:before="120" w:beforeAutospacing="0" w:afterLines="0" w:after="120" w:afterAutospacing="0" w:line="240" w:lineRule="auto"/>
      </w:pPr>
      <w:rPr>
        <w:rFonts w:ascii="Arial" w:hAnsi="Arial"/>
        <w:b/>
        <w:sz w:val="20"/>
      </w:rPr>
    </w:tblStylePr>
    <w:tblStylePr w:type="firstCol">
      <w:rPr>
        <w:rFonts w:ascii="Arial" w:hAnsi="Arial"/>
        <w:b/>
        <w:sz w:val="20"/>
      </w:rPr>
    </w:tblStylePr>
  </w:style>
  <w:style w:type="paragraph" w:customStyle="1" w:styleId="Tabletext-right">
    <w:name w:val="Table text - right"/>
    <w:basedOn w:val="Tabletext"/>
    <w:link w:val="Tabletext-rightChar"/>
    <w:rsid w:val="00063247"/>
    <w:pPr>
      <w:jc w:val="right"/>
    </w:pPr>
    <w:rPr>
      <w:rFonts w:eastAsia="Times New Roman" w:cs="Times New Roman"/>
      <w:szCs w:val="20"/>
    </w:rPr>
  </w:style>
  <w:style w:type="paragraph" w:customStyle="1" w:styleId="Tabletext-centred">
    <w:name w:val="Table text - centred"/>
    <w:basedOn w:val="Tabletext-right"/>
    <w:link w:val="Tabletext-centredChar"/>
    <w:rsid w:val="00063247"/>
    <w:pPr>
      <w:jc w:val="center"/>
    </w:pPr>
  </w:style>
  <w:style w:type="paragraph" w:customStyle="1" w:styleId="TableHeading-right">
    <w:name w:val="Table Heading - right"/>
    <w:basedOn w:val="Normal"/>
    <w:link w:val="TableHeading-rightChar"/>
    <w:rsid w:val="00E370FD"/>
    <w:pPr>
      <w:tabs>
        <w:tab w:val="left" w:pos="680"/>
      </w:tabs>
      <w:spacing w:before="240"/>
      <w:ind w:left="680" w:hanging="680"/>
      <w:jc w:val="right"/>
      <w:outlineLvl w:val="0"/>
    </w:pPr>
    <w:rPr>
      <w:rFonts w:ascii="Palatino Linotype" w:eastAsia="Times New Roman" w:hAnsi="Palatino Linotype" w:cs="Times New Roman"/>
      <w:color w:val="410099" w:themeColor="accent1"/>
      <w:sz w:val="32"/>
      <w:szCs w:val="20"/>
    </w:rPr>
  </w:style>
  <w:style w:type="character" w:customStyle="1" w:styleId="Tabletext-rightChar">
    <w:name w:val="Table text - right Char"/>
    <w:basedOn w:val="TabletextChar"/>
    <w:link w:val="Tabletext-right"/>
    <w:rsid w:val="00063247"/>
    <w:rPr>
      <w:rFonts w:ascii="Arial" w:eastAsia="Times New Roman" w:hAnsi="Arial" w:cs="Times New Roman"/>
      <w:sz w:val="20"/>
      <w:szCs w:val="20"/>
    </w:rPr>
  </w:style>
  <w:style w:type="character" w:customStyle="1" w:styleId="TabletextChar">
    <w:name w:val="Table text Char"/>
    <w:basedOn w:val="DefaultParagraphFont"/>
    <w:link w:val="Tabletext"/>
    <w:uiPriority w:val="1"/>
    <w:rsid w:val="00584D8F"/>
    <w:rPr>
      <w:rFonts w:ascii="Arial" w:hAnsi="Arial"/>
      <w:sz w:val="20"/>
    </w:rPr>
  </w:style>
  <w:style w:type="character" w:customStyle="1" w:styleId="TableHeading-rightChar">
    <w:name w:val="Table Heading - right Char"/>
    <w:basedOn w:val="DefaultParagraphFont"/>
    <w:link w:val="TableHeading-right"/>
    <w:rsid w:val="00E370FD"/>
    <w:rPr>
      <w:rFonts w:ascii="Palatino Linotype" w:eastAsia="Times New Roman" w:hAnsi="Palatino Linotype" w:cs="Times New Roman"/>
      <w:color w:val="410099" w:themeColor="accent1"/>
      <w:sz w:val="32"/>
      <w:szCs w:val="20"/>
    </w:rPr>
  </w:style>
  <w:style w:type="character" w:customStyle="1" w:styleId="Tabletext-centredChar">
    <w:name w:val="Table text - centred Char"/>
    <w:basedOn w:val="Tabletext-rightChar"/>
    <w:link w:val="Tabletext-centred"/>
    <w:rsid w:val="00063247"/>
    <w:rPr>
      <w:rFonts w:ascii="Arial" w:eastAsia="Times New Roman" w:hAnsi="Arial" w:cs="Times New Roman"/>
      <w:sz w:val="20"/>
      <w:szCs w:val="20"/>
    </w:rPr>
  </w:style>
  <w:style w:type="paragraph" w:customStyle="1" w:styleId="TableHeading-centred">
    <w:name w:val="Table Heading - centred"/>
    <w:basedOn w:val="Normal"/>
    <w:rsid w:val="00E370FD"/>
    <w:pPr>
      <w:tabs>
        <w:tab w:val="left" w:pos="680"/>
      </w:tabs>
      <w:spacing w:before="240"/>
      <w:ind w:left="680" w:hanging="680"/>
      <w:jc w:val="center"/>
      <w:outlineLvl w:val="0"/>
    </w:pPr>
    <w:rPr>
      <w:rFonts w:ascii="Palatino Linotype" w:eastAsia="Times New Roman" w:hAnsi="Palatino Linotype" w:cs="Times New Roman"/>
      <w:color w:val="410099" w:themeColor="accent1"/>
      <w:sz w:val="32"/>
      <w:szCs w:val="20"/>
    </w:rPr>
  </w:style>
  <w:style w:type="character" w:customStyle="1" w:styleId="EndnoteTextChar">
    <w:name w:val="Endnote Text Char"/>
    <w:basedOn w:val="DefaultParagraphFont"/>
    <w:link w:val="EndnoteText"/>
    <w:uiPriority w:val="99"/>
    <w:rsid w:val="00334C8D"/>
    <w:rPr>
      <w:rFonts w:ascii="Arial" w:hAnsi="Arial"/>
      <w:sz w:val="20"/>
      <w:szCs w:val="20"/>
    </w:rPr>
  </w:style>
  <w:style w:type="paragraph" w:styleId="TableofFigures">
    <w:name w:val="table of figures"/>
    <w:basedOn w:val="Normal"/>
    <w:next w:val="Normal"/>
    <w:uiPriority w:val="99"/>
    <w:unhideWhenUsed/>
    <w:rsid w:val="00676679"/>
    <w:pPr>
      <w:spacing w:before="240" w:after="120"/>
    </w:pPr>
  </w:style>
  <w:style w:type="table" w:customStyle="1" w:styleId="ACCCTable3">
    <w:name w:val="ACCC Table 3"/>
    <w:basedOn w:val="TableNormal"/>
    <w:uiPriority w:val="99"/>
    <w:rsid w:val="00C53B5A"/>
    <w:pPr>
      <w:spacing w:before="0"/>
    </w:pPr>
    <w:rPr>
      <w:sz w:val="20"/>
    </w:rPr>
    <w:tblPr>
      <w:tblBorders>
        <w:insideV w:val="single" w:sz="4" w:space="0" w:color="D5D6D2" w:themeColor="background2"/>
      </w:tblBorders>
    </w:tblPr>
    <w:tblStylePr w:type="firstRow">
      <w:rPr>
        <w:rFonts w:asciiTheme="minorHAnsi" w:hAnsiTheme="minorHAnsi"/>
        <w:b/>
        <w:sz w:val="20"/>
      </w:rPr>
    </w:tblStylePr>
    <w:tblStylePr w:type="lastRow">
      <w:rPr>
        <w:rFonts w:ascii="Arial" w:hAnsi="Arial"/>
        <w:b/>
        <w:sz w:val="20"/>
      </w:rPr>
    </w:tblStylePr>
    <w:tblStylePr w:type="firstCol">
      <w:rPr>
        <w:rFonts w:ascii="Arial" w:hAnsi="Arial"/>
        <w:b/>
        <w:sz w:val="20"/>
      </w:rPr>
    </w:tblStylePr>
  </w:style>
  <w:style w:type="character" w:styleId="EndnoteReference">
    <w:name w:val="endnote reference"/>
    <w:basedOn w:val="DefaultParagraphFont"/>
    <w:uiPriority w:val="99"/>
    <w:rsid w:val="00E4674F"/>
    <w:rPr>
      <w:rFonts w:ascii="Arial" w:hAnsi="Arial"/>
      <w:sz w:val="16"/>
      <w:vertAlign w:val="superscript"/>
    </w:rPr>
  </w:style>
  <w:style w:type="paragraph" w:customStyle="1" w:styleId="Numberedparagraph11">
    <w:name w:val="Numbered paragraph 1.1"/>
    <w:basedOn w:val="Numbered11"/>
    <w:qFormat/>
    <w:rsid w:val="00E370FD"/>
    <w:pPr>
      <w:ind w:left="680" w:hanging="680"/>
      <w:outlineLvl w:val="9"/>
    </w:pPr>
    <w:rPr>
      <w:bCs w:val="0"/>
      <w:color w:val="auto"/>
      <w:sz w:val="22"/>
    </w:rPr>
  </w:style>
  <w:style w:type="character" w:customStyle="1" w:styleId="Numbered1Char">
    <w:name w:val="Numbered 1 Char"/>
    <w:basedOn w:val="Heading1Char"/>
    <w:link w:val="Numbered1"/>
    <w:uiPriority w:val="99"/>
    <w:rsid w:val="00F61B84"/>
    <w:rPr>
      <w:rFonts w:ascii="Palatino Linotype" w:eastAsiaTheme="majorEastAsia" w:hAnsi="Palatino Linotype" w:cstheme="majorBidi"/>
      <w:bCs/>
      <w:color w:val="410099" w:themeColor="accent1"/>
      <w:sz w:val="32"/>
      <w:szCs w:val="28"/>
    </w:rPr>
  </w:style>
  <w:style w:type="paragraph" w:customStyle="1" w:styleId="Numberedparagraph">
    <w:name w:val="Numbered paragraph"/>
    <w:basedOn w:val="Normal"/>
    <w:rsid w:val="00B60F5D"/>
    <w:pPr>
      <w:numPr>
        <w:numId w:val="1"/>
      </w:numPr>
      <w:ind w:left="680" w:hanging="680"/>
    </w:pPr>
    <w:rPr>
      <w:rFonts w:eastAsia="Times New Roman" w:cs="Times New Roman"/>
      <w:color w:val="000000" w:themeColor="text1" w:themeShade="BF"/>
      <w:szCs w:val="20"/>
    </w:rPr>
  </w:style>
  <w:style w:type="paragraph" w:customStyle="1" w:styleId="Listalphabet2">
    <w:name w:val="List alphabet 2"/>
    <w:rsid w:val="00CF799E"/>
    <w:pPr>
      <w:numPr>
        <w:numId w:val="13"/>
      </w:numPr>
      <w:tabs>
        <w:tab w:val="left" w:pos="680"/>
      </w:tabs>
      <w:spacing w:before="120"/>
    </w:pPr>
    <w:rPr>
      <w:rFonts w:ascii="Arial" w:hAnsi="Arial"/>
    </w:rPr>
  </w:style>
  <w:style w:type="paragraph" w:customStyle="1" w:styleId="Listalphabet3">
    <w:name w:val="List alphabet 3"/>
    <w:rsid w:val="00CF799E"/>
    <w:pPr>
      <w:numPr>
        <w:numId w:val="19"/>
      </w:numPr>
      <w:tabs>
        <w:tab w:val="left" w:pos="1021"/>
      </w:tabs>
      <w:spacing w:before="120"/>
    </w:pPr>
    <w:rPr>
      <w:rFonts w:ascii="Arial" w:hAnsi="Arial"/>
    </w:rPr>
  </w:style>
  <w:style w:type="paragraph" w:customStyle="1" w:styleId="Listalphabet4">
    <w:name w:val="List alphabet 4"/>
    <w:rsid w:val="00CF799E"/>
    <w:pPr>
      <w:numPr>
        <w:numId w:val="20"/>
      </w:numPr>
      <w:tabs>
        <w:tab w:val="left" w:pos="1361"/>
      </w:tabs>
      <w:spacing w:before="120"/>
    </w:pPr>
    <w:rPr>
      <w:rFonts w:ascii="Arial" w:hAnsi="Arial"/>
    </w:rPr>
  </w:style>
  <w:style w:type="paragraph" w:customStyle="1" w:styleId="Listalphabet5">
    <w:name w:val="List alphabet 5"/>
    <w:rsid w:val="00CF799E"/>
    <w:pPr>
      <w:numPr>
        <w:numId w:val="21"/>
      </w:numPr>
      <w:tabs>
        <w:tab w:val="left" w:pos="1701"/>
      </w:tabs>
      <w:spacing w:before="120"/>
    </w:pPr>
    <w:rPr>
      <w:rFonts w:ascii="Arial" w:hAnsi="Arial"/>
    </w:rPr>
  </w:style>
  <w:style w:type="paragraph" w:styleId="ListContinue5">
    <w:name w:val="List Continue 5"/>
    <w:basedOn w:val="Normal"/>
    <w:uiPriority w:val="99"/>
    <w:rsid w:val="00DC542F"/>
    <w:pPr>
      <w:tabs>
        <w:tab w:val="left" w:pos="1701"/>
      </w:tabs>
      <w:spacing w:before="120"/>
      <w:ind w:left="1701"/>
    </w:pPr>
  </w:style>
  <w:style w:type="paragraph" w:customStyle="1" w:styleId="Listalphabet">
    <w:name w:val="List alphabet"/>
    <w:qFormat/>
    <w:rsid w:val="003459E6"/>
    <w:pPr>
      <w:numPr>
        <w:numId w:val="22"/>
      </w:numPr>
      <w:tabs>
        <w:tab w:val="left" w:pos="340"/>
      </w:tabs>
      <w:spacing w:before="120"/>
    </w:pPr>
    <w:rPr>
      <w:rFonts w:ascii="Arial" w:hAnsi="Arial"/>
    </w:rPr>
  </w:style>
  <w:style w:type="paragraph" w:styleId="NoteHeading">
    <w:name w:val="Note Heading"/>
    <w:basedOn w:val="Normal"/>
    <w:next w:val="Normal"/>
    <w:link w:val="NoteHeadingChar"/>
    <w:uiPriority w:val="99"/>
    <w:semiHidden/>
    <w:unhideWhenUsed/>
    <w:rsid w:val="00F61B84"/>
    <w:pPr>
      <w:spacing w:before="0"/>
    </w:pPr>
  </w:style>
  <w:style w:type="character" w:customStyle="1" w:styleId="NoteHeadingChar">
    <w:name w:val="Note Heading Char"/>
    <w:basedOn w:val="DefaultParagraphFont"/>
    <w:link w:val="NoteHeading"/>
    <w:uiPriority w:val="99"/>
    <w:semiHidden/>
    <w:rsid w:val="00F61B84"/>
    <w:rPr>
      <w:rFonts w:ascii="Arial" w:hAnsi="Arial"/>
    </w:rPr>
  </w:style>
  <w:style w:type="character" w:styleId="SubtleReference">
    <w:name w:val="Subtle Reference"/>
    <w:basedOn w:val="DefaultParagraphFont"/>
    <w:uiPriority w:val="31"/>
    <w:unhideWhenUsed/>
    <w:rsid w:val="00E370FD"/>
    <w:rPr>
      <w:smallCaps/>
      <w:color w:val="auto"/>
      <w:u w:val="single"/>
    </w:rPr>
  </w:style>
  <w:style w:type="paragraph" w:customStyle="1" w:styleId="ListLegal">
    <w:name w:val="List Legal"/>
    <w:basedOn w:val="ListParagraph"/>
    <w:rsid w:val="00CF799E"/>
    <w:pPr>
      <w:numPr>
        <w:numId w:val="25"/>
      </w:numPr>
      <w:tabs>
        <w:tab w:val="clear" w:pos="340"/>
        <w:tab w:val="left" w:pos="680"/>
      </w:tabs>
    </w:pPr>
  </w:style>
  <w:style w:type="paragraph" w:customStyle="1" w:styleId="ListLegal2">
    <w:name w:val="List Legal 2"/>
    <w:basedOn w:val="ListLegal"/>
    <w:rsid w:val="00C06739"/>
    <w:pPr>
      <w:numPr>
        <w:numId w:val="16"/>
      </w:numPr>
      <w:tabs>
        <w:tab w:val="clear" w:pos="680"/>
        <w:tab w:val="left" w:pos="1021"/>
      </w:tabs>
    </w:pPr>
  </w:style>
  <w:style w:type="paragraph" w:customStyle="1" w:styleId="ListLegal3">
    <w:name w:val="List Legal 3"/>
    <w:basedOn w:val="ListNumber3"/>
    <w:rsid w:val="00CF799E"/>
    <w:pPr>
      <w:numPr>
        <w:numId w:val="15"/>
      </w:numPr>
      <w:tabs>
        <w:tab w:val="clear" w:pos="1021"/>
        <w:tab w:val="left" w:pos="1361"/>
      </w:tabs>
    </w:pPr>
  </w:style>
  <w:style w:type="paragraph" w:customStyle="1" w:styleId="ListLegal4">
    <w:name w:val="List Legal 4"/>
    <w:basedOn w:val="ListLegal3"/>
    <w:rsid w:val="00CF799E"/>
    <w:pPr>
      <w:numPr>
        <w:numId w:val="17"/>
      </w:numPr>
      <w:tabs>
        <w:tab w:val="clear" w:pos="1361"/>
        <w:tab w:val="left" w:pos="1701"/>
      </w:tabs>
    </w:pPr>
  </w:style>
  <w:style w:type="paragraph" w:customStyle="1" w:styleId="ListLegal5">
    <w:name w:val="List Legal 5"/>
    <w:basedOn w:val="ListLegal4"/>
    <w:rsid w:val="000F2368"/>
    <w:pPr>
      <w:numPr>
        <w:numId w:val="26"/>
      </w:numPr>
      <w:tabs>
        <w:tab w:val="clear" w:pos="1701"/>
        <w:tab w:val="left" w:pos="2041"/>
      </w:tabs>
    </w:pPr>
  </w:style>
  <w:style w:type="paragraph" w:customStyle="1" w:styleId="LegalNumbering">
    <w:name w:val="Legal Numbering"/>
    <w:basedOn w:val="Normal"/>
    <w:qFormat/>
    <w:rsid w:val="0002115F"/>
    <w:pPr>
      <w:tabs>
        <w:tab w:val="left" w:pos="340"/>
        <w:tab w:val="left" w:pos="680"/>
        <w:tab w:val="left" w:pos="1021"/>
        <w:tab w:val="left" w:pos="1361"/>
      </w:tabs>
    </w:pPr>
  </w:style>
  <w:style w:type="table" w:customStyle="1" w:styleId="LightShading11">
    <w:name w:val="Light Shading11"/>
    <w:basedOn w:val="TableNormal"/>
    <w:next w:val="LightShading"/>
    <w:uiPriority w:val="60"/>
    <w:rsid w:val="00687F39"/>
    <w:pPr>
      <w:spacing w:before="120" w:after="120"/>
    </w:pPr>
    <w:rPr>
      <w:color w:val="000000" w:themeColor="text1" w:themeShade="BF"/>
    </w:rPr>
    <w:tblPr>
      <w:tblBorders>
        <w:top w:val="single" w:sz="4" w:space="0" w:color="D5D6D2" w:themeColor="background2"/>
        <w:bottom w:val="single" w:sz="4" w:space="0" w:color="D5D6D2" w:themeColor="background2"/>
        <w:insideH w:val="single" w:sz="4" w:space="0" w:color="D5D6D2" w:themeColor="background2"/>
      </w:tblBorders>
    </w:tblPr>
    <w:tcPr>
      <w:shd w:val="clear" w:color="auto" w:fill="auto"/>
    </w:tcPr>
    <w:tblStylePr w:type="firstRow">
      <w:pPr>
        <w:wordWrap/>
        <w:spacing w:beforeLines="0" w:before="120" w:beforeAutospacing="0" w:afterLines="0" w:after="120" w:afterAutospacing="0" w:line="240" w:lineRule="auto"/>
      </w:pPr>
      <w:rPr>
        <w:b w:val="0"/>
        <w:bCs/>
      </w:rPr>
      <w:tblPr/>
      <w:tcPr>
        <w:tcBorders>
          <w:top w:val="single" w:sz="8" w:space="0" w:color="000000" w:themeColor="text1"/>
          <w:left w:val="nil"/>
          <w:bottom w:val="single" w:sz="8" w:space="0" w:color="000000" w:themeColor="text1"/>
          <w:right w:val="nil"/>
          <w:insideH w:val="nil"/>
          <w:insideV w:val="nil"/>
        </w:tcBorders>
        <w:shd w:val="clear" w:color="auto" w:fill="auto"/>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style>
  <w:style w:type="character" w:styleId="PageNumber">
    <w:name w:val="page number"/>
    <w:basedOn w:val="DefaultParagraphFont"/>
    <w:rsid w:val="00097246"/>
  </w:style>
  <w:style w:type="character" w:styleId="CommentReference">
    <w:name w:val="annotation reference"/>
    <w:basedOn w:val="DefaultParagraphFont"/>
    <w:uiPriority w:val="99"/>
    <w:semiHidden/>
    <w:unhideWhenUsed/>
    <w:rsid w:val="00B03A87"/>
    <w:rPr>
      <w:sz w:val="16"/>
      <w:szCs w:val="16"/>
    </w:rPr>
  </w:style>
  <w:style w:type="paragraph" w:styleId="CommentText">
    <w:name w:val="annotation text"/>
    <w:basedOn w:val="Normal"/>
    <w:link w:val="CommentTextChar"/>
    <w:uiPriority w:val="99"/>
    <w:semiHidden/>
    <w:unhideWhenUsed/>
    <w:rsid w:val="00B03A87"/>
    <w:rPr>
      <w:sz w:val="20"/>
      <w:szCs w:val="20"/>
    </w:rPr>
  </w:style>
  <w:style w:type="character" w:customStyle="1" w:styleId="CommentTextChar">
    <w:name w:val="Comment Text Char"/>
    <w:basedOn w:val="DefaultParagraphFont"/>
    <w:link w:val="CommentText"/>
    <w:uiPriority w:val="99"/>
    <w:semiHidden/>
    <w:rsid w:val="00B03A87"/>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B03A87"/>
    <w:rPr>
      <w:b/>
      <w:bCs/>
    </w:rPr>
  </w:style>
  <w:style w:type="character" w:customStyle="1" w:styleId="CommentSubjectChar">
    <w:name w:val="Comment Subject Char"/>
    <w:basedOn w:val="CommentTextChar"/>
    <w:link w:val="CommentSubject"/>
    <w:uiPriority w:val="99"/>
    <w:semiHidden/>
    <w:rsid w:val="00B03A87"/>
    <w:rPr>
      <w:rFonts w:ascii="Arial" w:hAnsi="Arial"/>
      <w:b/>
      <w:bCs/>
      <w:sz w:val="20"/>
      <w:szCs w:val="20"/>
    </w:rPr>
  </w:style>
  <w:style w:type="character" w:styleId="FollowedHyperlink">
    <w:name w:val="FollowedHyperlink"/>
    <w:basedOn w:val="DefaultParagraphFont"/>
    <w:uiPriority w:val="99"/>
    <w:semiHidden/>
    <w:unhideWhenUsed/>
    <w:rsid w:val="00366B79"/>
    <w:rPr>
      <w:color w:val="800080" w:themeColor="followedHyperlink"/>
      <w:u w:val="single"/>
    </w:rPr>
  </w:style>
  <w:style w:type="paragraph" w:customStyle="1" w:styleId="emi-text-body">
    <w:name w:val="emi-text-body"/>
    <w:basedOn w:val="Normal"/>
    <w:rsid w:val="000D612E"/>
    <w:pPr>
      <w:spacing w:before="100" w:beforeAutospacing="1" w:after="100" w:afterAutospacing="1"/>
    </w:pPr>
    <w:rPr>
      <w:rFonts w:ascii="Times New Roman" w:eastAsia="Times New Roman" w:hAnsi="Times New Roman" w:cs="Times New Roman"/>
      <w:sz w:val="24"/>
      <w:szCs w:val="24"/>
      <w:lang w:eastAsia="en-AU"/>
    </w:rPr>
  </w:style>
  <w:style w:type="paragraph" w:customStyle="1" w:styleId="CharCharCharCharCharCharChar">
    <w:name w:val="Char Char Char Char Char Char Char"/>
    <w:basedOn w:val="Normal"/>
    <w:semiHidden/>
    <w:rsid w:val="00A83FCC"/>
    <w:pPr>
      <w:spacing w:before="0" w:after="160" w:line="240" w:lineRule="exact"/>
    </w:pPr>
    <w:rPr>
      <w:rFonts w:ascii="Tahoma" w:eastAsia="Times New Roman" w:hAnsi="Tahoma" w:cs="Times New Roman"/>
      <w:sz w:val="20"/>
      <w:szCs w:val="20"/>
      <w:lang w:val="en-US"/>
    </w:rPr>
  </w:style>
  <w:style w:type="paragraph" w:customStyle="1" w:styleId="Default">
    <w:name w:val="Default"/>
    <w:rsid w:val="00233E85"/>
    <w:pPr>
      <w:autoSpaceDE w:val="0"/>
      <w:autoSpaceDN w:val="0"/>
      <w:adjustRightInd w:val="0"/>
      <w:spacing w:before="0"/>
    </w:pPr>
    <w:rPr>
      <w:rFonts w:ascii="Times New Roman" w:hAnsi="Times New Roman" w:cs="Times New Roman"/>
      <w:color w:val="000000"/>
      <w:sz w:val="24"/>
      <w:szCs w:val="24"/>
    </w:rPr>
  </w:style>
  <w:style w:type="character" w:customStyle="1" w:styleId="num">
    <w:name w:val="num"/>
    <w:basedOn w:val="DefaultParagraphFont"/>
    <w:rsid w:val="008A618D"/>
  </w:style>
  <w:style w:type="paragraph" w:styleId="NormalWeb">
    <w:name w:val="Normal (Web)"/>
    <w:basedOn w:val="Normal"/>
    <w:uiPriority w:val="99"/>
    <w:unhideWhenUsed/>
    <w:rsid w:val="00C14134"/>
    <w:pPr>
      <w:spacing w:before="100" w:beforeAutospacing="1" w:after="100" w:afterAutospacing="1"/>
    </w:pPr>
    <w:rPr>
      <w:rFonts w:ascii="Times New Roman" w:eastAsia="Times New Roman" w:hAnsi="Times New Roman" w:cs="Times New Roman"/>
      <w:sz w:val="24"/>
      <w:szCs w:val="24"/>
      <w:lang w:eastAsia="en-AU"/>
    </w:rPr>
  </w:style>
  <w:style w:type="paragraph" w:customStyle="1" w:styleId="hr">
    <w:name w:val="hr"/>
    <w:basedOn w:val="Normal"/>
    <w:rsid w:val="001A1D21"/>
    <w:pPr>
      <w:spacing w:before="100" w:beforeAutospacing="1" w:after="100" w:afterAutospacing="1"/>
    </w:pPr>
    <w:rPr>
      <w:rFonts w:ascii="Times New Roman" w:eastAsia="Times New Roman" w:hAnsi="Times New Roman" w:cs="Times New Roman"/>
      <w:sz w:val="24"/>
      <w:szCs w:val="24"/>
      <w:lang w:eastAsia="en-AU"/>
    </w:rPr>
  </w:style>
  <w:style w:type="character" w:customStyle="1" w:styleId="charsectno">
    <w:name w:val="charsectno"/>
    <w:basedOn w:val="DefaultParagraphFont"/>
    <w:rsid w:val="001A1D21"/>
  </w:style>
  <w:style w:type="paragraph" w:customStyle="1" w:styleId="r1">
    <w:name w:val="r1"/>
    <w:basedOn w:val="Normal"/>
    <w:rsid w:val="001A1D21"/>
    <w:pPr>
      <w:spacing w:before="100" w:beforeAutospacing="1" w:after="100" w:afterAutospacing="1"/>
    </w:pPr>
    <w:rPr>
      <w:rFonts w:ascii="Times New Roman" w:eastAsia="Times New Roman" w:hAnsi="Times New Roman" w:cs="Times New Roman"/>
      <w:sz w:val="24"/>
      <w:szCs w:val="24"/>
      <w:lang w:eastAsia="en-AU"/>
    </w:rPr>
  </w:style>
  <w:style w:type="paragraph" w:customStyle="1" w:styleId="p1">
    <w:name w:val="p1"/>
    <w:basedOn w:val="Normal"/>
    <w:rsid w:val="001A1D21"/>
    <w:pPr>
      <w:spacing w:before="100" w:beforeAutospacing="1" w:after="100" w:afterAutospacing="1"/>
    </w:pPr>
    <w:rPr>
      <w:rFonts w:ascii="Times New Roman" w:eastAsia="Times New Roman" w:hAnsi="Times New Roman" w:cs="Times New Roman"/>
      <w:sz w:val="24"/>
      <w:szCs w:val="24"/>
      <w:lang w:eastAsia="en-AU"/>
    </w:rPr>
  </w:style>
  <w:style w:type="paragraph" w:customStyle="1" w:styleId="rc">
    <w:name w:val="rc"/>
    <w:basedOn w:val="Normal"/>
    <w:rsid w:val="001A1D21"/>
    <w:pPr>
      <w:spacing w:before="100" w:beforeAutospacing="1" w:after="100" w:afterAutospacing="1"/>
    </w:pPr>
    <w:rPr>
      <w:rFonts w:ascii="Times New Roman" w:eastAsia="Times New Roman" w:hAnsi="Times New Roman" w:cs="Times New Roman"/>
      <w:sz w:val="24"/>
      <w:szCs w:val="24"/>
      <w:lang w:eastAsia="en-AU"/>
    </w:rPr>
  </w:style>
  <w:style w:type="paragraph" w:customStyle="1" w:styleId="definition">
    <w:name w:val="definition"/>
    <w:basedOn w:val="Normal"/>
    <w:rsid w:val="00FA04C0"/>
    <w:pPr>
      <w:spacing w:before="100" w:beforeAutospacing="1" w:after="100" w:afterAutospacing="1"/>
    </w:pPr>
    <w:rPr>
      <w:rFonts w:ascii="Times New Roman" w:eastAsia="Times New Roman" w:hAnsi="Times New Roman" w:cs="Times New Roman"/>
      <w:sz w:val="24"/>
      <w:szCs w:val="24"/>
      <w:lang w:eastAsia="en-AU"/>
    </w:rPr>
  </w:style>
  <w:style w:type="paragraph" w:customStyle="1" w:styleId="Tabletext0">
    <w:name w:val="Tabletext"/>
    <w:aliases w:val="tt"/>
    <w:basedOn w:val="Normal"/>
    <w:rsid w:val="006D21F4"/>
    <w:pPr>
      <w:spacing w:before="60" w:line="240" w:lineRule="atLeast"/>
    </w:pPr>
    <w:rPr>
      <w:rFonts w:ascii="Times New Roman" w:eastAsia="Times New Roman" w:hAnsi="Times New Roman" w:cs="Times New Roman"/>
      <w:sz w:val="20"/>
      <w:szCs w:val="20"/>
      <w:lang w:eastAsia="en-AU"/>
    </w:rPr>
  </w:style>
  <w:style w:type="character" w:customStyle="1" w:styleId="charchapno">
    <w:name w:val="charchapno"/>
    <w:basedOn w:val="DefaultParagraphFont"/>
    <w:rsid w:val="00682059"/>
  </w:style>
  <w:style w:type="character" w:customStyle="1" w:styleId="charchaptext">
    <w:name w:val="charchaptext"/>
    <w:basedOn w:val="DefaultParagraphFont"/>
    <w:rsid w:val="00682059"/>
  </w:style>
  <w:style w:type="paragraph" w:customStyle="1" w:styleId="tabletext1">
    <w:name w:val="tabletext"/>
    <w:basedOn w:val="Normal"/>
    <w:rsid w:val="00682059"/>
    <w:pPr>
      <w:spacing w:before="100" w:beforeAutospacing="1" w:after="100" w:afterAutospacing="1"/>
    </w:pPr>
    <w:rPr>
      <w:rFonts w:ascii="Times New Roman" w:eastAsia="Times New Roman" w:hAnsi="Times New Roman" w:cs="Times New Roman"/>
      <w:sz w:val="24"/>
      <w:szCs w:val="24"/>
      <w:lang w:eastAsia="en-AU"/>
    </w:rPr>
  </w:style>
  <w:style w:type="paragraph" w:styleId="Revision">
    <w:name w:val="Revision"/>
    <w:hidden/>
    <w:uiPriority w:val="99"/>
    <w:semiHidden/>
    <w:rsid w:val="00904A64"/>
    <w:pPr>
      <w:spacing w:before="0"/>
    </w:pPr>
    <w:rPr>
      <w:rFonts w:ascii="Arial" w:hAnsi="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6487263">
      <w:bodyDiv w:val="1"/>
      <w:marLeft w:val="0"/>
      <w:marRight w:val="0"/>
      <w:marTop w:val="0"/>
      <w:marBottom w:val="0"/>
      <w:divBdr>
        <w:top w:val="none" w:sz="0" w:space="0" w:color="auto"/>
        <w:left w:val="none" w:sz="0" w:space="0" w:color="auto"/>
        <w:bottom w:val="none" w:sz="0" w:space="0" w:color="auto"/>
        <w:right w:val="none" w:sz="0" w:space="0" w:color="auto"/>
      </w:divBdr>
    </w:div>
    <w:div w:id="115684018">
      <w:bodyDiv w:val="1"/>
      <w:marLeft w:val="0"/>
      <w:marRight w:val="0"/>
      <w:marTop w:val="0"/>
      <w:marBottom w:val="0"/>
      <w:divBdr>
        <w:top w:val="none" w:sz="0" w:space="0" w:color="auto"/>
        <w:left w:val="none" w:sz="0" w:space="0" w:color="auto"/>
        <w:bottom w:val="none" w:sz="0" w:space="0" w:color="auto"/>
        <w:right w:val="none" w:sz="0" w:space="0" w:color="auto"/>
      </w:divBdr>
    </w:div>
    <w:div w:id="170342407">
      <w:bodyDiv w:val="1"/>
      <w:marLeft w:val="0"/>
      <w:marRight w:val="0"/>
      <w:marTop w:val="0"/>
      <w:marBottom w:val="0"/>
      <w:divBdr>
        <w:top w:val="none" w:sz="0" w:space="0" w:color="auto"/>
        <w:left w:val="none" w:sz="0" w:space="0" w:color="auto"/>
        <w:bottom w:val="none" w:sz="0" w:space="0" w:color="auto"/>
        <w:right w:val="none" w:sz="0" w:space="0" w:color="auto"/>
      </w:divBdr>
    </w:div>
    <w:div w:id="171922885">
      <w:bodyDiv w:val="1"/>
      <w:marLeft w:val="0"/>
      <w:marRight w:val="0"/>
      <w:marTop w:val="0"/>
      <w:marBottom w:val="0"/>
      <w:divBdr>
        <w:top w:val="none" w:sz="0" w:space="0" w:color="auto"/>
        <w:left w:val="none" w:sz="0" w:space="0" w:color="auto"/>
        <w:bottom w:val="none" w:sz="0" w:space="0" w:color="auto"/>
        <w:right w:val="none" w:sz="0" w:space="0" w:color="auto"/>
      </w:divBdr>
    </w:div>
    <w:div w:id="354696313">
      <w:bodyDiv w:val="1"/>
      <w:marLeft w:val="0"/>
      <w:marRight w:val="0"/>
      <w:marTop w:val="0"/>
      <w:marBottom w:val="0"/>
      <w:divBdr>
        <w:top w:val="none" w:sz="0" w:space="0" w:color="auto"/>
        <w:left w:val="none" w:sz="0" w:space="0" w:color="auto"/>
        <w:bottom w:val="none" w:sz="0" w:space="0" w:color="auto"/>
        <w:right w:val="none" w:sz="0" w:space="0" w:color="auto"/>
      </w:divBdr>
    </w:div>
    <w:div w:id="425149465">
      <w:bodyDiv w:val="1"/>
      <w:marLeft w:val="0"/>
      <w:marRight w:val="0"/>
      <w:marTop w:val="0"/>
      <w:marBottom w:val="0"/>
      <w:divBdr>
        <w:top w:val="none" w:sz="0" w:space="0" w:color="auto"/>
        <w:left w:val="none" w:sz="0" w:space="0" w:color="auto"/>
        <w:bottom w:val="none" w:sz="0" w:space="0" w:color="auto"/>
        <w:right w:val="none" w:sz="0" w:space="0" w:color="auto"/>
      </w:divBdr>
    </w:div>
    <w:div w:id="498153053">
      <w:bodyDiv w:val="1"/>
      <w:marLeft w:val="0"/>
      <w:marRight w:val="0"/>
      <w:marTop w:val="0"/>
      <w:marBottom w:val="0"/>
      <w:divBdr>
        <w:top w:val="none" w:sz="0" w:space="0" w:color="auto"/>
        <w:left w:val="none" w:sz="0" w:space="0" w:color="auto"/>
        <w:bottom w:val="none" w:sz="0" w:space="0" w:color="auto"/>
        <w:right w:val="none" w:sz="0" w:space="0" w:color="auto"/>
      </w:divBdr>
    </w:div>
    <w:div w:id="505679001">
      <w:bodyDiv w:val="1"/>
      <w:marLeft w:val="0"/>
      <w:marRight w:val="0"/>
      <w:marTop w:val="0"/>
      <w:marBottom w:val="0"/>
      <w:divBdr>
        <w:top w:val="none" w:sz="0" w:space="0" w:color="auto"/>
        <w:left w:val="none" w:sz="0" w:space="0" w:color="auto"/>
        <w:bottom w:val="none" w:sz="0" w:space="0" w:color="auto"/>
        <w:right w:val="none" w:sz="0" w:space="0" w:color="auto"/>
      </w:divBdr>
    </w:div>
    <w:div w:id="561601306">
      <w:bodyDiv w:val="1"/>
      <w:marLeft w:val="0"/>
      <w:marRight w:val="0"/>
      <w:marTop w:val="0"/>
      <w:marBottom w:val="0"/>
      <w:divBdr>
        <w:top w:val="none" w:sz="0" w:space="0" w:color="auto"/>
        <w:left w:val="none" w:sz="0" w:space="0" w:color="auto"/>
        <w:bottom w:val="none" w:sz="0" w:space="0" w:color="auto"/>
        <w:right w:val="none" w:sz="0" w:space="0" w:color="auto"/>
      </w:divBdr>
    </w:div>
    <w:div w:id="619992789">
      <w:bodyDiv w:val="1"/>
      <w:marLeft w:val="0"/>
      <w:marRight w:val="0"/>
      <w:marTop w:val="0"/>
      <w:marBottom w:val="0"/>
      <w:divBdr>
        <w:top w:val="none" w:sz="0" w:space="0" w:color="auto"/>
        <w:left w:val="none" w:sz="0" w:space="0" w:color="auto"/>
        <w:bottom w:val="none" w:sz="0" w:space="0" w:color="auto"/>
        <w:right w:val="none" w:sz="0" w:space="0" w:color="auto"/>
      </w:divBdr>
    </w:div>
    <w:div w:id="631911445">
      <w:bodyDiv w:val="1"/>
      <w:marLeft w:val="0"/>
      <w:marRight w:val="0"/>
      <w:marTop w:val="0"/>
      <w:marBottom w:val="0"/>
      <w:divBdr>
        <w:top w:val="none" w:sz="0" w:space="0" w:color="auto"/>
        <w:left w:val="none" w:sz="0" w:space="0" w:color="auto"/>
        <w:bottom w:val="none" w:sz="0" w:space="0" w:color="auto"/>
        <w:right w:val="none" w:sz="0" w:space="0" w:color="auto"/>
      </w:divBdr>
    </w:div>
    <w:div w:id="665475109">
      <w:bodyDiv w:val="1"/>
      <w:marLeft w:val="0"/>
      <w:marRight w:val="0"/>
      <w:marTop w:val="0"/>
      <w:marBottom w:val="0"/>
      <w:divBdr>
        <w:top w:val="none" w:sz="0" w:space="0" w:color="auto"/>
        <w:left w:val="none" w:sz="0" w:space="0" w:color="auto"/>
        <w:bottom w:val="none" w:sz="0" w:space="0" w:color="auto"/>
        <w:right w:val="none" w:sz="0" w:space="0" w:color="auto"/>
      </w:divBdr>
    </w:div>
    <w:div w:id="688678826">
      <w:bodyDiv w:val="1"/>
      <w:marLeft w:val="0"/>
      <w:marRight w:val="0"/>
      <w:marTop w:val="0"/>
      <w:marBottom w:val="0"/>
      <w:divBdr>
        <w:top w:val="none" w:sz="0" w:space="0" w:color="auto"/>
        <w:left w:val="none" w:sz="0" w:space="0" w:color="auto"/>
        <w:bottom w:val="none" w:sz="0" w:space="0" w:color="auto"/>
        <w:right w:val="none" w:sz="0" w:space="0" w:color="auto"/>
      </w:divBdr>
    </w:div>
    <w:div w:id="743917951">
      <w:bodyDiv w:val="1"/>
      <w:marLeft w:val="0"/>
      <w:marRight w:val="0"/>
      <w:marTop w:val="0"/>
      <w:marBottom w:val="0"/>
      <w:divBdr>
        <w:top w:val="none" w:sz="0" w:space="0" w:color="auto"/>
        <w:left w:val="none" w:sz="0" w:space="0" w:color="auto"/>
        <w:bottom w:val="none" w:sz="0" w:space="0" w:color="auto"/>
        <w:right w:val="none" w:sz="0" w:space="0" w:color="auto"/>
      </w:divBdr>
    </w:div>
    <w:div w:id="768739878">
      <w:bodyDiv w:val="1"/>
      <w:marLeft w:val="0"/>
      <w:marRight w:val="0"/>
      <w:marTop w:val="0"/>
      <w:marBottom w:val="0"/>
      <w:divBdr>
        <w:top w:val="none" w:sz="0" w:space="0" w:color="auto"/>
        <w:left w:val="none" w:sz="0" w:space="0" w:color="auto"/>
        <w:bottom w:val="none" w:sz="0" w:space="0" w:color="auto"/>
        <w:right w:val="none" w:sz="0" w:space="0" w:color="auto"/>
      </w:divBdr>
    </w:div>
    <w:div w:id="872495710">
      <w:bodyDiv w:val="1"/>
      <w:marLeft w:val="0"/>
      <w:marRight w:val="0"/>
      <w:marTop w:val="0"/>
      <w:marBottom w:val="0"/>
      <w:divBdr>
        <w:top w:val="none" w:sz="0" w:space="0" w:color="auto"/>
        <w:left w:val="none" w:sz="0" w:space="0" w:color="auto"/>
        <w:bottom w:val="none" w:sz="0" w:space="0" w:color="auto"/>
        <w:right w:val="none" w:sz="0" w:space="0" w:color="auto"/>
      </w:divBdr>
    </w:div>
    <w:div w:id="971985841">
      <w:bodyDiv w:val="1"/>
      <w:marLeft w:val="0"/>
      <w:marRight w:val="0"/>
      <w:marTop w:val="0"/>
      <w:marBottom w:val="0"/>
      <w:divBdr>
        <w:top w:val="none" w:sz="0" w:space="0" w:color="auto"/>
        <w:left w:val="none" w:sz="0" w:space="0" w:color="auto"/>
        <w:bottom w:val="none" w:sz="0" w:space="0" w:color="auto"/>
        <w:right w:val="none" w:sz="0" w:space="0" w:color="auto"/>
      </w:divBdr>
    </w:div>
    <w:div w:id="1045834519">
      <w:bodyDiv w:val="1"/>
      <w:marLeft w:val="0"/>
      <w:marRight w:val="0"/>
      <w:marTop w:val="0"/>
      <w:marBottom w:val="0"/>
      <w:divBdr>
        <w:top w:val="none" w:sz="0" w:space="0" w:color="auto"/>
        <w:left w:val="none" w:sz="0" w:space="0" w:color="auto"/>
        <w:bottom w:val="none" w:sz="0" w:space="0" w:color="auto"/>
        <w:right w:val="none" w:sz="0" w:space="0" w:color="auto"/>
      </w:divBdr>
    </w:div>
    <w:div w:id="1063331228">
      <w:bodyDiv w:val="1"/>
      <w:marLeft w:val="0"/>
      <w:marRight w:val="0"/>
      <w:marTop w:val="0"/>
      <w:marBottom w:val="0"/>
      <w:divBdr>
        <w:top w:val="none" w:sz="0" w:space="0" w:color="auto"/>
        <w:left w:val="none" w:sz="0" w:space="0" w:color="auto"/>
        <w:bottom w:val="none" w:sz="0" w:space="0" w:color="auto"/>
        <w:right w:val="none" w:sz="0" w:space="0" w:color="auto"/>
      </w:divBdr>
    </w:div>
    <w:div w:id="1158569802">
      <w:bodyDiv w:val="1"/>
      <w:marLeft w:val="0"/>
      <w:marRight w:val="0"/>
      <w:marTop w:val="0"/>
      <w:marBottom w:val="0"/>
      <w:divBdr>
        <w:top w:val="none" w:sz="0" w:space="0" w:color="auto"/>
        <w:left w:val="none" w:sz="0" w:space="0" w:color="auto"/>
        <w:bottom w:val="none" w:sz="0" w:space="0" w:color="auto"/>
        <w:right w:val="none" w:sz="0" w:space="0" w:color="auto"/>
      </w:divBdr>
    </w:div>
    <w:div w:id="1384405775">
      <w:bodyDiv w:val="1"/>
      <w:marLeft w:val="0"/>
      <w:marRight w:val="0"/>
      <w:marTop w:val="0"/>
      <w:marBottom w:val="0"/>
      <w:divBdr>
        <w:top w:val="none" w:sz="0" w:space="0" w:color="auto"/>
        <w:left w:val="none" w:sz="0" w:space="0" w:color="auto"/>
        <w:bottom w:val="none" w:sz="0" w:space="0" w:color="auto"/>
        <w:right w:val="none" w:sz="0" w:space="0" w:color="auto"/>
      </w:divBdr>
    </w:div>
    <w:div w:id="1494835479">
      <w:bodyDiv w:val="1"/>
      <w:marLeft w:val="0"/>
      <w:marRight w:val="0"/>
      <w:marTop w:val="0"/>
      <w:marBottom w:val="0"/>
      <w:divBdr>
        <w:top w:val="none" w:sz="0" w:space="0" w:color="auto"/>
        <w:left w:val="none" w:sz="0" w:space="0" w:color="auto"/>
        <w:bottom w:val="none" w:sz="0" w:space="0" w:color="auto"/>
        <w:right w:val="none" w:sz="0" w:space="0" w:color="auto"/>
      </w:divBdr>
    </w:div>
    <w:div w:id="1582988721">
      <w:bodyDiv w:val="1"/>
      <w:marLeft w:val="0"/>
      <w:marRight w:val="0"/>
      <w:marTop w:val="0"/>
      <w:marBottom w:val="0"/>
      <w:divBdr>
        <w:top w:val="none" w:sz="0" w:space="0" w:color="auto"/>
        <w:left w:val="none" w:sz="0" w:space="0" w:color="auto"/>
        <w:bottom w:val="none" w:sz="0" w:space="0" w:color="auto"/>
        <w:right w:val="none" w:sz="0" w:space="0" w:color="auto"/>
      </w:divBdr>
    </w:div>
    <w:div w:id="1825317886">
      <w:bodyDiv w:val="1"/>
      <w:marLeft w:val="0"/>
      <w:marRight w:val="0"/>
      <w:marTop w:val="0"/>
      <w:marBottom w:val="0"/>
      <w:divBdr>
        <w:top w:val="none" w:sz="0" w:space="0" w:color="auto"/>
        <w:left w:val="none" w:sz="0" w:space="0" w:color="auto"/>
        <w:bottom w:val="none" w:sz="0" w:space="0" w:color="auto"/>
        <w:right w:val="none" w:sz="0" w:space="0" w:color="auto"/>
      </w:divBdr>
    </w:div>
    <w:div w:id="1879929153">
      <w:bodyDiv w:val="1"/>
      <w:marLeft w:val="0"/>
      <w:marRight w:val="0"/>
      <w:marTop w:val="0"/>
      <w:marBottom w:val="0"/>
      <w:divBdr>
        <w:top w:val="none" w:sz="0" w:space="0" w:color="auto"/>
        <w:left w:val="none" w:sz="0" w:space="0" w:color="auto"/>
        <w:bottom w:val="none" w:sz="0" w:space="0" w:color="auto"/>
        <w:right w:val="none" w:sz="0" w:space="0" w:color="auto"/>
      </w:divBdr>
    </w:div>
    <w:div w:id="1925456640">
      <w:bodyDiv w:val="1"/>
      <w:marLeft w:val="0"/>
      <w:marRight w:val="0"/>
      <w:marTop w:val="0"/>
      <w:marBottom w:val="0"/>
      <w:divBdr>
        <w:top w:val="none" w:sz="0" w:space="0" w:color="auto"/>
        <w:left w:val="none" w:sz="0" w:space="0" w:color="auto"/>
        <w:bottom w:val="none" w:sz="0" w:space="0" w:color="auto"/>
        <w:right w:val="none" w:sz="0" w:space="0" w:color="auto"/>
      </w:divBdr>
      <w:divsChild>
        <w:div w:id="391464417">
          <w:marLeft w:val="0"/>
          <w:marRight w:val="0"/>
          <w:marTop w:val="0"/>
          <w:marBottom w:val="0"/>
          <w:divBdr>
            <w:top w:val="none" w:sz="0" w:space="0" w:color="auto"/>
            <w:left w:val="none" w:sz="0" w:space="0" w:color="auto"/>
            <w:bottom w:val="none" w:sz="0" w:space="0" w:color="auto"/>
            <w:right w:val="none" w:sz="0" w:space="0" w:color="auto"/>
          </w:divBdr>
        </w:div>
      </w:divsChild>
    </w:div>
    <w:div w:id="1953367108">
      <w:bodyDiv w:val="1"/>
      <w:marLeft w:val="0"/>
      <w:marRight w:val="0"/>
      <w:marTop w:val="0"/>
      <w:marBottom w:val="0"/>
      <w:divBdr>
        <w:top w:val="none" w:sz="0" w:space="0" w:color="auto"/>
        <w:left w:val="none" w:sz="0" w:space="0" w:color="auto"/>
        <w:bottom w:val="none" w:sz="0" w:space="0" w:color="auto"/>
        <w:right w:val="none" w:sz="0" w:space="0" w:color="auto"/>
      </w:divBdr>
    </w:div>
    <w:div w:id="2088965005">
      <w:bodyDiv w:val="1"/>
      <w:marLeft w:val="0"/>
      <w:marRight w:val="0"/>
      <w:marTop w:val="0"/>
      <w:marBottom w:val="0"/>
      <w:divBdr>
        <w:top w:val="none" w:sz="0" w:space="0" w:color="auto"/>
        <w:left w:val="none" w:sz="0" w:space="0" w:color="auto"/>
        <w:bottom w:val="none" w:sz="0" w:space="0" w:color="auto"/>
        <w:right w:val="none" w:sz="0" w:space="0" w:color="auto"/>
      </w:divBdr>
    </w:div>
    <w:div w:id="2096128464">
      <w:bodyDiv w:val="1"/>
      <w:marLeft w:val="0"/>
      <w:marRight w:val="0"/>
      <w:marTop w:val="0"/>
      <w:marBottom w:val="0"/>
      <w:divBdr>
        <w:top w:val="none" w:sz="0" w:space="0" w:color="auto"/>
        <w:left w:val="none" w:sz="0" w:space="0" w:color="auto"/>
        <w:bottom w:val="none" w:sz="0" w:space="0" w:color="auto"/>
        <w:right w:val="none" w:sz="0" w:space="0" w:color="auto"/>
      </w:divBdr>
    </w:div>
    <w:div w:id="21246845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2.xml"/><Relationship Id="rId18" Type="http://schemas.openxmlformats.org/officeDocument/2006/relationships/image" Target="media/image3.png"/><Relationship Id="rId26" Type="http://schemas.openxmlformats.org/officeDocument/2006/relationships/header" Target="header6.xml"/><Relationship Id="rId39" Type="http://schemas.microsoft.com/office/2016/09/relationships/commentsIds" Target="commentsIds.xml"/><Relationship Id="rId3" Type="http://schemas.openxmlformats.org/officeDocument/2006/relationships/numbering" Target="numbering.xml"/><Relationship Id="rId21" Type="http://schemas.openxmlformats.org/officeDocument/2006/relationships/hyperlink" Target="https://consultation.accc.gov.au" TargetMode="External"/><Relationship Id="rId7" Type="http://schemas.openxmlformats.org/officeDocument/2006/relationships/footnotes" Target="footnotes.xml"/><Relationship Id="rId12" Type="http://schemas.openxmlformats.org/officeDocument/2006/relationships/header" Target="header1.xml"/><Relationship Id="rId17" Type="http://schemas.openxmlformats.org/officeDocument/2006/relationships/chart" Target="charts/chart1.xml"/><Relationship Id="rId25"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hyperlink" Target="https://www.legislation.gov.au/Details/F2008C00244" TargetMode="External"/><Relationship Id="rId20" Type="http://schemas.openxmlformats.org/officeDocument/2006/relationships/hyperlink" Target="https://www.productsafety.gov.au/product-safety-laws/compliance-surveillance/selling-online" TargetMode="External"/><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creativecommons.org.au/" TargetMode="External"/><Relationship Id="rId24" Type="http://schemas.openxmlformats.org/officeDocument/2006/relationships/header" Target="header5.xml"/><Relationship Id="rId5" Type="http://schemas.openxmlformats.org/officeDocument/2006/relationships/settings" Target="settings.xml"/><Relationship Id="rId15" Type="http://schemas.openxmlformats.org/officeDocument/2006/relationships/footer" Target="footer1.xml"/><Relationship Id="rId23" Type="http://schemas.openxmlformats.org/officeDocument/2006/relationships/header" Target="header4.xml"/><Relationship Id="rId28"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4.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header" Target="header3.xml"/><Relationship Id="rId22" Type="http://schemas.openxmlformats.org/officeDocument/2006/relationships/hyperlink" Target="http://www.accc.gov.au/system/files/ACCC-AER%20Information%20Policy.pdf" TargetMode="External"/><Relationship Id="rId27" Type="http://schemas.openxmlformats.org/officeDocument/2006/relationships/footer" Target="footer3.xml"/></Relationships>
</file>

<file path=word/_rels/footnotes.xml.rels><?xml version="1.0" encoding="UTF-8" standalone="yes"?>
<Relationships xmlns="http://schemas.openxmlformats.org/package/2006/relationships"><Relationship Id="rId8" Type="http://schemas.openxmlformats.org/officeDocument/2006/relationships/hyperlink" Target="http://www.productsafety.gov.au/content/index.phtml/itemId/1014180" TargetMode="External"/><Relationship Id="rId3" Type="http://schemas.openxmlformats.org/officeDocument/2006/relationships/hyperlink" Target="https://www.statista.com/outlook/70000000/107/beauty-personal-care/australia" TargetMode="External"/><Relationship Id="rId7" Type="http://schemas.openxmlformats.org/officeDocument/2006/relationships/hyperlink" Target="http://clients1.ibisworld.com.au/reports/au/industry/currentperformance.aspx?entid=191" TargetMode="External"/><Relationship Id="rId2" Type="http://schemas.openxmlformats.org/officeDocument/2006/relationships/hyperlink" Target="https://www.allergy.org.au/patients/skin-allergy/contact-dermatitis" TargetMode="External"/><Relationship Id="rId1" Type="http://schemas.openxmlformats.org/officeDocument/2006/relationships/hyperlink" Target="https://www.hsph.harvard.edu/news/hsph-in-the-news/personal-care-products-health-risks/" TargetMode="External"/><Relationship Id="rId6" Type="http://schemas.openxmlformats.org/officeDocument/2006/relationships/hyperlink" Target="http://clients1.ibisworld.com.au/reports/au/industry/default.aspx?entid=191" TargetMode="External"/><Relationship Id="rId5" Type="http://schemas.openxmlformats.org/officeDocument/2006/relationships/hyperlink" Target="https://www.euromonitor.com/beuty-and-personal-care-in-australia/report" TargetMode="External"/><Relationship Id="rId4" Type="http://schemas.openxmlformats.org/officeDocument/2006/relationships/hyperlink" Target="http://clients1.ibisworld.com.au/reports/au/industry/productsandmarkets.aspx?entid=1879"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20(x86)\Microsoft%20Office\Templates\ACCC\Workgroup\ACCC%20Report%20Template.dotm"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Worldwide revenue share in 2018</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ADD7-4EF8-8CAB-0BE4CC1B92D7}"/>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ADD7-4EF8-8CAB-0BE4CC1B92D7}"/>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ADD7-4EF8-8CAB-0BE4CC1B92D7}"/>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ADD7-4EF8-8CAB-0BE4CC1B92D7}"/>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ADD7-4EF8-8CAB-0BE4CC1B92D7}"/>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ADD7-4EF8-8CAB-0BE4CC1B92D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Sheet1!$A$2:$A$7</c:f>
              <c:strCache>
                <c:ptCount val="6"/>
                <c:pt idx="0">
                  <c:v>Oral care</c:v>
                </c:pt>
                <c:pt idx="1">
                  <c:v>Cosmetics</c:v>
                </c:pt>
                <c:pt idx="2">
                  <c:v>Skin care</c:v>
                </c:pt>
                <c:pt idx="3">
                  <c:v>Personal hygiene</c:v>
                </c:pt>
                <c:pt idx="4">
                  <c:v>Hair care</c:v>
                </c:pt>
                <c:pt idx="5">
                  <c:v>Fragrances</c:v>
                </c:pt>
              </c:strCache>
            </c:strRef>
          </c:cat>
          <c:val>
            <c:numRef>
              <c:f>Sheet1!$B$2:$B$7</c:f>
              <c:numCache>
                <c:formatCode>0%</c:formatCode>
                <c:ptCount val="6"/>
                <c:pt idx="0">
                  <c:v>0.1</c:v>
                </c:pt>
                <c:pt idx="1">
                  <c:v>0.16</c:v>
                </c:pt>
                <c:pt idx="2">
                  <c:v>0.28999999999999998</c:v>
                </c:pt>
                <c:pt idx="3">
                  <c:v>0.17</c:v>
                </c:pt>
                <c:pt idx="4">
                  <c:v>0.18</c:v>
                </c:pt>
                <c:pt idx="5">
                  <c:v>0.1</c:v>
                </c:pt>
              </c:numCache>
            </c:numRef>
          </c:val>
          <c:extLst>
            <c:ext xmlns:c16="http://schemas.microsoft.com/office/drawing/2014/chart" uri="{C3380CC4-5D6E-409C-BE32-E72D297353CC}">
              <c16:uniqueId val="{00000000-0472-40D2-9359-D45160A29550}"/>
            </c:ext>
          </c:extLst>
        </c:ser>
        <c:dLbls>
          <c:showLegendKey val="0"/>
          <c:showVal val="0"/>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heme1">
  <a:themeElements>
    <a:clrScheme name="ACCC">
      <a:dk1>
        <a:sysClr val="windowText" lastClr="000000"/>
      </a:dk1>
      <a:lt1>
        <a:sysClr val="window" lastClr="FFFFFF"/>
      </a:lt1>
      <a:dk2>
        <a:srgbClr val="003591"/>
      </a:dk2>
      <a:lt2>
        <a:srgbClr val="D5D6D2"/>
      </a:lt2>
      <a:accent1>
        <a:srgbClr val="410099"/>
      </a:accent1>
      <a:accent2>
        <a:srgbClr val="1CCFC9"/>
      </a:accent2>
      <a:accent3>
        <a:srgbClr val="362F52"/>
      </a:accent3>
      <a:accent4>
        <a:srgbClr val="8B9EFF"/>
      </a:accent4>
      <a:accent5>
        <a:srgbClr val="FFC502"/>
      </a:accent5>
      <a:accent6>
        <a:srgbClr val="FF7600"/>
      </a:accent6>
      <a:hlink>
        <a:srgbClr val="0000FF"/>
      </a:hlink>
      <a:folHlink>
        <a:srgbClr val="800080"/>
      </a:folHlink>
    </a:clrScheme>
    <a:fontScheme name="Office">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[pick the date]</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0FF32AD-2E54-464B-B3C9-2199C23722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ACCC Report Template</Template>
  <TotalTime>0</TotalTime>
  <Pages>19</Pages>
  <Words>7189</Words>
  <Characters>40980</Characters>
  <Application>Microsoft Office Word</Application>
  <DocSecurity>0</DocSecurity>
  <Lines>341</Lines>
  <Paragraphs>96</Paragraphs>
  <ScaleCrop>false</ScaleCrop>
  <HeadingPairs>
    <vt:vector size="2" baseType="variant">
      <vt:variant>
        <vt:lpstr>Title</vt:lpstr>
      </vt:variant>
      <vt:variant>
        <vt:i4>1</vt:i4>
      </vt:variant>
    </vt:vector>
  </HeadingPairs>
  <TitlesOfParts>
    <vt:vector size="1" baseType="lpstr">
      <vt:lpstr>[Document title]</vt:lpstr>
    </vt:vector>
  </TitlesOfParts>
  <Company>ACCC</Company>
  <LinksUpToDate>false</LinksUpToDate>
  <CharactersWithSpaces>48073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[Document title]</dc:title>
  <dc:subject>[subtitle]</dc:subject>
  <dc:creator>Morrison, Sarah</dc:creator>
  <cp:lastModifiedBy>Morrison, Sarah</cp:lastModifiedBy>
  <cp:revision>2</cp:revision>
  <cp:lastPrinted>2019-10-21T01:00:00Z</cp:lastPrinted>
  <dcterms:created xsi:type="dcterms:W3CDTF">2019-11-13T04:43:00Z</dcterms:created>
  <dcterms:modified xsi:type="dcterms:W3CDTF">2019-11-13T04:43:00Z</dcterms:modified>
</cp:coreProperties>
</file>