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FB6676" w:rsidP="00935D49">
      <w:bookmarkStart w:id="0" w:name="_GoBack"/>
      <w:bookmarkEnd w:id="0"/>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le: ACCC Logo" style="width:213.75pt;height:4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242590">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of </w:t>
            </w:r>
            <w:r w:rsidR="00182D4D">
              <w:rPr>
                <w:rFonts w:ascii="Lucida Fax" w:hAnsi="Lucida Fax"/>
                <w:color w:val="4F2D7D"/>
                <w:sz w:val="72"/>
                <w:szCs w:val="72"/>
              </w:rPr>
              <w:t xml:space="preserve">the </w:t>
            </w:r>
            <w:r w:rsidR="00242590" w:rsidRPr="00182D4D">
              <w:rPr>
                <w:rFonts w:ascii="Lucida Fax" w:hAnsi="Lucida Fax"/>
                <w:color w:val="4F2D7D"/>
                <w:sz w:val="72"/>
                <w:szCs w:val="72"/>
              </w:rPr>
              <w:t xml:space="preserve">mandatory </w:t>
            </w:r>
            <w:r w:rsidR="003A4CB3" w:rsidRPr="00182D4D">
              <w:rPr>
                <w:rFonts w:ascii="Lucida Fax" w:hAnsi="Lucida Fax"/>
                <w:color w:val="4F2D7D"/>
                <w:sz w:val="72"/>
                <w:szCs w:val="72"/>
              </w:rPr>
              <w:t xml:space="preserve">safety </w:t>
            </w:r>
            <w:r w:rsidR="00242590" w:rsidRPr="00182D4D">
              <w:rPr>
                <w:rFonts w:ascii="Lucida Fax" w:hAnsi="Lucida Fax"/>
                <w:color w:val="4F2D7D"/>
                <w:sz w:val="72"/>
                <w:szCs w:val="72"/>
              </w:rPr>
              <w:t>standard</w:t>
            </w:r>
            <w:r w:rsidR="003A4CB3">
              <w:rPr>
                <w:rFonts w:ascii="Lucida Fax" w:hAnsi="Lucida Fax"/>
                <w:color w:val="4F2D7D"/>
                <w:sz w:val="72"/>
                <w:szCs w:val="72"/>
              </w:rPr>
              <w:t xml:space="preserve"> for </w:t>
            </w:r>
            <w:r w:rsidR="000A147F">
              <w:rPr>
                <w:rFonts w:ascii="Lucida Fax" w:hAnsi="Lucida Fax"/>
                <w:color w:val="4F2D7D"/>
                <w:sz w:val="72"/>
                <w:szCs w:val="72"/>
              </w:rPr>
              <w:t>moveable soccer goals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935D49" w:rsidRPr="00D44E1E" w:rsidRDefault="002A40FE" w:rsidP="00DD7648">
            <w:pPr>
              <w:pStyle w:val="NoSpacing"/>
              <w:spacing w:before="60" w:after="60"/>
              <w:rPr>
                <w:rFonts w:ascii="Lucida Fax" w:hAnsi="Lucida Fax"/>
                <w:color w:val="FF0000"/>
                <w:sz w:val="24"/>
                <w:szCs w:val="24"/>
              </w:rPr>
            </w:pPr>
            <w:r>
              <w:rPr>
                <w:rFonts w:ascii="Lucida Fax" w:hAnsi="Lucida Fax"/>
                <w:color w:val="FF0000"/>
                <w:sz w:val="24"/>
                <w:szCs w:val="24"/>
              </w:rPr>
              <w:t>October</w:t>
            </w:r>
            <w:r w:rsidR="00D44E1E" w:rsidRPr="00D44E1E">
              <w:rPr>
                <w:rFonts w:ascii="Lucida Fax" w:hAnsi="Lucida Fax"/>
                <w:color w:val="FF0000"/>
                <w:sz w:val="24"/>
                <w:szCs w:val="24"/>
              </w:rPr>
              <w:t xml:space="preserve"> 2016</w:t>
            </w:r>
          </w:p>
          <w:p w:rsidR="00D44E1E" w:rsidRPr="00DD7648" w:rsidRDefault="00D44E1E" w:rsidP="00D44E1E">
            <w:pPr>
              <w:pStyle w:val="NoSpacing"/>
              <w:spacing w:before="60" w:after="60"/>
              <w:jc w:val="center"/>
              <w:rPr>
                <w:rFonts w:ascii="Lucida Fax" w:hAnsi="Lucida Fax"/>
                <w:sz w:val="52"/>
                <w:szCs w:val="52"/>
              </w:rPr>
            </w:pPr>
          </w:p>
        </w:tc>
      </w:tr>
      <w:tr w:rsidR="00935D49" w:rsidRPr="00DD7648" w:rsidTr="00DD7648">
        <w:tc>
          <w:tcPr>
            <w:tcW w:w="9242" w:type="dxa"/>
            <w:shd w:val="clear" w:color="auto" w:fill="auto"/>
          </w:tcPr>
          <w:p w:rsidR="00935D49" w:rsidRPr="00DD7648" w:rsidRDefault="00935D49" w:rsidP="00D44E1E">
            <w:pPr>
              <w:pStyle w:val="CoverDate"/>
              <w:spacing w:before="60" w:after="60"/>
              <w:jc w:val="center"/>
            </w:pPr>
          </w:p>
          <w:p w:rsidR="00935D49" w:rsidRPr="00DD7648" w:rsidRDefault="00FB6676" w:rsidP="000A147F">
            <w:pPr>
              <w:pStyle w:val="CoverDate"/>
              <w:spacing w:before="60" w:after="60"/>
              <w:jc w:val="center"/>
            </w:pPr>
            <w:r>
              <w:pict>
                <v:shape id="_x0000_i1026" type="#_x0000_t75" style="width:118.5pt;height:118.5pt">
                  <v:imagedata r:id="rId11" o:title="soccer"/>
                </v:shape>
              </w:pict>
            </w:r>
          </w:p>
          <w:p w:rsidR="00935D49" w:rsidRPr="00DD7648" w:rsidRDefault="00935D49" w:rsidP="00DD7648">
            <w:pPr>
              <w:pStyle w:val="CoverDate"/>
              <w:spacing w:before="60" w:after="60"/>
            </w:pPr>
          </w:p>
          <w:p w:rsidR="00935D49" w:rsidRPr="00DD7648" w:rsidRDefault="00935D49" w:rsidP="00DD7648">
            <w:pPr>
              <w:pStyle w:val="CoverDate"/>
              <w:spacing w:before="60" w:after="60"/>
            </w:pPr>
          </w:p>
        </w:tc>
      </w:tr>
    </w:tbl>
    <w:p w:rsidR="00935D49" w:rsidRDefault="00935D49" w:rsidP="00262A59"/>
    <w:p w:rsidR="0022438B" w:rsidRDefault="0022438B">
      <w:pPr>
        <w:pStyle w:val="TOC1"/>
        <w:rPr>
          <w:b/>
        </w:rPr>
      </w:pPr>
    </w:p>
    <w:p w:rsidR="0022438B" w:rsidRDefault="0022438B">
      <w:pPr>
        <w:pStyle w:val="TOC1"/>
        <w:rPr>
          <w: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0A147F">
      <w:pPr>
        <w:rPr>
          <w:rFonts w:eastAsia="Calibri" w:cs="Arial"/>
          <w:u w:val="single"/>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FB6676">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
            <v:textbox style="mso-next-textbox:#_x0000_s1034;mso-fit-shape-to-text:t">
              <w:txbxContent>
                <w:p w:rsidR="001A11A6" w:rsidRPr="004F2078" w:rsidRDefault="001A11A6"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moveable soccer goals</w:t>
                  </w:r>
                  <w:r w:rsidRPr="004F2078">
                    <w:rPr>
                      <w:rFonts w:eastAsia="Calibri" w:cs="Arial"/>
                      <w:sz w:val="20"/>
                      <w:szCs w:val="20"/>
                      <w:lang w:val="en-GB"/>
                    </w:rPr>
                    <w:t>.</w:t>
                  </w:r>
                </w:p>
                <w:p w:rsidR="001A11A6" w:rsidRPr="004F2078" w:rsidRDefault="001A11A6" w:rsidP="005440AE">
                  <w:pPr>
                    <w:spacing w:before="120" w:after="120"/>
                    <w:rPr>
                      <w:rFonts w:eastAsia="Calibri" w:cs="Arial"/>
                      <w:sz w:val="20"/>
                      <w:szCs w:val="20"/>
                    </w:rPr>
                  </w:pPr>
                  <w:r w:rsidRPr="004F2078">
                    <w:rPr>
                      <w:rFonts w:eastAsia="Calibri" w:cs="Arial"/>
                      <w:sz w:val="20"/>
                      <w:szCs w:val="20"/>
                    </w:rPr>
                    <w:t xml:space="preserve">© Commonwealth of Australia 2016.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AF2073" w:rsidRDefault="00AF2073">
      <w:pPr>
        <w:pStyle w:val="TOC1"/>
        <w:rPr>
          <w:rFonts w:eastAsia="Calibri"/>
        </w:rPr>
      </w:pPr>
      <w:r w:rsidRPr="00DB6C88">
        <w:rPr>
          <w:b/>
        </w:rPr>
        <w:lastRenderedPageBreak/>
        <w:t>Table of contents</w:t>
      </w:r>
    </w:p>
    <w:p w:rsidR="0094334F"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5168541" w:history="1">
        <w:r w:rsidR="0094334F" w:rsidRPr="007E5AC2">
          <w:rPr>
            <w:rStyle w:val="Hyperlink"/>
          </w:rPr>
          <w:t>1.</w:t>
        </w:r>
        <w:r w:rsidR="0094334F">
          <w:rPr>
            <w:rFonts w:asciiTheme="minorHAnsi" w:eastAsiaTheme="minorEastAsia" w:hAnsiTheme="minorHAnsi" w:cstheme="minorBidi"/>
            <w:lang w:val="en-AU" w:eastAsia="en-AU"/>
          </w:rPr>
          <w:tab/>
        </w:r>
        <w:r w:rsidR="0094334F" w:rsidRPr="007E5AC2">
          <w:rPr>
            <w:rStyle w:val="Hyperlink"/>
          </w:rPr>
          <w:t>Introduction</w:t>
        </w:r>
        <w:r w:rsidR="0094334F">
          <w:rPr>
            <w:webHidden/>
          </w:rPr>
          <w:tab/>
        </w:r>
        <w:r w:rsidR="0094334F">
          <w:rPr>
            <w:webHidden/>
          </w:rPr>
          <w:fldChar w:fldCharType="begin"/>
        </w:r>
        <w:r w:rsidR="0094334F">
          <w:rPr>
            <w:webHidden/>
          </w:rPr>
          <w:instrText xml:space="preserve"> PAGEREF _Toc465168541 \h </w:instrText>
        </w:r>
        <w:r w:rsidR="0094334F">
          <w:rPr>
            <w:webHidden/>
          </w:rPr>
        </w:r>
        <w:r w:rsidR="0094334F">
          <w:rPr>
            <w:webHidden/>
          </w:rPr>
          <w:fldChar w:fldCharType="separate"/>
        </w:r>
        <w:r w:rsidR="00FB6676">
          <w:rPr>
            <w:webHidden/>
          </w:rPr>
          <w:t>4</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42" w:history="1">
        <w:r w:rsidR="0094334F" w:rsidRPr="007E5AC2">
          <w:rPr>
            <w:rStyle w:val="Hyperlink"/>
          </w:rPr>
          <w:t>2.</w:t>
        </w:r>
        <w:r w:rsidR="0094334F">
          <w:rPr>
            <w:rFonts w:asciiTheme="minorHAnsi" w:eastAsiaTheme="minorEastAsia" w:hAnsiTheme="minorHAnsi" w:cstheme="minorBidi"/>
            <w:lang w:val="en-AU" w:eastAsia="en-AU"/>
          </w:rPr>
          <w:tab/>
        </w:r>
        <w:r w:rsidR="0094334F" w:rsidRPr="007E5AC2">
          <w:rPr>
            <w:rStyle w:val="Hyperlink"/>
          </w:rPr>
          <w:t>Policy options</w:t>
        </w:r>
        <w:r w:rsidR="0094334F">
          <w:rPr>
            <w:webHidden/>
          </w:rPr>
          <w:tab/>
        </w:r>
        <w:r w:rsidR="0094334F">
          <w:rPr>
            <w:webHidden/>
          </w:rPr>
          <w:fldChar w:fldCharType="begin"/>
        </w:r>
        <w:r w:rsidR="0094334F">
          <w:rPr>
            <w:webHidden/>
          </w:rPr>
          <w:instrText xml:space="preserve"> PAGEREF _Toc465168542 \h </w:instrText>
        </w:r>
        <w:r w:rsidR="0094334F">
          <w:rPr>
            <w:webHidden/>
          </w:rPr>
        </w:r>
        <w:r w:rsidR="0094334F">
          <w:rPr>
            <w:webHidden/>
          </w:rPr>
          <w:fldChar w:fldCharType="separate"/>
        </w:r>
        <w:r>
          <w:rPr>
            <w:webHidden/>
          </w:rPr>
          <w:t>4</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43" w:history="1">
        <w:r w:rsidR="0094334F" w:rsidRPr="007E5AC2">
          <w:rPr>
            <w:rStyle w:val="Hyperlink"/>
          </w:rPr>
          <w:t>3.</w:t>
        </w:r>
        <w:r w:rsidR="0094334F">
          <w:rPr>
            <w:rFonts w:asciiTheme="minorHAnsi" w:eastAsiaTheme="minorEastAsia" w:hAnsiTheme="minorHAnsi" w:cstheme="minorBidi"/>
            <w:lang w:val="en-AU" w:eastAsia="en-AU"/>
          </w:rPr>
          <w:tab/>
        </w:r>
        <w:r w:rsidR="0094334F" w:rsidRPr="007E5AC2">
          <w:rPr>
            <w:rStyle w:val="Hyperlink"/>
          </w:rPr>
          <w:t>Background</w:t>
        </w:r>
        <w:r w:rsidR="0094334F">
          <w:rPr>
            <w:webHidden/>
          </w:rPr>
          <w:tab/>
        </w:r>
        <w:r w:rsidR="0094334F">
          <w:rPr>
            <w:webHidden/>
          </w:rPr>
          <w:fldChar w:fldCharType="begin"/>
        </w:r>
        <w:r w:rsidR="0094334F">
          <w:rPr>
            <w:webHidden/>
          </w:rPr>
          <w:instrText xml:space="preserve"> PAGEREF _Toc465168543 \h </w:instrText>
        </w:r>
        <w:r w:rsidR="0094334F">
          <w:rPr>
            <w:webHidden/>
          </w:rPr>
        </w:r>
        <w:r w:rsidR="0094334F">
          <w:rPr>
            <w:webHidden/>
          </w:rPr>
          <w:fldChar w:fldCharType="separate"/>
        </w:r>
        <w:r>
          <w:rPr>
            <w:webHidden/>
          </w:rPr>
          <w:t>4</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44" w:history="1">
        <w:r w:rsidR="0094334F" w:rsidRPr="007E5AC2">
          <w:rPr>
            <w:rStyle w:val="Hyperlink"/>
          </w:rPr>
          <w:t>4.</w:t>
        </w:r>
        <w:r w:rsidR="0094334F">
          <w:rPr>
            <w:rFonts w:asciiTheme="minorHAnsi" w:eastAsiaTheme="minorEastAsia" w:hAnsiTheme="minorHAnsi" w:cstheme="minorBidi"/>
            <w:lang w:val="en-AU" w:eastAsia="en-AU"/>
          </w:rPr>
          <w:tab/>
        </w:r>
        <w:r w:rsidR="0094334F" w:rsidRPr="007E5AC2">
          <w:rPr>
            <w:rStyle w:val="Hyperlink"/>
          </w:rPr>
          <w:t>The mandatory safety standard</w:t>
        </w:r>
        <w:r w:rsidR="0094334F">
          <w:rPr>
            <w:webHidden/>
          </w:rPr>
          <w:tab/>
        </w:r>
        <w:r w:rsidR="0094334F">
          <w:rPr>
            <w:webHidden/>
          </w:rPr>
          <w:fldChar w:fldCharType="begin"/>
        </w:r>
        <w:r w:rsidR="0094334F">
          <w:rPr>
            <w:webHidden/>
          </w:rPr>
          <w:instrText xml:space="preserve"> PAGEREF _Toc465168544 \h </w:instrText>
        </w:r>
        <w:r w:rsidR="0094334F">
          <w:rPr>
            <w:webHidden/>
          </w:rPr>
        </w:r>
        <w:r w:rsidR="0094334F">
          <w:rPr>
            <w:webHidden/>
          </w:rPr>
          <w:fldChar w:fldCharType="separate"/>
        </w:r>
        <w:r>
          <w:rPr>
            <w:webHidden/>
          </w:rPr>
          <w:t>5</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46" w:history="1">
        <w:r w:rsidR="0094334F" w:rsidRPr="007E5AC2">
          <w:rPr>
            <w:rStyle w:val="Hyperlink"/>
          </w:rPr>
          <w:t>5.</w:t>
        </w:r>
        <w:r w:rsidR="0094334F">
          <w:rPr>
            <w:rFonts w:asciiTheme="minorHAnsi" w:eastAsiaTheme="minorEastAsia" w:hAnsiTheme="minorHAnsi" w:cstheme="minorBidi"/>
            <w:lang w:val="en-AU" w:eastAsia="en-AU"/>
          </w:rPr>
          <w:tab/>
        </w:r>
        <w:r w:rsidR="0094334F" w:rsidRPr="007E5AC2">
          <w:rPr>
            <w:rStyle w:val="Hyperlink"/>
          </w:rPr>
          <w:t>Adopting trusted international standards</w:t>
        </w:r>
        <w:r w:rsidR="0094334F">
          <w:rPr>
            <w:webHidden/>
          </w:rPr>
          <w:tab/>
        </w:r>
        <w:r w:rsidR="0094334F">
          <w:rPr>
            <w:webHidden/>
          </w:rPr>
          <w:fldChar w:fldCharType="begin"/>
        </w:r>
        <w:r w:rsidR="0094334F">
          <w:rPr>
            <w:webHidden/>
          </w:rPr>
          <w:instrText xml:space="preserve"> PAGEREF _Toc465168546 \h </w:instrText>
        </w:r>
        <w:r w:rsidR="0094334F">
          <w:rPr>
            <w:webHidden/>
          </w:rPr>
        </w:r>
        <w:r w:rsidR="0094334F">
          <w:rPr>
            <w:webHidden/>
          </w:rPr>
          <w:fldChar w:fldCharType="separate"/>
        </w:r>
        <w:r>
          <w:rPr>
            <w:webHidden/>
          </w:rPr>
          <w:t>6</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49" w:history="1">
        <w:r w:rsidR="0094334F" w:rsidRPr="007E5AC2">
          <w:rPr>
            <w:rStyle w:val="Hyperlink"/>
          </w:rPr>
          <w:t>6.</w:t>
        </w:r>
        <w:r w:rsidR="0094334F">
          <w:rPr>
            <w:rFonts w:asciiTheme="minorHAnsi" w:eastAsiaTheme="minorEastAsia" w:hAnsiTheme="minorHAnsi" w:cstheme="minorBidi"/>
            <w:lang w:val="en-AU" w:eastAsia="en-AU"/>
          </w:rPr>
          <w:tab/>
        </w:r>
        <w:r w:rsidR="0094334F" w:rsidRPr="007E5AC2">
          <w:rPr>
            <w:rStyle w:val="Hyperlink"/>
          </w:rPr>
          <w:t>Detailed description of policy options</w:t>
        </w:r>
        <w:r w:rsidR="0094334F">
          <w:rPr>
            <w:webHidden/>
          </w:rPr>
          <w:tab/>
        </w:r>
        <w:r w:rsidR="0094334F">
          <w:rPr>
            <w:webHidden/>
          </w:rPr>
          <w:fldChar w:fldCharType="begin"/>
        </w:r>
        <w:r w:rsidR="0094334F">
          <w:rPr>
            <w:webHidden/>
          </w:rPr>
          <w:instrText xml:space="preserve"> PAGEREF _Toc465168549 \h </w:instrText>
        </w:r>
        <w:r w:rsidR="0094334F">
          <w:rPr>
            <w:webHidden/>
          </w:rPr>
        </w:r>
        <w:r w:rsidR="0094334F">
          <w:rPr>
            <w:webHidden/>
          </w:rPr>
          <w:fldChar w:fldCharType="separate"/>
        </w:r>
        <w:r>
          <w:rPr>
            <w:webHidden/>
          </w:rPr>
          <w:t>7</w:t>
        </w:r>
        <w:r w:rsidR="0094334F">
          <w:rPr>
            <w:webHidden/>
          </w:rPr>
          <w:fldChar w:fldCharType="end"/>
        </w:r>
      </w:hyperlink>
    </w:p>
    <w:p w:rsidR="0094334F" w:rsidRDefault="00FB6676">
      <w:pPr>
        <w:pStyle w:val="TOC2"/>
        <w:rPr>
          <w:rFonts w:asciiTheme="minorHAnsi" w:eastAsiaTheme="minorEastAsia" w:hAnsiTheme="minorHAnsi" w:cstheme="minorBidi"/>
          <w:lang w:eastAsia="en-AU"/>
        </w:rPr>
      </w:pPr>
      <w:hyperlink w:anchor="_Toc465168550" w:history="1">
        <w:r w:rsidR="0094334F" w:rsidRPr="007E5AC2">
          <w:rPr>
            <w:rStyle w:val="Hyperlink"/>
          </w:rPr>
          <w:t>Option 1 - Keep the current mandatory safety standard (status quo)</w:t>
        </w:r>
        <w:r w:rsidR="0094334F">
          <w:rPr>
            <w:webHidden/>
          </w:rPr>
          <w:tab/>
        </w:r>
        <w:r w:rsidR="0094334F">
          <w:rPr>
            <w:webHidden/>
          </w:rPr>
          <w:fldChar w:fldCharType="begin"/>
        </w:r>
        <w:r w:rsidR="0094334F">
          <w:rPr>
            <w:webHidden/>
          </w:rPr>
          <w:instrText xml:space="preserve"> PAGEREF _Toc465168550 \h </w:instrText>
        </w:r>
        <w:r w:rsidR="0094334F">
          <w:rPr>
            <w:webHidden/>
          </w:rPr>
        </w:r>
        <w:r w:rsidR="0094334F">
          <w:rPr>
            <w:webHidden/>
          </w:rPr>
          <w:fldChar w:fldCharType="separate"/>
        </w:r>
        <w:r>
          <w:rPr>
            <w:webHidden/>
          </w:rPr>
          <w:t>7</w:t>
        </w:r>
        <w:r w:rsidR="0094334F">
          <w:rPr>
            <w:webHidden/>
          </w:rPr>
          <w:fldChar w:fldCharType="end"/>
        </w:r>
      </w:hyperlink>
    </w:p>
    <w:p w:rsidR="0094334F" w:rsidRDefault="00FB6676">
      <w:pPr>
        <w:pStyle w:val="TOC2"/>
        <w:rPr>
          <w:rFonts w:asciiTheme="minorHAnsi" w:eastAsiaTheme="minorEastAsia" w:hAnsiTheme="minorHAnsi" w:cstheme="minorBidi"/>
          <w:lang w:eastAsia="en-AU"/>
        </w:rPr>
      </w:pPr>
      <w:hyperlink w:anchor="_Toc465168554" w:history="1">
        <w:r w:rsidR="0094334F" w:rsidRPr="007E5AC2">
          <w:rPr>
            <w:rStyle w:val="Hyperlink"/>
          </w:rPr>
          <w:t>Option 2 - Revoke the mandatory safety standard</w:t>
        </w:r>
        <w:r w:rsidR="0094334F">
          <w:rPr>
            <w:webHidden/>
          </w:rPr>
          <w:tab/>
        </w:r>
        <w:r w:rsidR="0094334F">
          <w:rPr>
            <w:webHidden/>
          </w:rPr>
          <w:fldChar w:fldCharType="begin"/>
        </w:r>
        <w:r w:rsidR="0094334F">
          <w:rPr>
            <w:webHidden/>
          </w:rPr>
          <w:instrText xml:space="preserve"> PAGEREF _Toc465168554 \h </w:instrText>
        </w:r>
        <w:r w:rsidR="0094334F">
          <w:rPr>
            <w:webHidden/>
          </w:rPr>
        </w:r>
        <w:r w:rsidR="0094334F">
          <w:rPr>
            <w:webHidden/>
          </w:rPr>
          <w:fldChar w:fldCharType="separate"/>
        </w:r>
        <w:r>
          <w:rPr>
            <w:webHidden/>
          </w:rPr>
          <w:t>7</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58" w:history="1">
        <w:r w:rsidR="0094334F" w:rsidRPr="007E5AC2">
          <w:rPr>
            <w:rStyle w:val="Hyperlink"/>
          </w:rPr>
          <w:t>7.</w:t>
        </w:r>
        <w:r w:rsidR="0094334F">
          <w:rPr>
            <w:rFonts w:asciiTheme="minorHAnsi" w:eastAsiaTheme="minorEastAsia" w:hAnsiTheme="minorHAnsi" w:cstheme="minorBidi"/>
            <w:lang w:val="en-AU" w:eastAsia="en-AU"/>
          </w:rPr>
          <w:tab/>
        </w:r>
        <w:r w:rsidR="0094334F" w:rsidRPr="007E5AC2">
          <w:rPr>
            <w:rStyle w:val="Hyperlink"/>
          </w:rPr>
          <w:t>Preliminary position</w:t>
        </w:r>
        <w:r w:rsidR="0094334F">
          <w:rPr>
            <w:webHidden/>
          </w:rPr>
          <w:tab/>
        </w:r>
        <w:r w:rsidR="0094334F">
          <w:rPr>
            <w:webHidden/>
          </w:rPr>
          <w:fldChar w:fldCharType="begin"/>
        </w:r>
        <w:r w:rsidR="0094334F">
          <w:rPr>
            <w:webHidden/>
          </w:rPr>
          <w:instrText xml:space="preserve"> PAGEREF _Toc465168558 \h </w:instrText>
        </w:r>
        <w:r w:rsidR="0094334F">
          <w:rPr>
            <w:webHidden/>
          </w:rPr>
        </w:r>
        <w:r w:rsidR="0094334F">
          <w:rPr>
            <w:webHidden/>
          </w:rPr>
          <w:fldChar w:fldCharType="separate"/>
        </w:r>
        <w:r>
          <w:rPr>
            <w:webHidden/>
          </w:rPr>
          <w:t>8</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59" w:history="1">
        <w:r w:rsidR="0094334F" w:rsidRPr="007E5AC2">
          <w:rPr>
            <w:rStyle w:val="Hyperlink"/>
          </w:rPr>
          <w:t>8.</w:t>
        </w:r>
        <w:r w:rsidR="0094334F">
          <w:rPr>
            <w:rFonts w:asciiTheme="minorHAnsi" w:eastAsiaTheme="minorEastAsia" w:hAnsiTheme="minorHAnsi" w:cstheme="minorBidi"/>
            <w:lang w:val="en-AU" w:eastAsia="en-AU"/>
          </w:rPr>
          <w:tab/>
        </w:r>
        <w:r w:rsidR="0094334F" w:rsidRPr="007E5AC2">
          <w:rPr>
            <w:rStyle w:val="Hyperlink"/>
          </w:rPr>
          <w:t>Consultation questions</w:t>
        </w:r>
        <w:r w:rsidR="0094334F">
          <w:rPr>
            <w:webHidden/>
          </w:rPr>
          <w:tab/>
        </w:r>
        <w:r w:rsidR="0094334F">
          <w:rPr>
            <w:webHidden/>
          </w:rPr>
          <w:fldChar w:fldCharType="begin"/>
        </w:r>
        <w:r w:rsidR="0094334F">
          <w:rPr>
            <w:webHidden/>
          </w:rPr>
          <w:instrText xml:space="preserve"> PAGEREF _Toc465168559 \h </w:instrText>
        </w:r>
        <w:r w:rsidR="0094334F">
          <w:rPr>
            <w:webHidden/>
          </w:rPr>
        </w:r>
        <w:r w:rsidR="0094334F">
          <w:rPr>
            <w:webHidden/>
          </w:rPr>
          <w:fldChar w:fldCharType="separate"/>
        </w:r>
        <w:r>
          <w:rPr>
            <w:webHidden/>
          </w:rPr>
          <w:t>8</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60" w:history="1">
        <w:r w:rsidR="0094334F" w:rsidRPr="007E5AC2">
          <w:rPr>
            <w:rStyle w:val="Hyperlink"/>
          </w:rPr>
          <w:t>9.</w:t>
        </w:r>
        <w:r w:rsidR="0094334F">
          <w:rPr>
            <w:rFonts w:asciiTheme="minorHAnsi" w:eastAsiaTheme="minorEastAsia" w:hAnsiTheme="minorHAnsi" w:cstheme="minorBidi"/>
            <w:lang w:val="en-AU" w:eastAsia="en-AU"/>
          </w:rPr>
          <w:tab/>
        </w:r>
        <w:r w:rsidR="0094334F" w:rsidRPr="007E5AC2">
          <w:rPr>
            <w:rStyle w:val="Hyperlink"/>
          </w:rPr>
          <w:t>Have your say</w:t>
        </w:r>
        <w:r w:rsidR="0094334F">
          <w:rPr>
            <w:webHidden/>
          </w:rPr>
          <w:tab/>
        </w:r>
        <w:r w:rsidR="0094334F">
          <w:rPr>
            <w:webHidden/>
          </w:rPr>
          <w:fldChar w:fldCharType="begin"/>
        </w:r>
        <w:r w:rsidR="0094334F">
          <w:rPr>
            <w:webHidden/>
          </w:rPr>
          <w:instrText xml:space="preserve"> PAGEREF _Toc465168560 \h </w:instrText>
        </w:r>
        <w:r w:rsidR="0094334F">
          <w:rPr>
            <w:webHidden/>
          </w:rPr>
        </w:r>
        <w:r w:rsidR="0094334F">
          <w:rPr>
            <w:webHidden/>
          </w:rPr>
          <w:fldChar w:fldCharType="separate"/>
        </w:r>
        <w:r>
          <w:rPr>
            <w:webHidden/>
          </w:rPr>
          <w:t>9</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61" w:history="1">
        <w:r w:rsidR="0094334F" w:rsidRPr="007E5AC2">
          <w:rPr>
            <w:rStyle w:val="Hyperlink"/>
            <w:rFonts w:eastAsia="Calibri"/>
          </w:rPr>
          <w:t>Glossary</w:t>
        </w:r>
        <w:r w:rsidR="0094334F">
          <w:rPr>
            <w:webHidden/>
          </w:rPr>
          <w:tab/>
        </w:r>
        <w:r w:rsidR="0094334F">
          <w:rPr>
            <w:webHidden/>
          </w:rPr>
          <w:fldChar w:fldCharType="begin"/>
        </w:r>
        <w:r w:rsidR="0094334F">
          <w:rPr>
            <w:webHidden/>
          </w:rPr>
          <w:instrText xml:space="preserve"> PAGEREF _Toc465168561 \h </w:instrText>
        </w:r>
        <w:r w:rsidR="0094334F">
          <w:rPr>
            <w:webHidden/>
          </w:rPr>
        </w:r>
        <w:r w:rsidR="0094334F">
          <w:rPr>
            <w:webHidden/>
          </w:rPr>
          <w:fldChar w:fldCharType="separate"/>
        </w:r>
        <w:r>
          <w:rPr>
            <w:webHidden/>
          </w:rPr>
          <w:t>10</w:t>
        </w:r>
        <w:r w:rsidR="0094334F">
          <w:rPr>
            <w:webHidden/>
          </w:rPr>
          <w:fldChar w:fldCharType="end"/>
        </w:r>
      </w:hyperlink>
    </w:p>
    <w:p w:rsidR="0094334F" w:rsidRDefault="00FB6676">
      <w:pPr>
        <w:pStyle w:val="TOC1"/>
        <w:rPr>
          <w:rFonts w:asciiTheme="minorHAnsi" w:eastAsiaTheme="minorEastAsia" w:hAnsiTheme="minorHAnsi" w:cstheme="minorBidi"/>
          <w:lang w:val="en-AU" w:eastAsia="en-AU"/>
        </w:rPr>
      </w:pPr>
      <w:hyperlink w:anchor="_Toc465168562" w:history="1">
        <w:r w:rsidR="0094334F" w:rsidRPr="007E5AC2">
          <w:rPr>
            <w:rStyle w:val="Hyperlink"/>
          </w:rPr>
          <w:t>Appendix A – Comparison of international standards</w:t>
        </w:r>
        <w:r w:rsidR="0094334F">
          <w:rPr>
            <w:webHidden/>
          </w:rPr>
          <w:tab/>
        </w:r>
        <w:r w:rsidR="0094334F">
          <w:rPr>
            <w:webHidden/>
          </w:rPr>
          <w:fldChar w:fldCharType="begin"/>
        </w:r>
        <w:r w:rsidR="0094334F">
          <w:rPr>
            <w:webHidden/>
          </w:rPr>
          <w:instrText xml:space="preserve"> PAGEREF _Toc465168562 \h </w:instrText>
        </w:r>
        <w:r w:rsidR="0094334F">
          <w:rPr>
            <w:webHidden/>
          </w:rPr>
        </w:r>
        <w:r w:rsidR="0094334F">
          <w:rPr>
            <w:webHidden/>
          </w:rPr>
          <w:fldChar w:fldCharType="separate"/>
        </w:r>
        <w:r>
          <w:rPr>
            <w:webHidden/>
          </w:rPr>
          <w:t>11</w:t>
        </w:r>
        <w:r w:rsidR="0094334F">
          <w:rPr>
            <w:webHidden/>
          </w:rPr>
          <w:fldChar w:fldCharType="end"/>
        </w:r>
      </w:hyperlink>
    </w:p>
    <w:p w:rsidR="00782C4B" w:rsidRDefault="0086325C" w:rsidP="00A47C24">
      <w:pPr>
        <w:rPr>
          <w:rFonts w:ascii="Lucida Fax" w:eastAsia="Times New Roman" w:hAnsi="Lucida Fax"/>
          <w:bCs/>
          <w:color w:val="51626F"/>
          <w:sz w:val="32"/>
          <w:szCs w:val="28"/>
        </w:rPr>
      </w:pPr>
      <w:r w:rsidRPr="00242590">
        <w:rPr>
          <w:rFonts w:eastAsia="Times New Roman" w:cs="Arial"/>
          <w:bCs/>
          <w:color w:val="51626F"/>
          <w:sz w:val="20"/>
          <w:szCs w:val="20"/>
        </w:rPr>
        <w:fldChar w:fldCharType="end"/>
      </w:r>
      <w:bookmarkStart w:id="1" w:name="_Toc453759776"/>
      <w:bookmarkStart w:id="2" w:name="_Toc453749322"/>
    </w:p>
    <w:p w:rsidR="00935D49" w:rsidRDefault="00782C4B" w:rsidP="00274420">
      <w:pPr>
        <w:pStyle w:val="Numbered1"/>
        <w:numPr>
          <w:ilvl w:val="0"/>
          <w:numId w:val="27"/>
        </w:numPr>
        <w:spacing w:before="0"/>
        <w:ind w:left="680" w:hanging="680"/>
      </w:pPr>
      <w:r>
        <w:br w:type="page"/>
      </w:r>
      <w:bookmarkStart w:id="3" w:name="_Toc465168541"/>
      <w:bookmarkEnd w:id="1"/>
      <w:r w:rsidR="00935D49" w:rsidRPr="00382011">
        <w:lastRenderedPageBreak/>
        <w:t>Introduction</w:t>
      </w:r>
      <w:bookmarkEnd w:id="2"/>
      <w:bookmarkEnd w:id="3"/>
    </w:p>
    <w:p w:rsidR="00B2564B" w:rsidRDefault="00935D49" w:rsidP="004E24CC">
      <w:r w:rsidRPr="004421B4">
        <w:t>The</w:t>
      </w:r>
      <w:r>
        <w:t xml:space="preserve"> ACCC is reviewing the mandatory safet</w:t>
      </w:r>
      <w:r w:rsidR="00DE37CD">
        <w:t xml:space="preserve">y standard </w:t>
      </w:r>
      <w:r>
        <w:t xml:space="preserve">for </w:t>
      </w:r>
      <w:r w:rsidR="00B2564B">
        <w:t>moveable soccer goals</w:t>
      </w:r>
      <w:r w:rsidR="00242590">
        <w:t xml:space="preserve"> </w:t>
      </w:r>
      <w:r>
        <w:t>because</w:t>
      </w:r>
      <w:bookmarkStart w:id="4" w:name="_Toc453749323"/>
      <w:r w:rsidR="004E24CC">
        <w:t xml:space="preserve"> it has not been reviewed since</w:t>
      </w:r>
      <w:r w:rsidR="00327EC5">
        <w:t xml:space="preserve"> </w:t>
      </w:r>
      <w:r w:rsidR="00882DF1">
        <w:t>it started</w:t>
      </w:r>
      <w:r w:rsidR="00882DF1" w:rsidRPr="00B2564B">
        <w:t xml:space="preserve"> </w:t>
      </w:r>
      <w:r w:rsidR="00B2564B" w:rsidRPr="00B2564B">
        <w:t>in 2010</w:t>
      </w:r>
      <w:r w:rsidR="004E24CC">
        <w:t>,</w:t>
      </w:r>
      <w:r w:rsidR="00B2564B" w:rsidRPr="00B2564B">
        <w:t xml:space="preserve"> an</w:t>
      </w:r>
      <w:r w:rsidR="00B2564B">
        <w:t xml:space="preserve">d we are seeking information on </w:t>
      </w:r>
      <w:r w:rsidR="00B2564B" w:rsidRPr="00B2564B">
        <w:rPr>
          <w:rFonts w:cs="Arial"/>
        </w:rPr>
        <w:t>whether</w:t>
      </w:r>
      <w:r w:rsidR="00B2564B">
        <w:rPr>
          <w:rFonts w:cs="Arial"/>
        </w:rPr>
        <w:t xml:space="preserve"> it </w:t>
      </w:r>
      <w:r w:rsidR="00B2564B" w:rsidRPr="00B2564B">
        <w:rPr>
          <w:rFonts w:cs="Arial"/>
        </w:rPr>
        <w:t>has been effective in reducing deaths and injuries</w:t>
      </w:r>
      <w:r w:rsidR="004E24CC">
        <w:rPr>
          <w:rFonts w:cs="Arial"/>
        </w:rPr>
        <w:t>.</w:t>
      </w:r>
    </w:p>
    <w:p w:rsidR="00023664" w:rsidRDefault="00FB6676" w:rsidP="00023664">
      <w:pPr>
        <w:pStyle w:val="ListParagraph"/>
        <w:numPr>
          <w:ilvl w:val="0"/>
          <w:numId w:val="0"/>
        </w:numPr>
        <w:ind w:left="340" w:hanging="340"/>
      </w:pPr>
      <w:r>
        <w:rPr>
          <w:noProof/>
        </w:rPr>
        <w:pict>
          <v:shape id="Text Box 2" o:spid="_x0000_s1037" type="#_x0000_t202" style="position:absolute;left:0;text-align:left;margin-left:-1.6pt;margin-top:9.25pt;width:447.75pt;height:69.7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Text Box 2">
              <w:txbxContent>
                <w:p w:rsidR="001A11A6" w:rsidRDefault="001A11A6" w:rsidP="00023664">
                  <w:pPr>
                    <w:jc w:val="both"/>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1A11A6" w:rsidRDefault="001A11A6" w:rsidP="00023664">
                  <w:pPr>
                    <w:jc w:val="both"/>
                    <w:rPr>
                      <w:b/>
                    </w:rPr>
                  </w:pPr>
                  <w:r>
                    <w:rPr>
                      <w:b/>
                    </w:rPr>
                    <w:t>You</w:t>
                  </w:r>
                  <w:r w:rsidRPr="00396799">
                    <w:rPr>
                      <w:b/>
                    </w:rPr>
                    <w:t xml:space="preserve"> are encouraged to make submissions</w:t>
                  </w:r>
                  <w:r>
                    <w:rPr>
                      <w:b/>
                    </w:rPr>
                    <w:t>.</w:t>
                  </w:r>
                </w:p>
                <w:p w:rsidR="001A11A6" w:rsidRDefault="001A11A6" w:rsidP="00023664">
                  <w:pPr>
                    <w:jc w:val="both"/>
                  </w:pPr>
                </w:p>
              </w:txbxContent>
            </v:textbox>
          </v:shape>
        </w:pict>
      </w:r>
    </w:p>
    <w:p w:rsidR="00023664" w:rsidRDefault="00023664" w:rsidP="00023664">
      <w:pPr>
        <w:pStyle w:val="ListParagraph"/>
        <w:numPr>
          <w:ilvl w:val="0"/>
          <w:numId w:val="0"/>
        </w:numPr>
        <w:ind w:left="340" w:hanging="340"/>
      </w:pPr>
    </w:p>
    <w:p w:rsidR="00023664" w:rsidRDefault="00023664" w:rsidP="00023664">
      <w:pPr>
        <w:pStyle w:val="ListParagraph"/>
        <w:numPr>
          <w:ilvl w:val="0"/>
          <w:numId w:val="0"/>
        </w:numPr>
        <w:ind w:left="340" w:hanging="340"/>
      </w:pPr>
    </w:p>
    <w:p w:rsidR="00023664" w:rsidRDefault="00023664" w:rsidP="00023664">
      <w:pPr>
        <w:pStyle w:val="ListParagraph"/>
        <w:numPr>
          <w:ilvl w:val="0"/>
          <w:numId w:val="0"/>
        </w:numPr>
        <w:ind w:left="340" w:hanging="340"/>
      </w:pPr>
    </w:p>
    <w:p w:rsidR="00023664" w:rsidRDefault="00023664" w:rsidP="00023664">
      <w:pPr>
        <w:pStyle w:val="ListParagraph"/>
        <w:numPr>
          <w:ilvl w:val="0"/>
          <w:numId w:val="0"/>
        </w:numPr>
        <w:ind w:left="340" w:hanging="340"/>
      </w:pPr>
    </w:p>
    <w:p w:rsidR="00F47A7B" w:rsidRPr="00F47A7B" w:rsidRDefault="00F47A7B" w:rsidP="002D5565">
      <w:pPr>
        <w:pStyle w:val="Numbered1"/>
        <w:numPr>
          <w:ilvl w:val="0"/>
          <w:numId w:val="27"/>
        </w:numPr>
        <w:spacing w:before="0"/>
        <w:ind w:left="680" w:hanging="680"/>
      </w:pPr>
      <w:bookmarkStart w:id="5" w:name="_Toc465168542"/>
      <w:r w:rsidRPr="00F47A7B">
        <w:t xml:space="preserve">Policy </w:t>
      </w:r>
      <w:r w:rsidRPr="00382011">
        <w:t>options</w:t>
      </w:r>
      <w:bookmarkEnd w:id="4"/>
      <w:bookmarkEnd w:id="5"/>
    </w:p>
    <w:p w:rsidR="00F47A7B" w:rsidRPr="00F47A7B" w:rsidRDefault="00515357" w:rsidP="00F47A7B">
      <w:r>
        <w:t>This consultation paper</w:t>
      </w:r>
      <w:r w:rsidRPr="00F47A7B">
        <w:t xml:space="preserve"> discuss</w:t>
      </w:r>
      <w:r>
        <w:t>es</w:t>
      </w:r>
      <w:r w:rsidRPr="00F47A7B">
        <w:t xml:space="preserve"> </w:t>
      </w:r>
      <w:r w:rsidR="00222EA8">
        <w:t>two</w:t>
      </w:r>
      <w:r w:rsidR="00F47A7B" w:rsidRPr="00F47A7B">
        <w:t xml:space="preserve"> policy options:</w:t>
      </w:r>
    </w:p>
    <w:tbl>
      <w:tblPr>
        <w:tblW w:w="0" w:type="auto"/>
        <w:tblLook w:val="04A0" w:firstRow="1" w:lastRow="0" w:firstColumn="1" w:lastColumn="0" w:noHBand="0" w:noVBand="1"/>
      </w:tblPr>
      <w:tblGrid>
        <w:gridCol w:w="1526"/>
        <w:gridCol w:w="7229"/>
      </w:tblGrid>
      <w:tr w:rsidR="00F47A7B" w:rsidRPr="00F47A7B" w:rsidTr="0086325C">
        <w:tc>
          <w:tcPr>
            <w:tcW w:w="1526" w:type="dxa"/>
            <w:shd w:val="clear" w:color="auto" w:fill="auto"/>
          </w:tcPr>
          <w:p w:rsidR="004C6799" w:rsidRDefault="004C6799" w:rsidP="00F47A7B">
            <w:r>
              <w:t>Option 1</w:t>
            </w:r>
          </w:p>
          <w:p w:rsidR="00F47A7B" w:rsidRPr="004C6799" w:rsidRDefault="004C6799" w:rsidP="00A42F68">
            <w:pPr>
              <w:rPr>
                <w:b/>
              </w:rPr>
            </w:pPr>
            <w:r>
              <w:t xml:space="preserve">Option </w:t>
            </w:r>
            <w:r w:rsidR="00A42F68">
              <w:t>2</w:t>
            </w:r>
          </w:p>
        </w:tc>
        <w:tc>
          <w:tcPr>
            <w:tcW w:w="7229" w:type="dxa"/>
            <w:shd w:val="clear" w:color="auto" w:fill="auto"/>
          </w:tcPr>
          <w:p w:rsidR="004C6799" w:rsidRDefault="004C6799" w:rsidP="00F47A7B">
            <w:r>
              <w:t>Keep the current mandatory safety standard (status quo)</w:t>
            </w:r>
          </w:p>
          <w:p w:rsidR="004C6799" w:rsidRDefault="004C6799" w:rsidP="00F47A7B">
            <w:r>
              <w:t>Revoke the mandatory safety standard</w:t>
            </w:r>
            <w:r w:rsidR="00082848">
              <w:t>.</w:t>
            </w:r>
          </w:p>
          <w:p w:rsidR="008D3C0E" w:rsidRPr="008D3C0E" w:rsidRDefault="008D3C0E" w:rsidP="008D3C0E"/>
        </w:tc>
      </w:tr>
    </w:tbl>
    <w:p w:rsidR="00CE6BCF" w:rsidRPr="00AC1FB8" w:rsidRDefault="00CE6BCF" w:rsidP="002D5565">
      <w:pPr>
        <w:pStyle w:val="Numbered1"/>
        <w:numPr>
          <w:ilvl w:val="0"/>
          <w:numId w:val="27"/>
        </w:numPr>
        <w:spacing w:before="0"/>
        <w:ind w:left="680" w:hanging="680"/>
      </w:pPr>
      <w:bookmarkStart w:id="6" w:name="_Toc448397925"/>
      <w:bookmarkStart w:id="7" w:name="_Toc453749325"/>
      <w:bookmarkStart w:id="8" w:name="_Toc465168543"/>
      <w:r w:rsidRPr="00382011">
        <w:t>Background</w:t>
      </w:r>
      <w:bookmarkEnd w:id="6"/>
      <w:bookmarkEnd w:id="7"/>
      <w:bookmarkEnd w:id="8"/>
    </w:p>
    <w:p w:rsidR="005345CC" w:rsidRDefault="005345CC" w:rsidP="004C6799">
      <w:r w:rsidRPr="005345CC">
        <w:t>A moveable soccer goal is designed to be moved from field to field or on and off a field during practice or a game.</w:t>
      </w:r>
      <w:r>
        <w:t xml:space="preserve"> In Australia, </w:t>
      </w:r>
      <w:r w:rsidR="00B15969">
        <w:t xml:space="preserve">a small number of </w:t>
      </w:r>
      <w:r w:rsidR="00082848" w:rsidRPr="005345CC">
        <w:t xml:space="preserve">moveable soccer goal </w:t>
      </w:r>
      <w:r>
        <w:t xml:space="preserve">suppliers generally design, manufacture and distribute their products directly to their customers. </w:t>
      </w:r>
      <w:r w:rsidR="005D10FB">
        <w:t xml:space="preserve">The ACCC understands that </w:t>
      </w:r>
      <w:r w:rsidR="00A731E6">
        <w:t xml:space="preserve">moveable </w:t>
      </w:r>
      <w:r w:rsidR="005D10FB">
        <w:t>soccer goals are generally not imported</w:t>
      </w:r>
      <w:r w:rsidR="00A731E6">
        <w:t xml:space="preserve"> in Australia</w:t>
      </w:r>
      <w:r w:rsidR="005D10FB">
        <w:t xml:space="preserve"> or traded internationally due to the high costs associated with transportation.</w:t>
      </w:r>
    </w:p>
    <w:p w:rsidR="00C44672" w:rsidRPr="004C6799" w:rsidRDefault="005345CC" w:rsidP="004C6799">
      <w:r>
        <w:t>Individual consumers make up a limited part of the customer market in Australia – m</w:t>
      </w:r>
      <w:r w:rsidR="009E6D8E">
        <w:t>oveable soccer goals are more likely to be purchased for use by sporting clubs</w:t>
      </w:r>
      <w:r w:rsidR="00335848">
        <w:t>,</w:t>
      </w:r>
      <w:r w:rsidR="009E6D8E">
        <w:t xml:space="preserve"> schools and organisations such as soccer academies</w:t>
      </w:r>
      <w:r>
        <w:t xml:space="preserve">. </w:t>
      </w:r>
    </w:p>
    <w:p w:rsidR="00082848" w:rsidRDefault="00082848" w:rsidP="00F54D08">
      <w:r w:rsidRPr="006718D8">
        <w:t>Numerous deaths in Australia and internationally have been associated with unstable a</w:t>
      </w:r>
      <w:r>
        <w:t>nd heavy moveable soccer goals.</w:t>
      </w:r>
      <w:r w:rsidRPr="006718D8">
        <w:t xml:space="preserve"> In Australia there have been at least seven deaths and one incident resulting in the person becoming paraplegic</w:t>
      </w:r>
      <w:r>
        <w:t xml:space="preserve"> since 1986</w:t>
      </w:r>
      <w:r w:rsidRPr="006718D8">
        <w:t xml:space="preserve">. </w:t>
      </w:r>
      <w:r>
        <w:t>Worldwide, there</w:t>
      </w:r>
      <w:r w:rsidRPr="00E70CEE">
        <w:t xml:space="preserve"> have been </w:t>
      </w:r>
      <w:r>
        <w:t>more than</w:t>
      </w:r>
      <w:r w:rsidRPr="00E70CEE">
        <w:t xml:space="preserve"> 40 deaths and serious injuries</w:t>
      </w:r>
      <w:r>
        <w:t>. T</w:t>
      </w:r>
      <w:r w:rsidRPr="00E0321F">
        <w:t xml:space="preserve">he victims are often young children </w:t>
      </w:r>
      <w:r w:rsidR="00A5143F">
        <w:t>or</w:t>
      </w:r>
      <w:r w:rsidRPr="00E0321F">
        <w:t xml:space="preserve"> teenagers.</w:t>
      </w:r>
      <w:r>
        <w:t xml:space="preserve"> </w:t>
      </w:r>
    </w:p>
    <w:p w:rsidR="00E0321F" w:rsidRDefault="00E0321F" w:rsidP="00E0321F">
      <w:r>
        <w:t>Death and serious injury can happen if moveable soccer goals are installed incorrectly or if they are used inappropriately.</w:t>
      </w:r>
      <w:r w:rsidR="00082848">
        <w:t xml:space="preserve"> </w:t>
      </w:r>
      <w:r>
        <w:t>Injuries and trauma to the head, neck, chest and limbs can be caused by:</w:t>
      </w:r>
    </w:p>
    <w:p w:rsidR="00E0321F" w:rsidRDefault="00E0321F" w:rsidP="001F61AB">
      <w:pPr>
        <w:pStyle w:val="Bulletpoint"/>
      </w:pPr>
      <w:r>
        <w:t>instability of the goals</w:t>
      </w:r>
    </w:p>
    <w:p w:rsidR="00E0321F" w:rsidRDefault="00E0321F" w:rsidP="001F61AB">
      <w:pPr>
        <w:pStyle w:val="Bulletpoint"/>
      </w:pPr>
      <w:r>
        <w:t>goals becoming unanchored</w:t>
      </w:r>
    </w:p>
    <w:p w:rsidR="00E0321F" w:rsidRDefault="00E0321F" w:rsidP="001F61AB">
      <w:pPr>
        <w:pStyle w:val="Bulletpoint"/>
      </w:pPr>
      <w:r>
        <w:t>goals with inadequate anchoring</w:t>
      </w:r>
    </w:p>
    <w:p w:rsidR="00E0321F" w:rsidRDefault="00E0321F" w:rsidP="001F61AB">
      <w:pPr>
        <w:pStyle w:val="Bulletpoint"/>
      </w:pPr>
      <w:r>
        <w:t>inappropriate or ineffective installation</w:t>
      </w:r>
    </w:p>
    <w:p w:rsidR="00D43E5C" w:rsidRDefault="00E0321F" w:rsidP="006A512B">
      <w:pPr>
        <w:pStyle w:val="Bulletpoint"/>
      </w:pPr>
      <w:r>
        <w:t>inappropriate use such as swinging on goalposts or cross bars.</w:t>
      </w:r>
    </w:p>
    <w:p w:rsidR="00A54528" w:rsidRDefault="00A54528" w:rsidP="00A54528">
      <w:pPr>
        <w:pStyle w:val="Bulletpoint"/>
        <w:numPr>
          <w:ilvl w:val="0"/>
          <w:numId w:val="0"/>
        </w:numPr>
        <w:ind w:left="360"/>
      </w:pPr>
    </w:p>
    <w:p w:rsidR="00E0130C" w:rsidRDefault="00E0130C" w:rsidP="00882DF1">
      <w:pPr>
        <w:pStyle w:val="Numbered1"/>
        <w:keepNext/>
        <w:numPr>
          <w:ilvl w:val="0"/>
          <w:numId w:val="27"/>
        </w:numPr>
        <w:spacing w:before="0"/>
        <w:ind w:left="680" w:hanging="680"/>
      </w:pPr>
      <w:bookmarkStart w:id="9" w:name="_Toc448397928"/>
      <w:bookmarkStart w:id="10" w:name="_Toc453749081"/>
      <w:bookmarkStart w:id="11" w:name="_Toc453749327"/>
      <w:bookmarkStart w:id="12" w:name="_Toc453749377"/>
      <w:bookmarkStart w:id="13" w:name="_Toc453759782"/>
      <w:bookmarkStart w:id="14" w:name="_Toc453763180"/>
      <w:bookmarkStart w:id="15" w:name="_Toc453763865"/>
      <w:bookmarkStart w:id="16" w:name="_Toc453765775"/>
      <w:bookmarkStart w:id="17" w:name="_Toc454443990"/>
      <w:bookmarkStart w:id="18" w:name="_Toc454544414"/>
      <w:bookmarkStart w:id="19" w:name="_Toc455579996"/>
      <w:bookmarkStart w:id="20" w:name="_Toc456277614"/>
      <w:bookmarkStart w:id="21" w:name="_Toc456278983"/>
      <w:bookmarkStart w:id="22" w:name="_Toc457311807"/>
      <w:bookmarkStart w:id="23" w:name="_Toc464122491"/>
      <w:bookmarkStart w:id="24" w:name="_Toc464133741"/>
      <w:bookmarkStart w:id="25" w:name="_Toc464137270"/>
      <w:bookmarkStart w:id="26" w:name="_Toc465168544"/>
      <w:r w:rsidRPr="00382011">
        <w:lastRenderedPageBreak/>
        <w:t>The mandatory safety standard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35848" w:rsidRDefault="00335848" w:rsidP="00774875">
      <w:r>
        <w:t>A mandatory safety standard for moveable soccer goals was first introduced in 2007 by New South Wales in</w:t>
      </w:r>
      <w:r w:rsidRPr="004C6799">
        <w:t xml:space="preserve"> response to deaths and injuries associated with </w:t>
      </w:r>
      <w:r>
        <w:t xml:space="preserve">the products in Australia and overseas. As part of the </w:t>
      </w:r>
      <w:r w:rsidRPr="009E3A24">
        <w:t xml:space="preserve">harmonisation of state and territory </w:t>
      </w:r>
      <w:r>
        <w:t xml:space="preserve">consumer </w:t>
      </w:r>
      <w:r w:rsidRPr="009E3A24">
        <w:t xml:space="preserve">product safety regulation in preparation for the Australian Consumer Law, the </w:t>
      </w:r>
      <w:r w:rsidR="00082848">
        <w:t xml:space="preserve">Australian </w:t>
      </w:r>
      <w:r w:rsidR="00E0321F">
        <w:t>Government</w:t>
      </w:r>
      <w:r w:rsidRPr="009E3A24">
        <w:t xml:space="preserve"> created a national </w:t>
      </w:r>
      <w:r>
        <w:t xml:space="preserve">mandatory safety </w:t>
      </w:r>
      <w:r w:rsidRPr="009E3A24">
        <w:t>standard in 2010.</w:t>
      </w:r>
    </w:p>
    <w:p w:rsidR="00BE241C" w:rsidRDefault="009E3A24" w:rsidP="009E3A24">
      <w:r>
        <w:t xml:space="preserve">The mandatory safety standard is set out in </w:t>
      </w:r>
      <w:r w:rsidRPr="00774875">
        <w:t>Consumer Protection Notice No. 28 of 2010</w:t>
      </w:r>
      <w:r>
        <w:t xml:space="preserve"> and commenced on 1 January 2011. It is based on a voluntary Australian </w:t>
      </w:r>
      <w:r w:rsidRPr="00A94236">
        <w:t>standard</w:t>
      </w:r>
      <w:r w:rsidRPr="009E3A24">
        <w:rPr>
          <w:i/>
        </w:rPr>
        <w:t xml:space="preserve"> AS 4866.1-2007 </w:t>
      </w:r>
      <w:r w:rsidR="00D07BFD">
        <w:rPr>
          <w:i/>
        </w:rPr>
        <w:t xml:space="preserve">- </w:t>
      </w:r>
      <w:r w:rsidRPr="009E3A24">
        <w:rPr>
          <w:i/>
        </w:rPr>
        <w:t>Playing field equipment - Soccer goals - Safety aspects</w:t>
      </w:r>
      <w:r w:rsidR="0065583D">
        <w:t xml:space="preserve">. </w:t>
      </w:r>
      <w:r w:rsidR="00BE241C">
        <w:t>It applies to moveable soccer goals that are free standing</w:t>
      </w:r>
      <w:r w:rsidR="006718D8">
        <w:t xml:space="preserve">, </w:t>
      </w:r>
      <w:r w:rsidR="00BE241C">
        <w:t>designed to be moved for use in various locations</w:t>
      </w:r>
      <w:r w:rsidR="006718D8">
        <w:t xml:space="preserve">, </w:t>
      </w:r>
      <w:r w:rsidR="00BE241C">
        <w:t>and weighing 28 k</w:t>
      </w:r>
      <w:r w:rsidR="00A804B8">
        <w:t xml:space="preserve">g </w:t>
      </w:r>
      <w:r w:rsidR="00BE241C">
        <w:t xml:space="preserve">or above. </w:t>
      </w:r>
    </w:p>
    <w:p w:rsidR="00BE241C" w:rsidRDefault="00BE241C" w:rsidP="009E3A24">
      <w:r>
        <w:t xml:space="preserve">The mandatory safety standard </w:t>
      </w:r>
      <w:r w:rsidR="00811FDE">
        <w:t>specifies design and construction requirements including requiring</w:t>
      </w:r>
      <w:r>
        <w:t xml:space="preserve"> moveable soccer goals </w:t>
      </w:r>
      <w:r w:rsidR="00811FDE">
        <w:t xml:space="preserve">to </w:t>
      </w:r>
      <w:r>
        <w:t xml:space="preserve">have at least one ‘anchor’ point at each side of the rear ground bar; </w:t>
      </w:r>
      <w:r w:rsidR="00811FDE">
        <w:t>performance testing including</w:t>
      </w:r>
      <w:r>
        <w:t xml:space="preserve"> </w:t>
      </w:r>
      <w:r w:rsidR="00811FDE">
        <w:t>a stability</w:t>
      </w:r>
      <w:r>
        <w:t xml:space="preserve"> test</w:t>
      </w:r>
      <w:r w:rsidR="0032531B">
        <w:t xml:space="preserve"> and a static load test</w:t>
      </w:r>
      <w:r>
        <w:t xml:space="preserve">; and </w:t>
      </w:r>
      <w:r w:rsidR="00811FDE">
        <w:t xml:space="preserve">specifies the </w:t>
      </w:r>
      <w:r>
        <w:t>following consumer warning label:</w:t>
      </w:r>
    </w:p>
    <w:p w:rsidR="00BE241C" w:rsidRDefault="00FB6676" w:rsidP="00F54D08">
      <w:pPr>
        <w:jc w:val="center"/>
      </w:pPr>
      <w:r>
        <w:rPr>
          <w:noProof/>
        </w:rPr>
        <w:pict>
          <v:shape id="_x0000_s1041" type="#_x0000_t202" style="position:absolute;left:0;text-align:left;margin-left:-2.3pt;margin-top:7.65pt;width:411.8pt;height:58.6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1">
              <w:txbxContent>
                <w:p w:rsidR="001A11A6" w:rsidRDefault="001A11A6">
                  <w:r w:rsidRPr="00811FDE">
                    <w:t>“WARNING—ALWAYS ANCHOR GOAL—NEVER CLIMB OR HANG ON CROSSBAR. Unanchored goals can tip over causing serious injury or death.”</w:t>
                  </w:r>
                </w:p>
              </w:txbxContent>
            </v:textbox>
          </v:shape>
        </w:pict>
      </w:r>
    </w:p>
    <w:p w:rsidR="009E3A24" w:rsidRDefault="009E3A24" w:rsidP="009E3A24"/>
    <w:p w:rsidR="009814BE" w:rsidRDefault="009814BE" w:rsidP="009814BE">
      <w:bookmarkStart w:id="27" w:name="_Toc453749341"/>
    </w:p>
    <w:p w:rsidR="00082848" w:rsidRDefault="00D8643E" w:rsidP="00F54D08">
      <w:r>
        <w:t>Stand</w:t>
      </w:r>
      <w:r w:rsidR="0084383D">
        <w:t xml:space="preserve">ards Australia </w:t>
      </w:r>
      <w:r w:rsidR="00082848">
        <w:t xml:space="preserve">published the voluntary Australian </w:t>
      </w:r>
      <w:r w:rsidR="00082848" w:rsidRPr="00A94236">
        <w:t>standard</w:t>
      </w:r>
      <w:r w:rsidR="00082848" w:rsidRPr="008C2124">
        <w:t xml:space="preserve"> </w:t>
      </w:r>
      <w:r w:rsidR="0084383D">
        <w:t xml:space="preserve">in November 2007 </w:t>
      </w:r>
      <w:r>
        <w:t xml:space="preserve">and </w:t>
      </w:r>
      <w:r w:rsidR="00082848">
        <w:t xml:space="preserve">have </w:t>
      </w:r>
      <w:r>
        <w:t xml:space="preserve">not updated </w:t>
      </w:r>
      <w:r w:rsidR="00082848">
        <w:t xml:space="preserve">it </w:t>
      </w:r>
      <w:r>
        <w:t>since.</w:t>
      </w:r>
    </w:p>
    <w:p w:rsidR="00EF1C2C" w:rsidRDefault="00EF1C2C" w:rsidP="00F54D08">
      <w:r>
        <w:t>No deaths associated with moveable soccer goals have been reported in Australia since the mandatory safety standard was introduced. I</w:t>
      </w:r>
      <w:r w:rsidRPr="004D7E38">
        <w:t xml:space="preserve">t is </w:t>
      </w:r>
      <w:r>
        <w:t>possible however</w:t>
      </w:r>
      <w:r w:rsidRPr="004D7E38">
        <w:t xml:space="preserve"> that </w:t>
      </w:r>
      <w:r>
        <w:t>some moveable soccer goals</w:t>
      </w:r>
      <w:r w:rsidRPr="004D7E38">
        <w:t xml:space="preserve"> presently in use were </w:t>
      </w:r>
      <w:r>
        <w:t>purchased</w:t>
      </w:r>
      <w:r w:rsidRPr="004D7E38">
        <w:t xml:space="preserve"> before the standard came into force and therefore do not have the full range of features mandated</w:t>
      </w:r>
      <w:r>
        <w:t>.</w:t>
      </w:r>
    </w:p>
    <w:p w:rsidR="00C66B20" w:rsidRPr="005C3367" w:rsidRDefault="00C66B20" w:rsidP="005C3367">
      <w:pPr>
        <w:pStyle w:val="Numbered11"/>
      </w:pPr>
      <w:bookmarkStart w:id="28" w:name="_Toc464122492"/>
      <w:bookmarkStart w:id="29" w:name="_Toc464133742"/>
      <w:bookmarkStart w:id="30" w:name="_Toc464137271"/>
      <w:bookmarkStart w:id="31" w:name="_Toc464831651"/>
      <w:bookmarkStart w:id="32" w:name="_Toc465081771"/>
      <w:bookmarkStart w:id="33" w:name="_Toc465160600"/>
      <w:bookmarkStart w:id="34" w:name="_Toc465168545"/>
      <w:r w:rsidRPr="00D43E5C">
        <w:t xml:space="preserve">ACCC </w:t>
      </w:r>
      <w:r w:rsidR="00E0321F" w:rsidRPr="005C3367">
        <w:t xml:space="preserve">consumer </w:t>
      </w:r>
      <w:r w:rsidRPr="005C3367">
        <w:t xml:space="preserve">education and awareness </w:t>
      </w:r>
      <w:bookmarkEnd w:id="28"/>
      <w:bookmarkEnd w:id="29"/>
      <w:bookmarkEnd w:id="30"/>
      <w:r w:rsidR="00E0321F" w:rsidRPr="005C3367">
        <w:t>activities</w:t>
      </w:r>
      <w:bookmarkEnd w:id="31"/>
      <w:bookmarkEnd w:id="32"/>
      <w:bookmarkEnd w:id="33"/>
      <w:bookmarkEnd w:id="34"/>
    </w:p>
    <w:p w:rsidR="005440AE" w:rsidRDefault="00335F84" w:rsidP="00C66B20">
      <w:r>
        <w:t xml:space="preserve">The ACCC has run </w:t>
      </w:r>
      <w:r w:rsidR="00E70CEE">
        <w:t xml:space="preserve">several </w:t>
      </w:r>
      <w:r>
        <w:t xml:space="preserve">education </w:t>
      </w:r>
      <w:r w:rsidR="00E70CEE">
        <w:t xml:space="preserve">activities </w:t>
      </w:r>
      <w:r>
        <w:t>and outreach efforts to inform consumers of the hazards of moveable soccer g</w:t>
      </w:r>
      <w:r w:rsidR="00E70AE7">
        <w:t>oals.</w:t>
      </w:r>
      <w:r w:rsidR="00E70CEE">
        <w:t xml:space="preserve"> Specifically, the consumer messages focused on the three safety steps ‘anchor, check, respect’ that soccer goal users should follow to avoid serious injury and death risks. </w:t>
      </w:r>
      <w:r w:rsidR="007A507A">
        <w:t xml:space="preserve">Major activities include: </w:t>
      </w:r>
    </w:p>
    <w:p w:rsidR="007A507A" w:rsidRDefault="00E70CEE" w:rsidP="00774875">
      <w:pPr>
        <w:pStyle w:val="Bulletpoint"/>
      </w:pPr>
      <w:r>
        <w:t>In 2012 the ACCC partnered with the Football Federation of Australia (FFA) and developed a</w:t>
      </w:r>
      <w:r w:rsidR="0014476F">
        <w:t xml:space="preserve"> </w:t>
      </w:r>
      <w:r w:rsidR="003F5A73">
        <w:t xml:space="preserve">national </w:t>
      </w:r>
      <w:r w:rsidR="0014476F">
        <w:t>soccer goal safety campaign</w:t>
      </w:r>
      <w:r w:rsidR="003F5A73">
        <w:t>. The campaign involved media, an animated online video, social media and resources</w:t>
      </w:r>
      <w:r w:rsidR="007A507A">
        <w:t xml:space="preserve"> for distribution</w:t>
      </w:r>
      <w:r w:rsidR="003F5A73">
        <w:t xml:space="preserve"> including a DVD, a poster and a flyer with a survey. </w:t>
      </w:r>
      <w:r w:rsidR="007A507A">
        <w:t>Information p</w:t>
      </w:r>
      <w:r w:rsidR="003F5A73">
        <w:t xml:space="preserve">acks were sent to local councils and football clubs. </w:t>
      </w:r>
    </w:p>
    <w:p w:rsidR="00BD5189" w:rsidRDefault="003F5A73" w:rsidP="00774875">
      <w:pPr>
        <w:pStyle w:val="Bulletpoint"/>
      </w:pPr>
      <w:r>
        <w:t xml:space="preserve">In 2013 the ACCC </w:t>
      </w:r>
      <w:r w:rsidR="00BD5189">
        <w:t>started</w:t>
      </w:r>
      <w:r>
        <w:t xml:space="preserve"> </w:t>
      </w:r>
      <w:r w:rsidR="00BD5189">
        <w:t>a second phase</w:t>
      </w:r>
      <w:r w:rsidR="004D7E38">
        <w:t xml:space="preserve"> of</w:t>
      </w:r>
      <w:r w:rsidR="00BD5189">
        <w:t xml:space="preserve"> </w:t>
      </w:r>
      <w:r>
        <w:t xml:space="preserve">awareness activities </w:t>
      </w:r>
      <w:r w:rsidR="004D7E38">
        <w:t>targeting teachers and coaches and those training to be teachers or coaches.</w:t>
      </w:r>
      <w:r w:rsidR="00BD5189">
        <w:t xml:space="preserve"> </w:t>
      </w:r>
      <w:r w:rsidR="004D7E38">
        <w:t>This involved a mail-out to over 10 000 primary and high schools and 118 tertiary or training organisation course directors</w:t>
      </w:r>
      <w:r>
        <w:t xml:space="preserve">. </w:t>
      </w:r>
    </w:p>
    <w:p w:rsidR="00C66B20" w:rsidRPr="009814BE" w:rsidRDefault="00BD5189" w:rsidP="00774875">
      <w:pPr>
        <w:pStyle w:val="Bulletpoint"/>
      </w:pPr>
      <w:r>
        <w:t>In 2014</w:t>
      </w:r>
      <w:r w:rsidR="00E2350B">
        <w:t xml:space="preserve"> the ACCC again promoted consumer safety messages via media and social media.</w:t>
      </w:r>
      <w:r>
        <w:t xml:space="preserve"> </w:t>
      </w:r>
    </w:p>
    <w:p w:rsidR="002B1ABD" w:rsidRDefault="001C3D0D" w:rsidP="005C3367">
      <w:pPr>
        <w:pStyle w:val="Numbered1"/>
        <w:numPr>
          <w:ilvl w:val="0"/>
          <w:numId w:val="27"/>
        </w:numPr>
        <w:spacing w:before="0"/>
        <w:ind w:left="680" w:hanging="680"/>
      </w:pPr>
      <w:bookmarkStart w:id="35" w:name="_Toc455066801"/>
      <w:bookmarkStart w:id="36" w:name="_Toc455066836"/>
      <w:bookmarkStart w:id="37" w:name="_Toc455499192"/>
      <w:bookmarkStart w:id="38" w:name="_Toc455756327"/>
      <w:bookmarkStart w:id="39" w:name="_Toc456098882"/>
      <w:bookmarkStart w:id="40" w:name="_Toc456623858"/>
      <w:bookmarkStart w:id="41" w:name="_Toc457222705"/>
      <w:bookmarkEnd w:id="27"/>
      <w:r>
        <w:br w:type="page"/>
      </w:r>
      <w:bookmarkStart w:id="42" w:name="_Toc465168546"/>
      <w:r w:rsidR="002B1ABD">
        <w:lastRenderedPageBreak/>
        <w:t xml:space="preserve">Adopting </w:t>
      </w:r>
      <w:r w:rsidR="00D07BFD">
        <w:t xml:space="preserve">trusted </w:t>
      </w:r>
      <w:r w:rsidR="002B1ABD">
        <w:t>i</w:t>
      </w:r>
      <w:r w:rsidR="002B1ABD" w:rsidRPr="00844B87">
        <w:t>nternational standards</w:t>
      </w:r>
      <w:bookmarkEnd w:id="35"/>
      <w:bookmarkEnd w:id="36"/>
      <w:bookmarkEnd w:id="37"/>
      <w:bookmarkEnd w:id="38"/>
      <w:bookmarkEnd w:id="39"/>
      <w:bookmarkEnd w:id="40"/>
      <w:bookmarkEnd w:id="41"/>
      <w:bookmarkEnd w:id="42"/>
    </w:p>
    <w:p w:rsidR="002B1ABD" w:rsidRPr="00DB6C88" w:rsidRDefault="00AB207F" w:rsidP="002B1ABD">
      <w:bookmarkStart w:id="43" w:name="_Toc453749097"/>
      <w:bookmarkStart w:id="44" w:name="_Toc453749343"/>
      <w:bookmarkStart w:id="45" w:name="_Toc453759796"/>
      <w:bookmarkStart w:id="46" w:name="_Toc453763881"/>
      <w:bookmarkStart w:id="47" w:name="_Toc453765791"/>
      <w:bookmarkStart w:id="48" w:name="_Toc454544419"/>
      <w:bookmarkStart w:id="49" w:name="_Toc455580002"/>
      <w:bookmarkStart w:id="50" w:name="_Toc456277620"/>
      <w:bookmarkStart w:id="51" w:name="_Toc456278989"/>
      <w:r>
        <w:t xml:space="preserve">The ACCC has assessed </w:t>
      </w:r>
      <w:r w:rsidR="00E2350B">
        <w:t>two international standards</w:t>
      </w:r>
      <w:r w:rsidR="001C3D0D" w:rsidRPr="001C3D0D">
        <w:t xml:space="preserve"> </w:t>
      </w:r>
      <w:r w:rsidR="001C3D0D">
        <w:t>for moveable soccer goals</w:t>
      </w:r>
      <w:r w:rsidR="00A5143F">
        <w:t xml:space="preserve">. </w:t>
      </w:r>
      <w:r w:rsidR="004D22FC">
        <w:br/>
        <w:t xml:space="preserve">Appendix A compares the </w:t>
      </w:r>
      <w:r w:rsidR="00A5143F" w:rsidRPr="00C821DA">
        <w:t>American Society for Testing and Materials</w:t>
      </w:r>
      <w:r w:rsidR="00A5143F">
        <w:t xml:space="preserve"> (</w:t>
      </w:r>
      <w:r w:rsidR="001C3D0D">
        <w:t>ASTM</w:t>
      </w:r>
      <w:r w:rsidR="00A5143F">
        <w:t>)</w:t>
      </w:r>
      <w:r w:rsidRPr="001F41A3">
        <w:t xml:space="preserve"> </w:t>
      </w:r>
      <w:r w:rsidR="001F41A3" w:rsidRPr="001F41A3">
        <w:t xml:space="preserve">standard </w:t>
      </w:r>
      <w:r w:rsidRPr="001F41A3">
        <w:t xml:space="preserve">and </w:t>
      </w:r>
      <w:r w:rsidR="00E2350B">
        <w:t xml:space="preserve">a </w:t>
      </w:r>
      <w:r w:rsidRPr="001F41A3">
        <w:t>European standard</w:t>
      </w:r>
      <w:r w:rsidR="00A5143F">
        <w:t xml:space="preserve"> </w:t>
      </w:r>
      <w:r w:rsidR="004D22FC">
        <w:t xml:space="preserve">with the voluntary Australian standard. We also </w:t>
      </w:r>
      <w:r w:rsidR="00A5143F">
        <w:t>assess</w:t>
      </w:r>
      <w:r w:rsidR="001F41A3">
        <w:t xml:space="preserve"> </w:t>
      </w:r>
      <w:r w:rsidR="004D22FC">
        <w:t xml:space="preserve">these international standards </w:t>
      </w:r>
      <w:r>
        <w:t>against the following criteria</w:t>
      </w:r>
      <w:r w:rsidR="002B1ABD" w:rsidRPr="00DB6C88">
        <w:rPr>
          <w:vertAlign w:val="superscript"/>
        </w:rPr>
        <w:footnoteReference w:id="1"/>
      </w:r>
      <w:r>
        <w:t>:</w:t>
      </w:r>
    </w:p>
    <w:p w:rsidR="002B1ABD" w:rsidRPr="00DB6C88" w:rsidRDefault="002B1ABD" w:rsidP="002B1ABD">
      <w:pPr>
        <w:pStyle w:val="Bulletpoint"/>
      </w:pPr>
      <w:r w:rsidRPr="00DB6C88">
        <w:t>Addressing safety concerns: Is there evidence that the international standard provides an acceptable level of consumer safety?</w:t>
      </w:r>
    </w:p>
    <w:p w:rsidR="002B1ABD" w:rsidRDefault="002B1ABD" w:rsidP="002B1ABD">
      <w:pPr>
        <w:pStyle w:val="Bulletpoint"/>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2B1ABD" w:rsidRDefault="002B1ABD" w:rsidP="00492F94">
      <w:pPr>
        <w:pStyle w:val="Bulletpoint"/>
      </w:pPr>
      <w:r w:rsidRPr="00EE5651">
        <w:t>Applicability to the Australian context:</w:t>
      </w:r>
      <w:r w:rsidRPr="009256BA">
        <w:rPr>
          <w:bCs/>
        </w:rPr>
        <w:t xml:space="preserve"> </w:t>
      </w:r>
      <w:r w:rsidRPr="00DB6C88">
        <w:t>Is the international standard applicable and sufficient in the Australian context?</w:t>
      </w:r>
    </w:p>
    <w:p w:rsidR="00B81452" w:rsidRPr="005C3367" w:rsidRDefault="001C3D0D" w:rsidP="005C3367">
      <w:pPr>
        <w:pStyle w:val="Numbered11"/>
      </w:pPr>
      <w:bookmarkStart w:id="52" w:name="_Toc457311811"/>
      <w:bookmarkStart w:id="53" w:name="_Toc464133744"/>
      <w:bookmarkStart w:id="54" w:name="_Toc464137273"/>
      <w:bookmarkStart w:id="55" w:name="_Toc464831653"/>
      <w:bookmarkStart w:id="56" w:name="_Toc465081773"/>
      <w:bookmarkStart w:id="57" w:name="_Toc465160602"/>
      <w:bookmarkStart w:id="58" w:name="_Toc465168547"/>
      <w:r w:rsidRPr="005C3367">
        <w:t xml:space="preserve">ASTM </w:t>
      </w:r>
      <w:r w:rsidR="00DC5EF4" w:rsidRPr="005C3367">
        <w:t>s</w:t>
      </w:r>
      <w:r w:rsidR="00B81452" w:rsidRPr="005C3367">
        <w:t>tandard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8612B" w:rsidRDefault="00C821DA" w:rsidP="00C821DA">
      <w:r w:rsidRPr="00C821DA">
        <w:t xml:space="preserve">The </w:t>
      </w:r>
      <w:r w:rsidR="001C3D0D" w:rsidRPr="00C821DA">
        <w:t>American Society for Testing and Materials (ASTM)</w:t>
      </w:r>
      <w:r w:rsidR="001C3D0D" w:rsidRPr="001C3D0D">
        <w:t xml:space="preserve"> </w:t>
      </w:r>
      <w:r w:rsidR="001C3D0D" w:rsidRPr="00C821DA">
        <w:t xml:space="preserve">developed </w:t>
      </w:r>
      <w:r w:rsidR="00E2350B" w:rsidRPr="001F41A3">
        <w:rPr>
          <w:i/>
        </w:rPr>
        <w:t>ASTM F2950-14 Standard Safety and Performance Specification for Soccer Goals</w:t>
      </w:r>
      <w:r w:rsidRPr="00C821DA">
        <w:t>. ASTM is a reputable standards development body and the U</w:t>
      </w:r>
      <w:r w:rsidR="00AD1457">
        <w:t>nited States</w:t>
      </w:r>
      <w:r w:rsidRPr="00C821DA">
        <w:t xml:space="preserve"> is a jurisdiction with comparable economic and regulatory processes to Australia.</w:t>
      </w:r>
    </w:p>
    <w:p w:rsidR="00C821DA" w:rsidRDefault="00C821DA" w:rsidP="00C821DA">
      <w:r w:rsidRPr="00C821DA">
        <w:t xml:space="preserve">The ASTM standard includes performance requirements that address the </w:t>
      </w:r>
      <w:r>
        <w:t>stability of soccer goals which</w:t>
      </w:r>
      <w:r w:rsidRPr="00C821DA">
        <w:t xml:space="preserve"> align closely with the stability requirements in the mandatory safety standard. </w:t>
      </w:r>
      <w:r w:rsidR="0047782A">
        <w:t>However, performance t</w:t>
      </w:r>
      <w:r w:rsidR="0047782A" w:rsidRPr="00C821DA">
        <w:t>esting requirements apply only to soccer goals with a total weight exceeding 80 lb (approximately 36 kg)</w:t>
      </w:r>
      <w:r w:rsidR="00A804B8">
        <w:t xml:space="preserve"> whereas the mandatory safety standard specifies performance testing requirements for soccer goals that weigh 28 kg or above</w:t>
      </w:r>
      <w:r w:rsidR="0047782A" w:rsidRPr="00C821DA">
        <w:t>.</w:t>
      </w:r>
      <w:r w:rsidR="0047782A">
        <w:t xml:space="preserve"> </w:t>
      </w:r>
      <w:r>
        <w:t xml:space="preserve">The </w:t>
      </w:r>
      <w:r w:rsidRPr="00C821DA">
        <w:t xml:space="preserve">ASTM </w:t>
      </w:r>
      <w:r>
        <w:t>standard</w:t>
      </w:r>
      <w:r w:rsidRPr="00C821DA">
        <w:t xml:space="preserve"> does not include performance requirements that address the stati</w:t>
      </w:r>
      <w:r>
        <w:t>c load of a fallen soccer goal</w:t>
      </w:r>
      <w:r w:rsidR="00E70CEE">
        <w:t>,</w:t>
      </w:r>
      <w:r>
        <w:t xml:space="preserve"> a requirement </w:t>
      </w:r>
      <w:r w:rsidR="001C3D0D">
        <w:t>of</w:t>
      </w:r>
      <w:r>
        <w:t xml:space="preserve"> </w:t>
      </w:r>
      <w:r w:rsidR="001C3D0D">
        <w:t xml:space="preserve">the </w:t>
      </w:r>
      <w:r w:rsidR="005D2178">
        <w:t xml:space="preserve">current </w:t>
      </w:r>
      <w:r>
        <w:t xml:space="preserve">mandatory </w:t>
      </w:r>
      <w:r w:rsidR="00A804B8">
        <w:t xml:space="preserve">safety </w:t>
      </w:r>
      <w:r>
        <w:t>standard</w:t>
      </w:r>
      <w:r w:rsidR="00796CFB">
        <w:t xml:space="preserve">. The potential safety issue of not having a </w:t>
      </w:r>
      <w:r w:rsidR="00796CFB" w:rsidRPr="00796CFB">
        <w:t xml:space="preserve">static load </w:t>
      </w:r>
      <w:r w:rsidR="004135DB" w:rsidRPr="00796CFB">
        <w:t>requirement</w:t>
      </w:r>
      <w:r w:rsidR="00796CFB" w:rsidRPr="00796CFB">
        <w:t xml:space="preserve"> </w:t>
      </w:r>
      <w:r w:rsidR="00796CFB">
        <w:t xml:space="preserve">is that </w:t>
      </w:r>
      <w:r w:rsidR="00796CFB" w:rsidRPr="00796CFB">
        <w:t xml:space="preserve">soccer goals </w:t>
      </w:r>
      <w:r w:rsidR="00796CFB">
        <w:t>could</w:t>
      </w:r>
      <w:r w:rsidR="00796CFB" w:rsidRPr="00796CFB">
        <w:t xml:space="preserve"> exert a greater amount of force in the event of tipping than currently allowed under the mandatory safety standard. This could increase the risk of injury</w:t>
      </w:r>
      <w:r w:rsidRPr="00C821DA">
        <w:t>.</w:t>
      </w:r>
      <w:r w:rsidR="00C502B3">
        <w:t xml:space="preserve"> </w:t>
      </w:r>
    </w:p>
    <w:p w:rsidR="00C502B3" w:rsidRDefault="00C821DA" w:rsidP="00C502B3">
      <w:r>
        <w:t xml:space="preserve">Consumer </w:t>
      </w:r>
      <w:r w:rsidRPr="00C821DA">
        <w:t>safety warnings</w:t>
      </w:r>
      <w:r>
        <w:t xml:space="preserve"> in t</w:t>
      </w:r>
      <w:r w:rsidRPr="00C821DA">
        <w:t xml:space="preserve">he ASTM </w:t>
      </w:r>
      <w:r>
        <w:t>standard</w:t>
      </w:r>
      <w:r w:rsidRPr="00C821DA">
        <w:t xml:space="preserve"> </w:t>
      </w:r>
      <w:r w:rsidR="00C502B3">
        <w:t>are</w:t>
      </w:r>
      <w:r w:rsidR="00C502B3" w:rsidRPr="00C821DA">
        <w:t xml:space="preserve"> comparable to the requirements of the mandatory safety standard</w:t>
      </w:r>
      <w:r w:rsidR="00C502B3">
        <w:t>, including where the warning label must be placed on the soccer goal.</w:t>
      </w:r>
      <w:r w:rsidR="00C502B3" w:rsidRPr="00C821DA">
        <w:t xml:space="preserve"> </w:t>
      </w:r>
      <w:r w:rsidR="00C502B3">
        <w:t xml:space="preserve">However, the ASTM standard </w:t>
      </w:r>
      <w:r w:rsidRPr="00C821DA">
        <w:t>do</w:t>
      </w:r>
      <w:r w:rsidR="00C502B3">
        <w:t>es</w:t>
      </w:r>
      <w:r w:rsidRPr="00C821DA">
        <w:t xml:space="preserve"> not </w:t>
      </w:r>
      <w:r w:rsidR="00C502B3">
        <w:t>require</w:t>
      </w:r>
      <w:r w:rsidR="00C502B3" w:rsidRPr="00C821DA">
        <w:t xml:space="preserve"> </w:t>
      </w:r>
      <w:r w:rsidRPr="00C821DA">
        <w:t xml:space="preserve">explicit warnings about the risk of goal </w:t>
      </w:r>
      <w:r w:rsidR="0032531B">
        <w:t>t</w:t>
      </w:r>
      <w:r w:rsidRPr="00C821DA">
        <w:t xml:space="preserve">ipping or hanging from the crossbar. </w:t>
      </w:r>
    </w:p>
    <w:p w:rsidR="00025B5F" w:rsidRPr="000E0560" w:rsidRDefault="00F0495E" w:rsidP="00025B5F">
      <w:pPr>
        <w:rPr>
          <w:rFonts w:eastAsia="Times New Roman"/>
          <w:bCs/>
          <w:color w:val="000000"/>
        </w:rPr>
      </w:pPr>
      <w:bookmarkStart w:id="59" w:name="_Toc464133745"/>
      <w:bookmarkStart w:id="60" w:name="_Toc464137274"/>
      <w:bookmarkStart w:id="61" w:name="_Toc422996123"/>
      <w:bookmarkStart w:id="62" w:name="_Toc430872767"/>
      <w:bookmarkStart w:id="63" w:name="_Toc453749354"/>
      <w:bookmarkStart w:id="64" w:name="_Toc455580019"/>
      <w:r w:rsidRPr="00F0495E">
        <w:rPr>
          <w:iCs/>
        </w:rPr>
        <w:t>There are a small number of suppliers of moveable soccer goals in Australia</w:t>
      </w:r>
      <w:r>
        <w:rPr>
          <w:iCs/>
        </w:rPr>
        <w:t>,</w:t>
      </w:r>
      <w:r w:rsidRPr="00F0495E">
        <w:rPr>
          <w:iCs/>
        </w:rPr>
        <w:t xml:space="preserve"> and these businesses design, manufacture and distribute moveable soccer goals directly to their </w:t>
      </w:r>
      <w:r w:rsidR="00C81711" w:rsidRPr="00F0495E">
        <w:rPr>
          <w:iCs/>
        </w:rPr>
        <w:t>consumers</w:t>
      </w:r>
      <w:r w:rsidR="00C81711">
        <w:rPr>
          <w:iCs/>
        </w:rPr>
        <w:t>.</w:t>
      </w:r>
      <w:r w:rsidR="00C81711">
        <w:rPr>
          <w:rFonts w:eastAsia="Times New Roman"/>
          <w:bCs/>
          <w:color w:val="000000"/>
        </w:rPr>
        <w:t xml:space="preserve"> These</w:t>
      </w:r>
      <w:r w:rsidR="00025B5F">
        <w:rPr>
          <w:rFonts w:eastAsia="Times New Roman"/>
          <w:bCs/>
          <w:color w:val="000000"/>
        </w:rPr>
        <w:t xml:space="preserve"> suppliers may not seek to use the ASTM standard and the Australian market may be too small to attract new businesses that are familiar with the ASTM standard. For these reasons, </w:t>
      </w:r>
      <w:r w:rsidR="00E353F2">
        <w:rPr>
          <w:rFonts w:eastAsia="Times New Roman"/>
          <w:bCs/>
          <w:color w:val="000000"/>
        </w:rPr>
        <w:t xml:space="preserve">and as there are variances between the ASTM standard and current mandatory safety standard, </w:t>
      </w:r>
      <w:r w:rsidR="00025B5F">
        <w:rPr>
          <w:rFonts w:eastAsia="Times New Roman"/>
          <w:bCs/>
          <w:color w:val="000000"/>
        </w:rPr>
        <w:t>we do not recommend adopting the ASTM standard.</w:t>
      </w:r>
    </w:p>
    <w:p w:rsidR="00AB207F" w:rsidRPr="004B2F54" w:rsidRDefault="00AB207F" w:rsidP="005C3367">
      <w:pPr>
        <w:pStyle w:val="Numbered11"/>
      </w:pPr>
      <w:bookmarkStart w:id="65" w:name="_Toc464831654"/>
      <w:bookmarkStart w:id="66" w:name="_Toc465081774"/>
      <w:bookmarkStart w:id="67" w:name="_Toc465160603"/>
      <w:bookmarkStart w:id="68" w:name="_Toc465168548"/>
      <w:r w:rsidRPr="004B2F54">
        <w:t>European standard</w:t>
      </w:r>
      <w:bookmarkEnd w:id="59"/>
      <w:bookmarkEnd w:id="60"/>
      <w:bookmarkEnd w:id="65"/>
      <w:bookmarkEnd w:id="66"/>
      <w:bookmarkEnd w:id="67"/>
      <w:bookmarkEnd w:id="68"/>
    </w:p>
    <w:p w:rsidR="00AB207F" w:rsidRDefault="004B2F54" w:rsidP="004B2F54">
      <w:r>
        <w:t xml:space="preserve">The European standard </w:t>
      </w:r>
      <w:r w:rsidR="00E2350B" w:rsidRPr="001F41A3">
        <w:rPr>
          <w:i/>
        </w:rPr>
        <w:t>EN 748</w:t>
      </w:r>
      <w:r w:rsidR="00E2350B">
        <w:rPr>
          <w:i/>
        </w:rPr>
        <w:t>:2013</w:t>
      </w:r>
      <w:r w:rsidR="00E2350B">
        <w:t xml:space="preserve"> </w:t>
      </w:r>
      <w:r w:rsidR="00E2350B" w:rsidRPr="001F41A3">
        <w:rPr>
          <w:i/>
        </w:rPr>
        <w:t>Playing field equipment</w:t>
      </w:r>
      <w:r w:rsidR="008471BF">
        <w:rPr>
          <w:i/>
        </w:rPr>
        <w:t xml:space="preserve"> - </w:t>
      </w:r>
      <w:r w:rsidR="00E2350B" w:rsidRPr="001F41A3">
        <w:rPr>
          <w:i/>
        </w:rPr>
        <w:t>Football goals</w:t>
      </w:r>
      <w:r w:rsidR="008471BF">
        <w:rPr>
          <w:i/>
        </w:rPr>
        <w:t xml:space="preserve"> - </w:t>
      </w:r>
      <w:r w:rsidR="00E2350B" w:rsidRPr="001F41A3">
        <w:rPr>
          <w:i/>
        </w:rPr>
        <w:t xml:space="preserve">Functional and safety requirements, test </w:t>
      </w:r>
      <w:r w:rsidR="00D6310A" w:rsidRPr="001F41A3">
        <w:rPr>
          <w:i/>
        </w:rPr>
        <w:t>methods</w:t>
      </w:r>
      <w:r w:rsidR="00D6310A" w:rsidRPr="004B2F54" w:rsidDel="00E2350B">
        <w:rPr>
          <w:i/>
        </w:rPr>
        <w:t xml:space="preserve"> </w:t>
      </w:r>
      <w:r w:rsidR="00D6310A">
        <w:t>was</w:t>
      </w:r>
      <w:r w:rsidRPr="004B2F54">
        <w:t xml:space="preserve"> developed by the European Comm</w:t>
      </w:r>
      <w:r>
        <w:t xml:space="preserve">ittee for Standardization (CEN). </w:t>
      </w:r>
      <w:r w:rsidRPr="004B2F54">
        <w:t>CEN develops standards for use in Europe and is a reputable standards development body. Europe is a jurisdiction with comparable economic and regulatory processes to Australia.</w:t>
      </w:r>
    </w:p>
    <w:p w:rsidR="004135DB" w:rsidRDefault="004B2F54" w:rsidP="004B2F54">
      <w:r>
        <w:lastRenderedPageBreak/>
        <w:t xml:space="preserve">Whilst the </w:t>
      </w:r>
      <w:r w:rsidR="009D04DC">
        <w:t xml:space="preserve">European </w:t>
      </w:r>
      <w:r>
        <w:t xml:space="preserve">standard </w:t>
      </w:r>
      <w:r w:rsidRPr="004B2F54">
        <w:t xml:space="preserve">applies to all soccer goals for training and competition in outdoor sports </w:t>
      </w:r>
      <w:r>
        <w:t>facilities and indoor areas, it does</w:t>
      </w:r>
      <w:r w:rsidRPr="004B2F54">
        <w:t xml:space="preserve"> not define its scope by weight. Instead, soccer goals must comply with specified dimensions.</w:t>
      </w:r>
      <w:r w:rsidR="00742B79">
        <w:t xml:space="preserve"> </w:t>
      </w:r>
      <w:r>
        <w:t xml:space="preserve">The </w:t>
      </w:r>
      <w:r w:rsidR="009D04DC">
        <w:t xml:space="preserve">European </w:t>
      </w:r>
      <w:r>
        <w:t xml:space="preserve">standard </w:t>
      </w:r>
      <w:r w:rsidRPr="004B2F54">
        <w:t>includes performance requirements that address the stability of socce</w:t>
      </w:r>
      <w:r>
        <w:t>r goals, which</w:t>
      </w:r>
      <w:r w:rsidRPr="004B2F54">
        <w:t xml:space="preserve"> align closely with the stability requirements in the Australian mandatory safety standard</w:t>
      </w:r>
      <w:r>
        <w:t xml:space="preserve">. </w:t>
      </w:r>
    </w:p>
    <w:p w:rsidR="009D04DC" w:rsidRDefault="004135DB" w:rsidP="009D04DC">
      <w:r>
        <w:t xml:space="preserve">The </w:t>
      </w:r>
      <w:r w:rsidR="009D04DC">
        <w:t xml:space="preserve">European </w:t>
      </w:r>
      <w:r>
        <w:t>standard</w:t>
      </w:r>
      <w:r w:rsidR="004B2F54">
        <w:t xml:space="preserve"> does not however </w:t>
      </w:r>
      <w:r w:rsidR="004B2F54" w:rsidRPr="004B2F54">
        <w:t>includ</w:t>
      </w:r>
      <w:r>
        <w:t>e a requirement</w:t>
      </w:r>
      <w:r w:rsidR="004B2F54" w:rsidRPr="004B2F54">
        <w:t xml:space="preserve"> that address</w:t>
      </w:r>
      <w:r>
        <w:t>es</w:t>
      </w:r>
      <w:r w:rsidR="004B2F54" w:rsidRPr="004B2F54">
        <w:t xml:space="preserve"> the static load of a fallen soccer goal</w:t>
      </w:r>
      <w:r w:rsidR="000A320E">
        <w:t>.</w:t>
      </w:r>
      <w:r w:rsidR="000A320E" w:rsidRPr="000A320E">
        <w:t xml:space="preserve"> The potential safety issue of not having a static load requirement is that moveable soccer goals could exert a greater amount of force in the event of tipping than currently allowed under the Australian mandatory safety standard. This could increase the risk of injury</w:t>
      </w:r>
      <w:r w:rsidR="000A320E">
        <w:t xml:space="preserve">. </w:t>
      </w:r>
    </w:p>
    <w:p w:rsidR="009D04DC" w:rsidRDefault="004B2F54" w:rsidP="009D04DC">
      <w:r>
        <w:t xml:space="preserve">The consumer warning label requirements in the </w:t>
      </w:r>
      <w:r w:rsidR="009D04DC">
        <w:t xml:space="preserve">European </w:t>
      </w:r>
      <w:r>
        <w:t xml:space="preserve">standard </w:t>
      </w:r>
      <w:r w:rsidR="00D274F7">
        <w:t>are not as prescriptive as</w:t>
      </w:r>
      <w:r w:rsidRPr="004B2F54">
        <w:t xml:space="preserve"> those </w:t>
      </w:r>
      <w:r w:rsidR="00D274F7">
        <w:t>in</w:t>
      </w:r>
      <w:r w:rsidRPr="004B2F54">
        <w:t xml:space="preserve"> the Australian mandatory safety standard</w:t>
      </w:r>
      <w:r w:rsidR="003C0B51">
        <w:t xml:space="preserve"> and do not adequately describe the hazards of moveable soccer goals</w:t>
      </w:r>
      <w:r w:rsidRPr="004B2F54">
        <w:t xml:space="preserve">. </w:t>
      </w:r>
      <w:r w:rsidR="003C0B51">
        <w:t xml:space="preserve">For example, the </w:t>
      </w:r>
      <w:r w:rsidR="009D04DC">
        <w:t xml:space="preserve">European </w:t>
      </w:r>
      <w:r w:rsidR="00D274F7">
        <w:t>standard does</w:t>
      </w:r>
      <w:r w:rsidR="00D274F7" w:rsidRPr="004B2F54">
        <w:t xml:space="preserve"> </w:t>
      </w:r>
      <w:r w:rsidRPr="004B2F54">
        <w:t xml:space="preserve">not </w:t>
      </w:r>
      <w:r w:rsidR="00D274F7">
        <w:t>require</w:t>
      </w:r>
      <w:r w:rsidR="00D274F7" w:rsidRPr="004B2F54">
        <w:t xml:space="preserve"> </w:t>
      </w:r>
      <w:r w:rsidRPr="004B2F54">
        <w:t>explicit warnings about the risk of goal tippin</w:t>
      </w:r>
      <w:r>
        <w:t>g or hanging from the crossbar</w:t>
      </w:r>
      <w:r w:rsidR="003C0B51">
        <w:t xml:space="preserve">, </w:t>
      </w:r>
      <w:r w:rsidR="00D274F7">
        <w:t>it</w:t>
      </w:r>
      <w:r w:rsidR="00283C09">
        <w:t xml:space="preserve"> only</w:t>
      </w:r>
      <w:r w:rsidRPr="004B2F54">
        <w:t xml:space="preserve"> </w:t>
      </w:r>
      <w:r w:rsidR="00D274F7">
        <w:t xml:space="preserve">requires </w:t>
      </w:r>
      <w:r w:rsidRPr="004B2F54">
        <w:t>a single warning label on the goal</w:t>
      </w:r>
      <w:r w:rsidR="00D274F7">
        <w:t>,</w:t>
      </w:r>
      <w:r w:rsidRPr="004B2F54">
        <w:t xml:space="preserve"> and does not specify its location.</w:t>
      </w:r>
      <w:r w:rsidR="009D04DC">
        <w:t xml:space="preserve"> </w:t>
      </w:r>
    </w:p>
    <w:p w:rsidR="001C3D0D" w:rsidRPr="00DF1885" w:rsidRDefault="00283C09" w:rsidP="00DF1885">
      <w:r>
        <w:t xml:space="preserve">The ACCC has assessed that the </w:t>
      </w:r>
      <w:r w:rsidR="003C0B51">
        <w:t xml:space="preserve">European </w:t>
      </w:r>
      <w:r>
        <w:t xml:space="preserve">standard </w:t>
      </w:r>
      <w:r w:rsidRPr="00283C09">
        <w:t xml:space="preserve">is </w:t>
      </w:r>
      <w:r w:rsidR="00F47E8F">
        <w:t xml:space="preserve">not </w:t>
      </w:r>
      <w:r w:rsidRPr="00283C09">
        <w:t>suitable to be adopted in Australia</w:t>
      </w:r>
      <w:r>
        <w:t>. In particular, the co</w:t>
      </w:r>
      <w:r w:rsidR="00B91BC3">
        <w:t xml:space="preserve">nsumer warning labels </w:t>
      </w:r>
      <w:r>
        <w:t>do not adequately describe the hazards of moveable soccer goals</w:t>
      </w:r>
      <w:r w:rsidR="001B6125">
        <w:t>.</w:t>
      </w:r>
      <w:r>
        <w:t xml:space="preserve"> </w:t>
      </w:r>
      <w:r w:rsidR="001C3D0D">
        <w:t>In addition</w:t>
      </w:r>
      <w:r w:rsidR="001B6125">
        <w:t xml:space="preserve">, </w:t>
      </w:r>
      <w:r>
        <w:t xml:space="preserve">as the </w:t>
      </w:r>
      <w:r w:rsidR="00FB2EE3">
        <w:t xml:space="preserve">European </w:t>
      </w:r>
      <w:r>
        <w:t xml:space="preserve">standard does not define its scope based on goal weight, adopting it could lead to inconsistent coverage and potentially a lower level of safety.  </w:t>
      </w:r>
    </w:p>
    <w:p w:rsidR="008A7E47" w:rsidRDefault="008A7E47" w:rsidP="0096130D">
      <w:pPr>
        <w:pStyle w:val="Numbered1"/>
        <w:numPr>
          <w:ilvl w:val="0"/>
          <w:numId w:val="27"/>
        </w:numPr>
        <w:ind w:left="680" w:hanging="680"/>
      </w:pPr>
      <w:bookmarkStart w:id="69" w:name="_Toc465168549"/>
      <w:r>
        <w:t xml:space="preserve">Detailed </w:t>
      </w:r>
      <w:r w:rsidR="00F63587" w:rsidRPr="00382011">
        <w:t>d</w:t>
      </w:r>
      <w:r w:rsidRPr="00382011">
        <w:t>escription</w:t>
      </w:r>
      <w:r>
        <w:t xml:space="preserve"> of </w:t>
      </w:r>
      <w:r w:rsidR="00F63587">
        <w:t>p</w:t>
      </w:r>
      <w:r w:rsidR="00935D49">
        <w:t>olicy options</w:t>
      </w:r>
      <w:bookmarkStart w:id="70" w:name="_Toc448397937"/>
      <w:bookmarkEnd w:id="61"/>
      <w:bookmarkEnd w:id="62"/>
      <w:bookmarkEnd w:id="63"/>
      <w:bookmarkEnd w:id="64"/>
      <w:bookmarkEnd w:id="69"/>
    </w:p>
    <w:p w:rsidR="008A7E47" w:rsidRPr="00297D3B" w:rsidRDefault="008A7E47" w:rsidP="00F96A85">
      <w:pPr>
        <w:pStyle w:val="Heading2"/>
        <w:rPr>
          <w:b w:val="0"/>
        </w:rPr>
      </w:pPr>
      <w:bookmarkStart w:id="71" w:name="_Toc453749109"/>
      <w:bookmarkStart w:id="72" w:name="_Toc453749355"/>
      <w:bookmarkStart w:id="73" w:name="_Toc453759808"/>
      <w:bookmarkStart w:id="74" w:name="_Toc453763206"/>
      <w:bookmarkStart w:id="75" w:name="_Toc453763893"/>
      <w:bookmarkStart w:id="76" w:name="_Toc453765803"/>
      <w:bookmarkStart w:id="77" w:name="_Toc454544436"/>
      <w:bookmarkStart w:id="78" w:name="_Toc455580020"/>
      <w:bookmarkStart w:id="79" w:name="_Toc456277638"/>
      <w:bookmarkStart w:id="80" w:name="_Toc456279007"/>
      <w:bookmarkStart w:id="81" w:name="_Toc457311817"/>
      <w:bookmarkStart w:id="82" w:name="_Toc465168550"/>
      <w:r w:rsidRPr="00297D3B">
        <w:rPr>
          <w:b w:val="0"/>
        </w:rPr>
        <w:t xml:space="preserve">Option 1 - Keep the current mandatory </w:t>
      </w:r>
      <w:r w:rsidR="00182D4D">
        <w:rPr>
          <w:b w:val="0"/>
        </w:rPr>
        <w:t xml:space="preserve">safety </w:t>
      </w:r>
      <w:r w:rsidRPr="00297D3B">
        <w:rPr>
          <w:b w:val="0"/>
        </w:rPr>
        <w:t>standard (status quo)</w:t>
      </w:r>
      <w:bookmarkEnd w:id="71"/>
      <w:bookmarkEnd w:id="72"/>
      <w:bookmarkEnd w:id="73"/>
      <w:bookmarkEnd w:id="74"/>
      <w:bookmarkEnd w:id="75"/>
      <w:bookmarkEnd w:id="76"/>
      <w:bookmarkEnd w:id="77"/>
      <w:bookmarkEnd w:id="78"/>
      <w:bookmarkEnd w:id="79"/>
      <w:bookmarkEnd w:id="80"/>
      <w:bookmarkEnd w:id="81"/>
      <w:bookmarkEnd w:id="82"/>
      <w:r w:rsidR="00B52A6A">
        <w:rPr>
          <w:b w:val="0"/>
        </w:rPr>
        <w:t xml:space="preserve"> </w:t>
      </w:r>
    </w:p>
    <w:p w:rsidR="008A7E47" w:rsidRDefault="008A7E47" w:rsidP="00297D3B">
      <w:pPr>
        <w:pStyle w:val="Heading3"/>
      </w:pPr>
      <w:bookmarkStart w:id="83" w:name="_Toc453749110"/>
      <w:bookmarkStart w:id="84" w:name="_Toc453749356"/>
      <w:bookmarkStart w:id="85" w:name="_Toc453763894"/>
      <w:bookmarkStart w:id="86" w:name="_Toc453765804"/>
      <w:bookmarkStart w:id="87" w:name="_Toc454444014"/>
      <w:bookmarkStart w:id="88" w:name="_Toc454544437"/>
      <w:bookmarkStart w:id="89" w:name="_Toc455580021"/>
      <w:bookmarkStart w:id="90" w:name="_Toc456277639"/>
      <w:bookmarkStart w:id="91" w:name="_Toc456279008"/>
      <w:bookmarkStart w:id="92" w:name="_Toc457311818"/>
      <w:bookmarkStart w:id="93" w:name="_Toc464122498"/>
      <w:bookmarkStart w:id="94" w:name="_Toc464133748"/>
      <w:bookmarkStart w:id="95" w:name="_Toc464137277"/>
      <w:bookmarkStart w:id="96" w:name="_Toc464831657"/>
      <w:bookmarkStart w:id="97" w:name="_Toc465081777"/>
      <w:bookmarkStart w:id="98" w:name="_Toc465160606"/>
      <w:bookmarkStart w:id="99" w:name="_Toc465168551"/>
      <w:r w:rsidRPr="009C2938">
        <w:t>Description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86DCE" w:rsidRPr="00686DCE" w:rsidRDefault="00686DCE" w:rsidP="00686DCE">
      <w:r>
        <w:t xml:space="preserve">Maintaining the status quo would mean no changes to the </w:t>
      </w:r>
      <w:r w:rsidR="004F0F83">
        <w:t xml:space="preserve">current </w:t>
      </w:r>
      <w:r>
        <w:t>mandatory safety standard.</w:t>
      </w:r>
    </w:p>
    <w:p w:rsidR="008A7E47" w:rsidRDefault="008A7E47" w:rsidP="00297D3B">
      <w:pPr>
        <w:pStyle w:val="Heading3"/>
      </w:pPr>
      <w:bookmarkStart w:id="100" w:name="_Toc453749111"/>
      <w:bookmarkStart w:id="101" w:name="_Toc453749357"/>
      <w:bookmarkStart w:id="102" w:name="_Toc453763895"/>
      <w:bookmarkStart w:id="103" w:name="_Toc453765805"/>
      <w:bookmarkStart w:id="104" w:name="_Toc454444015"/>
      <w:bookmarkStart w:id="105" w:name="_Toc454544438"/>
      <w:bookmarkStart w:id="106" w:name="_Toc455580022"/>
      <w:bookmarkStart w:id="107" w:name="_Toc456277640"/>
      <w:bookmarkStart w:id="108" w:name="_Toc456279009"/>
      <w:bookmarkStart w:id="109" w:name="_Toc457311819"/>
      <w:bookmarkStart w:id="110" w:name="_Toc464122499"/>
      <w:bookmarkStart w:id="111" w:name="_Toc464133749"/>
      <w:bookmarkStart w:id="112" w:name="_Toc464137278"/>
      <w:bookmarkStart w:id="113" w:name="_Toc464831658"/>
      <w:bookmarkStart w:id="114" w:name="_Toc465081778"/>
      <w:bookmarkStart w:id="115" w:name="_Toc465160607"/>
      <w:bookmarkStart w:id="116" w:name="_Toc465168552"/>
      <w:r w:rsidRPr="0095683B">
        <w:t>Benefits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C8317C" w:rsidRPr="00C8317C" w:rsidRDefault="00C8317C" w:rsidP="00C8317C">
      <w:r>
        <w:t xml:space="preserve">Moveable soccer goals would be subject to the same mandatory safety standard that suppliers must currently meet before they can legally supply them. There would be no increase in regulatory costs to industry, and consumers would continue to enjoy the same level of protection they have now.  </w:t>
      </w:r>
    </w:p>
    <w:p w:rsidR="00921DE8" w:rsidRDefault="00921DE8" w:rsidP="00921DE8">
      <w:pPr>
        <w:pStyle w:val="Heading3"/>
      </w:pPr>
      <w:bookmarkStart w:id="117" w:name="_Toc457311820"/>
      <w:bookmarkStart w:id="118" w:name="_Toc464122500"/>
      <w:bookmarkStart w:id="119" w:name="_Toc464133750"/>
      <w:bookmarkStart w:id="120" w:name="_Toc464137279"/>
      <w:bookmarkStart w:id="121" w:name="_Toc464831659"/>
      <w:bookmarkStart w:id="122" w:name="_Toc465081779"/>
      <w:bookmarkStart w:id="123" w:name="_Toc465160608"/>
      <w:bookmarkStart w:id="124" w:name="_Toc465168553"/>
      <w:r>
        <w:t>Limitations</w:t>
      </w:r>
      <w:bookmarkEnd w:id="117"/>
      <w:bookmarkEnd w:id="118"/>
      <w:bookmarkEnd w:id="119"/>
      <w:bookmarkEnd w:id="120"/>
      <w:bookmarkEnd w:id="121"/>
      <w:bookmarkEnd w:id="122"/>
      <w:bookmarkEnd w:id="123"/>
      <w:bookmarkEnd w:id="124"/>
    </w:p>
    <w:p w:rsidR="00C8317C" w:rsidRPr="00C8317C" w:rsidRDefault="00C8317C" w:rsidP="00C8317C">
      <w:r>
        <w:t>Maintaining the status quo would mean that suppliers cannot provide products which comply with trusted international standards.</w:t>
      </w:r>
      <w:r w:rsidR="0032531B">
        <w:t xml:space="preserve"> In a</w:t>
      </w:r>
      <w:r w:rsidR="00D50A0E">
        <w:t xml:space="preserve"> global marketplace, this restricts the type of products that may be supplied, and products that consumers can access. </w:t>
      </w:r>
    </w:p>
    <w:p w:rsidR="0094334F" w:rsidRDefault="0094334F" w:rsidP="0094334F">
      <w:bookmarkStart w:id="125" w:name="_Toc454544444"/>
      <w:bookmarkStart w:id="126" w:name="_Toc455580028"/>
      <w:bookmarkStart w:id="127" w:name="_Toc448397938"/>
      <w:bookmarkStart w:id="128" w:name="_Toc453749117"/>
      <w:bookmarkStart w:id="129" w:name="_Toc453749363"/>
      <w:bookmarkStart w:id="130" w:name="_Toc453759810"/>
      <w:bookmarkStart w:id="131" w:name="_Toc453763208"/>
      <w:bookmarkStart w:id="132" w:name="_Toc453763901"/>
      <w:bookmarkStart w:id="133" w:name="_Toc453765811"/>
      <w:bookmarkStart w:id="134" w:name="_Toc456277646"/>
      <w:bookmarkStart w:id="135" w:name="_Toc456279015"/>
      <w:bookmarkStart w:id="136" w:name="_Toc457311824"/>
      <w:bookmarkEnd w:id="70"/>
    </w:p>
    <w:p w:rsidR="00573D7B" w:rsidRDefault="008A7E47" w:rsidP="006A512B">
      <w:pPr>
        <w:pStyle w:val="Heading2"/>
        <w:spacing w:before="0"/>
      </w:pPr>
      <w:bookmarkStart w:id="137" w:name="_Toc465168554"/>
      <w:r w:rsidRPr="00297D3B">
        <w:rPr>
          <w:b w:val="0"/>
        </w:rPr>
        <w:t xml:space="preserve">Option </w:t>
      </w:r>
      <w:r w:rsidR="00025B5F">
        <w:rPr>
          <w:b w:val="0"/>
        </w:rPr>
        <w:t>2</w:t>
      </w:r>
      <w:r w:rsidR="00AE16B5" w:rsidRPr="00297D3B">
        <w:rPr>
          <w:b w:val="0"/>
        </w:rPr>
        <w:t xml:space="preserve"> </w:t>
      </w:r>
      <w:r w:rsidR="00182D4D" w:rsidRPr="00297D3B">
        <w:rPr>
          <w:b w:val="0"/>
        </w:rPr>
        <w:t>-</w:t>
      </w:r>
      <w:r w:rsidRPr="00297D3B">
        <w:rPr>
          <w:b w:val="0"/>
        </w:rPr>
        <w:t xml:space="preserve"> </w:t>
      </w:r>
      <w:bookmarkStart w:id="138" w:name="_Toc453749118"/>
      <w:bookmarkStart w:id="139" w:name="_Toc453749364"/>
      <w:bookmarkStart w:id="140" w:name="_Toc453763902"/>
      <w:bookmarkStart w:id="141" w:name="_Toc453765812"/>
      <w:bookmarkStart w:id="142" w:name="_Toc454444022"/>
      <w:bookmarkStart w:id="143" w:name="_Toc454544445"/>
      <w:bookmarkEnd w:id="125"/>
      <w:bookmarkEnd w:id="126"/>
      <w:bookmarkEnd w:id="127"/>
      <w:bookmarkEnd w:id="128"/>
      <w:bookmarkEnd w:id="129"/>
      <w:bookmarkEnd w:id="130"/>
      <w:bookmarkEnd w:id="131"/>
      <w:bookmarkEnd w:id="132"/>
      <w:bookmarkEnd w:id="133"/>
      <w:bookmarkEnd w:id="134"/>
      <w:bookmarkEnd w:id="135"/>
      <w:bookmarkEnd w:id="136"/>
      <w:r w:rsidR="00215902" w:rsidRPr="00297D3B">
        <w:rPr>
          <w:b w:val="0"/>
        </w:rPr>
        <w:t>Revoke the mandatory safety standard</w:t>
      </w:r>
      <w:bookmarkEnd w:id="137"/>
    </w:p>
    <w:p w:rsidR="008A7E47" w:rsidRDefault="008A7E47" w:rsidP="00297D3B">
      <w:pPr>
        <w:pStyle w:val="Heading3"/>
      </w:pPr>
      <w:bookmarkStart w:id="144" w:name="_Toc455580029"/>
      <w:bookmarkStart w:id="145" w:name="_Toc456277647"/>
      <w:bookmarkStart w:id="146" w:name="_Toc456279016"/>
      <w:bookmarkStart w:id="147" w:name="_Toc457311825"/>
      <w:bookmarkStart w:id="148" w:name="_Toc464122505"/>
      <w:bookmarkStart w:id="149" w:name="_Toc464133755"/>
      <w:bookmarkStart w:id="150" w:name="_Toc464137284"/>
      <w:bookmarkStart w:id="151" w:name="_Toc464831661"/>
      <w:bookmarkStart w:id="152" w:name="_Toc465081781"/>
      <w:bookmarkStart w:id="153" w:name="_Toc465160610"/>
      <w:bookmarkStart w:id="154" w:name="_Toc465168555"/>
      <w:r w:rsidRPr="00297D3B">
        <w:t>Description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B6F93" w:rsidRDefault="00AB6F93" w:rsidP="00AB6F93">
      <w:r>
        <w:t>Most consumer goods in Australia are not regulated by mandatory safety standards. Revoking the mandatory safety standard would mean suppliers would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w:t>
      </w:r>
      <w:r>
        <w:lastRenderedPageBreak/>
        <w:t>consumer guarantees every time they purchase goods or services. One of those guarantees is that goods will be of acceptable quality, meaning they are safe and fit for purpose.</w:t>
      </w:r>
    </w:p>
    <w:p w:rsidR="00AB6F93" w:rsidRDefault="00AB6F93" w:rsidP="00AB6F93">
      <w:r w:rsidRPr="00BE1086">
        <w:t>Consumer protections also exist to safeguard against suppliers engaging in conduct that is likely to be misleading or deceptive. Additionally, there are provisions for injury reporting, recalls and product liability.</w:t>
      </w:r>
      <w:r>
        <w:t xml:space="preserve"> </w:t>
      </w:r>
      <w:r w:rsidRPr="00BE1086">
        <w:t>These provisions give suppliers an incentive to ensure that the goods they supply are safe. The ACCC would still be able to take safety action if needed – for example, through recalls.</w:t>
      </w:r>
    </w:p>
    <w:p w:rsidR="00AB6F93" w:rsidRPr="00B34A29" w:rsidRDefault="00AB6F93" w:rsidP="00AB6F93">
      <w:r>
        <w:t>Suppliers of moveable soccer goals may independently choose to continue compliance with the voluntary Australian standard, but this would not be legally required.</w:t>
      </w:r>
    </w:p>
    <w:p w:rsidR="008A7E47" w:rsidRDefault="008A7E47" w:rsidP="00297D3B">
      <w:pPr>
        <w:pStyle w:val="Heading3"/>
      </w:pPr>
      <w:bookmarkStart w:id="155" w:name="_Toc453749119"/>
      <w:bookmarkStart w:id="156" w:name="_Toc453749365"/>
      <w:bookmarkStart w:id="157" w:name="_Toc453763903"/>
      <w:bookmarkStart w:id="158" w:name="_Toc453765813"/>
      <w:bookmarkStart w:id="159" w:name="_Toc454444023"/>
      <w:bookmarkStart w:id="160" w:name="_Toc454544446"/>
      <w:bookmarkStart w:id="161" w:name="_Toc455580030"/>
      <w:bookmarkStart w:id="162" w:name="_Toc456277648"/>
      <w:bookmarkStart w:id="163" w:name="_Toc456279017"/>
      <w:bookmarkStart w:id="164" w:name="_Toc457311826"/>
      <w:bookmarkStart w:id="165" w:name="_Toc464122506"/>
      <w:bookmarkStart w:id="166" w:name="_Toc464133756"/>
      <w:bookmarkStart w:id="167" w:name="_Toc464137285"/>
      <w:bookmarkStart w:id="168" w:name="_Toc464831662"/>
      <w:bookmarkStart w:id="169" w:name="_Toc465081782"/>
      <w:bookmarkStart w:id="170" w:name="_Toc465160611"/>
      <w:bookmarkStart w:id="171" w:name="_Toc465168556"/>
      <w:r w:rsidRPr="00297D3B">
        <w:t>Benefits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AB6F93" w:rsidRPr="008B5618" w:rsidRDefault="008B5618" w:rsidP="008B5618">
      <w:r>
        <w:t>Revoking the mandatory safety standard would remove compliance and regulatory costs on suppliers, by allowing for the supply of products that do no</w:t>
      </w:r>
      <w:r w:rsidR="007C3DF6">
        <w:t>t</w:t>
      </w:r>
      <w:r>
        <w:t xml:space="preserve"> comply with the mandatory safety standard. There would also be costs savings for regulators in not having to administer the mandatory safety standard</w:t>
      </w:r>
      <w:r w:rsidR="00774875">
        <w:t xml:space="preserve">, whilst the general protections under </w:t>
      </w:r>
      <w:r w:rsidR="0032531B">
        <w:t>the ACL would remain available.</w:t>
      </w:r>
    </w:p>
    <w:p w:rsidR="008A7E47" w:rsidRDefault="00285E42" w:rsidP="00297D3B">
      <w:pPr>
        <w:pStyle w:val="Heading3"/>
      </w:pPr>
      <w:bookmarkStart w:id="172" w:name="_Toc457311827"/>
      <w:bookmarkStart w:id="173" w:name="_Toc464122507"/>
      <w:bookmarkStart w:id="174" w:name="_Toc464133757"/>
      <w:bookmarkStart w:id="175" w:name="_Toc464137286"/>
      <w:bookmarkStart w:id="176" w:name="_Toc464831663"/>
      <w:bookmarkStart w:id="177" w:name="_Toc465081783"/>
      <w:bookmarkStart w:id="178" w:name="_Toc465160612"/>
      <w:bookmarkStart w:id="179" w:name="_Toc465168557"/>
      <w:r>
        <w:t>Limitations</w:t>
      </w:r>
      <w:bookmarkEnd w:id="172"/>
      <w:bookmarkEnd w:id="173"/>
      <w:bookmarkEnd w:id="174"/>
      <w:bookmarkEnd w:id="175"/>
      <w:bookmarkEnd w:id="176"/>
      <w:bookmarkEnd w:id="177"/>
      <w:bookmarkEnd w:id="178"/>
      <w:bookmarkEnd w:id="179"/>
    </w:p>
    <w:p w:rsidR="008B5618" w:rsidRPr="008B5618" w:rsidRDefault="008B5618" w:rsidP="008B5618">
      <w:r>
        <w:t xml:space="preserve">Revoking the mandatory safety standard may pose an unreasonable safety risk to </w:t>
      </w:r>
      <w:r w:rsidR="00916AA3">
        <w:t>children and teenagers,</w:t>
      </w:r>
      <w:r>
        <w:t xml:space="preserve"> </w:t>
      </w:r>
      <w:r w:rsidR="00570243">
        <w:t xml:space="preserve">who are a </w:t>
      </w:r>
      <w:r>
        <w:t>vu</w:t>
      </w:r>
      <w:r w:rsidR="00916AA3">
        <w:t>lnerable category of consumers</w:t>
      </w:r>
      <w:r>
        <w:t xml:space="preserve">. </w:t>
      </w:r>
      <w:r w:rsidR="00570243">
        <w:t xml:space="preserve">Removing the requirement of consumer warning labels on soccer goals will mean that consumers who are unaware of the dangers of hanging or swinging on </w:t>
      </w:r>
      <w:r w:rsidR="00942685">
        <w:t xml:space="preserve">soccer </w:t>
      </w:r>
      <w:r w:rsidR="00570243">
        <w:t>goal</w:t>
      </w:r>
      <w:r w:rsidR="00942685">
        <w:t>s</w:t>
      </w:r>
      <w:r w:rsidR="00570243">
        <w:t xml:space="preserve"> </w:t>
      </w:r>
      <w:r w:rsidR="001A11A6">
        <w:t xml:space="preserve">would </w:t>
      </w:r>
      <w:r w:rsidR="00570243">
        <w:t xml:space="preserve">not be alerted to those dangers. </w:t>
      </w:r>
      <w:r w:rsidR="00942685">
        <w:t xml:space="preserve">Removing product design, </w:t>
      </w:r>
      <w:r w:rsidR="00570243">
        <w:t>construction</w:t>
      </w:r>
      <w:r w:rsidR="00942685">
        <w:t xml:space="preserve"> and testing</w:t>
      </w:r>
      <w:r w:rsidR="00570243">
        <w:t xml:space="preserve"> requirements could also result in the availability of structurally unsafe soccer goals.</w:t>
      </w:r>
    </w:p>
    <w:p w:rsidR="0041713D" w:rsidRDefault="0041713D" w:rsidP="0096130D">
      <w:pPr>
        <w:pStyle w:val="Numbered1"/>
        <w:numPr>
          <w:ilvl w:val="0"/>
          <w:numId w:val="27"/>
        </w:numPr>
        <w:ind w:left="680" w:hanging="680"/>
      </w:pPr>
      <w:bookmarkStart w:id="180" w:name="_Toc465168558"/>
      <w:r>
        <w:t>Preliminary position</w:t>
      </w:r>
      <w:bookmarkEnd w:id="180"/>
    </w:p>
    <w:p w:rsidR="00E4197A" w:rsidRDefault="0041713D" w:rsidP="00182D4D">
      <w:r>
        <w:t xml:space="preserve">The ACCC </w:t>
      </w:r>
      <w:r w:rsidR="00942685">
        <w:t>believes</w:t>
      </w:r>
      <w:r>
        <w:t xml:space="preserve"> that Option </w:t>
      </w:r>
      <w:r w:rsidR="00AB207F">
        <w:t>1</w:t>
      </w:r>
      <w:r>
        <w:t xml:space="preserve"> provides the greatest benefit for consumers, suppliers and regulators. </w:t>
      </w:r>
      <w:r w:rsidR="00FD4827">
        <w:t xml:space="preserve">The current mandatory safety standard has been effective in reducing injuries and deaths associated with moveable soccer goals and </w:t>
      </w:r>
      <w:r w:rsidR="000638A7">
        <w:t>is suitable to</w:t>
      </w:r>
      <w:r w:rsidR="00FD4827">
        <w:t xml:space="preserve"> continue as it is. Option 1 would result in no extra regulatory costs to industry, and consumers would continue to benefit from the current levels of product safety.</w:t>
      </w:r>
    </w:p>
    <w:p w:rsidR="000E0560" w:rsidRDefault="000E0560" w:rsidP="00182D4D">
      <w:r w:rsidRPr="000E0560">
        <w:t xml:space="preserve">The ACCC has assessed that the European standard is not suitable </w:t>
      </w:r>
      <w:r w:rsidR="001A11A6">
        <w:t>for Australia</w:t>
      </w:r>
      <w:r w:rsidRPr="000E0560">
        <w:t xml:space="preserve">, </w:t>
      </w:r>
      <w:r w:rsidR="00E353F2">
        <w:t xml:space="preserve">and we </w:t>
      </w:r>
      <w:r w:rsidR="00F944FF">
        <w:t xml:space="preserve">do not recommend adopting </w:t>
      </w:r>
      <w:r w:rsidR="00E353F2">
        <w:t>the ASTM</w:t>
      </w:r>
      <w:r w:rsidR="00F944FF">
        <w:t xml:space="preserve"> standard at this time.</w:t>
      </w:r>
    </w:p>
    <w:p w:rsidR="00D50A0E" w:rsidRPr="001E1C59" w:rsidRDefault="00FD4827" w:rsidP="001E1C59">
      <w:r>
        <w:t xml:space="preserve">The Office of Best Practice Regulation (OBPR) has advised that a Regulation Impact Statement (RIS) is not required as the proposal will have </w:t>
      </w:r>
      <w:r w:rsidR="001E1C59">
        <w:t>only a minor regulatory impact.</w:t>
      </w:r>
    </w:p>
    <w:p w:rsidR="00A54528" w:rsidRDefault="00A54528" w:rsidP="006770FF">
      <w:pPr>
        <w:pStyle w:val="ListParagraph"/>
        <w:framePr w:h="2566" w:hRule="exact" w:hSpace="180" w:wrap="around" w:vAnchor="text" w:hAnchor="page" w:x="1291" w:y="732"/>
        <w:numPr>
          <w:ilvl w:val="0"/>
          <w:numId w:val="30"/>
        </w:numPr>
        <w:pBdr>
          <w:top w:val="single" w:sz="4" w:space="1" w:color="auto"/>
          <w:left w:val="single" w:sz="4" w:space="4" w:color="auto"/>
          <w:bottom w:val="single" w:sz="4" w:space="1" w:color="auto"/>
          <w:right w:val="single" w:sz="4" w:space="4" w:color="auto"/>
        </w:pBdr>
        <w:spacing w:before="0"/>
        <w:ind w:left="714" w:hanging="357"/>
      </w:pPr>
      <w:bookmarkStart w:id="181" w:name="_Toc453749371"/>
      <w:r>
        <w:t>Do you agree that moveable soccer goals are generally not imported in</w:t>
      </w:r>
      <w:r w:rsidR="00F0495E">
        <w:t>to</w:t>
      </w:r>
      <w:r>
        <w:t xml:space="preserve"> Australia or traded internationally due to the high costs associated with transportation? Do you have any more information on this? </w:t>
      </w:r>
    </w:p>
    <w:p w:rsidR="00A54528" w:rsidRDefault="00A54528" w:rsidP="006770FF">
      <w:pPr>
        <w:pStyle w:val="ListParagraph"/>
        <w:framePr w:h="2566" w:hRule="exact" w:hSpace="180" w:wrap="around" w:vAnchor="text" w:hAnchor="page" w:x="1291" w:y="732"/>
        <w:numPr>
          <w:ilvl w:val="0"/>
          <w:numId w:val="0"/>
        </w:numPr>
        <w:pBdr>
          <w:top w:val="single" w:sz="4" w:space="1" w:color="auto"/>
          <w:left w:val="single" w:sz="4" w:space="4" w:color="auto"/>
          <w:bottom w:val="single" w:sz="4" w:space="1" w:color="auto"/>
          <w:right w:val="single" w:sz="4" w:space="4" w:color="auto"/>
        </w:pBdr>
        <w:spacing w:before="0"/>
        <w:ind w:left="357"/>
      </w:pPr>
    </w:p>
    <w:p w:rsidR="00A54528" w:rsidRDefault="00A54528" w:rsidP="006770FF">
      <w:pPr>
        <w:pStyle w:val="ListParagraph"/>
        <w:framePr w:h="2566" w:hRule="exact" w:hSpace="180" w:wrap="around" w:vAnchor="text" w:hAnchor="page" w:x="1291" w:y="732"/>
        <w:numPr>
          <w:ilvl w:val="0"/>
          <w:numId w:val="30"/>
        </w:numPr>
        <w:pBdr>
          <w:top w:val="single" w:sz="4" w:space="1" w:color="auto"/>
          <w:left w:val="single" w:sz="4" w:space="4" w:color="auto"/>
          <w:bottom w:val="single" w:sz="4" w:space="1" w:color="auto"/>
          <w:right w:val="single" w:sz="4" w:space="4" w:color="auto"/>
        </w:pBdr>
        <w:spacing w:before="0"/>
        <w:ind w:left="714" w:hanging="357"/>
      </w:pPr>
      <w:r w:rsidRPr="006C6EAC">
        <w:t>Which policy option do you support</w:t>
      </w:r>
      <w:r>
        <w:t xml:space="preserve"> and why</w:t>
      </w:r>
      <w:r w:rsidRPr="006C6EAC">
        <w:t>?</w:t>
      </w:r>
    </w:p>
    <w:p w:rsidR="00A54528" w:rsidRDefault="00A54528" w:rsidP="006770FF">
      <w:pPr>
        <w:pStyle w:val="ListParagraph"/>
        <w:framePr w:h="2566" w:hRule="exact" w:hSpace="180" w:wrap="around" w:vAnchor="text" w:hAnchor="page" w:x="1291" w:y="732"/>
        <w:numPr>
          <w:ilvl w:val="0"/>
          <w:numId w:val="0"/>
        </w:numPr>
        <w:pBdr>
          <w:top w:val="single" w:sz="4" w:space="1" w:color="auto"/>
          <w:left w:val="single" w:sz="4" w:space="4" w:color="auto"/>
          <w:bottom w:val="single" w:sz="4" w:space="1" w:color="auto"/>
          <w:right w:val="single" w:sz="4" w:space="4" w:color="auto"/>
        </w:pBdr>
        <w:spacing w:before="0"/>
        <w:ind w:left="357"/>
      </w:pPr>
      <w:r>
        <w:t xml:space="preserve"> </w:t>
      </w:r>
    </w:p>
    <w:p w:rsidR="00A54528" w:rsidRDefault="00A54528" w:rsidP="006770FF">
      <w:pPr>
        <w:pStyle w:val="ListParagraph"/>
        <w:framePr w:h="2566" w:hRule="exact" w:hSpace="180" w:wrap="around" w:vAnchor="text" w:hAnchor="page" w:x="1291" w:y="732"/>
        <w:numPr>
          <w:ilvl w:val="0"/>
          <w:numId w:val="30"/>
        </w:numPr>
        <w:pBdr>
          <w:top w:val="single" w:sz="4" w:space="1" w:color="auto"/>
          <w:left w:val="single" w:sz="4" w:space="4" w:color="auto"/>
          <w:bottom w:val="single" w:sz="4" w:space="1" w:color="auto"/>
          <w:right w:val="single" w:sz="4" w:space="4" w:color="auto"/>
        </w:pBdr>
        <w:spacing w:before="0"/>
        <w:ind w:left="714" w:hanging="357"/>
      </w:pPr>
      <w:r>
        <w:t>Are there any other policy options that the ACCC should consider?</w:t>
      </w:r>
    </w:p>
    <w:p w:rsidR="00A54528" w:rsidRDefault="00A54528" w:rsidP="006770FF">
      <w:pPr>
        <w:pStyle w:val="ListParagraph"/>
        <w:framePr w:h="2566" w:hRule="exact" w:hSpace="180" w:wrap="around" w:vAnchor="text" w:hAnchor="page" w:x="1291" w:y="732"/>
        <w:numPr>
          <w:ilvl w:val="0"/>
          <w:numId w:val="0"/>
        </w:numPr>
        <w:pBdr>
          <w:top w:val="single" w:sz="4" w:space="1" w:color="auto"/>
          <w:left w:val="single" w:sz="4" w:space="4" w:color="auto"/>
          <w:bottom w:val="single" w:sz="4" w:space="1" w:color="auto"/>
          <w:right w:val="single" w:sz="4" w:space="4" w:color="auto"/>
        </w:pBdr>
        <w:spacing w:before="0"/>
        <w:ind w:left="357"/>
      </w:pPr>
    </w:p>
    <w:p w:rsidR="00A54528" w:rsidRPr="006C6EAC" w:rsidRDefault="00A54528" w:rsidP="006770FF">
      <w:pPr>
        <w:pStyle w:val="ListParagraph"/>
        <w:framePr w:h="2566" w:hRule="exact" w:hSpace="180" w:wrap="around" w:vAnchor="text" w:hAnchor="page" w:x="1291" w:y="732"/>
        <w:numPr>
          <w:ilvl w:val="0"/>
          <w:numId w:val="30"/>
        </w:numPr>
        <w:pBdr>
          <w:top w:val="single" w:sz="4" w:space="1" w:color="auto"/>
          <w:left w:val="single" w:sz="4" w:space="4" w:color="auto"/>
          <w:bottom w:val="single" w:sz="4" w:space="1" w:color="auto"/>
          <w:right w:val="single" w:sz="4" w:space="4" w:color="auto"/>
        </w:pBdr>
        <w:spacing w:before="0"/>
        <w:ind w:left="714" w:hanging="357"/>
      </w:pPr>
      <w:r>
        <w:t xml:space="preserve">Do you have any other information or comments? </w:t>
      </w:r>
    </w:p>
    <w:p w:rsidR="00A6682D" w:rsidRDefault="00E4197A" w:rsidP="0096130D">
      <w:pPr>
        <w:pStyle w:val="Numbered1"/>
        <w:numPr>
          <w:ilvl w:val="0"/>
          <w:numId w:val="27"/>
        </w:numPr>
        <w:ind w:left="680" w:hanging="680"/>
      </w:pPr>
      <w:bookmarkStart w:id="182" w:name="_Toc465168559"/>
      <w:r>
        <w:t>C</w:t>
      </w:r>
      <w:r w:rsidR="009E5FC7" w:rsidRPr="002B2F74">
        <w:t>onsultation</w:t>
      </w:r>
      <w:r w:rsidR="009E5FC7">
        <w:t xml:space="preserve"> questions</w:t>
      </w:r>
      <w:bookmarkStart w:id="183" w:name="_Toc453749078"/>
      <w:bookmarkStart w:id="184" w:name="_Toc453749324"/>
      <w:bookmarkEnd w:id="181"/>
      <w:bookmarkEnd w:id="182"/>
    </w:p>
    <w:p w:rsidR="00BE0A1D" w:rsidRPr="005A60B4" w:rsidRDefault="00BE0A1D" w:rsidP="0096130D">
      <w:pPr>
        <w:pStyle w:val="Numbered1"/>
        <w:numPr>
          <w:ilvl w:val="0"/>
          <w:numId w:val="27"/>
        </w:numPr>
        <w:ind w:left="680" w:hanging="680"/>
      </w:pPr>
      <w:bookmarkStart w:id="185" w:name="_Toc465168560"/>
      <w:r w:rsidRPr="005A60B4">
        <w:lastRenderedPageBreak/>
        <w:t xml:space="preserve">Have </w:t>
      </w:r>
      <w:r w:rsidRPr="00382011">
        <w:t>your</w:t>
      </w:r>
      <w:r w:rsidRPr="005A60B4">
        <w:t xml:space="preserve"> say</w:t>
      </w:r>
      <w:bookmarkEnd w:id="183"/>
      <w:bookmarkEnd w:id="184"/>
      <w:bookmarkEnd w:id="185"/>
    </w:p>
    <w:p w:rsidR="00EA5E10" w:rsidRDefault="00EA5E10" w:rsidP="00EA5E10">
      <w:r w:rsidRPr="002B2F74">
        <w:t>The ACCC invites</w:t>
      </w:r>
      <w:r>
        <w:t xml:space="preserve"> stakeholders and</w:t>
      </w:r>
      <w:r w:rsidRPr="002B2F74">
        <w:t xml:space="preserve"> interested parties to</w:t>
      </w:r>
      <w:r>
        <w:t xml:space="preserve"> comment on these policy options.</w:t>
      </w:r>
    </w:p>
    <w:p w:rsidR="00EA5E10" w:rsidRDefault="00EA5E10" w:rsidP="00EA5E10">
      <w:r w:rsidRPr="000B41C4">
        <w:t xml:space="preserve">Consultation is open from </w:t>
      </w:r>
      <w:r w:rsidR="00916AA3" w:rsidRPr="000B41C4">
        <w:t>Wednesday 26</w:t>
      </w:r>
      <w:r w:rsidR="00916AA3" w:rsidRPr="000B41C4">
        <w:rPr>
          <w:vertAlign w:val="superscript"/>
        </w:rPr>
        <w:t>th</w:t>
      </w:r>
      <w:r w:rsidR="00916AA3" w:rsidRPr="000B41C4">
        <w:t xml:space="preserve"> October 2016</w:t>
      </w:r>
      <w:r w:rsidRPr="000B41C4">
        <w:t xml:space="preserve"> to </w:t>
      </w:r>
      <w:r w:rsidR="00EE0633" w:rsidRPr="000B41C4">
        <w:t xml:space="preserve">Friday </w:t>
      </w:r>
      <w:r w:rsidR="000B41C4" w:rsidRPr="000B41C4">
        <w:t>25</w:t>
      </w:r>
      <w:r w:rsidR="000B41C4" w:rsidRPr="000B41C4">
        <w:rPr>
          <w:vertAlign w:val="superscript"/>
        </w:rPr>
        <w:t>th</w:t>
      </w:r>
      <w:r w:rsidR="000B41C4" w:rsidRPr="000B41C4">
        <w:t xml:space="preserve"> </w:t>
      </w:r>
      <w:r w:rsidR="000B41C4">
        <w:t>November</w:t>
      </w:r>
      <w:r w:rsidR="000B41C4" w:rsidRPr="000B41C4">
        <w:t xml:space="preserve"> </w:t>
      </w:r>
      <w:r w:rsidRPr="000B41C4">
        <w:t>2016.</w:t>
      </w:r>
    </w:p>
    <w:p w:rsidR="00EA5E10" w:rsidRDefault="00EA5E10" w:rsidP="00EA5E10">
      <w:r>
        <w:t xml:space="preserve">The ACCC prefers submissions via the </w:t>
      </w:r>
      <w:r w:rsidRPr="0039574F">
        <w:t>ACCC consultation hub</w:t>
      </w:r>
      <w:r>
        <w:t xml:space="preserve"> at </w:t>
      </w:r>
      <w:hyperlink r:id="rId13" w:history="1">
        <w:r w:rsidRPr="00020736">
          <w:rPr>
            <w:rStyle w:val="Hyperlink"/>
          </w:rPr>
          <w:t>consultation.accc.gov.au/</w:t>
        </w:r>
      </w:hyperlink>
      <w:r w:rsidR="00182D4D">
        <w:t>.</w:t>
      </w:r>
    </w:p>
    <w:p w:rsidR="00EA5E10" w:rsidRDefault="00EA5E10" w:rsidP="00EA5E10">
      <w:r>
        <w:t xml:space="preserve">The ACCC will </w:t>
      </w:r>
      <w:r w:rsidRPr="007A03C1">
        <w:t xml:space="preserve">alert stakeholders and interested parties to the consultation through the Product Safety Australia website </w:t>
      </w:r>
      <w:hyperlink r:id="rId14" w:history="1">
        <w:r w:rsidRPr="007A03C1">
          <w:rPr>
            <w:rStyle w:val="Hyperlink"/>
          </w:rPr>
          <w:t>www.productsafety.gov.au/</w:t>
        </w:r>
      </w:hyperlink>
      <w:r w:rsidRPr="007A03C1">
        <w:t xml:space="preserve"> and </w:t>
      </w:r>
      <w:hyperlink r:id="rId15" w:history="1">
        <w:r w:rsidRPr="007A03C1">
          <w:rPr>
            <w:rStyle w:val="Hyperlink"/>
          </w:rPr>
          <w:t>www.business.gov.au/</w:t>
        </w:r>
      </w:hyperlink>
      <w:r w:rsidRPr="007A03C1">
        <w:t>.</w:t>
      </w:r>
    </w:p>
    <w:p w:rsidR="00EA5E10" w:rsidRDefault="00EA5E10" w:rsidP="00EA5E10">
      <w:r>
        <w:t xml:space="preserve">Alternatively, email submissions to </w:t>
      </w:r>
      <w:hyperlink r:id="rId16" w:history="1">
        <w:r w:rsidRPr="007556AB">
          <w:rPr>
            <w:rStyle w:val="Hyperlink"/>
          </w:rPr>
          <w:t>productsafety.regulation@accc.gov.au</w:t>
        </w:r>
      </w:hyperlink>
      <w:r>
        <w:t xml:space="preserve"> or via post:</w:t>
      </w:r>
    </w:p>
    <w:p w:rsidR="00EA5E10" w:rsidRDefault="00EA5E10" w:rsidP="00EA5E10">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742B79" w:rsidRDefault="00742B79" w:rsidP="005C3367"/>
    <w:p w:rsidR="000306F2" w:rsidRDefault="000306F2"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0669A8" w:rsidRDefault="000669A8" w:rsidP="000306F2"/>
    <w:p w:rsidR="00B245EE" w:rsidRDefault="00B245EE" w:rsidP="004D45DF">
      <w:pPr>
        <w:pStyle w:val="Numbered1"/>
        <w:rPr>
          <w:rFonts w:eastAsia="Calibri"/>
        </w:rPr>
      </w:pPr>
      <w:bookmarkStart w:id="186" w:name="_Toc465168561"/>
    </w:p>
    <w:p w:rsidR="00B245EE" w:rsidRDefault="00B245EE" w:rsidP="004D45DF">
      <w:pPr>
        <w:pStyle w:val="Numbered1"/>
        <w:rPr>
          <w:rFonts w:eastAsia="Calibri"/>
        </w:rPr>
      </w:pPr>
    </w:p>
    <w:p w:rsidR="00B245EE" w:rsidRDefault="00B245EE" w:rsidP="004D45DF">
      <w:pPr>
        <w:pStyle w:val="Numbered1"/>
        <w:rPr>
          <w:rFonts w:eastAsia="Calibri"/>
        </w:rPr>
      </w:pPr>
    </w:p>
    <w:p w:rsidR="00B245EE" w:rsidRDefault="00B245EE" w:rsidP="004D45DF">
      <w:pPr>
        <w:pStyle w:val="Numbered1"/>
        <w:rPr>
          <w:rFonts w:eastAsia="Calibri"/>
        </w:rPr>
      </w:pPr>
    </w:p>
    <w:p w:rsidR="00B245EE" w:rsidRDefault="00B245EE" w:rsidP="004D45DF">
      <w:pPr>
        <w:pStyle w:val="Numbered1"/>
        <w:rPr>
          <w:rFonts w:eastAsia="Calibri"/>
        </w:rPr>
      </w:pPr>
    </w:p>
    <w:p w:rsidR="00B245EE" w:rsidRDefault="00B245EE" w:rsidP="004D45DF">
      <w:pPr>
        <w:pStyle w:val="Numbered1"/>
        <w:rPr>
          <w:rFonts w:eastAsia="Calibri"/>
        </w:rPr>
      </w:pPr>
    </w:p>
    <w:p w:rsidR="00C8527E" w:rsidRDefault="00DC65CF" w:rsidP="004D45DF">
      <w:pPr>
        <w:pStyle w:val="Numbered1"/>
        <w:rPr>
          <w:rFonts w:eastAsia="Calibri"/>
        </w:rPr>
      </w:pPr>
      <w:r w:rsidRPr="00382011">
        <w:rPr>
          <w:rFonts w:eastAsia="Calibri"/>
        </w:rPr>
        <w:lastRenderedPageBreak/>
        <w:t>Glossary</w:t>
      </w:r>
      <w:bookmarkEnd w:id="186"/>
    </w:p>
    <w:p w:rsidR="004D45DF" w:rsidRPr="004D45DF" w:rsidRDefault="004D45DF" w:rsidP="004D45DF"/>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DC65CF" w:rsidTr="005440AE">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0E1B19" w:rsidRDefault="00DC65CF" w:rsidP="005440AE">
            <w:pPr>
              <w:spacing w:after="120"/>
              <w:rPr>
                <w:b/>
                <w:bCs/>
              </w:rPr>
            </w:pPr>
            <w:r w:rsidRPr="000E1B19">
              <w:rPr>
                <w:b/>
                <w:bCs/>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0E1B19" w:rsidRDefault="00DC65CF" w:rsidP="005440AE">
            <w:pPr>
              <w:spacing w:after="120"/>
              <w:rPr>
                <w:b/>
                <w:bCs/>
              </w:rPr>
            </w:pPr>
            <w:r w:rsidRPr="000E1B19">
              <w:rPr>
                <w:b/>
                <w:bCs/>
              </w:rPr>
              <w:t>Definition</w:t>
            </w:r>
          </w:p>
        </w:tc>
      </w:tr>
      <w:tr w:rsidR="00392BB2" w:rsidTr="00392BB2">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392BB2" w:rsidRPr="000E1B19" w:rsidRDefault="00392BB2" w:rsidP="001A11A6">
            <w:pPr>
              <w:spacing w:after="120"/>
              <w:rPr>
                <w:b/>
                <w:bCs/>
              </w:rPr>
            </w:pPr>
            <w:r w:rsidRPr="000E1B19">
              <w:rPr>
                <w:b/>
                <w:bCs/>
              </w:rPr>
              <w:t>ASTM standard</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392BB2" w:rsidRPr="00392BB2" w:rsidRDefault="00392BB2" w:rsidP="001A11A6">
            <w:pPr>
              <w:spacing w:after="120"/>
              <w:rPr>
                <w:i/>
              </w:rPr>
            </w:pPr>
            <w:r w:rsidRPr="000E1B19">
              <w:rPr>
                <w:i/>
              </w:rPr>
              <w:t>ASTM F2950-14 - Standard Safety and Performance Specification for Soccer Goals</w:t>
            </w:r>
          </w:p>
        </w:tc>
      </w:tr>
      <w:tr w:rsidR="00392BB2" w:rsidTr="001A11A6">
        <w:tc>
          <w:tcPr>
            <w:tcW w:w="2376" w:type="dxa"/>
            <w:shd w:val="clear" w:color="auto" w:fill="auto"/>
            <w:vAlign w:val="center"/>
          </w:tcPr>
          <w:p w:rsidR="00392BB2" w:rsidRPr="000E1B19" w:rsidRDefault="00392BB2" w:rsidP="001A11A6">
            <w:pPr>
              <w:spacing w:after="120"/>
              <w:rPr>
                <w:b/>
                <w:bCs/>
              </w:rPr>
            </w:pPr>
            <w:r w:rsidRPr="000E1B19">
              <w:rPr>
                <w:b/>
                <w:bCs/>
              </w:rPr>
              <w:t>European standard</w:t>
            </w:r>
          </w:p>
        </w:tc>
        <w:tc>
          <w:tcPr>
            <w:tcW w:w="6866" w:type="dxa"/>
            <w:shd w:val="clear" w:color="auto" w:fill="auto"/>
            <w:vAlign w:val="center"/>
          </w:tcPr>
          <w:p w:rsidR="00392BB2" w:rsidRPr="000E1B19" w:rsidRDefault="00392BB2" w:rsidP="001A11A6">
            <w:pPr>
              <w:spacing w:after="120"/>
              <w:rPr>
                <w:i/>
              </w:rPr>
            </w:pPr>
            <w:r w:rsidRPr="000E1B19">
              <w:rPr>
                <w:i/>
              </w:rPr>
              <w:t>EN 748:2013 - Playing field equipment. Football goals. Functional and safety requirements, test methods</w:t>
            </w:r>
          </w:p>
        </w:tc>
      </w:tr>
      <w:tr w:rsidR="00DC65CF" w:rsidTr="005440AE">
        <w:tc>
          <w:tcPr>
            <w:tcW w:w="2376" w:type="dxa"/>
            <w:shd w:val="clear" w:color="auto" w:fill="auto"/>
            <w:vAlign w:val="center"/>
          </w:tcPr>
          <w:p w:rsidR="00DC65CF" w:rsidRPr="000E1B19" w:rsidRDefault="008D3614" w:rsidP="005440AE">
            <w:pPr>
              <w:spacing w:after="120"/>
              <w:rPr>
                <w:b/>
                <w:bCs/>
              </w:rPr>
            </w:pPr>
            <w:r w:rsidRPr="000E1B19">
              <w:rPr>
                <w:b/>
                <w:bCs/>
              </w:rPr>
              <w:t>Mandatory safety standard</w:t>
            </w:r>
          </w:p>
        </w:tc>
        <w:tc>
          <w:tcPr>
            <w:tcW w:w="6866" w:type="dxa"/>
            <w:shd w:val="clear" w:color="auto" w:fill="auto"/>
            <w:vAlign w:val="center"/>
          </w:tcPr>
          <w:p w:rsidR="00DC65CF" w:rsidRPr="000E1B19" w:rsidRDefault="000E1B19" w:rsidP="000E1B19">
            <w:pPr>
              <w:spacing w:after="120"/>
            </w:pPr>
            <w:r w:rsidRPr="000E1B19">
              <w:rPr>
                <w:i/>
              </w:rPr>
              <w:t>Consumer Protection Notice No. 28 of 2010</w:t>
            </w:r>
            <w:r w:rsidRPr="000E1B19">
              <w:t xml:space="preserve"> </w:t>
            </w:r>
          </w:p>
        </w:tc>
      </w:tr>
      <w:tr w:rsidR="00DC65CF" w:rsidTr="005440AE">
        <w:tc>
          <w:tcPr>
            <w:tcW w:w="2376" w:type="dxa"/>
            <w:shd w:val="clear" w:color="auto" w:fill="auto"/>
            <w:vAlign w:val="center"/>
          </w:tcPr>
          <w:p w:rsidR="00DC65CF" w:rsidRPr="000E1B19" w:rsidRDefault="008D3614" w:rsidP="005440AE">
            <w:pPr>
              <w:spacing w:after="120"/>
              <w:rPr>
                <w:b/>
                <w:bCs/>
              </w:rPr>
            </w:pPr>
            <w:r w:rsidRPr="000E1B19">
              <w:rPr>
                <w:b/>
                <w:bCs/>
              </w:rPr>
              <w:t>Moveable soccer goal</w:t>
            </w:r>
          </w:p>
        </w:tc>
        <w:tc>
          <w:tcPr>
            <w:tcW w:w="6866" w:type="dxa"/>
            <w:shd w:val="clear" w:color="auto" w:fill="auto"/>
            <w:vAlign w:val="center"/>
          </w:tcPr>
          <w:p w:rsidR="00DC65CF" w:rsidRPr="000E1B19" w:rsidRDefault="000E1B19" w:rsidP="005440AE">
            <w:pPr>
              <w:spacing w:after="120"/>
            </w:pPr>
            <w:r>
              <w:t>Soccer goal</w:t>
            </w:r>
            <w:r w:rsidR="00916AA3">
              <w:t>s</w:t>
            </w:r>
            <w:r>
              <w:t xml:space="preserve"> which are </w:t>
            </w:r>
            <w:r w:rsidRPr="000E1B19">
              <w:t>free standing; designed to be moved for use in various locations; and weighing 28 kilograms or above</w:t>
            </w:r>
          </w:p>
        </w:tc>
      </w:tr>
      <w:tr w:rsidR="00DC65CF" w:rsidTr="005440AE">
        <w:tc>
          <w:tcPr>
            <w:tcW w:w="2376" w:type="dxa"/>
            <w:shd w:val="clear" w:color="auto" w:fill="auto"/>
            <w:vAlign w:val="center"/>
          </w:tcPr>
          <w:p w:rsidR="00DC65CF" w:rsidRPr="000E1B19" w:rsidRDefault="00EC684F" w:rsidP="005440AE">
            <w:pPr>
              <w:spacing w:after="120"/>
              <w:rPr>
                <w:b/>
                <w:bCs/>
              </w:rPr>
            </w:pPr>
            <w:r w:rsidRPr="000E1B19">
              <w:rPr>
                <w:b/>
                <w:bCs/>
              </w:rPr>
              <w:t>Voluntary Australian standard</w:t>
            </w:r>
          </w:p>
        </w:tc>
        <w:tc>
          <w:tcPr>
            <w:tcW w:w="6866" w:type="dxa"/>
            <w:shd w:val="clear" w:color="auto" w:fill="auto"/>
            <w:vAlign w:val="center"/>
          </w:tcPr>
          <w:p w:rsidR="00DC65CF" w:rsidRPr="000E1B19" w:rsidRDefault="000E1B19" w:rsidP="005440AE">
            <w:pPr>
              <w:spacing w:after="120"/>
              <w:rPr>
                <w:i/>
              </w:rPr>
            </w:pPr>
            <w:r w:rsidRPr="000E1B19">
              <w:rPr>
                <w:i/>
              </w:rPr>
              <w:t>AS 4866.1-2007 - Playing field equipment - Soccer goals - Safety aspects</w:t>
            </w:r>
          </w:p>
        </w:tc>
      </w:tr>
    </w:tbl>
    <w:p w:rsidR="00260BC3" w:rsidRDefault="00260BC3" w:rsidP="00260BC3">
      <w:pPr>
        <w:tabs>
          <w:tab w:val="left" w:pos="765"/>
        </w:tabs>
      </w:pPr>
      <w:bookmarkStart w:id="187" w:name="_Toc464137291"/>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260BC3" w:rsidRDefault="00260BC3" w:rsidP="00260BC3">
      <w:pPr>
        <w:tabs>
          <w:tab w:val="left" w:pos="765"/>
        </w:tabs>
      </w:pPr>
    </w:p>
    <w:p w:rsidR="006E6162" w:rsidRDefault="006E6162" w:rsidP="00260BC3">
      <w:pPr>
        <w:tabs>
          <w:tab w:val="left" w:pos="765"/>
        </w:tabs>
        <w:sectPr w:rsidR="006E6162" w:rsidSect="00260BC3">
          <w:footerReference w:type="default" r:id="rId17"/>
          <w:pgSz w:w="11906" w:h="16838"/>
          <w:pgMar w:top="1276" w:right="1440" w:bottom="1440" w:left="1440" w:header="708" w:footer="708" w:gutter="0"/>
          <w:cols w:space="708"/>
          <w:docGrid w:linePitch="360"/>
        </w:sectPr>
      </w:pPr>
    </w:p>
    <w:p w:rsidR="00260BC3" w:rsidRDefault="006E6162" w:rsidP="006E6162">
      <w:pPr>
        <w:pStyle w:val="Numbered1"/>
      </w:pPr>
      <w:bookmarkStart w:id="188" w:name="_Toc465168562"/>
      <w:r w:rsidRPr="00EE2359">
        <w:lastRenderedPageBreak/>
        <w:t>Appendix A – Comparison of international standard</w:t>
      </w:r>
      <w:r>
        <w:t>s</w:t>
      </w:r>
      <w:bookmarkEnd w:id="188"/>
    </w:p>
    <w:bookmarkEnd w:id="187"/>
    <w:p w:rsidR="00876699" w:rsidRDefault="00876699" w:rsidP="00260BC3">
      <w:pPr>
        <w:tabs>
          <w:tab w:val="left" w:pos="765"/>
        </w:tabs>
      </w:pPr>
    </w:p>
    <w:tbl>
      <w:tblPr>
        <w:tblpPr w:leftFromText="180" w:rightFromText="180" w:vertAnchor="page" w:horzAnchor="margin" w:tblpY="217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91"/>
        <w:gridCol w:w="3591"/>
        <w:gridCol w:w="3591"/>
      </w:tblGrid>
      <w:tr w:rsidR="00260BC3" w:rsidRPr="00876699" w:rsidTr="000D0BF2">
        <w:trPr>
          <w:trHeight w:val="494"/>
        </w:trPr>
        <w:tc>
          <w:tcPr>
            <w:tcW w:w="3652" w:type="dxa"/>
            <w:shd w:val="clear" w:color="auto" w:fill="7030A0"/>
            <w:hideMark/>
          </w:tcPr>
          <w:p w:rsidR="00260BC3" w:rsidRPr="00A25CBA" w:rsidRDefault="00260BC3" w:rsidP="000D0BF2">
            <w:pPr>
              <w:spacing w:before="0"/>
              <w:rPr>
                <w:rFonts w:ascii="Calibri" w:eastAsia="Calibri" w:hAnsi="Calibri"/>
                <w:b/>
                <w:bCs/>
                <w:color w:val="FFFFFF"/>
              </w:rPr>
            </w:pPr>
            <w:r w:rsidRPr="00A25CBA">
              <w:rPr>
                <w:rFonts w:ascii="Calibri" w:eastAsia="Calibri" w:hAnsi="Calibri"/>
                <w:b/>
                <w:bCs/>
                <w:color w:val="FFFFFF"/>
              </w:rPr>
              <w:t>Key requirement</w:t>
            </w:r>
          </w:p>
        </w:tc>
        <w:tc>
          <w:tcPr>
            <w:tcW w:w="3591" w:type="dxa"/>
            <w:shd w:val="clear" w:color="auto" w:fill="7030A0"/>
            <w:hideMark/>
          </w:tcPr>
          <w:p w:rsidR="00260BC3" w:rsidRPr="00A25CBA" w:rsidRDefault="00260BC3" w:rsidP="000D0BF2">
            <w:pPr>
              <w:spacing w:before="0"/>
              <w:rPr>
                <w:rFonts w:ascii="Calibri" w:eastAsia="Calibri" w:hAnsi="Calibri"/>
                <w:b/>
                <w:bCs/>
                <w:color w:val="FFFFFF"/>
              </w:rPr>
            </w:pPr>
            <w:r w:rsidRPr="00A25CBA">
              <w:rPr>
                <w:rFonts w:ascii="Calibri" w:eastAsia="Calibri" w:hAnsi="Calibri"/>
                <w:b/>
                <w:bCs/>
                <w:color w:val="FFFFFF"/>
              </w:rPr>
              <w:t xml:space="preserve">AS 4866.1-2007 </w:t>
            </w:r>
          </w:p>
          <w:p w:rsidR="00260BC3" w:rsidRPr="00A25CBA" w:rsidRDefault="00260BC3" w:rsidP="000D0BF2">
            <w:pPr>
              <w:spacing w:before="0"/>
              <w:rPr>
                <w:rFonts w:ascii="Calibri" w:eastAsia="Calibri" w:hAnsi="Calibri"/>
                <w:b/>
                <w:bCs/>
                <w:color w:val="FFFFFF"/>
              </w:rPr>
            </w:pPr>
            <w:r>
              <w:rPr>
                <w:rFonts w:ascii="Calibri" w:eastAsia="Calibri" w:hAnsi="Calibri"/>
                <w:b/>
                <w:bCs/>
                <w:color w:val="FFFFFF"/>
              </w:rPr>
              <w:t xml:space="preserve">Voluntary </w:t>
            </w:r>
            <w:r w:rsidRPr="00A25CBA">
              <w:rPr>
                <w:rFonts w:ascii="Calibri" w:eastAsia="Calibri" w:hAnsi="Calibri"/>
                <w:b/>
                <w:bCs/>
                <w:color w:val="FFFFFF"/>
              </w:rPr>
              <w:t>Australian standard</w:t>
            </w:r>
          </w:p>
        </w:tc>
        <w:tc>
          <w:tcPr>
            <w:tcW w:w="3591" w:type="dxa"/>
            <w:shd w:val="clear" w:color="auto" w:fill="7030A0"/>
            <w:hideMark/>
          </w:tcPr>
          <w:p w:rsidR="00260BC3" w:rsidRPr="00A25CBA" w:rsidRDefault="00260BC3" w:rsidP="000D0BF2">
            <w:pPr>
              <w:spacing w:before="0"/>
              <w:rPr>
                <w:rFonts w:ascii="Calibri" w:eastAsia="Calibri" w:hAnsi="Calibri"/>
                <w:b/>
                <w:bCs/>
                <w:color w:val="FFFFFF"/>
              </w:rPr>
            </w:pPr>
            <w:r w:rsidRPr="00A25CBA">
              <w:rPr>
                <w:rFonts w:ascii="Calibri" w:eastAsia="Calibri" w:hAnsi="Calibri"/>
                <w:b/>
                <w:bCs/>
                <w:color w:val="FFFFFF"/>
              </w:rPr>
              <w:t>ASTM F2950-14</w:t>
            </w:r>
          </w:p>
          <w:p w:rsidR="00260BC3" w:rsidRPr="00A25CBA" w:rsidRDefault="00260BC3" w:rsidP="000D0BF2">
            <w:pPr>
              <w:spacing w:before="0"/>
              <w:rPr>
                <w:rFonts w:ascii="Calibri" w:eastAsia="Calibri" w:hAnsi="Calibri"/>
                <w:b/>
                <w:bCs/>
                <w:color w:val="FFFFFF"/>
              </w:rPr>
            </w:pPr>
            <w:r>
              <w:rPr>
                <w:rFonts w:ascii="Calibri" w:eastAsia="Calibri" w:hAnsi="Calibri"/>
                <w:b/>
                <w:bCs/>
                <w:color w:val="FFFFFF"/>
              </w:rPr>
              <w:t>ASTM</w:t>
            </w:r>
            <w:r w:rsidRPr="00A25CBA">
              <w:rPr>
                <w:rFonts w:ascii="Calibri" w:eastAsia="Calibri" w:hAnsi="Calibri"/>
                <w:b/>
                <w:bCs/>
                <w:color w:val="FFFFFF"/>
              </w:rPr>
              <w:t xml:space="preserve"> standard</w:t>
            </w:r>
          </w:p>
        </w:tc>
        <w:tc>
          <w:tcPr>
            <w:tcW w:w="3591" w:type="dxa"/>
            <w:shd w:val="clear" w:color="auto" w:fill="7030A0"/>
          </w:tcPr>
          <w:p w:rsidR="00260BC3" w:rsidRPr="00A25CBA" w:rsidRDefault="00260BC3" w:rsidP="000D0BF2">
            <w:pPr>
              <w:spacing w:before="0"/>
              <w:ind w:left="33"/>
              <w:rPr>
                <w:rFonts w:ascii="Calibri" w:eastAsia="Calibri" w:hAnsi="Calibri"/>
                <w:b/>
                <w:bCs/>
                <w:color w:val="FFFFFF"/>
              </w:rPr>
            </w:pPr>
            <w:r w:rsidRPr="00A25CBA">
              <w:rPr>
                <w:rFonts w:ascii="Calibri" w:eastAsia="Calibri" w:hAnsi="Calibri"/>
                <w:b/>
                <w:bCs/>
                <w:color w:val="FFFFFF"/>
              </w:rPr>
              <w:t>EN 748:2013</w:t>
            </w:r>
          </w:p>
          <w:p w:rsidR="00260BC3" w:rsidRPr="00A25CBA" w:rsidRDefault="00260BC3" w:rsidP="000D0BF2">
            <w:pPr>
              <w:spacing w:before="0"/>
              <w:ind w:left="33"/>
              <w:rPr>
                <w:rFonts w:ascii="Calibri" w:eastAsia="Calibri" w:hAnsi="Calibri"/>
                <w:b/>
                <w:bCs/>
                <w:color w:val="FFFFFF"/>
              </w:rPr>
            </w:pPr>
            <w:r>
              <w:rPr>
                <w:rFonts w:ascii="Calibri" w:eastAsia="Calibri" w:hAnsi="Calibri"/>
                <w:b/>
                <w:bCs/>
                <w:color w:val="FFFFFF"/>
              </w:rPr>
              <w:t>European</w:t>
            </w:r>
            <w:r w:rsidRPr="00A25CBA">
              <w:rPr>
                <w:rFonts w:ascii="Calibri" w:eastAsia="Calibri" w:hAnsi="Calibri"/>
                <w:b/>
                <w:bCs/>
                <w:color w:val="FFFFFF"/>
              </w:rPr>
              <w:t xml:space="preserve"> standard</w:t>
            </w:r>
          </w:p>
        </w:tc>
      </w:tr>
      <w:tr w:rsidR="00260BC3" w:rsidRPr="00876699" w:rsidTr="000D0BF2">
        <w:tc>
          <w:tcPr>
            <w:tcW w:w="3652" w:type="dxa"/>
            <w:tcBorders>
              <w:top w:val="single" w:sz="8" w:space="0" w:color="000000"/>
              <w:left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b/>
                <w:bCs/>
              </w:rPr>
            </w:pPr>
            <w:r w:rsidRPr="00A25CBA">
              <w:rPr>
                <w:rFonts w:ascii="Calibri" w:eastAsia="Calibri" w:hAnsi="Calibri"/>
                <w:b/>
                <w:bCs/>
              </w:rPr>
              <w:t>Design and construction</w:t>
            </w:r>
          </w:p>
        </w:tc>
        <w:tc>
          <w:tcPr>
            <w:tcW w:w="3591" w:type="dxa"/>
            <w:tcBorders>
              <w:top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rPr>
            </w:pPr>
          </w:p>
        </w:tc>
        <w:tc>
          <w:tcPr>
            <w:tcW w:w="3591" w:type="dxa"/>
            <w:tcBorders>
              <w:top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rPr>
            </w:pPr>
          </w:p>
        </w:tc>
        <w:tc>
          <w:tcPr>
            <w:tcW w:w="3591" w:type="dxa"/>
            <w:tcBorders>
              <w:top w:val="single" w:sz="8" w:space="0" w:color="000000"/>
              <w:bottom w:val="single" w:sz="8" w:space="0" w:color="000000"/>
              <w:right w:val="single" w:sz="8" w:space="0" w:color="000000"/>
            </w:tcBorders>
            <w:shd w:val="clear" w:color="auto" w:fill="F2DBDB"/>
          </w:tcPr>
          <w:p w:rsidR="00260BC3" w:rsidRPr="00A25CBA" w:rsidRDefault="00260BC3" w:rsidP="000D0BF2">
            <w:pPr>
              <w:spacing w:before="0"/>
              <w:ind w:left="33"/>
              <w:rPr>
                <w:rFonts w:ascii="Calibri" w:eastAsia="Calibri" w:hAnsi="Calibri"/>
              </w:rPr>
            </w:pPr>
          </w:p>
        </w:tc>
      </w:tr>
      <w:tr w:rsidR="00260BC3" w:rsidRPr="00876699" w:rsidTr="000D0BF2">
        <w:tc>
          <w:tcPr>
            <w:tcW w:w="3652" w:type="dxa"/>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Scope (weight)</w:t>
            </w:r>
          </w:p>
        </w:tc>
        <w:tc>
          <w:tcPr>
            <w:tcW w:w="3591" w:type="dxa"/>
            <w:shd w:val="clear" w:color="auto" w:fill="auto"/>
            <w:hideMark/>
          </w:tcPr>
          <w:p w:rsidR="00260BC3" w:rsidRPr="00A25CBA" w:rsidRDefault="00260BC3" w:rsidP="000D0BF2">
            <w:pPr>
              <w:spacing w:before="0"/>
              <w:rPr>
                <w:rFonts w:ascii="Calibri" w:eastAsia="Calibri" w:hAnsi="Calibri"/>
              </w:rPr>
            </w:pPr>
            <w:r w:rsidRPr="00A25CBA">
              <w:rPr>
                <w:rFonts w:ascii="Calibri" w:eastAsia="Calibri" w:hAnsi="Calibri"/>
              </w:rPr>
              <w:t>&gt;</w:t>
            </w:r>
            <w:r>
              <w:rPr>
                <w:rFonts w:ascii="Calibri" w:eastAsia="Calibri" w:hAnsi="Calibri"/>
              </w:rPr>
              <w:t xml:space="preserve"> </w:t>
            </w:r>
            <w:r w:rsidRPr="00A25CBA">
              <w:rPr>
                <w:rFonts w:ascii="Calibri" w:eastAsia="Calibri" w:hAnsi="Calibri"/>
              </w:rPr>
              <w:t>28</w:t>
            </w:r>
            <w:r>
              <w:rPr>
                <w:rFonts w:ascii="Calibri" w:eastAsia="Calibri" w:hAnsi="Calibri"/>
              </w:rPr>
              <w:t xml:space="preserve"> </w:t>
            </w:r>
            <w:r w:rsidRPr="00A25CBA">
              <w:rPr>
                <w:rFonts w:ascii="Calibri" w:eastAsia="Calibri" w:hAnsi="Calibri"/>
              </w:rPr>
              <w:t>kg</w:t>
            </w:r>
          </w:p>
        </w:tc>
        <w:tc>
          <w:tcPr>
            <w:tcW w:w="3591" w:type="dxa"/>
            <w:shd w:val="clear" w:color="auto" w:fill="auto"/>
            <w:hideMark/>
          </w:tcPr>
          <w:p w:rsidR="00260BC3" w:rsidRPr="00A25CBA" w:rsidRDefault="00260BC3" w:rsidP="000D0BF2">
            <w:pPr>
              <w:spacing w:before="0"/>
              <w:rPr>
                <w:rFonts w:ascii="Calibri" w:eastAsia="Calibri" w:hAnsi="Calibri"/>
              </w:rPr>
            </w:pPr>
            <w:r w:rsidRPr="00A25CBA">
              <w:rPr>
                <w:rFonts w:ascii="Calibri" w:eastAsia="Calibri" w:hAnsi="Calibri"/>
              </w:rPr>
              <w:t>&gt;</w:t>
            </w:r>
            <w:r>
              <w:rPr>
                <w:rFonts w:ascii="Calibri" w:eastAsia="Calibri" w:hAnsi="Calibri"/>
              </w:rPr>
              <w:t xml:space="preserve"> </w:t>
            </w:r>
            <w:r w:rsidRPr="00A25CBA">
              <w:rPr>
                <w:rFonts w:ascii="Calibri" w:eastAsia="Calibri" w:hAnsi="Calibri"/>
              </w:rPr>
              <w:t>18</w:t>
            </w:r>
            <w:r>
              <w:rPr>
                <w:rFonts w:ascii="Calibri" w:eastAsia="Calibri" w:hAnsi="Calibri"/>
              </w:rPr>
              <w:t xml:space="preserve"> </w:t>
            </w:r>
            <w:r w:rsidRPr="00A25CBA">
              <w:rPr>
                <w:rFonts w:ascii="Calibri" w:eastAsia="Calibri" w:hAnsi="Calibri"/>
              </w:rPr>
              <w:t>kg (&gt;</w:t>
            </w:r>
            <w:r>
              <w:rPr>
                <w:rFonts w:ascii="Calibri" w:eastAsia="Calibri" w:hAnsi="Calibri"/>
              </w:rPr>
              <w:t xml:space="preserve"> </w:t>
            </w:r>
            <w:r w:rsidRPr="00A25CBA">
              <w:rPr>
                <w:rFonts w:ascii="Calibri" w:eastAsia="Calibri" w:hAnsi="Calibri"/>
              </w:rPr>
              <w:t>36</w:t>
            </w:r>
            <w:r>
              <w:rPr>
                <w:rFonts w:ascii="Calibri" w:eastAsia="Calibri" w:hAnsi="Calibri"/>
              </w:rPr>
              <w:t xml:space="preserve"> </w:t>
            </w:r>
            <w:r w:rsidRPr="00A25CBA">
              <w:rPr>
                <w:rFonts w:ascii="Calibri" w:eastAsia="Calibri" w:hAnsi="Calibri"/>
              </w:rPr>
              <w:t>kg for testing)</w:t>
            </w:r>
          </w:p>
        </w:tc>
        <w:tc>
          <w:tcPr>
            <w:tcW w:w="3591" w:type="dxa"/>
            <w:shd w:val="clear" w:color="auto" w:fill="auto"/>
          </w:tcPr>
          <w:p w:rsidR="00260BC3" w:rsidRPr="00A25CBA" w:rsidRDefault="00260BC3" w:rsidP="000D0BF2">
            <w:pPr>
              <w:spacing w:before="0"/>
              <w:ind w:left="33"/>
              <w:rPr>
                <w:rFonts w:ascii="Calibri" w:eastAsia="Calibri" w:hAnsi="Calibri"/>
              </w:rPr>
            </w:pPr>
            <w:r w:rsidRPr="00A25CBA">
              <w:rPr>
                <w:rFonts w:ascii="Calibri" w:eastAsia="Calibri" w:hAnsi="Calibri"/>
              </w:rPr>
              <w:t>None</w:t>
            </w:r>
          </w:p>
        </w:tc>
      </w:tr>
      <w:tr w:rsidR="00260BC3" w:rsidRPr="00876699" w:rsidTr="000D0BF2">
        <w:tc>
          <w:tcPr>
            <w:tcW w:w="3652" w:type="dxa"/>
            <w:tcBorders>
              <w:top w:val="single" w:sz="8" w:space="0" w:color="000000"/>
              <w:left w:val="single" w:sz="8" w:space="0" w:color="000000"/>
              <w:bottom w:val="single" w:sz="8" w:space="0" w:color="000000"/>
            </w:tcBorders>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Effective anchor system</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Not explicit</w:t>
            </w:r>
          </w:p>
        </w:tc>
        <w:tc>
          <w:tcPr>
            <w:tcW w:w="3591" w:type="dxa"/>
            <w:tcBorders>
              <w:top w:val="single" w:sz="8" w:space="0" w:color="000000"/>
              <w:bottom w:val="single" w:sz="8" w:space="0" w:color="000000"/>
              <w:right w:val="single" w:sz="8" w:space="0" w:color="000000"/>
            </w:tcBorders>
            <w:shd w:val="clear" w:color="auto" w:fill="auto"/>
          </w:tcPr>
          <w:p w:rsidR="00260BC3" w:rsidRPr="00A25CBA" w:rsidRDefault="00260BC3" w:rsidP="000D0BF2">
            <w:pPr>
              <w:spacing w:before="0"/>
              <w:ind w:left="33"/>
              <w:rPr>
                <w:rFonts w:ascii="Calibri" w:eastAsia="Calibri" w:hAnsi="Calibri"/>
              </w:rPr>
            </w:pPr>
            <w:r w:rsidRPr="00A25CBA">
              <w:rPr>
                <w:rFonts w:ascii="Calibri" w:eastAsia="Calibri" w:hAnsi="Calibri"/>
              </w:rPr>
              <w:t>Not explicit</w:t>
            </w:r>
          </w:p>
        </w:tc>
      </w:tr>
      <w:tr w:rsidR="00260BC3" w:rsidRPr="00876699" w:rsidTr="000D0BF2">
        <w:tc>
          <w:tcPr>
            <w:tcW w:w="3652" w:type="dxa"/>
            <w:shd w:val="clear" w:color="auto" w:fill="F2DBDB"/>
          </w:tcPr>
          <w:p w:rsidR="00260BC3" w:rsidRPr="00A25CBA" w:rsidRDefault="00260BC3" w:rsidP="000D0BF2">
            <w:pPr>
              <w:spacing w:before="0"/>
              <w:rPr>
                <w:rFonts w:ascii="Calibri" w:eastAsia="Calibri" w:hAnsi="Calibri"/>
                <w:b/>
                <w:bCs/>
              </w:rPr>
            </w:pPr>
            <w:r w:rsidRPr="00A25CBA">
              <w:rPr>
                <w:rFonts w:ascii="Calibri" w:eastAsia="Calibri" w:hAnsi="Calibri"/>
                <w:b/>
                <w:bCs/>
              </w:rPr>
              <w:t>Performance</w:t>
            </w:r>
          </w:p>
        </w:tc>
        <w:tc>
          <w:tcPr>
            <w:tcW w:w="3591" w:type="dxa"/>
            <w:shd w:val="clear" w:color="auto" w:fill="F2DBDB"/>
          </w:tcPr>
          <w:p w:rsidR="00260BC3" w:rsidRPr="00A25CBA" w:rsidRDefault="00260BC3" w:rsidP="000D0BF2">
            <w:pPr>
              <w:spacing w:before="0"/>
              <w:rPr>
                <w:rFonts w:ascii="Calibri" w:eastAsia="Calibri" w:hAnsi="Calibri"/>
              </w:rPr>
            </w:pPr>
          </w:p>
        </w:tc>
        <w:tc>
          <w:tcPr>
            <w:tcW w:w="3591" w:type="dxa"/>
            <w:shd w:val="clear" w:color="auto" w:fill="F2DBDB"/>
          </w:tcPr>
          <w:p w:rsidR="00260BC3" w:rsidRPr="00A25CBA" w:rsidRDefault="00260BC3" w:rsidP="000D0BF2">
            <w:pPr>
              <w:spacing w:before="0"/>
              <w:rPr>
                <w:rFonts w:ascii="Calibri" w:eastAsia="Calibri" w:hAnsi="Calibri"/>
              </w:rPr>
            </w:pPr>
          </w:p>
        </w:tc>
        <w:tc>
          <w:tcPr>
            <w:tcW w:w="3591" w:type="dxa"/>
            <w:shd w:val="clear" w:color="auto" w:fill="F2DBDB"/>
          </w:tcPr>
          <w:p w:rsidR="00260BC3" w:rsidRPr="00A25CBA" w:rsidRDefault="00260BC3" w:rsidP="000D0BF2">
            <w:pPr>
              <w:spacing w:before="0"/>
              <w:ind w:left="33"/>
              <w:rPr>
                <w:rFonts w:ascii="Calibri" w:eastAsia="Calibri" w:hAnsi="Calibri"/>
              </w:rPr>
            </w:pPr>
          </w:p>
        </w:tc>
      </w:tr>
      <w:tr w:rsidR="00260BC3" w:rsidRPr="00876699" w:rsidTr="000D0BF2">
        <w:tc>
          <w:tcPr>
            <w:tcW w:w="3652" w:type="dxa"/>
            <w:tcBorders>
              <w:top w:val="single" w:sz="8" w:space="0" w:color="000000"/>
              <w:left w:val="single" w:sz="8" w:space="0" w:color="000000"/>
              <w:bottom w:val="single" w:sz="8" w:space="0" w:color="000000"/>
            </w:tcBorders>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Static load</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No</w:t>
            </w:r>
          </w:p>
        </w:tc>
        <w:tc>
          <w:tcPr>
            <w:tcW w:w="3591" w:type="dxa"/>
            <w:tcBorders>
              <w:top w:val="single" w:sz="8" w:space="0" w:color="000000"/>
              <w:bottom w:val="single" w:sz="8" w:space="0" w:color="000000"/>
              <w:right w:val="single" w:sz="8" w:space="0" w:color="000000"/>
            </w:tcBorders>
            <w:shd w:val="clear" w:color="auto" w:fill="auto"/>
          </w:tcPr>
          <w:p w:rsidR="00260BC3" w:rsidRPr="00A25CBA" w:rsidRDefault="00260BC3" w:rsidP="000D0BF2">
            <w:pPr>
              <w:spacing w:before="0"/>
              <w:ind w:left="33"/>
              <w:rPr>
                <w:rFonts w:ascii="Calibri" w:eastAsia="Calibri" w:hAnsi="Calibri"/>
              </w:rPr>
            </w:pPr>
            <w:r w:rsidRPr="00A25CBA">
              <w:rPr>
                <w:rFonts w:ascii="Calibri" w:eastAsia="Calibri" w:hAnsi="Calibri"/>
              </w:rPr>
              <w:t>No</w:t>
            </w:r>
          </w:p>
        </w:tc>
      </w:tr>
      <w:tr w:rsidR="00260BC3" w:rsidRPr="00876699" w:rsidTr="000D0BF2">
        <w:tc>
          <w:tcPr>
            <w:tcW w:w="3652" w:type="dxa"/>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Stability</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shd w:val="clear" w:color="auto" w:fill="auto"/>
          </w:tcPr>
          <w:p w:rsidR="00260BC3" w:rsidRPr="00A25CBA" w:rsidRDefault="00260BC3" w:rsidP="000D0BF2">
            <w:pPr>
              <w:spacing w:before="0"/>
              <w:ind w:left="33"/>
              <w:rPr>
                <w:rFonts w:ascii="Calibri" w:eastAsia="Calibri" w:hAnsi="Calibri"/>
              </w:rPr>
            </w:pPr>
            <w:r w:rsidRPr="00A25CBA">
              <w:rPr>
                <w:rFonts w:ascii="Calibri" w:eastAsia="Calibri" w:hAnsi="Calibri"/>
              </w:rPr>
              <w:t>Yes</w:t>
            </w:r>
          </w:p>
        </w:tc>
      </w:tr>
      <w:tr w:rsidR="00260BC3" w:rsidRPr="00876699" w:rsidTr="000D0BF2">
        <w:tc>
          <w:tcPr>
            <w:tcW w:w="3652" w:type="dxa"/>
            <w:tcBorders>
              <w:top w:val="single" w:sz="8" w:space="0" w:color="000000"/>
              <w:left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b/>
                <w:bCs/>
              </w:rPr>
            </w:pPr>
            <w:r w:rsidRPr="00A25CBA">
              <w:rPr>
                <w:rFonts w:ascii="Calibri" w:eastAsia="Calibri" w:hAnsi="Calibri"/>
                <w:b/>
                <w:bCs/>
              </w:rPr>
              <w:t>Marking</w:t>
            </w:r>
          </w:p>
        </w:tc>
        <w:tc>
          <w:tcPr>
            <w:tcW w:w="3591" w:type="dxa"/>
            <w:tcBorders>
              <w:top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rPr>
            </w:pPr>
          </w:p>
        </w:tc>
        <w:tc>
          <w:tcPr>
            <w:tcW w:w="3591" w:type="dxa"/>
            <w:tcBorders>
              <w:top w:val="single" w:sz="8" w:space="0" w:color="000000"/>
              <w:bottom w:val="single" w:sz="8" w:space="0" w:color="000000"/>
            </w:tcBorders>
            <w:shd w:val="clear" w:color="auto" w:fill="F2DBDB"/>
          </w:tcPr>
          <w:p w:rsidR="00260BC3" w:rsidRPr="00A25CBA" w:rsidRDefault="00260BC3" w:rsidP="000D0BF2">
            <w:pPr>
              <w:spacing w:before="0"/>
              <w:rPr>
                <w:rFonts w:ascii="Calibri" w:eastAsia="Calibri" w:hAnsi="Calibri"/>
              </w:rPr>
            </w:pPr>
          </w:p>
        </w:tc>
        <w:tc>
          <w:tcPr>
            <w:tcW w:w="3591" w:type="dxa"/>
            <w:tcBorders>
              <w:top w:val="single" w:sz="8" w:space="0" w:color="000000"/>
              <w:bottom w:val="single" w:sz="8" w:space="0" w:color="000000"/>
              <w:right w:val="single" w:sz="8" w:space="0" w:color="000000"/>
            </w:tcBorders>
            <w:shd w:val="clear" w:color="auto" w:fill="F2DBDB"/>
          </w:tcPr>
          <w:p w:rsidR="00260BC3" w:rsidRPr="00A25CBA" w:rsidRDefault="00260BC3" w:rsidP="000D0BF2">
            <w:pPr>
              <w:spacing w:before="0"/>
              <w:ind w:left="33"/>
              <w:rPr>
                <w:rFonts w:ascii="Calibri" w:eastAsia="Calibri" w:hAnsi="Calibri"/>
              </w:rPr>
            </w:pPr>
          </w:p>
        </w:tc>
      </w:tr>
      <w:tr w:rsidR="00260BC3" w:rsidRPr="00876699" w:rsidTr="000D0BF2">
        <w:tc>
          <w:tcPr>
            <w:tcW w:w="3652" w:type="dxa"/>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Permanent labels</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r>
      <w:tr w:rsidR="00260BC3" w:rsidRPr="00876699" w:rsidTr="000D0BF2">
        <w:tc>
          <w:tcPr>
            <w:tcW w:w="3652" w:type="dxa"/>
            <w:tcBorders>
              <w:top w:val="single" w:sz="8" w:space="0" w:color="000000"/>
              <w:left w:val="single" w:sz="8" w:space="0" w:color="000000"/>
              <w:bottom w:val="single" w:sz="8" w:space="0" w:color="000000"/>
            </w:tcBorders>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Warnings on crossbar and uprights</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tcBorders>
              <w:top w:val="single" w:sz="8" w:space="0" w:color="000000"/>
              <w:bottom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tcBorders>
              <w:top w:val="single" w:sz="8" w:space="0" w:color="000000"/>
              <w:bottom w:val="single" w:sz="8" w:space="0" w:color="000000"/>
              <w:right w:val="single" w:sz="8" w:space="0" w:color="000000"/>
            </w:tcBorders>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No</w:t>
            </w:r>
          </w:p>
        </w:tc>
      </w:tr>
      <w:tr w:rsidR="00260BC3" w:rsidRPr="00876699" w:rsidTr="000D0BF2">
        <w:tc>
          <w:tcPr>
            <w:tcW w:w="3652" w:type="dxa"/>
            <w:shd w:val="clear" w:color="auto" w:fill="auto"/>
          </w:tcPr>
          <w:p w:rsidR="00260BC3" w:rsidRPr="00B42B1C" w:rsidRDefault="00260BC3" w:rsidP="000D0BF2">
            <w:pPr>
              <w:spacing w:before="0"/>
              <w:rPr>
                <w:rFonts w:ascii="Calibri" w:eastAsia="Calibri" w:hAnsi="Calibri"/>
                <w:bCs/>
              </w:rPr>
            </w:pPr>
            <w:r w:rsidRPr="00B42B1C">
              <w:rPr>
                <w:rFonts w:ascii="Calibri" w:eastAsia="Calibri" w:hAnsi="Calibri"/>
                <w:bCs/>
              </w:rPr>
              <w:t>Warning includes hanging and tipping risk</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Yes</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No</w:t>
            </w:r>
          </w:p>
        </w:tc>
        <w:tc>
          <w:tcPr>
            <w:tcW w:w="3591" w:type="dxa"/>
            <w:shd w:val="clear" w:color="auto" w:fill="auto"/>
          </w:tcPr>
          <w:p w:rsidR="00260BC3" w:rsidRPr="00A25CBA" w:rsidRDefault="00260BC3" w:rsidP="000D0BF2">
            <w:pPr>
              <w:spacing w:before="0"/>
              <w:rPr>
                <w:rFonts w:ascii="Calibri" w:eastAsia="Calibri" w:hAnsi="Calibri"/>
              </w:rPr>
            </w:pPr>
            <w:r w:rsidRPr="00A25CBA">
              <w:rPr>
                <w:rFonts w:ascii="Calibri" w:eastAsia="Calibri" w:hAnsi="Calibri"/>
              </w:rPr>
              <w:t>No</w:t>
            </w:r>
          </w:p>
        </w:tc>
      </w:tr>
    </w:tbl>
    <w:p w:rsidR="00AB6528" w:rsidRPr="00260BC3" w:rsidRDefault="00AB6528" w:rsidP="00260BC3">
      <w:pPr>
        <w:tabs>
          <w:tab w:val="left" w:pos="765"/>
        </w:tabs>
      </w:pPr>
    </w:p>
    <w:sectPr w:rsidR="00AB6528" w:rsidRPr="00260BC3" w:rsidSect="006E6162">
      <w:pgSz w:w="16838" w:h="11906" w:orient="landscape"/>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A6" w:rsidRDefault="001A11A6" w:rsidP="004B4412">
      <w:pPr>
        <w:spacing w:before="0"/>
      </w:pPr>
      <w:r>
        <w:separator/>
      </w:r>
    </w:p>
  </w:endnote>
  <w:endnote w:type="continuationSeparator" w:id="0">
    <w:p w:rsidR="001A11A6" w:rsidRDefault="001A11A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9" w:rsidRDefault="00247A69">
    <w:pPr>
      <w:pStyle w:val="Footer"/>
      <w:jc w:val="right"/>
    </w:pPr>
    <w:r>
      <w:fldChar w:fldCharType="begin"/>
    </w:r>
    <w:r>
      <w:instrText xml:space="preserve"> PAGE   \* MERGEFORMAT </w:instrText>
    </w:r>
    <w:r>
      <w:fldChar w:fldCharType="separate"/>
    </w:r>
    <w:r w:rsidR="00FB6676">
      <w:rPr>
        <w:noProof/>
      </w:rPr>
      <w:t>1</w:t>
    </w:r>
    <w:r>
      <w:rPr>
        <w:noProof/>
      </w:rPr>
      <w:fldChar w:fldCharType="end"/>
    </w:r>
  </w:p>
  <w:p w:rsidR="00247A69" w:rsidRPr="00586FBE" w:rsidRDefault="00247A69" w:rsidP="00783EC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A6" w:rsidRDefault="001A11A6" w:rsidP="004B4412">
      <w:pPr>
        <w:spacing w:before="0"/>
      </w:pPr>
      <w:r>
        <w:separator/>
      </w:r>
    </w:p>
  </w:footnote>
  <w:footnote w:type="continuationSeparator" w:id="0">
    <w:p w:rsidR="001A11A6" w:rsidRDefault="001A11A6" w:rsidP="004B4412">
      <w:pPr>
        <w:spacing w:before="0"/>
      </w:pPr>
      <w:r>
        <w:continuationSeparator/>
      </w:r>
    </w:p>
  </w:footnote>
  <w:footnote w:id="1">
    <w:p w:rsidR="001A11A6" w:rsidRDefault="001A11A6" w:rsidP="00021BD9">
      <w:pPr>
        <w:pStyle w:val="FootnoteText"/>
        <w:ind w:left="0" w:firstLine="0"/>
      </w:pPr>
      <w:r>
        <w:rPr>
          <w:rStyle w:val="FootnoteReference"/>
        </w:rPr>
        <w:footnoteRef/>
      </w:r>
      <w:r>
        <w:t xml:space="preserve">ACCC, </w:t>
      </w:r>
      <w:r w:rsidRPr="000268CC">
        <w:rPr>
          <w:szCs w:val="16"/>
        </w:rPr>
        <w:t xml:space="preserve">International standards for the safety of consumer products - criteria for acceptance, ACCC policy principles, 22 July 2015, </w:t>
      </w:r>
      <w:hyperlink r:id="rId1" w:history="1">
        <w:r w:rsidRPr="00625A3A">
          <w:rPr>
            <w:rStyle w:val="Hyperlink"/>
            <w:sz w:val="16"/>
            <w:szCs w:val="16"/>
          </w:rPr>
          <w:t>www.productsafety.gov.au/content/index.phtml/itemId/1014180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0B2687E"/>
    <w:multiLevelType w:val="hybridMultilevel"/>
    <w:tmpl w:val="086A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62C6638"/>
    <w:multiLevelType w:val="hybridMultilevel"/>
    <w:tmpl w:val="6A769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6CF6521"/>
    <w:multiLevelType w:val="hybridMultilevel"/>
    <w:tmpl w:val="FAB0E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591CA8"/>
    <w:multiLevelType w:val="multilevel"/>
    <w:tmpl w:val="593CBA2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CBF7A1C"/>
    <w:multiLevelType w:val="multilevel"/>
    <w:tmpl w:val="B94C2B7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564DC3"/>
    <w:multiLevelType w:val="multilevel"/>
    <w:tmpl w:val="11E28E8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FD5766F"/>
    <w:multiLevelType w:val="hybridMultilevel"/>
    <w:tmpl w:val="920C740C"/>
    <w:lvl w:ilvl="0" w:tplc="5106DAFC">
      <w:start w:val="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9565A0"/>
    <w:multiLevelType w:val="multilevel"/>
    <w:tmpl w:val="0EB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4">
    <w:nsid w:val="36D67B6E"/>
    <w:multiLevelType w:val="hybridMultilevel"/>
    <w:tmpl w:val="E5EC4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7">
    <w:nsid w:val="480C41D0"/>
    <w:multiLevelType w:val="hybridMultilevel"/>
    <w:tmpl w:val="F468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DA3B2A"/>
    <w:multiLevelType w:val="hybridMultilevel"/>
    <w:tmpl w:val="E5EC4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16A1D46"/>
    <w:multiLevelType w:val="hybridMultilevel"/>
    <w:tmpl w:val="99BC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D42374"/>
    <w:multiLevelType w:val="multilevel"/>
    <w:tmpl w:val="9F422F3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3">
    <w:nsid w:val="5C1B3767"/>
    <w:multiLevelType w:val="hybridMultilevel"/>
    <w:tmpl w:val="C59A1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2797C5B"/>
    <w:multiLevelType w:val="multilevel"/>
    <w:tmpl w:val="08BA21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2B03D1A"/>
    <w:multiLevelType w:val="multilevel"/>
    <w:tmpl w:val="1B3E592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051BDA"/>
    <w:multiLevelType w:val="hybridMultilevel"/>
    <w:tmpl w:val="4E08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1">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2">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3">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4">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F650F13"/>
    <w:multiLevelType w:val="multilevel"/>
    <w:tmpl w:val="593CBA2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44"/>
  </w:num>
  <w:num w:numId="3">
    <w:abstractNumId w:val="7"/>
  </w:num>
  <w:num w:numId="4">
    <w:abstractNumId w:val="6"/>
  </w:num>
  <w:num w:numId="5">
    <w:abstractNumId w:val="5"/>
  </w:num>
  <w:num w:numId="6">
    <w:abstractNumId w:val="4"/>
  </w:num>
  <w:num w:numId="7">
    <w:abstractNumId w:val="1"/>
  </w:num>
  <w:num w:numId="8">
    <w:abstractNumId w:val="0"/>
  </w:num>
  <w:num w:numId="9">
    <w:abstractNumId w:val="39"/>
  </w:num>
  <w:num w:numId="10">
    <w:abstractNumId w:val="25"/>
  </w:num>
  <w:num w:numId="11">
    <w:abstractNumId w:val="12"/>
  </w:num>
  <w:num w:numId="12">
    <w:abstractNumId w:val="23"/>
  </w:num>
  <w:num w:numId="13">
    <w:abstractNumId w:val="2"/>
  </w:num>
  <w:num w:numId="14">
    <w:abstractNumId w:val="40"/>
  </w:num>
  <w:num w:numId="15">
    <w:abstractNumId w:val="43"/>
  </w:num>
  <w:num w:numId="16">
    <w:abstractNumId w:val="42"/>
  </w:num>
  <w:num w:numId="17">
    <w:abstractNumId w:val="32"/>
  </w:num>
  <w:num w:numId="18">
    <w:abstractNumId w:val="22"/>
  </w:num>
  <w:num w:numId="19">
    <w:abstractNumId w:val="26"/>
  </w:num>
  <w:num w:numId="20">
    <w:abstractNumId w:val="41"/>
  </w:num>
  <w:num w:numId="21">
    <w:abstractNumId w:val="34"/>
  </w:num>
  <w:num w:numId="22">
    <w:abstractNumId w:val="8"/>
  </w:num>
  <w:num w:numId="23">
    <w:abstractNumId w:val="3"/>
  </w:num>
  <w:num w:numId="24">
    <w:abstractNumId w:val="28"/>
  </w:num>
  <w:num w:numId="25">
    <w:abstractNumId w:val="15"/>
  </w:num>
  <w:num w:numId="26">
    <w:abstractNumId w:val="38"/>
  </w:num>
  <w:num w:numId="27">
    <w:abstractNumId w:val="16"/>
  </w:num>
  <w:num w:numId="28">
    <w:abstractNumId w:val="13"/>
  </w:num>
  <w:num w:numId="29">
    <w:abstractNumId w:val="31"/>
  </w:num>
  <w:num w:numId="30">
    <w:abstractNumId w:val="30"/>
  </w:num>
  <w:num w:numId="31">
    <w:abstractNumId w:val="35"/>
  </w:num>
  <w:num w:numId="3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9"/>
  </w:num>
  <w:num w:numId="34">
    <w:abstractNumId w:val="37"/>
  </w:num>
  <w:num w:numId="35">
    <w:abstractNumId w:val="20"/>
  </w:num>
  <w:num w:numId="36">
    <w:abstractNumId w:val="11"/>
  </w:num>
  <w:num w:numId="37">
    <w:abstractNumId w:val="33"/>
  </w:num>
  <w:num w:numId="38">
    <w:abstractNumId w:val="10"/>
  </w:num>
  <w:num w:numId="39">
    <w:abstractNumId w:val="27"/>
  </w:num>
  <w:num w:numId="40">
    <w:abstractNumId w:val="24"/>
  </w:num>
  <w:num w:numId="41">
    <w:abstractNumId w:val="29"/>
  </w:num>
  <w:num w:numId="42">
    <w:abstractNumId w:val="19"/>
  </w:num>
  <w:num w:numId="43">
    <w:abstractNumId w:val="45"/>
  </w:num>
  <w:num w:numId="44">
    <w:abstractNumId w:val="17"/>
  </w:num>
  <w:num w:numId="45">
    <w:abstractNumId w:val="18"/>
  </w:num>
  <w:num w:numId="46">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2068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Users\asure\AppData\Local\Microsoft\Windows\Temporary Internet Files\Content.Outlook\4UYXRN8D\CPS - SP - moveable soccer goals- consultation paper.DOCX"/>
  </w:docVars>
  <w:rsids>
    <w:rsidRoot w:val="00935D49"/>
    <w:rsid w:val="000000F8"/>
    <w:rsid w:val="00005966"/>
    <w:rsid w:val="00006235"/>
    <w:rsid w:val="000123DD"/>
    <w:rsid w:val="00014359"/>
    <w:rsid w:val="00017DA1"/>
    <w:rsid w:val="0002115F"/>
    <w:rsid w:val="00021202"/>
    <w:rsid w:val="00021BD9"/>
    <w:rsid w:val="000225C4"/>
    <w:rsid w:val="00023664"/>
    <w:rsid w:val="00023EAC"/>
    <w:rsid w:val="00025B5F"/>
    <w:rsid w:val="000306F2"/>
    <w:rsid w:val="00033A6D"/>
    <w:rsid w:val="00033E57"/>
    <w:rsid w:val="0003578C"/>
    <w:rsid w:val="000415DA"/>
    <w:rsid w:val="00053EB8"/>
    <w:rsid w:val="00063247"/>
    <w:rsid w:val="000638A7"/>
    <w:rsid w:val="00063F9F"/>
    <w:rsid w:val="000643B6"/>
    <w:rsid w:val="000669A8"/>
    <w:rsid w:val="00070F9F"/>
    <w:rsid w:val="0007137B"/>
    <w:rsid w:val="00082848"/>
    <w:rsid w:val="00084813"/>
    <w:rsid w:val="00085663"/>
    <w:rsid w:val="00085EBF"/>
    <w:rsid w:val="00093119"/>
    <w:rsid w:val="000A147F"/>
    <w:rsid w:val="000A320E"/>
    <w:rsid w:val="000A55BC"/>
    <w:rsid w:val="000B09C9"/>
    <w:rsid w:val="000B3EC6"/>
    <w:rsid w:val="000B41C4"/>
    <w:rsid w:val="000B66DD"/>
    <w:rsid w:val="000C16A1"/>
    <w:rsid w:val="000C5EE8"/>
    <w:rsid w:val="000C6D48"/>
    <w:rsid w:val="000D122C"/>
    <w:rsid w:val="000D31B2"/>
    <w:rsid w:val="000D3868"/>
    <w:rsid w:val="000D65D2"/>
    <w:rsid w:val="000D72BE"/>
    <w:rsid w:val="000D7C9A"/>
    <w:rsid w:val="000E0560"/>
    <w:rsid w:val="000E1819"/>
    <w:rsid w:val="000E1B19"/>
    <w:rsid w:val="000E3C59"/>
    <w:rsid w:val="000E4338"/>
    <w:rsid w:val="000E57D9"/>
    <w:rsid w:val="000E6C72"/>
    <w:rsid w:val="000E7F3F"/>
    <w:rsid w:val="000F2368"/>
    <w:rsid w:val="00102C0C"/>
    <w:rsid w:val="00116EB2"/>
    <w:rsid w:val="00124609"/>
    <w:rsid w:val="00125BA1"/>
    <w:rsid w:val="0013128E"/>
    <w:rsid w:val="00132DAF"/>
    <w:rsid w:val="001341BD"/>
    <w:rsid w:val="00134493"/>
    <w:rsid w:val="001417FE"/>
    <w:rsid w:val="0014476F"/>
    <w:rsid w:val="00146A47"/>
    <w:rsid w:val="00147F1E"/>
    <w:rsid w:val="00150167"/>
    <w:rsid w:val="001573E4"/>
    <w:rsid w:val="00157659"/>
    <w:rsid w:val="00160756"/>
    <w:rsid w:val="00166B41"/>
    <w:rsid w:val="0017232E"/>
    <w:rsid w:val="00172B84"/>
    <w:rsid w:val="00174102"/>
    <w:rsid w:val="00174935"/>
    <w:rsid w:val="00180157"/>
    <w:rsid w:val="00180E2D"/>
    <w:rsid w:val="00181223"/>
    <w:rsid w:val="00182D4D"/>
    <w:rsid w:val="00183645"/>
    <w:rsid w:val="00184179"/>
    <w:rsid w:val="00186F77"/>
    <w:rsid w:val="00187BA3"/>
    <w:rsid w:val="001913A0"/>
    <w:rsid w:val="001926A4"/>
    <w:rsid w:val="001936BA"/>
    <w:rsid w:val="00193814"/>
    <w:rsid w:val="00193922"/>
    <w:rsid w:val="00195D8C"/>
    <w:rsid w:val="001A11A6"/>
    <w:rsid w:val="001A3A19"/>
    <w:rsid w:val="001A3FB8"/>
    <w:rsid w:val="001A6DAB"/>
    <w:rsid w:val="001B246B"/>
    <w:rsid w:val="001B313A"/>
    <w:rsid w:val="001B45A0"/>
    <w:rsid w:val="001B6125"/>
    <w:rsid w:val="001B65AA"/>
    <w:rsid w:val="001C18EE"/>
    <w:rsid w:val="001C22C2"/>
    <w:rsid w:val="001C3D0D"/>
    <w:rsid w:val="001C5260"/>
    <w:rsid w:val="001C62C1"/>
    <w:rsid w:val="001D055E"/>
    <w:rsid w:val="001D07BE"/>
    <w:rsid w:val="001D4CDD"/>
    <w:rsid w:val="001D6E42"/>
    <w:rsid w:val="001E10FD"/>
    <w:rsid w:val="001E1C59"/>
    <w:rsid w:val="001E34F5"/>
    <w:rsid w:val="001E4369"/>
    <w:rsid w:val="001F2F13"/>
    <w:rsid w:val="001F3AD4"/>
    <w:rsid w:val="001F41A3"/>
    <w:rsid w:val="001F492E"/>
    <w:rsid w:val="001F61AB"/>
    <w:rsid w:val="001F6520"/>
    <w:rsid w:val="001F6DA3"/>
    <w:rsid w:val="002008C0"/>
    <w:rsid w:val="002019B5"/>
    <w:rsid w:val="002065B1"/>
    <w:rsid w:val="002124FE"/>
    <w:rsid w:val="00212737"/>
    <w:rsid w:val="002135C9"/>
    <w:rsid w:val="00215902"/>
    <w:rsid w:val="00215EF4"/>
    <w:rsid w:val="00222383"/>
    <w:rsid w:val="00222EA8"/>
    <w:rsid w:val="0022438B"/>
    <w:rsid w:val="00224DB9"/>
    <w:rsid w:val="00225425"/>
    <w:rsid w:val="00227F0C"/>
    <w:rsid w:val="002354A9"/>
    <w:rsid w:val="00242590"/>
    <w:rsid w:val="00243A9A"/>
    <w:rsid w:val="00246408"/>
    <w:rsid w:val="00247779"/>
    <w:rsid w:val="00247A69"/>
    <w:rsid w:val="00251745"/>
    <w:rsid w:val="00253D4F"/>
    <w:rsid w:val="00253F53"/>
    <w:rsid w:val="00260BC3"/>
    <w:rsid w:val="0026284D"/>
    <w:rsid w:val="00262A59"/>
    <w:rsid w:val="00263AC0"/>
    <w:rsid w:val="0026772D"/>
    <w:rsid w:val="002712AA"/>
    <w:rsid w:val="00271931"/>
    <w:rsid w:val="00274420"/>
    <w:rsid w:val="0028290F"/>
    <w:rsid w:val="00283C09"/>
    <w:rsid w:val="00283E58"/>
    <w:rsid w:val="00285E42"/>
    <w:rsid w:val="00286874"/>
    <w:rsid w:val="002935DA"/>
    <w:rsid w:val="0029535F"/>
    <w:rsid w:val="00296B65"/>
    <w:rsid w:val="00296F53"/>
    <w:rsid w:val="00296F8D"/>
    <w:rsid w:val="00297D3B"/>
    <w:rsid w:val="002A1973"/>
    <w:rsid w:val="002A40FE"/>
    <w:rsid w:val="002A71AA"/>
    <w:rsid w:val="002A7DEF"/>
    <w:rsid w:val="002B1ABD"/>
    <w:rsid w:val="002B1BA7"/>
    <w:rsid w:val="002B2200"/>
    <w:rsid w:val="002C0C82"/>
    <w:rsid w:val="002D0C4D"/>
    <w:rsid w:val="002D3776"/>
    <w:rsid w:val="002D5565"/>
    <w:rsid w:val="002E067C"/>
    <w:rsid w:val="002E0C44"/>
    <w:rsid w:val="002F447C"/>
    <w:rsid w:val="002F7986"/>
    <w:rsid w:val="00303C4A"/>
    <w:rsid w:val="00304EB9"/>
    <w:rsid w:val="00307F6D"/>
    <w:rsid w:val="00312DEB"/>
    <w:rsid w:val="003139DB"/>
    <w:rsid w:val="00314196"/>
    <w:rsid w:val="003177A2"/>
    <w:rsid w:val="00317E3B"/>
    <w:rsid w:val="003241F5"/>
    <w:rsid w:val="0032531B"/>
    <w:rsid w:val="003271B5"/>
    <w:rsid w:val="00327EC5"/>
    <w:rsid w:val="003301BA"/>
    <w:rsid w:val="00330715"/>
    <w:rsid w:val="00330CA0"/>
    <w:rsid w:val="00331264"/>
    <w:rsid w:val="00331E17"/>
    <w:rsid w:val="00332CA8"/>
    <w:rsid w:val="0033433E"/>
    <w:rsid w:val="00334C8D"/>
    <w:rsid w:val="0033546B"/>
    <w:rsid w:val="00335848"/>
    <w:rsid w:val="00335F84"/>
    <w:rsid w:val="00340655"/>
    <w:rsid w:val="003442E2"/>
    <w:rsid w:val="003459E6"/>
    <w:rsid w:val="003503DE"/>
    <w:rsid w:val="00350ABB"/>
    <w:rsid w:val="00351389"/>
    <w:rsid w:val="003518B3"/>
    <w:rsid w:val="003523A2"/>
    <w:rsid w:val="003642C3"/>
    <w:rsid w:val="00364E4B"/>
    <w:rsid w:val="003668C4"/>
    <w:rsid w:val="00367AAF"/>
    <w:rsid w:val="0037012D"/>
    <w:rsid w:val="003703E4"/>
    <w:rsid w:val="00370B8F"/>
    <w:rsid w:val="00371641"/>
    <w:rsid w:val="0037565E"/>
    <w:rsid w:val="0037572F"/>
    <w:rsid w:val="00382011"/>
    <w:rsid w:val="00382184"/>
    <w:rsid w:val="003846F1"/>
    <w:rsid w:val="00392827"/>
    <w:rsid w:val="00392BB2"/>
    <w:rsid w:val="0039499E"/>
    <w:rsid w:val="0039574F"/>
    <w:rsid w:val="00396E60"/>
    <w:rsid w:val="003A4CB3"/>
    <w:rsid w:val="003A53AB"/>
    <w:rsid w:val="003A673F"/>
    <w:rsid w:val="003A7195"/>
    <w:rsid w:val="003B334F"/>
    <w:rsid w:val="003B3A60"/>
    <w:rsid w:val="003B5A70"/>
    <w:rsid w:val="003B64FE"/>
    <w:rsid w:val="003C0B51"/>
    <w:rsid w:val="003C4908"/>
    <w:rsid w:val="003C77C2"/>
    <w:rsid w:val="003D0732"/>
    <w:rsid w:val="003D45FD"/>
    <w:rsid w:val="003D7FCD"/>
    <w:rsid w:val="003E114F"/>
    <w:rsid w:val="003E349F"/>
    <w:rsid w:val="003E7D13"/>
    <w:rsid w:val="003F5A73"/>
    <w:rsid w:val="003F604E"/>
    <w:rsid w:val="004032B5"/>
    <w:rsid w:val="00411A7C"/>
    <w:rsid w:val="004135DB"/>
    <w:rsid w:val="0041713D"/>
    <w:rsid w:val="004211D4"/>
    <w:rsid w:val="00423003"/>
    <w:rsid w:val="00424548"/>
    <w:rsid w:val="00424AE4"/>
    <w:rsid w:val="00425040"/>
    <w:rsid w:val="0043256D"/>
    <w:rsid w:val="00432B92"/>
    <w:rsid w:val="00442DFA"/>
    <w:rsid w:val="004438EC"/>
    <w:rsid w:val="00447CD6"/>
    <w:rsid w:val="00450D27"/>
    <w:rsid w:val="00451126"/>
    <w:rsid w:val="00453E07"/>
    <w:rsid w:val="00454028"/>
    <w:rsid w:val="00462F92"/>
    <w:rsid w:val="0046316B"/>
    <w:rsid w:val="00465C89"/>
    <w:rsid w:val="004664A7"/>
    <w:rsid w:val="00475DDE"/>
    <w:rsid w:val="004762F9"/>
    <w:rsid w:val="00477244"/>
    <w:rsid w:val="0047737C"/>
    <w:rsid w:val="0047782A"/>
    <w:rsid w:val="004804BE"/>
    <w:rsid w:val="004806AA"/>
    <w:rsid w:val="00480B4B"/>
    <w:rsid w:val="00483BD5"/>
    <w:rsid w:val="00485DC4"/>
    <w:rsid w:val="004872AD"/>
    <w:rsid w:val="00487A06"/>
    <w:rsid w:val="0049212B"/>
    <w:rsid w:val="00492F94"/>
    <w:rsid w:val="0049499D"/>
    <w:rsid w:val="00496AF8"/>
    <w:rsid w:val="00496C4C"/>
    <w:rsid w:val="00497C7E"/>
    <w:rsid w:val="004A1654"/>
    <w:rsid w:val="004B02E6"/>
    <w:rsid w:val="004B0528"/>
    <w:rsid w:val="004B23D6"/>
    <w:rsid w:val="004B2F54"/>
    <w:rsid w:val="004B4412"/>
    <w:rsid w:val="004B552E"/>
    <w:rsid w:val="004C348C"/>
    <w:rsid w:val="004C6799"/>
    <w:rsid w:val="004C6A5C"/>
    <w:rsid w:val="004D22FC"/>
    <w:rsid w:val="004D3B5C"/>
    <w:rsid w:val="004D45DF"/>
    <w:rsid w:val="004D55BA"/>
    <w:rsid w:val="004D6831"/>
    <w:rsid w:val="004D7E38"/>
    <w:rsid w:val="004E1A12"/>
    <w:rsid w:val="004E24CC"/>
    <w:rsid w:val="004F0A93"/>
    <w:rsid w:val="004F0F83"/>
    <w:rsid w:val="004F2078"/>
    <w:rsid w:val="004F7BFC"/>
    <w:rsid w:val="00501692"/>
    <w:rsid w:val="005038DB"/>
    <w:rsid w:val="00503CBB"/>
    <w:rsid w:val="00504D3E"/>
    <w:rsid w:val="00505B58"/>
    <w:rsid w:val="0050656C"/>
    <w:rsid w:val="0051255F"/>
    <w:rsid w:val="0051258B"/>
    <w:rsid w:val="00513993"/>
    <w:rsid w:val="00515357"/>
    <w:rsid w:val="0052379B"/>
    <w:rsid w:val="005269C1"/>
    <w:rsid w:val="005276DE"/>
    <w:rsid w:val="00530128"/>
    <w:rsid w:val="00532467"/>
    <w:rsid w:val="005345CC"/>
    <w:rsid w:val="00534AEE"/>
    <w:rsid w:val="00542C91"/>
    <w:rsid w:val="005440AE"/>
    <w:rsid w:val="00547BA2"/>
    <w:rsid w:val="00547CCF"/>
    <w:rsid w:val="00550681"/>
    <w:rsid w:val="005507AD"/>
    <w:rsid w:val="00555A70"/>
    <w:rsid w:val="00555F84"/>
    <w:rsid w:val="005640E0"/>
    <w:rsid w:val="00564A4D"/>
    <w:rsid w:val="0056644D"/>
    <w:rsid w:val="0056786E"/>
    <w:rsid w:val="00570243"/>
    <w:rsid w:val="00571801"/>
    <w:rsid w:val="00571B35"/>
    <w:rsid w:val="00571C9F"/>
    <w:rsid w:val="00573932"/>
    <w:rsid w:val="00573D7B"/>
    <w:rsid w:val="00577A09"/>
    <w:rsid w:val="00580B78"/>
    <w:rsid w:val="00581D21"/>
    <w:rsid w:val="005823D9"/>
    <w:rsid w:val="00584D8F"/>
    <w:rsid w:val="00585FB8"/>
    <w:rsid w:val="00586FBE"/>
    <w:rsid w:val="0059070C"/>
    <w:rsid w:val="00593B7D"/>
    <w:rsid w:val="00595360"/>
    <w:rsid w:val="00596D42"/>
    <w:rsid w:val="005A34AD"/>
    <w:rsid w:val="005A404D"/>
    <w:rsid w:val="005A5BC5"/>
    <w:rsid w:val="005A60B4"/>
    <w:rsid w:val="005A7FFE"/>
    <w:rsid w:val="005B1E3C"/>
    <w:rsid w:val="005B1E98"/>
    <w:rsid w:val="005B3DF2"/>
    <w:rsid w:val="005B6108"/>
    <w:rsid w:val="005B74F1"/>
    <w:rsid w:val="005C24AC"/>
    <w:rsid w:val="005C26CC"/>
    <w:rsid w:val="005C3367"/>
    <w:rsid w:val="005C59D1"/>
    <w:rsid w:val="005C5F8C"/>
    <w:rsid w:val="005C7264"/>
    <w:rsid w:val="005D10FB"/>
    <w:rsid w:val="005D1342"/>
    <w:rsid w:val="005D185E"/>
    <w:rsid w:val="005D2178"/>
    <w:rsid w:val="005D4B28"/>
    <w:rsid w:val="005D5694"/>
    <w:rsid w:val="005E216C"/>
    <w:rsid w:val="005E528E"/>
    <w:rsid w:val="005E53E0"/>
    <w:rsid w:val="005E6636"/>
    <w:rsid w:val="005E6C0E"/>
    <w:rsid w:val="005F0D33"/>
    <w:rsid w:val="005F19B6"/>
    <w:rsid w:val="005F26C4"/>
    <w:rsid w:val="005F2B05"/>
    <w:rsid w:val="005F46B7"/>
    <w:rsid w:val="005F563B"/>
    <w:rsid w:val="00600EC6"/>
    <w:rsid w:val="00603892"/>
    <w:rsid w:val="00605D6C"/>
    <w:rsid w:val="0061097F"/>
    <w:rsid w:val="0061252F"/>
    <w:rsid w:val="00612624"/>
    <w:rsid w:val="00612A26"/>
    <w:rsid w:val="00615C6B"/>
    <w:rsid w:val="00616048"/>
    <w:rsid w:val="00617053"/>
    <w:rsid w:val="006313B8"/>
    <w:rsid w:val="00632D6D"/>
    <w:rsid w:val="006331CA"/>
    <w:rsid w:val="0063437B"/>
    <w:rsid w:val="0063778D"/>
    <w:rsid w:val="006417EE"/>
    <w:rsid w:val="00642C3E"/>
    <w:rsid w:val="00642FE7"/>
    <w:rsid w:val="006456B6"/>
    <w:rsid w:val="00646025"/>
    <w:rsid w:val="006468F8"/>
    <w:rsid w:val="00650DE9"/>
    <w:rsid w:val="00655773"/>
    <w:rsid w:val="0065583D"/>
    <w:rsid w:val="00655937"/>
    <w:rsid w:val="00660D0C"/>
    <w:rsid w:val="00663DAD"/>
    <w:rsid w:val="006668D6"/>
    <w:rsid w:val="006718D8"/>
    <w:rsid w:val="006741F0"/>
    <w:rsid w:val="006749E0"/>
    <w:rsid w:val="00676679"/>
    <w:rsid w:val="006770FF"/>
    <w:rsid w:val="00677EDB"/>
    <w:rsid w:val="006847DF"/>
    <w:rsid w:val="00686DCE"/>
    <w:rsid w:val="00687649"/>
    <w:rsid w:val="00691616"/>
    <w:rsid w:val="00694802"/>
    <w:rsid w:val="006A19B3"/>
    <w:rsid w:val="006A312D"/>
    <w:rsid w:val="006A445F"/>
    <w:rsid w:val="006A512B"/>
    <w:rsid w:val="006A595C"/>
    <w:rsid w:val="006B2D3B"/>
    <w:rsid w:val="006B4CF9"/>
    <w:rsid w:val="006B6FE1"/>
    <w:rsid w:val="006B7AC8"/>
    <w:rsid w:val="006C63D5"/>
    <w:rsid w:val="006C682E"/>
    <w:rsid w:val="006C6EAC"/>
    <w:rsid w:val="006C756C"/>
    <w:rsid w:val="006D110A"/>
    <w:rsid w:val="006D112C"/>
    <w:rsid w:val="006D550F"/>
    <w:rsid w:val="006D77F3"/>
    <w:rsid w:val="006E57D0"/>
    <w:rsid w:val="006E6162"/>
    <w:rsid w:val="006F71A7"/>
    <w:rsid w:val="007015B8"/>
    <w:rsid w:val="00701CAB"/>
    <w:rsid w:val="007022AA"/>
    <w:rsid w:val="007051CE"/>
    <w:rsid w:val="00706C4D"/>
    <w:rsid w:val="00707098"/>
    <w:rsid w:val="00707340"/>
    <w:rsid w:val="00707563"/>
    <w:rsid w:val="00710287"/>
    <w:rsid w:val="00711AFB"/>
    <w:rsid w:val="007123B4"/>
    <w:rsid w:val="00722AF4"/>
    <w:rsid w:val="0072348C"/>
    <w:rsid w:val="00724A37"/>
    <w:rsid w:val="00726F0E"/>
    <w:rsid w:val="00727A1F"/>
    <w:rsid w:val="00727DEF"/>
    <w:rsid w:val="007303C3"/>
    <w:rsid w:val="00730DCF"/>
    <w:rsid w:val="00732C01"/>
    <w:rsid w:val="00733BE6"/>
    <w:rsid w:val="00734AC9"/>
    <w:rsid w:val="00742B79"/>
    <w:rsid w:val="00743223"/>
    <w:rsid w:val="00746E01"/>
    <w:rsid w:val="00747A29"/>
    <w:rsid w:val="007512C9"/>
    <w:rsid w:val="00751696"/>
    <w:rsid w:val="0075461B"/>
    <w:rsid w:val="0075688B"/>
    <w:rsid w:val="00757944"/>
    <w:rsid w:val="00763E5D"/>
    <w:rsid w:val="0076627B"/>
    <w:rsid w:val="007663B4"/>
    <w:rsid w:val="00766C5E"/>
    <w:rsid w:val="00767740"/>
    <w:rsid w:val="00772FF9"/>
    <w:rsid w:val="00774875"/>
    <w:rsid w:val="00777EE6"/>
    <w:rsid w:val="00782C4B"/>
    <w:rsid w:val="00782EEA"/>
    <w:rsid w:val="00783000"/>
    <w:rsid w:val="00783ECA"/>
    <w:rsid w:val="007852DE"/>
    <w:rsid w:val="00785FF4"/>
    <w:rsid w:val="00787463"/>
    <w:rsid w:val="00791BB3"/>
    <w:rsid w:val="007928AA"/>
    <w:rsid w:val="00796CFB"/>
    <w:rsid w:val="007A507A"/>
    <w:rsid w:val="007A628E"/>
    <w:rsid w:val="007A6F2A"/>
    <w:rsid w:val="007A7F02"/>
    <w:rsid w:val="007B0E99"/>
    <w:rsid w:val="007B2C72"/>
    <w:rsid w:val="007C0DFE"/>
    <w:rsid w:val="007C1C53"/>
    <w:rsid w:val="007C3314"/>
    <w:rsid w:val="007C3DF6"/>
    <w:rsid w:val="007C5BE9"/>
    <w:rsid w:val="007D0FCB"/>
    <w:rsid w:val="007D275E"/>
    <w:rsid w:val="007D43C1"/>
    <w:rsid w:val="007D77D5"/>
    <w:rsid w:val="007E1347"/>
    <w:rsid w:val="007E26A9"/>
    <w:rsid w:val="007E3CF5"/>
    <w:rsid w:val="007E4904"/>
    <w:rsid w:val="007E4CB5"/>
    <w:rsid w:val="007E5E03"/>
    <w:rsid w:val="007F066B"/>
    <w:rsid w:val="007F68F7"/>
    <w:rsid w:val="007F6A63"/>
    <w:rsid w:val="007F6AD8"/>
    <w:rsid w:val="008033C4"/>
    <w:rsid w:val="00804060"/>
    <w:rsid w:val="00806C88"/>
    <w:rsid w:val="0081018D"/>
    <w:rsid w:val="0081034E"/>
    <w:rsid w:val="00811FDE"/>
    <w:rsid w:val="0081524E"/>
    <w:rsid w:val="00816A49"/>
    <w:rsid w:val="00816CC1"/>
    <w:rsid w:val="008207AF"/>
    <w:rsid w:val="00823AFD"/>
    <w:rsid w:val="00825899"/>
    <w:rsid w:val="008344F6"/>
    <w:rsid w:val="0083510F"/>
    <w:rsid w:val="00836B15"/>
    <w:rsid w:val="008404BC"/>
    <w:rsid w:val="00840AF6"/>
    <w:rsid w:val="00841513"/>
    <w:rsid w:val="00842D92"/>
    <w:rsid w:val="0084383D"/>
    <w:rsid w:val="008471BF"/>
    <w:rsid w:val="00851209"/>
    <w:rsid w:val="00852112"/>
    <w:rsid w:val="00854879"/>
    <w:rsid w:val="00854BF0"/>
    <w:rsid w:val="00854CEE"/>
    <w:rsid w:val="0086325C"/>
    <w:rsid w:val="00863CC2"/>
    <w:rsid w:val="00863D70"/>
    <w:rsid w:val="00876699"/>
    <w:rsid w:val="0088007E"/>
    <w:rsid w:val="00881EDE"/>
    <w:rsid w:val="008823D0"/>
    <w:rsid w:val="00882DF1"/>
    <w:rsid w:val="0088377C"/>
    <w:rsid w:val="008837AC"/>
    <w:rsid w:val="00890A5A"/>
    <w:rsid w:val="00892CCA"/>
    <w:rsid w:val="008945B4"/>
    <w:rsid w:val="0089538C"/>
    <w:rsid w:val="008A2330"/>
    <w:rsid w:val="008A587D"/>
    <w:rsid w:val="008A7E47"/>
    <w:rsid w:val="008B0088"/>
    <w:rsid w:val="008B5618"/>
    <w:rsid w:val="008B62D6"/>
    <w:rsid w:val="008C16BB"/>
    <w:rsid w:val="008C5486"/>
    <w:rsid w:val="008C7056"/>
    <w:rsid w:val="008D3614"/>
    <w:rsid w:val="008D3C0E"/>
    <w:rsid w:val="008D48E3"/>
    <w:rsid w:val="008D5626"/>
    <w:rsid w:val="008E7031"/>
    <w:rsid w:val="008E7ECD"/>
    <w:rsid w:val="008F34C2"/>
    <w:rsid w:val="008F5274"/>
    <w:rsid w:val="008F7CD3"/>
    <w:rsid w:val="00906680"/>
    <w:rsid w:val="00906798"/>
    <w:rsid w:val="009120A1"/>
    <w:rsid w:val="00913E47"/>
    <w:rsid w:val="00915DCD"/>
    <w:rsid w:val="00916AA3"/>
    <w:rsid w:val="00921DE8"/>
    <w:rsid w:val="00922C95"/>
    <w:rsid w:val="009233EE"/>
    <w:rsid w:val="00935505"/>
    <w:rsid w:val="00935D49"/>
    <w:rsid w:val="00941858"/>
    <w:rsid w:val="00942685"/>
    <w:rsid w:val="0094334F"/>
    <w:rsid w:val="009453F9"/>
    <w:rsid w:val="00955269"/>
    <w:rsid w:val="00955E60"/>
    <w:rsid w:val="0095683B"/>
    <w:rsid w:val="0095704E"/>
    <w:rsid w:val="0096130D"/>
    <w:rsid w:val="00964193"/>
    <w:rsid w:val="009661DE"/>
    <w:rsid w:val="009668FA"/>
    <w:rsid w:val="00967670"/>
    <w:rsid w:val="00971C4D"/>
    <w:rsid w:val="00972E73"/>
    <w:rsid w:val="00980F47"/>
    <w:rsid w:val="009814BE"/>
    <w:rsid w:val="009827EB"/>
    <w:rsid w:val="00984235"/>
    <w:rsid w:val="009856B7"/>
    <w:rsid w:val="0098590A"/>
    <w:rsid w:val="0098602B"/>
    <w:rsid w:val="00991B3B"/>
    <w:rsid w:val="00993BF6"/>
    <w:rsid w:val="0099438B"/>
    <w:rsid w:val="009957C2"/>
    <w:rsid w:val="009962BA"/>
    <w:rsid w:val="009B254D"/>
    <w:rsid w:val="009B2BEA"/>
    <w:rsid w:val="009B72E4"/>
    <w:rsid w:val="009B74B0"/>
    <w:rsid w:val="009C1951"/>
    <w:rsid w:val="009C1EAE"/>
    <w:rsid w:val="009C2938"/>
    <w:rsid w:val="009C4A7F"/>
    <w:rsid w:val="009C6DB5"/>
    <w:rsid w:val="009C6F21"/>
    <w:rsid w:val="009D04DC"/>
    <w:rsid w:val="009D4414"/>
    <w:rsid w:val="009D6B46"/>
    <w:rsid w:val="009E11DD"/>
    <w:rsid w:val="009E3A24"/>
    <w:rsid w:val="009E5FC7"/>
    <w:rsid w:val="009E6D8E"/>
    <w:rsid w:val="009E7EEA"/>
    <w:rsid w:val="009F11C2"/>
    <w:rsid w:val="009F4940"/>
    <w:rsid w:val="009F77DD"/>
    <w:rsid w:val="00A037E9"/>
    <w:rsid w:val="00A07335"/>
    <w:rsid w:val="00A145E7"/>
    <w:rsid w:val="00A15600"/>
    <w:rsid w:val="00A1665B"/>
    <w:rsid w:val="00A22CEF"/>
    <w:rsid w:val="00A24C82"/>
    <w:rsid w:val="00A256E2"/>
    <w:rsid w:val="00A25CBA"/>
    <w:rsid w:val="00A26920"/>
    <w:rsid w:val="00A31E37"/>
    <w:rsid w:val="00A37CE5"/>
    <w:rsid w:val="00A407FB"/>
    <w:rsid w:val="00A42F68"/>
    <w:rsid w:val="00A4478A"/>
    <w:rsid w:val="00A44852"/>
    <w:rsid w:val="00A478CF"/>
    <w:rsid w:val="00A47C24"/>
    <w:rsid w:val="00A506AF"/>
    <w:rsid w:val="00A5143F"/>
    <w:rsid w:val="00A54528"/>
    <w:rsid w:val="00A57D04"/>
    <w:rsid w:val="00A60A26"/>
    <w:rsid w:val="00A61598"/>
    <w:rsid w:val="00A6611D"/>
    <w:rsid w:val="00A6682D"/>
    <w:rsid w:val="00A6693D"/>
    <w:rsid w:val="00A66D3E"/>
    <w:rsid w:val="00A67030"/>
    <w:rsid w:val="00A71963"/>
    <w:rsid w:val="00A731E6"/>
    <w:rsid w:val="00A731E9"/>
    <w:rsid w:val="00A736A8"/>
    <w:rsid w:val="00A77DC2"/>
    <w:rsid w:val="00A804B8"/>
    <w:rsid w:val="00A81A8A"/>
    <w:rsid w:val="00A826EF"/>
    <w:rsid w:val="00A84F46"/>
    <w:rsid w:val="00A8612B"/>
    <w:rsid w:val="00A871F4"/>
    <w:rsid w:val="00A911FC"/>
    <w:rsid w:val="00A92F23"/>
    <w:rsid w:val="00A94236"/>
    <w:rsid w:val="00A94DB5"/>
    <w:rsid w:val="00A95514"/>
    <w:rsid w:val="00AA1279"/>
    <w:rsid w:val="00AA36E7"/>
    <w:rsid w:val="00AA51E0"/>
    <w:rsid w:val="00AB207F"/>
    <w:rsid w:val="00AB310D"/>
    <w:rsid w:val="00AB4B90"/>
    <w:rsid w:val="00AB537D"/>
    <w:rsid w:val="00AB6528"/>
    <w:rsid w:val="00AB6F93"/>
    <w:rsid w:val="00AC150F"/>
    <w:rsid w:val="00AC1B2C"/>
    <w:rsid w:val="00AC1FB8"/>
    <w:rsid w:val="00AC3264"/>
    <w:rsid w:val="00AC3378"/>
    <w:rsid w:val="00AC6F01"/>
    <w:rsid w:val="00AC7784"/>
    <w:rsid w:val="00AD0B30"/>
    <w:rsid w:val="00AD1457"/>
    <w:rsid w:val="00AD16C0"/>
    <w:rsid w:val="00AD24CF"/>
    <w:rsid w:val="00AD3382"/>
    <w:rsid w:val="00AE0FE2"/>
    <w:rsid w:val="00AE16B5"/>
    <w:rsid w:val="00AE1BF1"/>
    <w:rsid w:val="00AE269D"/>
    <w:rsid w:val="00AE558A"/>
    <w:rsid w:val="00AF0DD2"/>
    <w:rsid w:val="00AF2073"/>
    <w:rsid w:val="00AF29ED"/>
    <w:rsid w:val="00AF68A2"/>
    <w:rsid w:val="00AF7C56"/>
    <w:rsid w:val="00B06835"/>
    <w:rsid w:val="00B07BBE"/>
    <w:rsid w:val="00B10314"/>
    <w:rsid w:val="00B10E48"/>
    <w:rsid w:val="00B12C16"/>
    <w:rsid w:val="00B13048"/>
    <w:rsid w:val="00B145BE"/>
    <w:rsid w:val="00B15969"/>
    <w:rsid w:val="00B15998"/>
    <w:rsid w:val="00B16838"/>
    <w:rsid w:val="00B1716D"/>
    <w:rsid w:val="00B17A1D"/>
    <w:rsid w:val="00B207A0"/>
    <w:rsid w:val="00B23856"/>
    <w:rsid w:val="00B245EE"/>
    <w:rsid w:val="00B2564B"/>
    <w:rsid w:val="00B279DD"/>
    <w:rsid w:val="00B31BF6"/>
    <w:rsid w:val="00B33319"/>
    <w:rsid w:val="00B34A29"/>
    <w:rsid w:val="00B42B1C"/>
    <w:rsid w:val="00B50BC9"/>
    <w:rsid w:val="00B52A6A"/>
    <w:rsid w:val="00B55E50"/>
    <w:rsid w:val="00B56E03"/>
    <w:rsid w:val="00B60F5D"/>
    <w:rsid w:val="00B636D5"/>
    <w:rsid w:val="00B6475E"/>
    <w:rsid w:val="00B65530"/>
    <w:rsid w:val="00B67E91"/>
    <w:rsid w:val="00B71495"/>
    <w:rsid w:val="00B71EF9"/>
    <w:rsid w:val="00B73C53"/>
    <w:rsid w:val="00B76790"/>
    <w:rsid w:val="00B8080B"/>
    <w:rsid w:val="00B81452"/>
    <w:rsid w:val="00B87C39"/>
    <w:rsid w:val="00B91BC3"/>
    <w:rsid w:val="00B951CE"/>
    <w:rsid w:val="00B96BF2"/>
    <w:rsid w:val="00B97D27"/>
    <w:rsid w:val="00BA1262"/>
    <w:rsid w:val="00BA4665"/>
    <w:rsid w:val="00BA5784"/>
    <w:rsid w:val="00BB2965"/>
    <w:rsid w:val="00BB2FB2"/>
    <w:rsid w:val="00BB3304"/>
    <w:rsid w:val="00BB429F"/>
    <w:rsid w:val="00BC39CC"/>
    <w:rsid w:val="00BC3CE8"/>
    <w:rsid w:val="00BD3446"/>
    <w:rsid w:val="00BD4D67"/>
    <w:rsid w:val="00BD4F7D"/>
    <w:rsid w:val="00BD5189"/>
    <w:rsid w:val="00BE0A1D"/>
    <w:rsid w:val="00BE1F1B"/>
    <w:rsid w:val="00BE241C"/>
    <w:rsid w:val="00BE3C42"/>
    <w:rsid w:val="00BE47B5"/>
    <w:rsid w:val="00BE4C99"/>
    <w:rsid w:val="00BF1FFB"/>
    <w:rsid w:val="00BF3ED7"/>
    <w:rsid w:val="00BF661B"/>
    <w:rsid w:val="00C058AB"/>
    <w:rsid w:val="00C06739"/>
    <w:rsid w:val="00C144E0"/>
    <w:rsid w:val="00C16994"/>
    <w:rsid w:val="00C17052"/>
    <w:rsid w:val="00C23298"/>
    <w:rsid w:val="00C25A65"/>
    <w:rsid w:val="00C305CD"/>
    <w:rsid w:val="00C3155E"/>
    <w:rsid w:val="00C31DCD"/>
    <w:rsid w:val="00C34CF8"/>
    <w:rsid w:val="00C35A55"/>
    <w:rsid w:val="00C36573"/>
    <w:rsid w:val="00C369F4"/>
    <w:rsid w:val="00C410E3"/>
    <w:rsid w:val="00C412AB"/>
    <w:rsid w:val="00C4151B"/>
    <w:rsid w:val="00C44672"/>
    <w:rsid w:val="00C47C4C"/>
    <w:rsid w:val="00C502B3"/>
    <w:rsid w:val="00C538A9"/>
    <w:rsid w:val="00C53B5A"/>
    <w:rsid w:val="00C54F5A"/>
    <w:rsid w:val="00C55C45"/>
    <w:rsid w:val="00C6371F"/>
    <w:rsid w:val="00C6681E"/>
    <w:rsid w:val="00C66B20"/>
    <w:rsid w:val="00C72C99"/>
    <w:rsid w:val="00C755AD"/>
    <w:rsid w:val="00C75751"/>
    <w:rsid w:val="00C81711"/>
    <w:rsid w:val="00C821DA"/>
    <w:rsid w:val="00C8317C"/>
    <w:rsid w:val="00C8389C"/>
    <w:rsid w:val="00C8527E"/>
    <w:rsid w:val="00C86679"/>
    <w:rsid w:val="00C902C7"/>
    <w:rsid w:val="00C93DC7"/>
    <w:rsid w:val="00C96F55"/>
    <w:rsid w:val="00CA130D"/>
    <w:rsid w:val="00CA2F26"/>
    <w:rsid w:val="00CA37CA"/>
    <w:rsid w:val="00CB0F0C"/>
    <w:rsid w:val="00CB4453"/>
    <w:rsid w:val="00CB666B"/>
    <w:rsid w:val="00CB75D7"/>
    <w:rsid w:val="00CB7638"/>
    <w:rsid w:val="00CC2659"/>
    <w:rsid w:val="00CC5AC6"/>
    <w:rsid w:val="00CD1AC8"/>
    <w:rsid w:val="00CD252C"/>
    <w:rsid w:val="00CD443A"/>
    <w:rsid w:val="00CD4F4E"/>
    <w:rsid w:val="00CD614C"/>
    <w:rsid w:val="00CE1ADE"/>
    <w:rsid w:val="00CE6BCF"/>
    <w:rsid w:val="00CF0739"/>
    <w:rsid w:val="00CF23EB"/>
    <w:rsid w:val="00CF39BC"/>
    <w:rsid w:val="00CF4762"/>
    <w:rsid w:val="00CF5CF4"/>
    <w:rsid w:val="00CF799E"/>
    <w:rsid w:val="00D0062C"/>
    <w:rsid w:val="00D01A6E"/>
    <w:rsid w:val="00D01CF0"/>
    <w:rsid w:val="00D0253C"/>
    <w:rsid w:val="00D0442A"/>
    <w:rsid w:val="00D06837"/>
    <w:rsid w:val="00D07BFD"/>
    <w:rsid w:val="00D07FBB"/>
    <w:rsid w:val="00D106E6"/>
    <w:rsid w:val="00D1293B"/>
    <w:rsid w:val="00D16700"/>
    <w:rsid w:val="00D203E1"/>
    <w:rsid w:val="00D205E8"/>
    <w:rsid w:val="00D20609"/>
    <w:rsid w:val="00D2102F"/>
    <w:rsid w:val="00D22312"/>
    <w:rsid w:val="00D25035"/>
    <w:rsid w:val="00D256E0"/>
    <w:rsid w:val="00D25E41"/>
    <w:rsid w:val="00D274F7"/>
    <w:rsid w:val="00D43E5C"/>
    <w:rsid w:val="00D44E1E"/>
    <w:rsid w:val="00D45051"/>
    <w:rsid w:val="00D45CEF"/>
    <w:rsid w:val="00D507D3"/>
    <w:rsid w:val="00D50A0E"/>
    <w:rsid w:val="00D52317"/>
    <w:rsid w:val="00D52E21"/>
    <w:rsid w:val="00D530B4"/>
    <w:rsid w:val="00D537C5"/>
    <w:rsid w:val="00D544B8"/>
    <w:rsid w:val="00D57582"/>
    <w:rsid w:val="00D61388"/>
    <w:rsid w:val="00D61A54"/>
    <w:rsid w:val="00D6310A"/>
    <w:rsid w:val="00D636EB"/>
    <w:rsid w:val="00D64DEA"/>
    <w:rsid w:val="00D64E02"/>
    <w:rsid w:val="00D73E67"/>
    <w:rsid w:val="00D7776D"/>
    <w:rsid w:val="00D80893"/>
    <w:rsid w:val="00D828C1"/>
    <w:rsid w:val="00D829A9"/>
    <w:rsid w:val="00D85E96"/>
    <w:rsid w:val="00D8643E"/>
    <w:rsid w:val="00D90F43"/>
    <w:rsid w:val="00D92752"/>
    <w:rsid w:val="00D92CF1"/>
    <w:rsid w:val="00D92D38"/>
    <w:rsid w:val="00D94B9E"/>
    <w:rsid w:val="00D950F5"/>
    <w:rsid w:val="00D96549"/>
    <w:rsid w:val="00D965A8"/>
    <w:rsid w:val="00DB0606"/>
    <w:rsid w:val="00DB08B9"/>
    <w:rsid w:val="00DB0F93"/>
    <w:rsid w:val="00DC18A0"/>
    <w:rsid w:val="00DC390E"/>
    <w:rsid w:val="00DC542F"/>
    <w:rsid w:val="00DC5EF4"/>
    <w:rsid w:val="00DC65CF"/>
    <w:rsid w:val="00DC7314"/>
    <w:rsid w:val="00DC7981"/>
    <w:rsid w:val="00DD2499"/>
    <w:rsid w:val="00DD7648"/>
    <w:rsid w:val="00DE0450"/>
    <w:rsid w:val="00DE37CD"/>
    <w:rsid w:val="00DE4EFA"/>
    <w:rsid w:val="00DE5520"/>
    <w:rsid w:val="00DE5B43"/>
    <w:rsid w:val="00DE7CA0"/>
    <w:rsid w:val="00DF1885"/>
    <w:rsid w:val="00DF389A"/>
    <w:rsid w:val="00E0130C"/>
    <w:rsid w:val="00E01A14"/>
    <w:rsid w:val="00E02261"/>
    <w:rsid w:val="00E0321F"/>
    <w:rsid w:val="00E04818"/>
    <w:rsid w:val="00E06442"/>
    <w:rsid w:val="00E07D03"/>
    <w:rsid w:val="00E12412"/>
    <w:rsid w:val="00E16FF7"/>
    <w:rsid w:val="00E2350B"/>
    <w:rsid w:val="00E23993"/>
    <w:rsid w:val="00E2546F"/>
    <w:rsid w:val="00E25B8C"/>
    <w:rsid w:val="00E34830"/>
    <w:rsid w:val="00E353F2"/>
    <w:rsid w:val="00E35713"/>
    <w:rsid w:val="00E4197A"/>
    <w:rsid w:val="00E44210"/>
    <w:rsid w:val="00E4674F"/>
    <w:rsid w:val="00E47CB6"/>
    <w:rsid w:val="00E50575"/>
    <w:rsid w:val="00E530BF"/>
    <w:rsid w:val="00E532A8"/>
    <w:rsid w:val="00E5501C"/>
    <w:rsid w:val="00E552DA"/>
    <w:rsid w:val="00E55910"/>
    <w:rsid w:val="00E614CF"/>
    <w:rsid w:val="00E65C85"/>
    <w:rsid w:val="00E66199"/>
    <w:rsid w:val="00E70AE7"/>
    <w:rsid w:val="00E70CEE"/>
    <w:rsid w:val="00E71DE6"/>
    <w:rsid w:val="00E755EC"/>
    <w:rsid w:val="00E7624D"/>
    <w:rsid w:val="00E7774B"/>
    <w:rsid w:val="00E80D20"/>
    <w:rsid w:val="00E935B5"/>
    <w:rsid w:val="00E97960"/>
    <w:rsid w:val="00EA034D"/>
    <w:rsid w:val="00EA0388"/>
    <w:rsid w:val="00EA3D42"/>
    <w:rsid w:val="00EA417D"/>
    <w:rsid w:val="00EA5E10"/>
    <w:rsid w:val="00EA6B1B"/>
    <w:rsid w:val="00EB04BD"/>
    <w:rsid w:val="00EB2D19"/>
    <w:rsid w:val="00EB35A9"/>
    <w:rsid w:val="00EB4255"/>
    <w:rsid w:val="00EC1068"/>
    <w:rsid w:val="00EC2671"/>
    <w:rsid w:val="00EC684F"/>
    <w:rsid w:val="00EC68E2"/>
    <w:rsid w:val="00ED3A3F"/>
    <w:rsid w:val="00ED7300"/>
    <w:rsid w:val="00EE0633"/>
    <w:rsid w:val="00EE2359"/>
    <w:rsid w:val="00EE28F3"/>
    <w:rsid w:val="00EE7DA4"/>
    <w:rsid w:val="00EF0061"/>
    <w:rsid w:val="00EF103D"/>
    <w:rsid w:val="00EF1C2C"/>
    <w:rsid w:val="00EF5110"/>
    <w:rsid w:val="00F033B3"/>
    <w:rsid w:val="00F0362F"/>
    <w:rsid w:val="00F0495E"/>
    <w:rsid w:val="00F064D5"/>
    <w:rsid w:val="00F10697"/>
    <w:rsid w:val="00F15882"/>
    <w:rsid w:val="00F15B98"/>
    <w:rsid w:val="00F1773B"/>
    <w:rsid w:val="00F20771"/>
    <w:rsid w:val="00F20BD3"/>
    <w:rsid w:val="00F24F0B"/>
    <w:rsid w:val="00F3693D"/>
    <w:rsid w:val="00F373A5"/>
    <w:rsid w:val="00F41835"/>
    <w:rsid w:val="00F47559"/>
    <w:rsid w:val="00F47A7B"/>
    <w:rsid w:val="00F47E8F"/>
    <w:rsid w:val="00F54200"/>
    <w:rsid w:val="00F54D08"/>
    <w:rsid w:val="00F57300"/>
    <w:rsid w:val="00F60BE4"/>
    <w:rsid w:val="00F60F2D"/>
    <w:rsid w:val="00F61B84"/>
    <w:rsid w:val="00F63587"/>
    <w:rsid w:val="00F64C7B"/>
    <w:rsid w:val="00F671BE"/>
    <w:rsid w:val="00F676DD"/>
    <w:rsid w:val="00F67D05"/>
    <w:rsid w:val="00F70038"/>
    <w:rsid w:val="00F75A26"/>
    <w:rsid w:val="00F82104"/>
    <w:rsid w:val="00F82290"/>
    <w:rsid w:val="00F83A0E"/>
    <w:rsid w:val="00F83FAD"/>
    <w:rsid w:val="00F90E23"/>
    <w:rsid w:val="00F91DC6"/>
    <w:rsid w:val="00F944FF"/>
    <w:rsid w:val="00F952A0"/>
    <w:rsid w:val="00F96A85"/>
    <w:rsid w:val="00FA1C20"/>
    <w:rsid w:val="00FA3C7F"/>
    <w:rsid w:val="00FA6A33"/>
    <w:rsid w:val="00FB01E5"/>
    <w:rsid w:val="00FB1A65"/>
    <w:rsid w:val="00FB218E"/>
    <w:rsid w:val="00FB2B72"/>
    <w:rsid w:val="00FB2EE3"/>
    <w:rsid w:val="00FB52D7"/>
    <w:rsid w:val="00FB6617"/>
    <w:rsid w:val="00FB6676"/>
    <w:rsid w:val="00FB74E2"/>
    <w:rsid w:val="00FC1A57"/>
    <w:rsid w:val="00FC6DCF"/>
    <w:rsid w:val="00FD273B"/>
    <w:rsid w:val="00FD4827"/>
    <w:rsid w:val="00FD5614"/>
    <w:rsid w:val="00FD7474"/>
    <w:rsid w:val="00FE05FB"/>
    <w:rsid w:val="00FE0BE1"/>
    <w:rsid w:val="00FE1164"/>
    <w:rsid w:val="00FE1DE9"/>
    <w:rsid w:val="00FE39C2"/>
    <w:rsid w:val="00FE4D7B"/>
    <w:rsid w:val="00FE5E61"/>
    <w:rsid w:val="00FE6417"/>
    <w:rsid w:val="00FE64AE"/>
    <w:rsid w:val="00FF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 w:type="table" w:customStyle="1" w:styleId="LightList1">
    <w:name w:val="Light List1"/>
    <w:basedOn w:val="TableNormal"/>
    <w:next w:val="LightList"/>
    <w:uiPriority w:val="61"/>
    <w:rsid w:val="0087669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cc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ductsafety.regulation@acc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business.gov.a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ductsafety.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101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CE2CC-E3CC-4D54-B96E-2D613CC1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E1C14EF3</Template>
  <TotalTime>5</TotalTime>
  <Pages>11</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16662</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Abhinav Suresh</cp:lastModifiedBy>
  <cp:revision>3</cp:revision>
  <cp:lastPrinted>2016-10-25T05:58:00Z</cp:lastPrinted>
  <dcterms:created xsi:type="dcterms:W3CDTF">2016-10-25T05:58:00Z</dcterms:created>
  <dcterms:modified xsi:type="dcterms:W3CDTF">2016-10-25T05:59:00Z</dcterms:modified>
</cp:coreProperties>
</file>