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49" w:rsidRDefault="00A62CC1" w:rsidP="00935D49">
      <w:r>
        <w:rPr>
          <w:noProof/>
        </w:rPr>
        <w:pict>
          <v:rect id="Rectangle 7" o:spid="_x0000_s1026" style="position:absolute;margin-left:-28.8pt;margin-top:-50.5pt;width:527.55pt;height:800.25pt;z-index:-251658752;visibility:visible;mso-height-relative:margin;v-text-anchor:middle" fillcolor="#d5d6d2" stroked="f" strokeweight="2pt"/>
        </w:pict>
      </w:r>
      <w:r w:rsidR="00935D49">
        <w:t xml:space="preserve"> </w:t>
      </w: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Title: ACCC Logo" style="width:214pt;height:4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Ane7MAIAAH0EAAAOAAAAZHJzL2Uyb0RvYy54bWyklNuO0zAQhu+ReAfL&#10;92mcbNi2UdNVSXcRUrVUCB7AdZzGIj7Idk9CvDtjJy2LuAAtF0nGdv378z8zXTycZY+O3DqhVYWz&#10;CcGIK6YbofYV/vrlKZlh5DxVDe214hW+cIcflm/fLE6m5LnudN9wi0BEufJkKtx5b8o0dazjkrqJ&#10;NlzBYqutpB6Gdp82lp5AXfZpTsh9etK2MVYz7hzMrodFvIz6bcuZ/9S2jnvUVxjYfHxbIM2nGO3C&#10;KF0uaLm31HSCjSD0FRySCgXH3qTW1FN0sOIVUkYwf7Ac1CAq4RmxIPoPtVFE/pOGpPbbwSRMS0O9&#10;2Ile+Ev0e4RSx61gWzsQsufj1iLRVBiSraiENMNquAKCCS98DzOruq7RRu91MBxuUoZdQQOGaRj/&#10;JrnrhXkSfR8MDfEID4n7e4HothWMrzU7SK78UCWW93APrVwnjMPIllzuOADbj02GEYMK9cBorFA+&#10;JpGf/cb5cDpEQxq/57MVIfP8fVK/I3VSkOljspoX02RKHqcFKWZZndU/wu6sKA+ObzSj/dqIa01l&#10;xR/wUjCrnW79BIxOB+5rfQN3RtJYVehIY/UGpyLQ9RsRYSo4FFidt9yzLoQtmPcZqn/Yc1uITv8y&#10;N/juTMgjLc+tleELGOgc2+Rya49gAoPJfJoXJIekMli7J/O7u9g/gHDdbazzH7iWKATgLyBEQ+kR&#10;YAeY60/GvA/nRzDAiVcbuzG00MsxxC//NZY/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eqgOWtkAAAAEAQAADwAAAGRycy9kb3ducmV2LnhtbEyPwU7DMBBE70j8g7VIXBB1CKii&#10;IU5VENzbghDHbbzEEfE6xG4S/p6FC1xWGs1o5m25nn2nRhpiG9jA1SIDRVwH23Jj4OX56fIWVEzI&#10;FrvAZOCLIqyr05MSCxsm3tG4T42SEo4FGnAp9YXWsXbkMS5CTyzeexg8JpFDo+2Ak5T7TudZttQe&#10;W5YFhz09OKo/9kdv4P7x1W1x/LzGMNYTBt68Xey2xpyfzZs7UInm9BeGH3xBh0qYDuHINqrOgDyS&#10;fq94N/kqB3UwsFpmoKtS/4evvgEAAP//AwBQSwMECgAAAAAAAAAhABKvealmWQAAZlkAABQAAABk&#10;cnMvbWVkaWEvaW1hZ2UxLnBuZ4lQTkcNChoKAAAADUlIRFIAAAWJAAABPQgDAAAAeYEdbgAAABl0&#10;RVh0U29mdHdhcmUAQWRvYmUgSW1hZ2VSZWFkeXHJZTwAAAP/aVRYdFhNTDpjb20uYWRvYmUueG1w&#10;AAAAAAA8P3hwYWNrZXQgYmVnaW49Iu+7vyIgaWQ9Ilc1TTBNcENlaGlIenJlU3pOVGN6a2M5ZCI/&#10;PiA8eDp4bXBtZXRhIHhtbG5zOng9ImFkb2JlOm5zOm1ldGEvIiB4OnhtcHRrPSJBZG9iZSBYTVAg&#10;Q29yZSA1LjMtYzAxMSA2Ni4xNDU2NjEsIDIwMTIvMDIvMDYtMTQ6NTY6MjcgICAgICAgICI+IDxy&#10;ZGY6UkRGIHhtbG5zOnJkZj0iaHR0cDovL3d3dy53My5vcmcvMTk5OS8wMi8yMi1yZGYtc3ludGF4&#10;LW5zIyI+IDxyZGY6RGVzY3JpcHRpb24gcmRmOmFib3V0PSIiIHhtbG5zOnhtcE1NPSJodHRwOi8v&#10;bnMuYWRvYmUuY29tL3hhcC8xLjAvbW0vIiB4bWxuczpzdFJlZj0iaHR0cDovL25zLmFkb2JlLmNv&#10;bS94YXAvMS4wL3NUeXBlL1Jlc291cmNlUmVmIyIgeG1sbnM6eG1wPSJodHRwOi8vbnMuYWRvYmUu&#10;Y29tL3hhcC8xLjAvIiB4bWxuczpkYz0iaHR0cDovL3B1cmwub3JnL2RjL2VsZW1lbnRzLzEuMS8i&#10;IHhtcE1NOk9yaWdpbmFsRG9jdW1lbnRJRD0idXVpZDo1RDIwODkyNDkzQkZEQjExOTE0QTg1OTBE&#10;MzE1MDhDOCIgeG1wTU06RG9jdW1lbnRJRD0ieG1wLmRpZDoyRDIyOEY3MDdDQTMxMUUzOEQwMEE1&#10;MkIwNENFMDE4RCIgeG1wTU06SW5zdGFuY2VJRD0ieG1wLmlpZDoyRDIyOEY2RjdDQTMxMUUzOEQw&#10;MEE1MkIwNENFMDE4RCIgeG1wOkNyZWF0b3JUb29sPSJBZG9iZSBJbGx1c3RyYXRvciBDUzYgKE1h&#10;Y2ludG9zaCkiPiA8eG1wTU06RGVyaXZlZEZyb20gc3RSZWY6aW5zdGFuY2VJRD0ieG1wLmlpZDow&#10;MjgwMTE3NDA3MjA2ODExODIyQUU0NkI5M0REQjA4MiIgc3RSZWY6ZG9jdW1lbnRJRD0ieG1wLmRp&#10;ZDowMjgwMTE3NDA3MjA2ODExODIyQUU0NkI5M0REQjA4MiIvPiA8ZGM6dGl0bGU+IDxyZGY6QWx0&#10;PiA8cmRmOmxpIHhtbDpsYW5nPSJ4LWRlZmF1bHQiPkFDQ0MrR292dENyZXN0X2xvY2t1cF9QTVM8&#10;L3JkZjpsaT4gPC9yZGY6QWx0PiA8L2RjOnRpdGxlPiA8L3JkZjpEZXNjcmlwdGlvbj4gPC9yZGY6&#10;UkRGPiA8L3g6eG1wbWV0YT4gPD94cGFja2V0IGVuZD0iciI/PvOclloAAAAzUExURU8mg9PJ4KeS&#10;wXtcovTx91o0i72t0JF4sunk72VBk97W6HBPmpyFubKgyci72IZqqv///wI+z0oAAAARdFJOU///&#10;//////////////////8AJa2ZYgAAVKFJREFUeNrsXYmWozgMJNYTHq+hzf9/7Ybbh3xAgJBEmj2m&#10;0wTwVS6XJbnqvtP+OjY2NrZPsepbC6a5bdnY2BiJ31yuituW7VhruQrYGIk3IzGPG7ZjDRXXARsj&#10;8SYzVcXyBNvRs7vgSmBjJN42aFieYDu8TyHXAhsjMSMx2xtN931Kcj2wMRKXm+lHDcsTbAdP7jy9&#10;szESpw1QpkZNo3i3he0Vw7FPAdcEGyNxhrJoD4kX7wlgMsN2wCqLSTEbI3HOZLXqeNOwGWmwROYy&#10;bAdM9HanYmNjJE4vH5U1bLppn4WpDNtrphYkZk82NkbiQtqiF/6C8994z5vtBRMrELMnGxsjcREp&#10;Jo0bmu2orsXVwcZIXEaKGYjZjjTDvYmNkbjcVAyIeUHJduAUz7u/bIzEu0hxze3MduAMz1XCxkic&#10;MqCBmIPt2A6d4NmTjY2ReAcp5lZmO7ZTsScbGyNxyiQFxCzrsR280OKNBzZG4pRpCol5Lcl29DqL&#10;/dPZGIk3sRfGYraXTLHixcZIfAgOs0LBttsEdyg2RuKjcJiHDtuR2gSTYjZGYtJkVWCMxWzHTfCs&#10;eLExEu/BYcZitgMpMZNiNkbinTjMWMy20VJJpdiTje3nkBhTTkNSlwOxMtzibMXWJDsTe7Kx/RgS&#10;m+xSsO2ycKw6DoxiO0ybYH2C7feQuHApGIVjzUyYbYdplrrYfheJnz3cA07cwD805/9hu4gSMylm&#10;+3Ikdl2EzJacK8A7K2wHGea3HbiS2L4biW1evIl+ADMXtmOsxCeHtx7Yvh2JF1FhY59fmLBmJGY7&#10;VZvg9RbbNyOxdnu52gan1peRkZjtgH7InmxsP4nExiEcUO1C4gHFkZGY7VRKzJ2L7XuRuLPXfrLa&#10;hcTTohF5sLDtNOSgTTZG4gWKN3d4V71DRmK2F1dmTIrZfhSJ9Sv93dtGwRfGiugMb42zNsGebGw/&#10;isTdq0jsLzJfIUU8zn7S1IakUlxbbF+KxOo1JK79D/a8A7LL6A+b2JLejz3Z2L4UiSlSrIu/6n1Q&#10;70JiZM7zy4ZbkJg92di+FYnlfuYRFqfeUULNnOeXzVTbjGuM7TuRmN60K6IeNfHZ40VS3nAv+bEx&#10;sdHYk43tS5GYXh5ellRN8e74L5vaisRMitm+FYlpKL6InEoeaL9sYjMQ81zN9ltIfE2H10x5WJvY&#10;aOxgw/alSLzFX0gWb3VjnlVLXnz+tsEeJOZdXbbvROJ2Q4cfOCxCbzOd1cNPk94H0K0/ZM5RMsx4&#10;mBLvMfZkY/shTkzTUxujlXMV8UO1lQ8zJ/4tU/uQmPsI21ciMZb3eEHgLdrIqpxV5x78Z078M9bs&#10;BGL2ZGP7SiROdPmavlYVkuIkqrZdQ5Ej7iWsTTApZmMkTkpybbWJFBe/AvAg+z2D/UjMnmxs34fE&#10;YstGNc4jQfR/lgNJRZ/Xcsbu/lewbZObkZgpMZNitt9GYtikyeEp3kaMxL9n+AoSsycb29chsdq4&#10;OyIK/7Qb3kEzEv+aNdVLxp5sbN+GxHdYB/K2OGsTrE+wMRK/e2+Euc6vmX4ViXnKZvslJL4GiCVT&#10;HabETIrZGInf7CyEPL5+zPB1JGZPNravQmLKiW3KKmHeMBlwJ/kFk9UBxtGYbN/NiS+XavENCerZ&#10;PlubYE82tm/nxG99Az486RdMH4LEvLvL9tWcuH7nC3AfYUrMm3ZszInf0L2BF5w/ZngUErMnG9v3&#10;ILF6NxLzevPHzFQVk2I2RuLcSvGdz+cuwtoEe7Kx/SISmzcjsebd8B8zdSAS89TN9i1I/ObO7TqW&#10;sufE95s4Eoh57mb7EiRu3uwbxAzn1wwPRWKevNm+A4nxvSs+9/Ec1vH9ZqqDjauU7RuQ+L19W/Og&#10;+rkhcLSxJxvbFyAxvnVDWrLm92umDkdinr/ZvgCJ39u3eUj9monjgZg92dg+H4lVYZIr6K07OvfV&#10;dRMAr2C/VZvgGZztC5C4LZHeGjxpT01d57NxXX5PtuSMeAoSs6rFdhESi5NACvNdG05zG2oupMTM&#10;m76YErMnG9tlnLi6eGBQdHgxc87D4VQA4KziNzA8CYl5nmW7ColPWYAle7aIJ5F9/u61P5Q2ceZo&#10;4hXsLaw5C4jZk43tKiQ+g9OZFBKfN2qmcXPhDrhg2vTN2gS3LtuFSIyXDozmzFEzIDFeeSgZx+/d&#10;weDELsWebGxXIPHjjFk/62OvAAb3tfU/zl/2WT8egfIrPbHWBdOmL6fE3LpsV3Hiw/2wmnd17uHG&#10;wTSgT8eAcYO95k74JsNTkZj3AdguQuKju1rJIeaaeF8kXoR8N4xUwMCJr+U06wIWWaZ4kzXVucae&#10;bGzXIPHBWKVKFnzUQ0s/i1woBiSGa5EY5kc0vJD9Sm2Cm5XtQ5FYViWcmIxvbgs/Iz8UIye+enG5&#10;DNWz9wbZIqZPR2L2ZGP7QCTeTTIehZ/RH46PJpD45GhkNZWnZvL0rZSY25XtTCQGWBjFke9RtHsi&#10;jh5CMCOxvnwULeXRLBO/w/ACJL6tJ5sf1PQZ5r/zd8141Y4O3O/29/rm4+ql4khtKxzdz5bv6OlH&#10;JP3a5s9DZze1ILG+ns8o5kzvNFlVv0uKz8qgddUqhpF4Kv0ckXb5uJg4MXgtMf8Y0eXiet2CxIQ9&#10;LuhXf4yIX6xN3NaTTXyohMJI7NfGDJ6Xj4sujcSbi5hC4iuICQPiu0xfg8T39GTD70Dix28j8bqo&#10;xuryYVHOiaEq4MSi6t6IxHJgTGORGkblN7LCX9MnLoxgap+AcdS9HsyJvV68fLX/G7yeqLhQI5Y+&#10;J+5bRuoXkPhETlyyLO0T0U/TC2+0v5MV/pgnG141WcDB92ckDq3Gfl9YDPouXDEqcOAxASeWA0nv&#10;AtUCscLFEW38XNrgqHBkRqchcfq4Dz0UpZrKPlE0diq+zExV/S4pDtYD7cnPOQ2JP9H/42gkxsnh&#10;1qqXvf63ZfSk7tYQuWptmWGRP2+uzUj8/L/uPYhM5TNfWMahPJkTJ78vl/vPT2JO/Mbl+Y95suFF&#10;b9ichsTfmdFjaz3JoeXmdZdV03hQv4iu8WZO/LB1YtuHY/p8UH8HpNUQ4C0atb7ziTpxcqkAy/1h&#10;GgiKk09caOpKJL7t4elSnZ5Y6yQk/s7YxT2+E7KzSZ2ZiOYulWNLb874TjwWRB6cw55EWTlIbKJe&#10;GOQjSXlBjE7Jomvz1RTMOW4lzqDMeWy/mhLfjsGhncTlTAcPOBqJ/xiJ/V4Ma6L4dsakfRVe2Jll&#10;1xE68SPiOxHzegtCmZM6sTeAmiBFkJLpgjW+bAb2aHh+2XBegnssz3/Jk01YY+pceQIO981gJPZr&#10;oyEb+ERy0pVw4uVz9GPywqd1eU5s7aA1Ue8O3cZLhsGSOAQEhsXrDaqr7aaUuIvLE/ROWE1+bnA9&#10;yGH+VX+NWnDe/Zb9U6O85z8XndZECYKcRMC7k/eexmphZZIlWBQaNB+HxGKc5IQIGvg8IFYdyYk7&#10;Lxxu/lx6c/38ufHHRlInnpG0zaiK5JRP5Lr0kwq1UQmE7Yu0ibvt2dnLzCaixIkI+ST0BklOO5Dk&#10;U+GBZR4sxrwAvcdDsHwVgGmd0SmBcC/G9rOQeCF4ODSDXitpa3hwXdyVwePEXZoT+/pX8PkCiUlO&#10;PDRwib8TSpp3hUMg/QHbFaaYEruuO4SUnUNikZjVokis/HvLinyZqLgjvMdD8JpZpX5p/D8qjMF8&#10;EhL/2SiyTjh7OtzWvkz6TpBIPOcBiiF05Um3UYhVG+cKt8OHSyvJ6sRtdNKfjO0QLk+MyBMQgyb/&#10;8moLEoOPxF6Ol/xMFuPEYK9Ek1Bs3RPv1lQbwUAPrTNFIjjOWBtvVG9nFVSMXWkGINUTV+NoZFlO&#10;/MJ4q2hO7H4k+3ntrzMMj9+sTdyYErtaRVKFID8ntz7/CpFYe1VUZ2swyonzOwAhF8PbtdXWh+vl&#10;0DeLE+8oxXZHoFUn1pbSOgUJPfofE0gM9iys5BzaduToDBQtkQNnO8iE7RK7frtO3nEekpFVYkyF&#10;IK9uomCmEyiXcFIdhjrIfkdNSAyCACFGyaWrPQwbh0I4be0/HO8n6e8SFZ6l7I8kbiadWG5H4o3d&#10;WTucuIR9mEqCzZWXa5RV6QdyYnfQxTixCns8R3R8NSW+lTexT4lXyCzixK6aYCMd/C3MQsRqGdyF&#10;LKFoeH6hPseBmDphfUE3Hm3MTwN3IcXVrs5MNLA6dUBomxMXsFIrD/vgxdauW2uiG+ZbyOvE+4ed&#10;DitJBy2N35O95FMML0fiW2rkMhiIJqkH05w4vdUlI4sCf7O77cTgrAbxO6iMTjxTdxVvb0HhDprh&#10;6R+LxCqo3s2rsB0DQi+c+GEBn6mMIZEYLVxcOPHzYwWgUMyBF0cjseWVEenHgoH4jdb8tgcbhnhD&#10;QhBsReIk2xJxJC7la4WcOCFGEQ9Hgjq/Mw3XXjfgrAR6NDNBY3NiJUbg1bNe4iGxtmX6BYlxboPx&#10;fY/ViZ32JWoEXfaAXxwuxNrEHSkxxVJJeUIfgcQid5OscCM8l33w4gcgD586zokxpWJ8CBKDVxCx&#10;UQ/DF/v1SDXk0qP0nM7MKdeayH5FYvV8TegTek4XH8+Jq/VEE6A6FrizNTI6XmjXb9fdaqKl4EZS&#10;5L3KgChai+NodJPMInEukkLFCG1GREmUJDZHfignHqEU3HKUF+GFg2tEp3F4nHSgd+ga2u33bdeE&#10;SGy/cXuCTmy5omMo19hniLb3o0xMiX+EEmdfNYfEENxQ5oWByR7Fs5SK+b8VqxNNgPpEvAgJ+p+C&#10;xHOCc5vsXQHEg+OcWF3oZGdQd6Y/m3mo9aBtTQSJG4sTm+NHqLSUD68nAyESsxvbxTLpZXYrV/Fy&#10;b7tCJO7S5N/TEnI3T6BEBInT8NmopAudBxQfw4nHmLXamUPQrtxiNHntdPOuMXYKqf7Bz/nObbG/&#10;pTr18MkQk9c6i6jFd2LcBjyFCrkrNjHVmpMCo51qhEHyCmuYEhe628VEh1RMmy7kxAVILJGe0Kqc&#10;WrGONsg5M8vIW30AJ/amvj57Blic+KIVonLkKlKVM0uvaqaIH8ef2LnVcLrHGatWgo5hZ6UOdXoH&#10;exR/qTYhPqr4ccSNw1XCcVplkFgXMNk08lY06zYYvUX0NGjxQTpxi76yD5ZyLs8aDl2tgxpN9yWz&#10;vCRO7T3H2FX+6eIn6cRhS4uJAY+nQK1vNi7DWJ24wvTlQHyr7dj8bqXJIfEfAVfxPp8aChH22WBy&#10;RivhxCY9HqNU6aN0YkVq3V0XZInHOMvbhWjg9u5Hf/tH/48vx8OiBo7vOI2FMc0EtMtqSg0roO4k&#10;3wnKj3QqCqDNkDdL7GwfRYk/rfg7OLErvssSFSLKPgMQjSXJwOgTfEKN3i1EzM37kzixxSoCnJ2a&#10;YPIrw/i+KO4ENHC6S/T0pAVXlwfWnX29v2A6kRMTQUuzWvysBWNrd+zJdoVdv113q6AO2IDEj01L&#10;eBWB4o2cuAkHkIhw4lhqRR02QCyyAz6aE69FRfoeM1BGS7R9gSiD9jbZMzu0n90sbLrW/c0FIiHM&#10;kflhfbA4cYFJpsQxJ4dw6ogQREOXTO9zwEhBw3SCRgZGvSe4c61qnAkoI43AhyFx15FO2Y9qLaaY&#10;QuBINf6V3tyss0A2P3GXQ2I9N8yZC9dSnsIw+ZXaxK2COlSiV2IVLBXpa1UEoeWWbT/65o4AKelL&#10;RRqJkVqOxHRi8clIrIYaUKQk5KSLj7pSvIhmy0ZpkJ/4ERRFz5N4bSExhAL+iZw4rzowEF9mmilx&#10;dH6QAaONuHrFi7ZBbJbpGDcy1i/Cpp1nmiQxV0lW/1lIrGwvMU8sNjh3d32sUmcISp3ViddSjWHQ&#10;D+JsZ18n1mfIiNptahxrzzs/QDFMnm/XH9RxrwOdVXJ+8LlD5Bg7Gb9JSwzZCBKTmGdI9iK3cGLa&#10;sdn7CmSR+HF/JE7OGMEvxL49gzSvmBcWZWc7D/7C2n47wld8RmLoTh6N01xt+Upw4onr7PrtOrzn&#10;RARFOF1leGtyvdt5C9YSB4yKVD093Gy8Oz5IJMauBIkfXSndvx8SY6p7gXWeypQdTR+gTSDVn4yD&#10;xEggsfQadfrcBBi/6sRwzkGT7rvPASZWlmUO6rjCzPWU+KYTEfnrxiMoNPnVycKFj4i4kEAKiVXq&#10;UkipE4Jei3hIrHPuxB+hE/uvKaY/Y0OsUW0Vfayden2FN1eq1RS67W/8cJFYeyA3fT7lLbIPGLE4&#10;cXcuM5qeKZdnt2sBDZ9kd5FK+psebF3utTyMbSgqZCvtj9SKV6TBLYnEafrsPUGQnLjoDp+NxJ3s&#10;D5jqmeafvwECz8bDhXwIEokPClQbkHhdnpgB4l3E9d2eLT/jdc6Xrk4MJ/k5rdOBwmZ6OTnzNEtM&#10;YbS8RCVlSkyan57XohIz6mFQuib9jHZL6B2p8foMtowTixQn/gYkduPBUYohzO0JzaBtjWd1KcbX&#10;RwOtMIGtToyQ5hdFudP/eL2091RRBZz4nP11GdPPG19CtjMus302Jb6VB5vMM3XvCpdMAGhqnoHV&#10;3czRf8Jalz15kzoBuhlh2oOQJCdW382JG4LpWZNPO9aS6iPHx2OYwRxOiWmd2ADhOwFWmvgu7mds&#10;6cTn7ev4k3zwEu2CxOzT9iVAfNc459JLioo3gq/uF8p2zp2ZgdWRSiEnq4XuYrtASvyIkEAQcX6r&#10;V1QKMmXEaqK9g6pU0mswBOIJAHEtlEnFi+3JSKjo/lIQ2fH8fyNKiuhw4rOl4vH+hqzdZaYRjJwH&#10;2/UHddxrZSML/Dm0++p0laGOaRhkaGkGiTE2W/YZeOfMhfTzBIXE1jsjDDR+DyeGmyMxsY82gopx&#10;S6WiZVEHEIuJE88hfd32GLvwji4SnwLF3tkm7ll7wwRurKczcn4+Jcabll8UXITxOvOEWpHbGKF/&#10;Qw9vTQ3+nMjr3pnCD1HIic2nILE94YANKsFOagyLD9l+XjixfrhrinZKzeb5hD3Gf9vp84f3u0fA&#10;ic8Ztm4BuuiPucgYtj3269t1UDRBVFWW7wZbZrlgJnqhEKklXxmsE0jsw2qERoVcTcSaCD4Giec8&#10;+spbUhu6SuURSNzRnPjYw458JK7PpEjPAmDjlWdeafEZz+fYG6LrburBltRMtOdS/IdEJ84jsUzw&#10;3IxAoDZzYh+J63Bom0JOjHeYRHc8vOmLCSA624XM7ftNhP2/tMSbPz6cvtiFOGHbzqzvH5SHdYlv&#10;0ybu1ZCq7L2a8DIVTi7RLbPJoSq5v+TDZXL1ou0lbyESe46oXTh3mCrjuPwJnLhLrKqpBRG+ukQU&#10;FL0ZesRjqx5crhOftJxdqk36eylynbzYge3UtflverC9ZG2/edZB16bWHMMRlx1Eeq+A8QTMtmwB&#10;M97MdPv3rftb9P984M73TiQG221C+y4BnkNvdwgl7pY44aOQuKOQ+ITYWJjIwFhJjSa38hg2mRKz&#10;/XJf3fyNwUmvsSTixuqAtUVD4IUBQUt+K37W4e9jXPmxjROfoVCMtFf7a6jGVd3ZjrbrM//w0obt&#10;Ok4se1CB1W0CFjVBDngjhjWC3S2PcQSyObGPrriPE3ckEh++qIXO8STWweaO7B7cFQ+3hikx2zcj&#10;8YKu6C6uhStS6IzrYcqaHCeWrsPXEL2cR+K6AQ0UJw6+o04domsYP/tMsDbBxvYKEquVuMLAfnUA&#10;K0MmTdHtPNI5yYmf93ZS89clSIwWT2/7cz2ev/mjOPEJvDhcV8y8mMPqTrI3bNdxumm2y5HYNz0n&#10;6kDhLg9RwMu4tXBirAbdV6LtP2fGPBM+nuppZLixzMOtoOe8Q96JIfU8jeF47gg1/T4xy4pMidnY&#10;DkRioF1jd/KSB/WSI2hOyGpLGDBlYQdfzRgZsCuRDDqGGrNTPr+hqy6GxAeGBbAIcb29YbuOQyTZ&#10;3o3Eyg4o9H7zOrcYZImBE/+NR0mPnHbOQwRPeBUBEqvZL7n/vLX90kHNLxvRiaXNqxmJP9IkU2K2&#10;30NiXOgAEZWBryMxzJx4+kmO8KamRBQj1oU5qXvq23SD8/P6Gv0gde5L+E4cvdhlJP4FbYJbme3N&#10;SKxX7ERCFH0VifXsmrHgJ8zgOyQLmb7hjYTK9rV4AjKs0Xs4hWZGkZjSdVtH922Ax+idTTMlZvs9&#10;JHZ64ZxSfw1xfLVPLxlBxPzKqlrZcDM66/4j1AkLiQeNebl3OyRuEzF/Yk3WCvgviIzETInTrpds&#10;bBcisfKxU7oRRy8isawcTvwYQ60H+B224ObNEg/vjO31pvyMFqJKcOJIqFQQSqWZLd3U3rBdxx5s&#10;bO9GYs/bQfqbyS8iMfqcGOY7KmcY9HgKzmvpBYltKNaiP0WuSuzYRVIbYkByDXPiWxpv17H9IBI3&#10;bj/EwKvnxV5dVYFOHCaFxUmFkKFmMu/3EckgaHVCRMZVmDC/lBUzEn+9NqG41tnejMROiomGTsz7&#10;wia0qnxOXFFuyiPiYrUGlswn2k+3c0FzDK4TMXUih8Qbl8Hczy41xZSY7VeRWIXLwv0MRQb8xuHE&#10;FXXLMU7DOSvOjbEzQf5jIDLFWyS8CImpwmHjA3TNHe1Ce8NBHZ+16hkTAcNn5vFNlmv+U3jh9eNS&#10;RCu+CImbPBJXPu+UL6wV7bu3y27IzIk1hcTGVS0GL7WZS4OPo9Md1YLEogiJO6pwGFmmSuTYqzcZ&#10;MiWOmwlrB74Fj0tb413n1kFq9i7rQum0q0vhJZKT0usysRkheSa3wk14iDj7EysHas34RQuJ0XlG&#10;tZETI7VNLuK1OyXcYAXxYqx5AxB/SP4Q+d3SymYkficOBzhXeJOEj06bK9RLSAzLB+uJVtNNuxUY&#10;2y7cyas7N+Kjsg+oHSBaz+/vrFIeseLEZwqbibPdZTyyB1sOCn4dia9cDBArtXY7EnfJaf9oJDYx&#10;JHY4rFiPJ/S92+b2GBXaCYlx9L1fh46cffEJToypcrirCs2757cy3q6LKJTft93oQdIjVh5xA06M&#10;2bV/+bJGJ5eDj+OQOKg17SKxmiYTj5IESKxwzrg2dETsVi5tAzD4LYK0gCTJ99O8e/7zlPgT5mD9&#10;ZY4fhjhyjCqP1IQefD0nJtcjYgcSd0l9+1hOrAOY9xFz6vqu8P6g/IzXk5YQ59v1c2e3ihOd9cTx&#10;/GiZlomt/Mua/ZgYiD+i5fGrXPAi7w2z+fjnIVcD47HV8OZuuYcTW2chRUjxcYMj/PbyNzN3K2Hf&#10;ef41EP0NljM+JgkD/7pRpsD1ttJ+094Lo/qLF2MmQFKxa/8naaE/7cGGwSuLcdkO+MlI/ChBrTu0&#10;kL1Vqnr0aft328WJ02IwHojEKvi2ITCZRmIqkm76fAp5xlk2Wg57kp7nM6zubWRlroLM9LYcR8eU&#10;+KOA2ARE6sMa+a+05m8zV6p8b6k2NWaU9yUZ4bZ+LYIHW8VZmU+73hmXotQRP+MxrtmOYtb2eaiB&#10;zFJ1ocyPc8atRrm+EvqI8SiROfWxPZ492AJqSOLwJ8+3R113IUHoXkZiGfpdOKvCw5A4xKj5b2Kd&#10;CvQwzwnVh3kIWDkxRjjxfIf1lXC96TqU5icIwlskyt2hSldN3gSyzHyInR1dN0ZHTR7z7fgX/ZZY&#10;rb0LBfyqZi4tuLxNC6jXkXgEOXyxI2xiGBNuSvsVhqOi0cLSdYqfz7fz4TJcm+hxk25g24uw4ur3&#10;gS7uxgtoEcgWLxI5PuL5ttpEOip4peEa5C0xGbcD8RQPXRQNTVw4fj0Smlsv0dZGFL1EG23nR2F/&#10;KK6qutsQBj5dbMSGjtnsRGK0UWwv3jz2UWKKJw4f1ePnypN/Hn72y6njPSpiRhXj3eqJXHeB/0ew&#10;kWHd1JDVvKFGxgM/GnuCZ5X5ADt6u06bAmQlvga3AmS5FYh1UlV2nHGFItiein15PFPd40pNwUtY&#10;IVMp0HADaON7q5H1d6OSqpNw76K2KFQqPydUuU42PAPkzAqVVx3KpGe1/s8uJG6pXjBuuU3dvHn+&#10;YE+Xk7daICCEkRjaae+V8npEV5GMWD9nQushau5dW7VMp2txmvF7UWJVnIsh6h6mjLhdrZQqZak9&#10;dBuJFYHZnuNyk58mQwhpMbZWFgnQEPaEU4rY1IQV2eiz31dt27Y1ecjOIjGMmS61s2Kvs1sWsiRz&#10;LzZECynr4cbP2u6W2aXFfvZLcD9fW2ul0SvvbsKQErMq1UURr1CkRjUVAcQsEh+8Cn8lcnnT8qTJ&#10;ILq5ExIXTA0qi5UrEtcUcmEMoqA8WFwnfKpKEBZi1wnvHo9c52ki6vTmjdv8qiSLxPZK3SKKmHgL&#10;WbiDbSItNKYYHlHS7wde6IfdvWIrfPtzD7utV8fhvg36kYSNOpRMaS9Ppl1/i2RtKk5gsd2aA6iw&#10;3A9zCZHjrSfc6S0e7yXRVnYygQARMQqT5UF+mMDrFCdu7B8T1xFR0XJTwevtzoz4mu+EHItvaaaO&#10;Ixm5gCnPhCWJG4FcK90AIU4PNNaa3C2tIY/EjTMnKe/WdagWhzA8bZ4PrxJtxTgT0l57aKu59Vxw&#10;YJL8Bm1C7Zn9inu77v7eXi2vVKEOObGieEiBOEtaXaL3ZBAWNnPiLBCTBYc9Me/Zq6ro5sfwlSXB&#10;w4JmWtO9cESu0cHCUciy06D3IVi8OOTE02NdWtyUIbFDiBuqWsBxR9OJpQpRyU8UlfYBSyJ6KboL&#10;HrR+Z4lCbNdt15kr0L9r34rE2b2IP2/fUZGa6fZ6LqkqjHN4Yw9AUYLEcqtO7F4ESOIUlJUzR4rF&#10;NiQ2bsvN3zYeQLTLb54zfg1RcEtVvQoKA9YFguhB6MKinmdLGr0e65kdGL2HjfJ+h4Ap76damHNa&#10;A2ogNsClPy06noELJ/4W//sPocRqvxSkNz/rcqFClEegYCg36qzeC5qixphCYk1twJhAYyKatht9&#10;5lZJ380zYX+z/xjXWYW8LkBmEpWiSAZuMaumrB22IbEFi7BiMVaJg4AU2drtJkpsnHpAkVoTKo8W&#10;P9JFRBvdTGydMPUT4w2c5Y2RSkk3/tZBerV0UGvsSR+ewWUDONcuqxOXbde9Bo27dgSv3QOAYnFC&#10;Uuvs8EOdEx4C3GppIkprJ+RlkWtiRRXB5mKk2fwSaargQCHxgk1Yln8EaOk5j8TKXimPz8PUsnmY&#10;3WhoQ50WVWh+r9KiikdpoX+9lDoBBYR4pvnzfLgOGZwBVFI9+rFuqOJy/ZjfwrkRBM0Vaxc+9m6z&#10;yV3+wu9B/0tXPOVIHBE84wRy4V2CWuvqGCeOtJt0f26pivYOi4dIUWMI3nk7dui9mU5XHN1zVAES&#10;iwIviyreLM1cMWJktiKKxED8AodZQ9MHMdtqSURpmfwaVSEtxnhNjDnaPCaqckMavHpc9tKGl6xt&#10;ZLcY85JJed6mnTrkE4wx2EVH6mZsF7HT14WCV2KrL2PGxRt2MnIhVjQM2tehT4CdC0UCiVfAxsTG&#10;lqFBXWY4scpwYqDeIHx/maa1+YldlQjK0fYRq2qzYIui7jLQ4aBjjV9o7AOLIi8T5ShNeqZRliNc&#10;57NefwZU3ZJgHlOyubYcnd1+1jkY6ywB1p6D6wgVXg2FBVkS0ls3Az599BLB9hAgfNF/GZtbITFG&#10;8E1E9V6KP+oomY7hlXtZBjuT6kQXJbFJJK5yt1N+IZHue+UsYRMSr3eZI1Z6ry1/WdUoerElZhIt&#10;aSQ2JLHwprj5mzJRQhyqCAIlOKT3YypNnZq8FIn90ok3wdrV0TtPtOnjO4jKVsGNcSFl7l4l52Q7&#10;nRIf45giq5dN3wiJs4BUJSgg9eXI9yBGGJ06jcwG7k8io05UmbsNr9LGfEv+CqagZMkcQkm7K1g7&#10;iVn1SExaARKKKsZ70/DC42o9TYkhgsRygGBIbt3N8DZpvoaixWrFNmHpDERBMYL7VOWjVfCH1Qpi&#10;hFJFvPEwaWGMjajoo9iOZac7qeiz8xhwdstXVV90jbWjfy+VohSJm+jsoCIqg4jz5i1IbOz7qdUv&#10;YbUOVBEnhq2c2P2WLJ2CtiGxzQD80+HBDkXZvA5UQ+1M3g0mNTZwdcqKIzFGXKPd0HaVUOqs5BMB&#10;LW6cHqMShAhjPpeLCF67/mfoKTGdIyTHH2KojzHQQdjKzZxHh/t8YMnApOB6A3gnYlyKxPFTNqFg&#10;MV/Ak6P3z8ZjWPZIcWKMIbFKceJ49JuOTEFmCxK7RNhr9Llq/4qQ+EG/noolnJpgpV2SsafHQ6xv&#10;L5UjMDWElNv+Hi1W9u+aBCFO4L0TcGHG6jPBFYJEYglUt9bJcdMwsp6mTWwgoG0HqiwUIYbgG4jx&#10;ibmCsBCJkYh2K5ZVBVXBEST2y9pmY5SjrsmxbvDIQKTjAFzlp6A0w36kkNiLUxEuFFfFnHgiG1qK&#10;rqNTdip/safmh8pEcA09irpQnbCvEYlB6PBeWKHXd10zW3HYcpO25+3a74bW+6hV1KFGbB+HqNrY&#10;fMdpirdbYWaQUv+UuithtYVsXR8/R2yzUi+2+GWiAJBSnx3JiZP0Pep2BqkCJepn485eslo19UEp&#10;EutoR4Yq8NciKGR06Yi0nm3jcLekd1jfhPZXBs8rbcFfJ7jZxDsjJN3l3CYzHvAGlVAPie2b8VL0&#10;hRhYoMOugqWeNfPhPQpumdNa0b2aUia7YV+1LfPsOCu+vRDsNwOSokTmNnrHRzTa93wkjj1RFHLi&#10;QiQmWlCGe3R2gxNI/NfzADeto0ioWfO32/AFZk688MY0AdAkPqsV/Rp78WSIylLTL6WrSciQEAPV&#10;GZv0+tC6dWMFIwec+EHBt5tjCK2XhGWvRuWc/p+LZP2ejAUfYngQcG7Sd7dr2fgeLG4L1wSbAQly&#10;InMhJxYUEsMeSdsvwl/kbrKQExeqE3Ui2pkQoVfEk8Z+v8qFA5UjxNpVRom5dtCJ1wOTRbE4YdxP&#10;wWWbkuxNtr6EXuN6sRx6pelBVUU1AUl513lN28QXBk4vcPvEpL4IYv1qJUKQ5y9fP93MATjcbPVH&#10;3gea2XSxZ3gwFs4eVX7jykThLYnEQIizWU5chMSPQk6cjACpsrKJt2MHG9QJqmE1jYdV5zlGNoT6&#10;tjJG7YkSmp5qzcoaMd2N4/gMfoiEDuthjT723CJ0gMvjDcg2NZn+WaLEhQAOg/rbdhQSj2VajnP2&#10;UtHT0yH7GeeQZhe8/W1P4/OSf0sGjY9vZVV27+WyvwxGk4C0AYkhBvQdmTk49aqZyUQUebsVILEr&#10;r0CM1It455TJRdyCxNP9hY87Y6exPNVaXHMyy8gW06MTUK1nfsp0N47IxOhmvXCKgDRQRj0jVowO&#10;ZkfM9U9dHLAfwLMk+fVy1zizM97jteyMYijOA80OaBM7M7i9uEAxl2oUBMvasOT3AYmEty2cOImf&#10;RUhcFSJxl4sAEU4HqkndMpyCzA5OnNTT1IzE1pVNUk5yN5o81wRnelPd7Dub6Wo6xjOgnl5Zpzhs&#10;GGWuKXkBF8UMg5uppWG0rMmKzLkzlDsBR3MuTzs7wpvXrPKoijNl7qDEKRyWu6OVj8gSoi/DYqw2&#10;4Vs8rW0c3nQeidtcwJuLxPIAJBZFzg4yG/yn0neTBZwYUlA8Xeolk4g3l739VBOAoj3FdygDZlZ2&#10;2RVfTXUrdGYtCjjbCcJs1zUdDSmJ7Zdh0bDbsFyVYUo7IhhvJi/KFyoYd7cBcbzp2pfyyh/z6m13&#10;jU+bKHvzLL7JOCBR3/3zPotEsrhhZ3DIm2Y4MUYiNtIycdQhGgo4cdUloHhGYvfeKtINbFcvPXtH&#10;WIAigztjSS/bTjTAWmeB7zmzruKnhBT2fZ0aaabAV0gEw5qyYZfwJfTd0kawR/t6HXBdW8FyG493&#10;7aJr6k14pqqX7MDEeVFefqRfORZhvKKLp7xhbag3TLIs4c8HKaAvWRhE4K32P4+x3ZJEGmFIjIwB&#10;bgqJVUQYMmGTVE0gOUC88Os6w+PEOlwQ1gXduNmzJluzXUCgL8PsdSbm4Dx0Z8jWVmAjqp2xv5Ad&#10;diKKxIaceJ7l1HY4jPbKLuxdXffLnDtzAyWO9KfmRRg+fGkSeSE8qZYwKZoFiKT9+oRSTixinNhW&#10;ZNuqNLlDHLyjbxEj2DGIdSiR9p8CsUlSJd5YxsPW/N9UOgCLUI6sXWCfX2dtM01N5k2+G+td6phe&#10;epR3R1FN8Icr2GJFIKYn7Uoy/BTLyEliV09RO4ySmlkwz4n5JI8t5FYdLA2fmydCnfsc15PUThZT&#10;DwAjvJegDpVLhkuQMB/lxOt3TdBgMl7+5WBI/z5/lOLceUEUCcRG4pEYVAbkVOd0jJ13wjzBib07&#10;YCLIRnf0d6xcyyI3SiA6WW/oeHJqYel9Tw1zxbhzt+bc0IGKHHIDGb4kFFKT1DRCOIVAKA3PPGF6&#10;2pIsA91FDSNxGmFyi/sD2PAJlDg1RxwXckngPISszMLFxo8NbLoCTpzyMXZng2HZikStIgUWAqi5&#10;oL8PYBU9eMmWrrQmePcjvOEQROX0lADPRKxuH0lSPMYJ/BEtTaIqVtHohxXyGq+PTBqyc5gxFEls&#10;u3v4NJkEbsjaJuMw/d3jxILGffAYQ+FLQQqJSTQP9t5GZtAGO4bSvTEcqx5+sTYB58HwiR4sBBgf&#10;JlHIkrmlKVkI4GYkFnlF314p5qfA4Bd1RIyIFCK4DkperNrFiYv2JGSIxIrqxpDjrMrvnEKV7XWI&#10;/Vxj0oCdWy4Ou+sxybZnyPQQWbY5XW2hxFFphaq68HpMLBmcdmDwLdiuIzJp6+o4O7NE5jyPtpIi&#10;yQJFptrJidc0wDklJvuaQP8ij8QyVgS9ZYbYhsRFwfgyGOw6enRx+b59Kogo2T226WI6XCvYhH6m&#10;Lr4XCh2HEY7dwi1skRmeQNwmtZs7nQZlKEGCOXERuJg8vL1iZydp0mfRYijY25T5cUutxVsKiVUE&#10;J6mH6BLsgmjD+zUXu1FET070kQLAFbk5WkcJgwPFXnCJjLRgtj88hpzaahud0Bu3KP7s2AdNTqbe&#10;OGy8IB8ji4BYFhIgkx2fxHAiFKDGjbZZN5wk68TpZVGOEDd4KA5f4b7iqxSH0WJV4O2ncrufSU6c&#10;uNCmyLnJ02ReU6dFhyoG2aki4K6CF3DiiOrTl7m2X63SpPIllj+z460g/5gn/BYv/eosqRn08scC&#10;7tOLuIfWrCfOUJ4JVNSf5a2G5HtEu6wsxYIcE3FvBIJGbKsf0qDO8Jvp31BER3bDMGjVgU04hgNs&#10;nl20PrZscBL6074jabxWIos7gqr+BBK75VOFuna0fmQUiclgNhnZYsO0+01sY64kGEXGZhXr3aom&#10;ztBOZxP7bwZL+YhMP8ETNki/f86EnNIlnFHe5tC6iLCoFBIDZ57IdR4sgJ1dALyuxFLXKTgu0b/L&#10;5Q/cJRQOq9HUyTsNJPj4ysKID8kr/1E7ffMOqoqSHTtVdHhA0NK4CMlXW4fpegtBv+/zproK79rl&#10;vhX9ReTezrba+uWqS6iWRxp0RyKxdTATUrySRGJMYGJNnldGXylhyzYOFi8x9ZoBVjMl3i576sPp&#10;sDZie4+Nniv2Qgk/P6bnkh3Pj66gcIiLawhx92LUae2zYoghMdprBHK+UoVuqVGaldc6Ni0iJQno&#10;HGKXxMTmUHVYy8JF85bvvyAmiC9pL+7EcSTGKp4M4iAcluUrzG3uRDYUNzEkBoud1oWCIwmwe31M&#10;4fUeiEkJ5PcME3O9eZk2tAf1V3jZ00Idv3H3XiQG7rtRJO78ld3B+xw6tR5/FYq1pa0T4Kk9cWLj&#10;8KrTo/+yFZfY5Ef4Aybjney1EA402xSRku7/d4xIgYzE347Enb+9L49D4Qx89PJskc3XKV96trwj&#10;qI1Yd/PWbBteWAjZZzeSYn0tM3su5xa8JEtAu1URKeUMLy1nFpGCkfjbkfiBO0Ir3mfCcUhAJ16w&#10;CTvAypj1BzbQ31RYPvY5sZY6gEFgfsnxEttWLy1pcGN41X2RmDtvColXaQ1Bzm4VYvh3+Z/9X+p/&#10;Hflv0Z/J/8P6r/D+XbxEhM0TwBMlDNHQaCXYQBLo+jft7FLY/3vzn2UJwP5rCXKKL2gHU/WWzHMv&#10;72TjK0CqPoosMSfei8Qv9ePLzdsIWaCY6KnNBGIqQOnmc0qMHOVMMUQHiPdvOahdT91pL4AxfPKU&#10;XDMSlyJx9/JRBtea8WRtHApAZM0QIyC7IrH8zJKy2Qu4da+uVufz1KO6zAvM+AAfHObEn4DEwwba&#10;58CxcqcQGJo77LyENvEpZURgFM5qE80LbNXsfupBPXeryU8VWgXrxJuQ+COsXZQU5YySlkLi8cgO&#10;R5sAO8kF28eZegsewhQdPKSZcLR8Py0KL3SYE38MEjeTa9p+/VM6ZxvNKSd06DuB06/BlfuYbH6q&#10;ies1nx5uiy4zG5aU6qfEf8Oc+H5I3By0GYXWDoiepluf6DTDiLN6QP3p3kA/b0dsnGGZT2D9hNYd&#10;wcZP4C57yR/qhvAtUdtfxYk35Px7jN5rj/g8ay9+QnlCVdN1jXUdL5C+gVydK0sIo4o7KW1tiTvS&#10;z3RFYE58S3Uif1iHDGgFleLKg2J8Nrj0Luic7TomxB/fYc9ICuihBh4WRVlnvevYU5ztnUjs+QTZ&#10;4NgaVT6O1lEyaRUue4FenIB1JClqULXTtks2xeiseOjXY6bYdpo6F4cjWfleC6gQaUWFsZite6vv&#10;hLP6m9wYTIHAZjtk1svgGs/SGuWIGCUWLuj/kT57mVQZwEPocylxEofNqRmeUj2bOxLbW73YlDtI&#10;ghN4e5ehiTJjDIzXCOfJqdgmxdAPPXCysWmX2cYTaNU5HOZEq58GxLAPJw9Tc9s4N2Ys5q79pucC&#10;/MUHllqOSlDjOIABHIV1BMkCqX7+CbD8kwiVuJx6h/qDnbhbc9d5R685A4ebrOJxXAEeUd2YsZiR&#10;+F3cZhgFmMwPOx1Ugbaz20Jmp8+ctJc9KbYO2Z5AXCywDsEz1fi16QTrxtMrbMAVikfNx1LiWJOV&#10;uGIcnQbPvN+Poh02RTiy6eeRWFiehSbeF6ePMPiFtnb61juN/KWxcnMRlNgQpHe4Uq7A6+zbuHkC&#10;RMcOkfeQsw5IoVSWNegMGYo+huuScCOp/QmAe/RvILFMceJ1dNFHP484aaJdGQdoBetW8PwfTGjf&#10;jfhqwT9Ek8CPA1NbkJsYIg3nC37X/L33cJftmsTJHrDkC5wNioaVkR/mxNPeG4B0PsNu9WUj81Ph&#10;dHqR11GeYDreSa3qgr147f/XdHOKTGsoQYp8jA/x9d/YV8gBOvVyzWu+e2kT8AoMnwtT6hICnl9T&#10;cN/6ZCTWFUKR0iSoXv3E0gckBTKYOojjl9Y4w0t5PUlNikU1nJPqZ5xAv7PbSkMz3KMOO6XQIRgL&#10;gr4odqo42fZt1+FLMHw6SoWnUJ8mF+t3lZHtbE4cobNV6kxk4w8sjN992pGzuqb099LQ6UlzIqAn&#10;O53O6kAPpq3JwPtZqekBKVVvLmzQe4Fx+J6UWG7AozftowWa8SkShXjfbMN2NhLXZGedj79Eq4FD&#10;9y/I9XOcQFtW3mDUk/eEsUiyceWJ4R0aSwVZyDT6714tBzhX00CFtKo3pNDSnlcF/mJSl4sND/CY&#10;MMdozGfT/RNcJE3FSPy9SLzSFOF/NnIPpAiNXnteArbk/GW7m+ByS712H+tw55Ezq5UKm/kh2vdH&#10;CvvhlJ8r0S1nOgV1TJjg3ELnLeN3AHGT5p63SpemTqXFOjyEAJpuSazM3eveSCyzwEJl4p8g2Pu4&#10;Rit0rmDmn78r7JtUtq+w28vQngawWgTjVaSo/Gzxch7gYzHnMZeCUyKroqkYh++pTagE0u1XmU9U&#10;Kc6jxZCYXgQwEt+eE8s8JyCgWE1nyvn9GDwPT0wyILUMoMYCPR3tZuiMN92noRgmCmUvbO2SBfBe&#10;BRhPLZHn0I9F8DYjKefU86eafonN7j6D7uJSqpMenZlc/rh/3V2d0NkIIx3tOLgosDRs6jTirX0I&#10;rO8KWkDE5Q1WmFzeq54e6b5kbfX+6VF/0ySQKjHissxlL8wbU2ILb9r9+duub2J5xhKLz6f9eCQe&#10;2KQuWvg4Vz2S/WyMeEredxkDNshHiEL/8ZI0fu1tU5/+r5tfD4ej7qjvj/i+PDJZYMR1Aio8cERE&#10;0gmxFdtWiVe/Toffpp+qo6WRvUx7Szh0Mva0PjA0lbxTZoR9RGBsrmkKekSo+s8OCcad1kcuqeZr&#10;IMUMbMpdgMTDgJtFkcoag2rF5oi4sbwJqPmZ6RpBqzCheiOpMjMXOYwpbtuqeyVlENlDn4PagG1n&#10;DPODjxraDsROrqtgibiW3b9YhctJJ3OAgsg9YvdunB+XJynq/tQIa+0ktg35JLvG74zEyodiQWQp&#10;My51xukr4CKVU4e6KhUn1gtpdQLGR09Q3FgPGRK5rcJFHMnBReBMnSwlVQQWa2f8yMxCt+FNvhO0&#10;CaTI4GuUuO0gB+oAB2bUkQcqFFYtFL2gyAWbOPUDSX8ViMVzx+YGf1FjXSaJNm6S3n8yVRDrs1sc&#10;d1oVDQIVtKwKwRNrDz7tUSG9+6QnfOe0o+VCmtTaQKsd7B6eb4ElklVdr5fPvSS9TdlWXkeTXnWp&#10;cE1N4bChlB/D+SxC03vEXfny0aNyXFnDlhvhYXh82GbERo04n5vIQlGRPt8kPrtFkNh3xrKOv/On&#10;1ZroGJidvxsCide7PG6HxFaKCAhbQpN9BJxMPMpBJenPSJiegOZLW7exqC+pysq99nxPXLHb30WX&#10;9EPXy6FEKO7v03rNLSkkhmQqMEPoPgI5RO9lSqzX6n3RxG5xQx8yn6pDxGKzSZuQWeHdQdGkpvNX&#10;xXMc5Tgx+EhMnS2oUxu1kHGpWW4D94hwqTwVbEZav24ojkLMpmrmxzZyQkVJHAlOLKqO4sQdQSLt&#10;d9XL3h3YTEqHL+i99dJj5zbMcTQMerr03ycT/6yJGlTsY1/O0pJEFl5GYSW7Fzk1HrAzAAfAw6Yo&#10;FVnijLLS0rSogwkkjAgKMU6sOupOqWR2Oic5LS1d3RCJqzV/2bQttbwyUmNDUu2ohaWu1WuVBN9P&#10;vZWwG8a5vw4AzUFabCrHjcJ9cwLKhe3/VizZ6KA0M++V/XRmSW1KxMFFBkOGPeOSpK5M2n1VHp4w&#10;9ABW/fqxs/Dyvt0mnClyR1krKn2lJ6ODRXbrREpyB1H3ei9anWY4AMjSqhJ3vgsSg6XvqlVCkJ7A&#10;0saheHG1BTnsKYtpVKCn5FebOHHtABh6yO8hLfpIHAfu+SvSQ+K6QDyHcE8E3dXFsC/bpoRPHfZB&#10;xt0XtYn6VRxWu5j4iSmEzGtuN2JD2F7rKsMPN29dU9wg42UNITMbHwe9N2gK4LJol5V6tNPCD+rL&#10;j5sh8bROb2e4lD6rl3Eops6Ik37eX51DHT+5mkc/e9rZUnK1DLdaQy6KXsvj+qj58W0eHBpCrkGx&#10;BVyIZQZT4ohaepFZuaWbc277xhXFFhlIpzi1B30DUXKye/pCLcTnB0nIMZScvKQY8LqDqr2HeyWh&#10;aoJi7O0w79xJnUBLL3YLpl24TuYOEavTT49OQG5qdoWcWKXGpaGHLcwvqKnONnsWNujNom2hOgGU&#10;cq5Dgi5TLI8YMNYT2L/N53Snw/B+Jr715hcalCOxJBXlNviULpcJnOVST479Ks6JNSUAh3OIWxJJ&#10;3Vv6t77FNrmXZjd6MgU6s41V8zTY/DlOOF6Ft9mesSwTiOswufJb6zbyEKgIb5j5peabZOW9gL8O&#10;eTKlXSHx3Ra1dld0ZmhlT4LsRXGoSJATJZoXxOlrZIpX669cBtJpLI8QIR3lxDI+v4rI6Awepag5&#10;ksit6BQaSZqmore+DxIP9Tm+ft3966Rd0VMUglwLOIrC8UPm5hZQhDabdG5cOTHlTlCPba5MigJM&#10;bS1zY1tT8w7mBo0g/W/mF9ZpJLYklyVNEkyfoSUMMQqfg4iZbEE5SvzsHNOf8Z8t20lvyF5d7UDi&#10;zOcxDPMcGJrUoyO/iSMxhfiKePYjfndXnrjHPl0cic1UQO355mmzzF6oXSEiUpnawyj/iuRbiXXB&#10;BLt63vgQTA9vx9HIblkoeQoGAD92FJyGXOz5w3fr9WWXvzTjlvKcvogzZB0vEpSm+QlCBp6rxfQm&#10;gMhH4b1FpSgHHB0LAPF/EbslRmEUuwziZpFYZ5Rv5zOZmVLcb8h7IjFa/hN2i4zh3Sp5JHe7ViQ4&#10;iwJKlseyt9o8Y02tIDbPdsYKq84iMZLtDIN7Dg4FVI2B6FfB6uNqfmltVbt6o7J4Jzt/uw4y+LUx&#10;3Wk9ZUlNEGNxUySOXxjzOoAIjIpgOsNCJFYloXhZJF7uIkRn/XEe+rgZJQ6QeN52ojqp5RUxpz6Z&#10;impAewFGZv023QxLfzQq9IO3MmHC/q63sZLtRPLB+BqShTTuU7wd8WYOOjJTPWpBY4taFxNjLueV&#10;Yi+xh4JR+ApKLBMTLcLuRqjTooX8UCSu0hdCKrRDFCFxSVC0yMT95XuNo2DgTZG4swqzfPYoXYT1&#10;K/M579ka9CuIFpt+afufWGRBvVA9cm+PX5/vBdlJYhBRAraaQ4Eswus7xswSNNpdwNLeDftMXAbE&#10;GN8GgCOypzdxdmzuh8QiLqC4txDFSOyIPLTgsQOJu3C/biMSO6WAuyLxDLs4go5Rlt+ejdbtQIWh&#10;c1MD2uJGFaHEVv6ICYe1f76orK7oe1GDipS/nOGLBNA/nzgNMwlrh6PCO0Q6ihv4YFJnaJ+CwyIK&#10;oFeUAS6vw9JxE7zZI8KJdZfSYQMo1gX8uwSJZVaxKIr+uJk4kT7HDulNDR0vQGV7G09rdqpzNMvV&#10;yu4yRa9VIPi+6J0CvgJl7JLXMxSHiVufFw5YrVbtYqjEMAdB5ebLGHX2+ebsOHE6JcYEjT0aJCPc&#10;GC6uxKaQE+d0iyibhBRsRlJXRJ6kvTkAcsqGfcN2Eye+PxJDdJWfKMCSGWJpeUW1rO5sUVRNdW+H&#10;8cgD+l53BBJ7e2dWxiGMS81e54FQdqyIws69FSqG4qVfnGMi1ePPKAuZo/OKlY8odpuN102EE0cR&#10;4xGZTrEYiSHB05NIrJOk/VCUuAiJrbOYnSRqM+mMamxzcMiSwgOIey+obS1gRN9pFvKJB4zg3Tew&#10;Tu1o/fY0KY1fTUw4ZAztuN2pzKT+/K1bkX/+DMdIPK2mLtyns46WOAsfBUGNL4ivLRXrijlx9EQR&#10;yDi3WSOnEIlFEokfkS8WScDiDrkmSpCYdrfEGTzn2I7s/dsq1UWamS/irGkcKU/sB+LKRvWx+RfP&#10;CZ0Yq800lcTyW44HQyM00RkEppphofg0bSIcn06qlFP30qF41/Aww1I5JHpZE0FiYtyQv8BEmrZw&#10;SU1y4iybdb5YUrnmMzixpHX21qUMmnC8mC5fXAAgicTDf3G5TnpZRvYeXf9SJ4d+XkCvRHZdpFpv&#10;5LSNf5qdOxuPgEzgsVr8TRiIz9quU9EhedHINAWBJYfqIqVFi76QcvERcjkjqoTMlE4U78eGkEHR&#10;UIzEVUn3ujUSy9gGs717BfTaQs41OoJJPHBYDG1eT5tUUNk66/MNcJqK90SI7t8REQObtWB8fKPW&#10;npZU4jwwNYZZT+dGlE8kvXMgn5t0ASUWaVi8JgkBXOrSVkrAqyzCChdXi2/QBVJn5NKgSkoDOx50&#10;+Fz76TpxtOXWN28oRc2ZlFROZRivXSqvs8LcZGXWdGrbxbTdVTw8UItqZuo9BC+v1+DyA8QJyKry&#10;Uu9AHyGKNwu8vIPh+cIEuYt2UfH0dRIFFD5IRXqhKQzs6ArSTKTvofyPDTWBJn2MhdN31Idz4nHt&#10;bKj9ZQDLb7iKAvXa6+MFFTMSywWJ18xkprNTb2508Hw4SdY2r+OejVQvp+MtLi/jD8364pH6NDMS&#10;0ydEof1lHaSt4gRsgTZ5kudao96dMA2vemwh5sscUdX7kVi6vPpBLkFksHSBUk4s6KSYCVL8GepE&#10;IWRJ4nN0lQuR5MR6VV37JpnT/dRjVjK51pdOrevH4zHCE3j1EHHyt7XHDkqJnFPwjJ3CzEhsskIx&#10;LKmE4uzAWNXoDUuG4tO0CYhR0jdQ4kAbwasq0xRchvSEUapi6NS9wXsjSWo2JZIwRjlxib9I9Q1I&#10;rAs6j1jvj7T7plij8VDKSkm0GPWEzcsSsiF01Q3rVw0FiRzWnlGtvr1j14WqcghyghOrZb+NbmZY&#10;mQDYTjSaobgEKY8gxPIeGSG8BTlcVZseFksVMFC7sjCgr1kkHktiUroDIcwjJednN+f8Oc1/nM+K&#10;/+vq+F0+DYm3OIkJGC+PIF/QS+ZqHFqGBHh4wd9fQVdnliv9UOz9nXH6YabsYIkJSSS23presVu7&#10;ulcz81vWDMTHU2JNgMK7KbEHIngVFE85FcVCZgi9BKI8NYrErhuvsDfbwUfGonhk+hCkomgPcin0&#10;GHI3dN+DxJv6DcTPcR6rYXAas+fHZtn28+bumFsTjokvOuH9gQ40jcciWqz5pRdSPH7Yp4SZI1HS&#10;scj5wdysHcDLXSEvTw9zVzt8u25eU0msbgbEdnGby6A4UuzURW12XU8JEOo5OInzjnIHAPjObo+N&#10;SNz4OiWAorH6g5F4k7OP6JKceFAhcBIzzCQNBJfXUtN6Q6EG3D5RPGBCECZNdhzmpglkDMXoHX3n&#10;0zjMi0g8kbLkPsKPA7E8SZmAcgXjWqv1rq3pDQZFSFyi25SmYkvfJpKirkCS/qMeH8bd5dr4bjLx&#10;diRWhV1WLPRSBZE0avHywsVPbL6ucavHPzVdwf7UvSLoj8qI5IzTeN9oo/Lv8q2CqmE9+FptQhfI&#10;Em/XheTZvaJEuYlDMXWjGBJD/Hk6OTPEDxTNqRPlkwrkmP2nILEo4cNSzV1KzNf+OQNBLo2BnV3t&#10;03hppq84m3KpgLshQacaqtn6goxc6zHsyHWymu7n7h5nqMva0m1Gn2Df4X1L6X1ZJhosRux3WYPn&#10;AkMUZU1WGFJB701ltDRRJNbJRq6D3BdJhzXIzA6YnFI+HokxO22PaSC9+yuiQZqg2ievNtXv9KHT&#10;EWhYC9MNTlFy1aRGJNDOc72g9vKq8WDSkU2L4f0gp+fN/eORamLNEsR1lLhc7riHPn5iqKXEgnKH&#10;c5YbaAsxhbXKqhMEH/HQ/jhOHGv11tM4PhaJc9tJ4Ke/I/R5Kw3IAJimnerNELWnA4iUMOwCwPgw&#10;GI+nsnwbLPLqZ3wP6LFKwrGubOH3Wax849lCWJ2GYt6Yi8PRoUBcmMHiFns36uTFklShG0VaVA66&#10;KYyHQwD5ef/feXQBplccdnDN+NsaJnMeBc4Ras30mM6esqALLxyQxzvmwXilAPjUHbvMezcBVA3z&#10;aavIGba/0CRXiyL6hHEOXdPzTDecVy8E2okYR/bYsXbxeN4EmMqgdBKJhb36wQwrZtClzBxLiWvY&#10;Qp7vgMUXiCSze1Hc6uwVBz2q/1377tJ+IifOTeh+n5bLBOlPSjNJlYWBGGI6qBPmR81pg8RCaJyI&#10;Ck1sNKzY6G3VCQh93aDphOjTw5nV80L0L21K6hMyLOuiZDO/rk1sd3RjY/t0JEZqPVMl2U8zTVow&#10;H4dXp5fzdqTPQtHdtY+w1An0ZwlnvHueE3VuGYtNlzvZCNwnZKYt1ifis/nVxr4sbN+CxEgmQFIy&#10;RX+yKk07ykFaz44VGGFR7o8jiwVb1UD3Ex1xixYRPJ7ZfBpf+8DAelxt5b2ugfUJQt55k3HVs30J&#10;EscSJyTDIJKPHwM6lMWBJydgjzm7I0mQmw3PC5RzmePhEYohPU0fi6TA1kpU2tlp8qPTXfK0v8Ue&#10;3AEj0/nVxkoR25cgsYit8ozeh8SVHxPfOZu6JsmJfc2i/3bjpKl07gFD0HRRfbmvPO/NwhTvV4kl&#10;P7Fh/4jtZpgSszESH0FmYPrBgjWdotHBtilMgRb/JmxfwVJ07naOTHBi71OzsFTl4bWL+9nw6cb5&#10;lhf+1zx/3bmZ4nmEb+yObzLgqmf7EiSuHCVhxEkBaU4oE8nmZ3Bv7YW/C355Trx6iPdR0nYMU00g&#10;cWMTeYjNHcvEIiDII6fHRJpjPSgyVTxbwhRTYjZG4lcp8bI395hZhqe/ja5i6OgKVKCOtjQDyxdh&#10;ulW7OADLJCe2cBcrjVQKkkfwJes1MDLfiACbxxTLw6/HMO51c4/1x4+gxBx5zvYtSNwQxNZFUu25&#10;g5FIrAO0hPWmPnsCmzvX9NPr4W+wXoizXuFAr/cjpnMqe1YvO4jEsVzcxe4PxOzBxvY96oSnOqAP&#10;b/6mOAAFbM5isfY0iB5UgcDE6RzQiUjjHMM5/L+yNRDruCJw+apytEKIESWZHrW9OGFn22RSvMmA&#10;tQk2RuKTOI6mOPEMUA9/FMhK2yTFGSaql4yXH9vwwO7xDLw5+n0mxWKhxg7J9rZpqAysSGowyQC7&#10;ZhZk1JL0nof57SkxT5ZsX4zEgwYraM6jm8hif0lRCiES62kbTnrk1MQD14fHy+XUI4DKSlERbNjZ&#10;bxERFjLAWs2CjJ7Gt+Slb7khU2I2RuKjzc4pJWxsFClk6ym0lTJS294HblqtPfgGliey5Zbhp3/H&#10;MayaCuHIBNjJGYkdxNfcy0qsYQ82Nkbio805QD55LobLitZF6nIXNVNiGMA0lrzpsQC9daRdGMTW&#10;R15MAvSSOtmVEcyY5Y0iSyY9A1QL8qp1rlA81O+tTTAlZvtiJLbcJvR8iGAeiZ88GjBIHA398R0Y&#10;oZb9GXWQWdcCSC8+eoyj7qPqWl1VrpdHT5qnSDkZrp9NoH6sy4Bm/Qx5gO9bsLAHGxsj8dEMZ+aE&#10;81ALsVg7gKWnjJhmERFkNGnhXydhq7Do5jtu5z1EGCVKCKkZJicOmH+c7sobP59IiX9Rxp/TvPYp&#10;VdoPeN8pAz00L97kXqnhL0JiM3Zx4fiNaYIICXswdsuKfv7akNhBuUzUxA4660/THkD1Wd1RmHaO&#10;retP7RgSvc3cSI2I/Eft2bXhLh+Ms4XoTvZC+Xrj7bprrNGRbK93njgOaau7t/i572WfmwHEStAJ&#10;d5ZeJokwJ89fuIYdksobq4pxYrcLbIJ1rp1Fj1v/NYcoObNwpIbYs3MdnqpqOcK0/1Ldse0HCKbE&#10;V5j+yOkIDtlb/WUkrsP0EGH1QEiJ5/OtHBwULm1SdqrKQbzAJcLa+tDJQ9x2LiA7DSufVYFoPTRs&#10;NW8qwSC/hWA3iQ/TJn6KEqtPrQVG4kMqcDlgMK28QrW4rBn/bCOHCis/mfDkW6wG7JZWsokeVTE8&#10;Pq+xBWawbzb+Qlr91ngTi9ez5XSdnIvImHooVzvdfmjqNB87HzEnPmYmc3+WESQWgxoBaWFLk/sL&#10;w3iC8eTlPtOPWnteFw2lsg+um5MLj9Y6ra8dSkFuyhkMaT0bU+J7GVafj8TH9LGfQ2KsiGyVfj2Y&#10;JC2xjgRHI6I1LOeEyESyzJGIgyYdlqz7a+93YjxcDytB8PdEa3NE3dEocaYZruJPmJCgmzMYvHKT&#10;8RY/5zsxT2QyjcRdxKHT8Y9Ak+xiz+/PAIgUEjfT+9A+vhYaP9G8TpZHF/R3huLNJpkSX7zoWBLY&#10;iuAIdLZvQ+Kwq2tK65GBbOD6RyiTU7/0GCS9PtV9A+uQjtgRnrWjUyrKx1JmRcXhOw3nmfgkbaL5&#10;lRrGpNNaw57wX4zEkkBdkoeYOQ4OPM+GsoPlhiwPmgJM7a0/exhOLEeFHyjyfCHZTwyzG3x6vwBH&#10;bo8MxZvtbdt1P9NQ6ienH0biCfiaSIdI95MZ9ApPHTJP/AP05n6wxrddVPm8PH07EYeFBG9o1lTM&#10;LSce/xxK/CsV3HAG0F9G4uiYI6TYxa9MgdkWfjlQYmk/QOG0hReMNqUKiyt8dr7qasSMM+R0Ayfd&#10;Jqf82bty5rTE5051hV57YlwI6pJgaAPD8tUZ1kMmApUZBhLCrZmmf65ynZli8wvA5G8VsLYpcEBD&#10;IaNbb5W35d4l73hbJD4+c3rlSA5q8Eju23dcfbpPk/21m074rP0snmGXtQ9yXtUWxtdiM0yJTza5&#10;EYilOzeqmG+/d+/FYd/+vvLHyvJFDHVrgbRytHwoqDL5vwrX2O7Tq7Q4JmPTmFv49ezKj0RiMuL5&#10;FRNjMmC71rp1q054qthmJC7r5GosmR0mzWvA+2sT8Hs1XCKbmZyebiFxjUSYDEaRbf7o4V+kKASF&#10;OBI3iWlVxX5HIrHAXMeorLeGM3caLmYGR2frnVJaiqUTwTz7Tefda3sZ3B5d3KjwzQhb3iGYEl+F&#10;xLu1Ik0jMXVZPOuoiH9RUU8GmpbSW7yQmNjdp+s4H6bw1boLntqLqsu7xcFILIYaUislVqvbvl1V&#10;Yxh01R7fxxe9zMKXljG2dFHDaYmvmuvyKzVZ4GayIPEfhUsJsFohnGoNjH/R/yCxwsE8EkNu2nFX&#10;0utd8Fz/m+ryoXf0fN+l/aAs6UouWeuP7OPN2qqMrFvtbdt1v+PfsoW/ldTXeoAZcZVKEOrli9RF&#10;kHimVwCMI3FLvvvDuQuUdD6iSiIgIz4ViTt1KCdupoYmKlWFPUJXx/dxZf3APhMb7W0HdfzQpFk+&#10;+bTuaAHHg0jvb7NXvxiB1HnAiVXzBG87rbaOcwiQGJ3YBXD5XMHkdLAHzvVd8li40lMPE0uv6d3Y&#10;cHBl85oeD84zoJzuzUj8El9jD7aTrCnXYwgGbELyB15+cAgozxPWIIvE1BefA8iJr2opTizI6VR7&#10;JbDU4DHdoomKJRYsYPD9B1E2fcqcfj0SH5x1RY/z34LETTfpEFUw0tXxMIIOLjO07pUwmRKfv+wo&#10;v1InKXUotiOhKcgAULsw9RImxYiKVicSU0uigcGfUci1goqL1M4TvwKJTyVWuEDiAMXNiVGexsvl&#10;1RiG1k+hxD+0eNHFkEF7HYvEfhnVkBidAiCNaBiyeOHRUvqFNiJxFHPpSqgyPs6H+QB8PhILJ5na&#10;0FBzF6y7UZTAoT8eDiMc1fyhQFz9ZCVnLpQRPVl52ETlFFXJvS7hIzEQ8wT1xQwnxkRhRfR3gn67&#10;LROPQ/mZEy81ohcVaCjQkvyyZ8V63JWV48kex7qw8VFJR62b2YPtBkgcvS4GhJW7PgxWG3E3YOrm&#10;isB+Qd2oToQMQry0Hic2MckySsg9yD7ceaL69ME84nG/G4f936XlsawHBwo5jz04dFUqGYg/lRLj&#10;b9by0UhsMl+OskuVoKCUkOB9DxNQHF/3rG7Q6dIab06J9RpkTmxXbh/r/t90NPOYCQiFVTd6bL9q&#10;9nJRBw5C9pN40ZC1iTshcRNFN+2yP+p+YhMSNxkI95D4kYij07F3DTaGoCD22fkNxktGTRc/jMQw&#10;ig5qcigf08D3ThPojfZu8KdQUzVLxsBbWMMebLdC4jiyeCyRvB+1FZqRe12gUwWcGAjmiwkoNvHy&#10;tfHOUJVBNiNxMAvrpie70I0n2XXhlNtJHFNQiO7RVSzv/rg2UdU/Vc+qEInRXb3HYTYJqM1GJCYh&#10;vHMjObpETqDQdwEijFnRAAsZJBYxyP9pJBb+Jo/uFk1/pMRNr+f7zEt3047dT3Ki+65o3mT6Vyu6&#10;LpsZ46SnAFC7vZw4AXK5jBGJOR5jbyOjpX1UhZDtTRc/hMSqzyD9RN4Gh8zUwpnPxUiJVe27NAzu&#10;a7Jyli7IB8j8MCX+2ZrefZkDRg+K0Mi9SNxRHgixL8ZUCA8k23TU8sMBe5GpCBkLR/hNTiyk0o21&#10;yjC+kKWeH4+lQeLw6MZKJt+OVYgsF7/V3rdd92vxN3XhHFQQEwFRkghbkBhznLjKc2J3UWUSveuP&#10;vCkURIekL/w5JO7dgGFNcYr0OqEbKXFL1MzQ9JJoaQbj91nDlPgNqw+xD4mVC3hJJH7EqHSXkYT/&#10;CiAcfGSIxs+qbEK3aJ2IQiT+wcgOnKe8VtP4qZ4X4HKInCZq7HkTTTUUgzFrE19vusyPWkXl5MgW&#10;lqGu6eJI/KAA1aS+qBK82etF8ULPd4mUIqB1XsgHxOTgn4yxG9B18FYjl5Z9DxtrFILpsZ27YOXX&#10;Y38rgwzG7wUHDuq4ctpLKTMmGoAYYZPZpXoJJy75oony14RnYhBGHfkRo/eUrtDBnLgHU53a8+79&#10;WHBdSjiL4DVBG6Iv80yN90RjDtL4GUr8i2epYNmKIIZNKhLqIKhrEoAq9kI45L06iN9pD6UL3YT3&#10;XvcDSDzIQRD3doAnRMtpAuvbTAGQi1Ji83Oe/RsYTs1mux4aOKjjfBNlGTdi0OJ/t2Rzrre/WH5J&#10;sZdMC2LwF2fI9F5RR5wa0ZuQskh82Crr9jt2XZPjV6M+MTYM9t5tf2GNqdHf2F+QLVisOK/atXMr&#10;q8TvEYMgfxVGpk0P/EQOxb0LSU6sCpyTU14KiXLpJBJHINbE5p0oEh/G4D69c+KT664gSyQhrsYc&#10;QJrOnab6sz8lx3r8hjYBXOMUe/RBB0k8gwIWmwzaKIVwX//AhO9Homnd4MIgfwRSipWsygCbkZig&#10;tf1unFpmT/t3j+c/DU4HeDz/G/HiUboDZsTvYWhMid8x+ell1ViPpxW1HnShIISkEj1BJTjxbgh3&#10;rmmdZ7iEXdtbkhaoPqgnCWIjk0iqGes7gpE41CbWYA7ZA25f78ZzKOxHv1LRsj4v57C776fEkis9&#10;OUO5ywfRb2aH0FSk7FIXArVrWiJruP7QA+DL1pe52vkJMEwzte/iFuZU017aBKmpkPgsJ+4Yicdp&#10;HLrGQlGMuS3BL6YcuKmcxB5s11tdgsRtySxWbUbirZxYJgWCRBFk4tVN+CQs6Cr5pJjMiXtrhu06&#10;FapDCtzEFHO9M/N9v5zE2sTdZkAkVvTR5US1lxOrUiSGLCeOtW2idNTBqljgYpNFYslIvFTTFoGS&#10;ofBntYlf35aVJRuZ+UmsIoLOWgqucEsCoJL0xAlOLONvj4nH62x9NDHqW7E6EbT1lnOkWobCd8tJ&#10;TIlvtx4huV4sj2gxJ96Uig3iOnHtcmKdKEBi/qVL2+RELMgi8VHH2H00EjcAih3QPskEe7DdcCZs&#10;uxQWQ54Mik1I3Ga+mCbTTUI50fF1UGxGlphcOQFzYrbvtQdXwftsclwb6R8AuUxc3Ai0fL0JH5t/&#10;+aA/eKwrW1DRFzSwFK4pfJG5QlQn3tiJ/xdgAPqtJEnjPDa3AAAAAElFTkSuQmCCUEsBAi0AFAAG&#10;AAgAAAAhALGCZ7YKAQAAEwIAABMAAAAAAAAAAAAAAAAAAAAAAFtDb250ZW50X1R5cGVzXS54bWxQ&#10;SwECLQAUAAYACAAAACEAOP0h/9YAAACUAQAACwAAAAAAAAAAAAAAAAA7AQAAX3JlbHMvLnJlbHNQ&#10;SwECLQAUAAYACAAAACEA2wJ3uzACAAB9BAAADgAAAAAAAAAAAAAAAAA6AgAAZHJzL2Uyb0RvYy54&#10;bWxQSwECLQAUAAYACAAAACEAqiYOvrwAAAAhAQAAGQAAAAAAAAAAAAAAAACWBAAAZHJzL19yZWxz&#10;L2Uyb0RvYy54bWwucmVsc1BLAQItABQABgAIAAAAIQB6qA5a2QAAAAQBAAAPAAAAAAAAAAAAAAAA&#10;AIkFAABkcnMvZG93bnJldi54bWxQSwECLQAKAAAAAAAAACEAEq95qWZZAABmWQAAFAAAAAAAAAAA&#10;AAAAAACPBgAAZHJzL21lZGlhL2ltYWdlMS5wbmdQSwUGAAAAAAYABgB8AQAAJ2AAAAAA&#10;">
            <v:imagedata r:id="rId10" o:title=""/>
          </v:shape>
        </w:pict>
      </w:r>
    </w:p>
    <w:p w:rsidR="00935D49" w:rsidRPr="005E6C0E" w:rsidRDefault="00935D49" w:rsidP="00935D49"/>
    <w:tbl>
      <w:tblPr>
        <w:tblW w:w="0" w:type="auto"/>
        <w:tblLook w:val="0400" w:firstRow="0" w:lastRow="0" w:firstColumn="0" w:lastColumn="0" w:noHBand="0" w:noVBand="1"/>
      </w:tblPr>
      <w:tblGrid>
        <w:gridCol w:w="9242"/>
      </w:tblGrid>
      <w:tr w:rsidR="00935D49" w:rsidRPr="00DD7648" w:rsidTr="00DD7648">
        <w:trPr>
          <w:trHeight w:val="3135"/>
        </w:trPr>
        <w:tc>
          <w:tcPr>
            <w:tcW w:w="9242" w:type="dxa"/>
            <w:shd w:val="clear" w:color="auto" w:fill="auto"/>
          </w:tcPr>
          <w:p w:rsidR="00935D49" w:rsidRPr="00DD7648" w:rsidRDefault="00935D49" w:rsidP="00506A72">
            <w:pPr>
              <w:spacing w:before="720" w:after="60"/>
              <w:ind w:left="426"/>
              <w:contextualSpacing/>
              <w:outlineLvl w:val="0"/>
              <w:rPr>
                <w:rFonts w:ascii="Lucida Fax" w:eastAsia="Times New Roman" w:hAnsi="Lucida Fax"/>
                <w:color w:val="4F2D7D"/>
                <w:spacing w:val="5"/>
                <w:kern w:val="28"/>
                <w:sz w:val="72"/>
                <w:szCs w:val="52"/>
              </w:rPr>
            </w:pPr>
          </w:p>
        </w:tc>
      </w:tr>
      <w:tr w:rsidR="00935D49" w:rsidRPr="00DD7648" w:rsidTr="00DD7648">
        <w:tc>
          <w:tcPr>
            <w:tcW w:w="9242" w:type="dxa"/>
            <w:shd w:val="clear" w:color="auto" w:fill="auto"/>
          </w:tcPr>
          <w:p w:rsidR="00935D49" w:rsidRPr="00DD7648" w:rsidRDefault="00935D49" w:rsidP="00506A72">
            <w:pPr>
              <w:pStyle w:val="NoSpacing"/>
              <w:spacing w:before="60" w:after="60"/>
              <w:ind w:left="567"/>
              <w:rPr>
                <w:rFonts w:ascii="Lucida Fax" w:hAnsi="Lucida Fax"/>
                <w:color w:val="4F2D7D"/>
                <w:sz w:val="72"/>
                <w:szCs w:val="72"/>
              </w:rPr>
            </w:pPr>
            <w:r w:rsidRPr="00DD7648">
              <w:rPr>
                <w:rFonts w:ascii="Lucida Fax" w:hAnsi="Lucida Fax"/>
                <w:color w:val="4F2D7D"/>
                <w:sz w:val="72"/>
                <w:szCs w:val="72"/>
              </w:rPr>
              <w:t xml:space="preserve">Review of </w:t>
            </w:r>
            <w:r w:rsidR="00242590" w:rsidRPr="00DD5C69">
              <w:rPr>
                <w:rFonts w:ascii="Lucida Fax" w:hAnsi="Lucida Fax"/>
                <w:color w:val="4F2D7D"/>
                <w:sz w:val="72"/>
                <w:szCs w:val="72"/>
              </w:rPr>
              <w:t xml:space="preserve">mandatory </w:t>
            </w:r>
            <w:r w:rsidR="003A4CB3" w:rsidRPr="00DD5C69">
              <w:rPr>
                <w:rFonts w:ascii="Lucida Fax" w:hAnsi="Lucida Fax"/>
                <w:color w:val="4F2D7D"/>
                <w:sz w:val="72"/>
                <w:szCs w:val="72"/>
              </w:rPr>
              <w:t xml:space="preserve">safety </w:t>
            </w:r>
            <w:r w:rsidR="00242590" w:rsidRPr="00DD5C69">
              <w:rPr>
                <w:rFonts w:ascii="Lucida Fax" w:hAnsi="Lucida Fax"/>
                <w:color w:val="4F2D7D"/>
                <w:sz w:val="72"/>
                <w:szCs w:val="72"/>
              </w:rPr>
              <w:t>standard</w:t>
            </w:r>
            <w:r w:rsidR="003A4CB3">
              <w:rPr>
                <w:rFonts w:ascii="Lucida Fax" w:hAnsi="Lucida Fax"/>
                <w:color w:val="4F2D7D"/>
                <w:sz w:val="72"/>
                <w:szCs w:val="72"/>
              </w:rPr>
              <w:t xml:space="preserve"> for </w:t>
            </w:r>
            <w:r w:rsidR="00DD5C69">
              <w:rPr>
                <w:rFonts w:ascii="Lucida Fax" w:hAnsi="Lucida Fax"/>
                <w:color w:val="4F2D7D"/>
                <w:sz w:val="72"/>
                <w:szCs w:val="72"/>
              </w:rPr>
              <w:t>sunglasses</w:t>
            </w:r>
          </w:p>
          <w:p w:rsidR="00935D49" w:rsidRPr="00DD7648" w:rsidRDefault="00935D49" w:rsidP="00506A72">
            <w:pPr>
              <w:pStyle w:val="NoSpacing"/>
              <w:spacing w:before="60" w:after="60"/>
              <w:ind w:left="567"/>
              <w:rPr>
                <w:rFonts w:ascii="Lucida Fax" w:hAnsi="Lucida Fax"/>
                <w:color w:val="4F2D7D"/>
                <w:sz w:val="52"/>
                <w:szCs w:val="52"/>
              </w:rPr>
            </w:pPr>
          </w:p>
          <w:p w:rsidR="00935D49" w:rsidRPr="00DD7648" w:rsidRDefault="00935D49" w:rsidP="00506A72">
            <w:pPr>
              <w:pStyle w:val="NoSpacing"/>
              <w:spacing w:before="60" w:after="60"/>
              <w:ind w:left="567"/>
              <w:rPr>
                <w:rFonts w:ascii="Lucida Fax" w:hAnsi="Lucida Fax"/>
                <w:color w:val="4F2D7D"/>
                <w:sz w:val="52"/>
                <w:szCs w:val="52"/>
              </w:rPr>
            </w:pPr>
            <w:r w:rsidRPr="00DD7648">
              <w:rPr>
                <w:rFonts w:ascii="Lucida Fax" w:hAnsi="Lucida Fax"/>
                <w:color w:val="4F2D7D"/>
                <w:sz w:val="52"/>
                <w:szCs w:val="52"/>
              </w:rPr>
              <w:t xml:space="preserve">Consultation </w:t>
            </w:r>
            <w:r w:rsidR="00063F9F">
              <w:rPr>
                <w:rFonts w:ascii="Lucida Fax" w:hAnsi="Lucida Fax"/>
                <w:color w:val="4F2D7D"/>
                <w:sz w:val="52"/>
                <w:szCs w:val="52"/>
              </w:rPr>
              <w:t>paper</w:t>
            </w:r>
          </w:p>
          <w:p w:rsidR="00D44E1E" w:rsidRDefault="00D44E1E" w:rsidP="00506A72">
            <w:pPr>
              <w:pStyle w:val="NoSpacing"/>
              <w:spacing w:before="60" w:after="60"/>
              <w:ind w:left="567"/>
            </w:pPr>
          </w:p>
          <w:p w:rsidR="00935D49" w:rsidRPr="00DD5C69" w:rsidRDefault="00E8751F" w:rsidP="00506A72">
            <w:pPr>
              <w:pStyle w:val="NoSpacing"/>
              <w:spacing w:before="60" w:after="60"/>
              <w:ind w:left="567"/>
              <w:rPr>
                <w:rFonts w:ascii="Lucida Fax" w:hAnsi="Lucida Fax"/>
                <w:sz w:val="24"/>
                <w:szCs w:val="24"/>
              </w:rPr>
            </w:pPr>
            <w:r>
              <w:rPr>
                <w:rFonts w:ascii="Lucida Fax" w:hAnsi="Lucida Fax"/>
                <w:sz w:val="24"/>
                <w:szCs w:val="24"/>
              </w:rPr>
              <w:t>September</w:t>
            </w:r>
            <w:r w:rsidRPr="00DD5C69">
              <w:rPr>
                <w:rFonts w:ascii="Lucida Fax" w:hAnsi="Lucida Fax"/>
                <w:sz w:val="24"/>
                <w:szCs w:val="24"/>
              </w:rPr>
              <w:t xml:space="preserve"> </w:t>
            </w:r>
            <w:r w:rsidR="00D44E1E" w:rsidRPr="00DD5C69">
              <w:rPr>
                <w:rFonts w:ascii="Lucida Fax" w:hAnsi="Lucida Fax"/>
                <w:sz w:val="24"/>
                <w:szCs w:val="24"/>
              </w:rPr>
              <w:t>2016</w:t>
            </w:r>
          </w:p>
          <w:p w:rsidR="00D44E1E" w:rsidRPr="00DD7648" w:rsidRDefault="00D44E1E" w:rsidP="00D44E1E">
            <w:pPr>
              <w:pStyle w:val="NoSpacing"/>
              <w:spacing w:before="60" w:after="60"/>
              <w:jc w:val="center"/>
              <w:rPr>
                <w:rFonts w:ascii="Lucida Fax" w:hAnsi="Lucida Fax"/>
                <w:sz w:val="52"/>
                <w:szCs w:val="52"/>
              </w:rPr>
            </w:pPr>
          </w:p>
        </w:tc>
      </w:tr>
      <w:tr w:rsidR="00935D49" w:rsidRPr="00DD7648" w:rsidTr="00DD7648">
        <w:tc>
          <w:tcPr>
            <w:tcW w:w="9242" w:type="dxa"/>
            <w:shd w:val="clear" w:color="auto" w:fill="auto"/>
          </w:tcPr>
          <w:p w:rsidR="00935D49" w:rsidRPr="00DD5C69" w:rsidRDefault="00672240" w:rsidP="00506A72">
            <w:pPr>
              <w:pStyle w:val="CoverDate"/>
              <w:spacing w:before="60" w:after="60"/>
              <w:jc w:val="center"/>
              <w:rPr>
                <w:color w:val="auto"/>
              </w:rPr>
            </w:pPr>
            <w:r>
              <w:rPr>
                <w:rFonts w:cs="Arial"/>
                <w:noProof/>
                <w:color w:val="333333"/>
                <w:sz w:val="18"/>
                <w:szCs w:val="18"/>
                <w:lang w:eastAsia="en-AU"/>
              </w:rPr>
              <w:pict>
                <v:shape id="_x0000_i1026" type="#_x0000_t75" alt="Sunglasses" style="width:149pt;height:122pt;visibility:visible;mso-wrap-style:square">
                  <v:imagedata r:id="rId11" o:title="Sunglasses"/>
                </v:shape>
              </w:pict>
            </w:r>
            <w:r>
              <w:rPr>
                <w:rFonts w:cs="Arial"/>
                <w:noProof/>
                <w:color w:val="333333"/>
                <w:sz w:val="18"/>
                <w:szCs w:val="18"/>
                <w:lang w:eastAsia="en-AU"/>
              </w:rPr>
              <w:pict>
                <v:shape id="_x0000_i1027" type="#_x0000_t75" style="width:209pt;height:122pt">
                  <v:imagedata r:id="rId12" o:title="Sunglass swing tag 1 - taken by Ian Scott 19 Aug 16"/>
                </v:shape>
              </w:pict>
            </w:r>
          </w:p>
        </w:tc>
      </w:tr>
    </w:tbl>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242590" w:rsidRDefault="00242590" w:rsidP="0022438B">
      <w:pPr>
        <w:jc w:val="center"/>
        <w:rPr>
          <w:rFonts w:eastAsia="Calibri" w:cs="Arial"/>
          <w:u w:val="single"/>
          <w:lang w:val="en-GB"/>
        </w:rPr>
      </w:pPr>
    </w:p>
    <w:p w:rsidR="00242590" w:rsidRDefault="00242590" w:rsidP="0022438B">
      <w:pPr>
        <w:jc w:val="center"/>
        <w:rPr>
          <w:rFonts w:eastAsia="Calibri" w:cs="Arial"/>
          <w:u w:val="single"/>
          <w:lang w:val="en-GB"/>
        </w:rPr>
      </w:pPr>
    </w:p>
    <w:p w:rsidR="00242590" w:rsidRDefault="00242590" w:rsidP="0022438B">
      <w:pPr>
        <w:jc w:val="center"/>
        <w:rPr>
          <w:rFonts w:eastAsia="Calibri" w:cs="Arial"/>
          <w:u w:val="single"/>
          <w:lang w:val="en-GB"/>
        </w:rPr>
      </w:pPr>
    </w:p>
    <w:p w:rsidR="00242590" w:rsidRDefault="00242590" w:rsidP="0022438B">
      <w:pPr>
        <w:jc w:val="center"/>
        <w:rPr>
          <w:rFonts w:eastAsia="Calibri" w:cs="Arial"/>
          <w:u w:val="single"/>
          <w:lang w:val="en-GB"/>
        </w:rPr>
      </w:pPr>
    </w:p>
    <w:p w:rsidR="00242590" w:rsidRDefault="00242590" w:rsidP="0022438B">
      <w:pPr>
        <w:jc w:val="center"/>
        <w:rPr>
          <w:rFonts w:eastAsia="Calibri" w:cs="Arial"/>
          <w:u w:val="single"/>
          <w:lang w:val="en-GB"/>
        </w:rPr>
      </w:pPr>
    </w:p>
    <w:p w:rsidR="00242590" w:rsidRDefault="00242590" w:rsidP="0022438B">
      <w:pPr>
        <w:jc w:val="center"/>
        <w:rPr>
          <w:rFonts w:eastAsia="Calibri" w:cs="Arial"/>
          <w:u w:val="single"/>
          <w:lang w:val="en-GB"/>
        </w:rPr>
      </w:pPr>
    </w:p>
    <w:p w:rsidR="006B6636" w:rsidRDefault="006B6636" w:rsidP="0022438B">
      <w:pPr>
        <w:jc w:val="center"/>
        <w:rPr>
          <w:rFonts w:eastAsia="Calibri" w:cs="Arial"/>
          <w:u w:val="single"/>
          <w:lang w:val="en-GB"/>
        </w:rPr>
      </w:pPr>
    </w:p>
    <w:p w:rsidR="00242590" w:rsidRDefault="00242590" w:rsidP="0022438B">
      <w:pPr>
        <w:jc w:val="center"/>
        <w:rPr>
          <w:rFonts w:eastAsia="Calibri" w:cs="Arial"/>
          <w:u w:val="single"/>
          <w:lang w:val="en-GB"/>
        </w:rPr>
      </w:pPr>
    </w:p>
    <w:p w:rsidR="0022438B" w:rsidRPr="0022438B" w:rsidRDefault="0022438B" w:rsidP="0022438B">
      <w:pPr>
        <w:jc w:val="center"/>
        <w:rPr>
          <w:rFonts w:eastAsia="Calibri" w:cs="Arial"/>
          <w:u w:val="single"/>
          <w:lang w:val="en-GB"/>
        </w:rPr>
      </w:pPr>
      <w:r w:rsidRPr="0022438B">
        <w:rPr>
          <w:rFonts w:eastAsia="Calibri" w:cs="Arial"/>
          <w:u w:val="single"/>
          <w:lang w:val="en-GB"/>
        </w:rPr>
        <w:t>Disclaimer</w:t>
      </w:r>
    </w:p>
    <w:p w:rsidR="0022438B" w:rsidRDefault="0022438B">
      <w:pPr>
        <w:pStyle w:val="TOC1"/>
        <w:rPr>
          <w:b/>
        </w:rPr>
      </w:pPr>
    </w:p>
    <w:p w:rsidR="0022438B" w:rsidRDefault="00A62CC1">
      <w:pPr>
        <w:pStyle w:val="TOC1"/>
        <w:rPr>
          <w:b/>
        </w:rPr>
      </w:pPr>
      <w:r>
        <w:pict>
          <v:shapetype id="_x0000_t202" coordsize="21600,21600" o:spt="202" path="m,l,21600r21600,l21600,xe">
            <v:stroke joinstyle="miter"/>
            <v:path gradientshapeok="t" o:connecttype="rect"/>
          </v:shapetype>
          <v:shape id="_x0000_s1034" type="#_x0000_t202" style="position:absolute;margin-left:0;margin-top:0;width:2in;height:2in;z-index:251661824;mso-wrap-style:none;mso-position-horizontal-relative:text;mso-position-vertical-relative:text">
            <v:textbox style="mso-next-textbox:#_x0000_s1034;mso-fit-shape-to-text:t">
              <w:txbxContent>
                <w:p w:rsidR="008C38BE" w:rsidRPr="004F2078" w:rsidRDefault="008C38BE" w:rsidP="0022438B">
                  <w:pPr>
                    <w:spacing w:before="120" w:after="120"/>
                    <w:rPr>
                      <w:rFonts w:eastAsia="Calibri" w:cs="Arial"/>
                      <w:sz w:val="20"/>
                      <w:szCs w:val="20"/>
                      <w:lang w:val="en-GB"/>
                    </w:rPr>
                  </w:pPr>
                  <w:r w:rsidRPr="004F2078">
                    <w:rPr>
                      <w:rFonts w:eastAsia="Calibri" w:cs="Arial"/>
                      <w:sz w:val="20"/>
                      <w:szCs w:val="20"/>
                      <w:lang w:val="en-GB"/>
                    </w:rPr>
                    <w:t xml:space="preserve">The Australian Competition &amp; Consumer Commission (ACCC) has developed this consultation paper to seek the views of stakeholders about the mandatory safety standard for </w:t>
                  </w:r>
                  <w:r>
                    <w:rPr>
                      <w:rFonts w:eastAsia="Calibri" w:cs="Arial"/>
                      <w:sz w:val="20"/>
                      <w:szCs w:val="20"/>
                      <w:lang w:val="en-GB"/>
                    </w:rPr>
                    <w:t>sunglasses</w:t>
                  </w:r>
                  <w:r w:rsidRPr="004F2078">
                    <w:rPr>
                      <w:rFonts w:eastAsia="Calibri" w:cs="Arial"/>
                      <w:sz w:val="20"/>
                      <w:szCs w:val="20"/>
                      <w:lang w:val="en-GB"/>
                    </w:rPr>
                    <w:t>.</w:t>
                  </w:r>
                </w:p>
                <w:p w:rsidR="008C38BE" w:rsidRPr="004F2078" w:rsidRDefault="008C38BE" w:rsidP="000F1573">
                  <w:pPr>
                    <w:spacing w:before="120" w:after="120"/>
                    <w:rPr>
                      <w:rFonts w:eastAsia="Calibri" w:cs="Arial"/>
                      <w:sz w:val="20"/>
                      <w:szCs w:val="20"/>
                    </w:rPr>
                  </w:pPr>
                  <w:proofErr w:type="gramStart"/>
                  <w:r w:rsidRPr="004F2078">
                    <w:rPr>
                      <w:rFonts w:eastAsia="Calibri" w:cs="Arial"/>
                      <w:sz w:val="20"/>
                      <w:szCs w:val="20"/>
                    </w:rPr>
                    <w:t>© Commonwealth of Australia 2016.</w:t>
                  </w:r>
                  <w:proofErr w:type="gramEnd"/>
                  <w:r w:rsidRPr="004F2078">
                    <w:rPr>
                      <w:rFonts w:eastAsia="Calibri" w:cs="Arial"/>
                      <w:sz w:val="20"/>
                      <w:szCs w:val="20"/>
                    </w:rPr>
                    <w:t xml:space="preserve"> </w:t>
                  </w:r>
                  <w:r w:rsidRPr="004F2078">
                    <w:rPr>
                      <w:rFonts w:eastAsia="Calibri" w:cs="Arial"/>
                      <w:sz w:val="20"/>
                      <w:szCs w:val="20"/>
                      <w:lang w:val="en-GB"/>
                    </w:rPr>
                    <w:t>All material contained within this work is provided under a Creative Commons Attribution 3.0 Australia licence (</w:t>
                  </w:r>
                  <w:hyperlink r:id="rId13" w:history="1">
                    <w:r w:rsidRPr="004F2078">
                      <w:rPr>
                        <w:rFonts w:eastAsia="Calibri" w:cs="Arial"/>
                        <w:color w:val="0000FF"/>
                        <w:sz w:val="20"/>
                        <w:szCs w:val="20"/>
                        <w:u w:val="single"/>
                        <w:lang w:val="en-GB"/>
                      </w:rPr>
                      <w:t>creativecommons.org.au/</w:t>
                    </w:r>
                  </w:hyperlink>
                  <w:r w:rsidRPr="004F2078">
                    <w:rPr>
                      <w:rFonts w:eastAsia="Calibri" w:cs="Arial"/>
                      <w:sz w:val="20"/>
                      <w:szCs w:val="20"/>
                      <w:lang w:val="en-GB"/>
                    </w:rPr>
                    <w:t>), with the exception of any logos, illustrations or images. You may forward or otherwise distribute the paper. You may re-use the text in other formats, provided the ACCC is acknowledged as the source of the material and directions to access the full document are provided. You may not copy or reproduce any logos, illustrations or images. For more information, contact the Director Corporate Communications, ACCC, GPO Box 3131, Canberra ACT 2601</w:t>
                  </w:r>
                  <w:r>
                    <w:rPr>
                      <w:rFonts w:eastAsia="Calibri" w:cs="Arial"/>
                      <w:sz w:val="20"/>
                      <w:szCs w:val="20"/>
                      <w:lang w:val="en-GB"/>
                    </w:rPr>
                    <w:t>.</w:t>
                  </w:r>
                </w:p>
              </w:txbxContent>
            </v:textbox>
            <w10:wrap type="square"/>
          </v:shape>
        </w:pict>
      </w:r>
    </w:p>
    <w:p w:rsidR="0022438B" w:rsidRDefault="0022438B">
      <w:pPr>
        <w:pStyle w:val="TOC1"/>
        <w:rPr>
          <w:b/>
        </w:rPr>
      </w:pPr>
      <w:bookmarkStart w:id="0" w:name="_GoBack"/>
    </w:p>
    <w:p w:rsidR="00AF2073" w:rsidRDefault="00AF2073">
      <w:pPr>
        <w:pStyle w:val="TOC1"/>
        <w:rPr>
          <w:rFonts w:eastAsia="Calibri"/>
        </w:rPr>
      </w:pPr>
      <w:r w:rsidRPr="00DB6C88">
        <w:rPr>
          <w:b/>
        </w:rPr>
        <w:t>Table of contents</w:t>
      </w:r>
    </w:p>
    <w:p w:rsidR="00672240" w:rsidRDefault="0086325C">
      <w:pPr>
        <w:pStyle w:val="TOC1"/>
        <w:rPr>
          <w:rFonts w:asciiTheme="minorHAnsi" w:eastAsiaTheme="minorEastAsia" w:hAnsiTheme="minorHAnsi" w:cstheme="minorBidi"/>
          <w:lang w:val="en-AU" w:eastAsia="en-AU"/>
        </w:rPr>
      </w:pPr>
      <w:r w:rsidRPr="00242590">
        <w:rPr>
          <w:rFonts w:eastAsia="Calibri" w:cs="Arial"/>
          <w:sz w:val="20"/>
          <w:szCs w:val="20"/>
        </w:rPr>
        <w:fldChar w:fldCharType="begin"/>
      </w:r>
      <w:r w:rsidRPr="00242590">
        <w:rPr>
          <w:rFonts w:cs="Arial"/>
          <w:sz w:val="20"/>
          <w:szCs w:val="20"/>
        </w:rPr>
        <w:instrText xml:space="preserve"> TOC \o \h \z \u </w:instrText>
      </w:r>
      <w:r w:rsidRPr="00242590">
        <w:rPr>
          <w:rFonts w:eastAsia="Calibri" w:cs="Arial"/>
          <w:sz w:val="20"/>
          <w:szCs w:val="20"/>
        </w:rPr>
        <w:fldChar w:fldCharType="separate"/>
      </w:r>
      <w:hyperlink w:anchor="_Toc462651304" w:history="1">
        <w:r w:rsidR="00672240" w:rsidRPr="00CB46D2">
          <w:rPr>
            <w:rStyle w:val="Hyperlink"/>
          </w:rPr>
          <w:t>1.</w:t>
        </w:r>
        <w:r w:rsidR="00672240">
          <w:rPr>
            <w:rFonts w:asciiTheme="minorHAnsi" w:eastAsiaTheme="minorEastAsia" w:hAnsiTheme="minorHAnsi" w:cstheme="minorBidi"/>
            <w:lang w:val="en-AU" w:eastAsia="en-AU"/>
          </w:rPr>
          <w:tab/>
        </w:r>
        <w:r w:rsidR="00672240" w:rsidRPr="00CB46D2">
          <w:rPr>
            <w:rStyle w:val="Hyperlink"/>
          </w:rPr>
          <w:t>Introduction</w:t>
        </w:r>
        <w:r w:rsidR="00672240">
          <w:rPr>
            <w:webHidden/>
          </w:rPr>
          <w:tab/>
        </w:r>
        <w:r w:rsidR="00672240">
          <w:rPr>
            <w:webHidden/>
          </w:rPr>
          <w:fldChar w:fldCharType="begin"/>
        </w:r>
        <w:r w:rsidR="00672240">
          <w:rPr>
            <w:webHidden/>
          </w:rPr>
          <w:instrText xml:space="preserve"> PAGEREF _Toc462651304 \h </w:instrText>
        </w:r>
        <w:r w:rsidR="00672240">
          <w:rPr>
            <w:webHidden/>
          </w:rPr>
        </w:r>
        <w:r w:rsidR="00672240">
          <w:rPr>
            <w:webHidden/>
          </w:rPr>
          <w:fldChar w:fldCharType="separate"/>
        </w:r>
        <w:r w:rsidR="00672240">
          <w:rPr>
            <w:webHidden/>
          </w:rPr>
          <w:t>3</w:t>
        </w:r>
        <w:r w:rsidR="00672240">
          <w:rPr>
            <w:webHidden/>
          </w:rPr>
          <w:fldChar w:fldCharType="end"/>
        </w:r>
      </w:hyperlink>
    </w:p>
    <w:p w:rsidR="00672240" w:rsidRDefault="00672240">
      <w:pPr>
        <w:pStyle w:val="TOC1"/>
        <w:rPr>
          <w:rFonts w:asciiTheme="minorHAnsi" w:eastAsiaTheme="minorEastAsia" w:hAnsiTheme="minorHAnsi" w:cstheme="minorBidi"/>
          <w:lang w:val="en-AU" w:eastAsia="en-AU"/>
        </w:rPr>
      </w:pPr>
      <w:hyperlink w:anchor="_Toc462651305" w:history="1">
        <w:r w:rsidRPr="00CB46D2">
          <w:rPr>
            <w:rStyle w:val="Hyperlink"/>
          </w:rPr>
          <w:t>2.</w:t>
        </w:r>
        <w:r>
          <w:rPr>
            <w:rFonts w:asciiTheme="minorHAnsi" w:eastAsiaTheme="minorEastAsia" w:hAnsiTheme="minorHAnsi" w:cstheme="minorBidi"/>
            <w:lang w:val="en-AU" w:eastAsia="en-AU"/>
          </w:rPr>
          <w:tab/>
        </w:r>
        <w:r w:rsidRPr="00CB46D2">
          <w:rPr>
            <w:rStyle w:val="Hyperlink"/>
          </w:rPr>
          <w:t>Policy options</w:t>
        </w:r>
        <w:r>
          <w:rPr>
            <w:webHidden/>
          </w:rPr>
          <w:tab/>
        </w:r>
        <w:r>
          <w:rPr>
            <w:webHidden/>
          </w:rPr>
          <w:fldChar w:fldCharType="begin"/>
        </w:r>
        <w:r>
          <w:rPr>
            <w:webHidden/>
          </w:rPr>
          <w:instrText xml:space="preserve"> PAGEREF _Toc462651305 \h </w:instrText>
        </w:r>
        <w:r>
          <w:rPr>
            <w:webHidden/>
          </w:rPr>
        </w:r>
        <w:r>
          <w:rPr>
            <w:webHidden/>
          </w:rPr>
          <w:fldChar w:fldCharType="separate"/>
        </w:r>
        <w:r>
          <w:rPr>
            <w:webHidden/>
          </w:rPr>
          <w:t>3</w:t>
        </w:r>
        <w:r>
          <w:rPr>
            <w:webHidden/>
          </w:rPr>
          <w:fldChar w:fldCharType="end"/>
        </w:r>
      </w:hyperlink>
    </w:p>
    <w:p w:rsidR="00672240" w:rsidRDefault="00672240">
      <w:pPr>
        <w:pStyle w:val="TOC1"/>
        <w:rPr>
          <w:rFonts w:asciiTheme="minorHAnsi" w:eastAsiaTheme="minorEastAsia" w:hAnsiTheme="minorHAnsi" w:cstheme="minorBidi"/>
          <w:lang w:val="en-AU" w:eastAsia="en-AU"/>
        </w:rPr>
      </w:pPr>
      <w:hyperlink w:anchor="_Toc462651306" w:history="1">
        <w:r w:rsidRPr="00CB46D2">
          <w:rPr>
            <w:rStyle w:val="Hyperlink"/>
          </w:rPr>
          <w:t>3.</w:t>
        </w:r>
        <w:r>
          <w:rPr>
            <w:rFonts w:asciiTheme="minorHAnsi" w:eastAsiaTheme="minorEastAsia" w:hAnsiTheme="minorHAnsi" w:cstheme="minorBidi"/>
            <w:lang w:val="en-AU" w:eastAsia="en-AU"/>
          </w:rPr>
          <w:tab/>
        </w:r>
        <w:r w:rsidRPr="00CB46D2">
          <w:rPr>
            <w:rStyle w:val="Hyperlink"/>
          </w:rPr>
          <w:t>Background</w:t>
        </w:r>
        <w:r>
          <w:rPr>
            <w:webHidden/>
          </w:rPr>
          <w:tab/>
        </w:r>
        <w:r>
          <w:rPr>
            <w:webHidden/>
          </w:rPr>
          <w:fldChar w:fldCharType="begin"/>
        </w:r>
        <w:r>
          <w:rPr>
            <w:webHidden/>
          </w:rPr>
          <w:instrText xml:space="preserve"> PAGEREF _Toc462651306 \h </w:instrText>
        </w:r>
        <w:r>
          <w:rPr>
            <w:webHidden/>
          </w:rPr>
        </w:r>
        <w:r>
          <w:rPr>
            <w:webHidden/>
          </w:rPr>
          <w:fldChar w:fldCharType="separate"/>
        </w:r>
        <w:r>
          <w:rPr>
            <w:webHidden/>
          </w:rPr>
          <w:t>3</w:t>
        </w:r>
        <w:r>
          <w:rPr>
            <w:webHidden/>
          </w:rPr>
          <w:fldChar w:fldCharType="end"/>
        </w:r>
      </w:hyperlink>
    </w:p>
    <w:p w:rsidR="00672240" w:rsidRDefault="00672240">
      <w:pPr>
        <w:pStyle w:val="TOC2"/>
        <w:rPr>
          <w:rFonts w:asciiTheme="minorHAnsi" w:eastAsiaTheme="minorEastAsia" w:hAnsiTheme="minorHAnsi" w:cstheme="minorBidi"/>
          <w:lang w:eastAsia="en-AU"/>
        </w:rPr>
      </w:pPr>
      <w:hyperlink w:anchor="_Toc462651307" w:history="1">
        <w:r w:rsidRPr="00CB46D2">
          <w:rPr>
            <w:rStyle w:val="Hyperlink"/>
          </w:rPr>
          <w:t>3.1</w:t>
        </w:r>
        <w:r>
          <w:rPr>
            <w:rFonts w:asciiTheme="minorHAnsi" w:eastAsiaTheme="minorEastAsia" w:hAnsiTheme="minorHAnsi" w:cstheme="minorBidi"/>
            <w:lang w:eastAsia="en-AU"/>
          </w:rPr>
          <w:tab/>
        </w:r>
        <w:r w:rsidRPr="00CB46D2">
          <w:rPr>
            <w:rStyle w:val="Hyperlink"/>
          </w:rPr>
          <w:t>Sunglasses in Australia</w:t>
        </w:r>
        <w:r>
          <w:rPr>
            <w:webHidden/>
          </w:rPr>
          <w:tab/>
        </w:r>
        <w:r>
          <w:rPr>
            <w:webHidden/>
          </w:rPr>
          <w:fldChar w:fldCharType="begin"/>
        </w:r>
        <w:r>
          <w:rPr>
            <w:webHidden/>
          </w:rPr>
          <w:instrText xml:space="preserve"> PAGEREF _Toc462651307 \h </w:instrText>
        </w:r>
        <w:r>
          <w:rPr>
            <w:webHidden/>
          </w:rPr>
        </w:r>
        <w:r>
          <w:rPr>
            <w:webHidden/>
          </w:rPr>
          <w:fldChar w:fldCharType="separate"/>
        </w:r>
        <w:r>
          <w:rPr>
            <w:webHidden/>
          </w:rPr>
          <w:t>3</w:t>
        </w:r>
        <w:r>
          <w:rPr>
            <w:webHidden/>
          </w:rPr>
          <w:fldChar w:fldCharType="end"/>
        </w:r>
      </w:hyperlink>
    </w:p>
    <w:p w:rsidR="00672240" w:rsidRDefault="00672240">
      <w:pPr>
        <w:pStyle w:val="TOC2"/>
        <w:rPr>
          <w:rFonts w:asciiTheme="minorHAnsi" w:eastAsiaTheme="minorEastAsia" w:hAnsiTheme="minorHAnsi" w:cstheme="minorBidi"/>
          <w:lang w:eastAsia="en-AU"/>
        </w:rPr>
      </w:pPr>
      <w:hyperlink w:anchor="_Toc462651308" w:history="1">
        <w:r w:rsidRPr="00CB46D2">
          <w:rPr>
            <w:rStyle w:val="Hyperlink"/>
          </w:rPr>
          <w:t>3.2</w:t>
        </w:r>
        <w:r>
          <w:rPr>
            <w:rFonts w:asciiTheme="minorHAnsi" w:eastAsiaTheme="minorEastAsia" w:hAnsiTheme="minorHAnsi" w:cstheme="minorBidi"/>
            <w:lang w:eastAsia="en-AU"/>
          </w:rPr>
          <w:tab/>
        </w:r>
        <w:r w:rsidRPr="00CB46D2">
          <w:rPr>
            <w:rStyle w:val="Hyperlink"/>
          </w:rPr>
          <w:t>Sunglasses and injury</w:t>
        </w:r>
        <w:r>
          <w:rPr>
            <w:webHidden/>
          </w:rPr>
          <w:tab/>
        </w:r>
        <w:r>
          <w:rPr>
            <w:webHidden/>
          </w:rPr>
          <w:fldChar w:fldCharType="begin"/>
        </w:r>
        <w:r>
          <w:rPr>
            <w:webHidden/>
          </w:rPr>
          <w:instrText xml:space="preserve"> PAGEREF _Toc462651308 \h </w:instrText>
        </w:r>
        <w:r>
          <w:rPr>
            <w:webHidden/>
          </w:rPr>
        </w:r>
        <w:r>
          <w:rPr>
            <w:webHidden/>
          </w:rPr>
          <w:fldChar w:fldCharType="separate"/>
        </w:r>
        <w:r>
          <w:rPr>
            <w:webHidden/>
          </w:rPr>
          <w:t>4</w:t>
        </w:r>
        <w:r>
          <w:rPr>
            <w:webHidden/>
          </w:rPr>
          <w:fldChar w:fldCharType="end"/>
        </w:r>
      </w:hyperlink>
    </w:p>
    <w:p w:rsidR="00672240" w:rsidRDefault="00672240">
      <w:pPr>
        <w:pStyle w:val="TOC2"/>
        <w:rPr>
          <w:rFonts w:asciiTheme="minorHAnsi" w:eastAsiaTheme="minorEastAsia" w:hAnsiTheme="minorHAnsi" w:cstheme="minorBidi"/>
          <w:lang w:eastAsia="en-AU"/>
        </w:rPr>
      </w:pPr>
      <w:hyperlink w:anchor="_Toc462651309" w:history="1">
        <w:r w:rsidRPr="00CB46D2">
          <w:rPr>
            <w:rStyle w:val="Hyperlink"/>
          </w:rPr>
          <w:t>3.3</w:t>
        </w:r>
        <w:r>
          <w:rPr>
            <w:rFonts w:asciiTheme="minorHAnsi" w:eastAsiaTheme="minorEastAsia" w:hAnsiTheme="minorHAnsi" w:cstheme="minorBidi"/>
            <w:lang w:eastAsia="en-AU"/>
          </w:rPr>
          <w:tab/>
        </w:r>
        <w:r w:rsidRPr="00CB46D2">
          <w:rPr>
            <w:rStyle w:val="Hyperlink"/>
          </w:rPr>
          <w:t>The mandatory safety standard</w:t>
        </w:r>
        <w:r>
          <w:rPr>
            <w:webHidden/>
          </w:rPr>
          <w:tab/>
        </w:r>
        <w:r>
          <w:rPr>
            <w:webHidden/>
          </w:rPr>
          <w:fldChar w:fldCharType="begin"/>
        </w:r>
        <w:r>
          <w:rPr>
            <w:webHidden/>
          </w:rPr>
          <w:instrText xml:space="preserve"> PAGEREF _Toc462651309 \h </w:instrText>
        </w:r>
        <w:r>
          <w:rPr>
            <w:webHidden/>
          </w:rPr>
        </w:r>
        <w:r>
          <w:rPr>
            <w:webHidden/>
          </w:rPr>
          <w:fldChar w:fldCharType="separate"/>
        </w:r>
        <w:r>
          <w:rPr>
            <w:webHidden/>
          </w:rPr>
          <w:t>4</w:t>
        </w:r>
        <w:r>
          <w:rPr>
            <w:webHidden/>
          </w:rPr>
          <w:fldChar w:fldCharType="end"/>
        </w:r>
      </w:hyperlink>
    </w:p>
    <w:p w:rsidR="00672240" w:rsidRDefault="00672240">
      <w:pPr>
        <w:pStyle w:val="TOC2"/>
        <w:rPr>
          <w:rFonts w:asciiTheme="minorHAnsi" w:eastAsiaTheme="minorEastAsia" w:hAnsiTheme="minorHAnsi" w:cstheme="minorBidi"/>
          <w:lang w:eastAsia="en-AU"/>
        </w:rPr>
      </w:pPr>
      <w:hyperlink w:anchor="_Toc462651310" w:history="1">
        <w:r w:rsidRPr="00CB46D2">
          <w:rPr>
            <w:rStyle w:val="Hyperlink"/>
          </w:rPr>
          <w:t>3.4</w:t>
        </w:r>
        <w:r>
          <w:rPr>
            <w:rFonts w:asciiTheme="minorHAnsi" w:eastAsiaTheme="minorEastAsia" w:hAnsiTheme="minorHAnsi" w:cstheme="minorBidi"/>
            <w:lang w:eastAsia="en-AU"/>
          </w:rPr>
          <w:tab/>
        </w:r>
        <w:r w:rsidRPr="00CB46D2">
          <w:rPr>
            <w:rStyle w:val="Hyperlink"/>
          </w:rPr>
          <w:t>Reasons for the change</w:t>
        </w:r>
        <w:r>
          <w:rPr>
            <w:webHidden/>
          </w:rPr>
          <w:tab/>
        </w:r>
        <w:r>
          <w:rPr>
            <w:webHidden/>
          </w:rPr>
          <w:fldChar w:fldCharType="begin"/>
        </w:r>
        <w:r>
          <w:rPr>
            <w:webHidden/>
          </w:rPr>
          <w:instrText xml:space="preserve"> PAGEREF _Toc462651310 \h </w:instrText>
        </w:r>
        <w:r>
          <w:rPr>
            <w:webHidden/>
          </w:rPr>
        </w:r>
        <w:r>
          <w:rPr>
            <w:webHidden/>
          </w:rPr>
          <w:fldChar w:fldCharType="separate"/>
        </w:r>
        <w:r>
          <w:rPr>
            <w:webHidden/>
          </w:rPr>
          <w:t>5</w:t>
        </w:r>
        <w:r>
          <w:rPr>
            <w:webHidden/>
          </w:rPr>
          <w:fldChar w:fldCharType="end"/>
        </w:r>
      </w:hyperlink>
    </w:p>
    <w:p w:rsidR="00672240" w:rsidRDefault="00672240">
      <w:pPr>
        <w:pStyle w:val="TOC2"/>
        <w:rPr>
          <w:rFonts w:asciiTheme="minorHAnsi" w:eastAsiaTheme="minorEastAsia" w:hAnsiTheme="minorHAnsi" w:cstheme="minorBidi"/>
          <w:lang w:eastAsia="en-AU"/>
        </w:rPr>
      </w:pPr>
      <w:hyperlink w:anchor="_Toc462651311" w:history="1">
        <w:r w:rsidRPr="00CB46D2">
          <w:rPr>
            <w:rStyle w:val="Hyperlink"/>
          </w:rPr>
          <w:t>3.5</w:t>
        </w:r>
        <w:r>
          <w:rPr>
            <w:rFonts w:asciiTheme="minorHAnsi" w:eastAsiaTheme="minorEastAsia" w:hAnsiTheme="minorHAnsi" w:cstheme="minorBidi"/>
            <w:lang w:eastAsia="en-AU"/>
          </w:rPr>
          <w:tab/>
        </w:r>
        <w:r w:rsidRPr="00CB46D2">
          <w:rPr>
            <w:rStyle w:val="Hyperlink"/>
          </w:rPr>
          <w:t>The voluntary Australian/New Zealand standard</w:t>
        </w:r>
        <w:r>
          <w:rPr>
            <w:webHidden/>
          </w:rPr>
          <w:tab/>
        </w:r>
        <w:r>
          <w:rPr>
            <w:webHidden/>
          </w:rPr>
          <w:fldChar w:fldCharType="begin"/>
        </w:r>
        <w:r>
          <w:rPr>
            <w:webHidden/>
          </w:rPr>
          <w:instrText xml:space="preserve"> PAGEREF _Toc462651311 \h </w:instrText>
        </w:r>
        <w:r>
          <w:rPr>
            <w:webHidden/>
          </w:rPr>
        </w:r>
        <w:r>
          <w:rPr>
            <w:webHidden/>
          </w:rPr>
          <w:fldChar w:fldCharType="separate"/>
        </w:r>
        <w:r>
          <w:rPr>
            <w:webHidden/>
          </w:rPr>
          <w:t>5</w:t>
        </w:r>
        <w:r>
          <w:rPr>
            <w:webHidden/>
          </w:rPr>
          <w:fldChar w:fldCharType="end"/>
        </w:r>
      </w:hyperlink>
    </w:p>
    <w:p w:rsidR="00672240" w:rsidRDefault="00672240">
      <w:pPr>
        <w:pStyle w:val="TOC1"/>
        <w:rPr>
          <w:rFonts w:asciiTheme="minorHAnsi" w:eastAsiaTheme="minorEastAsia" w:hAnsiTheme="minorHAnsi" w:cstheme="minorBidi"/>
          <w:lang w:val="en-AU" w:eastAsia="en-AU"/>
        </w:rPr>
      </w:pPr>
      <w:hyperlink w:anchor="_Toc462651312" w:history="1">
        <w:r w:rsidRPr="00CB46D2">
          <w:rPr>
            <w:rStyle w:val="Hyperlink"/>
          </w:rPr>
          <w:t>4.</w:t>
        </w:r>
        <w:r>
          <w:rPr>
            <w:rFonts w:asciiTheme="minorHAnsi" w:eastAsiaTheme="minorEastAsia" w:hAnsiTheme="minorHAnsi" w:cstheme="minorBidi"/>
            <w:lang w:val="en-AU" w:eastAsia="en-AU"/>
          </w:rPr>
          <w:tab/>
        </w:r>
        <w:r w:rsidRPr="00CB46D2">
          <w:rPr>
            <w:rStyle w:val="Hyperlink"/>
          </w:rPr>
          <w:t>Adopting international standards</w:t>
        </w:r>
        <w:r>
          <w:rPr>
            <w:webHidden/>
          </w:rPr>
          <w:tab/>
        </w:r>
        <w:r>
          <w:rPr>
            <w:webHidden/>
          </w:rPr>
          <w:fldChar w:fldCharType="begin"/>
        </w:r>
        <w:r>
          <w:rPr>
            <w:webHidden/>
          </w:rPr>
          <w:instrText xml:space="preserve"> PAGEREF _Toc462651312 \h </w:instrText>
        </w:r>
        <w:r>
          <w:rPr>
            <w:webHidden/>
          </w:rPr>
        </w:r>
        <w:r>
          <w:rPr>
            <w:webHidden/>
          </w:rPr>
          <w:fldChar w:fldCharType="separate"/>
        </w:r>
        <w:r>
          <w:rPr>
            <w:webHidden/>
          </w:rPr>
          <w:t>5</w:t>
        </w:r>
        <w:r>
          <w:rPr>
            <w:webHidden/>
          </w:rPr>
          <w:fldChar w:fldCharType="end"/>
        </w:r>
      </w:hyperlink>
    </w:p>
    <w:p w:rsidR="00672240" w:rsidRDefault="00672240">
      <w:pPr>
        <w:pStyle w:val="TOC2"/>
        <w:rPr>
          <w:rFonts w:asciiTheme="minorHAnsi" w:eastAsiaTheme="minorEastAsia" w:hAnsiTheme="minorHAnsi" w:cstheme="minorBidi"/>
          <w:lang w:eastAsia="en-AU"/>
        </w:rPr>
      </w:pPr>
      <w:hyperlink w:anchor="_Toc462651313" w:history="1">
        <w:r w:rsidRPr="00CB46D2">
          <w:rPr>
            <w:rStyle w:val="Hyperlink"/>
          </w:rPr>
          <w:t>4.1</w:t>
        </w:r>
        <w:r>
          <w:rPr>
            <w:rFonts w:asciiTheme="minorHAnsi" w:eastAsiaTheme="minorEastAsia" w:hAnsiTheme="minorHAnsi" w:cstheme="minorBidi"/>
            <w:lang w:eastAsia="en-AU"/>
          </w:rPr>
          <w:tab/>
        </w:r>
        <w:r w:rsidRPr="00CB46D2">
          <w:rPr>
            <w:rStyle w:val="Hyperlink"/>
          </w:rPr>
          <w:t>The ISO standard</w:t>
        </w:r>
        <w:r>
          <w:rPr>
            <w:webHidden/>
          </w:rPr>
          <w:tab/>
        </w:r>
        <w:r>
          <w:rPr>
            <w:webHidden/>
          </w:rPr>
          <w:fldChar w:fldCharType="begin"/>
        </w:r>
        <w:r>
          <w:rPr>
            <w:webHidden/>
          </w:rPr>
          <w:instrText xml:space="preserve"> PAGEREF _Toc462651313 \h </w:instrText>
        </w:r>
        <w:r>
          <w:rPr>
            <w:webHidden/>
          </w:rPr>
        </w:r>
        <w:r>
          <w:rPr>
            <w:webHidden/>
          </w:rPr>
          <w:fldChar w:fldCharType="separate"/>
        </w:r>
        <w:r>
          <w:rPr>
            <w:webHidden/>
          </w:rPr>
          <w:t>6</w:t>
        </w:r>
        <w:r>
          <w:rPr>
            <w:webHidden/>
          </w:rPr>
          <w:fldChar w:fldCharType="end"/>
        </w:r>
      </w:hyperlink>
    </w:p>
    <w:p w:rsidR="00672240" w:rsidRDefault="00672240">
      <w:pPr>
        <w:pStyle w:val="TOC2"/>
        <w:rPr>
          <w:rFonts w:asciiTheme="minorHAnsi" w:eastAsiaTheme="minorEastAsia" w:hAnsiTheme="minorHAnsi" w:cstheme="minorBidi"/>
          <w:lang w:eastAsia="en-AU"/>
        </w:rPr>
      </w:pPr>
      <w:hyperlink w:anchor="_Toc462651314" w:history="1">
        <w:r w:rsidRPr="00CB46D2">
          <w:rPr>
            <w:rStyle w:val="Hyperlink"/>
          </w:rPr>
          <w:t>4.2</w:t>
        </w:r>
        <w:r>
          <w:rPr>
            <w:rFonts w:asciiTheme="minorHAnsi" w:eastAsiaTheme="minorEastAsia" w:hAnsiTheme="minorHAnsi" w:cstheme="minorBidi"/>
            <w:lang w:eastAsia="en-AU"/>
          </w:rPr>
          <w:tab/>
        </w:r>
        <w:r w:rsidRPr="00CB46D2">
          <w:rPr>
            <w:rStyle w:val="Hyperlink"/>
          </w:rPr>
          <w:t>The ANSI standard</w:t>
        </w:r>
        <w:r>
          <w:rPr>
            <w:webHidden/>
          </w:rPr>
          <w:tab/>
        </w:r>
        <w:r>
          <w:rPr>
            <w:webHidden/>
          </w:rPr>
          <w:fldChar w:fldCharType="begin"/>
        </w:r>
        <w:r>
          <w:rPr>
            <w:webHidden/>
          </w:rPr>
          <w:instrText xml:space="preserve"> PAGEREF _Toc462651314 \h </w:instrText>
        </w:r>
        <w:r>
          <w:rPr>
            <w:webHidden/>
          </w:rPr>
        </w:r>
        <w:r>
          <w:rPr>
            <w:webHidden/>
          </w:rPr>
          <w:fldChar w:fldCharType="separate"/>
        </w:r>
        <w:r>
          <w:rPr>
            <w:webHidden/>
          </w:rPr>
          <w:t>7</w:t>
        </w:r>
        <w:r>
          <w:rPr>
            <w:webHidden/>
          </w:rPr>
          <w:fldChar w:fldCharType="end"/>
        </w:r>
      </w:hyperlink>
    </w:p>
    <w:p w:rsidR="00672240" w:rsidRDefault="00672240">
      <w:pPr>
        <w:pStyle w:val="TOC2"/>
        <w:rPr>
          <w:rFonts w:asciiTheme="minorHAnsi" w:eastAsiaTheme="minorEastAsia" w:hAnsiTheme="minorHAnsi" w:cstheme="minorBidi"/>
          <w:lang w:eastAsia="en-AU"/>
        </w:rPr>
      </w:pPr>
      <w:hyperlink w:anchor="_Toc462651315" w:history="1">
        <w:r w:rsidRPr="00CB46D2">
          <w:rPr>
            <w:rStyle w:val="Hyperlink"/>
          </w:rPr>
          <w:t>4.3</w:t>
        </w:r>
        <w:r>
          <w:rPr>
            <w:rFonts w:asciiTheme="minorHAnsi" w:eastAsiaTheme="minorEastAsia" w:hAnsiTheme="minorHAnsi" w:cstheme="minorBidi"/>
            <w:lang w:eastAsia="en-AU"/>
          </w:rPr>
          <w:tab/>
        </w:r>
        <w:r w:rsidRPr="00CB46D2">
          <w:rPr>
            <w:rStyle w:val="Hyperlink"/>
          </w:rPr>
          <w:t>Chinese, South African and Brazilian standards</w:t>
        </w:r>
        <w:r>
          <w:rPr>
            <w:webHidden/>
          </w:rPr>
          <w:tab/>
        </w:r>
        <w:r>
          <w:rPr>
            <w:webHidden/>
          </w:rPr>
          <w:fldChar w:fldCharType="begin"/>
        </w:r>
        <w:r>
          <w:rPr>
            <w:webHidden/>
          </w:rPr>
          <w:instrText xml:space="preserve"> PAGEREF _Toc462651315 \h </w:instrText>
        </w:r>
        <w:r>
          <w:rPr>
            <w:webHidden/>
          </w:rPr>
        </w:r>
        <w:r>
          <w:rPr>
            <w:webHidden/>
          </w:rPr>
          <w:fldChar w:fldCharType="separate"/>
        </w:r>
        <w:r>
          <w:rPr>
            <w:webHidden/>
          </w:rPr>
          <w:t>8</w:t>
        </w:r>
        <w:r>
          <w:rPr>
            <w:webHidden/>
          </w:rPr>
          <w:fldChar w:fldCharType="end"/>
        </w:r>
      </w:hyperlink>
    </w:p>
    <w:p w:rsidR="00672240" w:rsidRDefault="00672240">
      <w:pPr>
        <w:pStyle w:val="TOC1"/>
        <w:rPr>
          <w:rFonts w:asciiTheme="minorHAnsi" w:eastAsiaTheme="minorEastAsia" w:hAnsiTheme="minorHAnsi" w:cstheme="minorBidi"/>
          <w:lang w:val="en-AU" w:eastAsia="en-AU"/>
        </w:rPr>
      </w:pPr>
      <w:hyperlink w:anchor="_Toc462651316" w:history="1">
        <w:r w:rsidRPr="00CB46D2">
          <w:rPr>
            <w:rStyle w:val="Hyperlink"/>
          </w:rPr>
          <w:t>5.</w:t>
        </w:r>
        <w:r>
          <w:rPr>
            <w:rFonts w:asciiTheme="minorHAnsi" w:eastAsiaTheme="minorEastAsia" w:hAnsiTheme="minorHAnsi" w:cstheme="minorBidi"/>
            <w:lang w:val="en-AU" w:eastAsia="en-AU"/>
          </w:rPr>
          <w:tab/>
        </w:r>
        <w:r w:rsidRPr="00CB46D2">
          <w:rPr>
            <w:rStyle w:val="Hyperlink"/>
          </w:rPr>
          <w:t>Detailed description of policy options</w:t>
        </w:r>
        <w:r>
          <w:rPr>
            <w:webHidden/>
          </w:rPr>
          <w:tab/>
        </w:r>
        <w:r>
          <w:rPr>
            <w:webHidden/>
          </w:rPr>
          <w:fldChar w:fldCharType="begin"/>
        </w:r>
        <w:r>
          <w:rPr>
            <w:webHidden/>
          </w:rPr>
          <w:instrText xml:space="preserve"> PAGEREF _Toc462651316 \h </w:instrText>
        </w:r>
        <w:r>
          <w:rPr>
            <w:webHidden/>
          </w:rPr>
        </w:r>
        <w:r>
          <w:rPr>
            <w:webHidden/>
          </w:rPr>
          <w:fldChar w:fldCharType="separate"/>
        </w:r>
        <w:r>
          <w:rPr>
            <w:webHidden/>
          </w:rPr>
          <w:t>8</w:t>
        </w:r>
        <w:r>
          <w:rPr>
            <w:webHidden/>
          </w:rPr>
          <w:fldChar w:fldCharType="end"/>
        </w:r>
      </w:hyperlink>
    </w:p>
    <w:p w:rsidR="00672240" w:rsidRDefault="00672240">
      <w:pPr>
        <w:pStyle w:val="TOC1"/>
        <w:rPr>
          <w:rFonts w:asciiTheme="minorHAnsi" w:eastAsiaTheme="minorEastAsia" w:hAnsiTheme="minorHAnsi" w:cstheme="minorBidi"/>
          <w:lang w:val="en-AU" w:eastAsia="en-AU"/>
        </w:rPr>
      </w:pPr>
      <w:hyperlink w:anchor="_Toc462651317" w:history="1">
        <w:r w:rsidRPr="00CB46D2">
          <w:rPr>
            <w:rStyle w:val="Hyperlink"/>
            <w:rFonts w:cs="Arial"/>
          </w:rPr>
          <w:t>Option 1 - Keep the current mandatory standard (status quo)</w:t>
        </w:r>
        <w:r>
          <w:rPr>
            <w:webHidden/>
          </w:rPr>
          <w:tab/>
        </w:r>
        <w:r>
          <w:rPr>
            <w:webHidden/>
          </w:rPr>
          <w:fldChar w:fldCharType="begin"/>
        </w:r>
        <w:r>
          <w:rPr>
            <w:webHidden/>
          </w:rPr>
          <w:instrText xml:space="preserve"> PAGEREF _Toc462651317 \h </w:instrText>
        </w:r>
        <w:r>
          <w:rPr>
            <w:webHidden/>
          </w:rPr>
        </w:r>
        <w:r>
          <w:rPr>
            <w:webHidden/>
          </w:rPr>
          <w:fldChar w:fldCharType="separate"/>
        </w:r>
        <w:r>
          <w:rPr>
            <w:webHidden/>
          </w:rPr>
          <w:t>8</w:t>
        </w:r>
        <w:r>
          <w:rPr>
            <w:webHidden/>
          </w:rPr>
          <w:fldChar w:fldCharType="end"/>
        </w:r>
      </w:hyperlink>
    </w:p>
    <w:p w:rsidR="00672240" w:rsidRDefault="00672240">
      <w:pPr>
        <w:pStyle w:val="TOC1"/>
        <w:rPr>
          <w:rFonts w:asciiTheme="minorHAnsi" w:eastAsiaTheme="minorEastAsia" w:hAnsiTheme="minorHAnsi" w:cstheme="minorBidi"/>
          <w:lang w:val="en-AU" w:eastAsia="en-AU"/>
        </w:rPr>
      </w:pPr>
      <w:hyperlink w:anchor="_Toc462651318" w:history="1">
        <w:r w:rsidRPr="00CB46D2">
          <w:rPr>
            <w:rStyle w:val="Hyperlink"/>
            <w:rFonts w:cs="Arial"/>
          </w:rPr>
          <w:t>Option 2 - Revoke the mandatory safety standard</w:t>
        </w:r>
        <w:r>
          <w:rPr>
            <w:webHidden/>
          </w:rPr>
          <w:tab/>
        </w:r>
        <w:r>
          <w:rPr>
            <w:webHidden/>
          </w:rPr>
          <w:fldChar w:fldCharType="begin"/>
        </w:r>
        <w:r>
          <w:rPr>
            <w:webHidden/>
          </w:rPr>
          <w:instrText xml:space="preserve"> PAGEREF _Toc462651318 \h </w:instrText>
        </w:r>
        <w:r>
          <w:rPr>
            <w:webHidden/>
          </w:rPr>
        </w:r>
        <w:r>
          <w:rPr>
            <w:webHidden/>
          </w:rPr>
          <w:fldChar w:fldCharType="separate"/>
        </w:r>
        <w:r>
          <w:rPr>
            <w:webHidden/>
          </w:rPr>
          <w:t>9</w:t>
        </w:r>
        <w:r>
          <w:rPr>
            <w:webHidden/>
          </w:rPr>
          <w:fldChar w:fldCharType="end"/>
        </w:r>
      </w:hyperlink>
    </w:p>
    <w:p w:rsidR="00672240" w:rsidRDefault="00672240">
      <w:pPr>
        <w:pStyle w:val="TOC1"/>
        <w:rPr>
          <w:rFonts w:asciiTheme="minorHAnsi" w:eastAsiaTheme="minorEastAsia" w:hAnsiTheme="minorHAnsi" w:cstheme="minorBidi"/>
          <w:lang w:val="en-AU" w:eastAsia="en-AU"/>
        </w:rPr>
      </w:pPr>
      <w:hyperlink w:anchor="_Toc462651319" w:history="1">
        <w:r w:rsidRPr="00CB46D2">
          <w:rPr>
            <w:rStyle w:val="Hyperlink"/>
            <w:rFonts w:cs="Arial"/>
          </w:rPr>
          <w:t>Option 3 – Adopt the updated voluntary Australian standard</w:t>
        </w:r>
        <w:r>
          <w:rPr>
            <w:webHidden/>
          </w:rPr>
          <w:tab/>
        </w:r>
        <w:r>
          <w:rPr>
            <w:webHidden/>
          </w:rPr>
          <w:fldChar w:fldCharType="begin"/>
        </w:r>
        <w:r>
          <w:rPr>
            <w:webHidden/>
          </w:rPr>
          <w:instrText xml:space="preserve"> PAGEREF _Toc462651319 \h </w:instrText>
        </w:r>
        <w:r>
          <w:rPr>
            <w:webHidden/>
          </w:rPr>
        </w:r>
        <w:r>
          <w:rPr>
            <w:webHidden/>
          </w:rPr>
          <w:fldChar w:fldCharType="separate"/>
        </w:r>
        <w:r>
          <w:rPr>
            <w:webHidden/>
          </w:rPr>
          <w:t>9</w:t>
        </w:r>
        <w:r>
          <w:rPr>
            <w:webHidden/>
          </w:rPr>
          <w:fldChar w:fldCharType="end"/>
        </w:r>
      </w:hyperlink>
    </w:p>
    <w:p w:rsidR="00672240" w:rsidRDefault="00672240">
      <w:pPr>
        <w:pStyle w:val="TOC1"/>
        <w:rPr>
          <w:rFonts w:asciiTheme="minorHAnsi" w:eastAsiaTheme="minorEastAsia" w:hAnsiTheme="minorHAnsi" w:cstheme="minorBidi"/>
          <w:lang w:val="en-AU" w:eastAsia="en-AU"/>
        </w:rPr>
      </w:pPr>
      <w:hyperlink w:anchor="_Toc462651320" w:history="1">
        <w:r w:rsidRPr="00CB46D2">
          <w:rPr>
            <w:rStyle w:val="Hyperlink"/>
            <w:rFonts w:cs="Arial"/>
          </w:rPr>
          <w:t>Option 4 - Allow Australian or trusted international standards</w:t>
        </w:r>
        <w:r>
          <w:rPr>
            <w:webHidden/>
          </w:rPr>
          <w:tab/>
        </w:r>
        <w:r>
          <w:rPr>
            <w:webHidden/>
          </w:rPr>
          <w:fldChar w:fldCharType="begin"/>
        </w:r>
        <w:r>
          <w:rPr>
            <w:webHidden/>
          </w:rPr>
          <w:instrText xml:space="preserve"> PAGEREF _Toc462651320 \h </w:instrText>
        </w:r>
        <w:r>
          <w:rPr>
            <w:webHidden/>
          </w:rPr>
        </w:r>
        <w:r>
          <w:rPr>
            <w:webHidden/>
          </w:rPr>
          <w:fldChar w:fldCharType="separate"/>
        </w:r>
        <w:r>
          <w:rPr>
            <w:webHidden/>
          </w:rPr>
          <w:t>10</w:t>
        </w:r>
        <w:r>
          <w:rPr>
            <w:webHidden/>
          </w:rPr>
          <w:fldChar w:fldCharType="end"/>
        </w:r>
      </w:hyperlink>
    </w:p>
    <w:p w:rsidR="00672240" w:rsidRDefault="00672240">
      <w:pPr>
        <w:pStyle w:val="TOC1"/>
        <w:rPr>
          <w:rFonts w:asciiTheme="minorHAnsi" w:eastAsiaTheme="minorEastAsia" w:hAnsiTheme="minorHAnsi" w:cstheme="minorBidi"/>
          <w:lang w:val="en-AU" w:eastAsia="en-AU"/>
        </w:rPr>
      </w:pPr>
      <w:hyperlink w:anchor="_Toc462651321" w:history="1">
        <w:r w:rsidRPr="00CB46D2">
          <w:rPr>
            <w:rStyle w:val="Hyperlink"/>
          </w:rPr>
          <w:t>6.</w:t>
        </w:r>
        <w:r>
          <w:rPr>
            <w:rFonts w:asciiTheme="minorHAnsi" w:eastAsiaTheme="minorEastAsia" w:hAnsiTheme="minorHAnsi" w:cstheme="minorBidi"/>
            <w:lang w:val="en-AU" w:eastAsia="en-AU"/>
          </w:rPr>
          <w:tab/>
        </w:r>
        <w:r w:rsidRPr="00CB46D2">
          <w:rPr>
            <w:rStyle w:val="Hyperlink"/>
          </w:rPr>
          <w:t>Preliminary position</w:t>
        </w:r>
        <w:r>
          <w:rPr>
            <w:webHidden/>
          </w:rPr>
          <w:tab/>
        </w:r>
        <w:r>
          <w:rPr>
            <w:webHidden/>
          </w:rPr>
          <w:fldChar w:fldCharType="begin"/>
        </w:r>
        <w:r>
          <w:rPr>
            <w:webHidden/>
          </w:rPr>
          <w:instrText xml:space="preserve"> PAGEREF _Toc462651321 \h </w:instrText>
        </w:r>
        <w:r>
          <w:rPr>
            <w:webHidden/>
          </w:rPr>
        </w:r>
        <w:r>
          <w:rPr>
            <w:webHidden/>
          </w:rPr>
          <w:fldChar w:fldCharType="separate"/>
        </w:r>
        <w:r>
          <w:rPr>
            <w:webHidden/>
          </w:rPr>
          <w:t>10</w:t>
        </w:r>
        <w:r>
          <w:rPr>
            <w:webHidden/>
          </w:rPr>
          <w:fldChar w:fldCharType="end"/>
        </w:r>
      </w:hyperlink>
    </w:p>
    <w:p w:rsidR="00672240" w:rsidRDefault="00672240">
      <w:pPr>
        <w:pStyle w:val="TOC1"/>
        <w:rPr>
          <w:rFonts w:asciiTheme="minorHAnsi" w:eastAsiaTheme="minorEastAsia" w:hAnsiTheme="minorHAnsi" w:cstheme="minorBidi"/>
          <w:lang w:val="en-AU" w:eastAsia="en-AU"/>
        </w:rPr>
      </w:pPr>
      <w:hyperlink w:anchor="_Toc462651322" w:history="1">
        <w:r w:rsidRPr="00CB46D2">
          <w:rPr>
            <w:rStyle w:val="Hyperlink"/>
          </w:rPr>
          <w:t>7.</w:t>
        </w:r>
        <w:r>
          <w:rPr>
            <w:rFonts w:asciiTheme="minorHAnsi" w:eastAsiaTheme="minorEastAsia" w:hAnsiTheme="minorHAnsi" w:cstheme="minorBidi"/>
            <w:lang w:val="en-AU" w:eastAsia="en-AU"/>
          </w:rPr>
          <w:tab/>
        </w:r>
        <w:r w:rsidRPr="00CB46D2">
          <w:rPr>
            <w:rStyle w:val="Hyperlink"/>
          </w:rPr>
          <w:t>Transition period</w:t>
        </w:r>
        <w:r>
          <w:rPr>
            <w:webHidden/>
          </w:rPr>
          <w:tab/>
        </w:r>
        <w:r>
          <w:rPr>
            <w:webHidden/>
          </w:rPr>
          <w:fldChar w:fldCharType="begin"/>
        </w:r>
        <w:r>
          <w:rPr>
            <w:webHidden/>
          </w:rPr>
          <w:instrText xml:space="preserve"> PAGEREF _Toc462651322 \h </w:instrText>
        </w:r>
        <w:r>
          <w:rPr>
            <w:webHidden/>
          </w:rPr>
        </w:r>
        <w:r>
          <w:rPr>
            <w:webHidden/>
          </w:rPr>
          <w:fldChar w:fldCharType="separate"/>
        </w:r>
        <w:r>
          <w:rPr>
            <w:webHidden/>
          </w:rPr>
          <w:t>11</w:t>
        </w:r>
        <w:r>
          <w:rPr>
            <w:webHidden/>
          </w:rPr>
          <w:fldChar w:fldCharType="end"/>
        </w:r>
      </w:hyperlink>
    </w:p>
    <w:p w:rsidR="00672240" w:rsidRDefault="00672240">
      <w:pPr>
        <w:pStyle w:val="TOC1"/>
        <w:rPr>
          <w:rFonts w:asciiTheme="minorHAnsi" w:eastAsiaTheme="minorEastAsia" w:hAnsiTheme="minorHAnsi" w:cstheme="minorBidi"/>
          <w:lang w:val="en-AU" w:eastAsia="en-AU"/>
        </w:rPr>
      </w:pPr>
      <w:hyperlink w:anchor="_Toc462651323" w:history="1">
        <w:r w:rsidRPr="00CB46D2">
          <w:rPr>
            <w:rStyle w:val="Hyperlink"/>
          </w:rPr>
          <w:t>8.</w:t>
        </w:r>
        <w:r>
          <w:rPr>
            <w:rFonts w:asciiTheme="minorHAnsi" w:eastAsiaTheme="minorEastAsia" w:hAnsiTheme="minorHAnsi" w:cstheme="minorBidi"/>
            <w:lang w:val="en-AU" w:eastAsia="en-AU"/>
          </w:rPr>
          <w:tab/>
        </w:r>
        <w:r w:rsidRPr="00CB46D2">
          <w:rPr>
            <w:rStyle w:val="Hyperlink"/>
          </w:rPr>
          <w:t>Consultation questions</w:t>
        </w:r>
        <w:r>
          <w:rPr>
            <w:webHidden/>
          </w:rPr>
          <w:tab/>
        </w:r>
        <w:r>
          <w:rPr>
            <w:webHidden/>
          </w:rPr>
          <w:fldChar w:fldCharType="begin"/>
        </w:r>
        <w:r>
          <w:rPr>
            <w:webHidden/>
          </w:rPr>
          <w:instrText xml:space="preserve"> PAGEREF _Toc462651323 \h </w:instrText>
        </w:r>
        <w:r>
          <w:rPr>
            <w:webHidden/>
          </w:rPr>
        </w:r>
        <w:r>
          <w:rPr>
            <w:webHidden/>
          </w:rPr>
          <w:fldChar w:fldCharType="separate"/>
        </w:r>
        <w:r>
          <w:rPr>
            <w:webHidden/>
          </w:rPr>
          <w:t>11</w:t>
        </w:r>
        <w:r>
          <w:rPr>
            <w:webHidden/>
          </w:rPr>
          <w:fldChar w:fldCharType="end"/>
        </w:r>
      </w:hyperlink>
    </w:p>
    <w:p w:rsidR="00672240" w:rsidRDefault="00672240">
      <w:pPr>
        <w:pStyle w:val="TOC1"/>
        <w:rPr>
          <w:rFonts w:asciiTheme="minorHAnsi" w:eastAsiaTheme="minorEastAsia" w:hAnsiTheme="minorHAnsi" w:cstheme="minorBidi"/>
          <w:lang w:val="en-AU" w:eastAsia="en-AU"/>
        </w:rPr>
      </w:pPr>
      <w:hyperlink w:anchor="_Toc462651324" w:history="1">
        <w:r w:rsidRPr="00CB46D2">
          <w:rPr>
            <w:rStyle w:val="Hyperlink"/>
          </w:rPr>
          <w:t>9.</w:t>
        </w:r>
        <w:r>
          <w:rPr>
            <w:rFonts w:asciiTheme="minorHAnsi" w:eastAsiaTheme="minorEastAsia" w:hAnsiTheme="minorHAnsi" w:cstheme="minorBidi"/>
            <w:lang w:val="en-AU" w:eastAsia="en-AU"/>
          </w:rPr>
          <w:tab/>
        </w:r>
        <w:r w:rsidRPr="00CB46D2">
          <w:rPr>
            <w:rStyle w:val="Hyperlink"/>
          </w:rPr>
          <w:t>Have your say</w:t>
        </w:r>
        <w:r>
          <w:rPr>
            <w:webHidden/>
          </w:rPr>
          <w:tab/>
        </w:r>
        <w:r>
          <w:rPr>
            <w:webHidden/>
          </w:rPr>
          <w:fldChar w:fldCharType="begin"/>
        </w:r>
        <w:r>
          <w:rPr>
            <w:webHidden/>
          </w:rPr>
          <w:instrText xml:space="preserve"> PAGEREF _Toc462651324 \h </w:instrText>
        </w:r>
        <w:r>
          <w:rPr>
            <w:webHidden/>
          </w:rPr>
        </w:r>
        <w:r>
          <w:rPr>
            <w:webHidden/>
          </w:rPr>
          <w:fldChar w:fldCharType="separate"/>
        </w:r>
        <w:r>
          <w:rPr>
            <w:webHidden/>
          </w:rPr>
          <w:t>11</w:t>
        </w:r>
        <w:r>
          <w:rPr>
            <w:webHidden/>
          </w:rPr>
          <w:fldChar w:fldCharType="end"/>
        </w:r>
      </w:hyperlink>
    </w:p>
    <w:p w:rsidR="00782C4B" w:rsidRDefault="0086325C" w:rsidP="00BD204E">
      <w:pPr>
        <w:ind w:right="401"/>
        <w:rPr>
          <w:rFonts w:ascii="Lucida Fax" w:eastAsia="Times New Roman" w:hAnsi="Lucida Fax"/>
          <w:bCs/>
          <w:color w:val="51626F"/>
          <w:sz w:val="32"/>
          <w:szCs w:val="28"/>
        </w:rPr>
      </w:pPr>
      <w:r w:rsidRPr="00242590">
        <w:rPr>
          <w:rFonts w:eastAsia="Times New Roman" w:cs="Arial"/>
          <w:bCs/>
          <w:color w:val="51626F"/>
          <w:sz w:val="20"/>
          <w:szCs w:val="20"/>
        </w:rPr>
        <w:fldChar w:fldCharType="end"/>
      </w:r>
      <w:bookmarkStart w:id="1" w:name="_Toc453759776"/>
      <w:bookmarkStart w:id="2" w:name="_Toc453749322"/>
      <w:bookmarkEnd w:id="0"/>
    </w:p>
    <w:p w:rsidR="00935D49" w:rsidRDefault="00782C4B" w:rsidP="00E8751F">
      <w:pPr>
        <w:pStyle w:val="Numbered1"/>
        <w:numPr>
          <w:ilvl w:val="0"/>
          <w:numId w:val="27"/>
        </w:numPr>
        <w:spacing w:before="0"/>
        <w:ind w:left="680" w:hanging="680"/>
      </w:pPr>
      <w:r>
        <w:br w:type="page"/>
      </w:r>
      <w:bookmarkStart w:id="3" w:name="_Toc459041398"/>
      <w:bookmarkStart w:id="4" w:name="_Toc462651304"/>
      <w:bookmarkEnd w:id="1"/>
      <w:r w:rsidR="00935D49" w:rsidRPr="00382011">
        <w:lastRenderedPageBreak/>
        <w:t>Introduction</w:t>
      </w:r>
      <w:bookmarkEnd w:id="2"/>
      <w:bookmarkEnd w:id="3"/>
      <w:bookmarkEnd w:id="4"/>
    </w:p>
    <w:p w:rsidR="000C6D5B" w:rsidRPr="007F3BFA" w:rsidRDefault="00935D49" w:rsidP="000C6D5B">
      <w:r w:rsidRPr="004421B4">
        <w:t>The</w:t>
      </w:r>
      <w:r>
        <w:t xml:space="preserve"> ACCC is reviewing the mandatory safet</w:t>
      </w:r>
      <w:r w:rsidR="00DE37CD">
        <w:t xml:space="preserve">y standard </w:t>
      </w:r>
      <w:r>
        <w:t xml:space="preserve">for </w:t>
      </w:r>
      <w:r w:rsidR="00DD5C69">
        <w:t>sunglasses</w:t>
      </w:r>
      <w:r w:rsidR="004A35D6">
        <w:t xml:space="preserve">. </w:t>
      </w:r>
      <w:bookmarkStart w:id="5" w:name="_Toc453749323"/>
      <w:r w:rsidR="004A35D6">
        <w:t xml:space="preserve">We are </w:t>
      </w:r>
      <w:r w:rsidR="00053F7C">
        <w:t>seek</w:t>
      </w:r>
      <w:r w:rsidR="004A35D6">
        <w:t>ing</w:t>
      </w:r>
      <w:r w:rsidR="00053F7C">
        <w:t xml:space="preserve"> </w:t>
      </w:r>
      <w:r w:rsidR="00554293">
        <w:t xml:space="preserve">input from industry, testing authorities </w:t>
      </w:r>
      <w:r w:rsidR="00DC01B3">
        <w:t xml:space="preserve">and </w:t>
      </w:r>
      <w:r w:rsidR="00554293">
        <w:t xml:space="preserve">any </w:t>
      </w:r>
      <w:r w:rsidR="00DC01B3">
        <w:t xml:space="preserve">interested </w:t>
      </w:r>
      <w:r w:rsidR="00554293">
        <w:t>party</w:t>
      </w:r>
      <w:r w:rsidR="00DC01B3">
        <w:t xml:space="preserve"> on the proposed </w:t>
      </w:r>
      <w:r w:rsidR="00053F7C">
        <w:t>change</w:t>
      </w:r>
      <w:r w:rsidR="004A35D6">
        <w:t>,</w:t>
      </w:r>
      <w:r w:rsidR="00053F7C">
        <w:t xml:space="preserve"> </w:t>
      </w:r>
      <w:r w:rsidR="00DC01B3">
        <w:t xml:space="preserve">and </w:t>
      </w:r>
      <w:r w:rsidR="00053F7C">
        <w:t xml:space="preserve">on </w:t>
      </w:r>
      <w:r w:rsidR="00DC01B3">
        <w:t xml:space="preserve">the timing of </w:t>
      </w:r>
      <w:r w:rsidR="00053F7C">
        <w:t xml:space="preserve">when it might </w:t>
      </w:r>
      <w:r w:rsidR="00053F7C" w:rsidRPr="007F3BFA">
        <w:t>tak</w:t>
      </w:r>
      <w:r w:rsidR="00053F7C">
        <w:t>e</w:t>
      </w:r>
      <w:r w:rsidR="00053F7C" w:rsidRPr="007F3BFA">
        <w:t xml:space="preserve"> </w:t>
      </w:r>
      <w:r w:rsidR="00DC01B3" w:rsidRPr="007F3BFA">
        <w:t>effect</w:t>
      </w:r>
      <w:r w:rsidR="00DD5C69" w:rsidRPr="007F3BFA">
        <w:t>.</w:t>
      </w:r>
      <w:r w:rsidR="000C6D5B" w:rsidRPr="007F3BFA">
        <w:t xml:space="preserve"> </w:t>
      </w:r>
    </w:p>
    <w:p w:rsidR="00134466" w:rsidRDefault="000C6D5B" w:rsidP="000C6D5B">
      <w:r w:rsidRPr="007F3BFA">
        <w:t xml:space="preserve">This consultation paper </w:t>
      </w:r>
      <w:r w:rsidR="00E8751F">
        <w:t xml:space="preserve">considers four policy options and </w:t>
      </w:r>
      <w:r w:rsidRPr="007F3BFA">
        <w:t>discusses our proposal to update the mandatory standard for sunglasses</w:t>
      </w:r>
      <w:r w:rsidR="007E2ECF">
        <w:t xml:space="preserve">. </w:t>
      </w:r>
      <w:r w:rsidR="00E8751F">
        <w:t xml:space="preserve">The ACCC considers </w:t>
      </w:r>
      <w:r w:rsidR="007E2ECF">
        <w:t xml:space="preserve">Option 3 </w:t>
      </w:r>
      <w:r w:rsidR="00E8751F">
        <w:t>offers the best net outcome for business and consumers</w:t>
      </w:r>
      <w:r w:rsidR="00CE13DE">
        <w:t xml:space="preserve">. This option </w:t>
      </w:r>
      <w:r w:rsidR="007E2ECF">
        <w:t xml:space="preserve">would change the </w:t>
      </w:r>
      <w:r w:rsidR="004C3631">
        <w:t xml:space="preserve">reference in the </w:t>
      </w:r>
      <w:r w:rsidR="007E2ECF">
        <w:t xml:space="preserve">mandatory standard </w:t>
      </w:r>
      <w:r w:rsidRPr="007F3BFA">
        <w:t>from the 2003 version of the voluntary Australia</w:t>
      </w:r>
      <w:r w:rsidR="00992069">
        <w:t>n</w:t>
      </w:r>
      <w:r w:rsidRPr="007F3BFA">
        <w:t xml:space="preserve"> </w:t>
      </w:r>
      <w:r>
        <w:t xml:space="preserve">standard </w:t>
      </w:r>
      <w:r w:rsidR="00BD246B">
        <w:br/>
      </w:r>
      <w:r w:rsidRPr="00DC01B3">
        <w:t>AS/NZS</w:t>
      </w:r>
      <w:r w:rsidR="00992069">
        <w:t xml:space="preserve"> </w:t>
      </w:r>
      <w:r w:rsidRPr="00DC01B3">
        <w:t>1067:</w:t>
      </w:r>
      <w:r>
        <w:t>2003</w:t>
      </w:r>
      <w:r w:rsidRPr="00DC01B3">
        <w:t xml:space="preserve"> </w:t>
      </w:r>
      <w:r w:rsidR="00AC1AA6">
        <w:rPr>
          <w:i/>
        </w:rPr>
        <w:t>S</w:t>
      </w:r>
      <w:r w:rsidRPr="00DC01B3">
        <w:rPr>
          <w:i/>
        </w:rPr>
        <w:t>unglasses &amp; fashion spectacles</w:t>
      </w:r>
      <w:r w:rsidRPr="00DC01B3">
        <w:t xml:space="preserve"> </w:t>
      </w:r>
      <w:r>
        <w:t>(AS/NZS</w:t>
      </w:r>
      <w:r w:rsidR="00992069">
        <w:t xml:space="preserve"> </w:t>
      </w:r>
      <w:r>
        <w:t xml:space="preserve">1067:2003) </w:t>
      </w:r>
      <w:r w:rsidRPr="00DC01B3">
        <w:t>to th</w:t>
      </w:r>
      <w:r>
        <w:t xml:space="preserve">e latest </w:t>
      </w:r>
      <w:r w:rsidR="00421B91">
        <w:t xml:space="preserve">(two part) </w:t>
      </w:r>
      <w:r>
        <w:t>edition</w:t>
      </w:r>
      <w:r w:rsidR="00AC1AA6" w:rsidRPr="00AC1AA6">
        <w:t xml:space="preserve"> AS/NZS</w:t>
      </w:r>
      <w:r w:rsidR="00992069">
        <w:t xml:space="preserve"> </w:t>
      </w:r>
      <w:r w:rsidR="00AC1AA6" w:rsidRPr="00AC1AA6">
        <w:t>1067</w:t>
      </w:r>
      <w:r w:rsidR="00AC1AA6">
        <w:t>.1</w:t>
      </w:r>
      <w:r w:rsidR="00B503C5">
        <w:t>:</w:t>
      </w:r>
      <w:r w:rsidR="00AC1AA6" w:rsidRPr="00AC1AA6">
        <w:t>20</w:t>
      </w:r>
      <w:r w:rsidR="00AC1AA6">
        <w:t>16</w:t>
      </w:r>
      <w:r w:rsidR="00AC1AA6" w:rsidRPr="00AC1AA6">
        <w:t xml:space="preserve"> </w:t>
      </w:r>
      <w:r w:rsidR="00AC1AA6" w:rsidRPr="00AC1AA6">
        <w:rPr>
          <w:i/>
        </w:rPr>
        <w:t>Eye and face protection - sunglasses and fashion spectacles</w:t>
      </w:r>
      <w:r w:rsidR="00AC1AA6">
        <w:t xml:space="preserve"> and </w:t>
      </w:r>
      <w:r w:rsidR="00AC1AA6" w:rsidRPr="00AC1AA6">
        <w:t>AS/NZS</w:t>
      </w:r>
      <w:r w:rsidR="00992069">
        <w:t xml:space="preserve"> </w:t>
      </w:r>
      <w:r w:rsidR="00AC1AA6" w:rsidRPr="00AC1AA6">
        <w:t>1067</w:t>
      </w:r>
      <w:r w:rsidR="00AC1AA6">
        <w:t>.2</w:t>
      </w:r>
      <w:r w:rsidR="00AC1AA6" w:rsidRPr="00AC1AA6">
        <w:t>:20</w:t>
      </w:r>
      <w:r w:rsidR="00AC1AA6">
        <w:t>16</w:t>
      </w:r>
      <w:r w:rsidR="00AC1AA6" w:rsidRPr="00AC1AA6">
        <w:t xml:space="preserve"> </w:t>
      </w:r>
      <w:r w:rsidR="00AC1AA6" w:rsidRPr="00B503C5">
        <w:rPr>
          <w:i/>
        </w:rPr>
        <w:t xml:space="preserve">Eye </w:t>
      </w:r>
      <w:r w:rsidR="00B503C5" w:rsidRPr="00B503C5">
        <w:rPr>
          <w:i/>
        </w:rPr>
        <w:t>and</w:t>
      </w:r>
      <w:r w:rsidR="00AC1AA6" w:rsidRPr="00B503C5">
        <w:rPr>
          <w:i/>
        </w:rPr>
        <w:t xml:space="preserve"> face protection - sunglasses </w:t>
      </w:r>
      <w:r w:rsidR="00B503C5" w:rsidRPr="00B503C5">
        <w:rPr>
          <w:i/>
        </w:rPr>
        <w:t>and</w:t>
      </w:r>
      <w:r w:rsidR="00AC1AA6" w:rsidRPr="00B503C5">
        <w:rPr>
          <w:i/>
        </w:rPr>
        <w:t xml:space="preserve"> fashion spectacles – Test methods</w:t>
      </w:r>
      <w:r w:rsidR="00B503C5" w:rsidRPr="00B503C5">
        <w:t xml:space="preserve"> (AS/NZS</w:t>
      </w:r>
      <w:r w:rsidR="00992069">
        <w:t xml:space="preserve"> </w:t>
      </w:r>
      <w:r w:rsidR="00B503C5" w:rsidRPr="00B503C5">
        <w:t>1067:20</w:t>
      </w:r>
      <w:r w:rsidR="00B503C5">
        <w:t>16).</w:t>
      </w:r>
    </w:p>
    <w:p w:rsidR="000C6D5B" w:rsidRDefault="00052D2C" w:rsidP="000C6D5B">
      <w:r>
        <w:t xml:space="preserve">Option 3 </w:t>
      </w:r>
      <w:r w:rsidR="00053F7C">
        <w:t>is</w:t>
      </w:r>
      <w:r>
        <w:t xml:space="preserve"> a minor change </w:t>
      </w:r>
      <w:r w:rsidR="004A35D6">
        <w:t xml:space="preserve">as </w:t>
      </w:r>
      <w:r w:rsidR="007566DC">
        <w:t>i</w:t>
      </w:r>
      <w:r w:rsidR="004C3631">
        <w:t>t retain</w:t>
      </w:r>
      <w:r w:rsidR="00D74E55">
        <w:t>s</w:t>
      </w:r>
      <w:r w:rsidR="004C3631">
        <w:t xml:space="preserve"> existing safety requirements and involve</w:t>
      </w:r>
      <w:r w:rsidR="00D74E55">
        <w:t>s</w:t>
      </w:r>
      <w:r w:rsidR="004C3631">
        <w:t xml:space="preserve"> no change in administrative effort or compliance costs</w:t>
      </w:r>
      <w:r w:rsidR="000C6D5B">
        <w:t xml:space="preserve">. </w:t>
      </w:r>
    </w:p>
    <w:bookmarkEnd w:id="5"/>
    <w:p w:rsidR="006B6636" w:rsidRDefault="00A62CC1" w:rsidP="006B6636">
      <w:pPr>
        <w:pStyle w:val="ListParagraph"/>
        <w:numPr>
          <w:ilvl w:val="0"/>
          <w:numId w:val="0"/>
        </w:numPr>
        <w:ind w:left="340" w:hanging="340"/>
      </w:pPr>
      <w:r>
        <w:rPr>
          <w:noProof/>
        </w:rPr>
        <w:pict>
          <v:shape id="Text Box 2" o:spid="_x0000_s1038" type="#_x0000_t202" style="position:absolute;left:0;text-align:left;margin-left:-1.6pt;margin-top:9.25pt;width:447.75pt;height:69.7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oNNJQIAAE0EAAAOAAAAZHJzL2Uyb0RvYy54bWysVNtu2zAMfR+wfxD0vjjJkjQ14hRdugwD&#10;ugvQ7gNoWY6FSaInKbGzrx8lp2l2wR6G+UEgReqQPCS9uumNZgfpvEJb8MlozJm0AitldwX/8rh9&#10;teTMB7AVaLSy4Efp+c365YtV1+Zyig3qSjpGINbnXVvwJoQ2zzIvGmnAj7CVlow1OgOBVLfLKgcd&#10;oRudTcfjRdahq1qHQnpPt3eDka8Tfl1LET7VtZeB6YJTbiGdLp1lPLP1CvKdg7ZR4pQG/EMWBpSl&#10;oGeoOwjA9k79BmWUcOixDiOBJsO6VkKmGqiayfiXah4aaGWqhcjx7Zkm//9gxcfDZ8dUVfDX4yvO&#10;LBhq0qPsA3uDPZtGfrrW5+T20JJj6Oma+pxq9e09iq+eWdw0YHfy1jnsGgkV5TeJL7OLpwOOjyBl&#10;9wErCgP7gAmor52J5BEdjNCpT8dzb2Iqgi7ni+ViNp1zJsi2XM6XJMcQkD+9bp0P7yQaFoWCO+p9&#10;QofDvQ+D65NLDOZRq2qrtE6K25Ub7dgBaE626Tuh/+SmLesKfj2n2H+HGKfvTxBGBRp4rQxVcXaC&#10;PNL21laUJuQBlB5kqk7bE4+RuoHE0Jd9alkiOXJcYnUkYh0O8037SEKD7jtnHc12wf23PTjJmX5v&#10;qTnXk9ksLkNSZvOrKSnu0lJeWsAKgip44GwQNyEtUEzV4i01sVaJ3+dMTinTzKYOnfYrLsWlnrye&#10;/wLrHwAAAP//AwBQSwMEFAAGAAgAAAAhAOGUNyPgAAAADAEAAA8AAABkcnMvZG93bnJldi54bWxM&#10;j8FOwzAQRO9I/IO1SFwQdQKJaUOcCiGB4AYFwdWNt0mEvQ62m4a/xz3BcbRPs2/q9WwNm9CHwZGE&#10;fJEBQ2qdHqiT8P72cLkEFqIirYwjlPCDAdbN6UmtKu0O9IrTJnYslVColIQ+xrHiPLQ9WhUWbkRK&#10;t53zVsUUfce1V4dUbg2/yjLBrRoofejViPc9tl+bvZWwLJ6mz/B8/fLRip1ZxYub6fHbS3l+Nt/d&#10;Aos4xz8YjvpJHZrktHV70oGZlIuyTKiEohQC2JHIijzN20ooVyIH3tT8/4jmFwAA//8DAFBLAQIt&#10;ABQABgAIAAAAIQC2gziS/gAAAOEBAAATAAAAAAAAAAAAAAAAAAAAAABbQ29udGVudF9UeXBlc10u&#10;eG1sUEsBAi0AFAAGAAgAAAAhADj9If/WAAAAlAEAAAsAAAAAAAAAAAAAAAAALwEAAF9yZWxzLy5y&#10;ZWxzUEsBAi0AFAAGAAgAAAAhAMHeg00lAgAATQQAAA4AAAAAAAAAAAAAAAAALgIAAGRycy9lMm9E&#10;b2MueG1sUEsBAi0AFAAGAAgAAAAhAOGUNyPgAAAADAEAAA8AAAAAAAAAAAAAAAAAfwQAAGRycy9k&#10;b3ducmV2LnhtbFBLBQYAAAAABAAEAPMAAACMBQAAAAA=&#10;">
            <v:textbox style="mso-next-textbox:#Text Box 2">
              <w:txbxContent>
                <w:p w:rsidR="008C38BE" w:rsidRDefault="008C38BE" w:rsidP="006B6636">
                  <w:pPr>
                    <w:jc w:val="both"/>
                    <w:rPr>
                      <w:b/>
                    </w:rPr>
                  </w:pPr>
                  <w:r w:rsidRPr="00396799">
                    <w:rPr>
                      <w:b/>
                    </w:rPr>
                    <w:t xml:space="preserve">The consultation process outlined in this paper may be the only opportunity for </w:t>
                  </w:r>
                  <w:r>
                    <w:rPr>
                      <w:b/>
                    </w:rPr>
                    <w:t>you</w:t>
                  </w:r>
                  <w:r w:rsidRPr="00396799">
                    <w:rPr>
                      <w:b/>
                    </w:rPr>
                    <w:t xml:space="preserve"> to provide </w:t>
                  </w:r>
                  <w:r>
                    <w:rPr>
                      <w:b/>
                    </w:rPr>
                    <w:t>input into this review.</w:t>
                  </w:r>
                </w:p>
                <w:p w:rsidR="008C38BE" w:rsidRDefault="008C38BE" w:rsidP="006B6636">
                  <w:pPr>
                    <w:jc w:val="both"/>
                    <w:rPr>
                      <w:b/>
                    </w:rPr>
                  </w:pPr>
                  <w:r>
                    <w:rPr>
                      <w:b/>
                    </w:rPr>
                    <w:t>You</w:t>
                  </w:r>
                  <w:r w:rsidRPr="00396799">
                    <w:rPr>
                      <w:b/>
                    </w:rPr>
                    <w:t xml:space="preserve"> are encouraged to make submissions</w:t>
                  </w:r>
                  <w:r>
                    <w:rPr>
                      <w:b/>
                    </w:rPr>
                    <w:t>.</w:t>
                  </w:r>
                </w:p>
                <w:p w:rsidR="008C38BE" w:rsidRDefault="008C38BE" w:rsidP="006B6636">
                  <w:pPr>
                    <w:jc w:val="both"/>
                  </w:pPr>
                </w:p>
              </w:txbxContent>
            </v:textbox>
          </v:shape>
        </w:pict>
      </w:r>
    </w:p>
    <w:p w:rsidR="006B6636" w:rsidRDefault="006B6636" w:rsidP="006B6636">
      <w:pPr>
        <w:pStyle w:val="ListParagraph"/>
        <w:numPr>
          <w:ilvl w:val="0"/>
          <w:numId w:val="0"/>
        </w:numPr>
        <w:ind w:left="340" w:hanging="340"/>
      </w:pPr>
    </w:p>
    <w:p w:rsidR="006B6636" w:rsidRDefault="006B6636" w:rsidP="006B6636">
      <w:pPr>
        <w:pStyle w:val="ListParagraph"/>
        <w:numPr>
          <w:ilvl w:val="0"/>
          <w:numId w:val="0"/>
        </w:numPr>
        <w:ind w:left="340" w:hanging="340"/>
      </w:pPr>
    </w:p>
    <w:p w:rsidR="006B6636" w:rsidRDefault="006B6636" w:rsidP="006B6636">
      <w:pPr>
        <w:pStyle w:val="ListParagraph"/>
        <w:numPr>
          <w:ilvl w:val="0"/>
          <w:numId w:val="0"/>
        </w:numPr>
        <w:ind w:left="340" w:hanging="340"/>
      </w:pPr>
    </w:p>
    <w:p w:rsidR="00CE6BCF" w:rsidRDefault="0011768F" w:rsidP="00F45892">
      <w:pPr>
        <w:pStyle w:val="Numbered1"/>
        <w:numPr>
          <w:ilvl w:val="0"/>
          <w:numId w:val="27"/>
        </w:numPr>
        <w:spacing w:before="360"/>
        <w:ind w:left="680" w:hanging="680"/>
      </w:pPr>
      <w:bookmarkStart w:id="6" w:name="_Toc459041399"/>
      <w:bookmarkStart w:id="7" w:name="_Toc462651305"/>
      <w:r>
        <w:t>Policy options</w:t>
      </w:r>
      <w:bookmarkEnd w:id="6"/>
      <w:bookmarkEnd w:id="7"/>
    </w:p>
    <w:p w:rsidR="007E2ECF" w:rsidRDefault="006B6636" w:rsidP="006B6636">
      <w:bookmarkStart w:id="8" w:name="_Toc448397926"/>
      <w:bookmarkStart w:id="9" w:name="_Toc453749080"/>
      <w:bookmarkStart w:id="10" w:name="_Toc453749326"/>
      <w:bookmarkStart w:id="11" w:name="_Toc453749376"/>
      <w:bookmarkStart w:id="12" w:name="_Toc453759781"/>
      <w:bookmarkStart w:id="13" w:name="_Toc453763179"/>
      <w:bookmarkStart w:id="14" w:name="_Toc453763864"/>
      <w:bookmarkStart w:id="15" w:name="_Toc453765774"/>
      <w:bookmarkStart w:id="16" w:name="_Toc454443989"/>
      <w:bookmarkStart w:id="17" w:name="_Toc454544413"/>
      <w:bookmarkStart w:id="18" w:name="_Toc455579995"/>
      <w:bookmarkStart w:id="19" w:name="_Toc456277613"/>
      <w:bookmarkStart w:id="20" w:name="_Toc456278982"/>
      <w:bookmarkStart w:id="21" w:name="_Toc457311805"/>
      <w:r>
        <w:t>Th</w:t>
      </w:r>
      <w:r w:rsidR="005F19F6">
        <w:t xml:space="preserve">e ACCC </w:t>
      </w:r>
      <w:r w:rsidR="00BD246B">
        <w:t xml:space="preserve">is considering </w:t>
      </w:r>
      <w:r w:rsidRPr="00F47A7B">
        <w:t>four policy options</w:t>
      </w:r>
      <w:r w:rsidR="004C3631">
        <w:t>:</w:t>
      </w:r>
      <w:r w:rsidR="007E2ECF">
        <w:t xml:space="preserve"> </w:t>
      </w:r>
    </w:p>
    <w:tbl>
      <w:tblPr>
        <w:tblW w:w="0" w:type="auto"/>
        <w:tblLook w:val="04A0" w:firstRow="1" w:lastRow="0" w:firstColumn="1" w:lastColumn="0" w:noHBand="0" w:noVBand="1"/>
      </w:tblPr>
      <w:tblGrid>
        <w:gridCol w:w="1526"/>
        <w:gridCol w:w="7229"/>
      </w:tblGrid>
      <w:tr w:rsidR="00F45892" w:rsidRPr="00F47A7B" w:rsidTr="00804D7E">
        <w:tc>
          <w:tcPr>
            <w:tcW w:w="1526" w:type="dxa"/>
            <w:shd w:val="clear" w:color="auto" w:fill="auto"/>
          </w:tcPr>
          <w:p w:rsidR="00F45892" w:rsidRPr="00F47A7B" w:rsidRDefault="00F45892" w:rsidP="00804D7E">
            <w:r w:rsidRPr="00F45892">
              <w:t>Option 1</w:t>
            </w:r>
          </w:p>
        </w:tc>
        <w:tc>
          <w:tcPr>
            <w:tcW w:w="7229" w:type="dxa"/>
            <w:shd w:val="clear" w:color="auto" w:fill="auto"/>
          </w:tcPr>
          <w:p w:rsidR="00F45892" w:rsidRPr="00F47A7B" w:rsidRDefault="00F45892" w:rsidP="00804D7E">
            <w:r w:rsidRPr="00F45892">
              <w:t>Keep the current mandatory safety standard (status quo).</w:t>
            </w:r>
          </w:p>
        </w:tc>
      </w:tr>
      <w:tr w:rsidR="006B6636" w:rsidRPr="00F47A7B" w:rsidTr="00804D7E">
        <w:tc>
          <w:tcPr>
            <w:tcW w:w="1526" w:type="dxa"/>
            <w:shd w:val="clear" w:color="auto" w:fill="auto"/>
          </w:tcPr>
          <w:p w:rsidR="006B6636" w:rsidRPr="00F47A7B" w:rsidRDefault="006B6636" w:rsidP="00804D7E">
            <w:pPr>
              <w:rPr>
                <w:b/>
              </w:rPr>
            </w:pPr>
            <w:r w:rsidRPr="00F47A7B">
              <w:t>Option 2</w:t>
            </w:r>
          </w:p>
        </w:tc>
        <w:tc>
          <w:tcPr>
            <w:tcW w:w="7229" w:type="dxa"/>
            <w:shd w:val="clear" w:color="auto" w:fill="auto"/>
          </w:tcPr>
          <w:p w:rsidR="006B6636" w:rsidRPr="0086325C" w:rsidRDefault="006B6636" w:rsidP="00804D7E">
            <w:pPr>
              <w:rPr>
                <w:b/>
              </w:rPr>
            </w:pPr>
            <w:r w:rsidRPr="00F47A7B">
              <w:t>Re</w:t>
            </w:r>
            <w:r>
              <w:t>voke</w:t>
            </w:r>
            <w:r w:rsidRPr="00F47A7B">
              <w:t xml:space="preserve"> the mandatory safety standard</w:t>
            </w:r>
            <w:r w:rsidR="00A31D68">
              <w:t>.</w:t>
            </w:r>
          </w:p>
        </w:tc>
      </w:tr>
      <w:tr w:rsidR="006B6636" w:rsidRPr="00F47A7B" w:rsidTr="00804D7E">
        <w:tc>
          <w:tcPr>
            <w:tcW w:w="1526" w:type="dxa"/>
            <w:shd w:val="clear" w:color="auto" w:fill="auto"/>
          </w:tcPr>
          <w:p w:rsidR="006B6636" w:rsidRPr="005A60B4" w:rsidRDefault="006B6636" w:rsidP="00804D7E">
            <w:pPr>
              <w:rPr>
                <w:b/>
              </w:rPr>
            </w:pPr>
            <w:r w:rsidRPr="005A60B4">
              <w:t>Option 3</w:t>
            </w:r>
          </w:p>
        </w:tc>
        <w:tc>
          <w:tcPr>
            <w:tcW w:w="7229" w:type="dxa"/>
            <w:shd w:val="clear" w:color="auto" w:fill="auto"/>
          </w:tcPr>
          <w:p w:rsidR="006B6636" w:rsidRPr="00FA039C" w:rsidRDefault="006B6636" w:rsidP="00B7480F">
            <w:r>
              <w:t>Adopt the updated voluntary Australia</w:t>
            </w:r>
            <w:r w:rsidR="00B7480F">
              <w:t>/New Zealand</w:t>
            </w:r>
            <w:r>
              <w:t xml:space="preserve"> standard</w:t>
            </w:r>
            <w:r w:rsidR="00A31D68">
              <w:t>.</w:t>
            </w:r>
          </w:p>
        </w:tc>
      </w:tr>
      <w:tr w:rsidR="006B6636" w:rsidRPr="005A60B4" w:rsidTr="00804D7E">
        <w:tc>
          <w:tcPr>
            <w:tcW w:w="1526" w:type="dxa"/>
            <w:shd w:val="clear" w:color="auto" w:fill="auto"/>
          </w:tcPr>
          <w:p w:rsidR="006B6636" w:rsidRPr="006839D7" w:rsidRDefault="006B6636" w:rsidP="00804D7E">
            <w:r w:rsidRPr="005A60B4">
              <w:t>Option 4</w:t>
            </w:r>
          </w:p>
        </w:tc>
        <w:tc>
          <w:tcPr>
            <w:tcW w:w="7229" w:type="dxa"/>
            <w:shd w:val="clear" w:color="auto" w:fill="auto"/>
          </w:tcPr>
          <w:p w:rsidR="005F19F6" w:rsidRPr="00FA039C" w:rsidRDefault="006B6636" w:rsidP="006839D7">
            <w:r>
              <w:t>Allow compliance with the updated voluntary Australia</w:t>
            </w:r>
            <w:r w:rsidR="00B7480F">
              <w:t>/New Zealand</w:t>
            </w:r>
            <w:r>
              <w:t xml:space="preserve"> standard or trusted international standards</w:t>
            </w:r>
            <w:r w:rsidR="00A31D68">
              <w:t>.</w:t>
            </w:r>
          </w:p>
        </w:tc>
      </w:tr>
    </w:tbl>
    <w:p w:rsidR="00DA1099" w:rsidRDefault="00A10CFD" w:rsidP="00056C4F">
      <w:pPr>
        <w:pStyle w:val="Numbered1"/>
        <w:numPr>
          <w:ilvl w:val="0"/>
          <w:numId w:val="27"/>
        </w:numPr>
        <w:ind w:left="680" w:hanging="680"/>
      </w:pPr>
      <w:bookmarkStart w:id="22" w:name="_Toc459041400"/>
      <w:bookmarkStart w:id="23" w:name="_Toc462651306"/>
      <w:r>
        <w:t>Background</w:t>
      </w:r>
      <w:bookmarkEnd w:id="22"/>
      <w:bookmarkEnd w:id="23"/>
    </w:p>
    <w:p w:rsidR="00CE6BCF" w:rsidRDefault="00A10CFD" w:rsidP="007F3BFA">
      <w:pPr>
        <w:pStyle w:val="Numbered11"/>
        <w:numPr>
          <w:ilvl w:val="1"/>
          <w:numId w:val="43"/>
        </w:numPr>
      </w:pPr>
      <w:bookmarkStart w:id="24" w:name="_Toc457816062"/>
      <w:bookmarkStart w:id="25" w:name="_Toc457817009"/>
      <w:bookmarkStart w:id="26" w:name="_Toc459041401"/>
      <w:bookmarkStart w:id="27" w:name="_Toc462651307"/>
      <w:bookmarkEnd w:id="8"/>
      <w:bookmarkEnd w:id="9"/>
      <w:bookmarkEnd w:id="10"/>
      <w:bookmarkEnd w:id="11"/>
      <w:bookmarkEnd w:id="12"/>
      <w:bookmarkEnd w:id="13"/>
      <w:bookmarkEnd w:id="14"/>
      <w:bookmarkEnd w:id="15"/>
      <w:bookmarkEnd w:id="16"/>
      <w:bookmarkEnd w:id="17"/>
      <w:bookmarkEnd w:id="18"/>
      <w:bookmarkEnd w:id="19"/>
      <w:bookmarkEnd w:id="20"/>
      <w:bookmarkEnd w:id="21"/>
      <w:r>
        <w:t>Sunglasses in Australia</w:t>
      </w:r>
      <w:bookmarkEnd w:id="24"/>
      <w:bookmarkEnd w:id="25"/>
      <w:bookmarkEnd w:id="26"/>
      <w:bookmarkEnd w:id="27"/>
    </w:p>
    <w:p w:rsidR="003001BD" w:rsidRDefault="00A07259" w:rsidP="00AD0750">
      <w:r>
        <w:t>Most Australians own at least one pair of non-prescription sunglasses</w:t>
      </w:r>
      <w:r w:rsidR="004A35D6">
        <w:t>. They typically</w:t>
      </w:r>
      <w:r>
        <w:t xml:space="preserve"> use them for cutting out glare</w:t>
      </w:r>
      <w:r w:rsidR="00A31D68">
        <w:t xml:space="preserve"> and ultraviolet </w:t>
      </w:r>
      <w:r w:rsidR="00797BD2">
        <w:t xml:space="preserve">radiation </w:t>
      </w:r>
      <w:r w:rsidR="00A31D68">
        <w:t>(U</w:t>
      </w:r>
      <w:r w:rsidR="00EB340B">
        <w:t>V</w:t>
      </w:r>
      <w:r w:rsidR="00797BD2">
        <w:t>R</w:t>
      </w:r>
      <w:r w:rsidR="00A31D68">
        <w:t>)</w:t>
      </w:r>
      <w:r>
        <w:t>, as a fashion accessory</w:t>
      </w:r>
      <w:r w:rsidR="00EB340B">
        <w:t>,</w:t>
      </w:r>
      <w:r>
        <w:t xml:space="preserve"> for driving</w:t>
      </w:r>
      <w:r w:rsidR="00EC5196">
        <w:t>,</w:t>
      </w:r>
      <w:r>
        <w:t xml:space="preserve"> or </w:t>
      </w:r>
      <w:r w:rsidR="00EC5196">
        <w:t xml:space="preserve">for </w:t>
      </w:r>
      <w:r>
        <w:t xml:space="preserve">a combination of these reasons. </w:t>
      </w:r>
    </w:p>
    <w:p w:rsidR="00F75460" w:rsidRDefault="003001BD" w:rsidP="00AD0750">
      <w:r>
        <w:t>Sunglasses</w:t>
      </w:r>
      <w:r w:rsidR="00A07259">
        <w:t xml:space="preserve"> are widely available from </w:t>
      </w:r>
      <w:r w:rsidR="00972EE9">
        <w:t xml:space="preserve">stores selling general merchandise to specialised kiosks and optometrists, as well as online. </w:t>
      </w:r>
      <w:r w:rsidR="00EB340B">
        <w:t xml:space="preserve">There are two known manufacturers of sunglasses in Australia, </w:t>
      </w:r>
      <w:r w:rsidR="00255616">
        <w:t>and 150 to 200 wholesale suppliers import</w:t>
      </w:r>
      <w:r w:rsidR="00CE13DE">
        <w:t>ing</w:t>
      </w:r>
      <w:r w:rsidR="00255616">
        <w:t xml:space="preserve"> </w:t>
      </w:r>
      <w:r w:rsidR="00EB340B">
        <w:t xml:space="preserve">over 1000 brands. </w:t>
      </w:r>
      <w:r w:rsidR="00972EE9">
        <w:t>T</w:t>
      </w:r>
      <w:r w:rsidR="00972EE9" w:rsidRPr="00972EE9">
        <w:t xml:space="preserve">he market is dominated by a small group of large global companies specialising in optical dispensing services and sunglasses retailing. The largest of these is the Italian Luxottica Group, which is the world leader in the mid </w:t>
      </w:r>
      <w:r w:rsidR="00A31D68">
        <w:t>to</w:t>
      </w:r>
      <w:r w:rsidR="00972EE9" w:rsidRPr="00972EE9">
        <w:t xml:space="preserve"> premium value market sector</w:t>
      </w:r>
      <w:r w:rsidR="00006140">
        <w:t xml:space="preserve"> which can retail for $100’s to $1,000’s per pair</w:t>
      </w:r>
      <w:r w:rsidR="00972EE9" w:rsidRPr="00972EE9">
        <w:t xml:space="preserve">. Sunglasses sold at the budget end of the market sell </w:t>
      </w:r>
      <w:r w:rsidR="00A31D68">
        <w:t xml:space="preserve">for </w:t>
      </w:r>
      <w:r w:rsidR="00972EE9" w:rsidRPr="00972EE9">
        <w:t xml:space="preserve">between $5 and $30 </w:t>
      </w:r>
      <w:r w:rsidR="00255616">
        <w:t>and</w:t>
      </w:r>
      <w:r w:rsidR="00255616" w:rsidRPr="00972EE9">
        <w:t xml:space="preserve"> </w:t>
      </w:r>
      <w:r w:rsidR="00972EE9" w:rsidRPr="00972EE9">
        <w:t xml:space="preserve">are frequently unbranded or </w:t>
      </w:r>
      <w:r w:rsidR="00972EE9">
        <w:t>bear little-known brand names</w:t>
      </w:r>
      <w:r w:rsidR="00972EE9" w:rsidRPr="00972EE9">
        <w:t>.</w:t>
      </w:r>
    </w:p>
    <w:p w:rsidR="00A10CFD" w:rsidRDefault="004C3631" w:rsidP="00977F0E">
      <w:pPr>
        <w:pStyle w:val="Numbered11"/>
        <w:numPr>
          <w:ilvl w:val="1"/>
          <w:numId w:val="43"/>
        </w:numPr>
      </w:pPr>
      <w:bookmarkStart w:id="28" w:name="_Toc457816063"/>
      <w:bookmarkStart w:id="29" w:name="_Toc457817010"/>
      <w:bookmarkStart w:id="30" w:name="_Toc459041402"/>
      <w:bookmarkStart w:id="31" w:name="_Toc457311806"/>
      <w:bookmarkStart w:id="32" w:name="_Toc457222699"/>
      <w:bookmarkStart w:id="33" w:name="_Toc440455032"/>
      <w:bookmarkStart w:id="34" w:name="_Toc457220018"/>
      <w:bookmarkStart w:id="35" w:name="_Toc462651308"/>
      <w:r>
        <w:lastRenderedPageBreak/>
        <w:t>S</w:t>
      </w:r>
      <w:r w:rsidR="00A10CFD">
        <w:t>unglasses</w:t>
      </w:r>
      <w:bookmarkEnd w:id="28"/>
      <w:bookmarkEnd w:id="29"/>
      <w:bookmarkEnd w:id="30"/>
      <w:r>
        <w:t xml:space="preserve"> and injury</w:t>
      </w:r>
      <w:bookmarkEnd w:id="35"/>
    </w:p>
    <w:p w:rsidR="0049588C" w:rsidRDefault="0072656B" w:rsidP="00AD0750">
      <w:r w:rsidRPr="00F75460">
        <w:t>Australia, the E</w:t>
      </w:r>
      <w:r w:rsidR="003001BD">
        <w:t>uropean Union (E</w:t>
      </w:r>
      <w:r w:rsidRPr="00F75460">
        <w:t>U</w:t>
      </w:r>
      <w:r w:rsidR="003001BD">
        <w:t>)</w:t>
      </w:r>
      <w:r w:rsidRPr="00F75460">
        <w:t xml:space="preserve"> and the </w:t>
      </w:r>
      <w:r w:rsidR="002A5B55">
        <w:t>United States (</w:t>
      </w:r>
      <w:r w:rsidRPr="00F75460">
        <w:t>US</w:t>
      </w:r>
      <w:r w:rsidR="002A5B55">
        <w:t>)</w:t>
      </w:r>
      <w:r w:rsidRPr="00F75460">
        <w:t xml:space="preserve"> all mandate requirements for sunglasses</w:t>
      </w:r>
      <w:r w:rsidR="0049588C">
        <w:t xml:space="preserve"> in recognition of the safety hazard posed by sunlight</w:t>
      </w:r>
      <w:r w:rsidR="007566DC">
        <w:t>. C</w:t>
      </w:r>
      <w:r w:rsidR="0049588C">
        <w:t>hina is in the process of regulating</w:t>
      </w:r>
      <w:r w:rsidR="003001BD">
        <w:t xml:space="preserve"> sunglasses</w:t>
      </w:r>
      <w:r w:rsidRPr="00F75460">
        <w:t xml:space="preserve">. </w:t>
      </w:r>
    </w:p>
    <w:p w:rsidR="0072656B" w:rsidRDefault="0072656B" w:rsidP="00AD0750">
      <w:r>
        <w:t>I</w:t>
      </w:r>
      <w:r w:rsidRPr="00F75460">
        <w:t>t is difficult to quantify the level and seriousness of injury prevented in Australia and overseas by the standards</w:t>
      </w:r>
      <w:r>
        <w:t xml:space="preserve">, as </w:t>
      </w:r>
      <w:r w:rsidR="00587642">
        <w:t>t</w:t>
      </w:r>
      <w:r>
        <w:t xml:space="preserve">he damage accumulates over time. </w:t>
      </w:r>
      <w:r w:rsidR="00CE13DE">
        <w:t>L</w:t>
      </w:r>
      <w:r w:rsidR="00A10CFD" w:rsidRPr="00F75460">
        <w:t xml:space="preserve">ong-term exposure to </w:t>
      </w:r>
      <w:r w:rsidR="003001BD">
        <w:t>UV</w:t>
      </w:r>
      <w:r w:rsidR="00797BD2">
        <w:t xml:space="preserve">R </w:t>
      </w:r>
      <w:r w:rsidR="00A10CFD" w:rsidRPr="00F75460">
        <w:t xml:space="preserve">increases the risk of cataracts and </w:t>
      </w:r>
      <w:r w:rsidR="0073035B">
        <w:t xml:space="preserve">irreversible </w:t>
      </w:r>
      <w:r w:rsidR="00A10CFD" w:rsidRPr="00F75460">
        <w:t>damage to the retina</w:t>
      </w:r>
      <w:r w:rsidR="0073035B">
        <w:t xml:space="preserve">, </w:t>
      </w:r>
      <w:r w:rsidR="0073035B" w:rsidRPr="0073035B">
        <w:t xml:space="preserve">eye inflammation, pterygium (abnormal tissue growth over the eye) </w:t>
      </w:r>
      <w:r>
        <w:t>and</w:t>
      </w:r>
      <w:r w:rsidR="0073035B" w:rsidRPr="0073035B">
        <w:t xml:space="preserve"> eyelid cancers</w:t>
      </w:r>
      <w:r w:rsidR="00587642">
        <w:t>. According to the Skin Cancer Foundation</w:t>
      </w:r>
      <w:r w:rsidR="00EC5196">
        <w:t>,</w:t>
      </w:r>
      <w:r w:rsidR="00587642">
        <w:t xml:space="preserve"> eyelid cancers account for </w:t>
      </w:r>
      <w:r w:rsidR="00304144">
        <w:t xml:space="preserve">5 </w:t>
      </w:r>
      <w:r w:rsidR="00587642">
        <w:t>to 10 per</w:t>
      </w:r>
      <w:r w:rsidR="00304144">
        <w:t xml:space="preserve"> </w:t>
      </w:r>
      <w:r w:rsidR="00587642">
        <w:t xml:space="preserve">cent of all skin cancers </w:t>
      </w:r>
      <w:r w:rsidR="00587642" w:rsidRPr="00587642">
        <w:t xml:space="preserve">in the US </w:t>
      </w:r>
      <w:r w:rsidR="00587642">
        <w:t>and it recommends the use of sunglasses to prevent eyelid cancers</w:t>
      </w:r>
      <w:r w:rsidR="00587642">
        <w:rPr>
          <w:rStyle w:val="FootnoteReference"/>
        </w:rPr>
        <w:footnoteReference w:id="1"/>
      </w:r>
      <w:r w:rsidR="00A10CFD" w:rsidRPr="00F75460">
        <w:t xml:space="preserve">. </w:t>
      </w:r>
    </w:p>
    <w:p w:rsidR="0073035B" w:rsidRDefault="00A10CFD" w:rsidP="00AD0750">
      <w:r w:rsidRPr="00F75460">
        <w:t xml:space="preserve">Wearing sunglasses that absorb visible light but not </w:t>
      </w:r>
      <w:r w:rsidR="003001BD">
        <w:t>UV</w:t>
      </w:r>
      <w:r w:rsidR="00797BD2">
        <w:t>R</w:t>
      </w:r>
      <w:r w:rsidR="003001BD">
        <w:t xml:space="preserve"> </w:t>
      </w:r>
      <w:r w:rsidRPr="00F75460">
        <w:t xml:space="preserve">is more damaging than </w:t>
      </w:r>
      <w:r w:rsidR="0072656B">
        <w:t>not wearing sunglasses at all</w:t>
      </w:r>
      <w:r w:rsidRPr="00F75460">
        <w:t xml:space="preserve">. A person </w:t>
      </w:r>
      <w:r w:rsidR="00EB2415">
        <w:t xml:space="preserve">not wearing any sunglasses </w:t>
      </w:r>
      <w:r w:rsidRPr="00F75460">
        <w:t xml:space="preserve">will naturally squint in the light and pupils constrict, which lessens the amount of UVR that passes through to the retina compared to </w:t>
      </w:r>
      <w:r w:rsidR="00EB2415">
        <w:t>while wearing sunglasses, where the pupils are dilated</w:t>
      </w:r>
      <w:r w:rsidR="0073035B">
        <w:t xml:space="preserve">. </w:t>
      </w:r>
      <w:r w:rsidR="002D460E">
        <w:t xml:space="preserve">Such glasses may fail the requirements of the standard as they may not be suitable for driving. </w:t>
      </w:r>
      <w:r w:rsidR="0073035B">
        <w:t xml:space="preserve">Wearing the incorrect type of sunglasses </w:t>
      </w:r>
      <w:r w:rsidR="0072656B">
        <w:t xml:space="preserve">can also impair vision in low light and </w:t>
      </w:r>
      <w:r w:rsidR="00255616">
        <w:t xml:space="preserve">reduce </w:t>
      </w:r>
      <w:r w:rsidR="0072656B">
        <w:t>the ability of colour vision impaired people to distinguish the colour of traffic signals, creating a safety hazard while driving.</w:t>
      </w:r>
    </w:p>
    <w:p w:rsidR="00F75460" w:rsidRDefault="0011768F" w:rsidP="00977F0E">
      <w:pPr>
        <w:pStyle w:val="Numbered11"/>
        <w:numPr>
          <w:ilvl w:val="1"/>
          <w:numId w:val="43"/>
        </w:numPr>
      </w:pPr>
      <w:bookmarkStart w:id="36" w:name="_Toc457816064"/>
      <w:bookmarkStart w:id="37" w:name="_Toc457817011"/>
      <w:bookmarkStart w:id="38" w:name="_Toc459041403"/>
      <w:bookmarkStart w:id="39" w:name="_Toc462651309"/>
      <w:r>
        <w:t>The mandatory safety standard</w:t>
      </w:r>
      <w:bookmarkEnd w:id="36"/>
      <w:bookmarkEnd w:id="37"/>
      <w:bookmarkEnd w:id="38"/>
      <w:bookmarkEnd w:id="39"/>
    </w:p>
    <w:p w:rsidR="00B7480F" w:rsidRDefault="00B7480F" w:rsidP="00AD0750">
      <w:r w:rsidRPr="008B3349">
        <w:t xml:space="preserve">The </w:t>
      </w:r>
      <w:r w:rsidR="003464A0">
        <w:t>safety</w:t>
      </w:r>
      <w:r w:rsidR="003464A0" w:rsidRPr="008B3349">
        <w:t xml:space="preserve"> </w:t>
      </w:r>
      <w:r w:rsidRPr="008B3349">
        <w:t xml:space="preserve">standard for </w:t>
      </w:r>
      <w:r w:rsidR="00C56453">
        <w:t>sunglasses</w:t>
      </w:r>
      <w:r w:rsidRPr="008B3349">
        <w:t xml:space="preserve"> came into effect on 1 July 1985 and was last amended 25 August 2005. </w:t>
      </w:r>
      <w:r w:rsidRPr="00F75460">
        <w:t xml:space="preserve">The </w:t>
      </w:r>
      <w:r w:rsidR="004C3631">
        <w:t xml:space="preserve">requirements in the </w:t>
      </w:r>
      <w:r w:rsidRPr="00F75460">
        <w:t xml:space="preserve">mandatory standard </w:t>
      </w:r>
      <w:r w:rsidR="004C3631">
        <w:t>are based on those in the voluntary standard</w:t>
      </w:r>
      <w:r w:rsidRPr="00F75460">
        <w:t xml:space="preserve"> </w:t>
      </w:r>
      <w:r>
        <w:t>AS/NZS</w:t>
      </w:r>
      <w:r w:rsidR="00992069">
        <w:t xml:space="preserve"> </w:t>
      </w:r>
      <w:r>
        <w:t>1067</w:t>
      </w:r>
      <w:r w:rsidR="003001BD">
        <w:t>:2003</w:t>
      </w:r>
      <w:r w:rsidR="002D460E">
        <w:rPr>
          <w:rStyle w:val="FootnoteReference"/>
        </w:rPr>
        <w:footnoteReference w:id="2"/>
      </w:r>
      <w:r>
        <w:t>.</w:t>
      </w:r>
    </w:p>
    <w:p w:rsidR="00DB748C" w:rsidRPr="00F75460" w:rsidRDefault="00DB748C" w:rsidP="00AD0750">
      <w:r>
        <w:t xml:space="preserve">The mandatory standard </w:t>
      </w:r>
      <w:r w:rsidR="004C3631">
        <w:t>requires</w:t>
      </w:r>
      <w:r w:rsidR="004C3631" w:rsidRPr="004C3631">
        <w:t xml:space="preserve"> </w:t>
      </w:r>
      <w:r w:rsidR="004C3631" w:rsidRPr="00F75460">
        <w:t>sunglasses</w:t>
      </w:r>
      <w:r w:rsidR="004C3631">
        <w:t>,</w:t>
      </w:r>
      <w:r w:rsidR="004C3631" w:rsidRPr="00F75460">
        <w:t xml:space="preserve"> fashion spectacles </w:t>
      </w:r>
      <w:r w:rsidR="004C3631">
        <w:t xml:space="preserve">and polarized </w:t>
      </w:r>
      <w:r w:rsidRPr="00F75460">
        <w:t>lens</w:t>
      </w:r>
      <w:r w:rsidR="00437C4E">
        <w:t xml:space="preserve">es </w:t>
      </w:r>
      <w:r w:rsidR="004C3631">
        <w:t xml:space="preserve">to be labelled </w:t>
      </w:r>
      <w:r w:rsidR="00437C4E">
        <w:t>by</w:t>
      </w:r>
      <w:r w:rsidRPr="00F75460">
        <w:t xml:space="preserve"> </w:t>
      </w:r>
      <w:r w:rsidR="00437C4E" w:rsidRPr="00F75460">
        <w:t>categor</w:t>
      </w:r>
      <w:r w:rsidR="00437C4E">
        <w:t>y</w:t>
      </w:r>
      <w:r w:rsidRPr="00F75460">
        <w:t xml:space="preserve">, </w:t>
      </w:r>
      <w:r w:rsidR="00797BD2">
        <w:t xml:space="preserve">and includes </w:t>
      </w:r>
      <w:r w:rsidR="006A1538" w:rsidRPr="006A1538">
        <w:t>construction and design requirements</w:t>
      </w:r>
      <w:r w:rsidRPr="00F75460">
        <w:t>. Sunglasses provide varying levels of protection from the harmful effects of glare and UVR</w:t>
      </w:r>
      <w:r w:rsidR="002A5B55">
        <w:t>. F</w:t>
      </w:r>
      <w:r w:rsidRPr="00F75460">
        <w:t xml:space="preserve">ashion spectacles </w:t>
      </w:r>
      <w:r w:rsidR="001149A6">
        <w:t xml:space="preserve">that do </w:t>
      </w:r>
      <w:r w:rsidRPr="00F75460">
        <w:t>not</w:t>
      </w:r>
      <w:r w:rsidR="00437C4E">
        <w:t xml:space="preserve"> </w:t>
      </w:r>
      <w:r w:rsidR="004C3631">
        <w:t>provide protection</w:t>
      </w:r>
      <w:r w:rsidR="001149A6">
        <w:t xml:space="preserve"> </w:t>
      </w:r>
      <w:r w:rsidR="00437C4E">
        <w:t xml:space="preserve">must </w:t>
      </w:r>
      <w:r w:rsidR="001149A6">
        <w:t>say this on the label</w:t>
      </w:r>
      <w:r w:rsidRPr="00F75460">
        <w:t>.</w:t>
      </w:r>
    </w:p>
    <w:p w:rsidR="00F7233F" w:rsidRDefault="00F75460" w:rsidP="00AD0750">
      <w:r w:rsidRPr="00F75460">
        <w:t xml:space="preserve">The </w:t>
      </w:r>
      <w:r w:rsidR="005073FC">
        <w:t xml:space="preserve">labelling of lens categories enables </w:t>
      </w:r>
      <w:r w:rsidRPr="00F75460">
        <w:t>consumers</w:t>
      </w:r>
      <w:r w:rsidR="003001BD">
        <w:t xml:space="preserve"> </w:t>
      </w:r>
      <w:r w:rsidRPr="00F75460">
        <w:t xml:space="preserve">to select the appropriate glasses </w:t>
      </w:r>
      <w:r w:rsidR="00D37889">
        <w:t xml:space="preserve">based on the level of protection and their suitability </w:t>
      </w:r>
      <w:r w:rsidRPr="00F75460">
        <w:t xml:space="preserve">for different applications, such as </w:t>
      </w:r>
      <w:r w:rsidR="00437C4E">
        <w:t xml:space="preserve">for fashion </w:t>
      </w:r>
      <w:r w:rsidR="00797BD2">
        <w:t xml:space="preserve">or indoors </w:t>
      </w:r>
      <w:r w:rsidR="00437C4E">
        <w:t xml:space="preserve">only, </w:t>
      </w:r>
      <w:r w:rsidR="00D37889">
        <w:t>driving or high glare sporting activities</w:t>
      </w:r>
      <w:r w:rsidRPr="00F75460">
        <w:t xml:space="preserve">. </w:t>
      </w:r>
    </w:p>
    <w:p w:rsidR="00F7233F" w:rsidRDefault="00F75460" w:rsidP="00AD0750">
      <w:r w:rsidRPr="00F75460">
        <w:t xml:space="preserve">The standard covers one-piece visors, clip-on and children’s sunglasses, but not </w:t>
      </w:r>
      <w:r w:rsidR="00255616">
        <w:t xml:space="preserve">toy </w:t>
      </w:r>
      <w:r w:rsidRPr="00F75460">
        <w:t>glasses, ski goggles</w:t>
      </w:r>
      <w:r w:rsidR="00EC5196">
        <w:t xml:space="preserve"> </w:t>
      </w:r>
      <w:r w:rsidR="00925508">
        <w:t>or</w:t>
      </w:r>
      <w:r w:rsidRPr="00F75460">
        <w:t xml:space="preserve"> personal protective equipment (PPE) </w:t>
      </w:r>
      <w:r w:rsidR="00510C04">
        <w:t>for occupational or</w:t>
      </w:r>
      <w:r w:rsidRPr="00F75460">
        <w:t xml:space="preserve"> medical </w:t>
      </w:r>
      <w:r w:rsidR="00510C04">
        <w:t>use</w:t>
      </w:r>
      <w:r w:rsidR="002D460E">
        <w:t>, or prescription lenses</w:t>
      </w:r>
      <w:r w:rsidRPr="00F75460">
        <w:t>.</w:t>
      </w:r>
    </w:p>
    <w:p w:rsidR="007C3834" w:rsidRDefault="007C3834" w:rsidP="00AD0750">
      <w:r w:rsidRPr="007C3834">
        <w:t xml:space="preserve">The ACCC commissioned a survey in 2013 on consumer awareness of the role of sunglasses in protecting them from sun exposure and its impact on their purchasing decisions. The research found consumers considered the labels providing guidance on lens classification to be useful and important. Around 60 per cent were aware of the classifications and 79 per cent of those said the information would influence their choice of sunglass purchase. Consumers weighted safety as an equally important factor as other factors in 63 per cent of responses, and 30 per cent said </w:t>
      </w:r>
      <w:r w:rsidR="002A5B55">
        <w:t>safety</w:t>
      </w:r>
      <w:r w:rsidR="002A5B55" w:rsidRPr="007C3834">
        <w:t xml:space="preserve"> </w:t>
      </w:r>
      <w:r w:rsidRPr="007C3834">
        <w:t>was the most important factor in the purchase.</w:t>
      </w:r>
    </w:p>
    <w:p w:rsidR="00E0130C" w:rsidRDefault="00F75460" w:rsidP="005073FC">
      <w:pPr>
        <w:pStyle w:val="Numbered11"/>
        <w:numPr>
          <w:ilvl w:val="1"/>
          <w:numId w:val="43"/>
        </w:numPr>
      </w:pPr>
      <w:bookmarkStart w:id="40" w:name="_Toc457816065"/>
      <w:bookmarkStart w:id="41" w:name="_Toc457817012"/>
      <w:bookmarkStart w:id="42" w:name="_Toc459041404"/>
      <w:bookmarkStart w:id="43" w:name="_Toc462651310"/>
      <w:bookmarkEnd w:id="31"/>
      <w:bookmarkEnd w:id="32"/>
      <w:bookmarkEnd w:id="33"/>
      <w:bookmarkEnd w:id="34"/>
      <w:r>
        <w:lastRenderedPageBreak/>
        <w:t>Reasons for the change</w:t>
      </w:r>
      <w:bookmarkEnd w:id="40"/>
      <w:bookmarkEnd w:id="41"/>
      <w:bookmarkEnd w:id="42"/>
      <w:bookmarkEnd w:id="43"/>
    </w:p>
    <w:p w:rsidR="002A6741" w:rsidRDefault="00DB00D1" w:rsidP="00AD0750">
      <w:r w:rsidRPr="00DB00D1">
        <w:t xml:space="preserve">We review mandatory standards periodically to verify they are effective, up to date and </w:t>
      </w:r>
      <w:r w:rsidR="002A6741">
        <w:t>remain</w:t>
      </w:r>
      <w:r w:rsidRPr="00DB00D1">
        <w:t xml:space="preserve"> relevant. Since </w:t>
      </w:r>
      <w:r w:rsidR="003464A0">
        <w:t xml:space="preserve">the safety standard was </w:t>
      </w:r>
      <w:r w:rsidRPr="00DB00D1">
        <w:t>last review</w:t>
      </w:r>
      <w:r w:rsidR="002A6741">
        <w:t>ed</w:t>
      </w:r>
      <w:r w:rsidRPr="00DB00D1">
        <w:t xml:space="preserve"> in 2005, </w:t>
      </w:r>
      <w:r w:rsidR="00510C04">
        <w:t xml:space="preserve">the </w:t>
      </w:r>
      <w:r w:rsidRPr="00DB00D1">
        <w:t>voluntary standard AS/NZS</w:t>
      </w:r>
      <w:r w:rsidR="00992069">
        <w:t xml:space="preserve"> </w:t>
      </w:r>
      <w:r w:rsidRPr="00DB00D1">
        <w:t>1067:</w:t>
      </w:r>
      <w:r w:rsidR="00587642">
        <w:t>2003</w:t>
      </w:r>
      <w:r w:rsidR="000C6D5B">
        <w:t>,</w:t>
      </w:r>
      <w:r w:rsidRPr="00DB00D1">
        <w:t xml:space="preserve"> </w:t>
      </w:r>
      <w:r w:rsidR="00D37889" w:rsidRPr="00D37889">
        <w:t>on which the mandatory standard is based</w:t>
      </w:r>
      <w:r w:rsidR="00D37889">
        <w:t>,</w:t>
      </w:r>
      <w:r w:rsidR="0049588C">
        <w:t xml:space="preserve"> </w:t>
      </w:r>
      <w:r w:rsidR="00510C04">
        <w:t>was</w:t>
      </w:r>
      <w:r w:rsidR="0049588C">
        <w:t xml:space="preserve"> </w:t>
      </w:r>
      <w:r w:rsidR="0046160D">
        <w:t>revised</w:t>
      </w:r>
      <w:r w:rsidR="00AC1AA6">
        <w:t xml:space="preserve"> and </w:t>
      </w:r>
      <w:r w:rsidRPr="00DB00D1">
        <w:t>updated</w:t>
      </w:r>
      <w:r w:rsidR="0049588C">
        <w:t xml:space="preserve"> in 2016</w:t>
      </w:r>
      <w:r w:rsidRPr="00DB00D1">
        <w:t>.</w:t>
      </w:r>
      <w:r w:rsidR="00AC1AA6">
        <w:t xml:space="preserve"> </w:t>
      </w:r>
    </w:p>
    <w:p w:rsidR="002A6741" w:rsidRDefault="00AC1AA6" w:rsidP="00AD0750">
      <w:r>
        <w:t>T</w:t>
      </w:r>
      <w:r w:rsidR="0046160D">
        <w:t xml:space="preserve">he revised </w:t>
      </w:r>
      <w:r w:rsidR="001149A6">
        <w:t>AS/NZS</w:t>
      </w:r>
      <w:r w:rsidR="00992069">
        <w:t xml:space="preserve"> </w:t>
      </w:r>
      <w:r w:rsidR="001149A6">
        <w:t xml:space="preserve">1067 </w:t>
      </w:r>
      <w:r>
        <w:t>clarifies</w:t>
      </w:r>
      <w:r w:rsidRPr="00DB00D1">
        <w:t xml:space="preserve"> </w:t>
      </w:r>
      <w:r w:rsidR="001149A6">
        <w:t xml:space="preserve">and simplifies </w:t>
      </w:r>
      <w:r w:rsidR="00DB00D1" w:rsidRPr="00DB00D1">
        <w:t xml:space="preserve">requirements </w:t>
      </w:r>
      <w:r w:rsidR="00836556">
        <w:t xml:space="preserve">and makes editorial changes </w:t>
      </w:r>
      <w:r w:rsidR="00DB00D1" w:rsidRPr="00DB00D1">
        <w:t>to</w:t>
      </w:r>
      <w:r w:rsidR="0046160D">
        <w:t xml:space="preserve"> harmonise more closely with</w:t>
      </w:r>
      <w:r w:rsidR="00836556">
        <w:t xml:space="preserve"> the</w:t>
      </w:r>
      <w:r w:rsidR="0046160D">
        <w:t xml:space="preserve"> </w:t>
      </w:r>
      <w:r w:rsidR="001149A6">
        <w:t xml:space="preserve">relevant </w:t>
      </w:r>
      <w:r w:rsidR="00EF29C5">
        <w:t>International</w:t>
      </w:r>
      <w:r w:rsidR="001149A6">
        <w:t xml:space="preserve"> Standards Organisation (ISO) </w:t>
      </w:r>
      <w:r w:rsidR="0046160D">
        <w:t>standard</w:t>
      </w:r>
      <w:r w:rsidR="00DB00D1" w:rsidRPr="00DB00D1">
        <w:t>.</w:t>
      </w:r>
      <w:r w:rsidR="0046160D">
        <w:t xml:space="preserve"> </w:t>
      </w:r>
    </w:p>
    <w:p w:rsidR="00F75460" w:rsidRPr="00F75460" w:rsidRDefault="0046160D" w:rsidP="00AD0750">
      <w:r>
        <w:t>Th</w:t>
      </w:r>
      <w:r w:rsidR="00836556">
        <w:t>e ACCC proposes</w:t>
      </w:r>
      <w:r>
        <w:t xml:space="preserve"> to amend the </w:t>
      </w:r>
      <w:r w:rsidR="004F268D">
        <w:t xml:space="preserve">mandatory standard to </w:t>
      </w:r>
      <w:r>
        <w:t xml:space="preserve">reference </w:t>
      </w:r>
      <w:r w:rsidR="00AC1AA6">
        <w:t>the</w:t>
      </w:r>
      <w:r>
        <w:t xml:space="preserve"> latest v</w:t>
      </w:r>
      <w:r w:rsidR="004F268D">
        <w:t>oluntary standard,</w:t>
      </w:r>
      <w:r w:rsidR="00B503C5">
        <w:t xml:space="preserve"> </w:t>
      </w:r>
      <w:r w:rsidR="00B503C5" w:rsidRPr="00B503C5">
        <w:t>AS/NZS</w:t>
      </w:r>
      <w:r w:rsidR="00992069">
        <w:t xml:space="preserve"> </w:t>
      </w:r>
      <w:r w:rsidR="00B503C5" w:rsidRPr="00B503C5">
        <w:t>1067:2016</w:t>
      </w:r>
      <w:r w:rsidR="004F268D">
        <w:t>,</w:t>
      </w:r>
      <w:r w:rsidR="00836556">
        <w:t xml:space="preserve"> in order to </w:t>
      </w:r>
      <w:r w:rsidR="004F268D">
        <w:t xml:space="preserve">keep the regulation relevant, </w:t>
      </w:r>
      <w:r w:rsidR="00836556">
        <w:t>avoid confusion and facilitate compliance</w:t>
      </w:r>
      <w:r w:rsidR="00421B91">
        <w:t>.</w:t>
      </w:r>
    </w:p>
    <w:p w:rsidR="009B72E4" w:rsidRDefault="005931AD" w:rsidP="005073FC">
      <w:pPr>
        <w:pStyle w:val="Numbered11"/>
        <w:numPr>
          <w:ilvl w:val="1"/>
          <w:numId w:val="43"/>
        </w:numPr>
      </w:pPr>
      <w:bookmarkStart w:id="44" w:name="_Toc448397929"/>
      <w:bookmarkStart w:id="45" w:name="_Toc453749082"/>
      <w:bookmarkStart w:id="46" w:name="_Toc453749328"/>
      <w:bookmarkStart w:id="47" w:name="_Toc453749378"/>
      <w:bookmarkStart w:id="48" w:name="_Toc453759783"/>
      <w:bookmarkStart w:id="49" w:name="_Toc453763181"/>
      <w:bookmarkStart w:id="50" w:name="_Toc453763866"/>
      <w:bookmarkStart w:id="51" w:name="_Toc453765776"/>
      <w:bookmarkStart w:id="52" w:name="_Toc454443991"/>
      <w:bookmarkStart w:id="53" w:name="_Toc454544415"/>
      <w:bookmarkStart w:id="54" w:name="_Toc455579997"/>
      <w:bookmarkStart w:id="55" w:name="_Toc456277615"/>
      <w:bookmarkStart w:id="56" w:name="_Toc456278984"/>
      <w:bookmarkStart w:id="57" w:name="_Toc457311808"/>
      <w:bookmarkStart w:id="58" w:name="_Toc457816066"/>
      <w:bookmarkStart w:id="59" w:name="_Toc457817013"/>
      <w:bookmarkStart w:id="60" w:name="_Toc459041405"/>
      <w:bookmarkStart w:id="61" w:name="_Toc462651311"/>
      <w:r>
        <w:t xml:space="preserve">The voluntary Australian/New Zealand </w:t>
      </w:r>
      <w:r w:rsidR="009B72E4" w:rsidRPr="00382011">
        <w:t>standard</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B7480F" w:rsidRDefault="00B7480F" w:rsidP="00AD0750">
      <w:r w:rsidRPr="00B7480F">
        <w:t xml:space="preserve">The </w:t>
      </w:r>
      <w:r w:rsidR="00604648">
        <w:t>Australian standard (</w:t>
      </w:r>
      <w:r w:rsidRPr="00B7480F">
        <w:t>AS</w:t>
      </w:r>
      <w:r w:rsidR="00992069">
        <w:t xml:space="preserve"> </w:t>
      </w:r>
      <w:r w:rsidRPr="00B7480F">
        <w:t>1067</w:t>
      </w:r>
      <w:r w:rsidR="00604648">
        <w:t>)</w:t>
      </w:r>
      <w:r w:rsidRPr="00B7480F">
        <w:t xml:space="preserve"> was developed in 1971</w:t>
      </w:r>
      <w:r w:rsidR="002A6741">
        <w:t xml:space="preserve"> and</w:t>
      </w:r>
      <w:r w:rsidR="00836556">
        <w:t xml:space="preserve"> is </w:t>
      </w:r>
      <w:r w:rsidR="002A5B55">
        <w:t>generally accepted as being</w:t>
      </w:r>
      <w:r w:rsidR="00836556">
        <w:t xml:space="preserve"> the first</w:t>
      </w:r>
      <w:r w:rsidRPr="00B7480F">
        <w:t xml:space="preserve"> voluntary standard for general use sunglasses in the world</w:t>
      </w:r>
      <w:r w:rsidR="002A6741">
        <w:t xml:space="preserve">, becoming </w:t>
      </w:r>
      <w:r w:rsidR="001B7A2E" w:rsidRPr="001B7A2E">
        <w:t>a joint Australian/New Zealand standard in 2003</w:t>
      </w:r>
      <w:r w:rsidR="001B7A2E">
        <w:t>.</w:t>
      </w:r>
      <w:r w:rsidR="00E80220" w:rsidRPr="00E80220">
        <w:t xml:space="preserve"> An American, and a French standard </w:t>
      </w:r>
      <w:r w:rsidR="002A6741">
        <w:t>-</w:t>
      </w:r>
      <w:r w:rsidR="00E80220" w:rsidRPr="00E80220">
        <w:t xml:space="preserve"> now obsolete, soon followed.</w:t>
      </w:r>
    </w:p>
    <w:p w:rsidR="002A6741" w:rsidRDefault="00857EBD" w:rsidP="00AD0750">
      <w:r>
        <w:t>The</w:t>
      </w:r>
      <w:r w:rsidR="00B503C5">
        <w:t xml:space="preserve"> latest version of</w:t>
      </w:r>
      <w:r>
        <w:t xml:space="preserve"> </w:t>
      </w:r>
      <w:r w:rsidRPr="00DC01B3">
        <w:t>AS/NZS</w:t>
      </w:r>
      <w:r w:rsidR="00992069">
        <w:t xml:space="preserve"> </w:t>
      </w:r>
      <w:r w:rsidRPr="00DC01B3">
        <w:t>1067</w:t>
      </w:r>
      <w:r w:rsidR="00421B91">
        <w:t xml:space="preserve"> </w:t>
      </w:r>
      <w:r w:rsidR="00FB43A2">
        <w:t>was</w:t>
      </w:r>
      <w:r w:rsidR="00421B91">
        <w:t xml:space="preserve"> drafted to closely align with the structure, terminology and requirements of the International Standard </w:t>
      </w:r>
      <w:r w:rsidR="00421B91" w:rsidRPr="00EB292C">
        <w:t>ISO 12312-1:2013</w:t>
      </w:r>
      <w:r w:rsidR="00421B91">
        <w:t xml:space="preserve"> </w:t>
      </w:r>
      <w:r w:rsidR="00421B91" w:rsidRPr="00EB292C">
        <w:t>(E)</w:t>
      </w:r>
      <w:r w:rsidR="00421B91">
        <w:t xml:space="preserve"> </w:t>
      </w:r>
      <w:r w:rsidR="00421B91" w:rsidRPr="00291B08">
        <w:rPr>
          <w:i/>
        </w:rPr>
        <w:t>Eye and face protection -- Sunglasses and related eyewear -- Part 1: Sunglasses for general use</w:t>
      </w:r>
      <w:r w:rsidR="00421B91">
        <w:t xml:space="preserve"> (the ISO standard).</w:t>
      </w:r>
      <w:r w:rsidR="00421B91" w:rsidDel="00421B91">
        <w:t xml:space="preserve"> </w:t>
      </w:r>
    </w:p>
    <w:p w:rsidR="00857EBD" w:rsidRDefault="002A5B55" w:rsidP="00AD0750">
      <w:r>
        <w:t>The standard</w:t>
      </w:r>
      <w:r w:rsidR="00FB43A2">
        <w:t xml:space="preserve"> was divided into two parts</w:t>
      </w:r>
      <w:r>
        <w:t xml:space="preserve"> to </w:t>
      </w:r>
      <w:r w:rsidR="003464A0">
        <w:t>follow</w:t>
      </w:r>
      <w:r>
        <w:t xml:space="preserve"> the structure of the ISO standard</w:t>
      </w:r>
      <w:r w:rsidR="00FB43A2">
        <w:t>.</w:t>
      </w:r>
      <w:r w:rsidR="002A6741" w:rsidDel="002A6741">
        <w:t xml:space="preserve"> </w:t>
      </w:r>
      <w:r w:rsidR="00857EBD">
        <w:t>Part</w:t>
      </w:r>
      <w:r w:rsidR="005073FC">
        <w:t xml:space="preserve"> </w:t>
      </w:r>
      <w:r w:rsidR="00857EBD">
        <w:t>1</w:t>
      </w:r>
      <w:r w:rsidR="005073FC">
        <w:t xml:space="preserve"> </w:t>
      </w:r>
      <w:r w:rsidR="00857EBD">
        <w:t>focusses on</w:t>
      </w:r>
      <w:r w:rsidR="005073FC">
        <w:t xml:space="preserve"> the </w:t>
      </w:r>
      <w:r w:rsidR="00634E46">
        <w:t xml:space="preserve">scope, requirements and labelling </w:t>
      </w:r>
      <w:r w:rsidR="005073FC">
        <w:t>requirements for sunglasses</w:t>
      </w:r>
      <w:r w:rsidR="00BD2F0F">
        <w:t xml:space="preserve"> and </w:t>
      </w:r>
      <w:r w:rsidR="00857EBD">
        <w:t xml:space="preserve">Part 2 </w:t>
      </w:r>
      <w:r w:rsidR="00634E46">
        <w:t xml:space="preserve">specifies </w:t>
      </w:r>
      <w:r w:rsidR="00857EBD" w:rsidRPr="00D46345">
        <w:t xml:space="preserve">the methods for </w:t>
      </w:r>
      <w:r w:rsidR="00411DBB" w:rsidRPr="00D46345">
        <w:t>testing</w:t>
      </w:r>
      <w:r w:rsidR="00634E46">
        <w:t xml:space="preserve"> </w:t>
      </w:r>
      <w:r w:rsidR="00BD2F0F">
        <w:t xml:space="preserve">and is identical </w:t>
      </w:r>
      <w:r>
        <w:t xml:space="preserve">in content </w:t>
      </w:r>
      <w:r w:rsidR="00510C04">
        <w:t xml:space="preserve">to </w:t>
      </w:r>
      <w:r w:rsidR="00BD2F0F" w:rsidRPr="00BD2F0F">
        <w:t xml:space="preserve">ISO 12311:2013 </w:t>
      </w:r>
      <w:r w:rsidR="00BD2F0F" w:rsidRPr="00BD2F0F">
        <w:rPr>
          <w:i/>
        </w:rPr>
        <w:t>Personal protective equipment—Test methods for sunglasses and related eyewear</w:t>
      </w:r>
      <w:r w:rsidR="00421B91">
        <w:t>.</w:t>
      </w:r>
    </w:p>
    <w:p w:rsidR="00D46345" w:rsidRDefault="00836556" w:rsidP="00AD0750">
      <w:r>
        <w:t>The revised</w:t>
      </w:r>
      <w:r w:rsidR="001B7A2E" w:rsidRPr="001B7A2E">
        <w:t xml:space="preserve"> AS/NZS</w:t>
      </w:r>
      <w:r w:rsidR="00992069">
        <w:t xml:space="preserve"> </w:t>
      </w:r>
      <w:r w:rsidR="001B7A2E" w:rsidRPr="001B7A2E">
        <w:t xml:space="preserve">1067:2016 </w:t>
      </w:r>
      <w:r>
        <w:t xml:space="preserve">retains existing differences to </w:t>
      </w:r>
      <w:r w:rsidR="003A0A08">
        <w:t xml:space="preserve">the </w:t>
      </w:r>
      <w:r w:rsidR="001B7A2E" w:rsidRPr="001B7A2E">
        <w:t>ISO</w:t>
      </w:r>
      <w:r w:rsidR="00411DBB">
        <w:t xml:space="preserve"> standard </w:t>
      </w:r>
      <w:r>
        <w:t xml:space="preserve">on </w:t>
      </w:r>
      <w:r w:rsidR="00291B08" w:rsidRPr="00291B08">
        <w:t>UVR protection</w:t>
      </w:r>
      <w:r w:rsidR="00C2220B">
        <w:t>,</w:t>
      </w:r>
      <w:r w:rsidR="00291B08" w:rsidRPr="00291B08">
        <w:t xml:space="preserve"> </w:t>
      </w:r>
      <w:r w:rsidR="00411DBB">
        <w:t>the filtration of blue light</w:t>
      </w:r>
      <w:r w:rsidR="00C2220B">
        <w:t>,</w:t>
      </w:r>
      <w:r w:rsidR="00C2220B" w:rsidRPr="00C2220B">
        <w:t xml:space="preserve"> </w:t>
      </w:r>
      <w:r w:rsidR="00C2220B" w:rsidRPr="00291B08">
        <w:t>and</w:t>
      </w:r>
      <w:r w:rsidR="00C2220B">
        <w:t xml:space="preserve"> labelling</w:t>
      </w:r>
      <w:r w:rsidR="00411DBB">
        <w:t>. These differences are discussed below.</w:t>
      </w:r>
    </w:p>
    <w:p w:rsidR="002B1ABD" w:rsidRDefault="002B1ABD" w:rsidP="00E558D7">
      <w:pPr>
        <w:pStyle w:val="Numbered1"/>
        <w:numPr>
          <w:ilvl w:val="0"/>
          <w:numId w:val="43"/>
        </w:numPr>
        <w:ind w:left="680" w:hanging="680"/>
      </w:pPr>
      <w:bookmarkStart w:id="62" w:name="_Toc455066801"/>
      <w:bookmarkStart w:id="63" w:name="_Toc455066836"/>
      <w:bookmarkStart w:id="64" w:name="_Toc455499192"/>
      <w:bookmarkStart w:id="65" w:name="_Toc455756327"/>
      <w:bookmarkStart w:id="66" w:name="_Toc456098882"/>
      <w:bookmarkStart w:id="67" w:name="_Toc456623858"/>
      <w:bookmarkStart w:id="68" w:name="_Toc457222705"/>
      <w:bookmarkStart w:id="69" w:name="_Toc459041406"/>
      <w:bookmarkStart w:id="70" w:name="_Toc462651312"/>
      <w:r>
        <w:t>Adopting i</w:t>
      </w:r>
      <w:r w:rsidRPr="00844B87">
        <w:t>nternational standards</w:t>
      </w:r>
      <w:bookmarkEnd w:id="62"/>
      <w:bookmarkEnd w:id="63"/>
      <w:bookmarkEnd w:id="64"/>
      <w:bookmarkEnd w:id="65"/>
      <w:bookmarkEnd w:id="66"/>
      <w:bookmarkEnd w:id="67"/>
      <w:bookmarkEnd w:id="68"/>
      <w:bookmarkEnd w:id="69"/>
      <w:bookmarkEnd w:id="70"/>
    </w:p>
    <w:p w:rsidR="00056C4F" w:rsidRPr="00DB6C88" w:rsidRDefault="00056C4F" w:rsidP="00AD0750">
      <w:r w:rsidRPr="00DB6C88">
        <w:t xml:space="preserve">The ACCC </w:t>
      </w:r>
      <w:r w:rsidR="007346B8">
        <w:t>has assessed the ISO</w:t>
      </w:r>
      <w:r w:rsidR="00B61D85">
        <w:t xml:space="preserve"> standard</w:t>
      </w:r>
      <w:r w:rsidR="007346B8">
        <w:t xml:space="preserve"> </w:t>
      </w:r>
      <w:r w:rsidR="00D45479">
        <w:t xml:space="preserve">used in Europe </w:t>
      </w:r>
      <w:r w:rsidR="007346B8">
        <w:t xml:space="preserve">and the </w:t>
      </w:r>
      <w:r w:rsidR="00D3614B">
        <w:t xml:space="preserve">US </w:t>
      </w:r>
      <w:r w:rsidR="00D3614B" w:rsidRPr="00D3614B">
        <w:t xml:space="preserve">ANSI Z80.3-2015 </w:t>
      </w:r>
      <w:r w:rsidR="00943796" w:rsidRPr="00D3614B">
        <w:rPr>
          <w:i/>
        </w:rPr>
        <w:t>Non-prescription</w:t>
      </w:r>
      <w:r w:rsidR="00D3614B" w:rsidRPr="00D3614B">
        <w:rPr>
          <w:i/>
        </w:rPr>
        <w:t xml:space="preserve"> </w:t>
      </w:r>
      <w:r w:rsidR="00B71210">
        <w:rPr>
          <w:i/>
        </w:rPr>
        <w:t>s</w:t>
      </w:r>
      <w:r w:rsidR="00B71210" w:rsidRPr="00D3614B">
        <w:rPr>
          <w:i/>
        </w:rPr>
        <w:t xml:space="preserve">unglass </w:t>
      </w:r>
      <w:r w:rsidR="00D3614B" w:rsidRPr="00D3614B">
        <w:rPr>
          <w:i/>
        </w:rPr>
        <w:t xml:space="preserve">and </w:t>
      </w:r>
      <w:r w:rsidR="00B71210">
        <w:rPr>
          <w:i/>
        </w:rPr>
        <w:t>f</w:t>
      </w:r>
      <w:r w:rsidR="00B71210" w:rsidRPr="00D3614B">
        <w:rPr>
          <w:i/>
        </w:rPr>
        <w:t xml:space="preserve">ashion </w:t>
      </w:r>
      <w:r w:rsidR="00B71210">
        <w:rPr>
          <w:i/>
        </w:rPr>
        <w:t>e</w:t>
      </w:r>
      <w:r w:rsidR="00B71210" w:rsidRPr="00D3614B">
        <w:rPr>
          <w:i/>
        </w:rPr>
        <w:t xml:space="preserve">yewear </w:t>
      </w:r>
      <w:r w:rsidR="00B71210">
        <w:rPr>
          <w:i/>
        </w:rPr>
        <w:t>r</w:t>
      </w:r>
      <w:r w:rsidR="00B71210" w:rsidRPr="00D3614B">
        <w:rPr>
          <w:i/>
        </w:rPr>
        <w:t>equirements</w:t>
      </w:r>
      <w:r w:rsidR="00B71210" w:rsidRPr="00D3614B">
        <w:t xml:space="preserve"> </w:t>
      </w:r>
      <w:r w:rsidR="00D3614B">
        <w:t>(</w:t>
      </w:r>
      <w:r w:rsidR="00B61D85">
        <w:t xml:space="preserve">the </w:t>
      </w:r>
      <w:r w:rsidR="00D3614B">
        <w:t>ANSI</w:t>
      </w:r>
      <w:r w:rsidR="00B61D85">
        <w:t xml:space="preserve"> standard</w:t>
      </w:r>
      <w:r w:rsidR="00D3614B">
        <w:t xml:space="preserve">) </w:t>
      </w:r>
      <w:r w:rsidR="007346B8">
        <w:t xml:space="preserve">against </w:t>
      </w:r>
      <w:r w:rsidRPr="00DB6C88">
        <w:t xml:space="preserve">the following criteria </w:t>
      </w:r>
      <w:r w:rsidR="00C8175E">
        <w:t>to</w:t>
      </w:r>
      <w:r w:rsidRPr="00DB6C88">
        <w:t xml:space="preserve"> </w:t>
      </w:r>
      <w:r w:rsidR="00C8175E">
        <w:t>determine</w:t>
      </w:r>
      <w:r w:rsidRPr="00DB6C88">
        <w:t xml:space="preserve"> whether </w:t>
      </w:r>
      <w:r w:rsidR="00B61D85">
        <w:t xml:space="preserve">these </w:t>
      </w:r>
      <w:r w:rsidRPr="00DB6C88">
        <w:t>international standards are appropriate for use in</w:t>
      </w:r>
      <w:r w:rsidR="00B61D85">
        <w:t xml:space="preserve"> the revised mandatory safety standard</w:t>
      </w:r>
      <w:r w:rsidRPr="00DB6C88">
        <w:t>:</w:t>
      </w:r>
      <w:r w:rsidRPr="00DB6C88">
        <w:rPr>
          <w:vertAlign w:val="superscript"/>
        </w:rPr>
        <w:footnoteReference w:id="3"/>
      </w:r>
      <w:r w:rsidRPr="00DB6C88">
        <w:t xml:space="preserve"> </w:t>
      </w:r>
    </w:p>
    <w:p w:rsidR="00056C4F" w:rsidRPr="00DB6C88" w:rsidRDefault="00056C4F" w:rsidP="00AD0750">
      <w:pPr>
        <w:pStyle w:val="Bulletpoint"/>
        <w:tabs>
          <w:tab w:val="clear" w:pos="340"/>
          <w:tab w:val="left" w:pos="284"/>
        </w:tabs>
        <w:ind w:left="284" w:hanging="284"/>
      </w:pPr>
      <w:r w:rsidRPr="00DB6C88">
        <w:t>Addressing safety concerns: Is there evidence that the international standard provides an acceptable level of consumer safety?</w:t>
      </w:r>
    </w:p>
    <w:p w:rsidR="00056C4F" w:rsidRDefault="00056C4F" w:rsidP="00AD0750">
      <w:pPr>
        <w:pStyle w:val="Bulletpoint"/>
        <w:tabs>
          <w:tab w:val="clear" w:pos="340"/>
          <w:tab w:val="left" w:pos="284"/>
        </w:tabs>
        <w:ind w:left="284" w:hanging="284"/>
      </w:pPr>
      <w:r w:rsidRPr="00EE5651">
        <w:t xml:space="preserve">Comparable jurisdiction to Australia: </w:t>
      </w:r>
      <w:r w:rsidRPr="00DB6C88">
        <w:t>Is the international standard published or developed by a legitimate standards body or government agency from an economy or nation with comparable economic and regulatory processes to Australia?</w:t>
      </w:r>
    </w:p>
    <w:p w:rsidR="00056C4F" w:rsidRDefault="00056C4F" w:rsidP="00AD0750">
      <w:pPr>
        <w:pStyle w:val="Bulletpoint"/>
        <w:tabs>
          <w:tab w:val="clear" w:pos="340"/>
          <w:tab w:val="left" w:pos="284"/>
        </w:tabs>
        <w:ind w:left="284" w:hanging="284"/>
      </w:pPr>
      <w:r w:rsidRPr="00EE5651">
        <w:t>Applicability to the Australian context:</w:t>
      </w:r>
      <w:r w:rsidRPr="009256BA">
        <w:rPr>
          <w:bCs/>
        </w:rPr>
        <w:t xml:space="preserve"> </w:t>
      </w:r>
      <w:r w:rsidRPr="00DB6C88">
        <w:t>Is the international standard applicable and sufficient in the Australian context?</w:t>
      </w:r>
    </w:p>
    <w:p w:rsidR="00A10CFD" w:rsidRPr="001936BA" w:rsidRDefault="00A10CFD" w:rsidP="002A6741">
      <w:pPr>
        <w:pStyle w:val="Numbered11"/>
        <w:keepNext/>
        <w:numPr>
          <w:ilvl w:val="1"/>
          <w:numId w:val="43"/>
        </w:numPr>
        <w:ind w:left="1077"/>
      </w:pPr>
      <w:bookmarkStart w:id="71" w:name="_Toc457311811"/>
      <w:bookmarkStart w:id="72" w:name="_Toc457816069"/>
      <w:bookmarkStart w:id="73" w:name="_Toc457817016"/>
      <w:bookmarkStart w:id="74" w:name="_Toc459041408"/>
      <w:bookmarkStart w:id="75" w:name="_Toc462651313"/>
      <w:r w:rsidRPr="001936BA">
        <w:lastRenderedPageBreak/>
        <w:t xml:space="preserve">The </w:t>
      </w:r>
      <w:r w:rsidR="00D45479">
        <w:t xml:space="preserve">ISO </w:t>
      </w:r>
      <w:r w:rsidRPr="001936BA">
        <w:t>standard</w:t>
      </w:r>
      <w:bookmarkEnd w:id="71"/>
      <w:bookmarkEnd w:id="72"/>
      <w:bookmarkEnd w:id="73"/>
      <w:bookmarkEnd w:id="74"/>
      <w:bookmarkEnd w:id="75"/>
    </w:p>
    <w:p w:rsidR="00A10CFD" w:rsidRPr="008C38BE" w:rsidRDefault="00A10CFD" w:rsidP="002A6741">
      <w:pPr>
        <w:keepNext/>
        <w:spacing w:before="240"/>
        <w:rPr>
          <w:b/>
          <w:sz w:val="24"/>
          <w:szCs w:val="24"/>
        </w:rPr>
      </w:pPr>
      <w:bookmarkStart w:id="76" w:name="_Toc453749098"/>
      <w:bookmarkStart w:id="77" w:name="_Toc453749344"/>
      <w:bookmarkStart w:id="78" w:name="_Toc453759797"/>
      <w:bookmarkStart w:id="79" w:name="_Toc453763882"/>
      <w:bookmarkStart w:id="80" w:name="_Toc453765792"/>
      <w:bookmarkStart w:id="81" w:name="_Toc454444002"/>
      <w:bookmarkStart w:id="82" w:name="_Toc454544420"/>
      <w:bookmarkStart w:id="83" w:name="_Toc455580003"/>
      <w:bookmarkStart w:id="84" w:name="_Toc456277621"/>
      <w:bookmarkStart w:id="85" w:name="_Toc456278990"/>
      <w:bookmarkStart w:id="86" w:name="_Toc457311812"/>
      <w:bookmarkStart w:id="87" w:name="_Toc457816070"/>
      <w:bookmarkStart w:id="88" w:name="_Toc457817017"/>
      <w:bookmarkStart w:id="89" w:name="_Toc459041409"/>
      <w:r w:rsidRPr="008C38BE">
        <w:rPr>
          <w:b/>
          <w:sz w:val="24"/>
          <w:szCs w:val="24"/>
        </w:rPr>
        <w:t>Addressing safety concerns</w:t>
      </w:r>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286F5D" w:rsidRDefault="00286F5D" w:rsidP="00AD0750">
      <w:bookmarkStart w:id="90" w:name="_Toc453749099"/>
      <w:bookmarkStart w:id="91" w:name="_Toc453749345"/>
      <w:bookmarkStart w:id="92" w:name="_Toc453759798"/>
      <w:bookmarkStart w:id="93" w:name="_Toc453763883"/>
      <w:bookmarkStart w:id="94" w:name="_Toc453765793"/>
      <w:bookmarkStart w:id="95" w:name="_Toc454444003"/>
      <w:bookmarkStart w:id="96" w:name="_Toc454544421"/>
      <w:bookmarkStart w:id="97" w:name="_Toc455580004"/>
      <w:bookmarkStart w:id="98" w:name="_Toc456277622"/>
      <w:bookmarkStart w:id="99" w:name="_Toc456278991"/>
      <w:bookmarkStart w:id="100" w:name="_Toc457311813"/>
      <w:bookmarkStart w:id="101" w:name="_Toc457816071"/>
      <w:bookmarkStart w:id="102" w:name="_Toc457817018"/>
      <w:r w:rsidRPr="0049588C">
        <w:t>The EU</w:t>
      </w:r>
      <w:r>
        <w:t xml:space="preserve"> mandates requirements for sunglasses </w:t>
      </w:r>
      <w:r w:rsidRPr="0049588C">
        <w:t xml:space="preserve">under the Personal Protective Equipment Directive 89/686/EEC and compliance with </w:t>
      </w:r>
      <w:r w:rsidR="00C25279">
        <w:t xml:space="preserve">the </w:t>
      </w:r>
      <w:r w:rsidRPr="0049588C">
        <w:t xml:space="preserve">ISO </w:t>
      </w:r>
      <w:r w:rsidR="00C25279">
        <w:t>standard</w:t>
      </w:r>
      <w:r w:rsidRPr="0049588C">
        <w:t xml:space="preserve"> satisfies conformity to the requirements under the Directive. </w:t>
      </w:r>
    </w:p>
    <w:p w:rsidR="005304E8" w:rsidRDefault="002601F2" w:rsidP="00AD0750">
      <w:r>
        <w:t>T</w:t>
      </w:r>
      <w:r w:rsidR="00551E82">
        <w:t xml:space="preserve">he ISO </w:t>
      </w:r>
      <w:r>
        <w:t xml:space="preserve">requirements for UVR and blue light filtration </w:t>
      </w:r>
      <w:r w:rsidR="00551E82">
        <w:t>result in a lower level of safety</w:t>
      </w:r>
      <w:r w:rsidR="002A5B55">
        <w:t>,</w:t>
      </w:r>
      <w:r w:rsidR="00551E82">
        <w:t xml:space="preserve"> </w:t>
      </w:r>
      <w:r>
        <w:t xml:space="preserve">and </w:t>
      </w:r>
      <w:r w:rsidR="002A5B55">
        <w:t xml:space="preserve">its </w:t>
      </w:r>
      <w:r>
        <w:t>labelling requirements</w:t>
      </w:r>
      <w:r w:rsidR="002A5B55">
        <w:t>,</w:t>
      </w:r>
      <w:r>
        <w:t xml:space="preserve"> may be insufficient for Australia</w:t>
      </w:r>
      <w:r w:rsidR="00C56453">
        <w:t>n conditions</w:t>
      </w:r>
      <w:r>
        <w:t>.</w:t>
      </w:r>
    </w:p>
    <w:p w:rsidR="00A10CFD" w:rsidRPr="000122BA" w:rsidRDefault="00A10CFD" w:rsidP="000122BA">
      <w:pPr>
        <w:spacing w:before="240"/>
        <w:rPr>
          <w:b/>
          <w:sz w:val="24"/>
          <w:szCs w:val="24"/>
        </w:rPr>
      </w:pPr>
      <w:bookmarkStart w:id="103" w:name="_Toc459041410"/>
      <w:r w:rsidRPr="000122BA">
        <w:rPr>
          <w:b/>
          <w:sz w:val="24"/>
          <w:szCs w:val="24"/>
        </w:rPr>
        <w:t>Comparable jurisdiction to Australia</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551E82" w:rsidRPr="00286F5D" w:rsidRDefault="00286F5D" w:rsidP="00AD0750">
      <w:bookmarkStart w:id="104" w:name="_Toc453749100"/>
      <w:bookmarkStart w:id="105" w:name="_Toc453749346"/>
      <w:bookmarkStart w:id="106" w:name="_Toc453759799"/>
      <w:bookmarkStart w:id="107" w:name="_Toc453763884"/>
      <w:bookmarkStart w:id="108" w:name="_Toc453765794"/>
      <w:bookmarkStart w:id="109" w:name="_Toc454444004"/>
      <w:bookmarkStart w:id="110" w:name="_Toc454544422"/>
      <w:bookmarkStart w:id="111" w:name="_Toc455580005"/>
      <w:bookmarkStart w:id="112" w:name="_Toc456277623"/>
      <w:bookmarkStart w:id="113" w:name="_Toc456278992"/>
      <w:bookmarkStart w:id="114" w:name="_Toc457311814"/>
      <w:bookmarkStart w:id="115" w:name="_Toc457816072"/>
      <w:bookmarkStart w:id="116" w:name="_Toc457817019"/>
      <w:r w:rsidRPr="00286F5D">
        <w:t xml:space="preserve">The International Standards Organization (ISO) </w:t>
      </w:r>
      <w:r w:rsidR="00551E82">
        <w:t>standard applies in comparable jurisdiction</w:t>
      </w:r>
      <w:r w:rsidR="00C56453">
        <w:t>s</w:t>
      </w:r>
      <w:r w:rsidR="00551E82">
        <w:t xml:space="preserve"> to Australia.</w:t>
      </w:r>
    </w:p>
    <w:p w:rsidR="00A10CFD" w:rsidRPr="000122BA" w:rsidRDefault="00A10CFD" w:rsidP="000122BA">
      <w:pPr>
        <w:spacing w:before="240"/>
        <w:rPr>
          <w:b/>
          <w:sz w:val="24"/>
          <w:szCs w:val="24"/>
        </w:rPr>
      </w:pPr>
      <w:bookmarkStart w:id="117" w:name="_Toc459041411"/>
      <w:r w:rsidRPr="000122BA">
        <w:rPr>
          <w:b/>
          <w:sz w:val="24"/>
          <w:szCs w:val="24"/>
        </w:rPr>
        <w:t>Applicability to Australia</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551E1B" w:rsidRPr="0050110D" w:rsidRDefault="00551E1B" w:rsidP="00AD0750">
      <w:pPr>
        <w:rPr>
          <w:b/>
          <w:i/>
        </w:rPr>
      </w:pPr>
      <w:bookmarkStart w:id="118" w:name="_Toc453749102"/>
      <w:bookmarkStart w:id="119" w:name="_Toc453749348"/>
      <w:bookmarkStart w:id="120" w:name="_Toc453759801"/>
      <w:bookmarkStart w:id="121" w:name="_Toc453763886"/>
      <w:bookmarkStart w:id="122" w:name="_Toc453765796"/>
      <w:bookmarkStart w:id="123" w:name="_Toc454444006"/>
      <w:bookmarkStart w:id="124" w:name="_Toc454544424"/>
      <w:bookmarkStart w:id="125" w:name="_Toc455580007"/>
      <w:bookmarkStart w:id="126" w:name="_Toc456277625"/>
      <w:bookmarkStart w:id="127" w:name="_Toc456278994"/>
      <w:bookmarkStart w:id="128" w:name="_Toc457311815"/>
      <w:bookmarkStart w:id="129" w:name="_Toc457816073"/>
      <w:bookmarkStart w:id="130" w:name="_Toc457817020"/>
      <w:r w:rsidRPr="0050110D">
        <w:rPr>
          <w:b/>
          <w:i/>
        </w:rPr>
        <w:t>Ultraviolet light radiation</w:t>
      </w:r>
    </w:p>
    <w:p w:rsidR="0050110D" w:rsidRDefault="00551E82" w:rsidP="00AD0750">
      <w:r>
        <w:t xml:space="preserve">The </w:t>
      </w:r>
      <w:r w:rsidR="003E60A5">
        <w:t xml:space="preserve">performance requirements </w:t>
      </w:r>
      <w:r w:rsidR="00551E1B">
        <w:t>in</w:t>
      </w:r>
      <w:r w:rsidR="003E60A5">
        <w:t xml:space="preserve"> the </w:t>
      </w:r>
      <w:r>
        <w:t xml:space="preserve">ISO standard </w:t>
      </w:r>
      <w:r w:rsidR="00551E1B">
        <w:t>provide protection against harmful</w:t>
      </w:r>
      <w:r w:rsidR="003E60A5">
        <w:t xml:space="preserve"> UVR </w:t>
      </w:r>
      <w:r w:rsidR="00551E1B">
        <w:t xml:space="preserve">to a maximum </w:t>
      </w:r>
      <w:r w:rsidR="003E60A5">
        <w:t xml:space="preserve">wavelength </w:t>
      </w:r>
      <w:r w:rsidR="00551E1B">
        <w:t>of</w:t>
      </w:r>
      <w:r w:rsidR="003E60A5">
        <w:t xml:space="preserve"> 380 </w:t>
      </w:r>
      <w:r w:rsidR="00551E1B">
        <w:t>nanometres</w:t>
      </w:r>
      <w:r w:rsidR="003E60A5">
        <w:t xml:space="preserve"> (nm).</w:t>
      </w:r>
      <w:r>
        <w:t xml:space="preserve"> </w:t>
      </w:r>
      <w:r w:rsidR="00551E1B">
        <w:t>AS/NZS</w:t>
      </w:r>
      <w:r w:rsidR="00BD246B">
        <w:t xml:space="preserve"> </w:t>
      </w:r>
      <w:r w:rsidR="00551E1B">
        <w:t>1067:2016 provide</w:t>
      </w:r>
      <w:r w:rsidR="00EE6C54">
        <w:t>s</w:t>
      </w:r>
      <w:r w:rsidR="00551E1B">
        <w:t xml:space="preserve"> protection to a </w:t>
      </w:r>
      <w:r w:rsidR="00EE6C54">
        <w:t xml:space="preserve">higher </w:t>
      </w:r>
      <w:r w:rsidR="00551E1B">
        <w:t xml:space="preserve">wavelength of 400 nm. </w:t>
      </w:r>
    </w:p>
    <w:p w:rsidR="00A70CBA" w:rsidRPr="00A70CBA" w:rsidRDefault="00A70CBA" w:rsidP="00AD0750">
      <w:r w:rsidRPr="00A70CBA">
        <w:t>The existing Australian requirements for UVR are consistent with</w:t>
      </w:r>
      <w:r w:rsidR="00F81F7A">
        <w:t xml:space="preserve"> those of</w:t>
      </w:r>
      <w:r w:rsidRPr="00A70CBA">
        <w:t xml:space="preserve"> </w:t>
      </w:r>
      <w:r w:rsidR="00F81F7A" w:rsidRPr="00F81F7A">
        <w:t>the peak international health and safety bod</w:t>
      </w:r>
      <w:r w:rsidR="00F81F7A">
        <w:t>ies</w:t>
      </w:r>
      <w:r w:rsidR="00F81F7A" w:rsidRPr="00F81F7A">
        <w:t xml:space="preserve"> which recommend a maximum wavelength of 400 nm</w:t>
      </w:r>
      <w:r w:rsidR="00F81F7A">
        <w:t>. These include the</w:t>
      </w:r>
      <w:r w:rsidR="00F81F7A" w:rsidRPr="00F81F7A" w:rsidDel="00F81F7A">
        <w:t xml:space="preserve"> </w:t>
      </w:r>
      <w:r w:rsidRPr="00A70CBA">
        <w:t>International Commission on Non-Ionizing Radiation Protection (ICNIRP)</w:t>
      </w:r>
      <w:r w:rsidR="00F81F7A">
        <w:t>,</w:t>
      </w:r>
      <w:r w:rsidR="001C203D">
        <w:t xml:space="preserve"> </w:t>
      </w:r>
      <w:r w:rsidR="00F81F7A">
        <w:t xml:space="preserve">the Commission Internationale de </w:t>
      </w:r>
      <w:proofErr w:type="spellStart"/>
      <w:r w:rsidR="00F81F7A">
        <w:t>l’Éclairage</w:t>
      </w:r>
      <w:proofErr w:type="spellEnd"/>
      <w:r w:rsidR="00F81F7A">
        <w:t xml:space="preserve"> (CIE), and the American Conference of Governmental and Industrial Hygienists (ACGIH).</w:t>
      </w:r>
      <w:r w:rsidR="001C203D">
        <w:t xml:space="preserve"> </w:t>
      </w:r>
      <w:r w:rsidRPr="00A70CBA">
        <w:t>The Australian Radiation Protection and Nuclear Safety Agency (ARPANSA) is a member of the ICNIRP scientific committee</w:t>
      </w:r>
      <w:r w:rsidR="00EE6C54">
        <w:t xml:space="preserve">. ARPANSA advised the ACCC </w:t>
      </w:r>
      <w:r w:rsidRPr="00A70CBA">
        <w:t xml:space="preserve">that guidelines </w:t>
      </w:r>
      <w:r w:rsidR="001C203D">
        <w:t xml:space="preserve">advocated </w:t>
      </w:r>
      <w:r w:rsidRPr="00A70CBA">
        <w:t>by the ICNIRP are trusted international standards.</w:t>
      </w:r>
    </w:p>
    <w:p w:rsidR="00E940B1" w:rsidRDefault="001C203D" w:rsidP="00AD0750">
      <w:r>
        <w:t xml:space="preserve">Expert members of </w:t>
      </w:r>
      <w:r w:rsidR="005A58F0">
        <w:t xml:space="preserve">Standards </w:t>
      </w:r>
      <w:r w:rsidR="00EE6C54">
        <w:t xml:space="preserve">Australia </w:t>
      </w:r>
      <w:r w:rsidR="005D23DA" w:rsidRPr="005D23DA">
        <w:t xml:space="preserve">Technical </w:t>
      </w:r>
      <w:r>
        <w:t xml:space="preserve">Committee CS-053, </w:t>
      </w:r>
      <w:r w:rsidRPr="001C203D">
        <w:rPr>
          <w:i/>
        </w:rPr>
        <w:t>Sunglasses</w:t>
      </w:r>
      <w:r>
        <w:t xml:space="preserve">, </w:t>
      </w:r>
      <w:r w:rsidR="005D23DA" w:rsidRPr="005D23DA">
        <w:t>cite Australia and New Zealand as warranting extra protection</w:t>
      </w:r>
      <w:r w:rsidR="00551E1B">
        <w:t xml:space="preserve"> against UVR</w:t>
      </w:r>
      <w:r w:rsidR="005D23DA" w:rsidRPr="005D23DA">
        <w:t xml:space="preserve"> than northern hemisphere </w:t>
      </w:r>
      <w:r w:rsidR="00992069">
        <w:t xml:space="preserve">countries </w:t>
      </w:r>
      <w:r w:rsidR="005D23DA" w:rsidRPr="005D23DA">
        <w:t xml:space="preserve">because of </w:t>
      </w:r>
      <w:r>
        <w:t>our</w:t>
      </w:r>
      <w:r w:rsidRPr="005D23DA">
        <w:t xml:space="preserve"> </w:t>
      </w:r>
      <w:r w:rsidR="005D23DA" w:rsidRPr="005D23DA">
        <w:t>much higher levels of UV</w:t>
      </w:r>
      <w:r>
        <w:t>R</w:t>
      </w:r>
      <w:r w:rsidR="005D23DA" w:rsidRPr="005D23DA">
        <w:t>. There are several geophysical reasons for the higher UV</w:t>
      </w:r>
      <w:r>
        <w:t>R</w:t>
      </w:r>
      <w:r w:rsidR="005D23DA" w:rsidRPr="005D23DA">
        <w:t xml:space="preserve"> that means Australia</w:t>
      </w:r>
      <w:r w:rsidR="008E1FF5">
        <w:t>ns</w:t>
      </w:r>
      <w:r w:rsidR="005D23DA" w:rsidRPr="005D23DA">
        <w:t xml:space="preserve"> are exposed to more UV</w:t>
      </w:r>
      <w:r>
        <w:t>R</w:t>
      </w:r>
      <w:r w:rsidR="005D23DA" w:rsidRPr="005D23DA">
        <w:t xml:space="preserve"> than northern hemisphere</w:t>
      </w:r>
      <w:r w:rsidR="008E1FF5" w:rsidRPr="008E1FF5">
        <w:t xml:space="preserve"> </w:t>
      </w:r>
      <w:r w:rsidR="008E1FF5">
        <w:t>residents are</w:t>
      </w:r>
      <w:r w:rsidR="005D23DA" w:rsidRPr="005D23DA">
        <w:t>. Up to 40</w:t>
      </w:r>
      <w:r w:rsidR="002A6741">
        <w:t xml:space="preserve"> per cent</w:t>
      </w:r>
      <w:r w:rsidR="002A6741" w:rsidRPr="005D23DA">
        <w:t xml:space="preserve"> </w:t>
      </w:r>
      <w:r w:rsidR="005D23DA" w:rsidRPr="005D23DA">
        <w:t xml:space="preserve">of </w:t>
      </w:r>
      <w:r w:rsidR="00276214" w:rsidRPr="005D23DA">
        <w:t xml:space="preserve">UVR </w:t>
      </w:r>
      <w:r w:rsidR="005D23DA" w:rsidRPr="005D23DA">
        <w:t>energy sits within the 380</w:t>
      </w:r>
      <w:r w:rsidR="00276214">
        <w:t>-</w:t>
      </w:r>
      <w:r w:rsidR="005D23DA" w:rsidRPr="005D23DA">
        <w:t>400</w:t>
      </w:r>
      <w:r w:rsidR="00276214">
        <w:t xml:space="preserve"> </w:t>
      </w:r>
      <w:r w:rsidR="005D23DA" w:rsidRPr="005D23DA">
        <w:t>nm range</w:t>
      </w:r>
      <w:r w:rsidR="00276214">
        <w:t>.</w:t>
      </w:r>
      <w:r w:rsidR="005D23DA" w:rsidRPr="005D23DA">
        <w:t xml:space="preserve"> </w:t>
      </w:r>
    </w:p>
    <w:p w:rsidR="00BB2BE7" w:rsidRDefault="00276214" w:rsidP="00AD0750">
      <w:r>
        <w:t>Y</w:t>
      </w:r>
      <w:r w:rsidR="005D23DA" w:rsidRPr="005D23DA">
        <w:t>oung eyes are particularly susceptible to damage if exposed to UVR wavelengths above 380</w:t>
      </w:r>
      <w:r w:rsidR="005D23DA">
        <w:t xml:space="preserve"> </w:t>
      </w:r>
      <w:r w:rsidR="005D23DA" w:rsidRPr="005D23DA">
        <w:t>nm</w:t>
      </w:r>
      <w:r w:rsidR="00943AEA">
        <w:t xml:space="preserve"> and the damage may be permanent</w:t>
      </w:r>
      <w:r w:rsidR="005D23DA" w:rsidRPr="005D23DA">
        <w:t xml:space="preserve">. </w:t>
      </w:r>
      <w:r w:rsidR="00E940B1">
        <w:t>H</w:t>
      </w:r>
      <w:r w:rsidR="005D23DA" w:rsidRPr="005D23DA">
        <w:t xml:space="preserve">igher UVR and increased exposure (hours in the sun) </w:t>
      </w:r>
      <w:r w:rsidR="00AE5048">
        <w:t>are the main factors for</w:t>
      </w:r>
      <w:r w:rsidR="007C3834">
        <w:t xml:space="preserve"> </w:t>
      </w:r>
      <w:r w:rsidR="005D23DA" w:rsidRPr="005D23DA">
        <w:t xml:space="preserve">concern </w:t>
      </w:r>
      <w:r w:rsidR="00943AEA">
        <w:t>that the ISO standard may offer a lower level of safety for Australians</w:t>
      </w:r>
      <w:r w:rsidR="005D23DA" w:rsidRPr="005D23DA">
        <w:t>.</w:t>
      </w:r>
      <w:r w:rsidR="00BB2BE7" w:rsidRPr="00BB2BE7">
        <w:t xml:space="preserve"> </w:t>
      </w:r>
    </w:p>
    <w:p w:rsidR="005D23DA" w:rsidRDefault="00AE5048" w:rsidP="00AE5048">
      <w:r>
        <w:t>A</w:t>
      </w:r>
      <w:r w:rsidR="002601F2">
        <w:t>n industry expert a</w:t>
      </w:r>
      <w:r w:rsidRPr="001856BE">
        <w:t>dvi</w:t>
      </w:r>
      <w:r w:rsidR="002601F2">
        <w:t>s</w:t>
      </w:r>
      <w:r w:rsidRPr="001856BE">
        <w:t>e</w:t>
      </w:r>
      <w:r w:rsidR="002601F2">
        <w:t>d</w:t>
      </w:r>
      <w:r>
        <w:t xml:space="preserve"> the ACCC </w:t>
      </w:r>
      <w:r w:rsidR="00BB2BE7" w:rsidRPr="001856BE">
        <w:t xml:space="preserve">that notwithstanding the nominally lower threshold applying internationally, in practice sunglasses </w:t>
      </w:r>
      <w:r w:rsidR="00BB2BE7">
        <w:t xml:space="preserve">from overseas </w:t>
      </w:r>
      <w:r w:rsidR="00BB2BE7" w:rsidRPr="001856BE">
        <w:t xml:space="preserve">generally provide protection from UVR up to </w:t>
      </w:r>
      <w:r w:rsidR="00276214">
        <w:t xml:space="preserve">the </w:t>
      </w:r>
      <w:r w:rsidR="00BB2BE7" w:rsidRPr="001856BE">
        <w:t>400</w:t>
      </w:r>
      <w:r w:rsidR="00276214">
        <w:t xml:space="preserve"> </w:t>
      </w:r>
      <w:r w:rsidR="00BB2BE7" w:rsidRPr="001856BE">
        <w:t>nm threshold</w:t>
      </w:r>
      <w:r w:rsidR="00276214">
        <w:t>, so</w:t>
      </w:r>
      <w:r w:rsidR="00BB2BE7" w:rsidRPr="001856BE">
        <w:t xml:space="preserve"> there is no additional burden for </w:t>
      </w:r>
      <w:r w:rsidR="00276214" w:rsidRPr="001856BE">
        <w:t xml:space="preserve">lens </w:t>
      </w:r>
      <w:r w:rsidR="00BB2BE7" w:rsidRPr="001856BE">
        <w:t xml:space="preserve">manufacturers. </w:t>
      </w:r>
    </w:p>
    <w:p w:rsidR="00BB2BE7" w:rsidRPr="004A2306" w:rsidRDefault="00BB2BE7" w:rsidP="007C3834">
      <w:pPr>
        <w:rPr>
          <w:b/>
          <w:i/>
        </w:rPr>
      </w:pPr>
      <w:r w:rsidRPr="004A2306">
        <w:rPr>
          <w:b/>
          <w:i/>
        </w:rPr>
        <w:t>Requirements for blue light filtration</w:t>
      </w:r>
    </w:p>
    <w:p w:rsidR="006B78BA" w:rsidRDefault="00860FAC" w:rsidP="007C3834">
      <w:r>
        <w:t xml:space="preserve">The </w:t>
      </w:r>
      <w:r w:rsidR="000F349F">
        <w:t xml:space="preserve">ISO standard has lower </w:t>
      </w:r>
      <w:r>
        <w:t xml:space="preserve">requirements for blue light filtration </w:t>
      </w:r>
      <w:r w:rsidR="000F349F">
        <w:t xml:space="preserve">than the levels </w:t>
      </w:r>
      <w:r>
        <w:t xml:space="preserve">in </w:t>
      </w:r>
      <w:r w:rsidR="00BD246B">
        <w:br/>
      </w:r>
      <w:r w:rsidRPr="00860FAC">
        <w:t>AS/NZS</w:t>
      </w:r>
      <w:r w:rsidR="008E1FF5">
        <w:t xml:space="preserve"> </w:t>
      </w:r>
      <w:r w:rsidRPr="00860FAC">
        <w:t>1067:2016</w:t>
      </w:r>
      <w:r w:rsidR="006C77DC">
        <w:t xml:space="preserve">. Blue light filtration </w:t>
      </w:r>
      <w:r w:rsidR="00E44780">
        <w:t xml:space="preserve">reduces </w:t>
      </w:r>
      <w:r w:rsidR="000F349F">
        <w:t xml:space="preserve">the capacity of </w:t>
      </w:r>
      <w:r w:rsidR="006C77DC">
        <w:t>p</w:t>
      </w:r>
      <w:r w:rsidR="00815A04">
        <w:t xml:space="preserve">eople with </w:t>
      </w:r>
      <w:r w:rsidR="00E44780">
        <w:t xml:space="preserve">impaired </w:t>
      </w:r>
      <w:r w:rsidR="00815A04">
        <w:t>colo</w:t>
      </w:r>
      <w:r>
        <w:t>u</w:t>
      </w:r>
      <w:r w:rsidR="00815A04">
        <w:t xml:space="preserve">r </w:t>
      </w:r>
      <w:r w:rsidR="00815A04">
        <w:lastRenderedPageBreak/>
        <w:t xml:space="preserve">vision </w:t>
      </w:r>
      <w:r w:rsidR="006C77DC">
        <w:t>to detect</w:t>
      </w:r>
      <w:r w:rsidR="00815A04">
        <w:t xml:space="preserve"> and recogn</w:t>
      </w:r>
      <w:r w:rsidR="006C77DC">
        <w:t>ise</w:t>
      </w:r>
      <w:r w:rsidR="00815A04">
        <w:t xml:space="preserve"> road traffic signals</w:t>
      </w:r>
      <w:r w:rsidR="006C77DC">
        <w:t xml:space="preserve">, </w:t>
      </w:r>
      <w:r w:rsidR="000F349F">
        <w:t xml:space="preserve">potentially </w:t>
      </w:r>
      <w:r w:rsidR="006C77DC">
        <w:t xml:space="preserve">resulting in increases in reaction time </w:t>
      </w:r>
      <w:r w:rsidR="00815A04">
        <w:t>and incorrect re</w:t>
      </w:r>
      <w:r w:rsidR="000F349F">
        <w:t>sponses</w:t>
      </w:r>
      <w:r w:rsidR="00815A04">
        <w:t>.</w:t>
      </w:r>
      <w:r w:rsidR="00815A04">
        <w:rPr>
          <w:rStyle w:val="FootnoteReference"/>
        </w:rPr>
        <w:footnoteReference w:id="4"/>
      </w:r>
      <w:r w:rsidR="006C77DC">
        <w:t xml:space="preserve"> </w:t>
      </w:r>
    </w:p>
    <w:p w:rsidR="00815A04" w:rsidRDefault="00174DB4" w:rsidP="007C3834">
      <w:r>
        <w:t>L</w:t>
      </w:r>
      <w:r w:rsidR="00F32EB2">
        <w:t>ow levels of light and l</w:t>
      </w:r>
      <w:r w:rsidR="006C77DC" w:rsidRPr="006C77DC">
        <w:t>enses that tra</w:t>
      </w:r>
      <w:r>
        <w:t xml:space="preserve">nsmit little or no </w:t>
      </w:r>
      <w:r w:rsidR="002D460E">
        <w:t xml:space="preserve">blue </w:t>
      </w:r>
      <w:r>
        <w:t xml:space="preserve">light </w:t>
      </w:r>
      <w:r w:rsidR="004F268D">
        <w:t>affect</w:t>
      </w:r>
      <w:r>
        <w:t xml:space="preserve"> the ability of people with colour </w:t>
      </w:r>
      <w:r w:rsidR="00E44780">
        <w:t xml:space="preserve">impaired </w:t>
      </w:r>
      <w:r>
        <w:t>vision to distinguish colours</w:t>
      </w:r>
      <w:r w:rsidR="00E0407F">
        <w:t xml:space="preserve">, particularly for </w:t>
      </w:r>
      <w:r w:rsidR="00E44780">
        <w:t xml:space="preserve">older </w:t>
      </w:r>
      <w:r w:rsidR="00E0407F">
        <w:t>incandescent type traffic signals</w:t>
      </w:r>
      <w:r w:rsidR="006C77DC" w:rsidRPr="006C77DC">
        <w:t>.</w:t>
      </w:r>
      <w:r w:rsidR="00F32EB2" w:rsidRPr="00F32EB2">
        <w:t xml:space="preserve"> In Australia, </w:t>
      </w:r>
      <w:r w:rsidR="00F32EB2">
        <w:t>approximately</w:t>
      </w:r>
      <w:r w:rsidR="00F32EB2" w:rsidRPr="00F32EB2">
        <w:t xml:space="preserve"> 8</w:t>
      </w:r>
      <w:r w:rsidR="00E44780">
        <w:t xml:space="preserve"> per cent</w:t>
      </w:r>
      <w:r w:rsidR="00E44780" w:rsidRPr="00F32EB2">
        <w:t xml:space="preserve"> </w:t>
      </w:r>
      <w:r w:rsidR="00F32EB2" w:rsidRPr="00F32EB2">
        <w:t>of males and 0.4</w:t>
      </w:r>
      <w:r w:rsidR="00E44780">
        <w:t xml:space="preserve"> per cent</w:t>
      </w:r>
      <w:r w:rsidR="00E44780" w:rsidRPr="00F32EB2">
        <w:t xml:space="preserve"> </w:t>
      </w:r>
      <w:r w:rsidR="00F32EB2" w:rsidRPr="00F32EB2">
        <w:t xml:space="preserve">of females </w:t>
      </w:r>
      <w:r w:rsidR="00F32EB2">
        <w:t xml:space="preserve">have </w:t>
      </w:r>
      <w:r w:rsidR="00F32EB2" w:rsidRPr="00F32EB2">
        <w:t>some degree</w:t>
      </w:r>
      <w:r w:rsidR="00F32EB2">
        <w:t xml:space="preserve"> of colour </w:t>
      </w:r>
      <w:r w:rsidR="00E44780">
        <w:t xml:space="preserve">impaired </w:t>
      </w:r>
      <w:r w:rsidR="00F32EB2">
        <w:t>vision</w:t>
      </w:r>
      <w:r w:rsidR="006B78BA">
        <w:t xml:space="preserve">, making this a </w:t>
      </w:r>
      <w:r w:rsidR="00D971DF">
        <w:t xml:space="preserve">potentially </w:t>
      </w:r>
      <w:r w:rsidR="006B78BA">
        <w:t xml:space="preserve">significant </w:t>
      </w:r>
      <w:r w:rsidR="00D971DF">
        <w:t xml:space="preserve">road safety </w:t>
      </w:r>
      <w:r w:rsidR="006B78BA">
        <w:t xml:space="preserve">issue, though </w:t>
      </w:r>
      <w:r w:rsidR="00D971DF">
        <w:t xml:space="preserve">these drivers </w:t>
      </w:r>
      <w:r w:rsidR="006B78BA">
        <w:t xml:space="preserve">may be able to compensate </w:t>
      </w:r>
      <w:r w:rsidR="00D971DF">
        <w:t xml:space="preserve">under </w:t>
      </w:r>
      <w:r w:rsidR="006B78BA">
        <w:t>most driving conditions</w:t>
      </w:r>
      <w:r w:rsidR="00F32EB2">
        <w:rPr>
          <w:rStyle w:val="FootnoteReference"/>
        </w:rPr>
        <w:footnoteReference w:id="5"/>
      </w:r>
      <w:r w:rsidR="00F32EB2" w:rsidRPr="00F32EB2">
        <w:t>.</w:t>
      </w:r>
    </w:p>
    <w:p w:rsidR="00BB2BE7" w:rsidRPr="00860FAC" w:rsidRDefault="00BB2BE7" w:rsidP="007C3834">
      <w:pPr>
        <w:rPr>
          <w:b/>
          <w:i/>
        </w:rPr>
      </w:pPr>
      <w:r w:rsidRPr="00860FAC">
        <w:rPr>
          <w:b/>
          <w:i/>
        </w:rPr>
        <w:t>Sunglass</w:t>
      </w:r>
      <w:r w:rsidR="00860FAC">
        <w:rPr>
          <w:b/>
          <w:i/>
        </w:rPr>
        <w:t>es</w:t>
      </w:r>
      <w:r w:rsidRPr="00860FAC">
        <w:rPr>
          <w:b/>
          <w:i/>
        </w:rPr>
        <w:t xml:space="preserve"> labelling</w:t>
      </w:r>
    </w:p>
    <w:p w:rsidR="000A625E" w:rsidRPr="00D74E55" w:rsidRDefault="0044235F" w:rsidP="007C3834">
      <w:r>
        <w:t xml:space="preserve">The ISO standard sets labelling requirements for </w:t>
      </w:r>
      <w:r w:rsidR="000A625E" w:rsidRPr="00D74E55">
        <w:t xml:space="preserve">sunglasses by </w:t>
      </w:r>
      <w:r w:rsidRPr="00D74E55">
        <w:t>categor</w:t>
      </w:r>
      <w:r>
        <w:t>ies</w:t>
      </w:r>
      <w:r w:rsidRPr="00D74E55">
        <w:t xml:space="preserve"> </w:t>
      </w:r>
      <w:r>
        <w:t>that are</w:t>
      </w:r>
      <w:r w:rsidRPr="00D74E55">
        <w:t xml:space="preserve"> </w:t>
      </w:r>
      <w:r w:rsidR="000A625E" w:rsidRPr="00D74E55">
        <w:t xml:space="preserve">broadly equivalent </w:t>
      </w:r>
      <w:r>
        <w:t>to the mandatory standard</w:t>
      </w:r>
      <w:r w:rsidR="000A625E" w:rsidRPr="00D74E55">
        <w:t>.</w:t>
      </w:r>
      <w:r>
        <w:t xml:space="preserve"> However, the ISO standard permits the use of symbols only. </w:t>
      </w:r>
      <w:r w:rsidR="00891595">
        <w:t>The mandatory standard requires</w:t>
      </w:r>
      <w:r>
        <w:t xml:space="preserve"> the d</w:t>
      </w:r>
      <w:r w:rsidR="00FE38E5">
        <w:t xml:space="preserve">escription of the categories and usage information </w:t>
      </w:r>
      <w:r>
        <w:t xml:space="preserve">to </w:t>
      </w:r>
      <w:r w:rsidR="00FE38E5">
        <w:t xml:space="preserve">be in </w:t>
      </w:r>
      <w:r>
        <w:t>English text.</w:t>
      </w:r>
    </w:p>
    <w:p w:rsidR="00A10CFD" w:rsidRPr="000122BA" w:rsidRDefault="00A10CFD" w:rsidP="000122BA">
      <w:pPr>
        <w:spacing w:before="240"/>
        <w:rPr>
          <w:b/>
          <w:sz w:val="24"/>
          <w:szCs w:val="24"/>
        </w:rPr>
      </w:pPr>
      <w:bookmarkStart w:id="131" w:name="_Toc459041412"/>
      <w:r w:rsidRPr="000122BA">
        <w:rPr>
          <w:b/>
          <w:sz w:val="24"/>
          <w:szCs w:val="24"/>
        </w:rPr>
        <w:t>Assessment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52046D" w:rsidRDefault="000A625E" w:rsidP="002A6741">
      <w:pPr>
        <w:rPr>
          <w:lang w:val="en"/>
        </w:rPr>
      </w:pPr>
      <w:bookmarkStart w:id="132" w:name="_Toc457816074"/>
      <w:bookmarkStart w:id="133" w:name="_Toc457817021"/>
      <w:r>
        <w:rPr>
          <w:lang w:val="en"/>
        </w:rPr>
        <w:t>The requirements for UVR and for blue light filtration are lower in the ISO standard than in AS/NZS</w:t>
      </w:r>
      <w:r w:rsidR="008E1FF5">
        <w:rPr>
          <w:lang w:val="en"/>
        </w:rPr>
        <w:t xml:space="preserve"> </w:t>
      </w:r>
      <w:r>
        <w:rPr>
          <w:lang w:val="en"/>
        </w:rPr>
        <w:t>1067</w:t>
      </w:r>
      <w:r w:rsidR="00891595">
        <w:rPr>
          <w:lang w:val="en"/>
        </w:rPr>
        <w:t xml:space="preserve"> and are assessed to be inadequate for Australian conditions</w:t>
      </w:r>
      <w:r w:rsidR="00016D93">
        <w:rPr>
          <w:lang w:val="en"/>
        </w:rPr>
        <w:t>.</w:t>
      </w:r>
      <w:r>
        <w:rPr>
          <w:lang w:val="en"/>
        </w:rPr>
        <w:t xml:space="preserve"> </w:t>
      </w:r>
    </w:p>
    <w:p w:rsidR="00A10CFD" w:rsidRPr="00F32EB2" w:rsidRDefault="00A10CFD" w:rsidP="007C3834">
      <w:pPr>
        <w:pStyle w:val="Numbered11"/>
        <w:numPr>
          <w:ilvl w:val="1"/>
          <w:numId w:val="43"/>
        </w:numPr>
      </w:pPr>
      <w:bookmarkStart w:id="134" w:name="_Toc459041413"/>
      <w:bookmarkStart w:id="135" w:name="_Toc462651314"/>
      <w:r w:rsidRPr="00F32EB2">
        <w:t>The ANSI standard</w:t>
      </w:r>
      <w:bookmarkEnd w:id="132"/>
      <w:bookmarkEnd w:id="133"/>
      <w:bookmarkEnd w:id="134"/>
      <w:bookmarkEnd w:id="135"/>
    </w:p>
    <w:p w:rsidR="00A10CFD" w:rsidRPr="000122BA" w:rsidRDefault="00A10CFD" w:rsidP="000122BA">
      <w:pPr>
        <w:spacing w:before="240"/>
        <w:rPr>
          <w:b/>
          <w:sz w:val="24"/>
          <w:szCs w:val="24"/>
        </w:rPr>
      </w:pPr>
      <w:bookmarkStart w:id="136" w:name="_Toc457816075"/>
      <w:bookmarkStart w:id="137" w:name="_Toc457817022"/>
      <w:bookmarkStart w:id="138" w:name="_Toc459041414"/>
      <w:r w:rsidRPr="000122BA">
        <w:rPr>
          <w:b/>
          <w:sz w:val="24"/>
          <w:szCs w:val="24"/>
        </w:rPr>
        <w:t>Addressing safety concerns</w:t>
      </w:r>
      <w:bookmarkEnd w:id="136"/>
      <w:bookmarkEnd w:id="137"/>
      <w:bookmarkEnd w:id="138"/>
    </w:p>
    <w:p w:rsidR="00E10E3F" w:rsidRDefault="000D4ACD" w:rsidP="007C3834">
      <w:pPr>
        <w:spacing w:after="240"/>
        <w:rPr>
          <w:bCs/>
          <w:iCs/>
          <w:lang w:val="en"/>
        </w:rPr>
      </w:pPr>
      <w:bookmarkStart w:id="139" w:name="_Toc457816076"/>
      <w:bookmarkStart w:id="140" w:name="_Toc457817023"/>
      <w:r w:rsidRPr="000D4ACD">
        <w:t xml:space="preserve">Sunglasses in the US are regarded as medical devices under the Federal </w:t>
      </w:r>
      <w:r w:rsidRPr="007566DC">
        <w:rPr>
          <w:i/>
        </w:rPr>
        <w:t>Food, Drug, and Cosmetic Act</w:t>
      </w:r>
      <w:r w:rsidR="005D1761">
        <w:t>. They</w:t>
      </w:r>
      <w:r w:rsidRPr="000D4ACD">
        <w:t xml:space="preserve"> are required to conform to</w:t>
      </w:r>
      <w:r w:rsidR="00016D93">
        <w:t xml:space="preserve"> labelling requirements</w:t>
      </w:r>
      <w:r w:rsidR="00FF7C9C">
        <w:t xml:space="preserve"> </w:t>
      </w:r>
      <w:r w:rsidR="00016D93">
        <w:t xml:space="preserve">for medical devices and </w:t>
      </w:r>
      <w:r w:rsidR="00FF7C9C">
        <w:t>performance</w:t>
      </w:r>
      <w:r w:rsidRPr="000D4ACD">
        <w:t xml:space="preserve"> requirements based on </w:t>
      </w:r>
      <w:r w:rsidR="005D1761">
        <w:t>the ANSI</w:t>
      </w:r>
      <w:r w:rsidR="00FF7C9C">
        <w:t xml:space="preserve"> and relevant ISO standards</w:t>
      </w:r>
      <w:r w:rsidRPr="000D4ACD">
        <w:t xml:space="preserve"> in the regulations administered by the Fe</w:t>
      </w:r>
      <w:r w:rsidR="00A51F53">
        <w:rPr>
          <w:bCs/>
        </w:rPr>
        <w:t xml:space="preserve">deral Drug Administration (FDA). </w:t>
      </w:r>
      <w:r w:rsidR="00016D93">
        <w:rPr>
          <w:bCs/>
        </w:rPr>
        <w:t>The FDA also provides guidance for safety labelling,</w:t>
      </w:r>
      <w:r w:rsidR="00016D93" w:rsidRPr="00016D93">
        <w:t xml:space="preserve"> </w:t>
      </w:r>
      <w:r w:rsidR="00016D93" w:rsidRPr="00016D93">
        <w:rPr>
          <w:bCs/>
        </w:rPr>
        <w:t xml:space="preserve">such as </w:t>
      </w:r>
      <w:r w:rsidR="00FB2F0E">
        <w:rPr>
          <w:bCs/>
        </w:rPr>
        <w:t xml:space="preserve">statements regarding </w:t>
      </w:r>
      <w:r w:rsidR="00016D93" w:rsidRPr="00016D93">
        <w:rPr>
          <w:bCs/>
        </w:rPr>
        <w:t>suitability for driving</w:t>
      </w:r>
      <w:r w:rsidR="00016D93">
        <w:rPr>
          <w:bCs/>
        </w:rPr>
        <w:t xml:space="preserve">, which </w:t>
      </w:r>
      <w:r w:rsidR="00FB2F0E">
        <w:rPr>
          <w:bCs/>
        </w:rPr>
        <w:t>are</w:t>
      </w:r>
      <w:r w:rsidR="00016D93">
        <w:rPr>
          <w:bCs/>
        </w:rPr>
        <w:t xml:space="preserve"> optional. </w:t>
      </w:r>
      <w:r w:rsidR="00A51F53" w:rsidRPr="00A51F53">
        <w:rPr>
          <w:bCs/>
          <w:iCs/>
          <w:lang w:val="en"/>
        </w:rPr>
        <w:t>The ANSI</w:t>
      </w:r>
      <w:r w:rsidR="005D1761">
        <w:rPr>
          <w:bCs/>
          <w:iCs/>
          <w:lang w:val="en"/>
        </w:rPr>
        <w:t xml:space="preserve"> standard</w:t>
      </w:r>
      <w:r w:rsidR="00A51F53" w:rsidRPr="00A51F53">
        <w:rPr>
          <w:bCs/>
          <w:iCs/>
          <w:lang w:val="en"/>
        </w:rPr>
        <w:t xml:space="preserve"> is comparable to the</w:t>
      </w:r>
      <w:r w:rsidR="00A51F53">
        <w:rPr>
          <w:bCs/>
          <w:iCs/>
          <w:lang w:val="en"/>
        </w:rPr>
        <w:t xml:space="preserve"> ISO in principle and substance</w:t>
      </w:r>
      <w:r w:rsidR="007B59BD">
        <w:rPr>
          <w:bCs/>
          <w:iCs/>
          <w:lang w:val="en"/>
        </w:rPr>
        <w:t xml:space="preserve"> except that is does not address safety</w:t>
      </w:r>
      <w:r w:rsidR="00FF7C9C">
        <w:rPr>
          <w:bCs/>
          <w:iCs/>
          <w:lang w:val="en"/>
        </w:rPr>
        <w:t xml:space="preserve"> labelling</w:t>
      </w:r>
      <w:r w:rsidR="00A51F53">
        <w:rPr>
          <w:bCs/>
          <w:iCs/>
          <w:lang w:val="en"/>
        </w:rPr>
        <w:t>.</w:t>
      </w:r>
    </w:p>
    <w:p w:rsidR="00804D7E" w:rsidRDefault="00353DCE" w:rsidP="007C3834">
      <w:r>
        <w:t xml:space="preserve">The requirements for UVR and blue light filtration </w:t>
      </w:r>
      <w:r w:rsidR="00372D9A">
        <w:t>in t</w:t>
      </w:r>
      <w:r w:rsidR="00804D7E">
        <w:t xml:space="preserve">he ANSI </w:t>
      </w:r>
      <w:r w:rsidR="00F04F27" w:rsidRPr="00F04F27">
        <w:t xml:space="preserve">standard </w:t>
      </w:r>
      <w:r w:rsidR="00016D93">
        <w:t xml:space="preserve">and the absence of safety labelling </w:t>
      </w:r>
      <w:r w:rsidR="00372D9A">
        <w:t xml:space="preserve">give rise to concerns that use of the standard would </w:t>
      </w:r>
      <w:r w:rsidR="00F04F27" w:rsidRPr="00F04F27">
        <w:t>result in a lower level of safety in Australia</w:t>
      </w:r>
      <w:r w:rsidR="00804D7E">
        <w:t xml:space="preserve">. </w:t>
      </w:r>
    </w:p>
    <w:p w:rsidR="00A10CFD" w:rsidRPr="000122BA" w:rsidRDefault="00A10CFD" w:rsidP="000122BA">
      <w:pPr>
        <w:spacing w:before="240"/>
        <w:rPr>
          <w:b/>
          <w:sz w:val="24"/>
          <w:szCs w:val="24"/>
        </w:rPr>
      </w:pPr>
      <w:bookmarkStart w:id="141" w:name="_Toc459041415"/>
      <w:r w:rsidRPr="000122BA">
        <w:rPr>
          <w:b/>
          <w:sz w:val="24"/>
          <w:szCs w:val="24"/>
        </w:rPr>
        <w:t>Comparable jurisdiction to Australia</w:t>
      </w:r>
      <w:bookmarkEnd w:id="139"/>
      <w:bookmarkEnd w:id="140"/>
      <w:bookmarkEnd w:id="141"/>
    </w:p>
    <w:p w:rsidR="00804D7E" w:rsidRPr="00F04F27" w:rsidRDefault="000D4ACD" w:rsidP="007C3834">
      <w:pPr>
        <w:rPr>
          <w:bCs/>
        </w:rPr>
      </w:pPr>
      <w:bookmarkStart w:id="142" w:name="_Toc459041416"/>
      <w:bookmarkStart w:id="143" w:name="_Toc457816077"/>
      <w:bookmarkStart w:id="144" w:name="_Toc457817024"/>
      <w:r>
        <w:t xml:space="preserve">The American National Standards Institute (ANSI) </w:t>
      </w:r>
      <w:r w:rsidR="00804D7E" w:rsidRPr="00F04F27">
        <w:t>standard applies in a comparable jurisdiction to Australia.</w:t>
      </w:r>
      <w:bookmarkEnd w:id="142"/>
      <w:r w:rsidR="00F04F27" w:rsidRPr="00F04F27" w:rsidDel="00F04F27">
        <w:t xml:space="preserve"> </w:t>
      </w:r>
    </w:p>
    <w:p w:rsidR="00A10CFD" w:rsidRPr="000122BA" w:rsidRDefault="00A10CFD" w:rsidP="000122BA">
      <w:pPr>
        <w:spacing w:before="240"/>
        <w:rPr>
          <w:b/>
          <w:sz w:val="24"/>
          <w:szCs w:val="24"/>
        </w:rPr>
      </w:pPr>
      <w:bookmarkStart w:id="145" w:name="_Toc459041417"/>
      <w:r w:rsidRPr="000122BA">
        <w:rPr>
          <w:b/>
          <w:sz w:val="24"/>
          <w:szCs w:val="24"/>
        </w:rPr>
        <w:t>Applicability to Australia</w:t>
      </w:r>
      <w:bookmarkEnd w:id="143"/>
      <w:bookmarkEnd w:id="144"/>
      <w:bookmarkEnd w:id="145"/>
    </w:p>
    <w:p w:rsidR="00FB2F0E" w:rsidRDefault="00A50C1F" w:rsidP="007C3834">
      <w:bookmarkStart w:id="146" w:name="_Toc459041418"/>
      <w:r>
        <w:t>The ANSI standard</w:t>
      </w:r>
      <w:r w:rsidR="00804D7E">
        <w:t xml:space="preserve"> includes similar performance requirements </w:t>
      </w:r>
      <w:r w:rsidR="00DF79BF" w:rsidRPr="00DF79BF">
        <w:t xml:space="preserve">for UVR wavelength limits </w:t>
      </w:r>
      <w:r w:rsidR="00804D7E">
        <w:t>as the ISO standard</w:t>
      </w:r>
      <w:r w:rsidR="00DF79BF">
        <w:t xml:space="preserve">, namely that of 380 nm. The ANSI requirement for </w:t>
      </w:r>
      <w:r w:rsidR="00804D7E">
        <w:t xml:space="preserve">blue light filtration </w:t>
      </w:r>
      <w:r w:rsidR="00FB2F0E">
        <w:t xml:space="preserve">is </w:t>
      </w:r>
      <w:r w:rsidR="00DF79BF">
        <w:t xml:space="preserve">less strict than the </w:t>
      </w:r>
      <w:r w:rsidR="00AB49E1">
        <w:t>ISO standard or</w:t>
      </w:r>
      <w:r w:rsidR="00DF79BF">
        <w:t xml:space="preserve"> </w:t>
      </w:r>
      <w:r w:rsidR="00DF79BF" w:rsidRPr="00DF79BF">
        <w:t>AS/NZ</w:t>
      </w:r>
      <w:r w:rsidR="008E1FF5">
        <w:t xml:space="preserve"> </w:t>
      </w:r>
      <w:r w:rsidR="00DF79BF" w:rsidRPr="00DF79BF">
        <w:t>1067:2016</w:t>
      </w:r>
      <w:r w:rsidR="00AB49E1">
        <w:t xml:space="preserve"> and</w:t>
      </w:r>
      <w:r w:rsidR="00DF79BF">
        <w:t xml:space="preserve"> </w:t>
      </w:r>
      <w:r w:rsidR="00860FAC" w:rsidRPr="00860FAC">
        <w:t xml:space="preserve">can result in tints that are not suitable for driving, but </w:t>
      </w:r>
      <w:r w:rsidR="00DF79BF">
        <w:t>it has</w:t>
      </w:r>
      <w:r w:rsidR="00860FAC" w:rsidRPr="00860FAC">
        <w:t xml:space="preserve"> no requirement to label</w:t>
      </w:r>
      <w:r w:rsidR="00DF79BF">
        <w:t xml:space="preserve"> lenses</w:t>
      </w:r>
      <w:r w:rsidR="00860FAC" w:rsidRPr="00860FAC">
        <w:t xml:space="preserve"> as such</w:t>
      </w:r>
      <w:r w:rsidR="00DF79BF">
        <w:t>.</w:t>
      </w:r>
      <w:bookmarkEnd w:id="146"/>
    </w:p>
    <w:p w:rsidR="00A51F53" w:rsidRPr="000122BA" w:rsidRDefault="00A51F53" w:rsidP="00CA257C">
      <w:pPr>
        <w:keepNext/>
        <w:spacing w:before="240"/>
        <w:rPr>
          <w:b/>
          <w:sz w:val="24"/>
          <w:szCs w:val="24"/>
        </w:rPr>
      </w:pPr>
      <w:bookmarkStart w:id="147" w:name="_Toc459041419"/>
      <w:bookmarkStart w:id="148" w:name="_Toc457816079"/>
      <w:bookmarkStart w:id="149" w:name="_Toc457817026"/>
      <w:r w:rsidRPr="000122BA">
        <w:rPr>
          <w:b/>
          <w:sz w:val="24"/>
          <w:szCs w:val="24"/>
        </w:rPr>
        <w:lastRenderedPageBreak/>
        <w:t>Assessment</w:t>
      </w:r>
      <w:bookmarkEnd w:id="147"/>
    </w:p>
    <w:p w:rsidR="00174DB4" w:rsidRPr="0071375D" w:rsidRDefault="00174DB4" w:rsidP="007C3834">
      <w:bookmarkStart w:id="150" w:name="_Toc459041420"/>
      <w:r w:rsidRPr="00DF79BF">
        <w:t xml:space="preserve">The </w:t>
      </w:r>
      <w:r w:rsidR="00DF79BF">
        <w:t>ANSI</w:t>
      </w:r>
      <w:r w:rsidRPr="00DF79BF">
        <w:t xml:space="preserve"> standard </w:t>
      </w:r>
      <w:r w:rsidR="00372D9A">
        <w:t xml:space="preserve">requirements for UVR and </w:t>
      </w:r>
      <w:r w:rsidR="00D041A0">
        <w:t xml:space="preserve">blue light filtration </w:t>
      </w:r>
      <w:r w:rsidR="00372D9A">
        <w:t>are less than those for the ISO standard</w:t>
      </w:r>
      <w:r w:rsidR="00FB2F0E">
        <w:t>,</w:t>
      </w:r>
      <w:r w:rsidR="00372D9A">
        <w:t xml:space="preserve"> which are less than those under AS/NZS</w:t>
      </w:r>
      <w:r w:rsidR="008E1FF5">
        <w:t xml:space="preserve"> </w:t>
      </w:r>
      <w:r w:rsidR="00372D9A">
        <w:t>1067</w:t>
      </w:r>
      <w:r w:rsidR="00FB2F0E">
        <w:t>,</w:t>
      </w:r>
      <w:r w:rsidR="00372D9A">
        <w:t xml:space="preserve"> </w:t>
      </w:r>
      <w:r w:rsidR="00891595" w:rsidRPr="00891595">
        <w:t xml:space="preserve">and are assessed </w:t>
      </w:r>
      <w:r w:rsidR="00891595">
        <w:t xml:space="preserve">to be inadequate for </w:t>
      </w:r>
      <w:r w:rsidR="00866D34">
        <w:t>Australian conditions</w:t>
      </w:r>
      <w:r w:rsidR="00866D34" w:rsidRPr="0071375D">
        <w:t>.</w:t>
      </w:r>
      <w:bookmarkEnd w:id="150"/>
    </w:p>
    <w:p w:rsidR="00A10CFD" w:rsidRPr="00866D34" w:rsidRDefault="00286F5D" w:rsidP="00BD4D0C">
      <w:pPr>
        <w:pStyle w:val="Numbered11"/>
        <w:keepNext/>
        <w:numPr>
          <w:ilvl w:val="1"/>
          <w:numId w:val="43"/>
        </w:numPr>
        <w:ind w:left="1077"/>
      </w:pPr>
      <w:bookmarkStart w:id="151" w:name="TAAJ"/>
      <w:bookmarkStart w:id="152" w:name="CTH_REG_1979-134_REG11B"/>
      <w:bookmarkStart w:id="153" w:name="TAAK"/>
      <w:bookmarkStart w:id="154" w:name="CTH_REG_1979-134_REG11C"/>
      <w:bookmarkStart w:id="155" w:name="_Toc459041421"/>
      <w:bookmarkStart w:id="156" w:name="_Toc462651315"/>
      <w:bookmarkEnd w:id="151"/>
      <w:bookmarkEnd w:id="152"/>
      <w:bookmarkEnd w:id="153"/>
      <w:bookmarkEnd w:id="154"/>
      <w:r w:rsidRPr="00866D34">
        <w:t>Chin</w:t>
      </w:r>
      <w:r w:rsidR="00844541" w:rsidRPr="00866D34">
        <w:t>ese,</w:t>
      </w:r>
      <w:r w:rsidRPr="00866D34">
        <w:t xml:space="preserve"> </w:t>
      </w:r>
      <w:r w:rsidR="00A10CFD" w:rsidRPr="00866D34">
        <w:t>South</w:t>
      </w:r>
      <w:r w:rsidR="0071185C" w:rsidRPr="00866D34">
        <w:t xml:space="preserve"> </w:t>
      </w:r>
      <w:r w:rsidR="00A10CFD" w:rsidRPr="00866D34">
        <w:t>African</w:t>
      </w:r>
      <w:r w:rsidR="00844541" w:rsidRPr="00866D34">
        <w:t xml:space="preserve"> and</w:t>
      </w:r>
      <w:r w:rsidR="00A10CFD" w:rsidRPr="00866D34">
        <w:t xml:space="preserve"> </w:t>
      </w:r>
      <w:r w:rsidR="0071185C" w:rsidRPr="00866D34">
        <w:t xml:space="preserve">Brazilian </w:t>
      </w:r>
      <w:r w:rsidR="00A10CFD" w:rsidRPr="00866D34">
        <w:t>standards</w:t>
      </w:r>
      <w:bookmarkEnd w:id="148"/>
      <w:bookmarkEnd w:id="149"/>
      <w:bookmarkEnd w:id="155"/>
      <w:bookmarkEnd w:id="156"/>
    </w:p>
    <w:p w:rsidR="00286F5D" w:rsidRDefault="00286F5D" w:rsidP="00BD4D0C">
      <w:bookmarkStart w:id="157" w:name="_Toc422996123"/>
      <w:bookmarkStart w:id="158" w:name="_Toc430872767"/>
      <w:bookmarkStart w:id="159" w:name="_Toc453749354"/>
      <w:bookmarkStart w:id="160" w:name="_Toc455580019"/>
      <w:bookmarkStart w:id="161" w:name="_Toc457816080"/>
      <w:bookmarkStart w:id="162" w:name="_Toc457817027"/>
      <w:r w:rsidRPr="0049588C">
        <w:t>China is in the process of regulating</w:t>
      </w:r>
      <w:r w:rsidR="00844541">
        <w:t xml:space="preserve"> sunglasses</w:t>
      </w:r>
      <w:r w:rsidRPr="0049588C">
        <w:t xml:space="preserve"> and a </w:t>
      </w:r>
      <w:r w:rsidR="00844541">
        <w:t xml:space="preserve">voluntary </w:t>
      </w:r>
      <w:r w:rsidRPr="0049588C">
        <w:t xml:space="preserve">standard is expected to be published </w:t>
      </w:r>
      <w:r>
        <w:t xml:space="preserve">in </w:t>
      </w:r>
      <w:r w:rsidRPr="0049588C">
        <w:t xml:space="preserve">2016 based on the </w:t>
      </w:r>
      <w:r>
        <w:t>ISO</w:t>
      </w:r>
      <w:r w:rsidRPr="0049588C">
        <w:t xml:space="preserve"> </w:t>
      </w:r>
      <w:r w:rsidR="00C71291">
        <w:t xml:space="preserve">standard </w:t>
      </w:r>
      <w:r w:rsidRPr="0049588C">
        <w:t xml:space="preserve">with </w:t>
      </w:r>
      <w:r w:rsidR="00C71291">
        <w:t xml:space="preserve">some </w:t>
      </w:r>
      <w:r w:rsidRPr="0049588C">
        <w:t>variations.</w:t>
      </w:r>
    </w:p>
    <w:p w:rsidR="00E10E3F" w:rsidRDefault="00E10E3F" w:rsidP="00BD4D0C">
      <w:r>
        <w:t>The following standards have not been assessed for suitability in Australia</w:t>
      </w:r>
      <w:r w:rsidR="009A3DE4">
        <w:t>:</w:t>
      </w:r>
    </w:p>
    <w:p w:rsidR="00E10E3F" w:rsidRDefault="00E10E3F" w:rsidP="008C38BE">
      <w:pPr>
        <w:pStyle w:val="Bulletpoint"/>
        <w:tabs>
          <w:tab w:val="clear" w:pos="340"/>
          <w:tab w:val="left" w:pos="284"/>
        </w:tabs>
        <w:ind w:left="284" w:hanging="284"/>
      </w:pPr>
      <w:r>
        <w:t xml:space="preserve">The South African National Standard SANS 1644:2007 (Ed. 1.02) (reconfirmed 01/01/2014) </w:t>
      </w:r>
      <w:r w:rsidRPr="008C38BE">
        <w:rPr>
          <w:i/>
        </w:rPr>
        <w:t>Lenses for sunglasses and fashion spectacles - Safety requirements</w:t>
      </w:r>
      <w:r w:rsidR="0071185C" w:rsidRPr="008C38BE">
        <w:rPr>
          <w:i/>
        </w:rPr>
        <w:t xml:space="preserve">. </w:t>
      </w:r>
      <w:r w:rsidR="0071185C">
        <w:t>This standard has a UV limit of 400</w:t>
      </w:r>
      <w:r w:rsidR="00AC0ACA">
        <w:t xml:space="preserve"> </w:t>
      </w:r>
      <w:r w:rsidR="0071185C">
        <w:t xml:space="preserve">nm and has requirements for colouration limits used in the </w:t>
      </w:r>
      <w:r w:rsidR="0071185C" w:rsidRPr="0071185C">
        <w:t>AS/NZS</w:t>
      </w:r>
      <w:r w:rsidR="008E1FF5">
        <w:t xml:space="preserve"> </w:t>
      </w:r>
      <w:r w:rsidR="0071185C" w:rsidRPr="0071185C">
        <w:t xml:space="preserve">1067 </w:t>
      </w:r>
      <w:r w:rsidR="0071185C">
        <w:t>pre-2003</w:t>
      </w:r>
      <w:r>
        <w:t>.</w:t>
      </w:r>
      <w:r w:rsidR="00AE5048">
        <w:t xml:space="preserve"> Labelling </w:t>
      </w:r>
      <w:r w:rsidR="008C38BE">
        <w:t xml:space="preserve">and testing </w:t>
      </w:r>
      <w:r w:rsidR="00AE5048">
        <w:t xml:space="preserve">requirements would need to be addressed in considering suitability </w:t>
      </w:r>
      <w:r w:rsidR="00BD4D0C">
        <w:t>for Australia</w:t>
      </w:r>
      <w:r w:rsidR="008C38BE">
        <w:t>.</w:t>
      </w:r>
    </w:p>
    <w:p w:rsidR="00967C14" w:rsidRDefault="000E0926" w:rsidP="008C38BE">
      <w:pPr>
        <w:pStyle w:val="Bulletpoint"/>
        <w:tabs>
          <w:tab w:val="clear" w:pos="340"/>
          <w:tab w:val="left" w:pos="284"/>
        </w:tabs>
        <w:ind w:left="284" w:hanging="284"/>
      </w:pPr>
      <w:r>
        <w:t xml:space="preserve">The Brazilian National Standard </w:t>
      </w:r>
      <w:r w:rsidR="00967C14">
        <w:t xml:space="preserve">NBR ISO 12312-1:2015 </w:t>
      </w:r>
      <w:r w:rsidR="00967C14" w:rsidRPr="008C38BE">
        <w:rPr>
          <w:i/>
        </w:rPr>
        <w:t xml:space="preserve">Eye </w:t>
      </w:r>
      <w:r w:rsidR="00AC0ACA" w:rsidRPr="008C38BE">
        <w:rPr>
          <w:i/>
        </w:rPr>
        <w:t xml:space="preserve">and face protection </w:t>
      </w:r>
      <w:r w:rsidR="00967C14" w:rsidRPr="008C38BE">
        <w:rPr>
          <w:i/>
        </w:rPr>
        <w:t xml:space="preserve">- Sunglasses </w:t>
      </w:r>
      <w:r w:rsidR="00AC0ACA" w:rsidRPr="008C38BE">
        <w:rPr>
          <w:i/>
        </w:rPr>
        <w:t xml:space="preserve">and related eyewear </w:t>
      </w:r>
      <w:r w:rsidR="00967C14" w:rsidRPr="008C38BE">
        <w:rPr>
          <w:i/>
        </w:rPr>
        <w:t xml:space="preserve">- Part 1: Sunglasses </w:t>
      </w:r>
      <w:r w:rsidR="00AC0ACA" w:rsidRPr="008C38BE">
        <w:rPr>
          <w:i/>
        </w:rPr>
        <w:t xml:space="preserve">for general use </w:t>
      </w:r>
      <w:r w:rsidR="009A3DE4" w:rsidRPr="009A3DE4">
        <w:t>is identical to</w:t>
      </w:r>
      <w:r w:rsidR="009A3DE4" w:rsidRPr="008C38BE">
        <w:rPr>
          <w:i/>
        </w:rPr>
        <w:t xml:space="preserve"> </w:t>
      </w:r>
      <w:r w:rsidR="00967C14" w:rsidRPr="00967C14">
        <w:t>ISO 12312-</w:t>
      </w:r>
      <w:r w:rsidR="00967C14">
        <w:t>1:2013 AMD 1 2015</w:t>
      </w:r>
      <w:r w:rsidR="005C7B40">
        <w:t>.</w:t>
      </w:r>
      <w:r w:rsidR="00AE5048">
        <w:t xml:space="preserve"> T</w:t>
      </w:r>
      <w:r w:rsidR="008C38BE">
        <w:t>he requirements of t</w:t>
      </w:r>
      <w:r w:rsidR="00AE5048">
        <w:t>his</w:t>
      </w:r>
      <w:r w:rsidR="008C38BE">
        <w:t xml:space="preserve"> standard</w:t>
      </w:r>
      <w:r w:rsidR="00AE5048">
        <w:t xml:space="preserve"> would give rise to similar issues as </w:t>
      </w:r>
      <w:r w:rsidR="008C38BE">
        <w:t xml:space="preserve">those raised by </w:t>
      </w:r>
      <w:r w:rsidR="00AE5048">
        <w:t>the ISO</w:t>
      </w:r>
      <w:r w:rsidR="008C38BE">
        <w:t xml:space="preserve"> standard</w:t>
      </w:r>
      <w:r w:rsidR="00AE5048">
        <w:t>.</w:t>
      </w:r>
    </w:p>
    <w:p w:rsidR="00A10CFD" w:rsidRPr="00A10CFD" w:rsidRDefault="00A10CFD" w:rsidP="005C7B40">
      <w:pPr>
        <w:pStyle w:val="Numbered1"/>
        <w:numPr>
          <w:ilvl w:val="0"/>
          <w:numId w:val="43"/>
        </w:numPr>
        <w:ind w:left="680" w:hanging="680"/>
      </w:pPr>
      <w:bookmarkStart w:id="163" w:name="_Toc459041422"/>
      <w:bookmarkStart w:id="164" w:name="_Toc448397937"/>
      <w:bookmarkStart w:id="165" w:name="_Toc462651316"/>
      <w:bookmarkEnd w:id="157"/>
      <w:bookmarkEnd w:id="158"/>
      <w:bookmarkEnd w:id="159"/>
      <w:bookmarkEnd w:id="160"/>
      <w:bookmarkEnd w:id="161"/>
      <w:bookmarkEnd w:id="162"/>
      <w:r w:rsidRPr="00A10CFD">
        <w:t>Detailed description of policy options</w:t>
      </w:r>
      <w:bookmarkEnd w:id="163"/>
      <w:bookmarkEnd w:id="165"/>
    </w:p>
    <w:p w:rsidR="00A10CFD" w:rsidRPr="00BD4D0C" w:rsidRDefault="00A10CFD" w:rsidP="00992069">
      <w:pPr>
        <w:pStyle w:val="Numbered1"/>
        <w:rPr>
          <w:rFonts w:ascii="Arial" w:hAnsi="Arial" w:cs="Arial"/>
          <w:sz w:val="28"/>
          <w:szCs w:val="26"/>
        </w:rPr>
      </w:pPr>
      <w:bookmarkStart w:id="166" w:name="_Toc453749109"/>
      <w:bookmarkStart w:id="167" w:name="_Toc453749355"/>
      <w:bookmarkStart w:id="168" w:name="_Toc453759808"/>
      <w:bookmarkStart w:id="169" w:name="_Toc453763206"/>
      <w:bookmarkStart w:id="170" w:name="_Toc453763893"/>
      <w:bookmarkStart w:id="171" w:name="_Toc453765803"/>
      <w:bookmarkStart w:id="172" w:name="_Toc454544436"/>
      <w:bookmarkStart w:id="173" w:name="_Toc455580020"/>
      <w:bookmarkStart w:id="174" w:name="_Toc456277638"/>
      <w:bookmarkStart w:id="175" w:name="_Toc456279007"/>
      <w:bookmarkStart w:id="176" w:name="_Toc457311817"/>
      <w:bookmarkStart w:id="177" w:name="_Toc457816090"/>
      <w:bookmarkStart w:id="178" w:name="_Toc457817037"/>
      <w:bookmarkStart w:id="179" w:name="_Toc459041423"/>
      <w:bookmarkStart w:id="180" w:name="_Toc462651317"/>
      <w:r w:rsidRPr="00BD4D0C">
        <w:rPr>
          <w:rFonts w:ascii="Arial" w:hAnsi="Arial" w:cs="Arial"/>
          <w:sz w:val="28"/>
          <w:szCs w:val="26"/>
        </w:rPr>
        <w:t>Option 1 - Keep the current mandatory standard (status quo)</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A10CFD" w:rsidRPr="000122BA" w:rsidRDefault="00A10CFD" w:rsidP="000122BA">
      <w:pPr>
        <w:spacing w:before="240"/>
        <w:rPr>
          <w:b/>
          <w:sz w:val="24"/>
          <w:szCs w:val="24"/>
        </w:rPr>
      </w:pPr>
      <w:bookmarkStart w:id="181" w:name="_Toc453749110"/>
      <w:bookmarkStart w:id="182" w:name="_Toc453749356"/>
      <w:bookmarkStart w:id="183" w:name="_Toc453763894"/>
      <w:bookmarkStart w:id="184" w:name="_Toc453765804"/>
      <w:bookmarkStart w:id="185" w:name="_Toc454444014"/>
      <w:bookmarkStart w:id="186" w:name="_Toc454544437"/>
      <w:bookmarkStart w:id="187" w:name="_Toc455580021"/>
      <w:bookmarkStart w:id="188" w:name="_Toc456277639"/>
      <w:bookmarkStart w:id="189" w:name="_Toc456279008"/>
      <w:bookmarkStart w:id="190" w:name="_Toc457311818"/>
      <w:bookmarkStart w:id="191" w:name="_Toc457816091"/>
      <w:bookmarkStart w:id="192" w:name="_Toc457817038"/>
      <w:bookmarkStart w:id="193" w:name="_Toc459041424"/>
      <w:r w:rsidRPr="000122BA">
        <w:rPr>
          <w:b/>
          <w:sz w:val="24"/>
          <w:szCs w:val="24"/>
        </w:rPr>
        <w:t>Description</w:t>
      </w:r>
      <w:bookmarkEnd w:id="181"/>
      <w:bookmarkEnd w:id="182"/>
      <w:bookmarkEnd w:id="183"/>
      <w:bookmarkEnd w:id="184"/>
      <w:bookmarkEnd w:id="185"/>
      <w:bookmarkEnd w:id="186"/>
      <w:bookmarkEnd w:id="187"/>
      <w:bookmarkEnd w:id="188"/>
      <w:bookmarkEnd w:id="189"/>
      <w:bookmarkEnd w:id="190"/>
      <w:bookmarkEnd w:id="191"/>
      <w:bookmarkEnd w:id="192"/>
      <w:bookmarkEnd w:id="193"/>
    </w:p>
    <w:p w:rsidR="00EB1461" w:rsidRDefault="00EB1461" w:rsidP="00BD4D0C">
      <w:pPr>
        <w:rPr>
          <w:rFonts w:cs="Arial"/>
          <w:sz w:val="21"/>
          <w:szCs w:val="21"/>
          <w:lang w:eastAsia="en-AU"/>
        </w:rPr>
      </w:pPr>
      <w:bookmarkStart w:id="194" w:name="_Toc453749111"/>
      <w:bookmarkStart w:id="195" w:name="_Toc453749357"/>
      <w:bookmarkStart w:id="196" w:name="_Toc453763895"/>
      <w:bookmarkStart w:id="197" w:name="_Toc453765805"/>
      <w:bookmarkStart w:id="198" w:name="_Toc454444015"/>
      <w:bookmarkStart w:id="199" w:name="_Toc454544438"/>
      <w:bookmarkStart w:id="200" w:name="_Toc455580022"/>
      <w:bookmarkStart w:id="201" w:name="_Toc456277640"/>
      <w:bookmarkStart w:id="202" w:name="_Toc456279009"/>
      <w:bookmarkStart w:id="203" w:name="_Toc457311819"/>
      <w:bookmarkStart w:id="204" w:name="_Toc457816092"/>
      <w:bookmarkStart w:id="205" w:name="_Toc457817039"/>
      <w:r w:rsidRPr="00EB1461">
        <w:t>The mandatory safety standard would</w:t>
      </w:r>
      <w:r>
        <w:t xml:space="preserve"> conti</w:t>
      </w:r>
      <w:r w:rsidR="009439A6">
        <w:t xml:space="preserve">nue to </w:t>
      </w:r>
      <w:r w:rsidRPr="00EB1461">
        <w:t>referenc</w:t>
      </w:r>
      <w:r w:rsidR="009439A6">
        <w:t>e</w:t>
      </w:r>
      <w:r w:rsidRPr="00EB1461">
        <w:t xml:space="preserve"> </w:t>
      </w:r>
      <w:r w:rsidR="009439A6">
        <w:t>specified requirements</w:t>
      </w:r>
      <w:r w:rsidRPr="00EB1461">
        <w:t xml:space="preserve"> of </w:t>
      </w:r>
      <w:r w:rsidR="0012155D">
        <w:t>AS/NZS</w:t>
      </w:r>
      <w:r w:rsidR="008E1FF5">
        <w:t xml:space="preserve"> </w:t>
      </w:r>
      <w:r w:rsidR="0012155D">
        <w:t>1067:</w:t>
      </w:r>
      <w:r w:rsidRPr="00EB1461">
        <w:t>2003</w:t>
      </w:r>
      <w:r w:rsidR="00C71291">
        <w:t xml:space="preserve"> and not be amended or updated</w:t>
      </w:r>
      <w:r w:rsidR="0012155D">
        <w:t>.</w:t>
      </w:r>
      <w:r w:rsidRPr="00EB1461">
        <w:t xml:space="preserve"> </w:t>
      </w:r>
    </w:p>
    <w:p w:rsidR="00A10CFD" w:rsidRPr="000122BA" w:rsidRDefault="00A10CFD" w:rsidP="000122BA">
      <w:pPr>
        <w:spacing w:before="240"/>
        <w:rPr>
          <w:b/>
          <w:sz w:val="24"/>
          <w:szCs w:val="24"/>
        </w:rPr>
      </w:pPr>
      <w:bookmarkStart w:id="206" w:name="_Toc459041425"/>
      <w:r w:rsidRPr="000122BA">
        <w:rPr>
          <w:b/>
          <w:sz w:val="24"/>
          <w:szCs w:val="24"/>
        </w:rPr>
        <w:t>Benefits</w:t>
      </w:r>
      <w:bookmarkEnd w:id="194"/>
      <w:bookmarkEnd w:id="195"/>
      <w:bookmarkEnd w:id="196"/>
      <w:bookmarkEnd w:id="197"/>
      <w:bookmarkEnd w:id="198"/>
      <w:bookmarkEnd w:id="199"/>
      <w:bookmarkEnd w:id="200"/>
      <w:bookmarkEnd w:id="201"/>
      <w:bookmarkEnd w:id="202"/>
      <w:bookmarkEnd w:id="203"/>
      <w:bookmarkEnd w:id="204"/>
      <w:bookmarkEnd w:id="205"/>
      <w:bookmarkEnd w:id="206"/>
    </w:p>
    <w:p w:rsidR="009439A6" w:rsidRDefault="009439A6" w:rsidP="00BD4D0C">
      <w:bookmarkStart w:id="207" w:name="_Toc457311820"/>
      <w:bookmarkStart w:id="208" w:name="_Toc457816093"/>
      <w:bookmarkStart w:id="209" w:name="_Toc457817040"/>
      <w:r>
        <w:t>Consumers would have the same level of protection they have now.</w:t>
      </w:r>
      <w:r w:rsidR="00A81761">
        <w:t xml:space="preserve"> </w:t>
      </w:r>
      <w:r w:rsidR="00A81761" w:rsidRPr="00A81761">
        <w:t xml:space="preserve">There </w:t>
      </w:r>
      <w:r w:rsidR="0012155D">
        <w:t xml:space="preserve">would be no </w:t>
      </w:r>
      <w:r w:rsidR="00A81761" w:rsidRPr="00A81761">
        <w:t>increase in costs to business</w:t>
      </w:r>
      <w:r w:rsidR="00A81761">
        <w:t>, at least in the short term</w:t>
      </w:r>
      <w:r w:rsidR="00A81761" w:rsidRPr="00A81761">
        <w:t>.</w:t>
      </w:r>
    </w:p>
    <w:p w:rsidR="00A10CFD" w:rsidRPr="000122BA" w:rsidRDefault="00A10CFD" w:rsidP="000122BA">
      <w:pPr>
        <w:spacing w:before="240"/>
        <w:rPr>
          <w:b/>
          <w:sz w:val="24"/>
          <w:szCs w:val="24"/>
        </w:rPr>
      </w:pPr>
      <w:bookmarkStart w:id="210" w:name="_Toc459041426"/>
      <w:r w:rsidRPr="000122BA">
        <w:rPr>
          <w:b/>
          <w:sz w:val="24"/>
          <w:szCs w:val="24"/>
        </w:rPr>
        <w:t>Limitations</w:t>
      </w:r>
      <w:bookmarkEnd w:id="207"/>
      <w:bookmarkEnd w:id="208"/>
      <w:bookmarkEnd w:id="209"/>
      <w:bookmarkEnd w:id="210"/>
    </w:p>
    <w:p w:rsidR="007652A0" w:rsidRDefault="005C7B40" w:rsidP="00BD4D0C">
      <w:bookmarkStart w:id="211" w:name="_Toc453749113"/>
      <w:bookmarkStart w:id="212" w:name="_Toc453749359"/>
      <w:bookmarkStart w:id="213" w:name="_Toc453759809"/>
      <w:bookmarkStart w:id="214" w:name="_Toc453763207"/>
      <w:bookmarkStart w:id="215" w:name="_Toc453763897"/>
      <w:bookmarkStart w:id="216" w:name="_Toc453765807"/>
      <w:bookmarkStart w:id="217" w:name="_Toc454544440"/>
      <w:bookmarkStart w:id="218" w:name="_Toc455580024"/>
      <w:bookmarkStart w:id="219" w:name="_Toc456277642"/>
      <w:bookmarkStart w:id="220" w:name="_Toc456279011"/>
      <w:bookmarkStart w:id="221" w:name="_Toc457311821"/>
      <w:bookmarkStart w:id="222" w:name="_Toc457816094"/>
      <w:bookmarkStart w:id="223" w:name="_Toc457817041"/>
      <w:r>
        <w:t xml:space="preserve">The </w:t>
      </w:r>
      <w:r w:rsidR="009439A6" w:rsidRPr="009439A6">
        <w:t>AS/NZS</w:t>
      </w:r>
      <w:r w:rsidR="008E1FF5">
        <w:t xml:space="preserve"> </w:t>
      </w:r>
      <w:r w:rsidR="009439A6">
        <w:t>1067</w:t>
      </w:r>
      <w:r w:rsidR="0012155D">
        <w:t>:2003</w:t>
      </w:r>
      <w:r w:rsidR="009439A6" w:rsidRPr="009439A6">
        <w:t xml:space="preserve"> is out of date</w:t>
      </w:r>
      <w:r w:rsidR="00C71291">
        <w:t>. The adjustment</w:t>
      </w:r>
      <w:r w:rsidR="00FB2F0E">
        <w:t>s</w:t>
      </w:r>
      <w:r w:rsidR="00C71291">
        <w:t xml:space="preserve"> to the 2016 version of AS/NZS 1067 which are intended to be easier to follow and to reduce differences with the ISO standard </w:t>
      </w:r>
      <w:r w:rsidR="00CD262E">
        <w:t xml:space="preserve">would </w:t>
      </w:r>
      <w:r w:rsidR="00C71291">
        <w:t>not be incorporated into the regulation</w:t>
      </w:r>
      <w:r w:rsidR="0012155D">
        <w:t xml:space="preserve">. </w:t>
      </w:r>
    </w:p>
    <w:p w:rsidR="002E4A3C" w:rsidRDefault="002E4A3C" w:rsidP="00BD4D0C">
      <w:r>
        <w:t>Stakeholders have advise</w:t>
      </w:r>
      <w:r w:rsidR="005C7B40">
        <w:t>d</w:t>
      </w:r>
      <w:r>
        <w:t xml:space="preserve"> the ACCC that there are issues interpreting sections of </w:t>
      </w:r>
      <w:r w:rsidR="00BD246B">
        <w:br/>
      </w:r>
      <w:r>
        <w:t>AS/NZS</w:t>
      </w:r>
      <w:r w:rsidR="008E1FF5">
        <w:t xml:space="preserve"> </w:t>
      </w:r>
      <w:r>
        <w:t>1607:2003. These issues have been resolved in the recent amendments to the Australian/New Zealand standard.</w:t>
      </w:r>
    </w:p>
    <w:p w:rsidR="00D45479" w:rsidRDefault="007652A0" w:rsidP="00BD4D0C">
      <w:r>
        <w:t xml:space="preserve">Over time, suppliers may be unable to have sunglasses assessed against </w:t>
      </w:r>
      <w:r w:rsidR="00BD246B">
        <w:br/>
      </w:r>
      <w:r>
        <w:t>AS/NZS</w:t>
      </w:r>
      <w:r w:rsidR="008E1FF5">
        <w:t xml:space="preserve"> </w:t>
      </w:r>
      <w:r>
        <w:t>1607:2003</w:t>
      </w:r>
      <w:r w:rsidR="002E4A3C">
        <w:t>. This will create difficulties in meeting demand in Australia.</w:t>
      </w:r>
    </w:p>
    <w:p w:rsidR="00A10CFD" w:rsidRPr="00BD4D0C" w:rsidRDefault="00A10CFD" w:rsidP="00992069">
      <w:pPr>
        <w:pStyle w:val="Numbered1"/>
        <w:keepNext/>
        <w:rPr>
          <w:rFonts w:ascii="Arial" w:hAnsi="Arial" w:cs="Arial"/>
          <w:sz w:val="28"/>
          <w:szCs w:val="26"/>
        </w:rPr>
      </w:pPr>
      <w:bookmarkStart w:id="224" w:name="_Toc459041427"/>
      <w:bookmarkStart w:id="225" w:name="_Toc462651318"/>
      <w:r w:rsidRPr="00BD4D0C">
        <w:rPr>
          <w:rFonts w:ascii="Arial" w:hAnsi="Arial" w:cs="Arial"/>
          <w:sz w:val="28"/>
          <w:szCs w:val="26"/>
        </w:rPr>
        <w:lastRenderedPageBreak/>
        <w:t>Option 2 - Revoke the mandatory safety standard</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A10CFD" w:rsidRPr="000122BA" w:rsidRDefault="00A10CFD" w:rsidP="00CA257C">
      <w:pPr>
        <w:keepNext/>
        <w:spacing w:before="240"/>
        <w:rPr>
          <w:b/>
          <w:sz w:val="24"/>
          <w:szCs w:val="24"/>
        </w:rPr>
      </w:pPr>
      <w:bookmarkStart w:id="226" w:name="_Toc453749114"/>
      <w:bookmarkStart w:id="227" w:name="_Toc453749360"/>
      <w:bookmarkStart w:id="228" w:name="_Toc453763898"/>
      <w:bookmarkStart w:id="229" w:name="_Toc453765808"/>
      <w:bookmarkStart w:id="230" w:name="_Toc454444018"/>
      <w:bookmarkStart w:id="231" w:name="_Toc454544441"/>
      <w:bookmarkStart w:id="232" w:name="_Toc455580025"/>
      <w:bookmarkStart w:id="233" w:name="_Toc456277643"/>
      <w:bookmarkStart w:id="234" w:name="_Toc456279012"/>
      <w:bookmarkStart w:id="235" w:name="_Toc457311822"/>
      <w:bookmarkStart w:id="236" w:name="_Toc457816095"/>
      <w:bookmarkStart w:id="237" w:name="_Toc457817042"/>
      <w:bookmarkStart w:id="238" w:name="_Toc459041428"/>
      <w:r w:rsidRPr="000122BA">
        <w:rPr>
          <w:b/>
          <w:sz w:val="24"/>
          <w:szCs w:val="24"/>
        </w:rPr>
        <w:t>Description</w:t>
      </w:r>
      <w:bookmarkEnd w:id="226"/>
      <w:bookmarkEnd w:id="227"/>
      <w:bookmarkEnd w:id="228"/>
      <w:bookmarkEnd w:id="229"/>
      <w:bookmarkEnd w:id="230"/>
      <w:bookmarkEnd w:id="231"/>
      <w:bookmarkEnd w:id="232"/>
      <w:bookmarkEnd w:id="233"/>
      <w:bookmarkEnd w:id="234"/>
      <w:bookmarkEnd w:id="235"/>
      <w:bookmarkEnd w:id="236"/>
      <w:bookmarkEnd w:id="237"/>
      <w:bookmarkEnd w:id="238"/>
    </w:p>
    <w:p w:rsidR="00944DB2" w:rsidRDefault="00A81761" w:rsidP="00BD4D0C">
      <w:bookmarkStart w:id="239" w:name="_Toc453749115"/>
      <w:bookmarkStart w:id="240" w:name="_Toc453749361"/>
      <w:bookmarkStart w:id="241" w:name="_Toc453763899"/>
      <w:bookmarkStart w:id="242" w:name="_Toc453765809"/>
      <w:bookmarkStart w:id="243" w:name="_Toc454444019"/>
      <w:bookmarkStart w:id="244" w:name="_Toc454544442"/>
      <w:bookmarkStart w:id="245" w:name="_Toc455580026"/>
      <w:bookmarkStart w:id="246" w:name="_Toc456277644"/>
      <w:bookmarkStart w:id="247" w:name="_Toc456279013"/>
      <w:bookmarkStart w:id="248" w:name="_Toc457311823"/>
      <w:bookmarkStart w:id="249" w:name="_Toc457816096"/>
      <w:bookmarkStart w:id="250" w:name="_Toc457817043"/>
      <w:r w:rsidRPr="00A81761">
        <w:t>If the mandatory safety standard</w:t>
      </w:r>
      <w:r w:rsidR="002E4A3C">
        <w:t xml:space="preserve"> </w:t>
      </w:r>
      <w:r w:rsidR="00CD262E">
        <w:t xml:space="preserve">was </w:t>
      </w:r>
      <w:r w:rsidR="002E4A3C">
        <w:t>revoked</w:t>
      </w:r>
      <w:r w:rsidR="00CD262E">
        <w:t>,</w:t>
      </w:r>
      <w:r w:rsidR="00944DB2">
        <w:t xml:space="preserve"> sunglasses would not be required to conform to specific requirements or to carry specific information or warnings. </w:t>
      </w:r>
    </w:p>
    <w:p w:rsidR="00A81761" w:rsidRPr="00A81761" w:rsidRDefault="00A81761" w:rsidP="00BD4D0C">
      <w:r w:rsidRPr="00A81761">
        <w:t xml:space="preserve">Australian Consumer Law </w:t>
      </w:r>
      <w:r w:rsidR="005025F3">
        <w:t xml:space="preserve">provisions </w:t>
      </w:r>
      <w:r w:rsidR="00CA257C">
        <w:t>for</w:t>
      </w:r>
      <w:r w:rsidR="00CA257C" w:rsidRPr="00A81761">
        <w:t xml:space="preserve"> </w:t>
      </w:r>
      <w:r w:rsidRPr="00A81761">
        <w:t>goods to be of acceptable quality</w:t>
      </w:r>
      <w:r w:rsidR="00944DB2">
        <w:t xml:space="preserve"> and that claims and product descriptions are </w:t>
      </w:r>
      <w:r w:rsidR="005025F3">
        <w:t xml:space="preserve">accurate </w:t>
      </w:r>
      <w:r w:rsidR="00CD262E">
        <w:t xml:space="preserve">would </w:t>
      </w:r>
      <w:r w:rsidR="005025F3">
        <w:t>continue to apply.</w:t>
      </w:r>
      <w:r w:rsidRPr="00A81761">
        <w:t xml:space="preserve"> The ACCC would still be able to take action about safety issues if needed</w:t>
      </w:r>
      <w:r w:rsidR="0052046D">
        <w:t>;</w:t>
      </w:r>
      <w:r w:rsidRPr="00A81761">
        <w:t xml:space="preserve"> for example, through compulsory recalls.</w:t>
      </w:r>
    </w:p>
    <w:p w:rsidR="00A10CFD" w:rsidRPr="000122BA" w:rsidRDefault="00A10CFD" w:rsidP="000122BA">
      <w:pPr>
        <w:spacing w:before="240"/>
        <w:rPr>
          <w:b/>
          <w:sz w:val="24"/>
          <w:szCs w:val="24"/>
        </w:rPr>
      </w:pPr>
      <w:bookmarkStart w:id="251" w:name="_Toc459041429"/>
      <w:r w:rsidRPr="000122BA">
        <w:rPr>
          <w:b/>
          <w:sz w:val="24"/>
          <w:szCs w:val="24"/>
        </w:rPr>
        <w:t>Benefits</w:t>
      </w:r>
      <w:bookmarkEnd w:id="239"/>
      <w:bookmarkEnd w:id="240"/>
      <w:bookmarkEnd w:id="241"/>
      <w:bookmarkEnd w:id="242"/>
      <w:bookmarkEnd w:id="243"/>
      <w:bookmarkEnd w:id="244"/>
      <w:bookmarkEnd w:id="245"/>
      <w:bookmarkEnd w:id="246"/>
      <w:bookmarkEnd w:id="247"/>
      <w:bookmarkEnd w:id="248"/>
      <w:bookmarkEnd w:id="249"/>
      <w:bookmarkEnd w:id="250"/>
      <w:bookmarkEnd w:id="251"/>
    </w:p>
    <w:p w:rsidR="00944DB2" w:rsidRDefault="004B0123" w:rsidP="008C38BE">
      <w:r>
        <w:t xml:space="preserve">Suppliers </w:t>
      </w:r>
      <w:r w:rsidR="00A81761" w:rsidRPr="00A81761">
        <w:t xml:space="preserve">would be able to sell sunglasses that met </w:t>
      </w:r>
      <w:r w:rsidR="003F36F0">
        <w:t>any</w:t>
      </w:r>
      <w:r w:rsidR="00A81761" w:rsidRPr="00A81761">
        <w:t xml:space="preserve"> standards</w:t>
      </w:r>
      <w:r w:rsidR="00DE7132">
        <w:t xml:space="preserve"> or </w:t>
      </w:r>
      <w:r w:rsidR="00CD262E">
        <w:t xml:space="preserve">did </w:t>
      </w:r>
      <w:r w:rsidR="00DE7132">
        <w:t>not conform to any standards</w:t>
      </w:r>
      <w:r w:rsidR="00944DB2">
        <w:t>.</w:t>
      </w:r>
      <w:r>
        <w:t xml:space="preserve"> This is likely to increase the range of products available and </w:t>
      </w:r>
      <w:r w:rsidR="00CD262E">
        <w:t>reduce</w:t>
      </w:r>
      <w:r>
        <w:t xml:space="preserve"> prices.</w:t>
      </w:r>
    </w:p>
    <w:p w:rsidR="00A81761" w:rsidRPr="00A81761" w:rsidRDefault="00944DB2" w:rsidP="008C38BE">
      <w:r>
        <w:t>T</w:t>
      </w:r>
      <w:r w:rsidR="00A81761" w:rsidRPr="00A81761">
        <w:t>he general provisions of the Australian Consumer Law would apply</w:t>
      </w:r>
      <w:r>
        <w:t xml:space="preserve">. Supply of sunglasses found to be unsafe could be stopped and a recall required and </w:t>
      </w:r>
      <w:r w:rsidR="005025F3">
        <w:t xml:space="preserve">action taken where suppliers provide </w:t>
      </w:r>
      <w:r>
        <w:t>false or misleading claims.</w:t>
      </w:r>
    </w:p>
    <w:p w:rsidR="00A10CFD" w:rsidRPr="000122BA" w:rsidRDefault="00A10CFD" w:rsidP="000122BA">
      <w:pPr>
        <w:spacing w:before="240"/>
        <w:rPr>
          <w:b/>
          <w:sz w:val="24"/>
          <w:szCs w:val="24"/>
        </w:rPr>
      </w:pPr>
      <w:bookmarkStart w:id="252" w:name="_Toc459041430"/>
      <w:r w:rsidRPr="000122BA">
        <w:rPr>
          <w:b/>
          <w:sz w:val="24"/>
          <w:szCs w:val="24"/>
        </w:rPr>
        <w:t>Limitations</w:t>
      </w:r>
      <w:bookmarkEnd w:id="252"/>
    </w:p>
    <w:p w:rsidR="00257109" w:rsidRDefault="00E940B1" w:rsidP="008C38BE">
      <w:bookmarkStart w:id="253" w:name="_Toc454544444"/>
      <w:bookmarkStart w:id="254" w:name="_Toc455580028"/>
      <w:bookmarkStart w:id="255" w:name="_Toc448397938"/>
      <w:bookmarkStart w:id="256" w:name="_Toc453749117"/>
      <w:bookmarkStart w:id="257" w:name="_Toc453749363"/>
      <w:bookmarkStart w:id="258" w:name="_Toc453759810"/>
      <w:bookmarkStart w:id="259" w:name="_Toc453763208"/>
      <w:bookmarkStart w:id="260" w:name="_Toc453763901"/>
      <w:bookmarkStart w:id="261" w:name="_Toc453765811"/>
      <w:bookmarkStart w:id="262" w:name="_Toc456277646"/>
      <w:bookmarkStart w:id="263" w:name="_Toc456279015"/>
      <w:bookmarkStart w:id="264" w:name="_Toc457311824"/>
      <w:bookmarkStart w:id="265" w:name="_Toc457816097"/>
      <w:bookmarkStart w:id="266" w:name="_Toc457817044"/>
      <w:r>
        <w:t xml:space="preserve">Sunglasses </w:t>
      </w:r>
      <w:r w:rsidR="004B0123">
        <w:t xml:space="preserve">may be supplied </w:t>
      </w:r>
      <w:r>
        <w:t xml:space="preserve">to Australian consumers </w:t>
      </w:r>
      <w:r w:rsidR="004B0123">
        <w:t>that do not conform to any reputable standard.</w:t>
      </w:r>
      <w:r w:rsidR="009E62C6">
        <w:t xml:space="preserve"> </w:t>
      </w:r>
    </w:p>
    <w:p w:rsidR="00A81761" w:rsidRDefault="004B0123" w:rsidP="008C38BE">
      <w:r>
        <w:t xml:space="preserve">Consumers </w:t>
      </w:r>
      <w:r w:rsidR="009E62C6">
        <w:t xml:space="preserve">will not necessarily be prompted to think about or be informed </w:t>
      </w:r>
      <w:r w:rsidR="004D6B0A">
        <w:t xml:space="preserve">about </w:t>
      </w:r>
      <w:r w:rsidR="009E62C6">
        <w:t xml:space="preserve">the level of protection or the suitability of sunglasses for specific tasks. </w:t>
      </w:r>
    </w:p>
    <w:p w:rsidR="00257109" w:rsidRDefault="00257109" w:rsidP="008C38BE">
      <w:r>
        <w:t>Supply and use of sunglasses that conform to standards other than AS/NZS</w:t>
      </w:r>
      <w:r w:rsidR="008E1FF5">
        <w:t xml:space="preserve"> </w:t>
      </w:r>
      <w:r>
        <w:t>1067 could increase consumers</w:t>
      </w:r>
      <w:r w:rsidR="003104BA">
        <w:t>’</w:t>
      </w:r>
      <w:r>
        <w:t xml:space="preserve"> use of sunglasses with lower</w:t>
      </w:r>
      <w:r w:rsidR="00DE7132">
        <w:t xml:space="preserve"> or no</w:t>
      </w:r>
      <w:r>
        <w:t xml:space="preserve"> UVR protection and use of sunglasses that are less suitable for specific tasks (such as driving). </w:t>
      </w:r>
    </w:p>
    <w:p w:rsidR="00A81761" w:rsidRDefault="00A81761" w:rsidP="008C38BE">
      <w:r>
        <w:t xml:space="preserve">The general provisions in the Australian Consumer Law </w:t>
      </w:r>
      <w:r w:rsidR="009E62C6">
        <w:t xml:space="preserve">and market forces </w:t>
      </w:r>
      <w:r>
        <w:t xml:space="preserve">may not provide sufficient </w:t>
      </w:r>
      <w:r w:rsidR="009E62C6">
        <w:t xml:space="preserve">direction and </w:t>
      </w:r>
      <w:r>
        <w:t>ince</w:t>
      </w:r>
      <w:r w:rsidR="009E62C6">
        <w:t>ntive</w:t>
      </w:r>
      <w:r w:rsidR="0052046D">
        <w:t>,</w:t>
      </w:r>
      <w:r w:rsidR="009E62C6">
        <w:t xml:space="preserve"> and </w:t>
      </w:r>
      <w:r>
        <w:t xml:space="preserve">unsafe sunglasses </w:t>
      </w:r>
      <w:r w:rsidR="009E62C6">
        <w:t>may be supplied</w:t>
      </w:r>
      <w:r w:rsidR="00DE7132">
        <w:t xml:space="preserve"> and may be difficult to identify</w:t>
      </w:r>
      <w:r>
        <w:t>.</w:t>
      </w:r>
    </w:p>
    <w:p w:rsidR="00A81761" w:rsidRDefault="00A81761" w:rsidP="008C38BE">
      <w:r>
        <w:t xml:space="preserve">The costs of manufacture are likely to be lower for companies supplying </w:t>
      </w:r>
      <w:r w:rsidR="003F36F0">
        <w:t>unsafe</w:t>
      </w:r>
      <w:r>
        <w:t xml:space="preserve"> products and this may create pressure on other businesses to lower costs. </w:t>
      </w:r>
      <w:r w:rsidR="009E62C6">
        <w:t xml:space="preserve">Increased use of </w:t>
      </w:r>
      <w:r>
        <w:t xml:space="preserve">sunglasses with inadequate UVR protection </w:t>
      </w:r>
      <w:r w:rsidR="009E62C6">
        <w:t>may contribute to</w:t>
      </w:r>
      <w:r>
        <w:t xml:space="preserve"> an increase in the rate of vision loss</w:t>
      </w:r>
      <w:r w:rsidR="00DE7132">
        <w:t>, cataracts</w:t>
      </w:r>
      <w:r>
        <w:t xml:space="preserve"> and eyelid cancers.</w:t>
      </w:r>
    </w:p>
    <w:p w:rsidR="00A10CFD" w:rsidRPr="008C38BE" w:rsidRDefault="00A10CFD" w:rsidP="00992069">
      <w:pPr>
        <w:pStyle w:val="Numbered1"/>
        <w:rPr>
          <w:rFonts w:ascii="Arial" w:hAnsi="Arial" w:cs="Arial"/>
          <w:sz w:val="28"/>
          <w:szCs w:val="26"/>
        </w:rPr>
      </w:pPr>
      <w:bookmarkStart w:id="267" w:name="_Toc459041431"/>
      <w:bookmarkStart w:id="268" w:name="_Toc462651319"/>
      <w:r w:rsidRPr="008C38BE">
        <w:rPr>
          <w:rFonts w:ascii="Arial" w:hAnsi="Arial" w:cs="Arial"/>
          <w:sz w:val="28"/>
          <w:szCs w:val="26"/>
        </w:rPr>
        <w:t xml:space="preserve">Option 3 – </w:t>
      </w:r>
      <w:bookmarkStart w:id="269" w:name="_Toc453749118"/>
      <w:bookmarkStart w:id="270" w:name="_Toc453749364"/>
      <w:bookmarkStart w:id="271" w:name="_Toc453763902"/>
      <w:bookmarkStart w:id="272" w:name="_Toc453765812"/>
      <w:bookmarkStart w:id="273" w:name="_Toc454444022"/>
      <w:bookmarkStart w:id="274" w:name="_Toc454544445"/>
      <w:bookmarkEnd w:id="253"/>
      <w:bookmarkEnd w:id="254"/>
      <w:bookmarkEnd w:id="255"/>
      <w:bookmarkEnd w:id="256"/>
      <w:bookmarkEnd w:id="257"/>
      <w:bookmarkEnd w:id="258"/>
      <w:bookmarkEnd w:id="259"/>
      <w:bookmarkEnd w:id="260"/>
      <w:bookmarkEnd w:id="261"/>
      <w:bookmarkEnd w:id="262"/>
      <w:bookmarkEnd w:id="263"/>
      <w:r w:rsidRPr="008C38BE">
        <w:rPr>
          <w:rFonts w:ascii="Arial" w:hAnsi="Arial" w:cs="Arial"/>
          <w:sz w:val="28"/>
          <w:szCs w:val="26"/>
        </w:rPr>
        <w:t>Adopt the updated voluntary Australian standard</w:t>
      </w:r>
      <w:bookmarkEnd w:id="264"/>
      <w:bookmarkEnd w:id="265"/>
      <w:bookmarkEnd w:id="266"/>
      <w:bookmarkEnd w:id="267"/>
      <w:bookmarkEnd w:id="268"/>
    </w:p>
    <w:p w:rsidR="00A10CFD" w:rsidRPr="000122BA" w:rsidRDefault="00A10CFD" w:rsidP="000122BA">
      <w:pPr>
        <w:spacing w:before="240"/>
        <w:rPr>
          <w:b/>
          <w:sz w:val="24"/>
          <w:szCs w:val="24"/>
        </w:rPr>
      </w:pPr>
      <w:bookmarkStart w:id="275" w:name="_Toc455580029"/>
      <w:bookmarkStart w:id="276" w:name="_Toc456277647"/>
      <w:bookmarkStart w:id="277" w:name="_Toc456279016"/>
      <w:bookmarkStart w:id="278" w:name="_Toc457311825"/>
      <w:bookmarkStart w:id="279" w:name="_Toc457816098"/>
      <w:bookmarkStart w:id="280" w:name="_Toc457817045"/>
      <w:bookmarkStart w:id="281" w:name="_Toc459041432"/>
      <w:r w:rsidRPr="000122BA">
        <w:rPr>
          <w:b/>
          <w:sz w:val="24"/>
          <w:szCs w:val="24"/>
        </w:rPr>
        <w:t>Description</w:t>
      </w:r>
      <w:bookmarkEnd w:id="269"/>
      <w:bookmarkEnd w:id="270"/>
      <w:bookmarkEnd w:id="271"/>
      <w:bookmarkEnd w:id="272"/>
      <w:bookmarkEnd w:id="273"/>
      <w:bookmarkEnd w:id="274"/>
      <w:bookmarkEnd w:id="275"/>
      <w:bookmarkEnd w:id="276"/>
      <w:bookmarkEnd w:id="277"/>
      <w:bookmarkEnd w:id="278"/>
      <w:bookmarkEnd w:id="279"/>
      <w:bookmarkEnd w:id="280"/>
      <w:bookmarkEnd w:id="281"/>
    </w:p>
    <w:p w:rsidR="00173FF2" w:rsidRDefault="00173FF2" w:rsidP="008C38BE">
      <w:bookmarkStart w:id="282" w:name="_Toc453749119"/>
      <w:bookmarkStart w:id="283" w:name="_Toc453749365"/>
      <w:bookmarkStart w:id="284" w:name="_Toc453763903"/>
      <w:bookmarkStart w:id="285" w:name="_Toc453765813"/>
      <w:bookmarkStart w:id="286" w:name="_Toc454444023"/>
      <w:bookmarkStart w:id="287" w:name="_Toc454544446"/>
      <w:bookmarkStart w:id="288" w:name="_Toc455580030"/>
      <w:bookmarkStart w:id="289" w:name="_Toc456277648"/>
      <w:bookmarkStart w:id="290" w:name="_Toc456279017"/>
      <w:bookmarkStart w:id="291" w:name="_Toc457311826"/>
      <w:bookmarkStart w:id="292" w:name="_Toc457816099"/>
      <w:bookmarkStart w:id="293" w:name="_Toc457817046"/>
      <w:r>
        <w:t>The mandatory safety standard would</w:t>
      </w:r>
      <w:r w:rsidR="00877D34">
        <w:t xml:space="preserve"> be re</w:t>
      </w:r>
      <w:r w:rsidR="00257109">
        <w:t>vised to include provisions</w:t>
      </w:r>
      <w:r w:rsidR="00877D34">
        <w:t xml:space="preserve"> </w:t>
      </w:r>
      <w:r w:rsidR="00947513">
        <w:t xml:space="preserve">of </w:t>
      </w:r>
      <w:r w:rsidR="00877D34">
        <w:t>AS/NZS</w:t>
      </w:r>
      <w:r w:rsidR="008E1FF5">
        <w:t xml:space="preserve"> </w:t>
      </w:r>
      <w:r w:rsidR="00877D34">
        <w:t>10</w:t>
      </w:r>
      <w:r w:rsidR="002D460E">
        <w:t>6</w:t>
      </w:r>
      <w:r w:rsidR="00877D34">
        <w:t>7:2016</w:t>
      </w:r>
      <w:r w:rsidR="00257109">
        <w:t xml:space="preserve"> in order to:</w:t>
      </w:r>
      <w:r>
        <w:t xml:space="preserve"> </w:t>
      </w:r>
    </w:p>
    <w:p w:rsidR="003E7E2C" w:rsidRDefault="00DE7132" w:rsidP="008C38BE">
      <w:pPr>
        <w:pStyle w:val="Bulletpoint"/>
        <w:tabs>
          <w:tab w:val="clear" w:pos="340"/>
          <w:tab w:val="left" w:pos="284"/>
        </w:tabs>
        <w:ind w:left="284" w:hanging="284"/>
      </w:pPr>
      <w:r>
        <w:t>m</w:t>
      </w:r>
      <w:r w:rsidR="00B87D2F">
        <w:t xml:space="preserve">aintain </w:t>
      </w:r>
      <w:r w:rsidR="003E7E2C">
        <w:t xml:space="preserve">currency of the mandatory standard </w:t>
      </w:r>
    </w:p>
    <w:p w:rsidR="00173FF2" w:rsidRDefault="00DE7132" w:rsidP="008C38BE">
      <w:pPr>
        <w:pStyle w:val="Bulletpoint"/>
        <w:tabs>
          <w:tab w:val="clear" w:pos="340"/>
          <w:tab w:val="left" w:pos="284"/>
        </w:tabs>
        <w:ind w:left="284" w:hanging="284"/>
      </w:pPr>
      <w:r>
        <w:t>m</w:t>
      </w:r>
      <w:r w:rsidR="003E7E2C">
        <w:t xml:space="preserve">inimise </w:t>
      </w:r>
      <w:r>
        <w:t>differences</w:t>
      </w:r>
      <w:r w:rsidR="003E7E2C">
        <w:t xml:space="preserve"> between the </w:t>
      </w:r>
      <w:r w:rsidR="00F01344">
        <w:t xml:space="preserve">ISO </w:t>
      </w:r>
      <w:r w:rsidR="003E7E2C">
        <w:t xml:space="preserve">and AS/NZS </w:t>
      </w:r>
      <w:r w:rsidR="00F01344">
        <w:t>standard</w:t>
      </w:r>
      <w:r w:rsidR="003E7E2C">
        <w:t>s</w:t>
      </w:r>
    </w:p>
    <w:p w:rsidR="00173FF2" w:rsidRDefault="00173FF2" w:rsidP="008C38BE">
      <w:pPr>
        <w:pStyle w:val="Bulletpoint"/>
        <w:tabs>
          <w:tab w:val="clear" w:pos="340"/>
          <w:tab w:val="left" w:pos="284"/>
        </w:tabs>
        <w:ind w:left="284" w:hanging="284"/>
      </w:pPr>
      <w:r>
        <w:t>clarify terms and test methods to facilitate interpretation</w:t>
      </w:r>
      <w:r w:rsidR="00257109">
        <w:t xml:space="preserve"> and increase </w:t>
      </w:r>
      <w:r>
        <w:t>consistency and compliance</w:t>
      </w:r>
    </w:p>
    <w:p w:rsidR="00EB5B5B" w:rsidRDefault="00EB5B5B" w:rsidP="008C38BE">
      <w:pPr>
        <w:pStyle w:val="Bulletpoint"/>
        <w:tabs>
          <w:tab w:val="clear" w:pos="340"/>
          <w:tab w:val="left" w:pos="284"/>
        </w:tabs>
        <w:ind w:left="284" w:hanging="284"/>
      </w:pPr>
      <w:proofErr w:type="gramStart"/>
      <w:r>
        <w:lastRenderedPageBreak/>
        <w:t>clarify</w:t>
      </w:r>
      <w:proofErr w:type="gramEnd"/>
      <w:r>
        <w:t xml:space="preserve"> </w:t>
      </w:r>
      <w:r w:rsidR="00C61D35">
        <w:t>requirements to label sunglasses with category information at point of sale to address online supply.</w:t>
      </w:r>
    </w:p>
    <w:p w:rsidR="00A10CFD" w:rsidRPr="000122BA" w:rsidRDefault="00A10CFD" w:rsidP="000122BA">
      <w:pPr>
        <w:spacing w:before="240"/>
        <w:rPr>
          <w:b/>
          <w:sz w:val="24"/>
          <w:szCs w:val="24"/>
        </w:rPr>
      </w:pPr>
      <w:bookmarkStart w:id="294" w:name="_Toc459041433"/>
      <w:r w:rsidRPr="000122BA">
        <w:rPr>
          <w:b/>
          <w:sz w:val="24"/>
          <w:szCs w:val="24"/>
        </w:rPr>
        <w:t>Benefits</w:t>
      </w:r>
      <w:bookmarkEnd w:id="282"/>
      <w:bookmarkEnd w:id="283"/>
      <w:bookmarkEnd w:id="284"/>
      <w:bookmarkEnd w:id="285"/>
      <w:bookmarkEnd w:id="286"/>
      <w:bookmarkEnd w:id="287"/>
      <w:bookmarkEnd w:id="288"/>
      <w:bookmarkEnd w:id="289"/>
      <w:bookmarkEnd w:id="290"/>
      <w:bookmarkEnd w:id="291"/>
      <w:bookmarkEnd w:id="292"/>
      <w:bookmarkEnd w:id="293"/>
      <w:bookmarkEnd w:id="294"/>
    </w:p>
    <w:p w:rsidR="00830234" w:rsidRPr="00CC75B7" w:rsidRDefault="00830234" w:rsidP="008C38BE">
      <w:bookmarkStart w:id="295" w:name="_Toc459041434"/>
      <w:bookmarkStart w:id="296" w:name="_Toc457311827"/>
      <w:bookmarkStart w:id="297" w:name="_Toc457816100"/>
      <w:bookmarkStart w:id="298" w:name="_Toc457817047"/>
      <w:r w:rsidRPr="00830234">
        <w:t xml:space="preserve">The </w:t>
      </w:r>
      <w:r w:rsidR="00B87D2F">
        <w:t xml:space="preserve">revised </w:t>
      </w:r>
      <w:r w:rsidRPr="00830234">
        <w:t xml:space="preserve">mandatory safety standard would </w:t>
      </w:r>
      <w:r w:rsidR="00B87D2F">
        <w:t xml:space="preserve">minimise differences </w:t>
      </w:r>
      <w:r w:rsidRPr="00830234">
        <w:t xml:space="preserve">with international requirements making </w:t>
      </w:r>
      <w:r w:rsidR="00DE7132">
        <w:t xml:space="preserve">testing </w:t>
      </w:r>
      <w:r w:rsidR="00B87D2F">
        <w:t>easier</w:t>
      </w:r>
      <w:r w:rsidR="00DE7132">
        <w:t xml:space="preserve"> and cheaper</w:t>
      </w:r>
      <w:r w:rsidR="00B87D2F">
        <w:t xml:space="preserve"> for suppliers</w:t>
      </w:r>
      <w:r w:rsidRPr="00830234">
        <w:t>.</w:t>
      </w:r>
      <w:bookmarkEnd w:id="295"/>
    </w:p>
    <w:p w:rsidR="00F01344" w:rsidRPr="00F01344" w:rsidRDefault="00F01344" w:rsidP="008C38BE">
      <w:r>
        <w:t xml:space="preserve">This option would </w:t>
      </w:r>
      <w:r w:rsidR="00257109">
        <w:t xml:space="preserve">remove uncertainty </w:t>
      </w:r>
      <w:r w:rsidR="00EA5A35">
        <w:t>over</w:t>
      </w:r>
      <w:r w:rsidR="00257109">
        <w:t xml:space="preserve"> changes in safety by retaining</w:t>
      </w:r>
      <w:r w:rsidR="00EA5A35">
        <w:t xml:space="preserve"> existing requirements for </w:t>
      </w:r>
      <w:r>
        <w:t xml:space="preserve">UVR </w:t>
      </w:r>
      <w:r w:rsidR="00EA5A35">
        <w:t>(</w:t>
      </w:r>
      <w:r>
        <w:t>400</w:t>
      </w:r>
      <w:r w:rsidR="004D6B0A">
        <w:t xml:space="preserve"> </w:t>
      </w:r>
      <w:r>
        <w:t>nm</w:t>
      </w:r>
      <w:r w:rsidR="00EA5A35">
        <w:t>)</w:t>
      </w:r>
      <w:r>
        <w:t xml:space="preserve"> and blue light filtration.</w:t>
      </w:r>
    </w:p>
    <w:p w:rsidR="00A10CFD" w:rsidRPr="000122BA" w:rsidRDefault="00A10CFD" w:rsidP="000122BA">
      <w:pPr>
        <w:spacing w:before="240"/>
        <w:rPr>
          <w:b/>
          <w:sz w:val="24"/>
          <w:szCs w:val="24"/>
        </w:rPr>
      </w:pPr>
      <w:bookmarkStart w:id="299" w:name="_Toc459041435"/>
      <w:r w:rsidRPr="000122BA">
        <w:rPr>
          <w:b/>
          <w:sz w:val="24"/>
          <w:szCs w:val="24"/>
        </w:rPr>
        <w:t>Limitations</w:t>
      </w:r>
      <w:bookmarkEnd w:id="296"/>
      <w:bookmarkEnd w:id="297"/>
      <w:bookmarkEnd w:id="298"/>
      <w:bookmarkEnd w:id="299"/>
    </w:p>
    <w:p w:rsidR="00977B38" w:rsidRDefault="00EA5A35" w:rsidP="008C38BE">
      <w:r>
        <w:t xml:space="preserve">The existing range of products </w:t>
      </w:r>
      <w:r w:rsidR="004D6B0A">
        <w:t xml:space="preserve">would </w:t>
      </w:r>
      <w:r>
        <w:t>not be affected</w:t>
      </w:r>
      <w:r w:rsidR="00B87D2F">
        <w:t xml:space="preserve">. It is possible that there </w:t>
      </w:r>
      <w:r w:rsidR="004D6B0A">
        <w:t xml:space="preserve">would </w:t>
      </w:r>
      <w:r w:rsidR="00DE7132">
        <w:t xml:space="preserve">be </w:t>
      </w:r>
      <w:r w:rsidR="004A6FC9">
        <w:t xml:space="preserve">a marginal </w:t>
      </w:r>
      <w:r w:rsidR="00B87D2F">
        <w:t xml:space="preserve">constraint on the growth or the range of sunglasses </w:t>
      </w:r>
      <w:r w:rsidR="004A6FC9">
        <w:t xml:space="preserve">supplied in Australia and this may </w:t>
      </w:r>
      <w:r w:rsidR="00B87D2F">
        <w:t>limit</w:t>
      </w:r>
      <w:r w:rsidR="004A6FC9">
        <w:t xml:space="preserve"> downward pressure on prices.</w:t>
      </w:r>
    </w:p>
    <w:p w:rsidR="00A10CFD" w:rsidRPr="008C38BE" w:rsidRDefault="00A10CFD" w:rsidP="00992069">
      <w:pPr>
        <w:pStyle w:val="Numbered1"/>
        <w:keepNext/>
        <w:rPr>
          <w:rFonts w:ascii="Arial" w:hAnsi="Arial" w:cs="Arial"/>
          <w:sz w:val="28"/>
          <w:szCs w:val="26"/>
        </w:rPr>
      </w:pPr>
      <w:bookmarkStart w:id="300" w:name="_Toc448397939"/>
      <w:bookmarkStart w:id="301" w:name="_Toc453749121"/>
      <w:bookmarkStart w:id="302" w:name="_Toc453749367"/>
      <w:bookmarkStart w:id="303" w:name="_Toc453759811"/>
      <w:bookmarkStart w:id="304" w:name="_Toc453763209"/>
      <w:bookmarkStart w:id="305" w:name="_Toc453763905"/>
      <w:bookmarkStart w:id="306" w:name="_Toc453765815"/>
      <w:bookmarkStart w:id="307" w:name="_Toc454544448"/>
      <w:bookmarkStart w:id="308" w:name="_Toc455580032"/>
      <w:bookmarkStart w:id="309" w:name="_Toc456277650"/>
      <w:bookmarkStart w:id="310" w:name="_Toc456279019"/>
      <w:bookmarkStart w:id="311" w:name="_Toc457311828"/>
      <w:bookmarkStart w:id="312" w:name="_Toc457816101"/>
      <w:bookmarkStart w:id="313" w:name="_Toc457817048"/>
      <w:bookmarkStart w:id="314" w:name="_Toc459041436"/>
      <w:bookmarkStart w:id="315" w:name="_Toc462651320"/>
      <w:r w:rsidRPr="008C38BE">
        <w:rPr>
          <w:rFonts w:ascii="Arial" w:hAnsi="Arial" w:cs="Arial"/>
          <w:sz w:val="28"/>
          <w:szCs w:val="26"/>
        </w:rPr>
        <w:t xml:space="preserve">Option 4 - </w:t>
      </w:r>
      <w:bookmarkEnd w:id="300"/>
      <w:bookmarkEnd w:id="301"/>
      <w:bookmarkEnd w:id="302"/>
      <w:bookmarkEnd w:id="303"/>
      <w:bookmarkEnd w:id="304"/>
      <w:bookmarkEnd w:id="305"/>
      <w:bookmarkEnd w:id="306"/>
      <w:bookmarkEnd w:id="307"/>
      <w:bookmarkEnd w:id="308"/>
      <w:r w:rsidRPr="008C38BE">
        <w:rPr>
          <w:rFonts w:ascii="Arial" w:hAnsi="Arial" w:cs="Arial"/>
          <w:sz w:val="28"/>
          <w:szCs w:val="26"/>
        </w:rPr>
        <w:t xml:space="preserve">Allow Australian </w:t>
      </w:r>
      <w:bookmarkEnd w:id="309"/>
      <w:bookmarkEnd w:id="310"/>
      <w:r w:rsidRPr="008C38BE">
        <w:rPr>
          <w:rFonts w:ascii="Arial" w:hAnsi="Arial" w:cs="Arial"/>
          <w:sz w:val="28"/>
          <w:szCs w:val="26"/>
        </w:rPr>
        <w:t>or trusted international standards</w:t>
      </w:r>
      <w:bookmarkEnd w:id="311"/>
      <w:bookmarkEnd w:id="312"/>
      <w:bookmarkEnd w:id="313"/>
      <w:bookmarkEnd w:id="314"/>
      <w:bookmarkEnd w:id="315"/>
    </w:p>
    <w:p w:rsidR="00A10CFD" w:rsidRPr="000122BA" w:rsidRDefault="00A10CFD" w:rsidP="000122BA">
      <w:pPr>
        <w:spacing w:before="240"/>
        <w:rPr>
          <w:b/>
          <w:sz w:val="24"/>
          <w:szCs w:val="24"/>
        </w:rPr>
      </w:pPr>
      <w:bookmarkStart w:id="316" w:name="_Toc453749122"/>
      <w:bookmarkStart w:id="317" w:name="_Toc453749368"/>
      <w:bookmarkStart w:id="318" w:name="_Toc453763906"/>
      <w:bookmarkStart w:id="319" w:name="_Toc453765816"/>
      <w:bookmarkStart w:id="320" w:name="_Toc454444026"/>
      <w:bookmarkStart w:id="321" w:name="_Toc454544449"/>
      <w:bookmarkStart w:id="322" w:name="_Toc455580033"/>
      <w:bookmarkStart w:id="323" w:name="_Toc456277651"/>
      <w:bookmarkStart w:id="324" w:name="_Toc456279020"/>
      <w:bookmarkStart w:id="325" w:name="_Toc457311829"/>
      <w:bookmarkStart w:id="326" w:name="_Toc457816102"/>
      <w:bookmarkStart w:id="327" w:name="_Toc457817049"/>
      <w:bookmarkStart w:id="328" w:name="_Toc459041437"/>
      <w:r w:rsidRPr="000122BA">
        <w:rPr>
          <w:b/>
          <w:sz w:val="24"/>
          <w:szCs w:val="24"/>
        </w:rPr>
        <w:t>Description</w:t>
      </w:r>
      <w:bookmarkEnd w:id="316"/>
      <w:bookmarkEnd w:id="317"/>
      <w:bookmarkEnd w:id="318"/>
      <w:bookmarkEnd w:id="319"/>
      <w:bookmarkEnd w:id="320"/>
      <w:bookmarkEnd w:id="321"/>
      <w:bookmarkEnd w:id="322"/>
      <w:bookmarkEnd w:id="323"/>
      <w:bookmarkEnd w:id="324"/>
      <w:bookmarkEnd w:id="325"/>
      <w:bookmarkEnd w:id="326"/>
      <w:bookmarkEnd w:id="327"/>
      <w:bookmarkEnd w:id="328"/>
    </w:p>
    <w:p w:rsidR="00EB5B5B" w:rsidRPr="00CC75B7" w:rsidRDefault="00EB5B5B" w:rsidP="008C38BE">
      <w:pPr>
        <w:rPr>
          <w:bCs/>
        </w:rPr>
      </w:pPr>
      <w:bookmarkStart w:id="329" w:name="_Toc459041438"/>
      <w:bookmarkStart w:id="330" w:name="_Toc453749123"/>
      <w:bookmarkStart w:id="331" w:name="_Toc453749369"/>
      <w:bookmarkStart w:id="332" w:name="_Toc453763907"/>
      <w:bookmarkStart w:id="333" w:name="_Toc453765817"/>
      <w:bookmarkStart w:id="334" w:name="_Toc454444027"/>
      <w:bookmarkStart w:id="335" w:name="_Toc454544450"/>
      <w:bookmarkStart w:id="336" w:name="_Toc455580034"/>
      <w:bookmarkStart w:id="337" w:name="_Toc456277652"/>
      <w:bookmarkStart w:id="338" w:name="_Toc456279021"/>
      <w:bookmarkStart w:id="339" w:name="_Toc457311830"/>
      <w:bookmarkStart w:id="340" w:name="_Toc457816103"/>
      <w:bookmarkStart w:id="341" w:name="_Toc457817050"/>
      <w:r w:rsidRPr="00EB5B5B">
        <w:t xml:space="preserve">The </w:t>
      </w:r>
      <w:r w:rsidR="00B87D2F">
        <w:t xml:space="preserve">revised </w:t>
      </w:r>
      <w:r w:rsidRPr="00EB5B5B">
        <w:t>mandatory safety standard would</w:t>
      </w:r>
      <w:r w:rsidR="00F01344">
        <w:t xml:space="preserve"> allow the supply of sunglasses that meet</w:t>
      </w:r>
      <w:r w:rsidRPr="00EB5B5B">
        <w:t xml:space="preserve"> the </w:t>
      </w:r>
      <w:r w:rsidR="00EB1823">
        <w:t xml:space="preserve">specified requirements of any of the nominated standards - </w:t>
      </w:r>
      <w:r w:rsidRPr="00EB5B5B">
        <w:t>AS/NZS</w:t>
      </w:r>
      <w:r w:rsidR="008E1FF5">
        <w:t xml:space="preserve"> </w:t>
      </w:r>
      <w:r w:rsidRPr="00EB5B5B">
        <w:t>1067</w:t>
      </w:r>
      <w:r w:rsidR="00F01344">
        <w:t xml:space="preserve">:2016, the ISO standard </w:t>
      </w:r>
      <w:r w:rsidR="004D6B0A">
        <w:t xml:space="preserve">or </w:t>
      </w:r>
      <w:r w:rsidR="00F01344">
        <w:t>the ANSI</w:t>
      </w:r>
      <w:r w:rsidR="0026661A">
        <w:t xml:space="preserve"> standard</w:t>
      </w:r>
      <w:r w:rsidR="00977B38">
        <w:t>s</w:t>
      </w:r>
      <w:r w:rsidR="0026661A">
        <w:t>.</w:t>
      </w:r>
      <w:bookmarkEnd w:id="329"/>
    </w:p>
    <w:p w:rsidR="00A10CFD" w:rsidRPr="000122BA" w:rsidRDefault="00A10CFD" w:rsidP="000122BA">
      <w:pPr>
        <w:spacing w:before="240"/>
        <w:rPr>
          <w:b/>
          <w:sz w:val="24"/>
          <w:szCs w:val="24"/>
        </w:rPr>
      </w:pPr>
      <w:bookmarkStart w:id="342" w:name="_Toc459041439"/>
      <w:r w:rsidRPr="000122BA">
        <w:rPr>
          <w:b/>
          <w:sz w:val="24"/>
          <w:szCs w:val="24"/>
        </w:rPr>
        <w:t>Benefits</w:t>
      </w:r>
      <w:bookmarkEnd w:id="330"/>
      <w:bookmarkEnd w:id="331"/>
      <w:bookmarkEnd w:id="332"/>
      <w:bookmarkEnd w:id="333"/>
      <w:bookmarkEnd w:id="334"/>
      <w:bookmarkEnd w:id="335"/>
      <w:bookmarkEnd w:id="336"/>
      <w:bookmarkEnd w:id="337"/>
      <w:bookmarkEnd w:id="338"/>
      <w:bookmarkEnd w:id="339"/>
      <w:bookmarkEnd w:id="340"/>
      <w:bookmarkEnd w:id="341"/>
      <w:bookmarkEnd w:id="342"/>
    </w:p>
    <w:p w:rsidR="00E9762C" w:rsidRPr="0071375D" w:rsidRDefault="004D6B0A" w:rsidP="008C38BE">
      <w:pPr>
        <w:rPr>
          <w:bCs/>
        </w:rPr>
      </w:pPr>
      <w:bookmarkStart w:id="343" w:name="_Toc459041441"/>
      <w:bookmarkStart w:id="344" w:name="_Toc457311831"/>
      <w:bookmarkStart w:id="345" w:name="_Toc457816104"/>
      <w:bookmarkStart w:id="346" w:name="_Toc457817051"/>
      <w:r>
        <w:rPr>
          <w:bCs/>
        </w:rPr>
        <w:t>Most</w:t>
      </w:r>
      <w:r w:rsidRPr="0071375D">
        <w:rPr>
          <w:bCs/>
        </w:rPr>
        <w:t xml:space="preserve"> </w:t>
      </w:r>
      <w:r w:rsidR="00E9762C" w:rsidRPr="0071375D">
        <w:rPr>
          <w:bCs/>
        </w:rPr>
        <w:t xml:space="preserve">sunglasses </w:t>
      </w:r>
      <w:r>
        <w:rPr>
          <w:bCs/>
        </w:rPr>
        <w:t>are</w:t>
      </w:r>
      <w:r w:rsidR="00E9762C" w:rsidRPr="0071375D">
        <w:rPr>
          <w:bCs/>
        </w:rPr>
        <w:t xml:space="preserve"> </w:t>
      </w:r>
      <w:r w:rsidRPr="0071375D">
        <w:rPr>
          <w:bCs/>
        </w:rPr>
        <w:t>importe</w:t>
      </w:r>
      <w:r>
        <w:rPr>
          <w:bCs/>
        </w:rPr>
        <w:t>d.</w:t>
      </w:r>
      <w:r w:rsidR="00E9762C" w:rsidRPr="0071375D">
        <w:rPr>
          <w:bCs/>
        </w:rPr>
        <w:t xml:space="preserve"> </w:t>
      </w:r>
      <w:r>
        <w:rPr>
          <w:bCs/>
        </w:rPr>
        <w:t>A</w:t>
      </w:r>
      <w:r w:rsidRPr="0071375D">
        <w:rPr>
          <w:bCs/>
        </w:rPr>
        <w:t xml:space="preserve">llowing </w:t>
      </w:r>
      <w:r w:rsidR="00E9762C" w:rsidRPr="0071375D">
        <w:rPr>
          <w:bCs/>
        </w:rPr>
        <w:t xml:space="preserve">suppliers to source and sell sunglasses that comply with trusted international standards </w:t>
      </w:r>
      <w:r w:rsidR="00EB1823">
        <w:rPr>
          <w:bCs/>
        </w:rPr>
        <w:t xml:space="preserve">may </w:t>
      </w:r>
      <w:r>
        <w:rPr>
          <w:bCs/>
        </w:rPr>
        <w:t xml:space="preserve">reduce compliance or administration costs for suppliers and </w:t>
      </w:r>
      <w:r w:rsidR="00EB1823">
        <w:rPr>
          <w:bCs/>
        </w:rPr>
        <w:t xml:space="preserve">make it easier for suppliers to offer </w:t>
      </w:r>
      <w:r>
        <w:rPr>
          <w:bCs/>
        </w:rPr>
        <w:t xml:space="preserve">more </w:t>
      </w:r>
      <w:r w:rsidR="00EB1823">
        <w:rPr>
          <w:bCs/>
        </w:rPr>
        <w:t>product</w:t>
      </w:r>
      <w:r>
        <w:rPr>
          <w:bCs/>
        </w:rPr>
        <w:t>s</w:t>
      </w:r>
      <w:r w:rsidR="00EB1823">
        <w:rPr>
          <w:bCs/>
        </w:rPr>
        <w:t xml:space="preserve"> and increase</w:t>
      </w:r>
      <w:r w:rsidR="00E9762C" w:rsidRPr="0071375D">
        <w:rPr>
          <w:bCs/>
        </w:rPr>
        <w:t xml:space="preserve"> consumer choice.</w:t>
      </w:r>
      <w:bookmarkEnd w:id="343"/>
    </w:p>
    <w:p w:rsidR="00EB5B5B" w:rsidRPr="0071375D" w:rsidRDefault="0026661A" w:rsidP="008C38BE">
      <w:pPr>
        <w:rPr>
          <w:bCs/>
        </w:rPr>
      </w:pPr>
      <w:bookmarkStart w:id="347" w:name="_Toc459041442"/>
      <w:r w:rsidRPr="0071375D">
        <w:rPr>
          <w:bCs/>
        </w:rPr>
        <w:t>T</w:t>
      </w:r>
      <w:r w:rsidR="00EB5B5B" w:rsidRPr="0071375D">
        <w:rPr>
          <w:bCs/>
        </w:rPr>
        <w:t>esting</w:t>
      </w:r>
      <w:r w:rsidRPr="0071375D">
        <w:rPr>
          <w:bCs/>
        </w:rPr>
        <w:t xml:space="preserve"> to </w:t>
      </w:r>
      <w:r w:rsidR="004D6B0A">
        <w:rPr>
          <w:bCs/>
        </w:rPr>
        <w:t>trusted</w:t>
      </w:r>
      <w:r w:rsidR="004D6B0A" w:rsidRPr="0071375D">
        <w:rPr>
          <w:bCs/>
        </w:rPr>
        <w:t xml:space="preserve"> </w:t>
      </w:r>
      <w:r w:rsidRPr="0071375D">
        <w:rPr>
          <w:bCs/>
        </w:rPr>
        <w:t>international standards may be</w:t>
      </w:r>
      <w:r w:rsidR="00EB5B5B" w:rsidRPr="0071375D">
        <w:rPr>
          <w:bCs/>
        </w:rPr>
        <w:t xml:space="preserve"> less expensive than testing for compliance with Australian standards. This cost saving may be passed on in the form of cheaper sunglasses.</w:t>
      </w:r>
      <w:bookmarkEnd w:id="347"/>
    </w:p>
    <w:p w:rsidR="00A10CFD" w:rsidRPr="000122BA" w:rsidRDefault="00A10CFD" w:rsidP="000122BA">
      <w:pPr>
        <w:spacing w:before="240"/>
        <w:rPr>
          <w:b/>
          <w:sz w:val="24"/>
          <w:szCs w:val="24"/>
        </w:rPr>
      </w:pPr>
      <w:bookmarkStart w:id="348" w:name="_Toc459041443"/>
      <w:r w:rsidRPr="000122BA">
        <w:rPr>
          <w:b/>
          <w:sz w:val="24"/>
          <w:szCs w:val="24"/>
        </w:rPr>
        <w:t>Limitations</w:t>
      </w:r>
      <w:bookmarkEnd w:id="344"/>
      <w:bookmarkEnd w:id="345"/>
      <w:bookmarkEnd w:id="346"/>
      <w:bookmarkEnd w:id="348"/>
    </w:p>
    <w:p w:rsidR="0036710E" w:rsidRDefault="00EB5B5B" w:rsidP="008C38BE">
      <w:r>
        <w:t>The requirements of the different standards are not precisely the same</w:t>
      </w:r>
      <w:r w:rsidR="00977B38">
        <w:t xml:space="preserve"> and do not take into account Australian conditions which are relevant to the safety of sunglasses</w:t>
      </w:r>
      <w:r>
        <w:t xml:space="preserve">. This may result in some sunglasses that are </w:t>
      </w:r>
      <w:r w:rsidR="00B71210">
        <w:t xml:space="preserve">less </w:t>
      </w:r>
      <w:r>
        <w:t>safe, or have inadequate labelling</w:t>
      </w:r>
      <w:r w:rsidR="000A4FA8">
        <w:t xml:space="preserve"> so that consumers may not be able to identify </w:t>
      </w:r>
      <w:r w:rsidR="004D6B0A">
        <w:t>lenses that</w:t>
      </w:r>
      <w:r w:rsidR="000A4FA8">
        <w:t xml:space="preserve"> are unsuitable for driving</w:t>
      </w:r>
      <w:r>
        <w:t>.</w:t>
      </w:r>
      <w:r w:rsidR="000A4FA8">
        <w:t xml:space="preserve"> </w:t>
      </w:r>
    </w:p>
    <w:p w:rsidR="00EB5B5B" w:rsidRDefault="000A4FA8" w:rsidP="008C38BE">
      <w:r>
        <w:t>This may result in increase</w:t>
      </w:r>
      <w:r w:rsidR="004D6B0A">
        <w:t>d</w:t>
      </w:r>
      <w:r>
        <w:t xml:space="preserve"> </w:t>
      </w:r>
      <w:r w:rsidR="00B71210">
        <w:t xml:space="preserve">road accidents and </w:t>
      </w:r>
      <w:r>
        <w:t>UVR related eye injuries and cancers over time.</w:t>
      </w:r>
    </w:p>
    <w:p w:rsidR="00A10CFD" w:rsidRDefault="00A10CFD" w:rsidP="006853FF">
      <w:pPr>
        <w:pStyle w:val="Numbered1"/>
        <w:numPr>
          <w:ilvl w:val="0"/>
          <w:numId w:val="43"/>
        </w:numPr>
        <w:ind w:left="680" w:hanging="680"/>
      </w:pPr>
      <w:bookmarkStart w:id="349" w:name="_Toc459041444"/>
      <w:bookmarkStart w:id="350" w:name="_Toc453749371"/>
      <w:bookmarkStart w:id="351" w:name="_Toc462651321"/>
      <w:bookmarkEnd w:id="164"/>
      <w:r w:rsidRPr="00A10CFD">
        <w:t>Preliminary position</w:t>
      </w:r>
      <w:bookmarkEnd w:id="349"/>
      <w:bookmarkEnd w:id="351"/>
    </w:p>
    <w:p w:rsidR="00E9762C" w:rsidRDefault="00A10CFD" w:rsidP="008C38BE">
      <w:r w:rsidRPr="00A10CFD">
        <w:t>The ACCC</w:t>
      </w:r>
      <w:r w:rsidR="00E9762C">
        <w:t>’s preliminary position is th</w:t>
      </w:r>
      <w:r w:rsidR="00EB1823">
        <w:t>at updating the mandatory standard to incorporate refer</w:t>
      </w:r>
      <w:r w:rsidR="002A7A15">
        <w:t>e</w:t>
      </w:r>
      <w:r w:rsidR="00EB1823">
        <w:t>nce to the latest voluntary standard, AS/NZS</w:t>
      </w:r>
      <w:r w:rsidR="008E1FF5">
        <w:t xml:space="preserve"> </w:t>
      </w:r>
      <w:r w:rsidR="00EB1823">
        <w:t>1067:2016 (</w:t>
      </w:r>
      <w:r w:rsidRPr="00A10CFD">
        <w:t xml:space="preserve">Option </w:t>
      </w:r>
      <w:r w:rsidR="00EB5B5B">
        <w:t>3</w:t>
      </w:r>
      <w:proofErr w:type="gramStart"/>
      <w:r w:rsidR="00EB1823">
        <w:t>)</w:t>
      </w:r>
      <w:r w:rsidR="00035886">
        <w:t>,</w:t>
      </w:r>
      <w:proofErr w:type="gramEnd"/>
      <w:r w:rsidR="00E9762C">
        <w:t xml:space="preserve"> is the most appropriate option.</w:t>
      </w:r>
    </w:p>
    <w:p w:rsidR="00501971" w:rsidRDefault="00EB1823" w:rsidP="008C38BE">
      <w:r>
        <w:lastRenderedPageBreak/>
        <w:t>This update would leave safety-related requirements for UVR and blue light filtration unchanged, impose no additional burden on suppliers</w:t>
      </w:r>
      <w:r w:rsidR="00A80BBF">
        <w:t>, minimise the differences between the AS/NZS and ISO standards</w:t>
      </w:r>
      <w:r w:rsidR="00035886">
        <w:t>,</w:t>
      </w:r>
      <w:r w:rsidR="00A80BBF">
        <w:t xml:space="preserve"> and maintain the currency of the mandatory standard.</w:t>
      </w:r>
    </w:p>
    <w:p w:rsidR="00A10CFD" w:rsidRDefault="00A10CFD" w:rsidP="008C38BE">
      <w:r w:rsidRPr="00A10CFD">
        <w:t xml:space="preserve">Stakeholder submissions </w:t>
      </w:r>
      <w:r w:rsidR="00501971">
        <w:t>on this</w:t>
      </w:r>
      <w:r w:rsidRPr="00A10CFD">
        <w:t xml:space="preserve"> consultation</w:t>
      </w:r>
      <w:r w:rsidR="00501971">
        <w:t xml:space="preserve"> paper</w:t>
      </w:r>
      <w:r w:rsidRPr="00A10CFD">
        <w:t xml:space="preserve"> will assist in testing this position</w:t>
      </w:r>
      <w:r w:rsidR="00501971">
        <w:t>.</w:t>
      </w:r>
    </w:p>
    <w:p w:rsidR="00E9762C" w:rsidRDefault="00E9762C" w:rsidP="00E9762C">
      <w:pPr>
        <w:pStyle w:val="Numbered1"/>
        <w:numPr>
          <w:ilvl w:val="0"/>
          <w:numId w:val="43"/>
        </w:numPr>
        <w:ind w:left="680" w:hanging="680"/>
      </w:pPr>
      <w:bookmarkStart w:id="352" w:name="_Toc459041445"/>
      <w:bookmarkStart w:id="353" w:name="_Toc462651322"/>
      <w:r>
        <w:t>Transition period</w:t>
      </w:r>
      <w:bookmarkEnd w:id="352"/>
      <w:bookmarkEnd w:id="353"/>
    </w:p>
    <w:p w:rsidR="00501971" w:rsidRDefault="00501971" w:rsidP="008C38BE">
      <w:r>
        <w:t>The ACCC invites stakeholders to make submissions about how long</w:t>
      </w:r>
      <w:r w:rsidR="00A4610B">
        <w:t xml:space="preserve"> a new regulation should allow for</w:t>
      </w:r>
      <w:r>
        <w:t xml:space="preserve"> existing stock</w:t>
      </w:r>
      <w:r w:rsidR="00A4610B">
        <w:t xml:space="preserve"> to be sold.</w:t>
      </w:r>
      <w:r>
        <w:t xml:space="preserve"> Stakeholders should also advise how long they would need to source stock that would meet AS/NZS</w:t>
      </w:r>
      <w:r w:rsidR="008E1FF5">
        <w:t xml:space="preserve"> </w:t>
      </w:r>
      <w:r>
        <w:t>1067:2016</w:t>
      </w:r>
      <w:r w:rsidR="00053F7C">
        <w:t xml:space="preserve"> </w:t>
      </w:r>
      <w:r>
        <w:t>(option 3).</w:t>
      </w:r>
    </w:p>
    <w:p w:rsidR="009E5FC7" w:rsidRPr="000122BA" w:rsidRDefault="00E4197A" w:rsidP="00004E4F">
      <w:pPr>
        <w:pStyle w:val="Numbered1"/>
        <w:keepNext/>
        <w:numPr>
          <w:ilvl w:val="0"/>
          <w:numId w:val="43"/>
        </w:numPr>
        <w:spacing w:after="240"/>
        <w:ind w:left="680" w:hanging="680"/>
      </w:pPr>
      <w:bookmarkStart w:id="354" w:name="_Toc459041446"/>
      <w:bookmarkStart w:id="355" w:name="_Toc462651323"/>
      <w:r w:rsidRPr="000122BA">
        <w:t>C</w:t>
      </w:r>
      <w:r w:rsidR="009E5FC7" w:rsidRPr="000122BA">
        <w:t>onsultation questions</w:t>
      </w:r>
      <w:bookmarkEnd w:id="350"/>
      <w:bookmarkEnd w:id="354"/>
      <w:bookmarkEnd w:id="355"/>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2"/>
      </w:tblGrid>
      <w:tr w:rsidR="008C38BE" w:rsidRPr="000122BA" w:rsidTr="000122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C38BE" w:rsidRPr="000122BA" w:rsidRDefault="008C38BE" w:rsidP="00811C01">
            <w:pPr>
              <w:numPr>
                <w:ilvl w:val="0"/>
                <w:numId w:val="36"/>
              </w:numPr>
              <w:spacing w:before="240" w:after="200"/>
              <w:ind w:left="697" w:hanging="340"/>
              <w:rPr>
                <w:b w:val="0"/>
              </w:rPr>
            </w:pPr>
            <w:r w:rsidRPr="000122BA">
              <w:rPr>
                <w:b w:val="0"/>
              </w:rPr>
              <w:t xml:space="preserve">Do you support our preliminary position to adopt </w:t>
            </w:r>
            <w:r w:rsidR="003464A0">
              <w:rPr>
                <w:b w:val="0"/>
              </w:rPr>
              <w:t>the updated AS/NZS 1067               (</w:t>
            </w:r>
            <w:r w:rsidRPr="000122BA">
              <w:rPr>
                <w:b w:val="0"/>
              </w:rPr>
              <w:t>Option 3</w:t>
            </w:r>
            <w:r w:rsidR="003464A0">
              <w:rPr>
                <w:b w:val="0"/>
              </w:rPr>
              <w:t>)</w:t>
            </w:r>
            <w:r w:rsidRPr="000122BA">
              <w:rPr>
                <w:b w:val="0"/>
              </w:rPr>
              <w:t>?</w:t>
            </w:r>
          </w:p>
          <w:p w:rsidR="008C38BE" w:rsidRPr="000122BA" w:rsidRDefault="008C38BE" w:rsidP="00811C01">
            <w:pPr>
              <w:numPr>
                <w:ilvl w:val="0"/>
                <w:numId w:val="36"/>
              </w:numPr>
              <w:spacing w:before="120" w:after="200"/>
              <w:ind w:left="697" w:hanging="340"/>
              <w:rPr>
                <w:b w:val="0"/>
              </w:rPr>
            </w:pPr>
            <w:r w:rsidRPr="000122BA">
              <w:rPr>
                <w:b w:val="0"/>
              </w:rPr>
              <w:t>As discussed in section 7, how long a transition period should be applied to sell existing stock and source new stock?</w:t>
            </w:r>
          </w:p>
          <w:p w:rsidR="008C38BE" w:rsidRPr="000122BA" w:rsidRDefault="008C38BE" w:rsidP="00811C01">
            <w:pPr>
              <w:numPr>
                <w:ilvl w:val="0"/>
                <w:numId w:val="36"/>
              </w:numPr>
              <w:spacing w:before="120" w:after="200"/>
              <w:ind w:left="697" w:hanging="340"/>
              <w:rPr>
                <w:b w:val="0"/>
              </w:rPr>
            </w:pPr>
            <w:r w:rsidRPr="000122BA">
              <w:rPr>
                <w:b w:val="0"/>
              </w:rPr>
              <w:t>Are there other viable options for the review not discussed in this paper?</w:t>
            </w:r>
          </w:p>
          <w:p w:rsidR="008C38BE" w:rsidRPr="000122BA" w:rsidRDefault="008C38BE" w:rsidP="00811C01">
            <w:pPr>
              <w:numPr>
                <w:ilvl w:val="0"/>
                <w:numId w:val="36"/>
              </w:numPr>
              <w:spacing w:before="120" w:after="200"/>
              <w:ind w:left="697" w:hanging="340"/>
              <w:rPr>
                <w:b w:val="0"/>
              </w:rPr>
            </w:pPr>
            <w:r w:rsidRPr="000122BA">
              <w:rPr>
                <w:b w:val="0"/>
              </w:rPr>
              <w:t>The ACCC considers</w:t>
            </w:r>
            <w:r w:rsidR="003464A0">
              <w:rPr>
                <w:b w:val="0"/>
              </w:rPr>
              <w:t xml:space="preserve"> that</w:t>
            </w:r>
            <w:r w:rsidRPr="000122BA">
              <w:rPr>
                <w:b w:val="0"/>
              </w:rPr>
              <w:t xml:space="preserve"> adopting</w:t>
            </w:r>
            <w:r w:rsidR="003464A0">
              <w:rPr>
                <w:b w:val="0"/>
              </w:rPr>
              <w:t xml:space="preserve"> the updated AS/NZS 1067</w:t>
            </w:r>
            <w:r w:rsidRPr="000122BA">
              <w:rPr>
                <w:b w:val="0"/>
              </w:rPr>
              <w:t xml:space="preserve"> </w:t>
            </w:r>
            <w:r w:rsidR="003464A0">
              <w:rPr>
                <w:b w:val="0"/>
              </w:rPr>
              <w:t>(</w:t>
            </w:r>
            <w:r w:rsidRPr="000122BA">
              <w:rPr>
                <w:b w:val="0"/>
              </w:rPr>
              <w:t>Option 3</w:t>
            </w:r>
            <w:r w:rsidR="003464A0">
              <w:rPr>
                <w:b w:val="0"/>
              </w:rPr>
              <w:t>)</w:t>
            </w:r>
            <w:r w:rsidRPr="000122BA">
              <w:rPr>
                <w:b w:val="0"/>
              </w:rPr>
              <w:t xml:space="preserve"> will involve minimal difficulty and cost to suppliers. Is this correct?</w:t>
            </w:r>
          </w:p>
          <w:p w:rsidR="008C38BE" w:rsidRPr="000122BA" w:rsidRDefault="008C38BE" w:rsidP="00811C01">
            <w:pPr>
              <w:spacing w:before="120" w:after="200"/>
              <w:ind w:left="697" w:firstLine="12"/>
              <w:rPr>
                <w:b w:val="0"/>
              </w:rPr>
            </w:pPr>
            <w:r w:rsidRPr="000122BA">
              <w:rPr>
                <w:b w:val="0"/>
              </w:rPr>
              <w:t>If you believe there will be significant additional costs, please indicate for what and how much.</w:t>
            </w:r>
          </w:p>
          <w:p w:rsidR="008C38BE" w:rsidRPr="000122BA" w:rsidRDefault="008C38BE" w:rsidP="00811C01">
            <w:pPr>
              <w:numPr>
                <w:ilvl w:val="0"/>
                <w:numId w:val="36"/>
              </w:numPr>
              <w:spacing w:before="120" w:after="240"/>
              <w:ind w:left="697" w:hanging="340"/>
              <w:rPr>
                <w:b w:val="0"/>
              </w:rPr>
            </w:pPr>
            <w:r w:rsidRPr="000122BA">
              <w:rPr>
                <w:b w:val="0"/>
              </w:rPr>
              <w:t>Do you have any other comments or information relevant to this review?</w:t>
            </w:r>
          </w:p>
        </w:tc>
      </w:tr>
    </w:tbl>
    <w:p w:rsidR="00A10CFD" w:rsidRPr="005A60B4" w:rsidRDefault="00A10CFD" w:rsidP="006853FF">
      <w:pPr>
        <w:pStyle w:val="Numbered1"/>
        <w:numPr>
          <w:ilvl w:val="0"/>
          <w:numId w:val="43"/>
        </w:numPr>
        <w:ind w:left="680" w:hanging="680"/>
      </w:pPr>
      <w:bookmarkStart w:id="356" w:name="_Toc453749078"/>
      <w:bookmarkStart w:id="357" w:name="_Toc453749324"/>
      <w:bookmarkStart w:id="358" w:name="_Toc459041447"/>
      <w:bookmarkStart w:id="359" w:name="_Toc462651324"/>
      <w:r w:rsidRPr="005A60B4">
        <w:t xml:space="preserve">Have </w:t>
      </w:r>
      <w:r w:rsidRPr="00382011">
        <w:t>your</w:t>
      </w:r>
      <w:r w:rsidRPr="005A60B4">
        <w:t xml:space="preserve"> say</w:t>
      </w:r>
      <w:bookmarkEnd w:id="356"/>
      <w:bookmarkEnd w:id="357"/>
      <w:bookmarkEnd w:id="358"/>
      <w:bookmarkEnd w:id="359"/>
    </w:p>
    <w:p w:rsidR="00A10CFD" w:rsidRDefault="00A10CFD" w:rsidP="000122BA">
      <w:r w:rsidRPr="002B2F74">
        <w:t>The ACCC invites</w:t>
      </w:r>
      <w:r>
        <w:t xml:space="preserve"> stakeholders and</w:t>
      </w:r>
      <w:r w:rsidRPr="002B2F74">
        <w:t xml:space="preserve"> interested parties to</w:t>
      </w:r>
      <w:r>
        <w:t xml:space="preserve"> comment on these policy options.</w:t>
      </w:r>
    </w:p>
    <w:p w:rsidR="00A10CFD" w:rsidRDefault="00A10CFD" w:rsidP="000122BA">
      <w:r>
        <w:t>Consultation is open fro</w:t>
      </w:r>
      <w:r w:rsidRPr="007F68F7">
        <w:t xml:space="preserve">m </w:t>
      </w:r>
      <w:r w:rsidR="00C14D84">
        <w:t>Friday 30</w:t>
      </w:r>
      <w:r w:rsidR="00A4610B">
        <w:t xml:space="preserve"> September</w:t>
      </w:r>
      <w:r w:rsidR="00102C69">
        <w:t xml:space="preserve"> 2016</w:t>
      </w:r>
      <w:r w:rsidR="00A4610B" w:rsidRPr="007F68F7">
        <w:t xml:space="preserve"> </w:t>
      </w:r>
      <w:r w:rsidRPr="007F68F7">
        <w:t xml:space="preserve">to </w:t>
      </w:r>
      <w:r w:rsidR="00C14D84">
        <w:t>Friday 11</w:t>
      </w:r>
      <w:r w:rsidR="00102C69">
        <w:t xml:space="preserve"> November </w:t>
      </w:r>
      <w:r w:rsidRPr="007F68F7">
        <w:t>2016.</w:t>
      </w:r>
      <w:r>
        <w:t xml:space="preserve"> </w:t>
      </w:r>
    </w:p>
    <w:p w:rsidR="00A10CFD" w:rsidRDefault="00A10CFD" w:rsidP="000122BA">
      <w:r>
        <w:t xml:space="preserve">The ACCC prefers submissions via the </w:t>
      </w:r>
      <w:r w:rsidRPr="0039574F">
        <w:t>ACCC consultation hub</w:t>
      </w:r>
      <w:r>
        <w:t xml:space="preserve"> at </w:t>
      </w:r>
      <w:hyperlink r:id="rId14" w:history="1">
        <w:r w:rsidRPr="00020736">
          <w:rPr>
            <w:rStyle w:val="Hyperlink"/>
          </w:rPr>
          <w:t>consultation.accc.gov.au</w:t>
        </w:r>
      </w:hyperlink>
      <w:r>
        <w:t xml:space="preserve">. </w:t>
      </w:r>
    </w:p>
    <w:p w:rsidR="00A10CFD" w:rsidRDefault="00A10CFD" w:rsidP="000122BA">
      <w:r>
        <w:t xml:space="preserve">The ACCC will </w:t>
      </w:r>
      <w:r w:rsidRPr="007A03C1">
        <w:t xml:space="preserve">alert stakeholders and interested parties to the consultation through the Product Safety Australia website </w:t>
      </w:r>
      <w:hyperlink r:id="rId15" w:history="1">
        <w:r w:rsidRPr="007A03C1">
          <w:rPr>
            <w:rStyle w:val="Hyperlink"/>
          </w:rPr>
          <w:t>www.productsafety.gov.au/</w:t>
        </w:r>
      </w:hyperlink>
      <w:r w:rsidRPr="007A03C1">
        <w:t xml:space="preserve"> and </w:t>
      </w:r>
      <w:hyperlink r:id="rId16" w:history="1">
        <w:r w:rsidRPr="007A03C1">
          <w:rPr>
            <w:rStyle w:val="Hyperlink"/>
          </w:rPr>
          <w:t>www.business.gov.au</w:t>
        </w:r>
      </w:hyperlink>
      <w:r w:rsidRPr="007A03C1">
        <w:t>.</w:t>
      </w:r>
      <w:r>
        <w:t xml:space="preserve"> </w:t>
      </w:r>
    </w:p>
    <w:p w:rsidR="00A10CFD" w:rsidRDefault="00A10CFD" w:rsidP="000122BA">
      <w:r>
        <w:t xml:space="preserve">Alternatively, email submissions to </w:t>
      </w:r>
      <w:hyperlink r:id="rId17" w:history="1">
        <w:r w:rsidRPr="007556AB">
          <w:rPr>
            <w:rStyle w:val="Hyperlink"/>
          </w:rPr>
          <w:t>productsafety.regulation@accc.gov.au</w:t>
        </w:r>
      </w:hyperlink>
      <w:r>
        <w:t xml:space="preserve"> or via post:</w:t>
      </w:r>
    </w:p>
    <w:p w:rsidR="00A10CFD" w:rsidRDefault="00A10CFD" w:rsidP="000122BA">
      <w:r>
        <w:t>Director</w:t>
      </w:r>
      <w:r>
        <w:br/>
      </w:r>
      <w:r w:rsidRPr="00A07FB8">
        <w:t>Standards</w:t>
      </w:r>
      <w:r>
        <w:t xml:space="preserve"> and Policy</w:t>
      </w:r>
      <w:r>
        <w:br/>
        <w:t>Consumer Product Safety Branch</w:t>
      </w:r>
      <w:r>
        <w:br/>
        <w:t>Australian Competition and Consumer Commission</w:t>
      </w:r>
      <w:r>
        <w:br/>
        <w:t>GPO Box 3131</w:t>
      </w:r>
      <w:r>
        <w:br/>
        <w:t>CANBERRA ACT 2601</w:t>
      </w:r>
    </w:p>
    <w:p w:rsidR="00A10CFD" w:rsidRDefault="00A10CFD" w:rsidP="000122BA">
      <w:r>
        <w:t xml:space="preserve">Submissions will be published on the ACCC website at the end of the consultation period. </w:t>
      </w:r>
    </w:p>
    <w:p w:rsidR="00A10CFD" w:rsidRDefault="00A10CFD" w:rsidP="000122BA">
      <w:r>
        <w:rPr>
          <w:rFonts w:cs="Arial"/>
          <w:szCs w:val="24"/>
        </w:rPr>
        <w:lastRenderedPageBreak/>
        <w:t>Please note any</w:t>
      </w:r>
      <w:r w:rsidRPr="00530AFB">
        <w:rPr>
          <w:rFonts w:cs="Arial"/>
          <w:szCs w:val="24"/>
        </w:rPr>
        <w:t xml:space="preserve"> information that you believe to be of a confidential nature should be clearly marked or identified as confidential</w:t>
      </w:r>
      <w:r>
        <w:rPr>
          <w:rFonts w:cs="Arial"/>
          <w:szCs w:val="24"/>
        </w:rPr>
        <w:t>. T</w:t>
      </w:r>
      <w:r w:rsidRPr="00530AFB">
        <w:rPr>
          <w:rFonts w:cs="Arial"/>
          <w:szCs w:val="24"/>
        </w:rPr>
        <w:t>he ACCC will not disclose the confidential information to third parties, other than advisors or consultants engaged directly by the ACCC, without first providing you with notice of its intention to do so, such as where it is compelled to do so by law.</w:t>
      </w:r>
    </w:p>
    <w:p w:rsidR="00BD246B" w:rsidRDefault="00BD246B" w:rsidP="00A10CFD">
      <w:pPr>
        <w:rPr>
          <w:rFonts w:eastAsia="Calibri"/>
          <w:b/>
        </w:rPr>
      </w:pPr>
    </w:p>
    <w:p w:rsidR="00BD246B" w:rsidRDefault="00BD246B" w:rsidP="00A10CFD">
      <w:pPr>
        <w:rPr>
          <w:rFonts w:eastAsia="Calibri"/>
          <w:b/>
        </w:rPr>
      </w:pPr>
    </w:p>
    <w:p w:rsidR="00A10CFD" w:rsidRPr="00382011" w:rsidRDefault="00A10CFD" w:rsidP="00A10CFD">
      <w:pPr>
        <w:rPr>
          <w:rFonts w:eastAsia="Calibri"/>
          <w:b/>
        </w:rPr>
      </w:pPr>
      <w:r w:rsidRPr="00382011">
        <w:rPr>
          <w:rFonts w:eastAsia="Calibri"/>
          <w:b/>
        </w:rPr>
        <w:t>Glossary</w:t>
      </w:r>
    </w:p>
    <w:p w:rsidR="00A10CFD" w:rsidRPr="00382011" w:rsidRDefault="00A10CFD" w:rsidP="00A10CFD">
      <w:pPr>
        <w:rPr>
          <w:rFonts w:eastAsia="Calibri"/>
          <w:b/>
        </w:rPr>
      </w:pPr>
    </w:p>
    <w:tbl>
      <w:tblPr>
        <w:tblW w:w="0" w:type="auto"/>
        <w:tblBorders>
          <w:top w:val="single" w:sz="4" w:space="0" w:color="D5D6D2"/>
          <w:left w:val="single" w:sz="4" w:space="0" w:color="D5D6D2"/>
          <w:bottom w:val="single" w:sz="4" w:space="0" w:color="D5D6D2"/>
          <w:right w:val="single" w:sz="4" w:space="0" w:color="D5D6D2"/>
          <w:insideH w:val="single" w:sz="4" w:space="0" w:color="D5D6D2"/>
          <w:insideV w:val="single" w:sz="4" w:space="0" w:color="D5D6D2"/>
        </w:tblBorders>
        <w:tblLook w:val="04A0" w:firstRow="1" w:lastRow="0" w:firstColumn="1" w:lastColumn="0" w:noHBand="0" w:noVBand="1"/>
      </w:tblPr>
      <w:tblGrid>
        <w:gridCol w:w="2376"/>
        <w:gridCol w:w="6866"/>
      </w:tblGrid>
      <w:tr w:rsidR="00A10CFD" w:rsidTr="006853FF">
        <w:tc>
          <w:tcPr>
            <w:tcW w:w="2376" w:type="dxa"/>
            <w:tcBorders>
              <w:top w:val="single" w:sz="4" w:space="0" w:color="D5D6D2"/>
              <w:left w:val="single" w:sz="4" w:space="0" w:color="D5D6D2"/>
              <w:bottom w:val="single" w:sz="4" w:space="0" w:color="D5D6D2"/>
              <w:right w:val="single" w:sz="4" w:space="0" w:color="D5D6D2"/>
            </w:tcBorders>
            <w:shd w:val="clear" w:color="auto" w:fill="DDDDDD"/>
            <w:vAlign w:val="center"/>
          </w:tcPr>
          <w:p w:rsidR="00A10CFD" w:rsidRPr="00B71210" w:rsidRDefault="00A10CFD" w:rsidP="00804D7E">
            <w:pPr>
              <w:spacing w:after="120"/>
              <w:rPr>
                <w:b/>
                <w:bCs/>
              </w:rPr>
            </w:pPr>
            <w:r w:rsidRPr="00B71210">
              <w:rPr>
                <w:b/>
                <w:bCs/>
              </w:rPr>
              <w:t>Term</w:t>
            </w:r>
          </w:p>
        </w:tc>
        <w:tc>
          <w:tcPr>
            <w:tcW w:w="6866" w:type="dxa"/>
            <w:tcBorders>
              <w:top w:val="single" w:sz="4" w:space="0" w:color="D5D6D2"/>
              <w:left w:val="single" w:sz="4" w:space="0" w:color="D5D6D2"/>
              <w:bottom w:val="single" w:sz="4" w:space="0" w:color="D5D6D2"/>
              <w:right w:val="single" w:sz="4" w:space="0" w:color="D5D6D2"/>
            </w:tcBorders>
            <w:shd w:val="clear" w:color="auto" w:fill="DDDDDD"/>
            <w:vAlign w:val="center"/>
          </w:tcPr>
          <w:p w:rsidR="00A10CFD" w:rsidRPr="00B71210" w:rsidRDefault="00A10CFD" w:rsidP="00804D7E">
            <w:pPr>
              <w:spacing w:after="120"/>
              <w:rPr>
                <w:b/>
                <w:bCs/>
              </w:rPr>
            </w:pPr>
            <w:r w:rsidRPr="00B71210">
              <w:rPr>
                <w:b/>
                <w:bCs/>
              </w:rPr>
              <w:t>Definition</w:t>
            </w:r>
          </w:p>
        </w:tc>
      </w:tr>
      <w:tr w:rsidR="00A10CFD" w:rsidTr="00804D7E">
        <w:tc>
          <w:tcPr>
            <w:tcW w:w="2376" w:type="dxa"/>
            <w:shd w:val="clear" w:color="auto" w:fill="auto"/>
            <w:vAlign w:val="center"/>
          </w:tcPr>
          <w:p w:rsidR="00A10CFD" w:rsidRPr="00B71210" w:rsidRDefault="00C61D35" w:rsidP="00804D7E">
            <w:pPr>
              <w:spacing w:after="120"/>
              <w:rPr>
                <w:b/>
                <w:bCs/>
              </w:rPr>
            </w:pPr>
            <w:r w:rsidRPr="00B71210">
              <w:rPr>
                <w:b/>
                <w:bCs/>
              </w:rPr>
              <w:t>ANSI</w:t>
            </w:r>
            <w:r w:rsidR="009214E7" w:rsidRPr="00B71210">
              <w:rPr>
                <w:b/>
                <w:bCs/>
              </w:rPr>
              <w:t xml:space="preserve"> standard</w:t>
            </w:r>
          </w:p>
        </w:tc>
        <w:tc>
          <w:tcPr>
            <w:tcW w:w="6866" w:type="dxa"/>
            <w:shd w:val="clear" w:color="auto" w:fill="auto"/>
            <w:vAlign w:val="center"/>
          </w:tcPr>
          <w:p w:rsidR="00A10CFD" w:rsidRPr="00382011" w:rsidRDefault="00400CF9" w:rsidP="00B71210">
            <w:pPr>
              <w:spacing w:after="120"/>
              <w:rPr>
                <w:sz w:val="20"/>
                <w:szCs w:val="20"/>
              </w:rPr>
            </w:pPr>
            <w:r w:rsidRPr="000D4ACD">
              <w:t xml:space="preserve">ANSI Z80.3-2015 </w:t>
            </w:r>
            <w:proofErr w:type="spellStart"/>
            <w:r w:rsidRPr="000D4ACD">
              <w:rPr>
                <w:i/>
              </w:rPr>
              <w:t>Nonprescription</w:t>
            </w:r>
            <w:proofErr w:type="spellEnd"/>
            <w:r w:rsidRPr="000D4ACD">
              <w:rPr>
                <w:i/>
              </w:rPr>
              <w:t xml:space="preserve"> </w:t>
            </w:r>
            <w:r w:rsidR="00B71210">
              <w:rPr>
                <w:i/>
              </w:rPr>
              <w:t>s</w:t>
            </w:r>
            <w:r w:rsidR="00B71210" w:rsidRPr="000D4ACD">
              <w:rPr>
                <w:i/>
              </w:rPr>
              <w:t xml:space="preserve">unglass </w:t>
            </w:r>
            <w:r w:rsidRPr="000D4ACD">
              <w:rPr>
                <w:i/>
              </w:rPr>
              <w:t xml:space="preserve">and </w:t>
            </w:r>
            <w:r w:rsidR="00B71210">
              <w:rPr>
                <w:i/>
              </w:rPr>
              <w:t>f</w:t>
            </w:r>
            <w:r w:rsidR="00B71210" w:rsidRPr="000D4ACD">
              <w:rPr>
                <w:i/>
              </w:rPr>
              <w:t xml:space="preserve">ashion </w:t>
            </w:r>
            <w:r w:rsidR="00B71210">
              <w:rPr>
                <w:i/>
              </w:rPr>
              <w:t>e</w:t>
            </w:r>
            <w:r w:rsidR="00B71210" w:rsidRPr="000D4ACD">
              <w:rPr>
                <w:i/>
              </w:rPr>
              <w:t xml:space="preserve">yewear </w:t>
            </w:r>
            <w:r w:rsidR="00B71210">
              <w:rPr>
                <w:i/>
              </w:rPr>
              <w:t>r</w:t>
            </w:r>
            <w:r w:rsidR="00B71210" w:rsidRPr="000D4ACD">
              <w:rPr>
                <w:i/>
              </w:rPr>
              <w:t>equirements</w:t>
            </w:r>
          </w:p>
        </w:tc>
      </w:tr>
      <w:tr w:rsidR="00A10CFD" w:rsidTr="00804D7E">
        <w:tc>
          <w:tcPr>
            <w:tcW w:w="2376" w:type="dxa"/>
            <w:shd w:val="clear" w:color="auto" w:fill="auto"/>
            <w:vAlign w:val="center"/>
          </w:tcPr>
          <w:p w:rsidR="00A10CFD" w:rsidRPr="00B71210" w:rsidRDefault="00C61D35" w:rsidP="00804D7E">
            <w:pPr>
              <w:spacing w:after="120"/>
              <w:rPr>
                <w:b/>
                <w:bCs/>
              </w:rPr>
            </w:pPr>
            <w:r w:rsidRPr="00B71210">
              <w:rPr>
                <w:b/>
                <w:bCs/>
              </w:rPr>
              <w:t>AS/NZS</w:t>
            </w:r>
            <w:r w:rsidR="008E1FF5">
              <w:rPr>
                <w:b/>
                <w:bCs/>
              </w:rPr>
              <w:t xml:space="preserve"> </w:t>
            </w:r>
            <w:r w:rsidRPr="00B71210">
              <w:rPr>
                <w:b/>
                <w:bCs/>
              </w:rPr>
              <w:t>1067</w:t>
            </w:r>
            <w:r w:rsidR="00A43506" w:rsidRPr="00B71210">
              <w:rPr>
                <w:b/>
                <w:bCs/>
              </w:rPr>
              <w:t>:2003</w:t>
            </w:r>
          </w:p>
        </w:tc>
        <w:tc>
          <w:tcPr>
            <w:tcW w:w="6866" w:type="dxa"/>
            <w:shd w:val="clear" w:color="auto" w:fill="auto"/>
            <w:vAlign w:val="center"/>
          </w:tcPr>
          <w:p w:rsidR="00A10CFD" w:rsidRPr="00B71210" w:rsidRDefault="00C61D35" w:rsidP="00A43506">
            <w:pPr>
              <w:spacing w:after="120"/>
            </w:pPr>
            <w:r w:rsidRPr="00B71210">
              <w:t>AS/NZS</w:t>
            </w:r>
            <w:r w:rsidR="008E1FF5">
              <w:t xml:space="preserve"> </w:t>
            </w:r>
            <w:r w:rsidRPr="00B71210">
              <w:t xml:space="preserve">1067:2003 </w:t>
            </w:r>
            <w:r w:rsidR="00400CF9" w:rsidRPr="00B71210">
              <w:rPr>
                <w:i/>
              </w:rPr>
              <w:t>Eye &amp; face protection - sunglasses &amp; fashion spectacles</w:t>
            </w:r>
          </w:p>
        </w:tc>
      </w:tr>
      <w:tr w:rsidR="00A43506" w:rsidRPr="006853FF" w:rsidTr="00804D7E">
        <w:tc>
          <w:tcPr>
            <w:tcW w:w="2376" w:type="dxa"/>
            <w:shd w:val="clear" w:color="auto" w:fill="auto"/>
            <w:vAlign w:val="center"/>
          </w:tcPr>
          <w:p w:rsidR="00A43506" w:rsidRPr="00B71210" w:rsidRDefault="00A43506" w:rsidP="00A43506">
            <w:pPr>
              <w:spacing w:after="120"/>
              <w:rPr>
                <w:b/>
                <w:bCs/>
              </w:rPr>
            </w:pPr>
            <w:r w:rsidRPr="00B71210">
              <w:rPr>
                <w:b/>
                <w:bCs/>
              </w:rPr>
              <w:t>AS/NZS</w:t>
            </w:r>
            <w:r w:rsidR="008E1FF5">
              <w:rPr>
                <w:b/>
                <w:bCs/>
              </w:rPr>
              <w:t xml:space="preserve"> </w:t>
            </w:r>
            <w:r w:rsidRPr="00B71210">
              <w:rPr>
                <w:b/>
                <w:bCs/>
              </w:rPr>
              <w:t>1067.1:2016</w:t>
            </w:r>
          </w:p>
        </w:tc>
        <w:tc>
          <w:tcPr>
            <w:tcW w:w="6866" w:type="dxa"/>
            <w:shd w:val="clear" w:color="auto" w:fill="auto"/>
            <w:vAlign w:val="center"/>
          </w:tcPr>
          <w:p w:rsidR="00A43506" w:rsidRPr="006853FF" w:rsidRDefault="006853FF" w:rsidP="006853FF">
            <w:pPr>
              <w:spacing w:after="120"/>
            </w:pPr>
            <w:r w:rsidRPr="00B71210">
              <w:t>AS/NZS</w:t>
            </w:r>
            <w:r w:rsidR="008E1FF5">
              <w:t xml:space="preserve"> </w:t>
            </w:r>
            <w:r w:rsidRPr="00B71210">
              <w:t xml:space="preserve">1067.1:2016 </w:t>
            </w:r>
            <w:r w:rsidRPr="00B71210">
              <w:rPr>
                <w:i/>
              </w:rPr>
              <w:t>Eye &amp; face protection - sunglasses &amp; fashion spectacles</w:t>
            </w:r>
          </w:p>
        </w:tc>
      </w:tr>
      <w:tr w:rsidR="00A43506" w:rsidTr="00804D7E">
        <w:tc>
          <w:tcPr>
            <w:tcW w:w="2376" w:type="dxa"/>
            <w:shd w:val="clear" w:color="auto" w:fill="auto"/>
            <w:vAlign w:val="center"/>
          </w:tcPr>
          <w:p w:rsidR="00A43506" w:rsidRPr="00B71210" w:rsidRDefault="00A43506" w:rsidP="00804D7E">
            <w:pPr>
              <w:spacing w:after="120"/>
              <w:rPr>
                <w:b/>
                <w:bCs/>
              </w:rPr>
            </w:pPr>
            <w:r w:rsidRPr="00B71210">
              <w:rPr>
                <w:b/>
                <w:bCs/>
              </w:rPr>
              <w:t>AS/NZS</w:t>
            </w:r>
            <w:r w:rsidR="008E1FF5">
              <w:rPr>
                <w:b/>
                <w:bCs/>
              </w:rPr>
              <w:t xml:space="preserve"> </w:t>
            </w:r>
            <w:r w:rsidRPr="00B71210">
              <w:rPr>
                <w:b/>
                <w:bCs/>
              </w:rPr>
              <w:t>1067.2:2016</w:t>
            </w:r>
          </w:p>
        </w:tc>
        <w:tc>
          <w:tcPr>
            <w:tcW w:w="6866" w:type="dxa"/>
            <w:shd w:val="clear" w:color="auto" w:fill="auto"/>
            <w:vAlign w:val="center"/>
          </w:tcPr>
          <w:p w:rsidR="00A43506" w:rsidRPr="00B71210" w:rsidRDefault="006853FF" w:rsidP="00925508">
            <w:pPr>
              <w:spacing w:after="120"/>
            </w:pPr>
            <w:r w:rsidRPr="00B71210">
              <w:t>AS/NZS</w:t>
            </w:r>
            <w:r w:rsidR="008E1FF5">
              <w:t xml:space="preserve"> </w:t>
            </w:r>
            <w:r w:rsidRPr="00B71210">
              <w:t xml:space="preserve">1067.2:2016 </w:t>
            </w:r>
            <w:r w:rsidR="00B343B6" w:rsidRPr="00B71210">
              <w:rPr>
                <w:i/>
              </w:rPr>
              <w:t>Part 2: Test methods</w:t>
            </w:r>
          </w:p>
        </w:tc>
      </w:tr>
      <w:tr w:rsidR="00A10CFD" w:rsidTr="00804D7E">
        <w:tc>
          <w:tcPr>
            <w:tcW w:w="2376" w:type="dxa"/>
            <w:shd w:val="clear" w:color="auto" w:fill="auto"/>
            <w:vAlign w:val="center"/>
          </w:tcPr>
          <w:p w:rsidR="00A10CFD" w:rsidRPr="00B71210" w:rsidRDefault="00C61D35" w:rsidP="00804D7E">
            <w:pPr>
              <w:spacing w:after="120"/>
              <w:rPr>
                <w:b/>
                <w:bCs/>
              </w:rPr>
            </w:pPr>
            <w:r w:rsidRPr="00B71210">
              <w:rPr>
                <w:b/>
                <w:bCs/>
              </w:rPr>
              <w:t>ISO</w:t>
            </w:r>
            <w:r w:rsidR="009214E7" w:rsidRPr="00B71210">
              <w:rPr>
                <w:b/>
                <w:bCs/>
              </w:rPr>
              <w:t xml:space="preserve"> standard</w:t>
            </w:r>
          </w:p>
        </w:tc>
        <w:tc>
          <w:tcPr>
            <w:tcW w:w="6866" w:type="dxa"/>
            <w:shd w:val="clear" w:color="auto" w:fill="auto"/>
            <w:vAlign w:val="center"/>
          </w:tcPr>
          <w:p w:rsidR="00A10CFD" w:rsidRPr="00382011" w:rsidRDefault="00400CF9" w:rsidP="00804D7E">
            <w:pPr>
              <w:spacing w:after="120"/>
              <w:rPr>
                <w:sz w:val="20"/>
                <w:szCs w:val="20"/>
              </w:rPr>
            </w:pPr>
            <w:r w:rsidRPr="0049588C">
              <w:t>ISO 12312-1:2013</w:t>
            </w:r>
            <w:r>
              <w:t xml:space="preserve"> (E)</w:t>
            </w:r>
            <w:r w:rsidRPr="0049588C">
              <w:t xml:space="preserve"> </w:t>
            </w:r>
            <w:r w:rsidRPr="003E6685">
              <w:rPr>
                <w:i/>
              </w:rPr>
              <w:t>Eye and face protection -- Sunglasses and related eyewear -- Part 1: Sunglasses for general use</w:t>
            </w:r>
          </w:p>
        </w:tc>
      </w:tr>
      <w:tr w:rsidR="003E60A5" w:rsidTr="00804D7E">
        <w:tc>
          <w:tcPr>
            <w:tcW w:w="2376" w:type="dxa"/>
            <w:shd w:val="clear" w:color="auto" w:fill="auto"/>
            <w:vAlign w:val="center"/>
          </w:tcPr>
          <w:p w:rsidR="003E60A5" w:rsidRPr="00B71210" w:rsidRDefault="003E60A5" w:rsidP="00804D7E">
            <w:pPr>
              <w:spacing w:after="120"/>
              <w:rPr>
                <w:b/>
                <w:bCs/>
              </w:rPr>
            </w:pPr>
            <w:r w:rsidRPr="00B71210">
              <w:rPr>
                <w:b/>
                <w:bCs/>
              </w:rPr>
              <w:t>nm</w:t>
            </w:r>
          </w:p>
        </w:tc>
        <w:tc>
          <w:tcPr>
            <w:tcW w:w="6866" w:type="dxa"/>
            <w:shd w:val="clear" w:color="auto" w:fill="auto"/>
            <w:vAlign w:val="center"/>
          </w:tcPr>
          <w:p w:rsidR="003E60A5" w:rsidRPr="00B71210" w:rsidRDefault="003E60A5" w:rsidP="003E60A5">
            <w:pPr>
              <w:spacing w:after="120"/>
            </w:pPr>
            <w:r w:rsidRPr="00B71210">
              <w:t>Nanometre – 10</w:t>
            </w:r>
            <w:r w:rsidRPr="00B71210">
              <w:rPr>
                <w:vertAlign w:val="superscript"/>
              </w:rPr>
              <w:t>-9</w:t>
            </w:r>
            <w:r w:rsidRPr="00B71210">
              <w:t xml:space="preserve"> metres</w:t>
            </w:r>
          </w:p>
        </w:tc>
      </w:tr>
    </w:tbl>
    <w:p w:rsidR="00A10CFD" w:rsidRDefault="00A10CFD" w:rsidP="00A10CFD"/>
    <w:p w:rsidR="00540674" w:rsidRPr="00540674" w:rsidRDefault="00540674" w:rsidP="00A10CFD">
      <w:pPr>
        <w:spacing w:before="240" w:after="240"/>
        <w:outlineLvl w:val="0"/>
        <w:rPr>
          <w:color w:val="000000"/>
        </w:rPr>
      </w:pPr>
    </w:p>
    <w:sectPr w:rsidR="00540674" w:rsidRPr="00540674" w:rsidSect="00AD0750">
      <w:footerReference w:type="default" r:id="rId18"/>
      <w:footerReference w:type="first" r:id="rId19"/>
      <w:pgSz w:w="11906" w:h="16838"/>
      <w:pgMar w:top="1276"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8BE" w:rsidRDefault="008C38BE" w:rsidP="004B4412">
      <w:pPr>
        <w:spacing w:before="0"/>
      </w:pPr>
      <w:r>
        <w:separator/>
      </w:r>
    </w:p>
  </w:endnote>
  <w:endnote w:type="continuationSeparator" w:id="0">
    <w:p w:rsidR="008C38BE" w:rsidRDefault="008C38BE"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BE" w:rsidRDefault="008C38BE">
    <w:pPr>
      <w:pStyle w:val="Footer"/>
      <w:jc w:val="right"/>
    </w:pPr>
    <w:r>
      <w:fldChar w:fldCharType="begin"/>
    </w:r>
    <w:r>
      <w:instrText xml:space="preserve"> PAGE   \* MERGEFORMAT </w:instrText>
    </w:r>
    <w:r>
      <w:fldChar w:fldCharType="separate"/>
    </w:r>
    <w:r w:rsidR="00672240">
      <w:rPr>
        <w:noProof/>
      </w:rPr>
      <w:t>3</w:t>
    </w:r>
    <w:r>
      <w:rPr>
        <w:noProof/>
      </w:rPr>
      <w:fldChar w:fldCharType="end"/>
    </w:r>
  </w:p>
  <w:p w:rsidR="008C38BE" w:rsidRPr="00586FBE" w:rsidRDefault="008C38BE" w:rsidP="00A10CFD">
    <w:pPr>
      <w:pStyle w:val="Footer"/>
      <w:jc w:val="center"/>
      <w:rPr>
        <w:sz w:val="20"/>
        <w:szCs w:val="20"/>
      </w:rPr>
    </w:pPr>
    <w:r w:rsidRPr="00586FBE">
      <w:rPr>
        <w:sz w:val="20"/>
        <w:szCs w:val="20"/>
      </w:rPr>
      <w:t>Review of th</w:t>
    </w:r>
    <w:r>
      <w:rPr>
        <w:sz w:val="20"/>
        <w:szCs w:val="20"/>
      </w:rPr>
      <w:t>e mandatory safety standard for sunglasses</w:t>
    </w:r>
  </w:p>
  <w:p w:rsidR="008C38BE" w:rsidRDefault="008C38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BE" w:rsidRDefault="008C38BE">
    <w:pPr>
      <w:pStyle w:val="Footer"/>
      <w:jc w:val="right"/>
    </w:pPr>
    <w:r>
      <w:fldChar w:fldCharType="begin"/>
    </w:r>
    <w:r>
      <w:instrText xml:space="preserve"> PAGE   \* MERGEFORMAT </w:instrText>
    </w:r>
    <w:r>
      <w:fldChar w:fldCharType="separate"/>
    </w:r>
    <w:r>
      <w:rPr>
        <w:noProof/>
      </w:rPr>
      <w:t>2</w:t>
    </w:r>
    <w:r>
      <w:rPr>
        <w:noProof/>
      </w:rPr>
      <w:fldChar w:fldCharType="end"/>
    </w:r>
  </w:p>
  <w:p w:rsidR="008C38BE" w:rsidRDefault="008C3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8BE" w:rsidRDefault="008C38BE" w:rsidP="004B4412">
      <w:pPr>
        <w:spacing w:before="0"/>
      </w:pPr>
      <w:r>
        <w:separator/>
      </w:r>
    </w:p>
  </w:footnote>
  <w:footnote w:type="continuationSeparator" w:id="0">
    <w:p w:rsidR="008C38BE" w:rsidRDefault="008C38BE" w:rsidP="004B4412">
      <w:pPr>
        <w:spacing w:before="0"/>
      </w:pPr>
      <w:r>
        <w:continuationSeparator/>
      </w:r>
    </w:p>
  </w:footnote>
  <w:footnote w:id="1">
    <w:p w:rsidR="008C38BE" w:rsidRDefault="008C38BE">
      <w:pPr>
        <w:pStyle w:val="FootnoteText"/>
      </w:pPr>
      <w:r>
        <w:rPr>
          <w:rStyle w:val="FootnoteReference"/>
        </w:rPr>
        <w:footnoteRef/>
      </w:r>
      <w:r>
        <w:t xml:space="preserve"> </w:t>
      </w:r>
      <w:r>
        <w:tab/>
      </w:r>
      <w:hyperlink r:id="rId1" w:history="1">
        <w:r w:rsidR="00992069" w:rsidRPr="00992069">
          <w:rPr>
            <w:rStyle w:val="Hyperlink"/>
            <w:sz w:val="16"/>
          </w:rPr>
          <w:t>www.skincancer.org/prevention/sun-protection/for-your-eyes/the-eyelids-highly-susceptible-to-skin-cancer</w:t>
        </w:r>
      </w:hyperlink>
      <w:r>
        <w:t xml:space="preserve"> accessed 1 August 2016.</w:t>
      </w:r>
    </w:p>
  </w:footnote>
  <w:footnote w:id="2">
    <w:p w:rsidR="002D460E" w:rsidRDefault="002D460E" w:rsidP="002D460E">
      <w:pPr>
        <w:pStyle w:val="FootnoteText"/>
      </w:pPr>
      <w:r>
        <w:rPr>
          <w:rStyle w:val="FootnoteReference"/>
        </w:rPr>
        <w:footnoteRef/>
      </w:r>
      <w:r>
        <w:t xml:space="preserve"> </w:t>
      </w:r>
      <w:r w:rsidR="003464A0">
        <w:tab/>
      </w:r>
      <w:r w:rsidR="00992069">
        <w:t xml:space="preserve">The mandatory standard does not adopt </w:t>
      </w:r>
      <w:r>
        <w:t>Amendment No 1 of 24 June 2009 to AS</w:t>
      </w:r>
      <w:r w:rsidR="00992069">
        <w:t>/</w:t>
      </w:r>
      <w:r>
        <w:t>NZS 1067</w:t>
      </w:r>
      <w:r w:rsidR="00992069">
        <w:t>:</w:t>
      </w:r>
      <w:r>
        <w:t>2003.</w:t>
      </w:r>
    </w:p>
  </w:footnote>
  <w:footnote w:id="3">
    <w:p w:rsidR="008C38BE" w:rsidRDefault="008C38BE" w:rsidP="00056C4F">
      <w:pPr>
        <w:pStyle w:val="FootnoteText"/>
      </w:pPr>
      <w:r>
        <w:rPr>
          <w:rStyle w:val="FootnoteReference"/>
        </w:rPr>
        <w:footnoteRef/>
      </w:r>
      <w:r>
        <w:t xml:space="preserve"> </w:t>
      </w:r>
      <w:r>
        <w:tab/>
        <w:t xml:space="preserve">ACCC, </w:t>
      </w:r>
      <w:r w:rsidRPr="000268CC">
        <w:rPr>
          <w:szCs w:val="16"/>
        </w:rPr>
        <w:t xml:space="preserve">International standards for the safety of consumer products - criteria for acceptance, ACCC policy principles, 22 July 2015, </w:t>
      </w:r>
      <w:hyperlink r:id="rId2" w:history="1">
        <w:r w:rsidRPr="00625A3A">
          <w:rPr>
            <w:rStyle w:val="Hyperlink"/>
            <w:sz w:val="16"/>
            <w:szCs w:val="16"/>
          </w:rPr>
          <w:t>www.productsafety.gov.au/content/index.phtml/itemId/1014180</w:t>
        </w:r>
      </w:hyperlink>
    </w:p>
  </w:footnote>
  <w:footnote w:id="4">
    <w:p w:rsidR="008C38BE" w:rsidRDefault="008C38BE" w:rsidP="00815A04">
      <w:pPr>
        <w:pStyle w:val="FootnoteText"/>
      </w:pPr>
      <w:r>
        <w:rPr>
          <w:rStyle w:val="FootnoteReference"/>
        </w:rPr>
        <w:footnoteRef/>
      </w:r>
      <w:r>
        <w:t xml:space="preserve"> Dain, Stephen and Wood, Joanne and Atchison, David A. (2009)</w:t>
      </w:r>
      <w:r w:rsidRPr="00815A04">
        <w:rPr>
          <w:i/>
        </w:rPr>
        <w:t xml:space="preserve"> Sunglasses, traffic signals, and </w:t>
      </w:r>
      <w:proofErr w:type="spellStart"/>
      <w:r w:rsidRPr="00815A04">
        <w:rPr>
          <w:i/>
        </w:rPr>
        <w:t>color</w:t>
      </w:r>
      <w:proofErr w:type="spellEnd"/>
      <w:r w:rsidRPr="00815A04">
        <w:rPr>
          <w:i/>
        </w:rPr>
        <w:t xml:space="preserve"> vision deficiencies</w:t>
      </w:r>
      <w:r>
        <w:t xml:space="preserve">. Optometry and Vision Science, 86(4). </w:t>
      </w:r>
      <w:proofErr w:type="gramStart"/>
      <w:r>
        <w:t xml:space="preserve">pp. 296-305, </w:t>
      </w:r>
      <w:r w:rsidRPr="00815A04">
        <w:t>American Academy of Optometry</w:t>
      </w:r>
      <w:r>
        <w:t>.</w:t>
      </w:r>
      <w:proofErr w:type="gramEnd"/>
    </w:p>
  </w:footnote>
  <w:footnote w:id="5">
    <w:p w:rsidR="008C38BE" w:rsidRDefault="008C38BE">
      <w:pPr>
        <w:pStyle w:val="FootnoteText"/>
      </w:pPr>
      <w:r>
        <w:rPr>
          <w:rStyle w:val="FootnoteReference"/>
        </w:rPr>
        <w:footnoteRef/>
      </w:r>
      <w:r>
        <w:t xml:space="preserve"> </w:t>
      </w:r>
      <w:hyperlink r:id="rId3" w:history="1">
        <w:r w:rsidRPr="0057632F">
          <w:rPr>
            <w:rStyle w:val="Hyperlink"/>
            <w:sz w:val="16"/>
          </w:rPr>
          <w:t>http://www.visioneyeinstitute.com.au/article/colour-blindness/</w:t>
        </w:r>
      </w:hyperlink>
      <w:r>
        <w:t xml:space="preserve"> accessed 15 August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68875E"/>
    <w:lvl w:ilvl="0">
      <w:start w:val="1"/>
      <w:numFmt w:val="decimal"/>
      <w:pStyle w:val="ListNumber"/>
      <w:lvlText w:val="%1."/>
      <w:lvlJc w:val="left"/>
      <w:pPr>
        <w:tabs>
          <w:tab w:val="num" w:pos="340"/>
        </w:tabs>
        <w:ind w:left="340" w:hanging="340"/>
      </w:pPr>
      <w:rPr>
        <w:rFonts w:hint="default"/>
      </w:rPr>
    </w:lvl>
  </w:abstractNum>
  <w:abstractNum w:abstractNumId="9">
    <w:nsid w:val="04AD21B3"/>
    <w:multiLevelType w:val="hybridMultilevel"/>
    <w:tmpl w:val="278455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056F1087"/>
    <w:multiLevelType w:val="multilevel"/>
    <w:tmpl w:val="050637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7CF3EDC"/>
    <w:multiLevelType w:val="hybridMultilevel"/>
    <w:tmpl w:val="8EDAC5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08B10EFE"/>
    <w:multiLevelType w:val="hybridMultilevel"/>
    <w:tmpl w:val="BAEEEF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131C50D6"/>
    <w:multiLevelType w:val="multilevel"/>
    <w:tmpl w:val="2C80B854"/>
    <w:lvl w:ilvl="0">
      <w:start w:val="5"/>
      <w:numFmt w:val="decimal"/>
      <w:lvlText w:val="%1."/>
      <w:lvlJc w:val="left"/>
      <w:pPr>
        <w:ind w:left="501"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581" w:hanging="144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15">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6">
    <w:nsid w:val="14A82668"/>
    <w:multiLevelType w:val="multilevel"/>
    <w:tmpl w:val="DA381976"/>
    <w:lvl w:ilvl="0">
      <w:start w:val="3"/>
      <w:numFmt w:val="decimal"/>
      <w:lvlText w:val="%1."/>
      <w:lvlJc w:val="left"/>
      <w:pPr>
        <w:ind w:left="844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8">
    <w:nsid w:val="18B220A6"/>
    <w:multiLevelType w:val="multilevel"/>
    <w:tmpl w:val="1F30B864"/>
    <w:lvl w:ilvl="0">
      <w:start w:val="1"/>
      <w:numFmt w:val="bullet"/>
      <w:pStyle w:val="Bulletpoint"/>
      <w:lvlText w:val=""/>
      <w:lvlJc w:val="left"/>
      <w:pPr>
        <w:ind w:left="697" w:hanging="357"/>
      </w:pPr>
      <w:rPr>
        <w:rFonts w:ascii="Symbol" w:hAnsi="Symbol" w:hint="default"/>
      </w:rPr>
    </w:lvl>
    <w:lvl w:ilvl="1">
      <w:start w:val="1"/>
      <w:numFmt w:val="decimal"/>
      <w:lvlText w:val="%1.%2."/>
      <w:lvlJc w:val="left"/>
      <w:pPr>
        <w:ind w:left="1037" w:hanging="357"/>
      </w:pPr>
      <w:rPr>
        <w:rFonts w:hint="default"/>
      </w:rPr>
    </w:lvl>
    <w:lvl w:ilvl="2">
      <w:start w:val="1"/>
      <w:numFmt w:val="decimal"/>
      <w:lvlText w:val="%1.%2.%3."/>
      <w:lvlJc w:val="left"/>
      <w:pPr>
        <w:ind w:left="1377" w:hanging="357"/>
      </w:pPr>
      <w:rPr>
        <w:rFonts w:hint="default"/>
      </w:rPr>
    </w:lvl>
    <w:lvl w:ilvl="3">
      <w:start w:val="1"/>
      <w:numFmt w:val="decimal"/>
      <w:lvlText w:val="%1.%2.%3.%4."/>
      <w:lvlJc w:val="left"/>
      <w:pPr>
        <w:ind w:left="1717" w:hanging="357"/>
      </w:pPr>
      <w:rPr>
        <w:rFonts w:hint="default"/>
      </w:rPr>
    </w:lvl>
    <w:lvl w:ilvl="4">
      <w:start w:val="1"/>
      <w:numFmt w:val="decimal"/>
      <w:lvlText w:val="%1.%2.%3.%4.%5."/>
      <w:lvlJc w:val="left"/>
      <w:pPr>
        <w:ind w:left="2057" w:hanging="357"/>
      </w:pPr>
      <w:rPr>
        <w:rFonts w:hint="default"/>
      </w:rPr>
    </w:lvl>
    <w:lvl w:ilvl="5">
      <w:start w:val="1"/>
      <w:numFmt w:val="decimal"/>
      <w:lvlText w:val="%1.%2.%3.%4.%5.%6."/>
      <w:lvlJc w:val="left"/>
      <w:pPr>
        <w:ind w:left="2397" w:hanging="357"/>
      </w:pPr>
      <w:rPr>
        <w:rFonts w:hint="default"/>
      </w:rPr>
    </w:lvl>
    <w:lvl w:ilvl="6">
      <w:start w:val="1"/>
      <w:numFmt w:val="decimal"/>
      <w:lvlText w:val="%1.%2.%3.%4.%5.%6.%7."/>
      <w:lvlJc w:val="left"/>
      <w:pPr>
        <w:ind w:left="2737" w:hanging="357"/>
      </w:pPr>
      <w:rPr>
        <w:rFonts w:hint="default"/>
      </w:rPr>
    </w:lvl>
    <w:lvl w:ilvl="7">
      <w:start w:val="1"/>
      <w:numFmt w:val="decimal"/>
      <w:lvlText w:val="%1.%2.%3.%4.%5.%6.%7.%8."/>
      <w:lvlJc w:val="left"/>
      <w:pPr>
        <w:ind w:left="3077" w:hanging="357"/>
      </w:pPr>
      <w:rPr>
        <w:rFonts w:hint="default"/>
      </w:rPr>
    </w:lvl>
    <w:lvl w:ilvl="8">
      <w:start w:val="1"/>
      <w:numFmt w:val="decimal"/>
      <w:lvlText w:val="%1.%2.%3.%4.%5.%6.%7.%8.%9."/>
      <w:lvlJc w:val="left"/>
      <w:pPr>
        <w:ind w:left="3417" w:hanging="357"/>
      </w:pPr>
      <w:rPr>
        <w:rFonts w:hint="default"/>
      </w:rPr>
    </w:lvl>
  </w:abstractNum>
  <w:abstractNum w:abstractNumId="19">
    <w:nsid w:val="18F179D2"/>
    <w:multiLevelType w:val="multilevel"/>
    <w:tmpl w:val="FF6A2BA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7E3F16"/>
    <w:multiLevelType w:val="hybridMultilevel"/>
    <w:tmpl w:val="D4EE4E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1C1335D3"/>
    <w:multiLevelType w:val="multilevel"/>
    <w:tmpl w:val="1ECCB9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1D672A00"/>
    <w:multiLevelType w:val="hybridMultilevel"/>
    <w:tmpl w:val="D8967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36C1C95"/>
    <w:multiLevelType w:val="multilevel"/>
    <w:tmpl w:val="DBF602A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2D957374"/>
    <w:multiLevelType w:val="multilevel"/>
    <w:tmpl w:val="053E631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0490F61"/>
    <w:multiLevelType w:val="multilevel"/>
    <w:tmpl w:val="2720526E"/>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7">
    <w:nsid w:val="35F77ECC"/>
    <w:multiLevelType w:val="multilevel"/>
    <w:tmpl w:val="1ECCB9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9">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31">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C272FDE"/>
    <w:multiLevelType w:val="hybridMultilevel"/>
    <w:tmpl w:val="E64CB5D6"/>
    <w:lvl w:ilvl="0" w:tplc="067C0FD6">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4EE02594"/>
    <w:multiLevelType w:val="multilevel"/>
    <w:tmpl w:val="2720526E"/>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516A1D46"/>
    <w:multiLevelType w:val="hybridMultilevel"/>
    <w:tmpl w:val="99BC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587724D"/>
    <w:multiLevelType w:val="multilevel"/>
    <w:tmpl w:val="9552D04C"/>
    <w:lvl w:ilvl="0">
      <w:start w:val="1"/>
      <w:numFmt w:val="bullet"/>
      <w:lvlText w:val=""/>
      <w:lvlJc w:val="left"/>
      <w:pPr>
        <w:ind w:left="697" w:hanging="357"/>
      </w:pPr>
      <w:rPr>
        <w:rFonts w:ascii="Symbol" w:hAnsi="Symbol" w:hint="default"/>
      </w:rPr>
    </w:lvl>
    <w:lvl w:ilvl="1">
      <w:start w:val="1"/>
      <w:numFmt w:val="decimal"/>
      <w:lvlText w:val="%1.%2."/>
      <w:lvlJc w:val="left"/>
      <w:pPr>
        <w:ind w:left="1037" w:hanging="357"/>
      </w:pPr>
      <w:rPr>
        <w:rFonts w:hint="default"/>
      </w:rPr>
    </w:lvl>
    <w:lvl w:ilvl="2">
      <w:start w:val="1"/>
      <w:numFmt w:val="decimal"/>
      <w:lvlText w:val="%1.%2.%3."/>
      <w:lvlJc w:val="left"/>
      <w:pPr>
        <w:ind w:left="1377" w:hanging="357"/>
      </w:pPr>
      <w:rPr>
        <w:rFonts w:hint="default"/>
      </w:rPr>
    </w:lvl>
    <w:lvl w:ilvl="3">
      <w:start w:val="1"/>
      <w:numFmt w:val="decimal"/>
      <w:lvlText w:val="%1.%2.%3.%4."/>
      <w:lvlJc w:val="left"/>
      <w:pPr>
        <w:ind w:left="1717" w:hanging="357"/>
      </w:pPr>
      <w:rPr>
        <w:rFonts w:hint="default"/>
      </w:rPr>
    </w:lvl>
    <w:lvl w:ilvl="4">
      <w:start w:val="1"/>
      <w:numFmt w:val="decimal"/>
      <w:lvlText w:val="%1.%2.%3.%4.%5."/>
      <w:lvlJc w:val="left"/>
      <w:pPr>
        <w:ind w:left="2057" w:hanging="357"/>
      </w:pPr>
      <w:rPr>
        <w:rFonts w:hint="default"/>
      </w:rPr>
    </w:lvl>
    <w:lvl w:ilvl="5">
      <w:start w:val="1"/>
      <w:numFmt w:val="decimal"/>
      <w:lvlText w:val="%1.%2.%3.%4.%5.%6."/>
      <w:lvlJc w:val="left"/>
      <w:pPr>
        <w:ind w:left="2397" w:hanging="357"/>
      </w:pPr>
      <w:rPr>
        <w:rFonts w:hint="default"/>
      </w:rPr>
    </w:lvl>
    <w:lvl w:ilvl="6">
      <w:start w:val="1"/>
      <w:numFmt w:val="decimal"/>
      <w:lvlText w:val="%1.%2.%3.%4.%5.%6.%7."/>
      <w:lvlJc w:val="left"/>
      <w:pPr>
        <w:ind w:left="2737" w:hanging="357"/>
      </w:pPr>
      <w:rPr>
        <w:rFonts w:hint="default"/>
      </w:rPr>
    </w:lvl>
    <w:lvl w:ilvl="7">
      <w:start w:val="1"/>
      <w:numFmt w:val="decimal"/>
      <w:lvlText w:val="%1.%2.%3.%4.%5.%6.%7.%8."/>
      <w:lvlJc w:val="left"/>
      <w:pPr>
        <w:ind w:left="3077" w:hanging="357"/>
      </w:pPr>
      <w:rPr>
        <w:rFonts w:hint="default"/>
      </w:rPr>
    </w:lvl>
    <w:lvl w:ilvl="8">
      <w:start w:val="1"/>
      <w:numFmt w:val="decimal"/>
      <w:lvlText w:val="%1.%2.%3.%4.%5.%6.%7.%8.%9."/>
      <w:lvlJc w:val="left"/>
      <w:pPr>
        <w:ind w:left="3417" w:hanging="357"/>
      </w:pPr>
      <w:rPr>
        <w:rFonts w:hint="default"/>
      </w:rPr>
    </w:lvl>
  </w:abstractNum>
  <w:abstractNum w:abstractNumId="36">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37">
    <w:nsid w:val="5BF215C9"/>
    <w:multiLevelType w:val="multilevel"/>
    <w:tmpl w:val="DBF602AE"/>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41">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42">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43">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44">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5">
    <w:nsid w:val="7E2819EC"/>
    <w:multiLevelType w:val="multilevel"/>
    <w:tmpl w:val="9552D04C"/>
    <w:lvl w:ilvl="0">
      <w:start w:val="1"/>
      <w:numFmt w:val="bullet"/>
      <w:lvlText w:val=""/>
      <w:lvlJc w:val="left"/>
      <w:pPr>
        <w:ind w:left="697" w:hanging="357"/>
      </w:pPr>
      <w:rPr>
        <w:rFonts w:ascii="Symbol" w:hAnsi="Symbol" w:hint="default"/>
      </w:rPr>
    </w:lvl>
    <w:lvl w:ilvl="1">
      <w:start w:val="1"/>
      <w:numFmt w:val="decimal"/>
      <w:lvlText w:val="%1.%2."/>
      <w:lvlJc w:val="left"/>
      <w:pPr>
        <w:ind w:left="1037" w:hanging="357"/>
      </w:pPr>
      <w:rPr>
        <w:rFonts w:hint="default"/>
      </w:rPr>
    </w:lvl>
    <w:lvl w:ilvl="2">
      <w:start w:val="1"/>
      <w:numFmt w:val="decimal"/>
      <w:lvlText w:val="%1.%2.%3."/>
      <w:lvlJc w:val="left"/>
      <w:pPr>
        <w:ind w:left="1377" w:hanging="357"/>
      </w:pPr>
      <w:rPr>
        <w:rFonts w:hint="default"/>
      </w:rPr>
    </w:lvl>
    <w:lvl w:ilvl="3">
      <w:start w:val="1"/>
      <w:numFmt w:val="decimal"/>
      <w:lvlText w:val="%1.%2.%3.%4."/>
      <w:lvlJc w:val="left"/>
      <w:pPr>
        <w:ind w:left="1717" w:hanging="357"/>
      </w:pPr>
      <w:rPr>
        <w:rFonts w:hint="default"/>
      </w:rPr>
    </w:lvl>
    <w:lvl w:ilvl="4">
      <w:start w:val="1"/>
      <w:numFmt w:val="decimal"/>
      <w:lvlText w:val="%1.%2.%3.%4.%5."/>
      <w:lvlJc w:val="left"/>
      <w:pPr>
        <w:ind w:left="2057" w:hanging="357"/>
      </w:pPr>
      <w:rPr>
        <w:rFonts w:hint="default"/>
      </w:rPr>
    </w:lvl>
    <w:lvl w:ilvl="5">
      <w:start w:val="1"/>
      <w:numFmt w:val="decimal"/>
      <w:lvlText w:val="%1.%2.%3.%4.%5.%6."/>
      <w:lvlJc w:val="left"/>
      <w:pPr>
        <w:ind w:left="2397" w:hanging="357"/>
      </w:pPr>
      <w:rPr>
        <w:rFonts w:hint="default"/>
      </w:rPr>
    </w:lvl>
    <w:lvl w:ilvl="6">
      <w:start w:val="1"/>
      <w:numFmt w:val="decimal"/>
      <w:lvlText w:val="%1.%2.%3.%4.%5.%6.%7."/>
      <w:lvlJc w:val="left"/>
      <w:pPr>
        <w:ind w:left="2737" w:hanging="357"/>
      </w:pPr>
      <w:rPr>
        <w:rFonts w:hint="default"/>
      </w:rPr>
    </w:lvl>
    <w:lvl w:ilvl="7">
      <w:start w:val="1"/>
      <w:numFmt w:val="decimal"/>
      <w:lvlText w:val="%1.%2.%3.%4.%5.%6.%7.%8."/>
      <w:lvlJc w:val="left"/>
      <w:pPr>
        <w:ind w:left="3077" w:hanging="357"/>
      </w:pPr>
      <w:rPr>
        <w:rFonts w:hint="default"/>
      </w:rPr>
    </w:lvl>
    <w:lvl w:ilvl="8">
      <w:start w:val="1"/>
      <w:numFmt w:val="decimal"/>
      <w:lvlText w:val="%1.%2.%3.%4.%5.%6.%7.%8.%9."/>
      <w:lvlJc w:val="left"/>
      <w:pPr>
        <w:ind w:left="3417" w:hanging="357"/>
      </w:pPr>
      <w:rPr>
        <w:rFonts w:hint="default"/>
      </w:rPr>
    </w:lvl>
  </w:abstractNum>
  <w:num w:numId="1">
    <w:abstractNumId w:val="15"/>
  </w:num>
  <w:num w:numId="2">
    <w:abstractNumId w:val="45"/>
  </w:num>
  <w:num w:numId="3">
    <w:abstractNumId w:val="7"/>
  </w:num>
  <w:num w:numId="4">
    <w:abstractNumId w:val="6"/>
  </w:num>
  <w:num w:numId="5">
    <w:abstractNumId w:val="5"/>
  </w:num>
  <w:num w:numId="6">
    <w:abstractNumId w:val="4"/>
  </w:num>
  <w:num w:numId="7">
    <w:abstractNumId w:val="1"/>
  </w:num>
  <w:num w:numId="8">
    <w:abstractNumId w:val="0"/>
  </w:num>
  <w:num w:numId="9">
    <w:abstractNumId w:val="40"/>
  </w:num>
  <w:num w:numId="10">
    <w:abstractNumId w:val="29"/>
  </w:num>
  <w:num w:numId="11">
    <w:abstractNumId w:val="13"/>
  </w:num>
  <w:num w:numId="12">
    <w:abstractNumId w:val="28"/>
  </w:num>
  <w:num w:numId="13">
    <w:abstractNumId w:val="2"/>
  </w:num>
  <w:num w:numId="14">
    <w:abstractNumId w:val="41"/>
  </w:num>
  <w:num w:numId="15">
    <w:abstractNumId w:val="44"/>
  </w:num>
  <w:num w:numId="16">
    <w:abstractNumId w:val="43"/>
  </w:num>
  <w:num w:numId="17">
    <w:abstractNumId w:val="36"/>
  </w:num>
  <w:num w:numId="18">
    <w:abstractNumId w:val="26"/>
  </w:num>
  <w:num w:numId="19">
    <w:abstractNumId w:val="30"/>
  </w:num>
  <w:num w:numId="20">
    <w:abstractNumId w:val="42"/>
  </w:num>
  <w:num w:numId="21">
    <w:abstractNumId w:val="38"/>
  </w:num>
  <w:num w:numId="22">
    <w:abstractNumId w:val="8"/>
  </w:num>
  <w:num w:numId="23">
    <w:abstractNumId w:val="3"/>
  </w:num>
  <w:num w:numId="24">
    <w:abstractNumId w:val="31"/>
  </w:num>
  <w:num w:numId="25">
    <w:abstractNumId w:val="17"/>
  </w:num>
  <w:num w:numId="26">
    <w:abstractNumId w:val="39"/>
  </w:num>
  <w:num w:numId="27">
    <w:abstractNumId w:val="19"/>
  </w:num>
  <w:num w:numId="28">
    <w:abstractNumId w:val="14"/>
  </w:num>
  <w:num w:numId="29">
    <w:abstractNumId w:val="34"/>
  </w:num>
  <w:num w:numId="30">
    <w:abstractNumId w:val="23"/>
  </w:num>
  <w:num w:numId="31">
    <w:abstractNumId w:val="20"/>
  </w:num>
  <w:num w:numId="32">
    <w:abstractNumId w:val="21"/>
  </w:num>
  <w:num w:numId="33">
    <w:abstractNumId w:val="27"/>
  </w:num>
  <w:num w:numId="34">
    <w:abstractNumId w:val="10"/>
  </w:num>
  <w:num w:numId="35">
    <w:abstractNumId w:val="24"/>
  </w:num>
  <w:num w:numId="36">
    <w:abstractNumId w:val="32"/>
  </w:num>
  <w:num w:numId="37">
    <w:abstractNumId w:val="37"/>
  </w:num>
  <w:num w:numId="38">
    <w:abstractNumId w:val="33"/>
  </w:num>
  <w:num w:numId="39">
    <w:abstractNumId w:val="9"/>
  </w:num>
  <w:num w:numId="40">
    <w:abstractNumId w:val="22"/>
  </w:num>
  <w:num w:numId="41">
    <w:abstractNumId w:val="11"/>
  </w:num>
  <w:num w:numId="42">
    <w:abstractNumId w:val="12"/>
  </w:num>
  <w:num w:numId="43">
    <w:abstractNumId w:val="16"/>
  </w:num>
  <w:num w:numId="44">
    <w:abstractNumId w:val="25"/>
  </w:num>
  <w:num w:numId="45">
    <w:abstractNumId w:val="18"/>
  </w:num>
  <w:num w:numId="46">
    <w:abstractNumId w:val="35"/>
  </w:num>
  <w:num w:numId="47">
    <w:abstractNumId w:val="18"/>
  </w:num>
  <w:num w:numId="48">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NotTrackMoves/>
  <w:defaultTabStop w:val="340"/>
  <w:characterSpacingControl w:val="doNotCompress"/>
  <w:hdrShapeDefaults>
    <o:shapedefaults v:ext="edit" spidmax="1812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H:\trimdata\TRIM\TEMP\HPTRIM.8484\D16 131192  CPS - SP Standard Review Consultation Paper - Sunglasses - (Final) (Supersedes D16 115540).DOCX"/>
  </w:docVars>
  <w:rsids>
    <w:rsidRoot w:val="00935D49"/>
    <w:rsid w:val="00004E4F"/>
    <w:rsid w:val="00005966"/>
    <w:rsid w:val="00006140"/>
    <w:rsid w:val="000122BA"/>
    <w:rsid w:val="000123DD"/>
    <w:rsid w:val="00014359"/>
    <w:rsid w:val="00016D93"/>
    <w:rsid w:val="00017DA1"/>
    <w:rsid w:val="0002115F"/>
    <w:rsid w:val="00021202"/>
    <w:rsid w:val="000225C4"/>
    <w:rsid w:val="00023EAC"/>
    <w:rsid w:val="00026086"/>
    <w:rsid w:val="0003050E"/>
    <w:rsid w:val="00033A6D"/>
    <w:rsid w:val="00033E57"/>
    <w:rsid w:val="0003578C"/>
    <w:rsid w:val="00035886"/>
    <w:rsid w:val="000415DA"/>
    <w:rsid w:val="00052D2C"/>
    <w:rsid w:val="00053EB8"/>
    <w:rsid w:val="00053F7C"/>
    <w:rsid w:val="00056C4F"/>
    <w:rsid w:val="00063247"/>
    <w:rsid w:val="00063F9F"/>
    <w:rsid w:val="000643B6"/>
    <w:rsid w:val="00070F9F"/>
    <w:rsid w:val="0007137B"/>
    <w:rsid w:val="00084813"/>
    <w:rsid w:val="00085663"/>
    <w:rsid w:val="00085EBF"/>
    <w:rsid w:val="00093119"/>
    <w:rsid w:val="000A1304"/>
    <w:rsid w:val="000A4FA8"/>
    <w:rsid w:val="000A625E"/>
    <w:rsid w:val="000B66DD"/>
    <w:rsid w:val="000C16A1"/>
    <w:rsid w:val="000C5EE8"/>
    <w:rsid w:val="000C6D5B"/>
    <w:rsid w:val="000D122C"/>
    <w:rsid w:val="000D3868"/>
    <w:rsid w:val="000D4ACD"/>
    <w:rsid w:val="000D65D2"/>
    <w:rsid w:val="000D72BE"/>
    <w:rsid w:val="000D7C9A"/>
    <w:rsid w:val="000E0926"/>
    <w:rsid w:val="000E1819"/>
    <w:rsid w:val="000E4338"/>
    <w:rsid w:val="000E57D9"/>
    <w:rsid w:val="000E6C72"/>
    <w:rsid w:val="000E7F3F"/>
    <w:rsid w:val="000F1573"/>
    <w:rsid w:val="000F2368"/>
    <w:rsid w:val="000F349F"/>
    <w:rsid w:val="00102C0C"/>
    <w:rsid w:val="00102C69"/>
    <w:rsid w:val="001149A6"/>
    <w:rsid w:val="00116EB2"/>
    <w:rsid w:val="0011768F"/>
    <w:rsid w:val="0012155D"/>
    <w:rsid w:val="00124609"/>
    <w:rsid w:val="00125BA1"/>
    <w:rsid w:val="00132DAF"/>
    <w:rsid w:val="00134466"/>
    <w:rsid w:val="001417FE"/>
    <w:rsid w:val="00146256"/>
    <w:rsid w:val="00146A47"/>
    <w:rsid w:val="00147F1E"/>
    <w:rsid w:val="00150167"/>
    <w:rsid w:val="001573E4"/>
    <w:rsid w:val="00160756"/>
    <w:rsid w:val="00166B41"/>
    <w:rsid w:val="0017232E"/>
    <w:rsid w:val="00172B84"/>
    <w:rsid w:val="00173FF2"/>
    <w:rsid w:val="00174102"/>
    <w:rsid w:val="00174935"/>
    <w:rsid w:val="00174DB4"/>
    <w:rsid w:val="00180157"/>
    <w:rsid w:val="00180E2D"/>
    <w:rsid w:val="00181223"/>
    <w:rsid w:val="0018287A"/>
    <w:rsid w:val="00183645"/>
    <w:rsid w:val="001856BE"/>
    <w:rsid w:val="00186F77"/>
    <w:rsid w:val="00187BA3"/>
    <w:rsid w:val="001913A0"/>
    <w:rsid w:val="001926A4"/>
    <w:rsid w:val="001936BA"/>
    <w:rsid w:val="00193922"/>
    <w:rsid w:val="00195D8C"/>
    <w:rsid w:val="001A3A19"/>
    <w:rsid w:val="001A6DAB"/>
    <w:rsid w:val="001B246B"/>
    <w:rsid w:val="001B313A"/>
    <w:rsid w:val="001B45A0"/>
    <w:rsid w:val="001B65AA"/>
    <w:rsid w:val="001B7A2E"/>
    <w:rsid w:val="001C18EE"/>
    <w:rsid w:val="001C203D"/>
    <w:rsid w:val="001C62C1"/>
    <w:rsid w:val="001D055E"/>
    <w:rsid w:val="001D07BE"/>
    <w:rsid w:val="001D4CDD"/>
    <w:rsid w:val="001D6E42"/>
    <w:rsid w:val="001E4369"/>
    <w:rsid w:val="001F2D29"/>
    <w:rsid w:val="001F2F13"/>
    <w:rsid w:val="001F3AD4"/>
    <w:rsid w:val="001F492E"/>
    <w:rsid w:val="001F6520"/>
    <w:rsid w:val="001F6DA3"/>
    <w:rsid w:val="002008C0"/>
    <w:rsid w:val="002019B5"/>
    <w:rsid w:val="002065B1"/>
    <w:rsid w:val="002124FE"/>
    <w:rsid w:val="00212737"/>
    <w:rsid w:val="002135C9"/>
    <w:rsid w:val="00215EF4"/>
    <w:rsid w:val="0021752D"/>
    <w:rsid w:val="0022438B"/>
    <w:rsid w:val="00224DB9"/>
    <w:rsid w:val="00225425"/>
    <w:rsid w:val="00242590"/>
    <w:rsid w:val="00246408"/>
    <w:rsid w:val="00247779"/>
    <w:rsid w:val="00251745"/>
    <w:rsid w:val="00253DAC"/>
    <w:rsid w:val="00253F53"/>
    <w:rsid w:val="00254537"/>
    <w:rsid w:val="00255616"/>
    <w:rsid w:val="00257109"/>
    <w:rsid w:val="002601F2"/>
    <w:rsid w:val="0026284D"/>
    <w:rsid w:val="00262A59"/>
    <w:rsid w:val="0026378C"/>
    <w:rsid w:val="00263AC0"/>
    <w:rsid w:val="0026661A"/>
    <w:rsid w:val="0026772D"/>
    <w:rsid w:val="002712AA"/>
    <w:rsid w:val="00271931"/>
    <w:rsid w:val="002725A1"/>
    <w:rsid w:val="00272C35"/>
    <w:rsid w:val="00276214"/>
    <w:rsid w:val="0028290F"/>
    <w:rsid w:val="00283E58"/>
    <w:rsid w:val="00285E42"/>
    <w:rsid w:val="00286874"/>
    <w:rsid w:val="00286F5D"/>
    <w:rsid w:val="00291B08"/>
    <w:rsid w:val="002935DA"/>
    <w:rsid w:val="00294726"/>
    <w:rsid w:val="0029535F"/>
    <w:rsid w:val="00296B65"/>
    <w:rsid w:val="00296F53"/>
    <w:rsid w:val="00296F8D"/>
    <w:rsid w:val="00297D3B"/>
    <w:rsid w:val="002A1973"/>
    <w:rsid w:val="002A5B55"/>
    <w:rsid w:val="002A6741"/>
    <w:rsid w:val="002A71AA"/>
    <w:rsid w:val="002A7A15"/>
    <w:rsid w:val="002A7DEF"/>
    <w:rsid w:val="002B19CE"/>
    <w:rsid w:val="002B1ABD"/>
    <w:rsid w:val="002B1BA7"/>
    <w:rsid w:val="002B2200"/>
    <w:rsid w:val="002C0C82"/>
    <w:rsid w:val="002D0C4D"/>
    <w:rsid w:val="002D460E"/>
    <w:rsid w:val="002E067C"/>
    <w:rsid w:val="002E4A3C"/>
    <w:rsid w:val="002F3FAA"/>
    <w:rsid w:val="002F447C"/>
    <w:rsid w:val="002F455D"/>
    <w:rsid w:val="002F7986"/>
    <w:rsid w:val="003001BD"/>
    <w:rsid w:val="00303C4A"/>
    <w:rsid w:val="00304144"/>
    <w:rsid w:val="00304EB9"/>
    <w:rsid w:val="00307F6D"/>
    <w:rsid w:val="003104BA"/>
    <w:rsid w:val="00312DEB"/>
    <w:rsid w:val="003139DB"/>
    <w:rsid w:val="00314196"/>
    <w:rsid w:val="003177A2"/>
    <w:rsid w:val="00317E3B"/>
    <w:rsid w:val="003241F5"/>
    <w:rsid w:val="003271B5"/>
    <w:rsid w:val="003301BA"/>
    <w:rsid w:val="00330715"/>
    <w:rsid w:val="00330CA0"/>
    <w:rsid w:val="00331264"/>
    <w:rsid w:val="0033433E"/>
    <w:rsid w:val="00334C8D"/>
    <w:rsid w:val="00335F4D"/>
    <w:rsid w:val="00340655"/>
    <w:rsid w:val="003459E6"/>
    <w:rsid w:val="003464A0"/>
    <w:rsid w:val="00350ABB"/>
    <w:rsid w:val="00351389"/>
    <w:rsid w:val="003518B3"/>
    <w:rsid w:val="00353DCE"/>
    <w:rsid w:val="00364E4B"/>
    <w:rsid w:val="0036710E"/>
    <w:rsid w:val="00367AAF"/>
    <w:rsid w:val="0037012D"/>
    <w:rsid w:val="003703E4"/>
    <w:rsid w:val="00370B8F"/>
    <w:rsid w:val="00371641"/>
    <w:rsid w:val="00372D9A"/>
    <w:rsid w:val="00374294"/>
    <w:rsid w:val="0037565E"/>
    <w:rsid w:val="0037572F"/>
    <w:rsid w:val="00382011"/>
    <w:rsid w:val="00382184"/>
    <w:rsid w:val="003846F1"/>
    <w:rsid w:val="00392827"/>
    <w:rsid w:val="0039487B"/>
    <w:rsid w:val="0039574F"/>
    <w:rsid w:val="003A0A08"/>
    <w:rsid w:val="003A1334"/>
    <w:rsid w:val="003A4CB3"/>
    <w:rsid w:val="003A53AB"/>
    <w:rsid w:val="003A673F"/>
    <w:rsid w:val="003B334F"/>
    <w:rsid w:val="003B3A60"/>
    <w:rsid w:val="003B5A70"/>
    <w:rsid w:val="003B64FE"/>
    <w:rsid w:val="003C4908"/>
    <w:rsid w:val="003D0732"/>
    <w:rsid w:val="003D45FD"/>
    <w:rsid w:val="003E114F"/>
    <w:rsid w:val="003E349F"/>
    <w:rsid w:val="003E398F"/>
    <w:rsid w:val="003E60A5"/>
    <w:rsid w:val="003E6685"/>
    <w:rsid w:val="003E7D13"/>
    <w:rsid w:val="003E7E2C"/>
    <w:rsid w:val="003F36F0"/>
    <w:rsid w:val="003F604E"/>
    <w:rsid w:val="003F73E5"/>
    <w:rsid w:val="00400CF9"/>
    <w:rsid w:val="004032B5"/>
    <w:rsid w:val="00411DBB"/>
    <w:rsid w:val="0041713D"/>
    <w:rsid w:val="004211D4"/>
    <w:rsid w:val="00421B91"/>
    <w:rsid w:val="00423003"/>
    <w:rsid w:val="00424548"/>
    <w:rsid w:val="00424AE4"/>
    <w:rsid w:val="00425040"/>
    <w:rsid w:val="0043256D"/>
    <w:rsid w:val="00437C4E"/>
    <w:rsid w:val="0044235F"/>
    <w:rsid w:val="00442DFA"/>
    <w:rsid w:val="004438EC"/>
    <w:rsid w:val="00447CD6"/>
    <w:rsid w:val="00451126"/>
    <w:rsid w:val="00453E07"/>
    <w:rsid w:val="00454028"/>
    <w:rsid w:val="0046160D"/>
    <w:rsid w:val="00462F92"/>
    <w:rsid w:val="0046316B"/>
    <w:rsid w:val="00465C89"/>
    <w:rsid w:val="004664A7"/>
    <w:rsid w:val="00475DDE"/>
    <w:rsid w:val="004762F9"/>
    <w:rsid w:val="00477244"/>
    <w:rsid w:val="0047737C"/>
    <w:rsid w:val="004804BE"/>
    <w:rsid w:val="00480B4B"/>
    <w:rsid w:val="00483BD5"/>
    <w:rsid w:val="00485DC4"/>
    <w:rsid w:val="004872AD"/>
    <w:rsid w:val="0049212B"/>
    <w:rsid w:val="00492F94"/>
    <w:rsid w:val="0049588C"/>
    <w:rsid w:val="00496AF8"/>
    <w:rsid w:val="00496C4C"/>
    <w:rsid w:val="00497C7E"/>
    <w:rsid w:val="004A1654"/>
    <w:rsid w:val="004A2306"/>
    <w:rsid w:val="004A35D6"/>
    <w:rsid w:val="004A493D"/>
    <w:rsid w:val="004A6FC9"/>
    <w:rsid w:val="004B0123"/>
    <w:rsid w:val="004B02E6"/>
    <w:rsid w:val="004B0528"/>
    <w:rsid w:val="004B23D6"/>
    <w:rsid w:val="004B4412"/>
    <w:rsid w:val="004B552E"/>
    <w:rsid w:val="004C348C"/>
    <w:rsid w:val="004C3631"/>
    <w:rsid w:val="004C6A5C"/>
    <w:rsid w:val="004D3B5C"/>
    <w:rsid w:val="004D55BA"/>
    <w:rsid w:val="004D6831"/>
    <w:rsid w:val="004D6B0A"/>
    <w:rsid w:val="004E1A12"/>
    <w:rsid w:val="004F0A93"/>
    <w:rsid w:val="004F2078"/>
    <w:rsid w:val="004F268D"/>
    <w:rsid w:val="004F7BFC"/>
    <w:rsid w:val="0050110D"/>
    <w:rsid w:val="00501692"/>
    <w:rsid w:val="00501971"/>
    <w:rsid w:val="005025F3"/>
    <w:rsid w:val="005038DB"/>
    <w:rsid w:val="00505B58"/>
    <w:rsid w:val="0050656C"/>
    <w:rsid w:val="00506A72"/>
    <w:rsid w:val="005073FC"/>
    <w:rsid w:val="00510C04"/>
    <w:rsid w:val="0051245B"/>
    <w:rsid w:val="00515357"/>
    <w:rsid w:val="0052046D"/>
    <w:rsid w:val="0052379B"/>
    <w:rsid w:val="005252D6"/>
    <w:rsid w:val="00530128"/>
    <w:rsid w:val="005304E8"/>
    <w:rsid w:val="00532467"/>
    <w:rsid w:val="00534AEE"/>
    <w:rsid w:val="00540674"/>
    <w:rsid w:val="00542C91"/>
    <w:rsid w:val="00547AC2"/>
    <w:rsid w:val="00547AF3"/>
    <w:rsid w:val="00547BA2"/>
    <w:rsid w:val="00547CCF"/>
    <w:rsid w:val="00550681"/>
    <w:rsid w:val="00551E1B"/>
    <w:rsid w:val="00551E82"/>
    <w:rsid w:val="00554293"/>
    <w:rsid w:val="00555A70"/>
    <w:rsid w:val="00555F84"/>
    <w:rsid w:val="00564A4D"/>
    <w:rsid w:val="0056786E"/>
    <w:rsid w:val="00571801"/>
    <w:rsid w:val="00571B35"/>
    <w:rsid w:val="00571C9F"/>
    <w:rsid w:val="00573932"/>
    <w:rsid w:val="00573D7B"/>
    <w:rsid w:val="00577A09"/>
    <w:rsid w:val="00580B78"/>
    <w:rsid w:val="00581D21"/>
    <w:rsid w:val="005823D9"/>
    <w:rsid w:val="00584D8F"/>
    <w:rsid w:val="00585141"/>
    <w:rsid w:val="00585FB8"/>
    <w:rsid w:val="00587642"/>
    <w:rsid w:val="0059005C"/>
    <w:rsid w:val="005931AD"/>
    <w:rsid w:val="00595360"/>
    <w:rsid w:val="00596D42"/>
    <w:rsid w:val="005A253A"/>
    <w:rsid w:val="005A404D"/>
    <w:rsid w:val="005A58F0"/>
    <w:rsid w:val="005A5BC5"/>
    <w:rsid w:val="005A60B4"/>
    <w:rsid w:val="005A7FFE"/>
    <w:rsid w:val="005B1E3C"/>
    <w:rsid w:val="005B74F1"/>
    <w:rsid w:val="005C13A8"/>
    <w:rsid w:val="005C24AC"/>
    <w:rsid w:val="005C26CC"/>
    <w:rsid w:val="005C59D1"/>
    <w:rsid w:val="005C5F8C"/>
    <w:rsid w:val="005C7264"/>
    <w:rsid w:val="005C7B40"/>
    <w:rsid w:val="005D1342"/>
    <w:rsid w:val="005D1761"/>
    <w:rsid w:val="005D185E"/>
    <w:rsid w:val="005D23DA"/>
    <w:rsid w:val="005D4B28"/>
    <w:rsid w:val="005D5694"/>
    <w:rsid w:val="005E216C"/>
    <w:rsid w:val="005E53E0"/>
    <w:rsid w:val="005E6636"/>
    <w:rsid w:val="005E6C0E"/>
    <w:rsid w:val="005F0B7C"/>
    <w:rsid w:val="005F0D33"/>
    <w:rsid w:val="005F134C"/>
    <w:rsid w:val="005F19B6"/>
    <w:rsid w:val="005F19F6"/>
    <w:rsid w:val="005F26C4"/>
    <w:rsid w:val="00603892"/>
    <w:rsid w:val="00604648"/>
    <w:rsid w:val="00605D6C"/>
    <w:rsid w:val="0061252F"/>
    <w:rsid w:val="00615C6B"/>
    <w:rsid w:val="00617053"/>
    <w:rsid w:val="006313B8"/>
    <w:rsid w:val="00632D6D"/>
    <w:rsid w:val="0063437B"/>
    <w:rsid w:val="00634E46"/>
    <w:rsid w:val="0063778D"/>
    <w:rsid w:val="006417EE"/>
    <w:rsid w:val="00642C3E"/>
    <w:rsid w:val="006456B6"/>
    <w:rsid w:val="00646025"/>
    <w:rsid w:val="006468F8"/>
    <w:rsid w:val="00650DE9"/>
    <w:rsid w:val="00655773"/>
    <w:rsid w:val="00660D0C"/>
    <w:rsid w:val="00663DAD"/>
    <w:rsid w:val="006668D6"/>
    <w:rsid w:val="00672240"/>
    <w:rsid w:val="006749E0"/>
    <w:rsid w:val="00676679"/>
    <w:rsid w:val="00677EDB"/>
    <w:rsid w:val="006839D7"/>
    <w:rsid w:val="006847DF"/>
    <w:rsid w:val="006853FF"/>
    <w:rsid w:val="00687649"/>
    <w:rsid w:val="00691616"/>
    <w:rsid w:val="00692FB2"/>
    <w:rsid w:val="00694802"/>
    <w:rsid w:val="006A1538"/>
    <w:rsid w:val="006A19B3"/>
    <w:rsid w:val="006A312D"/>
    <w:rsid w:val="006A595C"/>
    <w:rsid w:val="006B4CF9"/>
    <w:rsid w:val="006B6636"/>
    <w:rsid w:val="006B6FE1"/>
    <w:rsid w:val="006B78BA"/>
    <w:rsid w:val="006B7AC8"/>
    <w:rsid w:val="006C63D5"/>
    <w:rsid w:val="006C6EAC"/>
    <w:rsid w:val="006C756C"/>
    <w:rsid w:val="006C77DC"/>
    <w:rsid w:val="006D110A"/>
    <w:rsid w:val="006D112C"/>
    <w:rsid w:val="006D550F"/>
    <w:rsid w:val="006D77F3"/>
    <w:rsid w:val="007015B8"/>
    <w:rsid w:val="00701CAB"/>
    <w:rsid w:val="007022AA"/>
    <w:rsid w:val="007051CE"/>
    <w:rsid w:val="00706C4D"/>
    <w:rsid w:val="00707098"/>
    <w:rsid w:val="00707340"/>
    <w:rsid w:val="00707563"/>
    <w:rsid w:val="0071185C"/>
    <w:rsid w:val="00711AFB"/>
    <w:rsid w:val="007123B4"/>
    <w:rsid w:val="0071375D"/>
    <w:rsid w:val="00722AF4"/>
    <w:rsid w:val="0072348C"/>
    <w:rsid w:val="00724A37"/>
    <w:rsid w:val="0072656B"/>
    <w:rsid w:val="00726F0E"/>
    <w:rsid w:val="00727DEF"/>
    <w:rsid w:val="0073035B"/>
    <w:rsid w:val="007303C3"/>
    <w:rsid w:val="00730DCF"/>
    <w:rsid w:val="00732C01"/>
    <w:rsid w:val="00733BE6"/>
    <w:rsid w:val="00733C80"/>
    <w:rsid w:val="007346B8"/>
    <w:rsid w:val="00734AC9"/>
    <w:rsid w:val="00743223"/>
    <w:rsid w:val="007442D9"/>
    <w:rsid w:val="00746E01"/>
    <w:rsid w:val="00747A29"/>
    <w:rsid w:val="007512C9"/>
    <w:rsid w:val="00751696"/>
    <w:rsid w:val="00755613"/>
    <w:rsid w:val="00755C2E"/>
    <w:rsid w:val="007566DC"/>
    <w:rsid w:val="0075688B"/>
    <w:rsid w:val="00757944"/>
    <w:rsid w:val="0076207E"/>
    <w:rsid w:val="00763E5D"/>
    <w:rsid w:val="007652A0"/>
    <w:rsid w:val="0076627B"/>
    <w:rsid w:val="007663B4"/>
    <w:rsid w:val="00766C5E"/>
    <w:rsid w:val="00767740"/>
    <w:rsid w:val="00777EE6"/>
    <w:rsid w:val="00782C4B"/>
    <w:rsid w:val="00782EEA"/>
    <w:rsid w:val="00783000"/>
    <w:rsid w:val="007852DE"/>
    <w:rsid w:val="00785FF4"/>
    <w:rsid w:val="00787463"/>
    <w:rsid w:val="00787889"/>
    <w:rsid w:val="007928AA"/>
    <w:rsid w:val="00797BD2"/>
    <w:rsid w:val="007A6F2A"/>
    <w:rsid w:val="007A7F02"/>
    <w:rsid w:val="007B2C72"/>
    <w:rsid w:val="007B59BD"/>
    <w:rsid w:val="007C0427"/>
    <w:rsid w:val="007C0DFE"/>
    <w:rsid w:val="007C1C53"/>
    <w:rsid w:val="007C3314"/>
    <w:rsid w:val="007C3834"/>
    <w:rsid w:val="007C5BE9"/>
    <w:rsid w:val="007D275E"/>
    <w:rsid w:val="007D3928"/>
    <w:rsid w:val="007D43C1"/>
    <w:rsid w:val="007E1347"/>
    <w:rsid w:val="007E26A9"/>
    <w:rsid w:val="007E2ECF"/>
    <w:rsid w:val="007E4904"/>
    <w:rsid w:val="007E4CB5"/>
    <w:rsid w:val="007E5E03"/>
    <w:rsid w:val="007F066B"/>
    <w:rsid w:val="007F3BFA"/>
    <w:rsid w:val="007F68F7"/>
    <w:rsid w:val="007F6A63"/>
    <w:rsid w:val="008033C4"/>
    <w:rsid w:val="00804060"/>
    <w:rsid w:val="00804D7E"/>
    <w:rsid w:val="00806C88"/>
    <w:rsid w:val="0081018D"/>
    <w:rsid w:val="0081034E"/>
    <w:rsid w:val="00811C01"/>
    <w:rsid w:val="0081524E"/>
    <w:rsid w:val="00815A04"/>
    <w:rsid w:val="00816A49"/>
    <w:rsid w:val="00816CC1"/>
    <w:rsid w:val="008207AF"/>
    <w:rsid w:val="00823BBF"/>
    <w:rsid w:val="00825899"/>
    <w:rsid w:val="00830234"/>
    <w:rsid w:val="008344F6"/>
    <w:rsid w:val="0083510F"/>
    <w:rsid w:val="00836556"/>
    <w:rsid w:val="00836B15"/>
    <w:rsid w:val="00837B2D"/>
    <w:rsid w:val="008404BC"/>
    <w:rsid w:val="00840AF6"/>
    <w:rsid w:val="00841513"/>
    <w:rsid w:val="00842D92"/>
    <w:rsid w:val="00844541"/>
    <w:rsid w:val="00851209"/>
    <w:rsid w:val="00852112"/>
    <w:rsid w:val="00854BF0"/>
    <w:rsid w:val="00854CEE"/>
    <w:rsid w:val="00857EBD"/>
    <w:rsid w:val="00860FAC"/>
    <w:rsid w:val="008619C9"/>
    <w:rsid w:val="0086325C"/>
    <w:rsid w:val="00863CC2"/>
    <w:rsid w:val="00866D34"/>
    <w:rsid w:val="00877D34"/>
    <w:rsid w:val="0088007E"/>
    <w:rsid w:val="00881EDE"/>
    <w:rsid w:val="008823D0"/>
    <w:rsid w:val="0088377C"/>
    <w:rsid w:val="008837AC"/>
    <w:rsid w:val="00890A5A"/>
    <w:rsid w:val="00891595"/>
    <w:rsid w:val="00892093"/>
    <w:rsid w:val="008945B4"/>
    <w:rsid w:val="0089538C"/>
    <w:rsid w:val="008A2330"/>
    <w:rsid w:val="008A587D"/>
    <w:rsid w:val="008A7E47"/>
    <w:rsid w:val="008B0088"/>
    <w:rsid w:val="008B3349"/>
    <w:rsid w:val="008B5B08"/>
    <w:rsid w:val="008B62D6"/>
    <w:rsid w:val="008C16BB"/>
    <w:rsid w:val="008C38BE"/>
    <w:rsid w:val="008C5486"/>
    <w:rsid w:val="008D0743"/>
    <w:rsid w:val="008D48E3"/>
    <w:rsid w:val="008D5626"/>
    <w:rsid w:val="008E1FF5"/>
    <w:rsid w:val="008E641B"/>
    <w:rsid w:val="008E7031"/>
    <w:rsid w:val="008E7ECD"/>
    <w:rsid w:val="008F34C2"/>
    <w:rsid w:val="008F7CD3"/>
    <w:rsid w:val="00906798"/>
    <w:rsid w:val="00907A91"/>
    <w:rsid w:val="009120A1"/>
    <w:rsid w:val="00913E47"/>
    <w:rsid w:val="00915DCD"/>
    <w:rsid w:val="009214E7"/>
    <w:rsid w:val="00921DE8"/>
    <w:rsid w:val="00922C95"/>
    <w:rsid w:val="009233EE"/>
    <w:rsid w:val="00925508"/>
    <w:rsid w:val="00935D49"/>
    <w:rsid w:val="00941858"/>
    <w:rsid w:val="00942E10"/>
    <w:rsid w:val="00943796"/>
    <w:rsid w:val="009439A6"/>
    <w:rsid w:val="00943AEA"/>
    <w:rsid w:val="00944DB2"/>
    <w:rsid w:val="009453F9"/>
    <w:rsid w:val="00947513"/>
    <w:rsid w:val="00955269"/>
    <w:rsid w:val="00955E60"/>
    <w:rsid w:val="0095683B"/>
    <w:rsid w:val="0095704E"/>
    <w:rsid w:val="009661DE"/>
    <w:rsid w:val="00967670"/>
    <w:rsid w:val="00967C14"/>
    <w:rsid w:val="00971C4D"/>
    <w:rsid w:val="00972E73"/>
    <w:rsid w:val="00972EE9"/>
    <w:rsid w:val="00977B38"/>
    <w:rsid w:val="00977F0E"/>
    <w:rsid w:val="00980F47"/>
    <w:rsid w:val="009814BE"/>
    <w:rsid w:val="009827EB"/>
    <w:rsid w:val="00984235"/>
    <w:rsid w:val="009856B7"/>
    <w:rsid w:val="0098602B"/>
    <w:rsid w:val="00991B3B"/>
    <w:rsid w:val="00992069"/>
    <w:rsid w:val="00993BF6"/>
    <w:rsid w:val="0099438B"/>
    <w:rsid w:val="009962BA"/>
    <w:rsid w:val="009A3DE4"/>
    <w:rsid w:val="009B254D"/>
    <w:rsid w:val="009B72E4"/>
    <w:rsid w:val="009B74B0"/>
    <w:rsid w:val="009C1EAE"/>
    <w:rsid w:val="009C2938"/>
    <w:rsid w:val="009C4A7F"/>
    <w:rsid w:val="009C6F21"/>
    <w:rsid w:val="009D0899"/>
    <w:rsid w:val="009D4414"/>
    <w:rsid w:val="009D4EFD"/>
    <w:rsid w:val="009D6B46"/>
    <w:rsid w:val="009E11DD"/>
    <w:rsid w:val="009E5FC7"/>
    <w:rsid w:val="009E62C6"/>
    <w:rsid w:val="009E7EEA"/>
    <w:rsid w:val="009F4940"/>
    <w:rsid w:val="009F4EB3"/>
    <w:rsid w:val="009F77DD"/>
    <w:rsid w:val="00A037E9"/>
    <w:rsid w:val="00A07259"/>
    <w:rsid w:val="00A07335"/>
    <w:rsid w:val="00A10CFD"/>
    <w:rsid w:val="00A15600"/>
    <w:rsid w:val="00A1665B"/>
    <w:rsid w:val="00A22CEF"/>
    <w:rsid w:val="00A24C82"/>
    <w:rsid w:val="00A256E2"/>
    <w:rsid w:val="00A26920"/>
    <w:rsid w:val="00A31D68"/>
    <w:rsid w:val="00A37CE5"/>
    <w:rsid w:val="00A407FB"/>
    <w:rsid w:val="00A43506"/>
    <w:rsid w:val="00A4478A"/>
    <w:rsid w:val="00A44852"/>
    <w:rsid w:val="00A4610B"/>
    <w:rsid w:val="00A478CF"/>
    <w:rsid w:val="00A47C24"/>
    <w:rsid w:val="00A506AF"/>
    <w:rsid w:val="00A50C1F"/>
    <w:rsid w:val="00A51F53"/>
    <w:rsid w:val="00A5373D"/>
    <w:rsid w:val="00A57D04"/>
    <w:rsid w:val="00A60A26"/>
    <w:rsid w:val="00A61598"/>
    <w:rsid w:val="00A62CC1"/>
    <w:rsid w:val="00A634E8"/>
    <w:rsid w:val="00A6611D"/>
    <w:rsid w:val="00A6693D"/>
    <w:rsid w:val="00A66D3E"/>
    <w:rsid w:val="00A67030"/>
    <w:rsid w:val="00A70CBA"/>
    <w:rsid w:val="00A736A8"/>
    <w:rsid w:val="00A77DC2"/>
    <w:rsid w:val="00A80BBF"/>
    <w:rsid w:val="00A81761"/>
    <w:rsid w:val="00A81A8A"/>
    <w:rsid w:val="00A84F46"/>
    <w:rsid w:val="00A871F4"/>
    <w:rsid w:val="00A911FC"/>
    <w:rsid w:val="00A92F23"/>
    <w:rsid w:val="00A95514"/>
    <w:rsid w:val="00AA36E7"/>
    <w:rsid w:val="00AA51E0"/>
    <w:rsid w:val="00AB310D"/>
    <w:rsid w:val="00AB49E1"/>
    <w:rsid w:val="00AB4B90"/>
    <w:rsid w:val="00AB537D"/>
    <w:rsid w:val="00AB6528"/>
    <w:rsid w:val="00AC0ACA"/>
    <w:rsid w:val="00AC1AA6"/>
    <w:rsid w:val="00AC1B2C"/>
    <w:rsid w:val="00AC1FB8"/>
    <w:rsid w:val="00AC3264"/>
    <w:rsid w:val="00AC3378"/>
    <w:rsid w:val="00AC6F01"/>
    <w:rsid w:val="00AC7784"/>
    <w:rsid w:val="00AD0750"/>
    <w:rsid w:val="00AD0B30"/>
    <w:rsid w:val="00AD16C0"/>
    <w:rsid w:val="00AD24CF"/>
    <w:rsid w:val="00AD3382"/>
    <w:rsid w:val="00AE0FE2"/>
    <w:rsid w:val="00AE16B5"/>
    <w:rsid w:val="00AE1BF1"/>
    <w:rsid w:val="00AE269D"/>
    <w:rsid w:val="00AE5048"/>
    <w:rsid w:val="00AF0DD2"/>
    <w:rsid w:val="00AF2073"/>
    <w:rsid w:val="00AF29ED"/>
    <w:rsid w:val="00B07BBE"/>
    <w:rsid w:val="00B10314"/>
    <w:rsid w:val="00B10E48"/>
    <w:rsid w:val="00B12C0A"/>
    <w:rsid w:val="00B13048"/>
    <w:rsid w:val="00B145BE"/>
    <w:rsid w:val="00B15998"/>
    <w:rsid w:val="00B16838"/>
    <w:rsid w:val="00B1716D"/>
    <w:rsid w:val="00B17A1D"/>
    <w:rsid w:val="00B207A0"/>
    <w:rsid w:val="00B20A46"/>
    <w:rsid w:val="00B23856"/>
    <w:rsid w:val="00B26B6F"/>
    <w:rsid w:val="00B279DD"/>
    <w:rsid w:val="00B31BF6"/>
    <w:rsid w:val="00B31FB7"/>
    <w:rsid w:val="00B343B6"/>
    <w:rsid w:val="00B503C5"/>
    <w:rsid w:val="00B50BC9"/>
    <w:rsid w:val="00B54278"/>
    <w:rsid w:val="00B55E50"/>
    <w:rsid w:val="00B56E03"/>
    <w:rsid w:val="00B60F5D"/>
    <w:rsid w:val="00B60F8A"/>
    <w:rsid w:val="00B61D85"/>
    <w:rsid w:val="00B636D5"/>
    <w:rsid w:val="00B6475E"/>
    <w:rsid w:val="00B67E91"/>
    <w:rsid w:val="00B71210"/>
    <w:rsid w:val="00B71EF9"/>
    <w:rsid w:val="00B73C53"/>
    <w:rsid w:val="00B7480F"/>
    <w:rsid w:val="00B76790"/>
    <w:rsid w:val="00B8080B"/>
    <w:rsid w:val="00B81452"/>
    <w:rsid w:val="00B87C39"/>
    <w:rsid w:val="00B87D2F"/>
    <w:rsid w:val="00B951CE"/>
    <w:rsid w:val="00B97D27"/>
    <w:rsid w:val="00BA1262"/>
    <w:rsid w:val="00BA4665"/>
    <w:rsid w:val="00BA5784"/>
    <w:rsid w:val="00BB2965"/>
    <w:rsid w:val="00BB2BE7"/>
    <w:rsid w:val="00BB2FB2"/>
    <w:rsid w:val="00BB3304"/>
    <w:rsid w:val="00BB429F"/>
    <w:rsid w:val="00BC4A98"/>
    <w:rsid w:val="00BC4E36"/>
    <w:rsid w:val="00BD204E"/>
    <w:rsid w:val="00BD246B"/>
    <w:rsid w:val="00BD2F0F"/>
    <w:rsid w:val="00BD3446"/>
    <w:rsid w:val="00BD4AEE"/>
    <w:rsid w:val="00BD4D0C"/>
    <w:rsid w:val="00BD4F7D"/>
    <w:rsid w:val="00BE09EE"/>
    <w:rsid w:val="00BE0A1D"/>
    <w:rsid w:val="00BE1F1B"/>
    <w:rsid w:val="00BE3C42"/>
    <w:rsid w:val="00BE47B5"/>
    <w:rsid w:val="00BE4C99"/>
    <w:rsid w:val="00BF1FFB"/>
    <w:rsid w:val="00BF3ED7"/>
    <w:rsid w:val="00BF661B"/>
    <w:rsid w:val="00C058AB"/>
    <w:rsid w:val="00C06739"/>
    <w:rsid w:val="00C14382"/>
    <w:rsid w:val="00C144E0"/>
    <w:rsid w:val="00C14D84"/>
    <w:rsid w:val="00C16994"/>
    <w:rsid w:val="00C17052"/>
    <w:rsid w:val="00C2220B"/>
    <w:rsid w:val="00C23298"/>
    <w:rsid w:val="00C25279"/>
    <w:rsid w:val="00C25A65"/>
    <w:rsid w:val="00C305CD"/>
    <w:rsid w:val="00C34CF8"/>
    <w:rsid w:val="00C35A55"/>
    <w:rsid w:val="00C36573"/>
    <w:rsid w:val="00C369F4"/>
    <w:rsid w:val="00C410E3"/>
    <w:rsid w:val="00C412AB"/>
    <w:rsid w:val="00C4151B"/>
    <w:rsid w:val="00C538A9"/>
    <w:rsid w:val="00C53B5A"/>
    <w:rsid w:val="00C54F5A"/>
    <w:rsid w:val="00C56453"/>
    <w:rsid w:val="00C61D35"/>
    <w:rsid w:val="00C6681E"/>
    <w:rsid w:val="00C71291"/>
    <w:rsid w:val="00C72C99"/>
    <w:rsid w:val="00C755AD"/>
    <w:rsid w:val="00C8175E"/>
    <w:rsid w:val="00C8389C"/>
    <w:rsid w:val="00C86679"/>
    <w:rsid w:val="00C93DC7"/>
    <w:rsid w:val="00C959DF"/>
    <w:rsid w:val="00C96F55"/>
    <w:rsid w:val="00CA130D"/>
    <w:rsid w:val="00CA257C"/>
    <w:rsid w:val="00CA2F26"/>
    <w:rsid w:val="00CA37CA"/>
    <w:rsid w:val="00CB0F0C"/>
    <w:rsid w:val="00CB666B"/>
    <w:rsid w:val="00CB75D7"/>
    <w:rsid w:val="00CB7638"/>
    <w:rsid w:val="00CC2659"/>
    <w:rsid w:val="00CC75B7"/>
    <w:rsid w:val="00CD1AC8"/>
    <w:rsid w:val="00CD252C"/>
    <w:rsid w:val="00CD262E"/>
    <w:rsid w:val="00CD443A"/>
    <w:rsid w:val="00CD4F4E"/>
    <w:rsid w:val="00CD614C"/>
    <w:rsid w:val="00CE13DE"/>
    <w:rsid w:val="00CE2D4C"/>
    <w:rsid w:val="00CE6BCF"/>
    <w:rsid w:val="00CF0739"/>
    <w:rsid w:val="00CF23EB"/>
    <w:rsid w:val="00CF361F"/>
    <w:rsid w:val="00CF39BC"/>
    <w:rsid w:val="00CF4762"/>
    <w:rsid w:val="00CF5CF4"/>
    <w:rsid w:val="00CF799E"/>
    <w:rsid w:val="00D0062C"/>
    <w:rsid w:val="00D01A6E"/>
    <w:rsid w:val="00D01CF0"/>
    <w:rsid w:val="00D0253C"/>
    <w:rsid w:val="00D041A0"/>
    <w:rsid w:val="00D0442A"/>
    <w:rsid w:val="00D06837"/>
    <w:rsid w:val="00D07FBB"/>
    <w:rsid w:val="00D106E6"/>
    <w:rsid w:val="00D1293B"/>
    <w:rsid w:val="00D16700"/>
    <w:rsid w:val="00D203E1"/>
    <w:rsid w:val="00D205E8"/>
    <w:rsid w:val="00D20609"/>
    <w:rsid w:val="00D2102F"/>
    <w:rsid w:val="00D25035"/>
    <w:rsid w:val="00D256E0"/>
    <w:rsid w:val="00D25E41"/>
    <w:rsid w:val="00D3614B"/>
    <w:rsid w:val="00D37889"/>
    <w:rsid w:val="00D44E1E"/>
    <w:rsid w:val="00D45479"/>
    <w:rsid w:val="00D45CEF"/>
    <w:rsid w:val="00D46345"/>
    <w:rsid w:val="00D507D3"/>
    <w:rsid w:val="00D52317"/>
    <w:rsid w:val="00D52E21"/>
    <w:rsid w:val="00D530B4"/>
    <w:rsid w:val="00D537C5"/>
    <w:rsid w:val="00D544B8"/>
    <w:rsid w:val="00D5661F"/>
    <w:rsid w:val="00D57582"/>
    <w:rsid w:val="00D61388"/>
    <w:rsid w:val="00D61A54"/>
    <w:rsid w:val="00D64DEA"/>
    <w:rsid w:val="00D65EB4"/>
    <w:rsid w:val="00D73E67"/>
    <w:rsid w:val="00D74E55"/>
    <w:rsid w:val="00D7776D"/>
    <w:rsid w:val="00D80893"/>
    <w:rsid w:val="00D828C1"/>
    <w:rsid w:val="00D829A9"/>
    <w:rsid w:val="00D85E96"/>
    <w:rsid w:val="00D90F43"/>
    <w:rsid w:val="00D92752"/>
    <w:rsid w:val="00D92CF1"/>
    <w:rsid w:val="00D92D38"/>
    <w:rsid w:val="00D94B9E"/>
    <w:rsid w:val="00D950F5"/>
    <w:rsid w:val="00D96549"/>
    <w:rsid w:val="00D965A8"/>
    <w:rsid w:val="00D971DF"/>
    <w:rsid w:val="00DA1099"/>
    <w:rsid w:val="00DA5176"/>
    <w:rsid w:val="00DA6168"/>
    <w:rsid w:val="00DB00D1"/>
    <w:rsid w:val="00DB08B9"/>
    <w:rsid w:val="00DB0F93"/>
    <w:rsid w:val="00DB748C"/>
    <w:rsid w:val="00DC01B3"/>
    <w:rsid w:val="00DC18A0"/>
    <w:rsid w:val="00DC390E"/>
    <w:rsid w:val="00DC542F"/>
    <w:rsid w:val="00DC5EF4"/>
    <w:rsid w:val="00DC65CF"/>
    <w:rsid w:val="00DC7314"/>
    <w:rsid w:val="00DC7981"/>
    <w:rsid w:val="00DD2499"/>
    <w:rsid w:val="00DD5C69"/>
    <w:rsid w:val="00DD7648"/>
    <w:rsid w:val="00DE0450"/>
    <w:rsid w:val="00DE37CD"/>
    <w:rsid w:val="00DE4EFA"/>
    <w:rsid w:val="00DE5520"/>
    <w:rsid w:val="00DE5B43"/>
    <w:rsid w:val="00DE7132"/>
    <w:rsid w:val="00DE7CA0"/>
    <w:rsid w:val="00DF389A"/>
    <w:rsid w:val="00DF79BF"/>
    <w:rsid w:val="00E0130C"/>
    <w:rsid w:val="00E01A14"/>
    <w:rsid w:val="00E0407F"/>
    <w:rsid w:val="00E04818"/>
    <w:rsid w:val="00E06442"/>
    <w:rsid w:val="00E07537"/>
    <w:rsid w:val="00E10E3F"/>
    <w:rsid w:val="00E12412"/>
    <w:rsid w:val="00E16FF7"/>
    <w:rsid w:val="00E22333"/>
    <w:rsid w:val="00E23993"/>
    <w:rsid w:val="00E2546F"/>
    <w:rsid w:val="00E25B8C"/>
    <w:rsid w:val="00E26A12"/>
    <w:rsid w:val="00E303D4"/>
    <w:rsid w:val="00E34830"/>
    <w:rsid w:val="00E35713"/>
    <w:rsid w:val="00E360C6"/>
    <w:rsid w:val="00E4197A"/>
    <w:rsid w:val="00E44210"/>
    <w:rsid w:val="00E44780"/>
    <w:rsid w:val="00E4674F"/>
    <w:rsid w:val="00E50575"/>
    <w:rsid w:val="00E530BF"/>
    <w:rsid w:val="00E532A8"/>
    <w:rsid w:val="00E5501C"/>
    <w:rsid w:val="00E558D7"/>
    <w:rsid w:val="00E55910"/>
    <w:rsid w:val="00E614CF"/>
    <w:rsid w:val="00E65C85"/>
    <w:rsid w:val="00E66199"/>
    <w:rsid w:val="00E671C0"/>
    <w:rsid w:val="00E71DE6"/>
    <w:rsid w:val="00E755EC"/>
    <w:rsid w:val="00E7624D"/>
    <w:rsid w:val="00E7774B"/>
    <w:rsid w:val="00E80220"/>
    <w:rsid w:val="00E80D20"/>
    <w:rsid w:val="00E83306"/>
    <w:rsid w:val="00E8751F"/>
    <w:rsid w:val="00E940B1"/>
    <w:rsid w:val="00E9762C"/>
    <w:rsid w:val="00E97960"/>
    <w:rsid w:val="00EA034D"/>
    <w:rsid w:val="00EA0388"/>
    <w:rsid w:val="00EA3D42"/>
    <w:rsid w:val="00EA417D"/>
    <w:rsid w:val="00EA5A35"/>
    <w:rsid w:val="00EA5E10"/>
    <w:rsid w:val="00EA6B1B"/>
    <w:rsid w:val="00EB1461"/>
    <w:rsid w:val="00EB1823"/>
    <w:rsid w:val="00EB2415"/>
    <w:rsid w:val="00EB292C"/>
    <w:rsid w:val="00EB2D19"/>
    <w:rsid w:val="00EB340B"/>
    <w:rsid w:val="00EB35A9"/>
    <w:rsid w:val="00EB4255"/>
    <w:rsid w:val="00EB5B5B"/>
    <w:rsid w:val="00EC1068"/>
    <w:rsid w:val="00EC2671"/>
    <w:rsid w:val="00EC5196"/>
    <w:rsid w:val="00ED3A3F"/>
    <w:rsid w:val="00ED7300"/>
    <w:rsid w:val="00EE28F3"/>
    <w:rsid w:val="00EE6C54"/>
    <w:rsid w:val="00EE7DA4"/>
    <w:rsid w:val="00EF0061"/>
    <w:rsid w:val="00EF103D"/>
    <w:rsid w:val="00EF2485"/>
    <w:rsid w:val="00EF29C5"/>
    <w:rsid w:val="00EF5110"/>
    <w:rsid w:val="00F01344"/>
    <w:rsid w:val="00F033B3"/>
    <w:rsid w:val="00F04F27"/>
    <w:rsid w:val="00F064D5"/>
    <w:rsid w:val="00F15882"/>
    <w:rsid w:val="00F15B98"/>
    <w:rsid w:val="00F1773B"/>
    <w:rsid w:val="00F20771"/>
    <w:rsid w:val="00F20BD3"/>
    <w:rsid w:val="00F227C6"/>
    <w:rsid w:val="00F24F0B"/>
    <w:rsid w:val="00F32EB2"/>
    <w:rsid w:val="00F3693D"/>
    <w:rsid w:val="00F373A5"/>
    <w:rsid w:val="00F373F0"/>
    <w:rsid w:val="00F41835"/>
    <w:rsid w:val="00F45892"/>
    <w:rsid w:val="00F47559"/>
    <w:rsid w:val="00F47A7B"/>
    <w:rsid w:val="00F57109"/>
    <w:rsid w:val="00F57300"/>
    <w:rsid w:val="00F60BE4"/>
    <w:rsid w:val="00F60F2D"/>
    <w:rsid w:val="00F61B84"/>
    <w:rsid w:val="00F63587"/>
    <w:rsid w:val="00F64C7B"/>
    <w:rsid w:val="00F671BE"/>
    <w:rsid w:val="00F676DD"/>
    <w:rsid w:val="00F67D05"/>
    <w:rsid w:val="00F714B1"/>
    <w:rsid w:val="00F7233F"/>
    <w:rsid w:val="00F75460"/>
    <w:rsid w:val="00F75900"/>
    <w:rsid w:val="00F75A26"/>
    <w:rsid w:val="00F81F7A"/>
    <w:rsid w:val="00F82104"/>
    <w:rsid w:val="00F82BFA"/>
    <w:rsid w:val="00F83A0E"/>
    <w:rsid w:val="00F83FAD"/>
    <w:rsid w:val="00F90E23"/>
    <w:rsid w:val="00F91DC6"/>
    <w:rsid w:val="00F93BF0"/>
    <w:rsid w:val="00F952A0"/>
    <w:rsid w:val="00F96A85"/>
    <w:rsid w:val="00F97C67"/>
    <w:rsid w:val="00FA1C20"/>
    <w:rsid w:val="00FA3C7F"/>
    <w:rsid w:val="00FA6A33"/>
    <w:rsid w:val="00FB01E5"/>
    <w:rsid w:val="00FB1A65"/>
    <w:rsid w:val="00FB2F0E"/>
    <w:rsid w:val="00FB43A2"/>
    <w:rsid w:val="00FB52D7"/>
    <w:rsid w:val="00FB6617"/>
    <w:rsid w:val="00FB74E2"/>
    <w:rsid w:val="00FD273B"/>
    <w:rsid w:val="00FD5614"/>
    <w:rsid w:val="00FD7474"/>
    <w:rsid w:val="00FE0BE1"/>
    <w:rsid w:val="00FE0F17"/>
    <w:rsid w:val="00FE1164"/>
    <w:rsid w:val="00FE1DE9"/>
    <w:rsid w:val="00FE38E5"/>
    <w:rsid w:val="00FE39C2"/>
    <w:rsid w:val="00FE4D7B"/>
    <w:rsid w:val="00FE5E61"/>
    <w:rsid w:val="00FE6417"/>
    <w:rsid w:val="00FE64AE"/>
    <w:rsid w:val="00FF0B92"/>
    <w:rsid w:val="00FF7C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1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935D49"/>
    <w:pPr>
      <w:spacing w:before="200"/>
    </w:pPr>
    <w:rPr>
      <w:sz w:val="22"/>
      <w:szCs w:val="22"/>
      <w:lang w:eastAsia="en-US"/>
    </w:rPr>
  </w:style>
  <w:style w:type="paragraph" w:styleId="Heading1">
    <w:name w:val="heading 1"/>
    <w:basedOn w:val="Normal"/>
    <w:next w:val="Normal"/>
    <w:link w:val="Heading1Char"/>
    <w:qFormat/>
    <w:rsid w:val="009D6B46"/>
    <w:pPr>
      <w:spacing w:before="240"/>
      <w:outlineLvl w:val="0"/>
    </w:pPr>
    <w:rPr>
      <w:rFonts w:ascii="Lucida Fax" w:eastAsia="Times New Roman" w:hAnsi="Lucida Fax"/>
      <w:bCs/>
      <w:color w:val="51626F"/>
      <w:sz w:val="32"/>
      <w:szCs w:val="28"/>
    </w:rPr>
  </w:style>
  <w:style w:type="paragraph" w:styleId="Heading2">
    <w:name w:val="heading 2"/>
    <w:next w:val="Normal"/>
    <w:link w:val="Heading2Char"/>
    <w:qFormat/>
    <w:rsid w:val="009D6B46"/>
    <w:pPr>
      <w:spacing w:before="200" w:line="240" w:lineRule="atLeast"/>
      <w:outlineLvl w:val="1"/>
    </w:pPr>
    <w:rPr>
      <w:rFonts w:eastAsia="Times New Roman"/>
      <w:b/>
      <w:bCs/>
      <w:color w:val="51626F"/>
      <w:sz w:val="28"/>
      <w:szCs w:val="26"/>
      <w:lang w:eastAsia="en-US"/>
    </w:rPr>
  </w:style>
  <w:style w:type="paragraph" w:styleId="Heading3">
    <w:name w:val="heading 3"/>
    <w:basedOn w:val="Normal"/>
    <w:next w:val="Normal"/>
    <w:link w:val="Heading3Char"/>
    <w:qFormat/>
    <w:rsid w:val="009D6B46"/>
    <w:pPr>
      <w:spacing w:before="240"/>
      <w:outlineLvl w:val="2"/>
    </w:pPr>
    <w:rPr>
      <w:rFonts w:eastAsia="Times New Roman"/>
      <w:b/>
      <w:bCs/>
      <w:color w:val="000000"/>
      <w:sz w:val="24"/>
    </w:rPr>
  </w:style>
  <w:style w:type="paragraph" w:styleId="Heading4">
    <w:name w:val="heading 4"/>
    <w:basedOn w:val="Normal"/>
    <w:next w:val="Normal"/>
    <w:link w:val="Heading4Char"/>
    <w:qFormat/>
    <w:rsid w:val="009D6B46"/>
    <w:pPr>
      <w:spacing w:before="240"/>
      <w:outlineLvl w:val="3"/>
    </w:pPr>
    <w:rPr>
      <w:rFonts w:eastAsia="Times New Roman"/>
      <w:b/>
      <w:bCs/>
      <w:i/>
      <w:iCs/>
      <w:color w:val="51626F"/>
      <w:sz w:val="24"/>
    </w:rPr>
  </w:style>
  <w:style w:type="paragraph" w:styleId="Heading5">
    <w:name w:val="heading 5"/>
    <w:next w:val="Normal"/>
    <w:link w:val="Heading5Char"/>
    <w:uiPriority w:val="2"/>
    <w:qFormat/>
    <w:rsid w:val="009D6B46"/>
    <w:pPr>
      <w:spacing w:before="200" w:line="240" w:lineRule="atLeast"/>
      <w:outlineLvl w:val="4"/>
    </w:pPr>
    <w:rPr>
      <w:rFonts w:eastAsia="Times New Roman"/>
      <w:b/>
      <w:color w:val="283037"/>
      <w:sz w:val="22"/>
      <w:szCs w:val="22"/>
      <w:lang w:eastAsia="en-US"/>
    </w:rPr>
  </w:style>
  <w:style w:type="paragraph" w:styleId="Heading6">
    <w:name w:val="heading 6"/>
    <w:basedOn w:val="Normal"/>
    <w:next w:val="Normal"/>
    <w:link w:val="Heading6Char"/>
    <w:uiPriority w:val="2"/>
    <w:qFormat/>
    <w:rsid w:val="009D6B46"/>
    <w:pPr>
      <w:spacing w:before="240"/>
      <w:outlineLvl w:val="5"/>
    </w:pPr>
    <w:rPr>
      <w:rFonts w:eastAsia="Times New Roman"/>
      <w:b/>
      <w:i/>
      <w:iCs/>
    </w:rPr>
  </w:style>
  <w:style w:type="paragraph" w:styleId="Heading7">
    <w:name w:val="heading 7"/>
    <w:basedOn w:val="Normal"/>
    <w:next w:val="Normal"/>
    <w:link w:val="Heading7Char"/>
    <w:uiPriority w:val="2"/>
    <w:qFormat/>
    <w:rsid w:val="009D6B46"/>
    <w:pPr>
      <w:spacing w:before="240"/>
      <w:outlineLvl w:val="6"/>
    </w:pPr>
    <w:rPr>
      <w:rFonts w:eastAsia="Times New Roman"/>
      <w:i/>
      <w:iCs/>
      <w:color w:val="404040"/>
    </w:rPr>
  </w:style>
  <w:style w:type="paragraph" w:styleId="Heading8">
    <w:name w:val="heading 8"/>
    <w:basedOn w:val="Normal"/>
    <w:next w:val="Normal"/>
    <w:link w:val="Heading8Char"/>
    <w:uiPriority w:val="2"/>
    <w:qFormat/>
    <w:rsid w:val="009D6B46"/>
    <w:pPr>
      <w:spacing w:before="240"/>
      <w:outlineLvl w:val="7"/>
    </w:pPr>
    <w:rPr>
      <w:rFonts w:eastAsia="Times New Roman"/>
      <w:color w:val="51626F"/>
      <w:szCs w:val="20"/>
    </w:rPr>
  </w:style>
  <w:style w:type="paragraph" w:styleId="Heading9">
    <w:name w:val="heading 9"/>
    <w:aliases w:val="Numbered Table"/>
    <w:basedOn w:val="Normal"/>
    <w:next w:val="Normal"/>
    <w:link w:val="Heading9Char"/>
    <w:uiPriority w:val="2"/>
    <w:qFormat/>
    <w:rsid w:val="00646025"/>
    <w:pPr>
      <w:numPr>
        <w:numId w:val="26"/>
      </w:numPr>
      <w:tabs>
        <w:tab w:val="left" w:pos="340"/>
      </w:tabs>
      <w:spacing w:before="240" w:after="120"/>
      <w:outlineLvl w:val="8"/>
    </w:pPr>
    <w:rPr>
      <w:rFonts w:eastAsia="Times New Roman"/>
      <w:b/>
      <w:i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6B46"/>
    <w:rPr>
      <w:rFonts w:ascii="Lucida Fax" w:eastAsia="Times New Roman" w:hAnsi="Lucida Fax" w:cs="Times New Roman"/>
      <w:bCs/>
      <w:color w:val="51626F"/>
      <w:sz w:val="32"/>
      <w:szCs w:val="28"/>
    </w:rPr>
  </w:style>
  <w:style w:type="character" w:customStyle="1" w:styleId="Heading2Char">
    <w:name w:val="Heading 2 Char"/>
    <w:link w:val="Heading2"/>
    <w:rsid w:val="009D6B46"/>
    <w:rPr>
      <w:rFonts w:ascii="Arial" w:eastAsia="Times New Roman" w:hAnsi="Arial" w:cs="Times New Roman"/>
      <w:b/>
      <w:bCs/>
      <w:color w:val="51626F"/>
      <w:sz w:val="28"/>
      <w:szCs w:val="26"/>
    </w:rPr>
  </w:style>
  <w:style w:type="character" w:customStyle="1" w:styleId="Heading3Char">
    <w:name w:val="Heading 3 Char"/>
    <w:link w:val="Heading3"/>
    <w:rsid w:val="009D6B46"/>
    <w:rPr>
      <w:rFonts w:ascii="Arial" w:eastAsia="Times New Roman" w:hAnsi="Arial" w:cs="Times New Roman"/>
      <w:b/>
      <w:bCs/>
      <w:color w:val="000000"/>
      <w:sz w:val="24"/>
    </w:rPr>
  </w:style>
  <w:style w:type="character" w:customStyle="1" w:styleId="Heading4Char">
    <w:name w:val="Heading 4 Char"/>
    <w:link w:val="Heading4"/>
    <w:rsid w:val="009D6B46"/>
    <w:rPr>
      <w:rFonts w:ascii="Arial" w:eastAsia="Times New Roman" w:hAnsi="Arial" w:cs="Times New Roman"/>
      <w:b/>
      <w:bCs/>
      <w:i/>
      <w:iCs/>
      <w:color w:val="51626F"/>
      <w:sz w:val="24"/>
    </w:rPr>
  </w:style>
  <w:style w:type="character" w:customStyle="1" w:styleId="Heading5Char">
    <w:name w:val="Heading 5 Char"/>
    <w:link w:val="Heading5"/>
    <w:uiPriority w:val="2"/>
    <w:rsid w:val="009D6B46"/>
    <w:rPr>
      <w:rFonts w:ascii="Arial" w:eastAsia="Times New Roman" w:hAnsi="Arial" w:cs="Times New Roman"/>
      <w:b/>
      <w:color w:val="283037"/>
    </w:rPr>
  </w:style>
  <w:style w:type="character" w:customStyle="1" w:styleId="Heading6Char">
    <w:name w:val="Heading 6 Char"/>
    <w:link w:val="Heading6"/>
    <w:uiPriority w:val="2"/>
    <w:rsid w:val="009D6B46"/>
    <w:rPr>
      <w:rFonts w:ascii="Arial" w:eastAsia="Times New Roman" w:hAnsi="Arial" w:cs="Times New Roman"/>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sz w:val="16"/>
      <w:szCs w:val="16"/>
    </w:rPr>
  </w:style>
  <w:style w:type="character" w:customStyle="1" w:styleId="CopyrighttextChar">
    <w:name w:val="Copyright text Char"/>
    <w:link w:val="Copyrighttext"/>
    <w:uiPriority w:val="2"/>
    <w:rsid w:val="00724A37"/>
    <w:rPr>
      <w:rFonts w:ascii="Arial" w:hAnsi="Arial"/>
      <w:color w:val="51626F"/>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tabs>
        <w:tab w:val="left" w:pos="680"/>
      </w:tabs>
    </w:pPr>
  </w:style>
  <w:style w:type="paragraph" w:customStyle="1" w:styleId="Numbered11">
    <w:name w:val="Numbered 1.1"/>
    <w:basedOn w:val="Heading2"/>
    <w:next w:val="Normal"/>
    <w:qFormat/>
    <w:rsid w:val="00F61B84"/>
    <w:pPr>
      <w:tabs>
        <w:tab w:val="left" w:pos="1021"/>
      </w:tabs>
    </w:pPr>
    <w:rPr>
      <w:rFonts w:cs="Arial"/>
      <w:b w:val="0"/>
    </w:rPr>
  </w:style>
  <w:style w:type="paragraph" w:customStyle="1" w:styleId="Numbered111">
    <w:name w:val="Numbered 1.1.1"/>
    <w:basedOn w:val="Heading3"/>
    <w:next w:val="Normal"/>
    <w:qFormat/>
    <w:rsid w:val="00F61B84"/>
    <w:pPr>
      <w:tabs>
        <w:tab w:val="left" w:pos="1361"/>
      </w:tabs>
      <w:contextualSpacing/>
    </w:pPr>
  </w:style>
  <w:style w:type="paragraph" w:customStyle="1" w:styleId="Numbered1111">
    <w:name w:val="Numbered 1.1.1.1"/>
    <w:basedOn w:val="Heading4"/>
    <w:next w:val="Normal"/>
    <w:rsid w:val="00F61B84"/>
    <w:pPr>
      <w:tabs>
        <w:tab w:val="left" w:pos="1361"/>
      </w:tabs>
    </w:pPr>
  </w:style>
  <w:style w:type="paragraph" w:customStyle="1" w:styleId="Numbered11111">
    <w:name w:val="Numbered 1.1.1.1.1"/>
    <w:basedOn w:val="Heading5"/>
    <w:next w:val="Normal"/>
    <w:uiPriority w:val="2"/>
    <w:rsid w:val="00F61B84"/>
    <w:pPr>
      <w:tabs>
        <w:tab w:val="left" w:pos="1701"/>
      </w:tabs>
    </w:pPr>
  </w:style>
  <w:style w:type="paragraph" w:customStyle="1" w:styleId="Numbered111111">
    <w:name w:val="Numbered 1.1.1.1.1.1"/>
    <w:basedOn w:val="Heading6"/>
    <w:next w:val="Normal"/>
    <w:uiPriority w:val="2"/>
    <w:rsid w:val="00F61B84"/>
    <w:pPr>
      <w:tabs>
        <w:tab w:val="left" w:pos="1701"/>
      </w:tabs>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sz w:val="18"/>
    </w:rPr>
  </w:style>
  <w:style w:type="character" w:customStyle="1" w:styleId="HeaderChar">
    <w:name w:val="Header Char"/>
    <w:link w:val="Header"/>
    <w:uiPriority w:val="99"/>
    <w:rsid w:val="008344F6"/>
    <w:rPr>
      <w:rFonts w:ascii="Arial" w:hAnsi="Arial"/>
      <w:color w:val="51626F"/>
      <w:sz w:val="18"/>
    </w:rPr>
  </w:style>
  <w:style w:type="paragraph" w:styleId="NoSpacing">
    <w:name w:val="No Spacing"/>
    <w:uiPriority w:val="1"/>
    <w:qFormat/>
    <w:rsid w:val="00724A37"/>
    <w:rPr>
      <w:sz w:val="22"/>
      <w:szCs w:val="22"/>
      <w:lang w:eastAsia="en-US"/>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left w:val="single" w:sz="4" w:space="4" w:color="FFFFFF"/>
        <w:bottom w:val="single" w:sz="4" w:space="1" w:color="FFFFFF"/>
        <w:right w:val="single" w:sz="4" w:space="4" w:color="FFFFFF"/>
      </w:pBdr>
      <w:shd w:val="clear" w:color="auto" w:fill="F2F2F2"/>
      <w:spacing w:after="240"/>
    </w:pPr>
    <w:rPr>
      <w:szCs w:val="20"/>
    </w:rPr>
  </w:style>
  <w:style w:type="character" w:customStyle="1" w:styleId="BoxedtextChar">
    <w:name w:val="Boxed text Char"/>
    <w:link w:val="Boxedtext"/>
    <w:uiPriority w:val="1"/>
    <w:rsid w:val="00AE1BF1"/>
    <w:rPr>
      <w:rFonts w:ascii="Arial" w:hAnsi="Arial"/>
      <w:szCs w:val="20"/>
      <w:shd w:val="clear" w:color="auto" w:fill="F2F2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 w:val="22"/>
      <w:szCs w:val="24"/>
      <w:lang w:eastAsia="en-US"/>
    </w:rPr>
  </w:style>
  <w:style w:type="character" w:customStyle="1" w:styleId="PullquotetextChar">
    <w:name w:val="Pull quote text 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rPr>
  </w:style>
  <w:style w:type="character" w:customStyle="1" w:styleId="QuoteChar">
    <w:name w:val="Quote Char"/>
    <w:link w:val="Quote"/>
    <w:uiPriority w:val="29"/>
    <w:rsid w:val="001D055E"/>
    <w:rPr>
      <w:rFonts w:ascii="Arial" w:hAnsi="Arial"/>
      <w:i/>
      <w:iCs/>
      <w:color w:val="000000"/>
    </w:rPr>
  </w:style>
  <w:style w:type="paragraph" w:customStyle="1" w:styleId="Bulletpoint">
    <w:name w:val="Bullet point"/>
    <w:basedOn w:val="ListBullet"/>
    <w:qFormat/>
    <w:rsid w:val="00E4674F"/>
    <w:pPr>
      <w:numPr>
        <w:numId w:val="45"/>
      </w:numPr>
    </w:p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2"/>
      </w:numPr>
      <w:spacing w:before="120"/>
    </w:pPr>
    <w:rPr>
      <w:color w:val="000000"/>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imes New Roman" w:hAnsi="Lucida Fax"/>
      <w:bCs/>
      <w:color w:val="51626F"/>
      <w:sz w:val="32"/>
      <w:szCs w:val="28"/>
      <w:lang w:val="en-US" w:eastAsia="ja-JP"/>
    </w:rPr>
  </w:style>
  <w:style w:type="paragraph" w:styleId="ListNumber2">
    <w:name w:val="List Number 2"/>
    <w:next w:val="Normal"/>
    <w:uiPriority w:val="99"/>
    <w:rsid w:val="00BE4C99"/>
    <w:pPr>
      <w:numPr>
        <w:numId w:val="23"/>
      </w:numPr>
      <w:tabs>
        <w:tab w:val="left" w:pos="680"/>
      </w:tabs>
      <w:spacing w:before="120"/>
    </w:pPr>
    <w:rPr>
      <w:sz w:val="22"/>
      <w:szCs w:val="22"/>
      <w:lang w:eastAsia="en-US"/>
    </w:rPr>
  </w:style>
  <w:style w:type="character" w:styleId="Hyperlink">
    <w:name w:val="Hyperlink"/>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sz w:val="18"/>
    </w:rPr>
  </w:style>
  <w:style w:type="character" w:customStyle="1" w:styleId="FooterChar">
    <w:name w:val="Footer Char"/>
    <w:link w:val="Footer"/>
    <w:uiPriority w:val="99"/>
    <w:rsid w:val="00A57D04"/>
    <w:rPr>
      <w:rFonts w:ascii="Arial" w:hAnsi="Arial"/>
      <w:color w:val="51626F"/>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link w:val="Heading7"/>
    <w:uiPriority w:val="2"/>
    <w:rsid w:val="009D6B46"/>
    <w:rPr>
      <w:rFonts w:ascii="Arial" w:eastAsia="Times New Roman" w:hAnsi="Arial" w:cs="Times New Roman"/>
      <w:i/>
      <w:iCs/>
      <w:color w:val="404040"/>
    </w:rPr>
  </w:style>
  <w:style w:type="character" w:customStyle="1" w:styleId="Heading8Char">
    <w:name w:val="Heading 8 Char"/>
    <w:link w:val="Heading8"/>
    <w:uiPriority w:val="2"/>
    <w:rsid w:val="009D6B46"/>
    <w:rPr>
      <w:rFonts w:ascii="Arial" w:eastAsia="Times New Roman" w:hAnsi="Arial" w:cs="Times New Roman"/>
      <w:color w:val="51626F"/>
      <w:szCs w:val="20"/>
    </w:rPr>
  </w:style>
  <w:style w:type="character" w:customStyle="1" w:styleId="Heading9Char">
    <w:name w:val="Heading 9 Char"/>
    <w:aliases w:val="Numbered Table Char"/>
    <w:link w:val="Heading9"/>
    <w:uiPriority w:val="2"/>
    <w:rsid w:val="00646025"/>
    <w:rPr>
      <w:rFonts w:eastAsia="Times New Roman"/>
      <w:b/>
      <w:iCs/>
      <w:color w:val="000000"/>
      <w:sz w:val="24"/>
      <w:lang w:eastAsia="en-US"/>
    </w:rPr>
  </w:style>
  <w:style w:type="paragraph" w:customStyle="1" w:styleId="Numbered1111111">
    <w:name w:val="Numbered 1.1.1.1.1.1.1"/>
    <w:basedOn w:val="Heading7"/>
    <w:next w:val="Normal"/>
    <w:uiPriority w:val="2"/>
    <w:rsid w:val="00F61B84"/>
    <w:pPr>
      <w:tabs>
        <w:tab w:val="left" w:pos="2041"/>
      </w:tabs>
    </w:pPr>
  </w:style>
  <w:style w:type="paragraph" w:customStyle="1" w:styleId="Numbered11111111">
    <w:name w:val="Numbered 1.1.1.1.1.1.1.1"/>
    <w:basedOn w:val="Heading8"/>
    <w:next w:val="Normal"/>
    <w:uiPriority w:val="2"/>
    <w:rsid w:val="00F61B84"/>
    <w:pPr>
      <w:tabs>
        <w:tab w:val="left" w:pos="2041"/>
      </w:tabs>
    </w:pPr>
  </w:style>
  <w:style w:type="table" w:styleId="TableGrid">
    <w:name w:val="Table Grid"/>
    <w:aliases w:val="ACCC Table"/>
    <w:basedOn w:val="TableNormal"/>
    <w:uiPriority w:val="59"/>
    <w:rsid w:val="00C53B5A"/>
    <w:pPr>
      <w:spacing w:before="60" w:after="60"/>
    </w:pPr>
    <w:tblPr>
      <w:tblBorders>
        <w:top w:val="single" w:sz="4" w:space="0" w:color="BFBFBF"/>
        <w:bottom w:val="single" w:sz="4" w:space="0" w:color="BFBF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left w:val="nil"/>
          <w:bottom w:val="single" w:sz="4" w:space="0" w:color="BFBF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tblPr>
      <w:tblBorders>
        <w:top w:val="single" w:sz="4" w:space="0" w:color="D5D6D2"/>
        <w:left w:val="single" w:sz="4" w:space="0" w:color="D5D6D2"/>
        <w:bottom w:val="single" w:sz="4" w:space="0" w:color="D5D6D2"/>
        <w:right w:val="single" w:sz="4" w:space="0" w:color="D5D6D2"/>
        <w:insideH w:val="single" w:sz="4" w:space="0" w:color="D5D6D2"/>
        <w:insideV w:val="single" w:sz="4" w:space="0" w:color="D5D6D2"/>
      </w:tblBorders>
    </w:tblPr>
    <w:tcPr>
      <w:shd w:val="clear" w:color="auto" w:fill="auto"/>
      <w:vAlign w:val="center"/>
    </w:tcPr>
    <w:tblStylePr w:type="firstRow">
      <w:pPr>
        <w:wordWrap/>
        <w:spacing w:beforeLines="0" w:before="120" w:beforeAutospacing="0" w:afterLines="0" w:after="120" w:afterAutospacing="0" w:line="240" w:lineRule="auto"/>
      </w:pPr>
      <w:rPr>
        <w:rFonts w:ascii="Arial" w:hAnsi="Arial"/>
        <w:b/>
        <w:bCs/>
        <w:sz w:val="20"/>
      </w:rPr>
      <w:tblPr/>
      <w:tcPr>
        <w:tcBorders>
          <w:top w:val="single" w:sz="4" w:space="0" w:color="D5D6D2"/>
          <w:left w:val="single" w:sz="4" w:space="0" w:color="D5D6D2"/>
          <w:bottom w:val="single" w:sz="4" w:space="0" w:color="D5D6D2"/>
          <w:right w:val="single" w:sz="4" w:space="0" w:color="D5D6D2"/>
          <w:insideH w:val="single" w:sz="4" w:space="0" w:color="D5D6D2"/>
          <w:insideV w:val="single" w:sz="4" w:space="0" w:color="D5D6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left w:val="single" w:sz="4" w:space="0" w:color="D5D6D2"/>
          <w:bottom w:val="single" w:sz="4" w:space="0" w:color="D5D6D2"/>
          <w:right w:val="single" w:sz="4" w:space="0" w:color="D5D6D2"/>
          <w:insideH w:val="single" w:sz="4" w:space="0" w:color="D5D6D2"/>
          <w:insideV w:val="single" w:sz="4" w:space="0" w:color="D5D6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rPr>
      <w:color w:val="3C4953"/>
    </w:rPr>
    <w:tblPr>
      <w:tblStyleRowBandSize w:val="1"/>
      <w:tblStyleColBandSize w:val="1"/>
      <w:tblBorders>
        <w:top w:val="single" w:sz="8" w:space="0" w:color="51626F"/>
        <w:bottom w:val="single" w:sz="8" w:space="0" w:color="51626F"/>
      </w:tblBorders>
    </w:tblPr>
    <w:tblStylePr w:type="firstRow">
      <w:pPr>
        <w:spacing w:before="0" w:after="0" w:line="240" w:lineRule="auto"/>
      </w:pPr>
      <w:rPr>
        <w:b/>
        <w:bCs/>
      </w:rPr>
      <w:tblPr/>
      <w:tcPr>
        <w:tcBorders>
          <w:top w:val="single" w:sz="8" w:space="0" w:color="51626F"/>
          <w:left w:val="nil"/>
          <w:bottom w:val="single" w:sz="8" w:space="0" w:color="51626F"/>
          <w:right w:val="nil"/>
          <w:insideH w:val="nil"/>
          <w:insideV w:val="nil"/>
        </w:tcBorders>
      </w:tcPr>
    </w:tblStylePr>
    <w:tblStylePr w:type="lastRow">
      <w:pPr>
        <w:spacing w:before="0" w:after="0" w:line="240" w:lineRule="auto"/>
      </w:pPr>
      <w:rPr>
        <w:b/>
        <w:bCs/>
      </w:rPr>
      <w:tblPr/>
      <w:tcPr>
        <w:tcBorders>
          <w:top w:val="single" w:sz="8" w:space="0" w:color="51626F"/>
          <w:left w:val="nil"/>
          <w:bottom w:val="single" w:sz="8" w:space="0" w:color="5162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cPr>
    </w:tblStylePr>
    <w:tblStylePr w:type="band1Horz">
      <w:tblPr/>
      <w:tcPr>
        <w:tcBorders>
          <w:left w:val="nil"/>
          <w:right w:val="nil"/>
          <w:insideH w:val="nil"/>
          <w:insideV w:val="nil"/>
        </w:tcBorders>
        <w:shd w:val="clear" w:color="auto" w:fill="D1D8DD"/>
      </w:tcPr>
    </w:tblStylePr>
  </w:style>
  <w:style w:type="table" w:styleId="LightShading-Accent2">
    <w:name w:val="Light Shading Accent 2"/>
    <w:basedOn w:val="TableNormal"/>
    <w:uiPriority w:val="60"/>
    <w:rsid w:val="00746E01"/>
    <w:rPr>
      <w:color w:val="000000"/>
    </w:rPr>
    <w:tblPr>
      <w:tblBorders>
        <w:top w:val="single" w:sz="4" w:space="0" w:color="B71202"/>
        <w:left w:val="single" w:sz="4" w:space="0" w:color="B71202"/>
        <w:bottom w:val="single" w:sz="4" w:space="0" w:color="B71202"/>
        <w:right w:val="single" w:sz="4" w:space="0" w:color="B71202"/>
        <w:insideH w:val="single" w:sz="4" w:space="0" w:color="B71202"/>
        <w:insideV w:val="single" w:sz="4" w:space="0" w:color="B71202"/>
      </w:tblBorders>
    </w:tblPr>
    <w:tcPr>
      <w:vAlign w:val="center"/>
    </w:tcPr>
    <w:tblStylePr w:type="firstRow">
      <w:pPr>
        <w:spacing w:before="0" w:after="0" w:line="240" w:lineRule="auto"/>
      </w:pPr>
      <w:rPr>
        <w:b w:val="0"/>
        <w:bCs/>
      </w:rPr>
      <w:tblPr/>
      <w:tcPr>
        <w:tcBorders>
          <w:top w:val="single" w:sz="4" w:space="0" w:color="B71202"/>
          <w:left w:val="single" w:sz="4" w:space="0" w:color="B71202"/>
          <w:bottom w:val="single" w:sz="4" w:space="0" w:color="B71202"/>
          <w:right w:val="single" w:sz="4" w:space="0" w:color="B71202"/>
          <w:insideH w:val="single" w:sz="4" w:space="0" w:color="B71202"/>
          <w:insideV w:val="single" w:sz="4" w:space="0" w:color="B71202"/>
          <w:tl2br w:val="nil"/>
          <w:tr2bl w:val="nil"/>
        </w:tcBorders>
      </w:tcPr>
    </w:tblStylePr>
    <w:tblStylePr w:type="lastRow">
      <w:pPr>
        <w:spacing w:before="0" w:after="0" w:line="240" w:lineRule="auto"/>
      </w:pPr>
      <w:rPr>
        <w:b w:val="0"/>
        <w:bCs/>
      </w:rPr>
      <w:tblPr/>
      <w:tcPr>
        <w:tcBorders>
          <w:top w:val="single" w:sz="4" w:space="0" w:color="B71202"/>
          <w:left w:val="single" w:sz="4" w:space="0" w:color="B71202"/>
          <w:bottom w:val="single" w:sz="4" w:space="0" w:color="B71202"/>
          <w:right w:val="single" w:sz="4" w:space="0" w:color="B71202"/>
          <w:insideH w:val="single" w:sz="4" w:space="0" w:color="B71202"/>
          <w:insideV w:val="single" w:sz="4" w:space="0" w:color="B71202"/>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rPr>
      <w:color w:val="007192"/>
    </w:rPr>
    <w:tblPr>
      <w:tblStyleRowBandSize w:val="1"/>
      <w:tblStyleColBandSize w:val="1"/>
      <w:tblBorders>
        <w:top w:val="single" w:sz="8" w:space="0" w:color="0098C3"/>
        <w:bottom w:val="single" w:sz="8" w:space="0" w:color="0098C3"/>
      </w:tblBorders>
    </w:tblPr>
    <w:tblStylePr w:type="firstRow">
      <w:pPr>
        <w:spacing w:before="0" w:after="0" w:line="240" w:lineRule="auto"/>
      </w:pPr>
      <w:rPr>
        <w:b/>
        <w:bCs/>
      </w:rPr>
      <w:tblPr/>
      <w:tcPr>
        <w:tcBorders>
          <w:top w:val="single" w:sz="8" w:space="0" w:color="0098C3"/>
          <w:left w:val="nil"/>
          <w:bottom w:val="single" w:sz="8" w:space="0" w:color="0098C3"/>
          <w:right w:val="nil"/>
          <w:insideH w:val="nil"/>
          <w:insideV w:val="nil"/>
        </w:tcBorders>
      </w:tcPr>
    </w:tblStylePr>
    <w:tblStylePr w:type="lastRow">
      <w:pPr>
        <w:spacing w:before="0" w:after="0" w:line="240" w:lineRule="auto"/>
      </w:pPr>
      <w:rPr>
        <w:b/>
        <w:bCs/>
      </w:rPr>
      <w:tblPr/>
      <w:tcPr>
        <w:tcBorders>
          <w:top w:val="single" w:sz="8" w:space="0" w:color="0098C3"/>
          <w:left w:val="nil"/>
          <w:bottom w:val="single" w:sz="8" w:space="0" w:color="0098C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cPr>
    </w:tblStylePr>
    <w:tblStylePr w:type="band1Horz">
      <w:tblPr/>
      <w:tcPr>
        <w:tcBorders>
          <w:left w:val="nil"/>
          <w:right w:val="nil"/>
          <w:insideH w:val="nil"/>
          <w:insideV w:val="nil"/>
        </w:tcBorders>
        <w:shd w:val="clear" w:color="auto" w:fill="B1EDFF"/>
      </w:tcPr>
    </w:tblStylePr>
  </w:style>
  <w:style w:type="table" w:styleId="LightGrid-Accent6">
    <w:name w:val="Light Grid Accent 6"/>
    <w:basedOn w:val="TableNormal"/>
    <w:uiPriority w:val="62"/>
    <w:rsid w:val="00A871F4"/>
    <w:tblPr>
      <w:tblStyleRowBandSize w:val="1"/>
      <w:tblStyleColBandSize w:val="1"/>
      <w:tblBorders>
        <w:top w:val="single" w:sz="8" w:space="0" w:color="DC5034"/>
        <w:left w:val="single" w:sz="8" w:space="0" w:color="DC5034"/>
        <w:bottom w:val="single" w:sz="8" w:space="0" w:color="DC5034"/>
        <w:right w:val="single" w:sz="8" w:space="0" w:color="DC5034"/>
        <w:insideH w:val="single" w:sz="8" w:space="0" w:color="DC5034"/>
        <w:insideV w:val="single" w:sz="8" w:space="0" w:color="DC5034"/>
      </w:tblBorders>
    </w:tblPr>
    <w:tblStylePr w:type="firstRow">
      <w:pPr>
        <w:spacing w:before="0" w:after="0" w:line="240" w:lineRule="auto"/>
      </w:pPr>
      <w:rPr>
        <w:rFonts w:ascii="Lucida Fax" w:eastAsia="Times New Roman" w:hAnsi="Lucida Fax" w:cs="Times New Roman"/>
        <w:b/>
        <w:bCs/>
      </w:rPr>
      <w:tblPr/>
      <w:tcPr>
        <w:tcBorders>
          <w:top w:val="single" w:sz="8" w:space="0" w:color="DC5034"/>
          <w:left w:val="single" w:sz="8" w:space="0" w:color="DC5034"/>
          <w:bottom w:val="single" w:sz="18" w:space="0" w:color="DC5034"/>
          <w:right w:val="single" w:sz="8" w:space="0" w:color="DC5034"/>
          <w:insideH w:val="nil"/>
          <w:insideV w:val="single" w:sz="8" w:space="0" w:color="DC5034"/>
        </w:tcBorders>
      </w:tcPr>
    </w:tblStylePr>
    <w:tblStylePr w:type="lastRow">
      <w:pPr>
        <w:spacing w:before="0" w:after="0" w:line="240" w:lineRule="auto"/>
      </w:pPr>
      <w:rPr>
        <w:rFonts w:ascii="Lucida Fax" w:eastAsia="Times New Roman" w:hAnsi="Lucida Fax" w:cs="Times New Roman"/>
        <w:b/>
        <w:bCs/>
      </w:rPr>
      <w:tblPr/>
      <w:tcPr>
        <w:tcBorders>
          <w:top w:val="double" w:sz="6" w:space="0" w:color="DC5034"/>
          <w:left w:val="single" w:sz="8" w:space="0" w:color="DC5034"/>
          <w:bottom w:val="single" w:sz="8" w:space="0" w:color="DC5034"/>
          <w:right w:val="single" w:sz="8" w:space="0" w:color="DC5034"/>
          <w:insideH w:val="nil"/>
          <w:insideV w:val="single" w:sz="8" w:space="0" w:color="DC5034"/>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DC5034"/>
          <w:left w:val="single" w:sz="8" w:space="0" w:color="DC5034"/>
          <w:bottom w:val="single" w:sz="8" w:space="0" w:color="DC5034"/>
          <w:right w:val="single" w:sz="8" w:space="0" w:color="DC5034"/>
        </w:tcBorders>
      </w:tcPr>
    </w:tblStylePr>
    <w:tblStylePr w:type="band1Vert">
      <w:tblPr/>
      <w:tcPr>
        <w:tcBorders>
          <w:top w:val="single" w:sz="8" w:space="0" w:color="DC5034"/>
          <w:left w:val="single" w:sz="8" w:space="0" w:color="DC5034"/>
          <w:bottom w:val="single" w:sz="8" w:space="0" w:color="DC5034"/>
          <w:right w:val="single" w:sz="8" w:space="0" w:color="DC5034"/>
        </w:tcBorders>
        <w:shd w:val="clear" w:color="auto" w:fill="F6D3CC"/>
      </w:tcPr>
    </w:tblStylePr>
    <w:tblStylePr w:type="band1Horz">
      <w:tblPr/>
      <w:tcPr>
        <w:tcBorders>
          <w:top w:val="single" w:sz="8" w:space="0" w:color="DC5034"/>
          <w:left w:val="single" w:sz="8" w:space="0" w:color="DC5034"/>
          <w:bottom w:val="single" w:sz="8" w:space="0" w:color="DC5034"/>
          <w:right w:val="single" w:sz="8" w:space="0" w:color="DC5034"/>
          <w:insideV w:val="single" w:sz="8" w:space="0" w:color="DC5034"/>
        </w:tcBorders>
        <w:shd w:val="clear" w:color="auto" w:fill="F6D3CC"/>
      </w:tcPr>
    </w:tblStylePr>
    <w:tblStylePr w:type="band2Horz">
      <w:tblPr/>
      <w:tcPr>
        <w:tcBorders>
          <w:top w:val="single" w:sz="8" w:space="0" w:color="DC5034"/>
          <w:left w:val="single" w:sz="8" w:space="0" w:color="DC5034"/>
          <w:bottom w:val="single" w:sz="8" w:space="0" w:color="DC5034"/>
          <w:right w:val="single" w:sz="8" w:space="0" w:color="DC5034"/>
          <w:insideV w:val="single" w:sz="8" w:space="0" w:color="DC5034"/>
        </w:tcBorders>
      </w:tcPr>
    </w:tblStylePr>
  </w:style>
  <w:style w:type="table" w:styleId="MediumShading1">
    <w:name w:val="Medium Shading 1"/>
    <w:basedOn w:val="TableNormal"/>
    <w:uiPriority w:val="63"/>
    <w:rsid w:val="00A871F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tblPr>
      <w:tblStyleRowBandSize w:val="1"/>
      <w:tblStyleColBandSize w:val="1"/>
      <w:tblBorders>
        <w:top w:val="single" w:sz="8" w:space="0" w:color="758A9A"/>
        <w:left w:val="single" w:sz="8" w:space="0" w:color="758A9A"/>
        <w:bottom w:val="single" w:sz="8" w:space="0" w:color="758A9A"/>
        <w:right w:val="single" w:sz="8" w:space="0" w:color="758A9A"/>
        <w:insideH w:val="single" w:sz="8" w:space="0" w:color="758A9A"/>
      </w:tblBorders>
    </w:tblPr>
    <w:tblStylePr w:type="firstRow">
      <w:pPr>
        <w:spacing w:before="0" w:after="0" w:line="240" w:lineRule="auto"/>
      </w:pPr>
      <w:rPr>
        <w:b/>
        <w:bCs/>
        <w:color w:val="FFFFFF"/>
      </w:rPr>
      <w:tblPr/>
      <w:tcPr>
        <w:tcBorders>
          <w:top w:val="single" w:sz="8" w:space="0" w:color="758A9A"/>
          <w:left w:val="single" w:sz="8" w:space="0" w:color="758A9A"/>
          <w:bottom w:val="single" w:sz="8" w:space="0" w:color="758A9A"/>
          <w:right w:val="single" w:sz="8" w:space="0" w:color="758A9A"/>
          <w:insideH w:val="nil"/>
          <w:insideV w:val="nil"/>
        </w:tcBorders>
        <w:shd w:val="clear" w:color="auto" w:fill="51626F"/>
      </w:tcPr>
    </w:tblStylePr>
    <w:tblStylePr w:type="lastRow">
      <w:pPr>
        <w:spacing w:before="0" w:after="0" w:line="240" w:lineRule="auto"/>
      </w:pPr>
      <w:rPr>
        <w:b/>
        <w:bCs/>
      </w:rPr>
      <w:tblPr/>
      <w:tcPr>
        <w:tcBorders>
          <w:top w:val="double" w:sz="6" w:space="0" w:color="758A9A"/>
          <w:left w:val="single" w:sz="8" w:space="0" w:color="758A9A"/>
          <w:bottom w:val="single" w:sz="8" w:space="0" w:color="758A9A"/>
          <w:right w:val="single" w:sz="8" w:space="0" w:color="758A9A"/>
          <w:insideH w:val="nil"/>
          <w:insideV w:val="nil"/>
        </w:tcBorders>
      </w:tcPr>
    </w:tblStylePr>
    <w:tblStylePr w:type="firstCol">
      <w:rPr>
        <w:b/>
        <w:bCs/>
      </w:rPr>
    </w:tblStylePr>
    <w:tblStylePr w:type="lastCol">
      <w:rPr>
        <w:b/>
        <w:bCs/>
      </w:rPr>
    </w:tblStylePr>
    <w:tblStylePr w:type="band1Vert">
      <w:tblPr/>
      <w:tcPr>
        <w:shd w:val="clear" w:color="auto" w:fill="D1D8DD"/>
      </w:tcPr>
    </w:tblStylePr>
    <w:tblStylePr w:type="band1Horz">
      <w:tblPr/>
      <w:tcPr>
        <w:tcBorders>
          <w:insideH w:val="nil"/>
          <w:insideV w:val="nil"/>
        </w:tcBorders>
        <w:shd w:val="clear" w:color="auto" w:fill="D1D8DD"/>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tblPr>
      <w:tblStyleRowBandSize w:val="1"/>
      <w:tblStyleColBandSize w:val="1"/>
      <w:tblBorders>
        <w:top w:val="single" w:sz="8" w:space="0" w:color="7643BB"/>
        <w:left w:val="single" w:sz="8" w:space="0" w:color="7643BB"/>
        <w:bottom w:val="single" w:sz="8" w:space="0" w:color="7643BB"/>
        <w:right w:val="single" w:sz="8" w:space="0" w:color="7643BB"/>
        <w:insideH w:val="single" w:sz="8" w:space="0" w:color="7643BB"/>
      </w:tblBorders>
    </w:tblPr>
    <w:tblStylePr w:type="firstRow">
      <w:pPr>
        <w:spacing w:before="0" w:after="0" w:line="240" w:lineRule="auto"/>
      </w:pPr>
      <w:rPr>
        <w:b/>
        <w:bCs/>
        <w:color w:val="FFFFFF"/>
      </w:rPr>
      <w:tblPr/>
      <w:tcPr>
        <w:tcBorders>
          <w:top w:val="single" w:sz="8" w:space="0" w:color="7643BB"/>
          <w:left w:val="single" w:sz="8" w:space="0" w:color="7643BB"/>
          <w:bottom w:val="single" w:sz="8" w:space="0" w:color="7643BB"/>
          <w:right w:val="single" w:sz="8" w:space="0" w:color="7643BB"/>
          <w:insideH w:val="nil"/>
          <w:insideV w:val="nil"/>
        </w:tcBorders>
        <w:shd w:val="clear" w:color="auto" w:fill="4F2D7D"/>
      </w:tcPr>
    </w:tblStylePr>
    <w:tblStylePr w:type="lastRow">
      <w:pPr>
        <w:spacing w:before="0" w:after="0" w:line="240" w:lineRule="auto"/>
      </w:pPr>
      <w:rPr>
        <w:b/>
        <w:bCs/>
      </w:rPr>
      <w:tblPr/>
      <w:tcPr>
        <w:tcBorders>
          <w:top w:val="double" w:sz="6" w:space="0" w:color="7643BB"/>
          <w:left w:val="single" w:sz="8" w:space="0" w:color="7643BB"/>
          <w:bottom w:val="single" w:sz="8" w:space="0" w:color="7643BB"/>
          <w:right w:val="single" w:sz="8" w:space="0" w:color="7643BB"/>
          <w:insideH w:val="nil"/>
          <w:insideV w:val="nil"/>
        </w:tcBorders>
      </w:tcPr>
    </w:tblStylePr>
    <w:tblStylePr w:type="firstCol">
      <w:rPr>
        <w:b/>
        <w:bCs/>
      </w:rPr>
    </w:tblStylePr>
    <w:tblStylePr w:type="lastCol">
      <w:rPr>
        <w:b/>
        <w:bCs/>
      </w:rPr>
    </w:tblStylePr>
    <w:tblStylePr w:type="band1Vert">
      <w:tblPr/>
      <w:tcPr>
        <w:shd w:val="clear" w:color="auto" w:fill="D1C1E8"/>
      </w:tcPr>
    </w:tblStylePr>
    <w:tblStylePr w:type="band1Horz">
      <w:tblPr/>
      <w:tcPr>
        <w:tcBorders>
          <w:insideH w:val="nil"/>
          <w:insideV w:val="nil"/>
        </w:tcBorders>
        <w:shd w:val="clear" w:color="auto" w:fill="D1C1E8"/>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tblPr>
      <w:tblStyleRowBandSize w:val="1"/>
      <w:tblStyleColBandSize w:val="1"/>
      <w:tblBorders>
        <w:top w:val="single" w:sz="8" w:space="0" w:color="13CAFF"/>
        <w:left w:val="single" w:sz="8" w:space="0" w:color="13CAFF"/>
        <w:bottom w:val="single" w:sz="8" w:space="0" w:color="13CAFF"/>
        <w:right w:val="single" w:sz="8" w:space="0" w:color="13CAFF"/>
        <w:insideH w:val="single" w:sz="8" w:space="0" w:color="13CAFF"/>
      </w:tblBorders>
    </w:tblPr>
    <w:tblStylePr w:type="firstRow">
      <w:pPr>
        <w:spacing w:before="0" w:after="0" w:line="240" w:lineRule="auto"/>
      </w:pPr>
      <w:rPr>
        <w:b/>
        <w:bCs/>
        <w:color w:val="FFFFFF"/>
      </w:rPr>
      <w:tblPr/>
      <w:tcPr>
        <w:tcBorders>
          <w:top w:val="single" w:sz="8" w:space="0" w:color="13CAFF"/>
          <w:left w:val="single" w:sz="8" w:space="0" w:color="13CAFF"/>
          <w:bottom w:val="single" w:sz="8" w:space="0" w:color="13CAFF"/>
          <w:right w:val="single" w:sz="8" w:space="0" w:color="13CAFF"/>
          <w:insideH w:val="nil"/>
          <w:insideV w:val="nil"/>
        </w:tcBorders>
        <w:shd w:val="clear" w:color="auto" w:fill="0098C3"/>
      </w:tcPr>
    </w:tblStylePr>
    <w:tblStylePr w:type="lastRow">
      <w:pPr>
        <w:spacing w:before="0" w:after="0" w:line="240" w:lineRule="auto"/>
      </w:pPr>
      <w:rPr>
        <w:b/>
        <w:bCs/>
      </w:rPr>
      <w:tblPr/>
      <w:tcPr>
        <w:tcBorders>
          <w:top w:val="double" w:sz="6" w:space="0" w:color="13CAFF"/>
          <w:left w:val="single" w:sz="8" w:space="0" w:color="13CAFF"/>
          <w:bottom w:val="single" w:sz="8" w:space="0" w:color="13CAFF"/>
          <w:right w:val="single" w:sz="8" w:space="0" w:color="13CAFF"/>
          <w:insideH w:val="nil"/>
          <w:insideV w:val="nil"/>
        </w:tcBorders>
      </w:tcPr>
    </w:tblStylePr>
    <w:tblStylePr w:type="firstCol">
      <w:rPr>
        <w:b/>
        <w:bCs/>
      </w:rPr>
    </w:tblStylePr>
    <w:tblStylePr w:type="lastCol">
      <w:rPr>
        <w:b/>
        <w:bCs/>
      </w:rPr>
    </w:tblStylePr>
    <w:tblStylePr w:type="band1Vert">
      <w:tblPr/>
      <w:tcPr>
        <w:shd w:val="clear" w:color="auto" w:fill="B1EDFF"/>
      </w:tcPr>
    </w:tblStylePr>
    <w:tblStylePr w:type="band1Horz">
      <w:tblPr/>
      <w:tcPr>
        <w:tcBorders>
          <w:insideH w:val="nil"/>
          <w:insideV w:val="nil"/>
        </w:tcBorders>
        <w:shd w:val="clear" w:color="auto" w:fill="B1EDF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tblPr>
      <w:tblStyleRowBandSize w:val="1"/>
      <w:tblStyleColBandSize w:val="1"/>
      <w:tblBorders>
        <w:top w:val="single" w:sz="8" w:space="0" w:color="B7DAF0"/>
        <w:left w:val="single" w:sz="8" w:space="0" w:color="B7DAF0"/>
        <w:bottom w:val="single" w:sz="8" w:space="0" w:color="B7DAF0"/>
        <w:right w:val="single" w:sz="8" w:space="0" w:color="B7DAF0"/>
        <w:insideH w:val="single" w:sz="8" w:space="0" w:color="B7DAF0"/>
      </w:tblBorders>
    </w:tblPr>
    <w:tblStylePr w:type="firstRow">
      <w:pPr>
        <w:spacing w:before="0" w:after="0" w:line="240" w:lineRule="auto"/>
      </w:pPr>
      <w:rPr>
        <w:b/>
        <w:bCs/>
        <w:color w:val="FFFFFF"/>
      </w:rPr>
      <w:tblPr/>
      <w:tcPr>
        <w:tcBorders>
          <w:top w:val="single" w:sz="8" w:space="0" w:color="B7DAF0"/>
          <w:left w:val="single" w:sz="8" w:space="0" w:color="B7DAF0"/>
          <w:bottom w:val="single" w:sz="8" w:space="0" w:color="B7DAF0"/>
          <w:right w:val="single" w:sz="8" w:space="0" w:color="B7DAF0"/>
          <w:insideH w:val="nil"/>
          <w:insideV w:val="nil"/>
        </w:tcBorders>
        <w:shd w:val="clear" w:color="auto" w:fill="A0CFEB"/>
      </w:tcPr>
    </w:tblStylePr>
    <w:tblStylePr w:type="lastRow">
      <w:pPr>
        <w:spacing w:before="0" w:after="0" w:line="240" w:lineRule="auto"/>
      </w:pPr>
      <w:rPr>
        <w:b/>
        <w:bCs/>
      </w:rPr>
      <w:tblPr/>
      <w:tcPr>
        <w:tcBorders>
          <w:top w:val="double" w:sz="6" w:space="0" w:color="B7DAF0"/>
          <w:left w:val="single" w:sz="8" w:space="0" w:color="B7DAF0"/>
          <w:bottom w:val="single" w:sz="8" w:space="0" w:color="B7DAF0"/>
          <w:right w:val="single" w:sz="8" w:space="0" w:color="B7DAF0"/>
          <w:insideH w:val="nil"/>
          <w:insideV w:val="nil"/>
        </w:tcBorders>
      </w:tcPr>
    </w:tblStylePr>
    <w:tblStylePr w:type="firstCol">
      <w:rPr>
        <w:b/>
        <w:bCs/>
      </w:rPr>
    </w:tblStylePr>
    <w:tblStylePr w:type="lastCol">
      <w:rPr>
        <w:b/>
        <w:bCs/>
      </w:rPr>
    </w:tblStylePr>
    <w:tblStylePr w:type="band1Vert">
      <w:tblPr/>
      <w:tcPr>
        <w:shd w:val="clear" w:color="auto" w:fill="E7F3FA"/>
      </w:tcPr>
    </w:tblStylePr>
    <w:tblStylePr w:type="band1Horz">
      <w:tblPr/>
      <w:tcPr>
        <w:tcBorders>
          <w:insideH w:val="nil"/>
          <w:insideV w:val="nil"/>
        </w:tcBorders>
        <w:shd w:val="clear" w:color="auto" w:fill="E7F3FA"/>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tblPr>
      <w:tblStyleRowBandSize w:val="1"/>
      <w:tblStyleColBandSize w:val="1"/>
      <w:tblBorders>
        <w:top w:val="single" w:sz="8" w:space="0" w:color="FC220E"/>
        <w:left w:val="single" w:sz="8" w:space="0" w:color="FC220E"/>
        <w:bottom w:val="single" w:sz="8" w:space="0" w:color="FC220E"/>
        <w:right w:val="single" w:sz="8" w:space="0" w:color="FC220E"/>
        <w:insideH w:val="single" w:sz="8" w:space="0" w:color="FC220E"/>
      </w:tblBorders>
    </w:tblPr>
    <w:tblStylePr w:type="firstRow">
      <w:pPr>
        <w:spacing w:before="0" w:after="0" w:line="240" w:lineRule="auto"/>
      </w:pPr>
      <w:rPr>
        <w:b/>
        <w:bCs/>
        <w:color w:val="FFFFFF"/>
      </w:rPr>
      <w:tblPr/>
      <w:tcPr>
        <w:tcBorders>
          <w:top w:val="single" w:sz="8" w:space="0" w:color="FC220E"/>
          <w:left w:val="single" w:sz="8" w:space="0" w:color="FC220E"/>
          <w:bottom w:val="single" w:sz="8" w:space="0" w:color="FC220E"/>
          <w:right w:val="single" w:sz="8" w:space="0" w:color="FC220E"/>
          <w:insideH w:val="nil"/>
          <w:insideV w:val="nil"/>
        </w:tcBorders>
        <w:shd w:val="clear" w:color="auto" w:fill="B71202"/>
      </w:tcPr>
    </w:tblStylePr>
    <w:tblStylePr w:type="lastRow">
      <w:pPr>
        <w:spacing w:before="0" w:after="0" w:line="240" w:lineRule="auto"/>
      </w:pPr>
      <w:rPr>
        <w:b/>
        <w:bCs/>
      </w:rPr>
      <w:tblPr/>
      <w:tcPr>
        <w:tcBorders>
          <w:top w:val="double" w:sz="6" w:space="0" w:color="FC220E"/>
          <w:left w:val="single" w:sz="8" w:space="0" w:color="FC220E"/>
          <w:bottom w:val="single" w:sz="8" w:space="0" w:color="FC220E"/>
          <w:right w:val="single" w:sz="8" w:space="0" w:color="FC220E"/>
          <w:insideH w:val="nil"/>
          <w:insideV w:val="nil"/>
        </w:tcBorders>
      </w:tcPr>
    </w:tblStylePr>
    <w:tblStylePr w:type="firstCol">
      <w:rPr>
        <w:b/>
        <w:bCs/>
      </w:rPr>
    </w:tblStylePr>
    <w:tblStylePr w:type="lastCol">
      <w:rPr>
        <w:b/>
        <w:bCs/>
      </w:rPr>
    </w:tblStylePr>
    <w:tblStylePr w:type="band1Vert">
      <w:tblPr/>
      <w:tcPr>
        <w:shd w:val="clear" w:color="auto" w:fill="FEB6AF"/>
      </w:tcPr>
    </w:tblStylePr>
    <w:tblStylePr w:type="band1Horz">
      <w:tblPr/>
      <w:tcPr>
        <w:tcBorders>
          <w:insideH w:val="nil"/>
          <w:insideV w:val="nil"/>
        </w:tcBorders>
        <w:shd w:val="clear" w:color="auto" w:fill="FEB6AF"/>
      </w:tcPr>
    </w:tblStylePr>
    <w:tblStylePr w:type="band2Horz">
      <w:tblPr/>
      <w:tcPr>
        <w:tcBorders>
          <w:insideH w:val="nil"/>
          <w:insideV w:val="nil"/>
        </w:tcBorders>
      </w:tcPr>
    </w:tblStylePr>
  </w:style>
  <w:style w:type="table" w:styleId="LightList">
    <w:name w:val="Light List"/>
    <w:basedOn w:val="TableNormal"/>
    <w:uiPriority w:val="61"/>
    <w:rsid w:val="00A871F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5">
    <w:name w:val="Light Shading Accent 5"/>
    <w:basedOn w:val="TableNormal"/>
    <w:uiPriority w:val="60"/>
    <w:rsid w:val="00A871F4"/>
    <w:rPr>
      <w:color w:val="880D01"/>
    </w:rPr>
    <w:tblPr>
      <w:tblStyleRowBandSize w:val="1"/>
      <w:tblStyleColBandSize w:val="1"/>
      <w:tblBorders>
        <w:top w:val="single" w:sz="8" w:space="0" w:color="B71202"/>
        <w:bottom w:val="single" w:sz="8" w:space="0" w:color="B71202"/>
      </w:tblBorders>
    </w:tblPr>
    <w:tblStylePr w:type="firstRow">
      <w:pPr>
        <w:spacing w:before="0" w:after="0" w:line="240" w:lineRule="auto"/>
      </w:pPr>
      <w:rPr>
        <w:b/>
        <w:bCs/>
      </w:rPr>
      <w:tblPr/>
      <w:tcPr>
        <w:tcBorders>
          <w:top w:val="single" w:sz="8" w:space="0" w:color="B71202"/>
          <w:left w:val="nil"/>
          <w:bottom w:val="single" w:sz="8" w:space="0" w:color="B71202"/>
          <w:right w:val="nil"/>
          <w:insideH w:val="nil"/>
          <w:insideV w:val="nil"/>
        </w:tcBorders>
      </w:tcPr>
    </w:tblStylePr>
    <w:tblStylePr w:type="lastRow">
      <w:pPr>
        <w:spacing w:before="0" w:after="0" w:line="240" w:lineRule="auto"/>
      </w:pPr>
      <w:rPr>
        <w:b/>
        <w:bCs/>
      </w:rPr>
      <w:tblPr/>
      <w:tcPr>
        <w:tcBorders>
          <w:top w:val="single" w:sz="8" w:space="0" w:color="B71202"/>
          <w:left w:val="nil"/>
          <w:bottom w:val="single" w:sz="8" w:space="0" w:color="B7120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cPr>
    </w:tblStylePr>
    <w:tblStylePr w:type="band1Horz">
      <w:tblPr/>
      <w:tcPr>
        <w:tcBorders>
          <w:left w:val="nil"/>
          <w:right w:val="nil"/>
          <w:insideH w:val="nil"/>
          <w:insideV w:val="nil"/>
        </w:tcBorders>
        <w:shd w:val="clear" w:color="auto" w:fill="FEB6AF"/>
      </w:tcPr>
    </w:tblStylePr>
  </w:style>
  <w:style w:type="table" w:styleId="LightGrid-Accent3">
    <w:name w:val="Light Grid Accent 3"/>
    <w:basedOn w:val="TableNormal"/>
    <w:uiPriority w:val="62"/>
    <w:rsid w:val="00A871F4"/>
    <w:tblPr>
      <w:tblStyleRowBandSize w:val="1"/>
      <w:tblStyleColBandSize w:val="1"/>
      <w:tblBorders>
        <w:top w:val="single" w:sz="8" w:space="0" w:color="0098C3"/>
        <w:left w:val="single" w:sz="8" w:space="0" w:color="0098C3"/>
        <w:bottom w:val="single" w:sz="8" w:space="0" w:color="0098C3"/>
        <w:right w:val="single" w:sz="8" w:space="0" w:color="0098C3"/>
        <w:insideH w:val="single" w:sz="8" w:space="0" w:color="0098C3"/>
        <w:insideV w:val="single" w:sz="8" w:space="0" w:color="0098C3"/>
      </w:tblBorders>
    </w:tblPr>
    <w:tblStylePr w:type="firstRow">
      <w:pPr>
        <w:spacing w:before="0" w:after="0" w:line="240" w:lineRule="auto"/>
      </w:pPr>
      <w:rPr>
        <w:rFonts w:ascii="Lucida Fax" w:eastAsia="Times New Roman" w:hAnsi="Lucida Fax" w:cs="Times New Roman"/>
        <w:b/>
        <w:bCs/>
      </w:rPr>
      <w:tblPr/>
      <w:tcPr>
        <w:tcBorders>
          <w:top w:val="single" w:sz="8" w:space="0" w:color="0098C3"/>
          <w:left w:val="single" w:sz="8" w:space="0" w:color="0098C3"/>
          <w:bottom w:val="single" w:sz="18" w:space="0" w:color="0098C3"/>
          <w:right w:val="single" w:sz="8" w:space="0" w:color="0098C3"/>
          <w:insideH w:val="nil"/>
          <w:insideV w:val="single" w:sz="8" w:space="0" w:color="0098C3"/>
        </w:tcBorders>
      </w:tcPr>
    </w:tblStylePr>
    <w:tblStylePr w:type="lastRow">
      <w:pPr>
        <w:spacing w:before="0" w:after="0" w:line="240" w:lineRule="auto"/>
      </w:pPr>
      <w:rPr>
        <w:rFonts w:ascii="Lucida Fax" w:eastAsia="Times New Roman" w:hAnsi="Lucida Fax" w:cs="Times New Roman"/>
        <w:b/>
        <w:bCs/>
      </w:rPr>
      <w:tblPr/>
      <w:tcPr>
        <w:tcBorders>
          <w:top w:val="double" w:sz="6" w:space="0" w:color="0098C3"/>
          <w:left w:val="single" w:sz="8" w:space="0" w:color="0098C3"/>
          <w:bottom w:val="single" w:sz="8" w:space="0" w:color="0098C3"/>
          <w:right w:val="single" w:sz="8" w:space="0" w:color="0098C3"/>
          <w:insideH w:val="nil"/>
          <w:insideV w:val="single" w:sz="8" w:space="0" w:color="0098C3"/>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0098C3"/>
          <w:left w:val="single" w:sz="8" w:space="0" w:color="0098C3"/>
          <w:bottom w:val="single" w:sz="8" w:space="0" w:color="0098C3"/>
          <w:right w:val="single" w:sz="8" w:space="0" w:color="0098C3"/>
        </w:tcBorders>
      </w:tcPr>
    </w:tblStylePr>
    <w:tblStylePr w:type="band1Vert">
      <w:tblPr/>
      <w:tcPr>
        <w:tcBorders>
          <w:top w:val="single" w:sz="8" w:space="0" w:color="0098C3"/>
          <w:left w:val="single" w:sz="8" w:space="0" w:color="0098C3"/>
          <w:bottom w:val="single" w:sz="8" w:space="0" w:color="0098C3"/>
          <w:right w:val="single" w:sz="8" w:space="0" w:color="0098C3"/>
        </w:tcBorders>
        <w:shd w:val="clear" w:color="auto" w:fill="B1EDFF"/>
      </w:tcPr>
    </w:tblStylePr>
    <w:tblStylePr w:type="band1Horz">
      <w:tblPr/>
      <w:tcPr>
        <w:tcBorders>
          <w:top w:val="single" w:sz="8" w:space="0" w:color="0098C3"/>
          <w:left w:val="single" w:sz="8" w:space="0" w:color="0098C3"/>
          <w:bottom w:val="single" w:sz="8" w:space="0" w:color="0098C3"/>
          <w:right w:val="single" w:sz="8" w:space="0" w:color="0098C3"/>
          <w:insideV w:val="single" w:sz="8" w:space="0" w:color="0098C3"/>
        </w:tcBorders>
        <w:shd w:val="clear" w:color="auto" w:fill="B1EDFF"/>
      </w:tcPr>
    </w:tblStylePr>
    <w:tblStylePr w:type="band2Horz">
      <w:tblPr/>
      <w:tcPr>
        <w:tcBorders>
          <w:top w:val="single" w:sz="8" w:space="0" w:color="0098C3"/>
          <w:left w:val="single" w:sz="8" w:space="0" w:color="0098C3"/>
          <w:bottom w:val="single" w:sz="8" w:space="0" w:color="0098C3"/>
          <w:right w:val="single" w:sz="8" w:space="0" w:color="0098C3"/>
          <w:insideV w:val="single" w:sz="8" w:space="0" w:color="0098C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Lucida Fax" w:eastAsia="Times New Roman" w:hAnsi="Lucida Fax"/>
      <w:color w:val="4F2D7D"/>
      <w:spacing w:val="5"/>
      <w:kern w:val="28"/>
      <w:sz w:val="72"/>
      <w:szCs w:val="52"/>
    </w:rPr>
  </w:style>
  <w:style w:type="character" w:customStyle="1" w:styleId="TitleChar">
    <w:name w:val="Title Char"/>
    <w:link w:val="Title"/>
    <w:uiPriority w:val="10"/>
    <w:rsid w:val="00174102"/>
    <w:rPr>
      <w:rFonts w:ascii="Lucida Fax" w:eastAsia="Times New Roman" w:hAnsi="Lucida Fax" w:cs="Times New Roman"/>
      <w:color w:val="4F2D7D"/>
      <w:spacing w:val="5"/>
      <w:kern w:val="28"/>
      <w:sz w:val="72"/>
      <w:szCs w:val="52"/>
    </w:rPr>
  </w:style>
  <w:style w:type="paragraph" w:customStyle="1" w:styleId="CoverDate">
    <w:name w:val="Cover Date"/>
    <w:qFormat/>
    <w:rsid w:val="00E4674F"/>
    <w:pPr>
      <w:spacing w:before="200"/>
    </w:pPr>
    <w:rPr>
      <w:rFonts w:ascii="Lucida Fax" w:hAnsi="Lucida Fax"/>
      <w:color w:val="DC5034"/>
      <w:sz w:val="24"/>
      <w:szCs w:val="24"/>
      <w:lang w:eastAsia="en-US"/>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tblPr>
      <w:tblStyleRowBandSize w:val="1"/>
      <w:tblStyleColBandSize w:val="1"/>
      <w:tblBorders>
        <w:top w:val="single" w:sz="8" w:space="0" w:color="51626F"/>
        <w:left w:val="single" w:sz="8" w:space="0" w:color="51626F"/>
        <w:bottom w:val="single" w:sz="8" w:space="0" w:color="51626F"/>
        <w:right w:val="single" w:sz="8" w:space="0" w:color="51626F"/>
      </w:tblBorders>
    </w:tblPr>
    <w:tblStylePr w:type="firstRow">
      <w:pPr>
        <w:spacing w:before="0" w:after="0" w:line="240" w:lineRule="auto"/>
      </w:pPr>
      <w:rPr>
        <w:b/>
        <w:bCs/>
        <w:color w:val="FFFFFF"/>
      </w:rPr>
      <w:tblPr/>
      <w:tcPr>
        <w:shd w:val="clear" w:color="auto" w:fill="51626F"/>
      </w:tcPr>
    </w:tblStylePr>
    <w:tblStylePr w:type="lastRow">
      <w:pPr>
        <w:spacing w:before="0" w:after="0" w:line="240" w:lineRule="auto"/>
      </w:pPr>
      <w:rPr>
        <w:b/>
        <w:bCs/>
      </w:rPr>
      <w:tblPr/>
      <w:tcPr>
        <w:tcBorders>
          <w:top w:val="double" w:sz="6" w:space="0" w:color="51626F"/>
          <w:left w:val="single" w:sz="8" w:space="0" w:color="51626F"/>
          <w:bottom w:val="single" w:sz="8" w:space="0" w:color="51626F"/>
          <w:right w:val="single" w:sz="8" w:space="0" w:color="51626F"/>
        </w:tcBorders>
      </w:tcPr>
    </w:tblStylePr>
    <w:tblStylePr w:type="firstCol">
      <w:rPr>
        <w:b/>
        <w:bCs/>
      </w:rPr>
    </w:tblStylePr>
    <w:tblStylePr w:type="lastCol">
      <w:rPr>
        <w:b/>
        <w:bCs/>
      </w:rPr>
    </w:tblStylePr>
    <w:tblStylePr w:type="band1Vert">
      <w:tblPr/>
      <w:tcPr>
        <w:tcBorders>
          <w:top w:val="single" w:sz="8" w:space="0" w:color="51626F"/>
          <w:left w:val="single" w:sz="8" w:space="0" w:color="51626F"/>
          <w:bottom w:val="single" w:sz="8" w:space="0" w:color="51626F"/>
          <w:right w:val="single" w:sz="8" w:space="0" w:color="51626F"/>
        </w:tcBorders>
      </w:tcPr>
    </w:tblStylePr>
    <w:tblStylePr w:type="band1Horz">
      <w:tblPr/>
      <w:tcPr>
        <w:tcBorders>
          <w:top w:val="single" w:sz="8" w:space="0" w:color="51626F"/>
          <w:left w:val="single" w:sz="8" w:space="0" w:color="51626F"/>
          <w:bottom w:val="single" w:sz="8" w:space="0" w:color="51626F"/>
          <w:right w:val="single" w:sz="8" w:space="0" w:color="51626F"/>
        </w:tcBorders>
      </w:tcPr>
    </w:tblStylePr>
  </w:style>
  <w:style w:type="table" w:styleId="LightList-Accent3">
    <w:name w:val="Light List Accent 3"/>
    <w:basedOn w:val="TableNormal"/>
    <w:uiPriority w:val="61"/>
    <w:rsid w:val="0081034E"/>
    <w:tblPr>
      <w:tblStyleRowBandSize w:val="1"/>
      <w:tblStyleColBandSize w:val="1"/>
      <w:tblBorders>
        <w:top w:val="single" w:sz="8" w:space="0" w:color="0098C3"/>
        <w:left w:val="single" w:sz="8" w:space="0" w:color="0098C3"/>
        <w:bottom w:val="single" w:sz="8" w:space="0" w:color="0098C3"/>
        <w:right w:val="single" w:sz="8" w:space="0" w:color="0098C3"/>
      </w:tblBorders>
    </w:tblPr>
    <w:tblStylePr w:type="firstRow">
      <w:pPr>
        <w:spacing w:before="0" w:after="0" w:line="240" w:lineRule="auto"/>
      </w:pPr>
      <w:rPr>
        <w:b/>
        <w:bCs/>
        <w:color w:val="FFFFFF"/>
      </w:rPr>
      <w:tblPr/>
      <w:tcPr>
        <w:shd w:val="clear" w:color="auto" w:fill="0098C3"/>
      </w:tcPr>
    </w:tblStylePr>
    <w:tblStylePr w:type="lastRow">
      <w:pPr>
        <w:spacing w:before="0" w:after="0" w:line="240" w:lineRule="auto"/>
      </w:pPr>
      <w:rPr>
        <w:b/>
        <w:bCs/>
      </w:rPr>
      <w:tblPr/>
      <w:tcPr>
        <w:tcBorders>
          <w:top w:val="double" w:sz="6" w:space="0" w:color="0098C3"/>
          <w:left w:val="single" w:sz="8" w:space="0" w:color="0098C3"/>
          <w:bottom w:val="single" w:sz="8" w:space="0" w:color="0098C3"/>
          <w:right w:val="single" w:sz="8" w:space="0" w:color="0098C3"/>
        </w:tcBorders>
      </w:tcPr>
    </w:tblStylePr>
    <w:tblStylePr w:type="firstCol">
      <w:rPr>
        <w:b/>
        <w:bCs/>
      </w:rPr>
    </w:tblStylePr>
    <w:tblStylePr w:type="lastCol">
      <w:rPr>
        <w:b/>
        <w:bCs/>
      </w:rPr>
    </w:tblStylePr>
    <w:tblStylePr w:type="band1Vert">
      <w:tblPr/>
      <w:tcPr>
        <w:tcBorders>
          <w:top w:val="single" w:sz="8" w:space="0" w:color="0098C3"/>
          <w:left w:val="single" w:sz="8" w:space="0" w:color="0098C3"/>
          <w:bottom w:val="single" w:sz="8" w:space="0" w:color="0098C3"/>
          <w:right w:val="single" w:sz="8" w:space="0" w:color="0098C3"/>
        </w:tcBorders>
      </w:tcPr>
    </w:tblStylePr>
    <w:tblStylePr w:type="band1Horz">
      <w:tblPr/>
      <w:tcPr>
        <w:tcBorders>
          <w:top w:val="single" w:sz="8" w:space="0" w:color="0098C3"/>
          <w:left w:val="single" w:sz="8" w:space="0" w:color="0098C3"/>
          <w:bottom w:val="single" w:sz="8" w:space="0" w:color="0098C3"/>
          <w:right w:val="single" w:sz="8" w:space="0" w:color="0098C3"/>
        </w:tcBorders>
      </w:tcPr>
    </w:tblStylePr>
  </w:style>
  <w:style w:type="table" w:styleId="LightList-Accent5">
    <w:name w:val="Light List Accent 5"/>
    <w:basedOn w:val="TableNormal"/>
    <w:uiPriority w:val="61"/>
    <w:rsid w:val="005B1E3C"/>
    <w:tblPr>
      <w:tblStyleRowBandSize w:val="1"/>
      <w:tblStyleColBandSize w:val="1"/>
      <w:tblBorders>
        <w:top w:val="single" w:sz="8" w:space="0" w:color="B71202"/>
        <w:left w:val="single" w:sz="8" w:space="0" w:color="B71202"/>
        <w:bottom w:val="single" w:sz="8" w:space="0" w:color="B71202"/>
        <w:right w:val="single" w:sz="8" w:space="0" w:color="B71202"/>
      </w:tblBorders>
    </w:tblPr>
    <w:tblStylePr w:type="firstRow">
      <w:pPr>
        <w:spacing w:before="0" w:after="0" w:line="240" w:lineRule="auto"/>
      </w:pPr>
      <w:rPr>
        <w:b/>
        <w:bCs/>
        <w:color w:val="auto"/>
      </w:rPr>
      <w:tblPr/>
      <w:tcPr>
        <w:shd w:val="clear" w:color="auto" w:fill="B71202"/>
      </w:tcPr>
    </w:tblStylePr>
    <w:tblStylePr w:type="lastRow">
      <w:pPr>
        <w:spacing w:before="0" w:after="0" w:line="240" w:lineRule="auto"/>
      </w:pPr>
      <w:rPr>
        <w:b/>
        <w:bCs/>
      </w:rPr>
      <w:tblPr/>
      <w:tcPr>
        <w:tcBorders>
          <w:top w:val="double" w:sz="6" w:space="0" w:color="B71202"/>
          <w:left w:val="single" w:sz="8" w:space="0" w:color="B71202"/>
          <w:bottom w:val="single" w:sz="8" w:space="0" w:color="B71202"/>
          <w:right w:val="single" w:sz="8" w:space="0" w:color="B71202"/>
        </w:tcBorders>
      </w:tcPr>
    </w:tblStylePr>
    <w:tblStylePr w:type="firstCol">
      <w:rPr>
        <w:b/>
        <w:bCs/>
      </w:rPr>
    </w:tblStylePr>
    <w:tblStylePr w:type="lastCol">
      <w:rPr>
        <w:b/>
        <w:bCs/>
      </w:rPr>
    </w:tblStylePr>
    <w:tblStylePr w:type="band1Vert">
      <w:tblPr/>
      <w:tcPr>
        <w:tcBorders>
          <w:top w:val="single" w:sz="8" w:space="0" w:color="B71202"/>
          <w:left w:val="single" w:sz="8" w:space="0" w:color="B71202"/>
          <w:bottom w:val="single" w:sz="8" w:space="0" w:color="B71202"/>
          <w:right w:val="single" w:sz="8" w:space="0" w:color="B71202"/>
        </w:tcBorders>
      </w:tcPr>
    </w:tblStylePr>
    <w:tblStylePr w:type="band1Horz">
      <w:tblPr/>
      <w:tcPr>
        <w:tcBorders>
          <w:top w:val="single" w:sz="8" w:space="0" w:color="B71202"/>
          <w:left w:val="single" w:sz="8" w:space="0" w:color="B71202"/>
          <w:bottom w:val="single" w:sz="8" w:space="0" w:color="B71202"/>
          <w:right w:val="single" w:sz="8" w:space="0" w:color="B71202"/>
        </w:tcBorders>
      </w:tcPr>
    </w:tblStylePr>
  </w:style>
  <w:style w:type="character" w:styleId="Emphasis">
    <w:name w:val="Emphasis"/>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link w:val="FootnoteText"/>
    <w:uiPriority w:val="2"/>
    <w:rsid w:val="003A673F"/>
    <w:rPr>
      <w:rFonts w:ascii="Arial" w:hAnsi="Arial"/>
      <w:sz w:val="16"/>
      <w:szCs w:val="20"/>
    </w:rPr>
  </w:style>
  <w:style w:type="character" w:styleId="FootnoteReference">
    <w:name w:val="footnote reference"/>
    <w:uiPriority w:val="99"/>
    <w:unhideWhenUsed/>
    <w:rsid w:val="00701CAB"/>
    <w:rPr>
      <w:vertAlign w:val="superscript"/>
    </w:rPr>
  </w:style>
  <w:style w:type="character" w:styleId="Strong">
    <w:name w:val="Strong"/>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lang w:eastAsia="en-US"/>
    </w:rPr>
  </w:style>
  <w:style w:type="character" w:customStyle="1" w:styleId="SubtitleChar">
    <w:name w:val="Subtitle Char"/>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rPr>
      <w:color w:val="4DA5D9"/>
    </w:rPr>
    <w:tblPr>
      <w:tblStyleRowBandSize w:val="1"/>
      <w:tblStyleColBandSize w:val="1"/>
      <w:tblBorders>
        <w:top w:val="single" w:sz="8" w:space="0" w:color="A0CFEB"/>
        <w:bottom w:val="single" w:sz="8" w:space="0" w:color="A0CFEB"/>
      </w:tblBorders>
    </w:tblPr>
    <w:tblStylePr w:type="firstRow">
      <w:pPr>
        <w:spacing w:before="0" w:after="0" w:line="240" w:lineRule="auto"/>
      </w:pPr>
      <w:rPr>
        <w:b/>
        <w:bCs/>
      </w:rPr>
      <w:tblPr/>
      <w:tcPr>
        <w:tcBorders>
          <w:top w:val="single" w:sz="8" w:space="0" w:color="A0CFEB"/>
          <w:left w:val="nil"/>
          <w:bottom w:val="single" w:sz="8" w:space="0" w:color="A0CFEB"/>
          <w:right w:val="nil"/>
          <w:insideH w:val="nil"/>
          <w:insideV w:val="nil"/>
        </w:tcBorders>
      </w:tcPr>
    </w:tblStylePr>
    <w:tblStylePr w:type="lastRow">
      <w:pPr>
        <w:spacing w:before="0" w:after="0" w:line="240" w:lineRule="auto"/>
      </w:pPr>
      <w:rPr>
        <w:b/>
        <w:bCs/>
      </w:rPr>
      <w:tblPr/>
      <w:tcPr>
        <w:tcBorders>
          <w:top w:val="single" w:sz="8" w:space="0" w:color="A0CFEB"/>
          <w:left w:val="nil"/>
          <w:bottom w:val="single" w:sz="8" w:space="0" w:color="A0CFE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cPr>
    </w:tblStylePr>
    <w:tblStylePr w:type="band1Horz">
      <w:tblPr/>
      <w:tcPr>
        <w:tcBorders>
          <w:left w:val="nil"/>
          <w:right w:val="nil"/>
          <w:insideH w:val="nil"/>
          <w:insideV w:val="nil"/>
        </w:tcBorders>
        <w:shd w:val="clear" w:color="auto" w:fill="E7F3FA"/>
      </w:tcPr>
    </w:tblStylePr>
  </w:style>
  <w:style w:type="table" w:styleId="LightShading-Accent6">
    <w:name w:val="Light Shading Accent 6"/>
    <w:basedOn w:val="TableNormal"/>
    <w:uiPriority w:val="60"/>
    <w:rsid w:val="00746E01"/>
    <w:rPr>
      <w:color w:val="AD351E"/>
    </w:rPr>
    <w:tblPr>
      <w:tblStyleRowBandSize w:val="1"/>
      <w:tblStyleColBandSize w:val="1"/>
      <w:tblBorders>
        <w:top w:val="single" w:sz="8" w:space="0" w:color="DC5034"/>
        <w:bottom w:val="single" w:sz="8" w:space="0" w:color="DC5034"/>
      </w:tblBorders>
    </w:tblPr>
    <w:tblStylePr w:type="firstRow">
      <w:pPr>
        <w:spacing w:before="0" w:after="0" w:line="240" w:lineRule="auto"/>
      </w:pPr>
      <w:rPr>
        <w:b/>
        <w:bCs/>
      </w:rPr>
      <w:tblPr/>
      <w:tcPr>
        <w:tcBorders>
          <w:top w:val="single" w:sz="8" w:space="0" w:color="DC5034"/>
          <w:left w:val="nil"/>
          <w:bottom w:val="single" w:sz="8" w:space="0" w:color="DC5034"/>
          <w:right w:val="nil"/>
          <w:insideH w:val="nil"/>
          <w:insideV w:val="nil"/>
        </w:tcBorders>
      </w:tcPr>
    </w:tblStylePr>
    <w:tblStylePr w:type="lastRow">
      <w:pPr>
        <w:spacing w:before="0" w:after="0" w:line="240" w:lineRule="auto"/>
      </w:pPr>
      <w:rPr>
        <w:b/>
        <w:bCs/>
      </w:rPr>
      <w:tblPr/>
      <w:tcPr>
        <w:tcBorders>
          <w:top w:val="single" w:sz="8" w:space="0" w:color="DC5034"/>
          <w:left w:val="nil"/>
          <w:bottom w:val="single" w:sz="8" w:space="0" w:color="DC503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cPr>
    </w:tblStylePr>
    <w:tblStylePr w:type="band1Horz">
      <w:tblPr/>
      <w:tcPr>
        <w:tcBorders>
          <w:left w:val="nil"/>
          <w:right w:val="nil"/>
          <w:insideH w:val="nil"/>
          <w:insideV w:val="nil"/>
        </w:tcBorders>
        <w:shd w:val="clear" w:color="auto" w:fill="F6D3CC"/>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rPr>
    <w:tblPr>
      <w:tblBorders>
        <w:top w:val="single" w:sz="4" w:space="0" w:color="D5D6D2"/>
        <w:bottom w:val="single" w:sz="4" w:space="0" w:color="D5D6D2"/>
        <w:insideH w:val="single" w:sz="4" w:space="0" w:color="D5D6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tblPr>
      <w:tblStyleRowBandSize w:val="1"/>
      <w:tblStyleColBandSize w:val="1"/>
      <w:tblBorders>
        <w:top w:val="single" w:sz="8" w:space="0" w:color="4F2D7D"/>
        <w:left w:val="single" w:sz="8" w:space="0" w:color="4F2D7D"/>
        <w:bottom w:val="single" w:sz="8" w:space="0" w:color="4F2D7D"/>
        <w:right w:val="single" w:sz="8" w:space="0" w:color="4F2D7D"/>
      </w:tblBorders>
    </w:tblPr>
    <w:tblStylePr w:type="firstRow">
      <w:pPr>
        <w:spacing w:before="0" w:after="0" w:line="240" w:lineRule="auto"/>
      </w:pPr>
      <w:rPr>
        <w:b/>
        <w:bCs/>
        <w:color w:val="FFFFFF"/>
      </w:rPr>
      <w:tblPr/>
      <w:tcPr>
        <w:shd w:val="clear" w:color="auto" w:fill="4F2D7D"/>
      </w:tcPr>
    </w:tblStylePr>
    <w:tblStylePr w:type="lastRow">
      <w:pPr>
        <w:spacing w:before="0" w:after="0" w:line="240" w:lineRule="auto"/>
      </w:pPr>
      <w:rPr>
        <w:b/>
        <w:bCs/>
      </w:rPr>
      <w:tblPr/>
      <w:tcPr>
        <w:tcBorders>
          <w:top w:val="double" w:sz="6" w:space="0" w:color="4F2D7D"/>
          <w:left w:val="single" w:sz="8" w:space="0" w:color="4F2D7D"/>
          <w:bottom w:val="single" w:sz="8" w:space="0" w:color="4F2D7D"/>
          <w:right w:val="single" w:sz="8" w:space="0" w:color="4F2D7D"/>
        </w:tcBorders>
      </w:tcPr>
    </w:tblStylePr>
    <w:tblStylePr w:type="firstCol">
      <w:rPr>
        <w:b/>
        <w:bCs/>
      </w:rPr>
    </w:tblStylePr>
    <w:tblStylePr w:type="lastCol">
      <w:rPr>
        <w:b/>
        <w:bCs/>
      </w:rPr>
    </w:tblStylePr>
    <w:tblStylePr w:type="band1Vert">
      <w:tblPr/>
      <w:tcPr>
        <w:tcBorders>
          <w:top w:val="single" w:sz="8" w:space="0" w:color="4F2D7D"/>
          <w:left w:val="single" w:sz="8" w:space="0" w:color="4F2D7D"/>
          <w:bottom w:val="single" w:sz="8" w:space="0" w:color="4F2D7D"/>
          <w:right w:val="single" w:sz="8" w:space="0" w:color="4F2D7D"/>
        </w:tcBorders>
      </w:tcPr>
    </w:tblStylePr>
    <w:tblStylePr w:type="band1Horz">
      <w:tblPr/>
      <w:tcPr>
        <w:tcBorders>
          <w:top w:val="single" w:sz="8" w:space="0" w:color="4F2D7D"/>
          <w:left w:val="single" w:sz="8" w:space="0" w:color="4F2D7D"/>
          <w:bottom w:val="single" w:sz="8" w:space="0" w:color="4F2D7D"/>
          <w:right w:val="single" w:sz="8" w:space="0" w:color="4F2D7D"/>
        </w:tcBorders>
      </w:tcPr>
    </w:tblStylePr>
  </w:style>
  <w:style w:type="table" w:styleId="LightList-Accent4">
    <w:name w:val="Light List Accent 4"/>
    <w:basedOn w:val="TableNormal"/>
    <w:uiPriority w:val="61"/>
    <w:rsid w:val="009661DE"/>
    <w:tblPr>
      <w:tblStyleRowBandSize w:val="1"/>
      <w:tblStyleColBandSize w:val="1"/>
      <w:tblBorders>
        <w:top w:val="single" w:sz="8" w:space="0" w:color="A0CFEB"/>
        <w:left w:val="single" w:sz="8" w:space="0" w:color="A0CFEB"/>
        <w:bottom w:val="single" w:sz="8" w:space="0" w:color="A0CFEB"/>
        <w:right w:val="single" w:sz="8" w:space="0" w:color="A0CFEB"/>
      </w:tblBorders>
    </w:tblPr>
    <w:tblStylePr w:type="firstRow">
      <w:pPr>
        <w:spacing w:before="0" w:after="0" w:line="240" w:lineRule="auto"/>
      </w:pPr>
      <w:rPr>
        <w:b/>
        <w:bCs/>
        <w:color w:val="FFFFFF"/>
      </w:rPr>
      <w:tblPr/>
      <w:tcPr>
        <w:shd w:val="clear" w:color="auto" w:fill="A0CFEB"/>
      </w:tcPr>
    </w:tblStylePr>
    <w:tblStylePr w:type="lastRow">
      <w:pPr>
        <w:spacing w:before="0" w:after="0" w:line="240" w:lineRule="auto"/>
      </w:pPr>
      <w:rPr>
        <w:b/>
        <w:bCs/>
      </w:rPr>
      <w:tblPr/>
      <w:tcPr>
        <w:tcBorders>
          <w:top w:val="double" w:sz="6" w:space="0" w:color="A0CFEB"/>
          <w:left w:val="single" w:sz="8" w:space="0" w:color="A0CFEB"/>
          <w:bottom w:val="single" w:sz="8" w:space="0" w:color="A0CFEB"/>
          <w:right w:val="single" w:sz="8" w:space="0" w:color="A0CFEB"/>
        </w:tcBorders>
      </w:tcPr>
    </w:tblStylePr>
    <w:tblStylePr w:type="firstCol">
      <w:rPr>
        <w:b/>
        <w:bCs/>
      </w:rPr>
    </w:tblStylePr>
    <w:tblStylePr w:type="lastCol">
      <w:rPr>
        <w:b/>
        <w:bCs/>
      </w:rPr>
    </w:tblStylePr>
    <w:tblStylePr w:type="band1Vert">
      <w:tblPr/>
      <w:tcPr>
        <w:tcBorders>
          <w:top w:val="single" w:sz="8" w:space="0" w:color="A0CFEB"/>
          <w:left w:val="single" w:sz="8" w:space="0" w:color="A0CFEB"/>
          <w:bottom w:val="single" w:sz="8" w:space="0" w:color="A0CFEB"/>
          <w:right w:val="single" w:sz="8" w:space="0" w:color="A0CFEB"/>
        </w:tcBorders>
      </w:tcPr>
    </w:tblStylePr>
    <w:tblStylePr w:type="band1Horz">
      <w:tblPr/>
      <w:tcPr>
        <w:tcBorders>
          <w:top w:val="single" w:sz="8" w:space="0" w:color="A0CFEB"/>
          <w:left w:val="single" w:sz="8" w:space="0" w:color="A0CFEB"/>
          <w:bottom w:val="single" w:sz="8" w:space="0" w:color="A0CFEB"/>
          <w:right w:val="single" w:sz="8" w:space="0" w:color="A0CFEB"/>
        </w:tcBorders>
      </w:tcPr>
    </w:tblStylePr>
  </w:style>
  <w:style w:type="table" w:styleId="LightList-Accent6">
    <w:name w:val="Light List Accent 6"/>
    <w:basedOn w:val="TableNormal"/>
    <w:uiPriority w:val="61"/>
    <w:rsid w:val="009661DE"/>
    <w:tblPr>
      <w:tblStyleRowBandSize w:val="1"/>
      <w:tblStyleColBandSize w:val="1"/>
      <w:tblBorders>
        <w:top w:val="single" w:sz="8" w:space="0" w:color="DC5034"/>
        <w:left w:val="single" w:sz="8" w:space="0" w:color="DC5034"/>
        <w:bottom w:val="single" w:sz="8" w:space="0" w:color="DC5034"/>
        <w:right w:val="single" w:sz="8" w:space="0" w:color="DC5034"/>
      </w:tblBorders>
    </w:tblPr>
    <w:tblStylePr w:type="firstRow">
      <w:pPr>
        <w:spacing w:before="0" w:after="0" w:line="240" w:lineRule="auto"/>
      </w:pPr>
      <w:rPr>
        <w:b/>
        <w:bCs/>
        <w:color w:val="FFFFFF"/>
      </w:rPr>
      <w:tblPr/>
      <w:tcPr>
        <w:shd w:val="clear" w:color="auto" w:fill="DC5034"/>
      </w:tcPr>
    </w:tblStylePr>
    <w:tblStylePr w:type="lastRow">
      <w:pPr>
        <w:spacing w:before="0" w:after="0" w:line="240" w:lineRule="auto"/>
      </w:pPr>
      <w:rPr>
        <w:b/>
        <w:bCs/>
      </w:rPr>
      <w:tblPr/>
      <w:tcPr>
        <w:tcBorders>
          <w:top w:val="double" w:sz="6" w:space="0" w:color="DC5034"/>
          <w:left w:val="single" w:sz="8" w:space="0" w:color="DC5034"/>
          <w:bottom w:val="single" w:sz="8" w:space="0" w:color="DC5034"/>
          <w:right w:val="single" w:sz="8" w:space="0" w:color="DC5034"/>
        </w:tcBorders>
      </w:tcPr>
    </w:tblStylePr>
    <w:tblStylePr w:type="firstCol">
      <w:rPr>
        <w:b/>
        <w:bCs/>
      </w:rPr>
    </w:tblStylePr>
    <w:tblStylePr w:type="lastCol">
      <w:rPr>
        <w:b/>
        <w:bCs/>
      </w:rPr>
    </w:tblStylePr>
    <w:tblStylePr w:type="band1Vert">
      <w:tblPr/>
      <w:tcPr>
        <w:tcBorders>
          <w:top w:val="single" w:sz="8" w:space="0" w:color="DC5034"/>
          <w:left w:val="single" w:sz="8" w:space="0" w:color="DC5034"/>
          <w:bottom w:val="single" w:sz="8" w:space="0" w:color="DC5034"/>
          <w:right w:val="single" w:sz="8" w:space="0" w:color="DC5034"/>
        </w:tcBorders>
      </w:tcPr>
    </w:tblStylePr>
    <w:tblStylePr w:type="band1Horz">
      <w:tblPr/>
      <w:tcPr>
        <w:tcBorders>
          <w:top w:val="single" w:sz="8" w:space="0" w:color="DC5034"/>
          <w:left w:val="single" w:sz="8" w:space="0" w:color="DC5034"/>
          <w:bottom w:val="single" w:sz="8" w:space="0" w:color="DC5034"/>
          <w:right w:val="single" w:sz="8" w:space="0" w:color="DC5034"/>
        </w:tcBorders>
      </w:tcPr>
    </w:tblStylePr>
  </w:style>
  <w:style w:type="table" w:styleId="LightGrid">
    <w:name w:val="Light Grid"/>
    <w:basedOn w:val="TableNormal"/>
    <w:uiPriority w:val="62"/>
    <w:rsid w:val="009661D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Lucida Fax" w:eastAsia="Times New Roman" w:hAnsi="Lucida Fax"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Lucida Fax" w:eastAsia="Times New Roman" w:hAnsi="Lucida Fax"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661DE"/>
    <w:tblPr>
      <w:tblStyleRowBandSize w:val="1"/>
      <w:tblStyleColBandSize w:val="1"/>
      <w:tblBorders>
        <w:top w:val="single" w:sz="8" w:space="0" w:color="51626F"/>
        <w:left w:val="single" w:sz="8" w:space="0" w:color="51626F"/>
        <w:bottom w:val="single" w:sz="8" w:space="0" w:color="51626F"/>
        <w:right w:val="single" w:sz="8" w:space="0" w:color="51626F"/>
        <w:insideH w:val="single" w:sz="8" w:space="0" w:color="51626F"/>
        <w:insideV w:val="single" w:sz="8" w:space="0" w:color="51626F"/>
      </w:tblBorders>
    </w:tblPr>
    <w:tblStylePr w:type="firstRow">
      <w:pPr>
        <w:spacing w:before="0" w:after="0" w:line="240" w:lineRule="auto"/>
      </w:pPr>
      <w:rPr>
        <w:rFonts w:ascii="Lucida Fax" w:eastAsia="Times New Roman" w:hAnsi="Lucida Fax" w:cs="Times New Roman"/>
        <w:b/>
        <w:bCs/>
      </w:rPr>
      <w:tblPr/>
      <w:tcPr>
        <w:tcBorders>
          <w:top w:val="single" w:sz="8" w:space="0" w:color="51626F"/>
          <w:left w:val="single" w:sz="8" w:space="0" w:color="51626F"/>
          <w:bottom w:val="single" w:sz="18" w:space="0" w:color="51626F"/>
          <w:right w:val="single" w:sz="8" w:space="0" w:color="51626F"/>
          <w:insideH w:val="nil"/>
          <w:insideV w:val="single" w:sz="8" w:space="0" w:color="51626F"/>
        </w:tcBorders>
      </w:tcPr>
    </w:tblStylePr>
    <w:tblStylePr w:type="lastRow">
      <w:pPr>
        <w:spacing w:before="0" w:after="0" w:line="240" w:lineRule="auto"/>
      </w:pPr>
      <w:rPr>
        <w:rFonts w:ascii="Lucida Fax" w:eastAsia="Times New Roman" w:hAnsi="Lucida Fax" w:cs="Times New Roman"/>
        <w:b/>
        <w:bCs/>
      </w:rPr>
      <w:tblPr/>
      <w:tcPr>
        <w:tcBorders>
          <w:top w:val="double" w:sz="6" w:space="0" w:color="51626F"/>
          <w:left w:val="single" w:sz="8" w:space="0" w:color="51626F"/>
          <w:bottom w:val="single" w:sz="8" w:space="0" w:color="51626F"/>
          <w:right w:val="single" w:sz="8" w:space="0" w:color="51626F"/>
          <w:insideH w:val="nil"/>
          <w:insideV w:val="single" w:sz="8" w:space="0" w:color="51626F"/>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51626F"/>
          <w:left w:val="single" w:sz="8" w:space="0" w:color="51626F"/>
          <w:bottom w:val="single" w:sz="8" w:space="0" w:color="51626F"/>
          <w:right w:val="single" w:sz="8" w:space="0" w:color="51626F"/>
        </w:tcBorders>
      </w:tcPr>
    </w:tblStylePr>
    <w:tblStylePr w:type="band1Vert">
      <w:tblPr/>
      <w:tcPr>
        <w:tcBorders>
          <w:top w:val="single" w:sz="8" w:space="0" w:color="51626F"/>
          <w:left w:val="single" w:sz="8" w:space="0" w:color="51626F"/>
          <w:bottom w:val="single" w:sz="8" w:space="0" w:color="51626F"/>
          <w:right w:val="single" w:sz="8" w:space="0" w:color="51626F"/>
        </w:tcBorders>
        <w:shd w:val="clear" w:color="auto" w:fill="D1D8DD"/>
      </w:tcPr>
    </w:tblStylePr>
    <w:tblStylePr w:type="band1Horz">
      <w:tblPr/>
      <w:tcPr>
        <w:tcBorders>
          <w:top w:val="single" w:sz="8" w:space="0" w:color="51626F"/>
          <w:left w:val="single" w:sz="8" w:space="0" w:color="51626F"/>
          <w:bottom w:val="single" w:sz="8" w:space="0" w:color="51626F"/>
          <w:right w:val="single" w:sz="8" w:space="0" w:color="51626F"/>
          <w:insideV w:val="single" w:sz="8" w:space="0" w:color="51626F"/>
        </w:tcBorders>
        <w:shd w:val="clear" w:color="auto" w:fill="D1D8DD"/>
      </w:tcPr>
    </w:tblStylePr>
    <w:tblStylePr w:type="band2Horz">
      <w:tblPr/>
      <w:tcPr>
        <w:tcBorders>
          <w:top w:val="single" w:sz="8" w:space="0" w:color="51626F"/>
          <w:left w:val="single" w:sz="8" w:space="0" w:color="51626F"/>
          <w:bottom w:val="single" w:sz="8" w:space="0" w:color="51626F"/>
          <w:right w:val="single" w:sz="8" w:space="0" w:color="51626F"/>
          <w:insideV w:val="single" w:sz="8" w:space="0" w:color="51626F"/>
        </w:tcBorders>
      </w:tcPr>
    </w:tblStylePr>
  </w:style>
  <w:style w:type="table" w:styleId="LightGrid-Accent2">
    <w:name w:val="Light Grid Accent 2"/>
    <w:basedOn w:val="TableNormal"/>
    <w:uiPriority w:val="62"/>
    <w:rsid w:val="009661DE"/>
    <w:tblPr>
      <w:tblStyleRowBandSize w:val="1"/>
      <w:tblStyleColBandSize w:val="1"/>
      <w:tblBorders>
        <w:top w:val="single" w:sz="8" w:space="0" w:color="4F2D7D"/>
        <w:left w:val="single" w:sz="8" w:space="0" w:color="4F2D7D"/>
        <w:bottom w:val="single" w:sz="8" w:space="0" w:color="4F2D7D"/>
        <w:right w:val="single" w:sz="8" w:space="0" w:color="4F2D7D"/>
        <w:insideH w:val="single" w:sz="8" w:space="0" w:color="4F2D7D"/>
        <w:insideV w:val="single" w:sz="8" w:space="0" w:color="4F2D7D"/>
      </w:tblBorders>
    </w:tblPr>
    <w:tblStylePr w:type="firstRow">
      <w:pPr>
        <w:spacing w:before="0" w:after="0" w:line="240" w:lineRule="auto"/>
      </w:pPr>
      <w:rPr>
        <w:rFonts w:ascii="Lucida Fax" w:eastAsia="Times New Roman" w:hAnsi="Lucida Fax" w:cs="Times New Roman"/>
        <w:b/>
        <w:bCs/>
      </w:rPr>
      <w:tblPr/>
      <w:tcPr>
        <w:tcBorders>
          <w:top w:val="single" w:sz="8" w:space="0" w:color="4F2D7D"/>
          <w:left w:val="single" w:sz="8" w:space="0" w:color="4F2D7D"/>
          <w:bottom w:val="single" w:sz="18" w:space="0" w:color="4F2D7D"/>
          <w:right w:val="single" w:sz="8" w:space="0" w:color="4F2D7D"/>
          <w:insideH w:val="nil"/>
          <w:insideV w:val="single" w:sz="8" w:space="0" w:color="4F2D7D"/>
        </w:tcBorders>
      </w:tcPr>
    </w:tblStylePr>
    <w:tblStylePr w:type="lastRow">
      <w:pPr>
        <w:spacing w:before="0" w:after="0" w:line="240" w:lineRule="auto"/>
      </w:pPr>
      <w:rPr>
        <w:rFonts w:ascii="Lucida Fax" w:eastAsia="Times New Roman" w:hAnsi="Lucida Fax" w:cs="Times New Roman"/>
        <w:b/>
        <w:bCs/>
      </w:rPr>
      <w:tblPr/>
      <w:tcPr>
        <w:tcBorders>
          <w:top w:val="double" w:sz="6" w:space="0" w:color="4F2D7D"/>
          <w:left w:val="single" w:sz="8" w:space="0" w:color="4F2D7D"/>
          <w:bottom w:val="single" w:sz="8" w:space="0" w:color="4F2D7D"/>
          <w:right w:val="single" w:sz="8" w:space="0" w:color="4F2D7D"/>
          <w:insideH w:val="nil"/>
          <w:insideV w:val="single" w:sz="8" w:space="0" w:color="4F2D7D"/>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4F2D7D"/>
          <w:left w:val="single" w:sz="8" w:space="0" w:color="4F2D7D"/>
          <w:bottom w:val="single" w:sz="8" w:space="0" w:color="4F2D7D"/>
          <w:right w:val="single" w:sz="8" w:space="0" w:color="4F2D7D"/>
        </w:tcBorders>
      </w:tcPr>
    </w:tblStylePr>
    <w:tblStylePr w:type="band1Vert">
      <w:tblPr/>
      <w:tcPr>
        <w:tcBorders>
          <w:top w:val="single" w:sz="8" w:space="0" w:color="4F2D7D"/>
          <w:left w:val="single" w:sz="8" w:space="0" w:color="4F2D7D"/>
          <w:bottom w:val="single" w:sz="8" w:space="0" w:color="4F2D7D"/>
          <w:right w:val="single" w:sz="8" w:space="0" w:color="4F2D7D"/>
        </w:tcBorders>
        <w:shd w:val="clear" w:color="auto" w:fill="D1C1E8"/>
      </w:tcPr>
    </w:tblStylePr>
    <w:tblStylePr w:type="band1Horz">
      <w:tblPr/>
      <w:tcPr>
        <w:tcBorders>
          <w:top w:val="single" w:sz="8" w:space="0" w:color="4F2D7D"/>
          <w:left w:val="single" w:sz="8" w:space="0" w:color="4F2D7D"/>
          <w:bottom w:val="single" w:sz="8" w:space="0" w:color="4F2D7D"/>
          <w:right w:val="single" w:sz="8" w:space="0" w:color="4F2D7D"/>
          <w:insideV w:val="single" w:sz="8" w:space="0" w:color="4F2D7D"/>
        </w:tcBorders>
        <w:shd w:val="clear" w:color="auto" w:fill="D1C1E8"/>
      </w:tcPr>
    </w:tblStylePr>
    <w:tblStylePr w:type="band2Horz">
      <w:tblPr/>
      <w:tcPr>
        <w:tcBorders>
          <w:top w:val="single" w:sz="8" w:space="0" w:color="4F2D7D"/>
          <w:left w:val="single" w:sz="8" w:space="0" w:color="4F2D7D"/>
          <w:bottom w:val="single" w:sz="8" w:space="0" w:color="4F2D7D"/>
          <w:right w:val="single" w:sz="8" w:space="0" w:color="4F2D7D"/>
          <w:insideV w:val="single" w:sz="8" w:space="0" w:color="4F2D7D"/>
        </w:tcBorders>
      </w:tcPr>
    </w:tblStylePr>
  </w:style>
  <w:style w:type="table" w:styleId="LightGrid-Accent4">
    <w:name w:val="Light Grid Accent 4"/>
    <w:basedOn w:val="TableNormal"/>
    <w:uiPriority w:val="62"/>
    <w:rsid w:val="009661DE"/>
    <w:tblPr>
      <w:tblStyleRowBandSize w:val="1"/>
      <w:tblStyleColBandSize w:val="1"/>
      <w:tblBorders>
        <w:top w:val="single" w:sz="8" w:space="0" w:color="A0CFEB"/>
        <w:left w:val="single" w:sz="8" w:space="0" w:color="A0CFEB"/>
        <w:bottom w:val="single" w:sz="8" w:space="0" w:color="A0CFEB"/>
        <w:right w:val="single" w:sz="8" w:space="0" w:color="A0CFEB"/>
        <w:insideH w:val="single" w:sz="8" w:space="0" w:color="A0CFEB"/>
        <w:insideV w:val="single" w:sz="8" w:space="0" w:color="A0CFEB"/>
      </w:tblBorders>
    </w:tblPr>
    <w:tblStylePr w:type="firstRow">
      <w:pPr>
        <w:spacing w:before="0" w:after="0" w:line="240" w:lineRule="auto"/>
      </w:pPr>
      <w:rPr>
        <w:rFonts w:ascii="Lucida Fax" w:eastAsia="Times New Roman" w:hAnsi="Lucida Fax" w:cs="Times New Roman"/>
        <w:b/>
        <w:bCs/>
      </w:rPr>
      <w:tblPr/>
      <w:tcPr>
        <w:tcBorders>
          <w:top w:val="single" w:sz="8" w:space="0" w:color="A0CFEB"/>
          <w:left w:val="single" w:sz="8" w:space="0" w:color="A0CFEB"/>
          <w:bottom w:val="single" w:sz="18" w:space="0" w:color="A0CFEB"/>
          <w:right w:val="single" w:sz="8" w:space="0" w:color="A0CFEB"/>
          <w:insideH w:val="nil"/>
          <w:insideV w:val="single" w:sz="8" w:space="0" w:color="A0CFEB"/>
        </w:tcBorders>
      </w:tcPr>
    </w:tblStylePr>
    <w:tblStylePr w:type="lastRow">
      <w:pPr>
        <w:spacing w:before="0" w:after="0" w:line="240" w:lineRule="auto"/>
      </w:pPr>
      <w:rPr>
        <w:rFonts w:ascii="Lucida Fax" w:eastAsia="Times New Roman" w:hAnsi="Lucida Fax" w:cs="Times New Roman"/>
        <w:b/>
        <w:bCs/>
      </w:rPr>
      <w:tblPr/>
      <w:tcPr>
        <w:tcBorders>
          <w:top w:val="double" w:sz="6" w:space="0" w:color="A0CFEB"/>
          <w:left w:val="single" w:sz="8" w:space="0" w:color="A0CFEB"/>
          <w:bottom w:val="single" w:sz="8" w:space="0" w:color="A0CFEB"/>
          <w:right w:val="single" w:sz="8" w:space="0" w:color="A0CFEB"/>
          <w:insideH w:val="nil"/>
          <w:insideV w:val="single" w:sz="8" w:space="0" w:color="A0CFEB"/>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A0CFEB"/>
          <w:left w:val="single" w:sz="8" w:space="0" w:color="A0CFEB"/>
          <w:bottom w:val="single" w:sz="8" w:space="0" w:color="A0CFEB"/>
          <w:right w:val="single" w:sz="8" w:space="0" w:color="A0CFEB"/>
        </w:tcBorders>
      </w:tcPr>
    </w:tblStylePr>
    <w:tblStylePr w:type="band1Vert">
      <w:tblPr/>
      <w:tcPr>
        <w:tcBorders>
          <w:top w:val="single" w:sz="8" w:space="0" w:color="A0CFEB"/>
          <w:left w:val="single" w:sz="8" w:space="0" w:color="A0CFEB"/>
          <w:bottom w:val="single" w:sz="8" w:space="0" w:color="A0CFEB"/>
          <w:right w:val="single" w:sz="8" w:space="0" w:color="A0CFEB"/>
        </w:tcBorders>
        <w:shd w:val="clear" w:color="auto" w:fill="E7F3FA"/>
      </w:tcPr>
    </w:tblStylePr>
    <w:tblStylePr w:type="band1Horz">
      <w:tblPr/>
      <w:tcPr>
        <w:tcBorders>
          <w:top w:val="single" w:sz="8" w:space="0" w:color="A0CFEB"/>
          <w:left w:val="single" w:sz="8" w:space="0" w:color="A0CFEB"/>
          <w:bottom w:val="single" w:sz="8" w:space="0" w:color="A0CFEB"/>
          <w:right w:val="single" w:sz="8" w:space="0" w:color="A0CFEB"/>
          <w:insideV w:val="single" w:sz="8" w:space="0" w:color="A0CFEB"/>
        </w:tcBorders>
        <w:shd w:val="clear" w:color="auto" w:fill="E7F3FA"/>
      </w:tcPr>
    </w:tblStylePr>
    <w:tblStylePr w:type="band2Horz">
      <w:tblPr/>
      <w:tcPr>
        <w:tcBorders>
          <w:top w:val="single" w:sz="8" w:space="0" w:color="A0CFEB"/>
          <w:left w:val="single" w:sz="8" w:space="0" w:color="A0CFEB"/>
          <w:bottom w:val="single" w:sz="8" w:space="0" w:color="A0CFEB"/>
          <w:right w:val="single" w:sz="8" w:space="0" w:color="A0CFEB"/>
          <w:insideV w:val="single" w:sz="8" w:space="0" w:color="A0CFEB"/>
        </w:tcBorders>
      </w:tcPr>
    </w:tblStylePr>
  </w:style>
  <w:style w:type="table" w:styleId="LightGrid-Accent5">
    <w:name w:val="Light Grid Accent 5"/>
    <w:basedOn w:val="TableNormal"/>
    <w:uiPriority w:val="62"/>
    <w:rsid w:val="009661DE"/>
    <w:tblPr>
      <w:tblStyleRowBandSize w:val="1"/>
      <w:tblStyleColBandSize w:val="1"/>
      <w:tblBorders>
        <w:top w:val="single" w:sz="8" w:space="0" w:color="B71202"/>
        <w:left w:val="single" w:sz="8" w:space="0" w:color="B71202"/>
        <w:bottom w:val="single" w:sz="8" w:space="0" w:color="B71202"/>
        <w:right w:val="single" w:sz="8" w:space="0" w:color="B71202"/>
        <w:insideH w:val="single" w:sz="8" w:space="0" w:color="B71202"/>
        <w:insideV w:val="single" w:sz="8" w:space="0" w:color="B71202"/>
      </w:tblBorders>
    </w:tblPr>
    <w:tblStylePr w:type="firstRow">
      <w:pPr>
        <w:spacing w:before="0" w:after="0" w:line="240" w:lineRule="auto"/>
      </w:pPr>
      <w:rPr>
        <w:rFonts w:ascii="Lucida Fax" w:eastAsia="Times New Roman" w:hAnsi="Lucida Fax" w:cs="Times New Roman"/>
        <w:b/>
        <w:bCs/>
      </w:rPr>
      <w:tblPr/>
      <w:tcPr>
        <w:tcBorders>
          <w:top w:val="single" w:sz="8" w:space="0" w:color="B71202"/>
          <w:left w:val="single" w:sz="8" w:space="0" w:color="B71202"/>
          <w:bottom w:val="single" w:sz="18" w:space="0" w:color="B71202"/>
          <w:right w:val="single" w:sz="8" w:space="0" w:color="B71202"/>
          <w:insideH w:val="nil"/>
          <w:insideV w:val="single" w:sz="8" w:space="0" w:color="B71202"/>
        </w:tcBorders>
      </w:tcPr>
    </w:tblStylePr>
    <w:tblStylePr w:type="lastRow">
      <w:pPr>
        <w:spacing w:before="0" w:after="0" w:line="240" w:lineRule="auto"/>
      </w:pPr>
      <w:rPr>
        <w:rFonts w:ascii="Lucida Fax" w:eastAsia="Times New Roman" w:hAnsi="Lucida Fax" w:cs="Times New Roman"/>
        <w:b/>
        <w:bCs/>
      </w:rPr>
      <w:tblPr/>
      <w:tcPr>
        <w:tcBorders>
          <w:top w:val="double" w:sz="6" w:space="0" w:color="B71202"/>
          <w:left w:val="single" w:sz="8" w:space="0" w:color="B71202"/>
          <w:bottom w:val="single" w:sz="8" w:space="0" w:color="B71202"/>
          <w:right w:val="single" w:sz="8" w:space="0" w:color="B71202"/>
          <w:insideH w:val="nil"/>
          <w:insideV w:val="single" w:sz="8" w:space="0" w:color="B71202"/>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B71202"/>
          <w:left w:val="single" w:sz="8" w:space="0" w:color="B71202"/>
          <w:bottom w:val="single" w:sz="8" w:space="0" w:color="B71202"/>
          <w:right w:val="single" w:sz="8" w:space="0" w:color="B71202"/>
        </w:tcBorders>
      </w:tcPr>
    </w:tblStylePr>
    <w:tblStylePr w:type="band1Vert">
      <w:tblPr/>
      <w:tcPr>
        <w:tcBorders>
          <w:top w:val="single" w:sz="8" w:space="0" w:color="B71202"/>
          <w:left w:val="single" w:sz="8" w:space="0" w:color="B71202"/>
          <w:bottom w:val="single" w:sz="8" w:space="0" w:color="B71202"/>
          <w:right w:val="single" w:sz="8" w:space="0" w:color="B71202"/>
        </w:tcBorders>
        <w:shd w:val="clear" w:color="auto" w:fill="FEB6AF"/>
      </w:tcPr>
    </w:tblStylePr>
    <w:tblStylePr w:type="band1Horz">
      <w:tblPr/>
      <w:tcPr>
        <w:tcBorders>
          <w:top w:val="single" w:sz="8" w:space="0" w:color="B71202"/>
          <w:left w:val="single" w:sz="8" w:space="0" w:color="B71202"/>
          <w:bottom w:val="single" w:sz="8" w:space="0" w:color="B71202"/>
          <w:right w:val="single" w:sz="8" w:space="0" w:color="B71202"/>
          <w:insideV w:val="single" w:sz="8" w:space="0" w:color="B71202"/>
        </w:tcBorders>
        <w:shd w:val="clear" w:color="auto" w:fill="FEB6AF"/>
      </w:tcPr>
    </w:tblStylePr>
    <w:tblStylePr w:type="band2Horz">
      <w:tblPr/>
      <w:tcPr>
        <w:tcBorders>
          <w:top w:val="single" w:sz="8" w:space="0" w:color="B71202"/>
          <w:left w:val="single" w:sz="8" w:space="0" w:color="B71202"/>
          <w:bottom w:val="single" w:sz="8" w:space="0" w:color="B71202"/>
          <w:right w:val="single" w:sz="8" w:space="0" w:color="B71202"/>
          <w:insideV w:val="single" w:sz="8" w:space="0" w:color="B71202"/>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szCs w:val="20"/>
      <w:lang w:val="en-US" w:eastAsia="ja-JP"/>
    </w:rPr>
  </w:style>
  <w:style w:type="paragraph" w:customStyle="1" w:styleId="Numbered111111111">
    <w:name w:val="Numbered 1.1.1.1.1.1.1.1.1"/>
    <w:basedOn w:val="Heading9"/>
    <w:next w:val="Normal"/>
    <w:uiPriority w:val="2"/>
    <w:rsid w:val="00B60F5D"/>
    <w:pPr>
      <w:numPr>
        <w:numId w:val="0"/>
      </w:numPr>
      <w:tabs>
        <w:tab w:val="left" w:pos="2381"/>
      </w:tabs>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3"/>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bCs/>
      <w:szCs w:val="20"/>
    </w:rPr>
  </w:style>
  <w:style w:type="character" w:customStyle="1" w:styleId="Tabletext-rightChar">
    <w:name w:val="Table text - right Char"/>
    <w:link w:val="Tabletext-right"/>
    <w:rsid w:val="00063247"/>
    <w:rPr>
      <w:rFonts w:ascii="Arial" w:eastAsia="Times New Roman" w:hAnsi="Arial" w:cs="Times New Roman"/>
      <w:sz w:val="20"/>
      <w:szCs w:val="20"/>
    </w:rPr>
  </w:style>
  <w:style w:type="character" w:customStyle="1" w:styleId="TabletextChar">
    <w:name w:val="Table text Char"/>
    <w:link w:val="Tabletext"/>
    <w:uiPriority w:val="1"/>
    <w:rsid w:val="00584D8F"/>
    <w:rPr>
      <w:rFonts w:ascii="Arial" w:hAnsi="Arial"/>
      <w:sz w:val="20"/>
    </w:rPr>
  </w:style>
  <w:style w:type="character" w:customStyle="1" w:styleId="TableHeadingChar">
    <w:name w:val="Table Heading Char"/>
    <w:link w:val="TableHeading"/>
    <w:rsid w:val="00584D8F"/>
    <w:rPr>
      <w:rFonts w:ascii="Arial" w:hAnsi="Arial"/>
      <w:b/>
      <w:sz w:val="20"/>
    </w:rPr>
  </w:style>
  <w:style w:type="character" w:customStyle="1" w:styleId="TableHeading-rightChar">
    <w:name w:val="Table Heading - right Char"/>
    <w:link w:val="TableHeading-right"/>
    <w:rsid w:val="00584D8F"/>
    <w:rPr>
      <w:rFonts w:ascii="Arial" w:eastAsia="Times New Roman" w:hAnsi="Arial" w:cs="Times New Roman"/>
      <w:b/>
      <w:bCs/>
      <w:sz w:val="20"/>
      <w:szCs w:val="20"/>
    </w:rPr>
  </w:style>
  <w:style w:type="character" w:customStyle="1" w:styleId="Tabletext-centredChar">
    <w:name w:val="Table text - centred 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bCs/>
      <w:szCs w:val="20"/>
    </w:rPr>
  </w:style>
  <w:style w:type="character" w:customStyle="1" w:styleId="EndnoteTextChar">
    <w:name w:val="Endnote Text Char"/>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tblPr>
      <w:tblBorders>
        <w:insideV w:val="single" w:sz="4" w:space="0" w:color="D5D6D2"/>
      </w:tblBorders>
    </w:tblPr>
    <w:tblStylePr w:type="firstRow">
      <w:rPr>
        <w:rFonts w:ascii="Arial" w:hAnsi="Arial"/>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link w:val="Numbered1"/>
    <w:rsid w:val="00F61B84"/>
    <w:rPr>
      <w:rFonts w:ascii="Lucida Fax" w:eastAsia="Times New Roman" w:hAnsi="Lucida Fax"/>
      <w:bCs/>
      <w:color w:val="51626F"/>
      <w:sz w:val="32"/>
      <w:szCs w:val="28"/>
      <w:lang w:eastAsia="en-US"/>
    </w:rPr>
  </w:style>
  <w:style w:type="paragraph" w:customStyle="1" w:styleId="Numberedparagraph">
    <w:name w:val="Numbered paragraph"/>
    <w:basedOn w:val="Normal"/>
    <w:rsid w:val="00B60F5D"/>
    <w:pPr>
      <w:numPr>
        <w:numId w:val="1"/>
      </w:numPr>
      <w:ind w:left="680" w:hanging="680"/>
    </w:pPr>
    <w:rPr>
      <w:rFonts w:eastAsia="Times New Roman"/>
      <w:color w:val="000000"/>
      <w:szCs w:val="20"/>
    </w:rPr>
  </w:style>
  <w:style w:type="paragraph" w:customStyle="1" w:styleId="Listalphabet2">
    <w:name w:val="List alphabet 2"/>
    <w:rsid w:val="00CF799E"/>
    <w:pPr>
      <w:numPr>
        <w:numId w:val="12"/>
      </w:numPr>
      <w:tabs>
        <w:tab w:val="left" w:pos="680"/>
      </w:tabs>
      <w:spacing w:before="120"/>
    </w:pPr>
    <w:rPr>
      <w:sz w:val="22"/>
      <w:szCs w:val="22"/>
      <w:lang w:eastAsia="en-US"/>
    </w:rPr>
  </w:style>
  <w:style w:type="paragraph" w:customStyle="1" w:styleId="Listalphabet3">
    <w:name w:val="List alphabet 3"/>
    <w:rsid w:val="00CF799E"/>
    <w:pPr>
      <w:numPr>
        <w:numId w:val="18"/>
      </w:numPr>
      <w:tabs>
        <w:tab w:val="left" w:pos="1021"/>
      </w:tabs>
      <w:spacing w:before="120"/>
    </w:pPr>
    <w:rPr>
      <w:sz w:val="22"/>
      <w:szCs w:val="22"/>
      <w:lang w:eastAsia="en-US"/>
    </w:rPr>
  </w:style>
  <w:style w:type="paragraph" w:customStyle="1" w:styleId="Listalphabet4">
    <w:name w:val="List alphabet 4"/>
    <w:rsid w:val="00CF799E"/>
    <w:pPr>
      <w:numPr>
        <w:numId w:val="19"/>
      </w:numPr>
      <w:tabs>
        <w:tab w:val="left" w:pos="1361"/>
      </w:tabs>
      <w:spacing w:before="120"/>
    </w:pPr>
    <w:rPr>
      <w:sz w:val="22"/>
      <w:szCs w:val="22"/>
      <w:lang w:eastAsia="en-US"/>
    </w:rPr>
  </w:style>
  <w:style w:type="paragraph" w:customStyle="1" w:styleId="Listalphabet5">
    <w:name w:val="List alphabet 5"/>
    <w:rsid w:val="00CF799E"/>
    <w:pPr>
      <w:numPr>
        <w:numId w:val="20"/>
      </w:numPr>
      <w:tabs>
        <w:tab w:val="left" w:pos="1701"/>
      </w:tabs>
      <w:spacing w:before="120"/>
    </w:pPr>
    <w:rPr>
      <w:sz w:val="22"/>
      <w:szCs w:val="22"/>
      <w:lang w:eastAsia="en-US"/>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1"/>
      </w:numPr>
      <w:tabs>
        <w:tab w:val="left" w:pos="340"/>
      </w:tabs>
      <w:spacing w:before="120"/>
    </w:pPr>
    <w:rPr>
      <w:sz w:val="22"/>
      <w:szCs w:val="22"/>
      <w:lang w:eastAsia="en-US"/>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link w:val="NoteHeading"/>
    <w:uiPriority w:val="99"/>
    <w:semiHidden/>
    <w:rsid w:val="00F61B84"/>
    <w:rPr>
      <w:rFonts w:ascii="Arial" w:hAnsi="Arial"/>
    </w:rPr>
  </w:style>
  <w:style w:type="character" w:styleId="SubtleReference">
    <w:name w:val="Subtle Reference"/>
    <w:uiPriority w:val="31"/>
    <w:unhideWhenUsed/>
    <w:rsid w:val="00B60F5D"/>
    <w:rPr>
      <w:smallCaps/>
      <w:color w:val="4F2D7D"/>
      <w:u w:val="single"/>
    </w:rPr>
  </w:style>
  <w:style w:type="paragraph" w:customStyle="1" w:styleId="ListLegal">
    <w:name w:val="List Legal"/>
    <w:basedOn w:val="ListParagraph"/>
    <w:rsid w:val="00CF799E"/>
    <w:pPr>
      <w:numPr>
        <w:numId w:val="24"/>
      </w:numPr>
      <w:tabs>
        <w:tab w:val="clear" w:pos="340"/>
        <w:tab w:val="left" w:pos="680"/>
      </w:tabs>
    </w:pPr>
  </w:style>
  <w:style w:type="paragraph" w:customStyle="1" w:styleId="ListLegal2">
    <w:name w:val="List Legal 2"/>
    <w:basedOn w:val="ListLegal"/>
    <w:rsid w:val="00C06739"/>
    <w:pPr>
      <w:numPr>
        <w:numId w:val="15"/>
      </w:numPr>
      <w:tabs>
        <w:tab w:val="clear" w:pos="680"/>
        <w:tab w:val="left" w:pos="1021"/>
      </w:tabs>
    </w:pPr>
  </w:style>
  <w:style w:type="paragraph" w:customStyle="1" w:styleId="ListLegal3">
    <w:name w:val="List Legal 3"/>
    <w:basedOn w:val="ListNumber3"/>
    <w:rsid w:val="00CF799E"/>
    <w:pPr>
      <w:numPr>
        <w:numId w:val="14"/>
      </w:numPr>
      <w:tabs>
        <w:tab w:val="clear" w:pos="1021"/>
        <w:tab w:val="left" w:pos="1361"/>
      </w:tabs>
    </w:pPr>
  </w:style>
  <w:style w:type="paragraph" w:customStyle="1" w:styleId="ListLegal4">
    <w:name w:val="List Legal 4"/>
    <w:basedOn w:val="ListLegal3"/>
    <w:rsid w:val="00CF799E"/>
    <w:pPr>
      <w:numPr>
        <w:numId w:val="16"/>
      </w:numPr>
      <w:tabs>
        <w:tab w:val="clear" w:pos="1361"/>
        <w:tab w:val="left" w:pos="1701"/>
      </w:tabs>
    </w:pPr>
  </w:style>
  <w:style w:type="paragraph" w:customStyle="1" w:styleId="ListLegal5">
    <w:name w:val="List Legal 5"/>
    <w:basedOn w:val="ListLegal4"/>
    <w:rsid w:val="000F2368"/>
    <w:pPr>
      <w:numPr>
        <w:numId w:val="25"/>
      </w:numPr>
      <w:tabs>
        <w:tab w:val="clear" w:pos="1701"/>
        <w:tab w:val="left" w:pos="2041"/>
      </w:tabs>
    </w:pPr>
  </w:style>
  <w:style w:type="paragraph" w:customStyle="1" w:styleId="LegalNumbering">
    <w:name w:val="Legal Numbering"/>
    <w:basedOn w:val="Normal"/>
    <w:qFormat/>
    <w:rsid w:val="0002115F"/>
    <w:pPr>
      <w:numPr>
        <w:numId w:val="17"/>
      </w:numPr>
      <w:tabs>
        <w:tab w:val="left" w:pos="340"/>
        <w:tab w:val="left" w:pos="680"/>
        <w:tab w:val="left" w:pos="1021"/>
        <w:tab w:val="left" w:pos="1361"/>
      </w:tabs>
    </w:pPr>
  </w:style>
  <w:style w:type="character" w:styleId="CommentReference">
    <w:name w:val="annotation reference"/>
    <w:uiPriority w:val="99"/>
    <w:semiHidden/>
    <w:unhideWhenUsed/>
    <w:rsid w:val="004F0A93"/>
    <w:rPr>
      <w:sz w:val="16"/>
      <w:szCs w:val="16"/>
    </w:rPr>
  </w:style>
  <w:style w:type="paragraph" w:styleId="CommentText">
    <w:name w:val="annotation text"/>
    <w:basedOn w:val="Normal"/>
    <w:link w:val="CommentTextChar"/>
    <w:uiPriority w:val="99"/>
    <w:semiHidden/>
    <w:unhideWhenUsed/>
    <w:rsid w:val="004F0A93"/>
    <w:rPr>
      <w:sz w:val="20"/>
      <w:szCs w:val="20"/>
    </w:rPr>
  </w:style>
  <w:style w:type="character" w:customStyle="1" w:styleId="CommentTextChar">
    <w:name w:val="Comment Text Char"/>
    <w:link w:val="CommentText"/>
    <w:uiPriority w:val="99"/>
    <w:semiHidden/>
    <w:rsid w:val="004F0A93"/>
    <w:rPr>
      <w:lang w:eastAsia="en-US"/>
    </w:rPr>
  </w:style>
  <w:style w:type="paragraph" w:styleId="CommentSubject">
    <w:name w:val="annotation subject"/>
    <w:basedOn w:val="CommentText"/>
    <w:next w:val="CommentText"/>
    <w:link w:val="CommentSubjectChar"/>
    <w:uiPriority w:val="99"/>
    <w:semiHidden/>
    <w:unhideWhenUsed/>
    <w:rsid w:val="004F0A93"/>
    <w:rPr>
      <w:b/>
      <w:bCs/>
    </w:rPr>
  </w:style>
  <w:style w:type="character" w:customStyle="1" w:styleId="CommentSubjectChar">
    <w:name w:val="Comment Subject Char"/>
    <w:link w:val="CommentSubject"/>
    <w:uiPriority w:val="99"/>
    <w:semiHidden/>
    <w:rsid w:val="004F0A93"/>
    <w:rPr>
      <w:b/>
      <w:bCs/>
      <w:lang w:eastAsia="en-US"/>
    </w:rPr>
  </w:style>
  <w:style w:type="table" w:customStyle="1" w:styleId="ACCCTable2">
    <w:name w:val="ACCC Table2"/>
    <w:basedOn w:val="TableNormal"/>
    <w:next w:val="TableGrid"/>
    <w:uiPriority w:val="59"/>
    <w:rsid w:val="00B81452"/>
    <w:pPr>
      <w:spacing w:before="60" w:after="60"/>
    </w:pPr>
    <w:rPr>
      <w:szCs w:val="22"/>
      <w:lang w:eastAsia="en-US"/>
    </w:rPr>
    <w:tblPr>
      <w:tblBorders>
        <w:top w:val="single" w:sz="4" w:space="0" w:color="BFBFBF"/>
        <w:bottom w:val="single" w:sz="4" w:space="0" w:color="BFBF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left w:val="nil"/>
          <w:bottom w:val="single" w:sz="4" w:space="0" w:color="BFBF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customStyle="1" w:styleId="LightShading11">
    <w:name w:val="Light Shading11"/>
    <w:basedOn w:val="TableNormal"/>
    <w:next w:val="LightShading"/>
    <w:uiPriority w:val="60"/>
    <w:rsid w:val="00555F84"/>
    <w:pPr>
      <w:spacing w:before="120" w:after="120"/>
    </w:pPr>
    <w:rPr>
      <w:color w:val="000000"/>
      <w:szCs w:val="22"/>
      <w:lang w:eastAsia="en-US"/>
    </w:rPr>
    <w:tblPr>
      <w:tblBorders>
        <w:top w:val="single" w:sz="4" w:space="0" w:color="D5D6D2"/>
        <w:bottom w:val="single" w:sz="4" w:space="0" w:color="D5D6D2"/>
        <w:insideH w:val="single" w:sz="4" w:space="0" w:color="D5D6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vAlign w:val="center"/>
      </w:tcPr>
    </w:tblStylePr>
    <w:tblStylePr w:type="firstCol">
      <w:rPr>
        <w:b/>
        <w:bCs/>
        <w:sz w:val="20"/>
      </w:rPr>
    </w:tblStylePr>
    <w:tblStylePr w:type="lastCol">
      <w:rPr>
        <w:b/>
        <w:bCs/>
      </w:rPr>
    </w:tblStylePr>
  </w:style>
  <w:style w:type="paragraph" w:styleId="Revision">
    <w:name w:val="Revision"/>
    <w:hidden/>
    <w:uiPriority w:val="99"/>
    <w:semiHidden/>
    <w:rsid w:val="0039574F"/>
    <w:rPr>
      <w:sz w:val="22"/>
      <w:szCs w:val="22"/>
      <w:lang w:eastAsia="en-US"/>
    </w:rPr>
  </w:style>
  <w:style w:type="character" w:styleId="FollowedHyperlink">
    <w:name w:val="FollowedHyperlink"/>
    <w:uiPriority w:val="99"/>
    <w:semiHidden/>
    <w:unhideWhenUsed/>
    <w:rsid w:val="003B3A60"/>
    <w:rPr>
      <w:color w:val="800080"/>
      <w:u w:val="single"/>
    </w:rPr>
  </w:style>
  <w:style w:type="table" w:customStyle="1" w:styleId="TableGrid1">
    <w:name w:val="Table Grid1"/>
    <w:basedOn w:val="TableNormal"/>
    <w:next w:val="TableGrid"/>
    <w:uiPriority w:val="59"/>
    <w:rsid w:val="005406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9514">
      <w:bodyDiv w:val="1"/>
      <w:marLeft w:val="0"/>
      <w:marRight w:val="0"/>
      <w:marTop w:val="0"/>
      <w:marBottom w:val="0"/>
      <w:divBdr>
        <w:top w:val="none" w:sz="0" w:space="0" w:color="auto"/>
        <w:left w:val="none" w:sz="0" w:space="0" w:color="auto"/>
        <w:bottom w:val="none" w:sz="0" w:space="0" w:color="auto"/>
        <w:right w:val="none" w:sz="0" w:space="0" w:color="auto"/>
      </w:divBdr>
    </w:div>
    <w:div w:id="386488279">
      <w:bodyDiv w:val="1"/>
      <w:marLeft w:val="0"/>
      <w:marRight w:val="0"/>
      <w:marTop w:val="0"/>
      <w:marBottom w:val="0"/>
      <w:divBdr>
        <w:top w:val="none" w:sz="0" w:space="0" w:color="auto"/>
        <w:left w:val="none" w:sz="0" w:space="0" w:color="auto"/>
        <w:bottom w:val="none" w:sz="0" w:space="0" w:color="auto"/>
        <w:right w:val="none" w:sz="0" w:space="0" w:color="auto"/>
      </w:divBdr>
    </w:div>
    <w:div w:id="532697659">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reativecommons.org.a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productsafety.regulation@accc.gov.au" TargetMode="External"/><Relationship Id="rId2" Type="http://schemas.openxmlformats.org/officeDocument/2006/relationships/customXml" Target="../customXml/item2.xml"/><Relationship Id="rId16" Type="http://schemas.openxmlformats.org/officeDocument/2006/relationships/hyperlink" Target="http://www.business.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http://www.productsafety.gov.au/"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consultation.accc.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visioneyeinstitute.com.au/article/colour-blindness/" TargetMode="External"/><Relationship Id="rId2" Type="http://schemas.openxmlformats.org/officeDocument/2006/relationships/hyperlink" Target="http://www.productsafety.gov.au/content/index.phtml/itemId/1014180" TargetMode="External"/><Relationship Id="rId1" Type="http://schemas.openxmlformats.org/officeDocument/2006/relationships/hyperlink" Target="http://www.skincancer.org/prevention/sun-protection/for-your-eyes/the-eyelids-highly-susceptible-to-skin-ca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0DE7E9-4BAA-40DB-8EE2-ED55EA2E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51B926B8</Template>
  <TotalTime>11</TotalTime>
  <Pages>13</Pages>
  <Words>3730</Words>
  <Characters>21263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24944</CharactersWithSpaces>
  <SharedDoc>false</SharedDoc>
  <HLinks>
    <vt:vector size="18" baseType="variant">
      <vt:variant>
        <vt:i4>5439595</vt:i4>
      </vt:variant>
      <vt:variant>
        <vt:i4>3</vt:i4>
      </vt:variant>
      <vt:variant>
        <vt:i4>0</vt:i4>
      </vt:variant>
      <vt:variant>
        <vt:i4>5</vt:i4>
      </vt:variant>
      <vt:variant>
        <vt:lpwstr>mailto:productsafety.regulation@accc.gov.au</vt:lpwstr>
      </vt:variant>
      <vt:variant>
        <vt:lpwstr/>
      </vt:variant>
      <vt:variant>
        <vt:i4>2031625</vt:i4>
      </vt:variant>
      <vt:variant>
        <vt:i4>0</vt:i4>
      </vt:variant>
      <vt:variant>
        <vt:i4>0</vt:i4>
      </vt:variant>
      <vt:variant>
        <vt:i4>5</vt:i4>
      </vt:variant>
      <vt:variant>
        <vt:lpwstr>https://consultation.accc.gov.au/</vt:lpwstr>
      </vt:variant>
      <vt:variant>
        <vt:lpwstr/>
      </vt:variant>
      <vt:variant>
        <vt:i4>5701759</vt:i4>
      </vt:variant>
      <vt:variant>
        <vt:i4>0</vt:i4>
      </vt:variant>
      <vt:variant>
        <vt:i4>0</vt:i4>
      </vt:variant>
      <vt:variant>
        <vt:i4>5</vt:i4>
      </vt:variant>
      <vt:variant>
        <vt:lpwstr>https://www.dpmc.gov.au/sites/default/files/publications/industry_innovation_competitiveness_agenda.pdf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Isabel Ward</dc:creator>
  <cp:lastModifiedBy>Loiacono, Elizabeth</cp:lastModifiedBy>
  <cp:revision>3</cp:revision>
  <cp:lastPrinted>2016-08-19T00:10:00Z</cp:lastPrinted>
  <dcterms:created xsi:type="dcterms:W3CDTF">2016-09-26T00:53:00Z</dcterms:created>
  <dcterms:modified xsi:type="dcterms:W3CDTF">2016-09-26T01:06:00Z</dcterms:modified>
</cp:coreProperties>
</file>