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6001D1" w:rsidP="00935D49">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5.25pt;height:4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242590">
            <w:pPr>
              <w:pStyle w:val="NoSpacing"/>
              <w:spacing w:before="60" w:after="60"/>
              <w:rPr>
                <w:rFonts w:ascii="Lucida Fax" w:hAnsi="Lucida Fax"/>
                <w:color w:val="4F2D7D"/>
                <w:sz w:val="72"/>
                <w:szCs w:val="72"/>
              </w:rPr>
            </w:pPr>
            <w:r w:rsidRPr="00DD7648">
              <w:rPr>
                <w:rFonts w:ascii="Lucida Fax" w:hAnsi="Lucida Fax"/>
                <w:color w:val="4F2D7D"/>
                <w:sz w:val="72"/>
                <w:szCs w:val="72"/>
              </w:rPr>
              <w:t xml:space="preserve">Review of </w:t>
            </w:r>
            <w:r w:rsidR="00B2799D">
              <w:rPr>
                <w:rFonts w:ascii="Lucida Fax" w:hAnsi="Lucida Fax"/>
                <w:color w:val="4F2D7D"/>
                <w:sz w:val="72"/>
                <w:szCs w:val="72"/>
              </w:rPr>
              <w:t xml:space="preserve">the </w:t>
            </w:r>
            <w:r w:rsidR="00242590" w:rsidRPr="00276A10">
              <w:rPr>
                <w:rFonts w:ascii="Lucida Fax" w:hAnsi="Lucida Fax"/>
                <w:color w:val="4F2D7D"/>
                <w:sz w:val="72"/>
                <w:szCs w:val="72"/>
              </w:rPr>
              <w:t xml:space="preserve">mandatory </w:t>
            </w:r>
            <w:r w:rsidR="003A4CB3" w:rsidRPr="00276A10">
              <w:rPr>
                <w:rFonts w:ascii="Lucida Fax" w:hAnsi="Lucida Fax"/>
                <w:color w:val="4F2D7D"/>
                <w:sz w:val="72"/>
                <w:szCs w:val="72"/>
              </w:rPr>
              <w:t xml:space="preserve">safety </w:t>
            </w:r>
            <w:r w:rsidR="00242590" w:rsidRPr="00276A10">
              <w:rPr>
                <w:rFonts w:ascii="Lucida Fax" w:hAnsi="Lucida Fax"/>
                <w:color w:val="4F2D7D"/>
                <w:sz w:val="72"/>
                <w:szCs w:val="72"/>
              </w:rPr>
              <w:t>standard</w:t>
            </w:r>
            <w:r w:rsidR="00276A10">
              <w:rPr>
                <w:rFonts w:ascii="Lucida Fax" w:hAnsi="Lucida Fax"/>
                <w:color w:val="4F2D7D"/>
                <w:sz w:val="72"/>
                <w:szCs w:val="72"/>
              </w:rPr>
              <w:t xml:space="preserve"> for </w:t>
            </w:r>
            <w:r w:rsidR="001E7815">
              <w:rPr>
                <w:rFonts w:ascii="Lucida Fax" w:hAnsi="Lucida Fax"/>
                <w:color w:val="4F2D7D"/>
                <w:sz w:val="72"/>
                <w:szCs w:val="72"/>
              </w:rPr>
              <w:t xml:space="preserve">swimming </w:t>
            </w:r>
            <w:r w:rsidR="00276A10">
              <w:rPr>
                <w:rFonts w:ascii="Lucida Fax" w:hAnsi="Lucida Fax"/>
                <w:color w:val="4F2D7D"/>
                <w:sz w:val="72"/>
                <w:szCs w:val="72"/>
              </w:rPr>
              <w:t xml:space="preserve">and </w:t>
            </w:r>
            <w:r w:rsidR="001E7815">
              <w:rPr>
                <w:rFonts w:ascii="Lucida Fax" w:hAnsi="Lucida Fax"/>
                <w:color w:val="4F2D7D"/>
                <w:sz w:val="72"/>
                <w:szCs w:val="72"/>
              </w:rPr>
              <w:t xml:space="preserve">flotation </w:t>
            </w:r>
            <w:r w:rsidR="00276A10">
              <w:rPr>
                <w:rFonts w:ascii="Lucida Fax" w:hAnsi="Lucida Fax"/>
                <w:color w:val="4F2D7D"/>
                <w:sz w:val="72"/>
                <w:szCs w:val="72"/>
              </w:rPr>
              <w:t>aids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DD7648">
            <w:pPr>
              <w:pStyle w:val="NoSpacing"/>
              <w:spacing w:before="60" w:after="60"/>
            </w:pPr>
          </w:p>
          <w:p w:rsidR="00935D49" w:rsidRDefault="00A44BD5" w:rsidP="00DD7648">
            <w:pPr>
              <w:pStyle w:val="NoSpacing"/>
              <w:spacing w:before="60" w:after="60"/>
              <w:rPr>
                <w:rFonts w:ascii="Lucida Fax" w:hAnsi="Lucida Fax"/>
                <w:color w:val="FF0000"/>
                <w:sz w:val="24"/>
                <w:szCs w:val="24"/>
              </w:rPr>
            </w:pPr>
            <w:r>
              <w:rPr>
                <w:rFonts w:ascii="Lucida Fax" w:hAnsi="Lucida Fax"/>
                <w:color w:val="FF0000"/>
                <w:sz w:val="24"/>
                <w:szCs w:val="24"/>
              </w:rPr>
              <w:t>October</w:t>
            </w:r>
            <w:r w:rsidR="00D44E1E" w:rsidRPr="00D44E1E">
              <w:rPr>
                <w:rFonts w:ascii="Lucida Fax" w:hAnsi="Lucida Fax"/>
                <w:color w:val="FF0000"/>
                <w:sz w:val="24"/>
                <w:szCs w:val="24"/>
              </w:rPr>
              <w:t xml:space="preserve"> 2016</w:t>
            </w:r>
          </w:p>
          <w:p w:rsidR="00276A10" w:rsidRPr="00D44E1E" w:rsidRDefault="00276A10" w:rsidP="00DD7648">
            <w:pPr>
              <w:pStyle w:val="NoSpacing"/>
              <w:spacing w:before="60" w:after="60"/>
              <w:rPr>
                <w:rFonts w:ascii="Lucida Fax" w:hAnsi="Lucida Fax"/>
                <w:color w:val="FF0000"/>
                <w:sz w:val="24"/>
                <w:szCs w:val="24"/>
              </w:rPr>
            </w:pPr>
          </w:p>
          <w:p w:rsidR="00D44E1E" w:rsidRPr="00DD7648" w:rsidRDefault="006001D1" w:rsidP="00D44E1E">
            <w:pPr>
              <w:pStyle w:val="NoSpacing"/>
              <w:spacing w:before="60" w:after="60"/>
              <w:jc w:val="center"/>
              <w:rPr>
                <w:rFonts w:ascii="Lucida Fax" w:hAnsi="Lucida Fax"/>
                <w:sz w:val="52"/>
                <w:szCs w:val="52"/>
              </w:rPr>
            </w:pPr>
            <w:r>
              <w:rPr>
                <w:highlight w:val="yellow"/>
              </w:rPr>
              <w:pict>
                <v:shape id="_x0000_i1026" type="#_x0000_t75" style="width:154.5pt;height:154.5pt">
                  <v:imagedata r:id="rId11" o:title="shutterstock_37755478"/>
                </v:shape>
              </w:pict>
            </w:r>
          </w:p>
        </w:tc>
      </w:tr>
      <w:tr w:rsidR="00935D49" w:rsidRPr="00DD7648" w:rsidTr="00DD7648">
        <w:tc>
          <w:tcPr>
            <w:tcW w:w="9242" w:type="dxa"/>
            <w:shd w:val="clear" w:color="auto" w:fill="auto"/>
          </w:tcPr>
          <w:p w:rsidR="00935D49" w:rsidRPr="00DD7648" w:rsidRDefault="00935D49" w:rsidP="00D44E1E">
            <w:pPr>
              <w:pStyle w:val="CoverDate"/>
              <w:spacing w:before="60" w:after="60"/>
              <w:jc w:val="center"/>
            </w:pPr>
          </w:p>
          <w:p w:rsidR="00935D49" w:rsidRPr="00DD7648" w:rsidRDefault="00935D49" w:rsidP="00242590">
            <w:pPr>
              <w:pStyle w:val="CoverDate"/>
              <w:spacing w:before="60" w:after="60"/>
              <w:jc w:val="center"/>
            </w:pPr>
          </w:p>
          <w:p w:rsidR="00935D49" w:rsidRPr="00DD7648" w:rsidRDefault="00935D49" w:rsidP="00DD7648">
            <w:pPr>
              <w:pStyle w:val="CoverDate"/>
              <w:spacing w:before="60" w:after="60"/>
            </w:pPr>
          </w:p>
          <w:p w:rsidR="00935D49" w:rsidRPr="00DD7648" w:rsidRDefault="00935D49" w:rsidP="00DD7648">
            <w:pPr>
              <w:pStyle w:val="CoverDate"/>
              <w:spacing w:before="60" w:after="60"/>
            </w:pPr>
          </w:p>
          <w:p w:rsidR="00935D49" w:rsidRPr="00DD7648" w:rsidRDefault="00935D49" w:rsidP="00DD7648">
            <w:pPr>
              <w:pStyle w:val="CoverDate"/>
              <w:spacing w:before="60" w:after="60"/>
            </w:pPr>
          </w:p>
        </w:tc>
      </w:tr>
    </w:tbl>
    <w:p w:rsidR="00935D49" w:rsidRDefault="00935D49" w:rsidP="00262A59"/>
    <w:p w:rsidR="0022438B" w:rsidRDefault="0022438B">
      <w:pPr>
        <w:pStyle w:val="TOC1"/>
        <w:rPr>
          <w:b/>
        </w:rPr>
      </w:pPr>
    </w:p>
    <w:p w:rsidR="0022438B" w:rsidRDefault="0022438B">
      <w:pPr>
        <w:pStyle w:val="TOC1"/>
        <w:rPr>
          <w: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2438B" w:rsidRPr="0022438B" w:rsidRDefault="0022438B" w:rsidP="0002080C">
      <w:pPr>
        <w:jc w:val="center"/>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6001D1">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
            <v:textbox style="mso-next-textbox:#_x0000_s1034;mso-fit-shape-to-text:t">
              <w:txbxContent>
                <w:p w:rsidR="00AC613B" w:rsidRPr="004F2078" w:rsidRDefault="00AC613B"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swimming and flotation aids</w:t>
                  </w:r>
                  <w:r w:rsidRPr="004F2078">
                    <w:rPr>
                      <w:rFonts w:eastAsia="Calibri" w:cs="Arial"/>
                      <w:sz w:val="20"/>
                      <w:szCs w:val="20"/>
                      <w:lang w:val="en-GB"/>
                    </w:rPr>
                    <w:t>.</w:t>
                  </w:r>
                </w:p>
                <w:p w:rsidR="00AC613B" w:rsidRPr="004F2078" w:rsidRDefault="00AC613B" w:rsidP="00794033">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22438B" w:rsidRDefault="0022438B">
      <w:pPr>
        <w:pStyle w:val="TOC1"/>
        <w:rPr>
          <w:b/>
        </w:rPr>
      </w:pPr>
    </w:p>
    <w:p w:rsidR="00AF2073" w:rsidRDefault="00AF2073">
      <w:pPr>
        <w:pStyle w:val="TOC1"/>
        <w:rPr>
          <w:rFonts w:eastAsia="Calibri"/>
        </w:rPr>
      </w:pPr>
      <w:r w:rsidRPr="00DB6C88">
        <w:rPr>
          <w:b/>
        </w:rPr>
        <w:t>Table of contents</w:t>
      </w:r>
    </w:p>
    <w:p w:rsidR="00DF46B2" w:rsidRDefault="0086325C">
      <w:pPr>
        <w:pStyle w:val="TOC1"/>
        <w:rPr>
          <w:rFonts w:asciiTheme="minorHAnsi" w:eastAsiaTheme="minorEastAsia" w:hAnsiTheme="minorHAnsi" w:cstheme="minorBidi"/>
          <w:lang w:val="en-AU" w:eastAsia="en-AU"/>
        </w:rPr>
      </w:pPr>
      <w:r w:rsidRPr="00443B64">
        <w:rPr>
          <w:rFonts w:eastAsia="Calibri" w:cs="Arial"/>
          <w:sz w:val="20"/>
          <w:szCs w:val="20"/>
        </w:rPr>
        <w:fldChar w:fldCharType="begin"/>
      </w:r>
      <w:r w:rsidRPr="00443B64">
        <w:rPr>
          <w:rFonts w:cs="Arial"/>
          <w:sz w:val="20"/>
          <w:szCs w:val="20"/>
        </w:rPr>
        <w:instrText xml:space="preserve"> TOC \o \h \z \u </w:instrText>
      </w:r>
      <w:r w:rsidRPr="00443B64">
        <w:rPr>
          <w:rFonts w:eastAsia="Calibri" w:cs="Arial"/>
          <w:sz w:val="20"/>
          <w:szCs w:val="20"/>
        </w:rPr>
        <w:fldChar w:fldCharType="separate"/>
      </w:r>
      <w:hyperlink w:anchor="_Toc463961664" w:history="1">
        <w:r w:rsidR="00DF46B2" w:rsidRPr="00D90DDF">
          <w:rPr>
            <w:rStyle w:val="Hyperlink"/>
          </w:rPr>
          <w:t>1.</w:t>
        </w:r>
        <w:r w:rsidR="00DF46B2">
          <w:rPr>
            <w:rFonts w:asciiTheme="minorHAnsi" w:eastAsiaTheme="minorEastAsia" w:hAnsiTheme="minorHAnsi" w:cstheme="minorBidi"/>
            <w:lang w:val="en-AU" w:eastAsia="en-AU"/>
          </w:rPr>
          <w:tab/>
        </w:r>
        <w:r w:rsidR="00DF46B2" w:rsidRPr="00D90DDF">
          <w:rPr>
            <w:rStyle w:val="Hyperlink"/>
          </w:rPr>
          <w:t>Introduction</w:t>
        </w:r>
        <w:r w:rsidR="00DF46B2">
          <w:rPr>
            <w:webHidden/>
          </w:rPr>
          <w:tab/>
        </w:r>
        <w:r w:rsidR="00DF46B2">
          <w:rPr>
            <w:webHidden/>
          </w:rPr>
          <w:fldChar w:fldCharType="begin"/>
        </w:r>
        <w:r w:rsidR="00DF46B2">
          <w:rPr>
            <w:webHidden/>
          </w:rPr>
          <w:instrText xml:space="preserve"> PAGEREF _Toc463961664 \h </w:instrText>
        </w:r>
        <w:r w:rsidR="00DF46B2">
          <w:rPr>
            <w:webHidden/>
          </w:rPr>
        </w:r>
        <w:r w:rsidR="00DF46B2">
          <w:rPr>
            <w:webHidden/>
          </w:rPr>
          <w:fldChar w:fldCharType="separate"/>
        </w:r>
        <w:r w:rsidR="006001D1">
          <w:rPr>
            <w:webHidden/>
          </w:rPr>
          <w:t>3</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65" w:history="1">
        <w:r w:rsidR="00DF46B2" w:rsidRPr="00D90DDF">
          <w:rPr>
            <w:rStyle w:val="Hyperlink"/>
          </w:rPr>
          <w:t>2.</w:t>
        </w:r>
        <w:r w:rsidR="00DF46B2">
          <w:rPr>
            <w:rFonts w:asciiTheme="minorHAnsi" w:eastAsiaTheme="minorEastAsia" w:hAnsiTheme="minorHAnsi" w:cstheme="minorBidi"/>
            <w:lang w:val="en-AU" w:eastAsia="en-AU"/>
          </w:rPr>
          <w:tab/>
        </w:r>
        <w:r w:rsidR="00DF46B2" w:rsidRPr="00D90DDF">
          <w:rPr>
            <w:rStyle w:val="Hyperlink"/>
          </w:rPr>
          <w:t>Policy options</w:t>
        </w:r>
        <w:r w:rsidR="00DF46B2">
          <w:rPr>
            <w:webHidden/>
          </w:rPr>
          <w:tab/>
        </w:r>
        <w:r w:rsidR="00DF46B2">
          <w:rPr>
            <w:webHidden/>
          </w:rPr>
          <w:fldChar w:fldCharType="begin"/>
        </w:r>
        <w:r w:rsidR="00DF46B2">
          <w:rPr>
            <w:webHidden/>
          </w:rPr>
          <w:instrText xml:space="preserve"> PAGEREF _Toc463961665 \h </w:instrText>
        </w:r>
        <w:r w:rsidR="00DF46B2">
          <w:rPr>
            <w:webHidden/>
          </w:rPr>
        </w:r>
        <w:r w:rsidR="00DF46B2">
          <w:rPr>
            <w:webHidden/>
          </w:rPr>
          <w:fldChar w:fldCharType="separate"/>
        </w:r>
        <w:r>
          <w:rPr>
            <w:webHidden/>
          </w:rPr>
          <w:t>3</w:t>
        </w:r>
        <w:r w:rsidR="00DF46B2">
          <w:rPr>
            <w:webHidden/>
          </w:rPr>
          <w:fldChar w:fldCharType="end"/>
        </w:r>
      </w:hyperlink>
    </w:p>
    <w:p w:rsidR="00DF46B2" w:rsidRPr="00DF46B2" w:rsidRDefault="006001D1" w:rsidP="00DF46B2">
      <w:pPr>
        <w:pStyle w:val="TOC1"/>
        <w:rPr>
          <w:rFonts w:asciiTheme="minorHAnsi" w:eastAsiaTheme="minorEastAsia" w:hAnsiTheme="minorHAnsi" w:cstheme="minorBidi"/>
          <w:lang w:val="en-AU" w:eastAsia="en-AU"/>
        </w:rPr>
      </w:pPr>
      <w:hyperlink w:anchor="_Toc463961666" w:history="1">
        <w:r w:rsidR="00DF46B2" w:rsidRPr="00D90DDF">
          <w:rPr>
            <w:rStyle w:val="Hyperlink"/>
          </w:rPr>
          <w:t>3.</w:t>
        </w:r>
        <w:r w:rsidR="00DF46B2">
          <w:rPr>
            <w:rFonts w:asciiTheme="minorHAnsi" w:eastAsiaTheme="minorEastAsia" w:hAnsiTheme="minorHAnsi" w:cstheme="minorBidi"/>
            <w:lang w:val="en-AU" w:eastAsia="en-AU"/>
          </w:rPr>
          <w:tab/>
        </w:r>
        <w:r w:rsidR="00DF46B2" w:rsidRPr="00D90DDF">
          <w:rPr>
            <w:rStyle w:val="Hyperlink"/>
          </w:rPr>
          <w:t>Background</w:t>
        </w:r>
        <w:r w:rsidR="00DF46B2">
          <w:rPr>
            <w:webHidden/>
          </w:rPr>
          <w:tab/>
        </w:r>
        <w:r w:rsidR="00DF46B2">
          <w:rPr>
            <w:webHidden/>
          </w:rPr>
          <w:fldChar w:fldCharType="begin"/>
        </w:r>
        <w:r w:rsidR="00DF46B2">
          <w:rPr>
            <w:webHidden/>
          </w:rPr>
          <w:instrText xml:space="preserve"> PAGEREF _Toc463961666 \h </w:instrText>
        </w:r>
        <w:r w:rsidR="00DF46B2">
          <w:rPr>
            <w:webHidden/>
          </w:rPr>
        </w:r>
        <w:r w:rsidR="00DF46B2">
          <w:rPr>
            <w:webHidden/>
          </w:rPr>
          <w:fldChar w:fldCharType="separate"/>
        </w:r>
        <w:r>
          <w:rPr>
            <w:webHidden/>
          </w:rPr>
          <w:t>3</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69" w:history="1">
        <w:r w:rsidR="00DF46B2" w:rsidRPr="00D90DDF">
          <w:rPr>
            <w:rStyle w:val="Hyperlink"/>
          </w:rPr>
          <w:t>4.</w:t>
        </w:r>
        <w:r w:rsidR="00DF46B2">
          <w:rPr>
            <w:rFonts w:asciiTheme="minorHAnsi" w:eastAsiaTheme="minorEastAsia" w:hAnsiTheme="minorHAnsi" w:cstheme="minorBidi"/>
            <w:lang w:val="en-AU" w:eastAsia="en-AU"/>
          </w:rPr>
          <w:tab/>
        </w:r>
        <w:r w:rsidR="00DF46B2" w:rsidRPr="00D90DDF">
          <w:rPr>
            <w:rStyle w:val="Hyperlink"/>
          </w:rPr>
          <w:t>Adopting international standards</w:t>
        </w:r>
        <w:r w:rsidR="00DF46B2">
          <w:rPr>
            <w:webHidden/>
          </w:rPr>
          <w:tab/>
        </w:r>
        <w:r w:rsidR="00DF46B2">
          <w:rPr>
            <w:webHidden/>
          </w:rPr>
          <w:fldChar w:fldCharType="begin"/>
        </w:r>
        <w:r w:rsidR="00DF46B2">
          <w:rPr>
            <w:webHidden/>
          </w:rPr>
          <w:instrText xml:space="preserve"> PAGEREF _Toc463961669 \h </w:instrText>
        </w:r>
        <w:r w:rsidR="00DF46B2">
          <w:rPr>
            <w:webHidden/>
          </w:rPr>
        </w:r>
        <w:r w:rsidR="00DF46B2">
          <w:rPr>
            <w:webHidden/>
          </w:rPr>
          <w:fldChar w:fldCharType="separate"/>
        </w:r>
        <w:r>
          <w:rPr>
            <w:webHidden/>
          </w:rPr>
          <w:t>4</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72" w:history="1">
        <w:r w:rsidR="00DF46B2" w:rsidRPr="00D90DDF">
          <w:rPr>
            <w:rStyle w:val="Hyperlink"/>
          </w:rPr>
          <w:t>5.</w:t>
        </w:r>
        <w:r w:rsidR="00DF46B2">
          <w:rPr>
            <w:rFonts w:asciiTheme="minorHAnsi" w:eastAsiaTheme="minorEastAsia" w:hAnsiTheme="minorHAnsi" w:cstheme="minorBidi"/>
            <w:lang w:val="en-AU" w:eastAsia="en-AU"/>
          </w:rPr>
          <w:tab/>
        </w:r>
        <w:r w:rsidR="00DF46B2" w:rsidRPr="00D90DDF">
          <w:rPr>
            <w:rStyle w:val="Hyperlink"/>
          </w:rPr>
          <w:t>Detailed description of policy options</w:t>
        </w:r>
        <w:r w:rsidR="00DF46B2">
          <w:rPr>
            <w:webHidden/>
          </w:rPr>
          <w:tab/>
        </w:r>
        <w:r w:rsidR="00DF46B2">
          <w:rPr>
            <w:webHidden/>
          </w:rPr>
          <w:fldChar w:fldCharType="begin"/>
        </w:r>
        <w:r w:rsidR="00DF46B2">
          <w:rPr>
            <w:webHidden/>
          </w:rPr>
          <w:instrText xml:space="preserve"> PAGEREF _Toc463961672 \h </w:instrText>
        </w:r>
        <w:r w:rsidR="00DF46B2">
          <w:rPr>
            <w:webHidden/>
          </w:rPr>
        </w:r>
        <w:r w:rsidR="00DF46B2">
          <w:rPr>
            <w:webHidden/>
          </w:rPr>
          <w:fldChar w:fldCharType="separate"/>
        </w:r>
        <w:r>
          <w:rPr>
            <w:webHidden/>
          </w:rPr>
          <w:t>6</w:t>
        </w:r>
        <w:r w:rsidR="00DF46B2">
          <w:rPr>
            <w:webHidden/>
          </w:rPr>
          <w:fldChar w:fldCharType="end"/>
        </w:r>
      </w:hyperlink>
    </w:p>
    <w:p w:rsidR="00DF46B2" w:rsidRDefault="006001D1">
      <w:pPr>
        <w:pStyle w:val="TOC2"/>
        <w:rPr>
          <w:rFonts w:asciiTheme="minorHAnsi" w:eastAsiaTheme="minorEastAsia" w:hAnsiTheme="minorHAnsi" w:cstheme="minorBidi"/>
          <w:lang w:eastAsia="en-AU"/>
        </w:rPr>
      </w:pPr>
      <w:hyperlink w:anchor="_Toc463961673" w:history="1">
        <w:r w:rsidR="00DF46B2" w:rsidRPr="00D90DDF">
          <w:rPr>
            <w:rStyle w:val="Hyperlink"/>
          </w:rPr>
          <w:t>Option 1 - Keep the current mandatory safety standard (status quo)</w:t>
        </w:r>
        <w:r w:rsidR="00DF46B2">
          <w:rPr>
            <w:webHidden/>
          </w:rPr>
          <w:tab/>
        </w:r>
        <w:r w:rsidR="00DF46B2">
          <w:rPr>
            <w:webHidden/>
          </w:rPr>
          <w:fldChar w:fldCharType="begin"/>
        </w:r>
        <w:r w:rsidR="00DF46B2">
          <w:rPr>
            <w:webHidden/>
          </w:rPr>
          <w:instrText xml:space="preserve"> PAGEREF _Toc463961673 \h </w:instrText>
        </w:r>
        <w:r w:rsidR="00DF46B2">
          <w:rPr>
            <w:webHidden/>
          </w:rPr>
        </w:r>
        <w:r w:rsidR="00DF46B2">
          <w:rPr>
            <w:webHidden/>
          </w:rPr>
          <w:fldChar w:fldCharType="separate"/>
        </w:r>
        <w:r>
          <w:rPr>
            <w:webHidden/>
          </w:rPr>
          <w:t>6</w:t>
        </w:r>
        <w:r w:rsidR="00DF46B2">
          <w:rPr>
            <w:webHidden/>
          </w:rPr>
          <w:fldChar w:fldCharType="end"/>
        </w:r>
      </w:hyperlink>
    </w:p>
    <w:p w:rsidR="00DF46B2" w:rsidRDefault="006001D1">
      <w:pPr>
        <w:pStyle w:val="TOC2"/>
        <w:rPr>
          <w:rFonts w:asciiTheme="minorHAnsi" w:eastAsiaTheme="minorEastAsia" w:hAnsiTheme="minorHAnsi" w:cstheme="minorBidi"/>
          <w:lang w:eastAsia="en-AU"/>
        </w:rPr>
      </w:pPr>
      <w:hyperlink w:anchor="_Toc463961677" w:history="1">
        <w:r w:rsidR="00DF46B2" w:rsidRPr="00D90DDF">
          <w:rPr>
            <w:rStyle w:val="Hyperlink"/>
          </w:rPr>
          <w:t>Option 2 – Adopt the updated voluntary Australian standard</w:t>
        </w:r>
        <w:r w:rsidR="00DF46B2">
          <w:rPr>
            <w:webHidden/>
          </w:rPr>
          <w:tab/>
        </w:r>
        <w:r w:rsidR="00DF46B2">
          <w:rPr>
            <w:webHidden/>
          </w:rPr>
          <w:fldChar w:fldCharType="begin"/>
        </w:r>
        <w:r w:rsidR="00DF46B2">
          <w:rPr>
            <w:webHidden/>
          </w:rPr>
          <w:instrText xml:space="preserve"> PAGEREF _Toc463961677 \h </w:instrText>
        </w:r>
        <w:r w:rsidR="00DF46B2">
          <w:rPr>
            <w:webHidden/>
          </w:rPr>
        </w:r>
        <w:r w:rsidR="00DF46B2">
          <w:rPr>
            <w:webHidden/>
          </w:rPr>
          <w:fldChar w:fldCharType="separate"/>
        </w:r>
        <w:r>
          <w:rPr>
            <w:webHidden/>
          </w:rPr>
          <w:t>6</w:t>
        </w:r>
        <w:r w:rsidR="00DF46B2">
          <w:rPr>
            <w:webHidden/>
          </w:rPr>
          <w:fldChar w:fldCharType="end"/>
        </w:r>
      </w:hyperlink>
    </w:p>
    <w:p w:rsidR="00DF46B2" w:rsidRDefault="006001D1">
      <w:pPr>
        <w:pStyle w:val="TOC2"/>
        <w:rPr>
          <w:rFonts w:asciiTheme="minorHAnsi" w:eastAsiaTheme="minorEastAsia" w:hAnsiTheme="minorHAnsi" w:cstheme="minorBidi"/>
          <w:lang w:eastAsia="en-AU"/>
        </w:rPr>
      </w:pPr>
      <w:hyperlink w:anchor="_Toc463961681" w:history="1">
        <w:r w:rsidR="00DF46B2" w:rsidRPr="00D90DDF">
          <w:rPr>
            <w:rStyle w:val="Hyperlink"/>
          </w:rPr>
          <w:t>Option 3 - Allow compliance with the updated voluntary Australian standard or the European standard</w:t>
        </w:r>
        <w:r w:rsidR="00DF46B2">
          <w:rPr>
            <w:webHidden/>
          </w:rPr>
          <w:tab/>
        </w:r>
        <w:r w:rsidR="00DF46B2">
          <w:rPr>
            <w:webHidden/>
          </w:rPr>
          <w:fldChar w:fldCharType="begin"/>
        </w:r>
        <w:r w:rsidR="00DF46B2">
          <w:rPr>
            <w:webHidden/>
          </w:rPr>
          <w:instrText xml:space="preserve"> PAGEREF _Toc463961681 \h </w:instrText>
        </w:r>
        <w:r w:rsidR="00DF46B2">
          <w:rPr>
            <w:webHidden/>
          </w:rPr>
        </w:r>
        <w:r w:rsidR="00DF46B2">
          <w:rPr>
            <w:webHidden/>
          </w:rPr>
          <w:fldChar w:fldCharType="separate"/>
        </w:r>
        <w:r>
          <w:rPr>
            <w:webHidden/>
          </w:rPr>
          <w:t>7</w:t>
        </w:r>
        <w:r w:rsidR="00DF46B2">
          <w:rPr>
            <w:webHidden/>
          </w:rPr>
          <w:fldChar w:fldCharType="end"/>
        </w:r>
      </w:hyperlink>
    </w:p>
    <w:p w:rsidR="00DF46B2" w:rsidRDefault="006001D1">
      <w:pPr>
        <w:pStyle w:val="TOC2"/>
        <w:rPr>
          <w:rFonts w:asciiTheme="minorHAnsi" w:eastAsiaTheme="minorEastAsia" w:hAnsiTheme="minorHAnsi" w:cstheme="minorBidi"/>
          <w:lang w:eastAsia="en-AU"/>
        </w:rPr>
      </w:pPr>
      <w:hyperlink w:anchor="_Toc463961685" w:history="1">
        <w:r w:rsidR="00DF46B2" w:rsidRPr="00D90DDF">
          <w:rPr>
            <w:rStyle w:val="Hyperlink"/>
          </w:rPr>
          <w:t>Option 4 - Revoke the mandatory safety standard</w:t>
        </w:r>
        <w:r w:rsidR="00DF46B2">
          <w:rPr>
            <w:webHidden/>
          </w:rPr>
          <w:tab/>
        </w:r>
        <w:r w:rsidR="00DF46B2">
          <w:rPr>
            <w:webHidden/>
          </w:rPr>
          <w:fldChar w:fldCharType="begin"/>
        </w:r>
        <w:r w:rsidR="00DF46B2">
          <w:rPr>
            <w:webHidden/>
          </w:rPr>
          <w:instrText xml:space="preserve"> PAGEREF _Toc463961685 \h </w:instrText>
        </w:r>
        <w:r w:rsidR="00DF46B2">
          <w:rPr>
            <w:webHidden/>
          </w:rPr>
        </w:r>
        <w:r w:rsidR="00DF46B2">
          <w:rPr>
            <w:webHidden/>
          </w:rPr>
          <w:fldChar w:fldCharType="separate"/>
        </w:r>
        <w:r>
          <w:rPr>
            <w:webHidden/>
          </w:rPr>
          <w:t>7</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88" w:history="1">
        <w:r w:rsidR="00DF46B2" w:rsidRPr="00D90DDF">
          <w:rPr>
            <w:rStyle w:val="Hyperlink"/>
          </w:rPr>
          <w:t>6.</w:t>
        </w:r>
        <w:r w:rsidR="00DF46B2">
          <w:rPr>
            <w:rFonts w:asciiTheme="minorHAnsi" w:eastAsiaTheme="minorEastAsia" w:hAnsiTheme="minorHAnsi" w:cstheme="minorBidi"/>
            <w:lang w:val="en-AU" w:eastAsia="en-AU"/>
          </w:rPr>
          <w:tab/>
        </w:r>
        <w:r w:rsidR="00DF46B2" w:rsidRPr="00D90DDF">
          <w:rPr>
            <w:rStyle w:val="Hyperlink"/>
          </w:rPr>
          <w:t>Preliminary position</w:t>
        </w:r>
        <w:r w:rsidR="00DF46B2">
          <w:rPr>
            <w:webHidden/>
          </w:rPr>
          <w:tab/>
        </w:r>
        <w:r w:rsidR="00DF46B2">
          <w:rPr>
            <w:webHidden/>
          </w:rPr>
          <w:fldChar w:fldCharType="begin"/>
        </w:r>
        <w:r w:rsidR="00DF46B2">
          <w:rPr>
            <w:webHidden/>
          </w:rPr>
          <w:instrText xml:space="preserve"> PAGEREF _Toc463961688 \h </w:instrText>
        </w:r>
        <w:r w:rsidR="00DF46B2">
          <w:rPr>
            <w:webHidden/>
          </w:rPr>
        </w:r>
        <w:r w:rsidR="00DF46B2">
          <w:rPr>
            <w:webHidden/>
          </w:rPr>
          <w:fldChar w:fldCharType="separate"/>
        </w:r>
        <w:r>
          <w:rPr>
            <w:webHidden/>
          </w:rPr>
          <w:t>8</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89" w:history="1">
        <w:r w:rsidR="00DF46B2" w:rsidRPr="00D90DDF">
          <w:rPr>
            <w:rStyle w:val="Hyperlink"/>
          </w:rPr>
          <w:t>7.</w:t>
        </w:r>
        <w:r w:rsidR="00DF46B2">
          <w:rPr>
            <w:rFonts w:asciiTheme="minorHAnsi" w:eastAsiaTheme="minorEastAsia" w:hAnsiTheme="minorHAnsi" w:cstheme="minorBidi"/>
            <w:lang w:val="en-AU" w:eastAsia="en-AU"/>
          </w:rPr>
          <w:tab/>
        </w:r>
        <w:r w:rsidR="00DF46B2" w:rsidRPr="00D90DDF">
          <w:rPr>
            <w:rStyle w:val="Hyperlink"/>
          </w:rPr>
          <w:t>Consultation questions</w:t>
        </w:r>
        <w:r w:rsidR="00DF46B2">
          <w:rPr>
            <w:webHidden/>
          </w:rPr>
          <w:tab/>
        </w:r>
        <w:r w:rsidR="00DF46B2">
          <w:rPr>
            <w:webHidden/>
          </w:rPr>
          <w:fldChar w:fldCharType="begin"/>
        </w:r>
        <w:r w:rsidR="00DF46B2">
          <w:rPr>
            <w:webHidden/>
          </w:rPr>
          <w:instrText xml:space="preserve"> PAGEREF _Toc463961689 \h </w:instrText>
        </w:r>
        <w:r w:rsidR="00DF46B2">
          <w:rPr>
            <w:webHidden/>
          </w:rPr>
        </w:r>
        <w:r w:rsidR="00DF46B2">
          <w:rPr>
            <w:webHidden/>
          </w:rPr>
          <w:fldChar w:fldCharType="separate"/>
        </w:r>
        <w:r>
          <w:rPr>
            <w:webHidden/>
          </w:rPr>
          <w:t>8</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90" w:history="1">
        <w:r w:rsidR="00DF46B2" w:rsidRPr="00D90DDF">
          <w:rPr>
            <w:rStyle w:val="Hyperlink"/>
          </w:rPr>
          <w:t>8.</w:t>
        </w:r>
        <w:r w:rsidR="00DF46B2">
          <w:rPr>
            <w:rFonts w:asciiTheme="minorHAnsi" w:eastAsiaTheme="minorEastAsia" w:hAnsiTheme="minorHAnsi" w:cstheme="minorBidi"/>
            <w:lang w:val="en-AU" w:eastAsia="en-AU"/>
          </w:rPr>
          <w:tab/>
        </w:r>
        <w:r w:rsidR="00DF46B2" w:rsidRPr="00D90DDF">
          <w:rPr>
            <w:rStyle w:val="Hyperlink"/>
          </w:rPr>
          <w:t>Have your say</w:t>
        </w:r>
        <w:r w:rsidR="00DF46B2">
          <w:rPr>
            <w:webHidden/>
          </w:rPr>
          <w:tab/>
        </w:r>
        <w:r w:rsidR="00DF46B2">
          <w:rPr>
            <w:webHidden/>
          </w:rPr>
          <w:fldChar w:fldCharType="begin"/>
        </w:r>
        <w:r w:rsidR="00DF46B2">
          <w:rPr>
            <w:webHidden/>
          </w:rPr>
          <w:instrText xml:space="preserve"> PAGEREF _Toc463961690 \h </w:instrText>
        </w:r>
        <w:r w:rsidR="00DF46B2">
          <w:rPr>
            <w:webHidden/>
          </w:rPr>
        </w:r>
        <w:r w:rsidR="00DF46B2">
          <w:rPr>
            <w:webHidden/>
          </w:rPr>
          <w:fldChar w:fldCharType="separate"/>
        </w:r>
        <w:r>
          <w:rPr>
            <w:webHidden/>
          </w:rPr>
          <w:t>9</w:t>
        </w:r>
        <w:r w:rsidR="00DF46B2">
          <w:rPr>
            <w:webHidden/>
          </w:rPr>
          <w:fldChar w:fldCharType="end"/>
        </w:r>
      </w:hyperlink>
    </w:p>
    <w:p w:rsidR="00DF46B2" w:rsidRDefault="006001D1">
      <w:pPr>
        <w:pStyle w:val="TOC1"/>
        <w:rPr>
          <w:rFonts w:asciiTheme="minorHAnsi" w:eastAsiaTheme="minorEastAsia" w:hAnsiTheme="minorHAnsi" w:cstheme="minorBidi"/>
          <w:lang w:val="en-AU" w:eastAsia="en-AU"/>
        </w:rPr>
      </w:pPr>
      <w:hyperlink w:anchor="_Toc463961691" w:history="1">
        <w:r w:rsidR="00DF46B2" w:rsidRPr="00D90DDF">
          <w:rPr>
            <w:rStyle w:val="Hyperlink"/>
            <w:rFonts w:eastAsia="Calibri"/>
          </w:rPr>
          <w:t>Glossary</w:t>
        </w:r>
        <w:r w:rsidR="00DF46B2">
          <w:rPr>
            <w:webHidden/>
          </w:rPr>
          <w:tab/>
        </w:r>
        <w:r w:rsidR="00DF46B2">
          <w:rPr>
            <w:webHidden/>
          </w:rPr>
          <w:fldChar w:fldCharType="begin"/>
        </w:r>
        <w:r w:rsidR="00DF46B2">
          <w:rPr>
            <w:webHidden/>
          </w:rPr>
          <w:instrText xml:space="preserve"> PAGEREF _Toc463961691 \h </w:instrText>
        </w:r>
        <w:r w:rsidR="00DF46B2">
          <w:rPr>
            <w:webHidden/>
          </w:rPr>
        </w:r>
        <w:r w:rsidR="00DF46B2">
          <w:rPr>
            <w:webHidden/>
          </w:rPr>
          <w:fldChar w:fldCharType="separate"/>
        </w:r>
        <w:r>
          <w:rPr>
            <w:webHidden/>
          </w:rPr>
          <w:t>10</w:t>
        </w:r>
        <w:r w:rsidR="00DF46B2">
          <w:rPr>
            <w:webHidden/>
          </w:rPr>
          <w:fldChar w:fldCharType="end"/>
        </w:r>
      </w:hyperlink>
    </w:p>
    <w:p w:rsidR="00782C4B" w:rsidRDefault="0086325C" w:rsidP="00A47C24">
      <w:pPr>
        <w:rPr>
          <w:rFonts w:ascii="Lucida Fax" w:eastAsia="Times New Roman" w:hAnsi="Lucida Fax"/>
          <w:bCs/>
          <w:color w:val="51626F"/>
          <w:sz w:val="32"/>
          <w:szCs w:val="28"/>
        </w:rPr>
      </w:pPr>
      <w:r w:rsidRPr="00443B64">
        <w:rPr>
          <w:rFonts w:eastAsia="Times New Roman" w:cs="Arial"/>
          <w:bCs/>
          <w:sz w:val="20"/>
          <w:szCs w:val="20"/>
        </w:rPr>
        <w:fldChar w:fldCharType="end"/>
      </w:r>
      <w:bookmarkStart w:id="0" w:name="_Toc453759776"/>
      <w:bookmarkStart w:id="1" w:name="_Toc453749322"/>
    </w:p>
    <w:p w:rsidR="00935D49" w:rsidRDefault="00782C4B" w:rsidP="00CB0D3C">
      <w:pPr>
        <w:pStyle w:val="Numbered1"/>
        <w:numPr>
          <w:ilvl w:val="0"/>
          <w:numId w:val="27"/>
        </w:numPr>
        <w:ind w:left="680" w:hanging="680"/>
      </w:pPr>
      <w:r>
        <w:br w:type="page"/>
      </w:r>
      <w:bookmarkEnd w:id="0"/>
      <w:r w:rsidR="00DC65CF" w:rsidRPr="00382011">
        <w:lastRenderedPageBreak/>
        <w:t xml:space="preserve"> </w:t>
      </w:r>
      <w:bookmarkStart w:id="2" w:name="_Toc463597794"/>
      <w:bookmarkStart w:id="3" w:name="_Toc463598344"/>
      <w:bookmarkStart w:id="4" w:name="_Toc463961664"/>
      <w:r w:rsidR="00935D49" w:rsidRPr="00382011">
        <w:t>Introduction</w:t>
      </w:r>
      <w:bookmarkEnd w:id="1"/>
      <w:bookmarkEnd w:id="2"/>
      <w:bookmarkEnd w:id="3"/>
      <w:bookmarkEnd w:id="4"/>
    </w:p>
    <w:p w:rsidR="00935D49" w:rsidRDefault="00935D49" w:rsidP="00935D49">
      <w:r w:rsidRPr="004421B4">
        <w:t>The</w:t>
      </w:r>
      <w:r>
        <w:t xml:space="preserve"> ACCC is reviewing the mandatory safet</w:t>
      </w:r>
      <w:r w:rsidR="00DE37CD">
        <w:t xml:space="preserve">y standard </w:t>
      </w:r>
      <w:r>
        <w:t xml:space="preserve">for </w:t>
      </w:r>
      <w:r w:rsidR="00EB1CD7">
        <w:t xml:space="preserve">swimming and </w:t>
      </w:r>
      <w:r w:rsidR="00051AE0">
        <w:t>flotation</w:t>
      </w:r>
      <w:r w:rsidR="00DD2DD9">
        <w:t xml:space="preserve"> a</w:t>
      </w:r>
      <w:r w:rsidR="003804A9">
        <w:t>ids</w:t>
      </w:r>
      <w:r w:rsidR="00242590">
        <w:t xml:space="preserve"> </w:t>
      </w:r>
      <w:r>
        <w:t>because:</w:t>
      </w:r>
    </w:p>
    <w:p w:rsidR="00242590" w:rsidRDefault="003804A9" w:rsidP="000F20D6">
      <w:pPr>
        <w:pStyle w:val="Bulletpoint"/>
      </w:pPr>
      <w:bookmarkStart w:id="5" w:name="_Toc453749323"/>
      <w:r>
        <w:t xml:space="preserve">we believe that the messages in the consumer warning label </w:t>
      </w:r>
      <w:r w:rsidR="004101DC">
        <w:t>should</w:t>
      </w:r>
      <w:r>
        <w:t xml:space="preserve"> be improved to more clearly warn of the </w:t>
      </w:r>
      <w:r w:rsidR="00414170">
        <w:t>hazards</w:t>
      </w:r>
      <w:r>
        <w:t xml:space="preserve"> associated with </w:t>
      </w:r>
      <w:r w:rsidR="00414170">
        <w:t>using</w:t>
      </w:r>
      <w:r w:rsidR="00DD3A79">
        <w:t xml:space="preserve"> a swimming or </w:t>
      </w:r>
      <w:r w:rsidR="00051AE0">
        <w:t>flotation</w:t>
      </w:r>
      <w:r w:rsidR="00DD3A79">
        <w:t xml:space="preserve"> aid</w:t>
      </w:r>
      <w:r w:rsidR="006B6CFC">
        <w:t>.</w:t>
      </w:r>
      <w:r>
        <w:t xml:space="preserve"> </w:t>
      </w:r>
    </w:p>
    <w:p w:rsidR="00242590" w:rsidRDefault="00242590" w:rsidP="000F20D6">
      <w:pPr>
        <w:pStyle w:val="Bulletpoint"/>
      </w:pPr>
      <w:r>
        <w:t xml:space="preserve">we are considering </w:t>
      </w:r>
      <w:r w:rsidRPr="00473EAB">
        <w:t xml:space="preserve">international standards </w:t>
      </w:r>
      <w:r w:rsidRPr="00534972">
        <w:t>as acceptable</w:t>
      </w:r>
      <w:r>
        <w:t xml:space="preserve"> ways for suppliers to demonstrate compliance in a global marketplace</w:t>
      </w:r>
      <w:r w:rsidR="00106669">
        <w:t>.</w:t>
      </w:r>
    </w:p>
    <w:p w:rsidR="003804A9" w:rsidRDefault="003804A9" w:rsidP="003804A9">
      <w:pPr>
        <w:pStyle w:val="ListParagraph"/>
        <w:numPr>
          <w:ilvl w:val="0"/>
          <w:numId w:val="0"/>
        </w:numPr>
        <w:tabs>
          <w:tab w:val="clear" w:pos="340"/>
        </w:tabs>
        <w:ind w:left="340" w:hanging="340"/>
      </w:pPr>
      <w:r>
        <w:t xml:space="preserve">The ACCC seeks information and comment from stakeholders to assist in this review. </w:t>
      </w:r>
    </w:p>
    <w:p w:rsidR="002A7C71" w:rsidRDefault="006001D1" w:rsidP="002A7C71">
      <w:pPr>
        <w:pStyle w:val="ListParagraph"/>
        <w:numPr>
          <w:ilvl w:val="0"/>
          <w:numId w:val="0"/>
        </w:numPr>
        <w:ind w:left="340" w:hanging="340"/>
      </w:pPr>
      <w:r>
        <w:rPr>
          <w:noProof/>
        </w:rPr>
        <w:pict>
          <v:shape id="Text Box 2" o:spid="_x0000_s1038" type="#_x0000_t202" style="position:absolute;left:0;text-align:left;margin-left:-1.6pt;margin-top:9.25pt;width:447.75pt;height:69.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Text Box 2">
              <w:txbxContent>
                <w:p w:rsidR="00AC613B" w:rsidRDefault="00AC613B" w:rsidP="002A7C71">
                  <w:pPr>
                    <w:jc w:val="both"/>
                    <w:rPr>
                      <w:b/>
                    </w:rPr>
                  </w:pPr>
                  <w:r w:rsidRPr="00396799">
                    <w:rPr>
                      <w:b/>
                    </w:rPr>
                    <w:t xml:space="preserve">The consultation process outlined in this paper may be the only opportunity for </w:t>
                  </w:r>
                  <w:r>
                    <w:rPr>
                      <w:b/>
                    </w:rPr>
                    <w:t>you</w:t>
                  </w:r>
                  <w:r w:rsidRPr="00396799">
                    <w:rPr>
                      <w:b/>
                    </w:rPr>
                    <w:t xml:space="preserve"> to provide </w:t>
                  </w:r>
                  <w:r>
                    <w:rPr>
                      <w:b/>
                    </w:rPr>
                    <w:t>input into this review.</w:t>
                  </w:r>
                </w:p>
                <w:p w:rsidR="00AC613B" w:rsidRDefault="00AC613B" w:rsidP="002A7C71">
                  <w:pPr>
                    <w:jc w:val="both"/>
                    <w:rPr>
                      <w:b/>
                    </w:rPr>
                  </w:pPr>
                  <w:r>
                    <w:rPr>
                      <w:b/>
                    </w:rPr>
                    <w:t>You</w:t>
                  </w:r>
                  <w:r w:rsidRPr="00396799">
                    <w:rPr>
                      <w:b/>
                    </w:rPr>
                    <w:t xml:space="preserve"> are encouraged to make submissions</w:t>
                  </w:r>
                  <w:r>
                    <w:rPr>
                      <w:b/>
                    </w:rPr>
                    <w:t>.</w:t>
                  </w:r>
                </w:p>
                <w:p w:rsidR="00AC613B" w:rsidRDefault="00AC613B" w:rsidP="002A7C71">
                  <w:pPr>
                    <w:jc w:val="both"/>
                  </w:pPr>
                </w:p>
              </w:txbxContent>
            </v:textbox>
          </v:shape>
        </w:pict>
      </w:r>
    </w:p>
    <w:p w:rsidR="002A7C71" w:rsidRDefault="002A7C71" w:rsidP="002A7C71">
      <w:pPr>
        <w:pStyle w:val="ListParagraph"/>
        <w:numPr>
          <w:ilvl w:val="0"/>
          <w:numId w:val="0"/>
        </w:numPr>
        <w:ind w:left="340" w:hanging="340"/>
      </w:pPr>
    </w:p>
    <w:p w:rsidR="002A7C71" w:rsidRDefault="002A7C71" w:rsidP="002A7C71">
      <w:pPr>
        <w:pStyle w:val="ListParagraph"/>
        <w:numPr>
          <w:ilvl w:val="0"/>
          <w:numId w:val="0"/>
        </w:numPr>
        <w:ind w:left="340" w:hanging="340"/>
      </w:pPr>
    </w:p>
    <w:p w:rsidR="002A7C71" w:rsidRDefault="002A7C71" w:rsidP="003804A9">
      <w:pPr>
        <w:pStyle w:val="ListParagraph"/>
        <w:numPr>
          <w:ilvl w:val="0"/>
          <w:numId w:val="0"/>
        </w:numPr>
        <w:tabs>
          <w:tab w:val="clear" w:pos="340"/>
        </w:tabs>
        <w:ind w:left="340" w:hanging="340"/>
      </w:pPr>
    </w:p>
    <w:p w:rsidR="00F47A7B" w:rsidRPr="00F47A7B" w:rsidRDefault="00F47A7B" w:rsidP="00CB0D3C">
      <w:pPr>
        <w:pStyle w:val="Numbered1"/>
        <w:numPr>
          <w:ilvl w:val="0"/>
          <w:numId w:val="27"/>
        </w:numPr>
        <w:ind w:left="680" w:hanging="680"/>
      </w:pPr>
      <w:bookmarkStart w:id="6" w:name="_Toc463597795"/>
      <w:bookmarkStart w:id="7" w:name="_Toc463598345"/>
      <w:bookmarkStart w:id="8" w:name="_Toc463961665"/>
      <w:r w:rsidRPr="00F47A7B">
        <w:t xml:space="preserve">Policy </w:t>
      </w:r>
      <w:r w:rsidRPr="00382011">
        <w:t>options</w:t>
      </w:r>
      <w:bookmarkEnd w:id="5"/>
      <w:bookmarkEnd w:id="6"/>
      <w:bookmarkEnd w:id="7"/>
      <w:bookmarkEnd w:id="8"/>
    </w:p>
    <w:p w:rsidR="00F47A7B" w:rsidRPr="00F47A7B" w:rsidRDefault="00515357" w:rsidP="00F47A7B">
      <w:r>
        <w:t>This consultation paper</w:t>
      </w:r>
      <w:r w:rsidRPr="00F47A7B">
        <w:t xml:space="preserve"> discuss</w:t>
      </w:r>
      <w:r>
        <w:t>es</w:t>
      </w:r>
      <w:r w:rsidRPr="00F47A7B">
        <w:t xml:space="preserve"> </w:t>
      </w:r>
      <w:r w:rsidR="00F47A7B" w:rsidRPr="00F47A7B">
        <w:t>four policy options:</w:t>
      </w:r>
    </w:p>
    <w:tbl>
      <w:tblPr>
        <w:tblW w:w="0" w:type="auto"/>
        <w:tblLook w:val="04A0" w:firstRow="1" w:lastRow="0" w:firstColumn="1" w:lastColumn="0" w:noHBand="0" w:noVBand="1"/>
      </w:tblPr>
      <w:tblGrid>
        <w:gridCol w:w="1526"/>
        <w:gridCol w:w="7229"/>
      </w:tblGrid>
      <w:tr w:rsidR="00F47A7B" w:rsidRPr="00F47A7B" w:rsidTr="0086325C">
        <w:tc>
          <w:tcPr>
            <w:tcW w:w="1526" w:type="dxa"/>
            <w:shd w:val="clear" w:color="auto" w:fill="auto"/>
          </w:tcPr>
          <w:p w:rsidR="00F47A7B" w:rsidRPr="0086325C" w:rsidRDefault="00F47A7B" w:rsidP="00F47A7B">
            <w:pPr>
              <w:rPr>
                <w:b/>
              </w:rPr>
            </w:pPr>
            <w:r w:rsidRPr="00F47A7B">
              <w:t>Option 1</w:t>
            </w:r>
          </w:p>
          <w:p w:rsidR="00F47A7B" w:rsidRPr="00F47A7B" w:rsidRDefault="00F47A7B" w:rsidP="00F47A7B">
            <w:pPr>
              <w:rPr>
                <w:b/>
              </w:rPr>
            </w:pPr>
            <w:r w:rsidRPr="00F47A7B">
              <w:t>Option 2</w:t>
            </w:r>
          </w:p>
        </w:tc>
        <w:tc>
          <w:tcPr>
            <w:tcW w:w="7229" w:type="dxa"/>
            <w:shd w:val="clear" w:color="auto" w:fill="auto"/>
          </w:tcPr>
          <w:p w:rsidR="00F47A7B" w:rsidRPr="0086325C" w:rsidRDefault="00F47A7B" w:rsidP="00F47A7B">
            <w:pPr>
              <w:rPr>
                <w:b/>
              </w:rPr>
            </w:pPr>
            <w:r w:rsidRPr="00F47A7B">
              <w:t>Keep the current mandatory safety standard (status quo)</w:t>
            </w:r>
          </w:p>
          <w:p w:rsidR="00F47A7B" w:rsidRPr="0086325C" w:rsidRDefault="001E7815" w:rsidP="001E7815">
            <w:pPr>
              <w:rPr>
                <w:b/>
              </w:rPr>
            </w:pPr>
            <w:r>
              <w:t xml:space="preserve">Adopt the updated voluntary Australian standard </w:t>
            </w:r>
          </w:p>
        </w:tc>
      </w:tr>
      <w:tr w:rsidR="001E4369" w:rsidRPr="00F47A7B" w:rsidTr="0086325C">
        <w:tc>
          <w:tcPr>
            <w:tcW w:w="1526" w:type="dxa"/>
            <w:shd w:val="clear" w:color="auto" w:fill="auto"/>
          </w:tcPr>
          <w:p w:rsidR="001E4369" w:rsidRPr="005A60B4" w:rsidRDefault="001E4369" w:rsidP="00F47A7B">
            <w:pPr>
              <w:rPr>
                <w:b/>
              </w:rPr>
            </w:pPr>
            <w:r w:rsidRPr="005A60B4">
              <w:t>Option 3</w:t>
            </w:r>
          </w:p>
        </w:tc>
        <w:tc>
          <w:tcPr>
            <w:tcW w:w="7229" w:type="dxa"/>
            <w:shd w:val="clear" w:color="auto" w:fill="auto"/>
          </w:tcPr>
          <w:p w:rsidR="001E4369" w:rsidRPr="003804A9" w:rsidRDefault="001E7815" w:rsidP="00B2799D">
            <w:pPr>
              <w:rPr>
                <w:i/>
              </w:rPr>
            </w:pPr>
            <w:r>
              <w:t xml:space="preserve">Allow compliance with the updated voluntary Australian standard </w:t>
            </w:r>
            <w:r w:rsidR="005C30C7">
              <w:t>or</w:t>
            </w:r>
            <w:r>
              <w:t xml:space="preserve"> the </w:t>
            </w:r>
            <w:r w:rsidRPr="0010668B">
              <w:t xml:space="preserve">European </w:t>
            </w:r>
            <w:r w:rsidR="00B2799D">
              <w:t>s</w:t>
            </w:r>
            <w:r w:rsidR="00B2799D" w:rsidRPr="0010668B">
              <w:t>tandard</w:t>
            </w:r>
          </w:p>
        </w:tc>
      </w:tr>
      <w:tr w:rsidR="001E4369" w:rsidRPr="005A60B4" w:rsidTr="0086325C">
        <w:tc>
          <w:tcPr>
            <w:tcW w:w="1526" w:type="dxa"/>
            <w:shd w:val="clear" w:color="auto" w:fill="auto"/>
          </w:tcPr>
          <w:p w:rsidR="001E4369" w:rsidRPr="005A60B4" w:rsidRDefault="001E4369" w:rsidP="00F47A7B">
            <w:pPr>
              <w:rPr>
                <w:b/>
              </w:rPr>
            </w:pPr>
            <w:r w:rsidRPr="005A60B4">
              <w:t>Option 4</w:t>
            </w:r>
          </w:p>
        </w:tc>
        <w:tc>
          <w:tcPr>
            <w:tcW w:w="7229" w:type="dxa"/>
            <w:shd w:val="clear" w:color="auto" w:fill="auto"/>
          </w:tcPr>
          <w:p w:rsidR="001E4369" w:rsidRDefault="001E7815" w:rsidP="00794033">
            <w:r w:rsidRPr="00F47A7B">
              <w:t>Re</w:t>
            </w:r>
            <w:r>
              <w:t>voke</w:t>
            </w:r>
            <w:r w:rsidRPr="00F47A7B">
              <w:t xml:space="preserve"> the mandatory safety standard</w:t>
            </w:r>
            <w:r>
              <w:t>.</w:t>
            </w:r>
            <w:r w:rsidDel="001E7815">
              <w:t xml:space="preserve"> </w:t>
            </w:r>
          </w:p>
          <w:p w:rsidR="00E530BF" w:rsidRPr="00FA039C" w:rsidRDefault="00E530BF" w:rsidP="00794033"/>
        </w:tc>
      </w:tr>
    </w:tbl>
    <w:p w:rsidR="00CE6BCF" w:rsidRPr="00AC1FB8" w:rsidRDefault="00CE6BCF" w:rsidP="001D777A">
      <w:pPr>
        <w:pStyle w:val="Numbered1"/>
        <w:numPr>
          <w:ilvl w:val="0"/>
          <w:numId w:val="27"/>
        </w:numPr>
        <w:spacing w:before="0"/>
        <w:ind w:left="680" w:hanging="680"/>
      </w:pPr>
      <w:bookmarkStart w:id="9" w:name="_Toc448397925"/>
      <w:bookmarkStart w:id="10" w:name="_Toc453749325"/>
      <w:bookmarkStart w:id="11" w:name="_Toc463597796"/>
      <w:bookmarkStart w:id="12" w:name="_Toc463598346"/>
      <w:bookmarkStart w:id="13" w:name="_Toc463961666"/>
      <w:r w:rsidRPr="00382011">
        <w:t>Background</w:t>
      </w:r>
      <w:bookmarkEnd w:id="9"/>
      <w:bookmarkEnd w:id="10"/>
      <w:bookmarkEnd w:id="11"/>
      <w:bookmarkEnd w:id="12"/>
      <w:bookmarkEnd w:id="13"/>
    </w:p>
    <w:p w:rsidR="00FF7C65" w:rsidRPr="00367997" w:rsidRDefault="00FF7C65" w:rsidP="00C14AE3">
      <w:pPr>
        <w:ind w:right="723"/>
        <w:jc w:val="both"/>
      </w:pPr>
      <w:bookmarkStart w:id="14" w:name="_Toc457311806"/>
      <w:bookmarkStart w:id="15" w:name="_Toc457222699"/>
      <w:bookmarkStart w:id="16" w:name="_Toc440455032"/>
      <w:bookmarkStart w:id="17" w:name="_Toc457220018"/>
      <w:r>
        <w:t>S</w:t>
      </w:r>
      <w:r w:rsidRPr="00367997">
        <w:t xml:space="preserve">wimming </w:t>
      </w:r>
      <w:r w:rsidR="00EB1CD7">
        <w:t xml:space="preserve">and </w:t>
      </w:r>
      <w:r w:rsidR="00051AE0">
        <w:t>flotation</w:t>
      </w:r>
      <w:r>
        <w:t xml:space="preserve"> aids come in</w:t>
      </w:r>
      <w:r w:rsidRPr="00367997">
        <w:t xml:space="preserve"> </w:t>
      </w:r>
      <w:r>
        <w:t>various</w:t>
      </w:r>
      <w:r w:rsidR="00931BA9">
        <w:t xml:space="preserve"> shapes, colours and </w:t>
      </w:r>
      <w:r w:rsidRPr="00367997">
        <w:t>sizes</w:t>
      </w:r>
      <w:r w:rsidR="00931BA9">
        <w:t>,</w:t>
      </w:r>
      <w:r w:rsidR="00806AC0">
        <w:t xml:space="preserve"> and vary in</w:t>
      </w:r>
      <w:r w:rsidRPr="00367997">
        <w:t xml:space="preserve"> use and quality. They are almost exclusively manufactured overseas and are widely available in a variety of </w:t>
      </w:r>
      <w:r>
        <w:t xml:space="preserve">large and small </w:t>
      </w:r>
      <w:r w:rsidRPr="00367997">
        <w:t>retail outlets throughout Australia</w:t>
      </w:r>
      <w:r>
        <w:t xml:space="preserve"> </w:t>
      </w:r>
      <w:r w:rsidRPr="00367997">
        <w:t>as well as</w:t>
      </w:r>
      <w:r>
        <w:t xml:space="preserve"> </w:t>
      </w:r>
      <w:r w:rsidRPr="00367997">
        <w:t xml:space="preserve">specialist pool supply stores </w:t>
      </w:r>
      <w:r>
        <w:t xml:space="preserve">and </w:t>
      </w:r>
      <w:r w:rsidRPr="00367997">
        <w:t xml:space="preserve">online retail stores. </w:t>
      </w:r>
    </w:p>
    <w:p w:rsidR="00824DA3" w:rsidRDefault="00824DA3" w:rsidP="00824DA3">
      <w:pPr>
        <w:spacing w:before="0"/>
        <w:ind w:right="723"/>
        <w:jc w:val="both"/>
        <w:rPr>
          <w:rFonts w:ascii="Times New Roman" w:eastAsia="Times New Roman" w:hAnsi="Times New Roman"/>
          <w:sz w:val="24"/>
          <w:szCs w:val="24"/>
          <w:lang w:eastAsia="en-AU"/>
        </w:rPr>
      </w:pPr>
    </w:p>
    <w:p w:rsidR="00756734" w:rsidRDefault="00490CF4" w:rsidP="00C14AE3">
      <w:pPr>
        <w:spacing w:before="0"/>
        <w:ind w:right="723"/>
        <w:jc w:val="both"/>
        <w:rPr>
          <w:rFonts w:eastAsia="Times New Roman" w:cs="Arial"/>
          <w:lang w:eastAsia="en-AU"/>
        </w:rPr>
      </w:pPr>
      <w:r>
        <w:rPr>
          <w:rFonts w:eastAsia="Times New Roman" w:cs="Arial"/>
          <w:lang w:eastAsia="en-AU"/>
        </w:rPr>
        <w:t>The products</w:t>
      </w:r>
      <w:r w:rsidRPr="00490CF4">
        <w:rPr>
          <w:rFonts w:eastAsia="Times New Roman" w:cs="Arial"/>
          <w:lang w:eastAsia="en-AU"/>
        </w:rPr>
        <w:t xml:space="preserve"> help keep children afloat and gain confidence as they become familiar with swimming. Children can wear, attach to their bodies or sit in the various types of swimming and floating aids. They include but are not limited to armbands and swimming vests.</w:t>
      </w:r>
    </w:p>
    <w:p w:rsidR="002D186C" w:rsidRDefault="002D186C" w:rsidP="002D186C">
      <w:pPr>
        <w:spacing w:before="0"/>
        <w:ind w:left="340" w:firstLine="5"/>
        <w:rPr>
          <w:lang w:eastAsia="en-AU"/>
        </w:rPr>
      </w:pPr>
      <w:bookmarkStart w:id="18" w:name="_Toc448397928"/>
      <w:bookmarkStart w:id="19" w:name="_Toc453749081"/>
      <w:bookmarkStart w:id="20" w:name="_Toc453749327"/>
      <w:bookmarkStart w:id="21" w:name="_Toc453749377"/>
      <w:bookmarkStart w:id="22" w:name="_Toc453759782"/>
      <w:bookmarkStart w:id="23" w:name="_Toc453763180"/>
      <w:bookmarkStart w:id="24" w:name="_Toc453763865"/>
      <w:bookmarkStart w:id="25" w:name="_Toc453765775"/>
      <w:bookmarkStart w:id="26" w:name="_Toc454443990"/>
      <w:bookmarkStart w:id="27" w:name="_Toc454544414"/>
      <w:bookmarkStart w:id="28" w:name="_Toc455579996"/>
      <w:bookmarkStart w:id="29" w:name="_Toc456277614"/>
      <w:bookmarkStart w:id="30" w:name="_Toc456278983"/>
      <w:bookmarkStart w:id="31" w:name="_Toc457311807"/>
      <w:bookmarkEnd w:id="14"/>
      <w:bookmarkEnd w:id="15"/>
      <w:bookmarkEnd w:id="16"/>
      <w:bookmarkEnd w:id="17"/>
    </w:p>
    <w:p w:rsidR="004F0C93" w:rsidRDefault="004F0C93" w:rsidP="00C14AE3">
      <w:pPr>
        <w:spacing w:before="0"/>
        <w:rPr>
          <w:lang w:eastAsia="en-AU"/>
        </w:rPr>
      </w:pPr>
      <w:r>
        <w:rPr>
          <w:lang w:eastAsia="en-AU"/>
        </w:rPr>
        <w:t xml:space="preserve">Coroners’ reports from 2000 to 2013 indicate that flotation aids or similar devices </w:t>
      </w:r>
      <w:r w:rsidR="00B2799D">
        <w:rPr>
          <w:lang w:eastAsia="en-AU"/>
        </w:rPr>
        <w:t xml:space="preserve">were </w:t>
      </w:r>
      <w:r>
        <w:rPr>
          <w:lang w:eastAsia="en-AU"/>
        </w:rPr>
        <w:t>not involved in any drowning death of a child</w:t>
      </w:r>
      <w:r w:rsidR="00B2799D">
        <w:rPr>
          <w:lang w:eastAsia="en-AU"/>
        </w:rPr>
        <w:t xml:space="preserve"> in that period</w:t>
      </w:r>
      <w:r>
        <w:rPr>
          <w:lang w:eastAsia="en-AU"/>
        </w:rPr>
        <w:t>.</w:t>
      </w:r>
      <w:r w:rsidR="004F0E7C">
        <w:rPr>
          <w:lang w:eastAsia="en-AU"/>
        </w:rPr>
        <w:t xml:space="preserve"> </w:t>
      </w:r>
      <w:r w:rsidR="00B2799D">
        <w:rPr>
          <w:lang w:eastAsia="en-AU"/>
        </w:rPr>
        <w:t>We</w:t>
      </w:r>
      <w:r w:rsidR="004F0E7C">
        <w:rPr>
          <w:lang w:eastAsia="en-AU"/>
        </w:rPr>
        <w:t xml:space="preserve"> believe that the </w:t>
      </w:r>
      <w:r w:rsidR="009D723A">
        <w:rPr>
          <w:lang w:eastAsia="en-AU"/>
        </w:rPr>
        <w:t xml:space="preserve">mandatory </w:t>
      </w:r>
      <w:r w:rsidR="004F0E7C">
        <w:rPr>
          <w:lang w:eastAsia="en-AU"/>
        </w:rPr>
        <w:t xml:space="preserve">safety standard has been effective in preventing injuries and deaths associated with the use of </w:t>
      </w:r>
      <w:r w:rsidR="00B2799D">
        <w:rPr>
          <w:lang w:eastAsia="en-AU"/>
        </w:rPr>
        <w:t xml:space="preserve">swimming and </w:t>
      </w:r>
      <w:r w:rsidR="004F0E7C">
        <w:rPr>
          <w:lang w:eastAsia="en-AU"/>
        </w:rPr>
        <w:t>flotation aids</w:t>
      </w:r>
      <w:r w:rsidR="00B2799D">
        <w:rPr>
          <w:lang w:eastAsia="en-AU"/>
        </w:rPr>
        <w:t xml:space="preserve">. </w:t>
      </w:r>
    </w:p>
    <w:p w:rsidR="00802C90" w:rsidRPr="00802C90" w:rsidRDefault="00E0130C" w:rsidP="00AC613B">
      <w:pPr>
        <w:pStyle w:val="Heading3"/>
      </w:pPr>
      <w:bookmarkStart w:id="32" w:name="_Toc461109999"/>
      <w:bookmarkStart w:id="33" w:name="_Toc462049203"/>
      <w:bookmarkStart w:id="34" w:name="_Toc463597797"/>
      <w:bookmarkStart w:id="35" w:name="_Toc463598347"/>
      <w:bookmarkStart w:id="36" w:name="_Toc463961667"/>
      <w:r w:rsidRPr="00382011">
        <w:t>The mandatory safety standard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756734" w:rsidRDefault="00490CF4" w:rsidP="005B35D8">
      <w:r w:rsidRPr="00490CF4">
        <w:t xml:space="preserve">The </w:t>
      </w:r>
      <w:r w:rsidR="009D723A">
        <w:t xml:space="preserve">mandatory </w:t>
      </w:r>
      <w:r w:rsidRPr="00490CF4">
        <w:t xml:space="preserve">safety standard for swimming and flotation aids </w:t>
      </w:r>
      <w:r w:rsidR="00B2799D">
        <w:t>started</w:t>
      </w:r>
      <w:r w:rsidRPr="00490CF4">
        <w:t xml:space="preserve"> in 1986 </w:t>
      </w:r>
      <w:r w:rsidR="00710224">
        <w:t>to address drowning hazards for children using the products. The purpose of the mandatory safety standard is</w:t>
      </w:r>
      <w:r w:rsidRPr="00490CF4">
        <w:t xml:space="preserve"> </w:t>
      </w:r>
      <w:r w:rsidR="006B6CFC">
        <w:t xml:space="preserve">that </w:t>
      </w:r>
      <w:r w:rsidR="00B2799D">
        <w:t xml:space="preserve">these </w:t>
      </w:r>
      <w:r w:rsidRPr="00490CF4">
        <w:t xml:space="preserve">products are </w:t>
      </w:r>
      <w:r w:rsidR="00B2799D" w:rsidRPr="00490CF4">
        <w:t xml:space="preserve">supplied </w:t>
      </w:r>
      <w:r w:rsidRPr="00490CF4">
        <w:t xml:space="preserve">safe and fit for purpose, and that parents and </w:t>
      </w:r>
      <w:r w:rsidRPr="00490CF4">
        <w:lastRenderedPageBreak/>
        <w:t>carers of children are alerted to the hazards of not adequately supervising children in the water</w:t>
      </w:r>
      <w:r w:rsidR="001E7815">
        <w:t>.</w:t>
      </w:r>
    </w:p>
    <w:p w:rsidR="00FA7C51" w:rsidRDefault="00FA7C51" w:rsidP="005B35D8">
      <w:r>
        <w:t>The s</w:t>
      </w:r>
      <w:r w:rsidR="00FD2B03">
        <w:t xml:space="preserve">afety standard </w:t>
      </w:r>
      <w:r>
        <w:t xml:space="preserve">is set out in </w:t>
      </w:r>
      <w:r w:rsidRPr="00FA7C51">
        <w:rPr>
          <w:i/>
        </w:rPr>
        <w:t>Consumer Protection Notice No. 3 of 2009</w:t>
      </w:r>
      <w:r w:rsidR="00FD2B03">
        <w:t xml:space="preserve">, </w:t>
      </w:r>
      <w:r w:rsidR="009D723A">
        <w:t xml:space="preserve">and is </w:t>
      </w:r>
      <w:r w:rsidRPr="00FA7C51">
        <w:t xml:space="preserve">based on certain requirements of the voluntary Australian </w:t>
      </w:r>
      <w:r w:rsidR="002E3CA3">
        <w:t>s</w:t>
      </w:r>
      <w:r w:rsidR="002E3CA3" w:rsidRPr="00FA7C51">
        <w:t xml:space="preserve">tandard </w:t>
      </w:r>
      <w:r>
        <w:rPr>
          <w:i/>
        </w:rPr>
        <w:t xml:space="preserve">AS 1900-2002 - </w:t>
      </w:r>
      <w:r w:rsidRPr="00FA7C51">
        <w:rPr>
          <w:i/>
        </w:rPr>
        <w:t>Flotation aids for water familiarization and swimming tuition</w:t>
      </w:r>
      <w:r w:rsidRPr="00FA7C51">
        <w:t>.</w:t>
      </w:r>
      <w:r>
        <w:t xml:space="preserve"> </w:t>
      </w:r>
      <w:r w:rsidR="002E3CA3">
        <w:t xml:space="preserve">The main requirement is for a specific safety warning label, in </w:t>
      </w:r>
      <w:r>
        <w:t xml:space="preserve">addition to design, construction and performance </w:t>
      </w:r>
      <w:r w:rsidR="002E3CA3">
        <w:t>requirements</w:t>
      </w:r>
      <w:r w:rsidR="000A3AD0">
        <w:t>.</w:t>
      </w:r>
      <w:r>
        <w:t xml:space="preserve"> </w:t>
      </w:r>
    </w:p>
    <w:p w:rsidR="00FA7C51" w:rsidRDefault="00FA7C51" w:rsidP="005B35D8">
      <w:r>
        <w:t xml:space="preserve">There are two </w:t>
      </w:r>
      <w:r w:rsidR="00106669">
        <w:t xml:space="preserve">sets of </w:t>
      </w:r>
      <w:r>
        <w:t>wa</w:t>
      </w:r>
      <w:r w:rsidR="00CB24DE">
        <w:t>rning label requirements</w:t>
      </w:r>
      <w:r w:rsidR="00106669">
        <w:t xml:space="preserve"> – one for flotation aids and one for swimming aid vests</w:t>
      </w:r>
      <w:r>
        <w:t>. The words in each warning label must be:</w:t>
      </w:r>
    </w:p>
    <w:p w:rsidR="00802C90" w:rsidRDefault="00FA7C51" w:rsidP="00802C90">
      <w:pPr>
        <w:pStyle w:val="Bulletpoint"/>
        <w:numPr>
          <w:ilvl w:val="0"/>
          <w:numId w:val="42"/>
        </w:numPr>
      </w:pPr>
      <w:r>
        <w:t>in block capitals</w:t>
      </w:r>
    </w:p>
    <w:p w:rsidR="00802C90" w:rsidRDefault="00FA7C51" w:rsidP="00802C90">
      <w:pPr>
        <w:pStyle w:val="Bulletpoint"/>
        <w:numPr>
          <w:ilvl w:val="0"/>
          <w:numId w:val="42"/>
        </w:numPr>
      </w:pPr>
      <w:r>
        <w:t>not less than 6 mm in height when the aid is deflated</w:t>
      </w:r>
    </w:p>
    <w:p w:rsidR="00FA7C51" w:rsidRPr="00802C90" w:rsidRDefault="00FA7C51" w:rsidP="00802C90">
      <w:pPr>
        <w:pStyle w:val="Bulletpoint"/>
        <w:numPr>
          <w:ilvl w:val="0"/>
          <w:numId w:val="42"/>
        </w:numPr>
      </w:pPr>
      <w:r>
        <w:t>in a colour contrasting with the background.</w:t>
      </w:r>
    </w:p>
    <w:p w:rsidR="00CB24DE" w:rsidRDefault="00FA7C51" w:rsidP="005B35D8">
      <w:r w:rsidRPr="00FA7C51">
        <w:t xml:space="preserve">Flotation aids must be legibly marked with the following warning notice: </w:t>
      </w:r>
    </w:p>
    <w:p w:rsidR="00FA7C51" w:rsidRPr="00710224" w:rsidRDefault="00FA7C51" w:rsidP="0010668B">
      <w:pPr>
        <w:pBdr>
          <w:top w:val="single" w:sz="4" w:space="1" w:color="auto"/>
          <w:left w:val="single" w:sz="4" w:space="4" w:color="auto"/>
          <w:bottom w:val="single" w:sz="4" w:space="1" w:color="auto"/>
          <w:right w:val="single" w:sz="4" w:space="4" w:color="auto"/>
        </w:pBdr>
        <w:ind w:left="340" w:firstLine="340"/>
        <w:jc w:val="center"/>
        <w:rPr>
          <w:b/>
        </w:rPr>
      </w:pPr>
      <w:r w:rsidRPr="00710224">
        <w:rPr>
          <w:b/>
        </w:rPr>
        <w:t>WARNING USE ONLY UNDER COMPETENT SUPERVISION.</w:t>
      </w:r>
    </w:p>
    <w:p w:rsidR="00CB24DE" w:rsidRDefault="00FA7C51" w:rsidP="005B35D8">
      <w:r w:rsidRPr="00FA7C51">
        <w:t xml:space="preserve">Swimming aid vests must be marked with the following warning notice: </w:t>
      </w:r>
    </w:p>
    <w:p w:rsidR="00E92740" w:rsidRPr="00AC613B" w:rsidRDefault="00FA7C51" w:rsidP="00AC613B">
      <w:pPr>
        <w:pBdr>
          <w:top w:val="single" w:sz="4" w:space="1" w:color="auto"/>
          <w:left w:val="single" w:sz="4" w:space="4" w:color="auto"/>
          <w:bottom w:val="single" w:sz="4" w:space="1" w:color="auto"/>
          <w:right w:val="single" w:sz="4" w:space="4" w:color="auto"/>
        </w:pBdr>
        <w:ind w:left="340" w:firstLine="340"/>
        <w:jc w:val="center"/>
        <w:rPr>
          <w:b/>
        </w:rPr>
      </w:pPr>
      <w:r w:rsidRPr="00710224">
        <w:rPr>
          <w:b/>
        </w:rPr>
        <w:t>WARNING USE O</w:t>
      </w:r>
      <w:r w:rsidR="00CB24DE" w:rsidRPr="00710224">
        <w:rPr>
          <w:b/>
        </w:rPr>
        <w:t xml:space="preserve">NLY UNDER COMPETENT SUPERVISION. </w:t>
      </w:r>
      <w:r w:rsidR="001E7815" w:rsidRPr="00710224">
        <w:rPr>
          <w:b/>
        </w:rPr>
        <w:br/>
      </w:r>
      <w:r w:rsidRPr="00710224">
        <w:rPr>
          <w:b/>
        </w:rPr>
        <w:t>NOT FOR USE IN BOATING</w:t>
      </w:r>
      <w:bookmarkStart w:id="37" w:name="_Toc453749341"/>
    </w:p>
    <w:p w:rsidR="00802C90" w:rsidRDefault="00802C90" w:rsidP="00AC613B">
      <w:pPr>
        <w:pStyle w:val="Heading3"/>
      </w:pPr>
      <w:bookmarkStart w:id="38" w:name="_Toc461110000"/>
      <w:bookmarkStart w:id="39" w:name="_Toc462049204"/>
      <w:bookmarkStart w:id="40" w:name="_Toc463597798"/>
      <w:bookmarkStart w:id="41" w:name="_Toc463598348"/>
      <w:bookmarkStart w:id="42" w:name="_Toc463961668"/>
      <w:r>
        <w:t>The voluntary Australian standard</w:t>
      </w:r>
      <w:bookmarkEnd w:id="38"/>
      <w:bookmarkEnd w:id="39"/>
      <w:bookmarkEnd w:id="40"/>
      <w:bookmarkEnd w:id="41"/>
      <w:bookmarkEnd w:id="42"/>
    </w:p>
    <w:p w:rsidR="00916106" w:rsidRDefault="001E7815" w:rsidP="005B35D8">
      <w:r>
        <w:t xml:space="preserve">Standards Australia </w:t>
      </w:r>
      <w:r w:rsidRPr="00916106">
        <w:t xml:space="preserve">published </w:t>
      </w:r>
      <w:r>
        <w:t>a</w:t>
      </w:r>
      <w:r w:rsidRPr="00916106">
        <w:t xml:space="preserve">n </w:t>
      </w:r>
      <w:r w:rsidR="00916106" w:rsidRPr="00916106">
        <w:t xml:space="preserve">updated version of </w:t>
      </w:r>
      <w:r w:rsidR="00916106">
        <w:t>the</w:t>
      </w:r>
      <w:r w:rsidR="00916106" w:rsidRPr="00916106">
        <w:t xml:space="preserve"> voluntary </w:t>
      </w:r>
      <w:r w:rsidR="00916106">
        <w:t xml:space="preserve">Australian </w:t>
      </w:r>
      <w:r w:rsidR="00916106" w:rsidRPr="00916106">
        <w:t>standard</w:t>
      </w:r>
      <w:r w:rsidR="00802C90">
        <w:t xml:space="preserve"> </w:t>
      </w:r>
      <w:r w:rsidR="00802C90" w:rsidRPr="009D723A">
        <w:rPr>
          <w:i/>
        </w:rPr>
        <w:t>AS/NZS 1900</w:t>
      </w:r>
      <w:r w:rsidR="00802C90">
        <w:rPr>
          <w:i/>
        </w:rPr>
        <w:t xml:space="preserve"> </w:t>
      </w:r>
      <w:r w:rsidR="00916106" w:rsidRPr="00916106">
        <w:t>in 2014, which includes changes to the safety warning label. The improved warning label alerts parents and carers to the hazards of relying on flotation aids as safety devices, by specifically adding the warning message that the flotation device</w:t>
      </w:r>
      <w:r w:rsidR="00274F35">
        <w:t xml:space="preserve"> will not protect the user against drowning. </w:t>
      </w:r>
      <w:r w:rsidR="00916106" w:rsidRPr="00916106">
        <w:t xml:space="preserve">This message is not captured in the current </w:t>
      </w:r>
      <w:r w:rsidR="00D02DB2">
        <w:t xml:space="preserve">mandatory </w:t>
      </w:r>
      <w:r w:rsidR="00916106" w:rsidRPr="00916106">
        <w:t>warning label.</w:t>
      </w:r>
    </w:p>
    <w:p w:rsidR="000B0CD5" w:rsidRPr="009814BE" w:rsidRDefault="000B0CD5" w:rsidP="00916106">
      <w:pPr>
        <w:spacing w:before="0"/>
      </w:pPr>
    </w:p>
    <w:p w:rsidR="002B1ABD" w:rsidRDefault="002B1ABD" w:rsidP="000D3BC4">
      <w:pPr>
        <w:pStyle w:val="Numbered1"/>
        <w:numPr>
          <w:ilvl w:val="0"/>
          <w:numId w:val="27"/>
        </w:numPr>
        <w:ind w:left="680" w:hanging="680"/>
      </w:pPr>
      <w:bookmarkStart w:id="43" w:name="_Toc455066801"/>
      <w:bookmarkStart w:id="44" w:name="_Toc455066836"/>
      <w:bookmarkStart w:id="45" w:name="_Toc455499192"/>
      <w:bookmarkStart w:id="46" w:name="_Toc455756327"/>
      <w:bookmarkStart w:id="47" w:name="_Toc456098882"/>
      <w:bookmarkStart w:id="48" w:name="_Toc456623858"/>
      <w:bookmarkStart w:id="49" w:name="_Toc457222705"/>
      <w:bookmarkStart w:id="50" w:name="_Toc463597799"/>
      <w:bookmarkStart w:id="51" w:name="_Toc463598349"/>
      <w:bookmarkStart w:id="52" w:name="_Toc463961669"/>
      <w:bookmarkEnd w:id="37"/>
      <w:r w:rsidRPr="000D3BC4">
        <w:t>Adopting</w:t>
      </w:r>
      <w:r>
        <w:t xml:space="preserve"> i</w:t>
      </w:r>
      <w:r w:rsidRPr="00844B87">
        <w:t>nternational standards</w:t>
      </w:r>
      <w:bookmarkEnd w:id="43"/>
      <w:bookmarkEnd w:id="44"/>
      <w:bookmarkEnd w:id="45"/>
      <w:bookmarkEnd w:id="46"/>
      <w:bookmarkEnd w:id="47"/>
      <w:bookmarkEnd w:id="48"/>
      <w:bookmarkEnd w:id="49"/>
      <w:bookmarkEnd w:id="50"/>
      <w:bookmarkEnd w:id="51"/>
      <w:bookmarkEnd w:id="52"/>
    </w:p>
    <w:p w:rsidR="002B1ABD" w:rsidRDefault="003F06AC" w:rsidP="002B1ABD">
      <w:bookmarkStart w:id="53" w:name="_Toc453749097"/>
      <w:bookmarkStart w:id="54" w:name="_Toc453749343"/>
      <w:bookmarkStart w:id="55" w:name="_Toc453759796"/>
      <w:bookmarkStart w:id="56" w:name="_Toc453763881"/>
      <w:bookmarkStart w:id="57" w:name="_Toc453765791"/>
      <w:bookmarkStart w:id="58" w:name="_Toc454544419"/>
      <w:bookmarkStart w:id="59" w:name="_Toc455580002"/>
      <w:bookmarkStart w:id="60" w:name="_Toc456277620"/>
      <w:bookmarkStart w:id="61" w:name="_Toc456278989"/>
      <w:r>
        <w:t>The main international standard covering</w:t>
      </w:r>
      <w:r w:rsidR="00FA7C51">
        <w:t xml:space="preserve"> swimming and </w:t>
      </w:r>
      <w:r w:rsidR="00051AE0">
        <w:t>flotation</w:t>
      </w:r>
      <w:r w:rsidR="00FA7C51">
        <w:t xml:space="preserve"> aids is</w:t>
      </w:r>
      <w:r>
        <w:t xml:space="preserve"> the European </w:t>
      </w:r>
      <w:r w:rsidR="00B41D5B">
        <w:t xml:space="preserve">standard </w:t>
      </w:r>
      <w:r>
        <w:rPr>
          <w:i/>
        </w:rPr>
        <w:t>EN 13138.1:2014</w:t>
      </w:r>
      <w:r w:rsidR="00676636">
        <w:t xml:space="preserve"> -</w:t>
      </w:r>
      <w:r w:rsidR="00676636" w:rsidRPr="00676636">
        <w:rPr>
          <w:rFonts w:cs="Arial"/>
          <w:i/>
        </w:rPr>
        <w:t xml:space="preserve"> </w:t>
      </w:r>
      <w:r w:rsidR="00676636" w:rsidRPr="00DD62AA">
        <w:rPr>
          <w:rFonts w:cs="Arial"/>
          <w:i/>
        </w:rPr>
        <w:t>Buoyant aids for swimming instruction</w:t>
      </w:r>
      <w:r w:rsidR="00216550">
        <w:rPr>
          <w:rFonts w:cs="Arial"/>
          <w:i/>
        </w:rPr>
        <w:t xml:space="preserve"> -</w:t>
      </w:r>
      <w:r w:rsidR="00216550" w:rsidRPr="00DD62AA">
        <w:rPr>
          <w:rFonts w:cs="Arial"/>
          <w:i/>
        </w:rPr>
        <w:t xml:space="preserve"> </w:t>
      </w:r>
      <w:r w:rsidR="00676636" w:rsidRPr="00DD62AA">
        <w:rPr>
          <w:rFonts w:cs="Arial"/>
          <w:i/>
        </w:rPr>
        <w:t>Safety requirements and test methods for buoyant aids to be worn</w:t>
      </w:r>
      <w:r w:rsidR="00216550">
        <w:rPr>
          <w:rFonts w:cs="Arial"/>
        </w:rPr>
        <w:t>.</w:t>
      </w:r>
      <w:r>
        <w:t xml:space="preserve"> </w:t>
      </w:r>
    </w:p>
    <w:p w:rsidR="002B1ABD" w:rsidRPr="00DB6C88" w:rsidRDefault="002B1ABD" w:rsidP="002B1ABD">
      <w:r w:rsidRPr="00DB6C88">
        <w:t>The ACCC uses the following criteria when assessing whether international standards are appropriate for use in product safety standards in Australia:</w:t>
      </w:r>
      <w:r w:rsidRPr="00DB6C88">
        <w:rPr>
          <w:vertAlign w:val="superscript"/>
        </w:rPr>
        <w:footnoteReference w:id="1"/>
      </w:r>
      <w:r w:rsidRPr="00DB6C88">
        <w:t xml:space="preserve"> </w:t>
      </w:r>
    </w:p>
    <w:p w:rsidR="002B1ABD" w:rsidRPr="00DB6C88" w:rsidRDefault="002B1ABD" w:rsidP="002B1ABD">
      <w:pPr>
        <w:pStyle w:val="Bulletpoint"/>
      </w:pPr>
      <w:r w:rsidRPr="00DB6C88">
        <w:t>Addressing safety concerns: Is there evidence that the international standard provides an acceptable level of consumer safety?</w:t>
      </w:r>
    </w:p>
    <w:p w:rsidR="002B1ABD" w:rsidRDefault="002B1ABD" w:rsidP="002B1ABD">
      <w:pPr>
        <w:pStyle w:val="Bulletpoint"/>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2B1ABD" w:rsidRDefault="002B1ABD" w:rsidP="00492F94">
      <w:pPr>
        <w:pStyle w:val="Bulletpoint"/>
      </w:pPr>
      <w:r w:rsidRPr="00EE5651">
        <w:t>Applicability to the Australian context:</w:t>
      </w:r>
      <w:r w:rsidRPr="009256BA">
        <w:rPr>
          <w:bCs/>
        </w:rPr>
        <w:t xml:space="preserve"> </w:t>
      </w:r>
      <w:r w:rsidRPr="00DB6C88">
        <w:t>Is the international standard applicable and sufficient in the Australian context?</w:t>
      </w:r>
    </w:p>
    <w:p w:rsidR="00B81452" w:rsidRPr="003F06AC" w:rsidRDefault="00E35713" w:rsidP="00492F94">
      <w:pPr>
        <w:pStyle w:val="Heading3"/>
        <w:rPr>
          <w:i/>
        </w:rPr>
      </w:pPr>
      <w:bookmarkStart w:id="62" w:name="_Toc457311811"/>
      <w:bookmarkStart w:id="63" w:name="_Toc460422290"/>
      <w:bookmarkStart w:id="64" w:name="_Toc460424800"/>
      <w:bookmarkStart w:id="65" w:name="_Toc461110002"/>
      <w:bookmarkStart w:id="66" w:name="_Toc462049206"/>
      <w:bookmarkStart w:id="67" w:name="_Toc463597800"/>
      <w:bookmarkStart w:id="68" w:name="_Toc463598350"/>
      <w:bookmarkStart w:id="69" w:name="_Toc463961670"/>
      <w:r>
        <w:lastRenderedPageBreak/>
        <w:t>European</w:t>
      </w:r>
      <w:r w:rsidR="00B81452" w:rsidRPr="001936BA">
        <w:t xml:space="preserve"> </w:t>
      </w:r>
      <w:r w:rsidR="00DC5EF4" w:rsidRPr="001936BA">
        <w:t>s</w:t>
      </w:r>
      <w:r w:rsidR="00B81452" w:rsidRPr="001936BA">
        <w:t>tandard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262CA8" w:rsidRDefault="00676636" w:rsidP="00F433FC">
      <w:r w:rsidRPr="00F433FC">
        <w:t>The European Committee for Standardization (CEN) developed the European standard. CEN develops standards for use in Europe. Europe has similar economic and regulatory processes to Australia</w:t>
      </w:r>
      <w:r w:rsidR="00717BE3">
        <w:t xml:space="preserve">. </w:t>
      </w:r>
      <w:r w:rsidR="00F433FC">
        <w:t xml:space="preserve">The </w:t>
      </w:r>
      <w:r w:rsidR="00B955CE">
        <w:t xml:space="preserve">European </w:t>
      </w:r>
      <w:r w:rsidR="00F433FC">
        <w:t xml:space="preserve">standard has similar </w:t>
      </w:r>
      <w:r w:rsidR="00B955CE">
        <w:t xml:space="preserve">design, </w:t>
      </w:r>
      <w:r w:rsidR="00F433FC">
        <w:t xml:space="preserve">construction and </w:t>
      </w:r>
      <w:r w:rsidR="00305E3F">
        <w:t>performance requirements</w:t>
      </w:r>
      <w:r w:rsidR="00F73F1C">
        <w:t xml:space="preserve"> to the voluntary Australian standard</w:t>
      </w:r>
      <w:r w:rsidR="00305E3F">
        <w:t xml:space="preserve">. </w:t>
      </w:r>
    </w:p>
    <w:p w:rsidR="008C2046" w:rsidRDefault="008C2046" w:rsidP="008C2046">
      <w:bookmarkStart w:id="70" w:name="_Toc462049207"/>
      <w:bookmarkStart w:id="71" w:name="_Toc453749102"/>
      <w:bookmarkStart w:id="72" w:name="_Toc453749348"/>
      <w:bookmarkStart w:id="73" w:name="_Toc453759801"/>
      <w:bookmarkStart w:id="74" w:name="_Toc453763886"/>
      <w:bookmarkStart w:id="75" w:name="_Toc453765796"/>
      <w:bookmarkStart w:id="76" w:name="_Toc454444006"/>
      <w:bookmarkStart w:id="77" w:name="_Toc454544424"/>
      <w:bookmarkStart w:id="78" w:name="_Toc455580007"/>
      <w:bookmarkStart w:id="79" w:name="_Toc456277625"/>
      <w:bookmarkStart w:id="80" w:name="_Toc456278994"/>
      <w:bookmarkStart w:id="81" w:name="_Toc457311815"/>
      <w:r>
        <w:t xml:space="preserve">The European and voluntary Australian standards </w:t>
      </w:r>
      <w:r w:rsidR="00C61053">
        <w:t xml:space="preserve">also </w:t>
      </w:r>
      <w:r>
        <w:t>prescribe similar warning</w:t>
      </w:r>
      <w:r w:rsidR="00C61053">
        <w:t xml:space="preserve"> label and marking requirements, and </w:t>
      </w:r>
      <w:r>
        <w:t xml:space="preserve">both require the </w:t>
      </w:r>
      <w:r w:rsidR="00717BE3">
        <w:t xml:space="preserve">following </w:t>
      </w:r>
      <w:r>
        <w:t>warning messages:</w:t>
      </w:r>
    </w:p>
    <w:p w:rsidR="008C2046" w:rsidRDefault="008C2046" w:rsidP="008C2046">
      <w:pPr>
        <w:pStyle w:val="Bulletpoint"/>
      </w:pPr>
      <w:r>
        <w:t>Will not protect against drowning</w:t>
      </w:r>
    </w:p>
    <w:p w:rsidR="008C2046" w:rsidRDefault="008C2046" w:rsidP="008C2046">
      <w:pPr>
        <w:pStyle w:val="Bulletpoint"/>
      </w:pPr>
      <w:r>
        <w:t>Use only under supervision.</w:t>
      </w:r>
    </w:p>
    <w:p w:rsidR="008C2046" w:rsidRDefault="008C2046" w:rsidP="008C2046">
      <w:r>
        <w:t>The European standard also requires an additional warning message that should be acceptable in Australia:</w:t>
      </w:r>
    </w:p>
    <w:p w:rsidR="008C2046" w:rsidRDefault="008C2046" w:rsidP="008C2046">
      <w:pPr>
        <w:pStyle w:val="Bulletpoint"/>
      </w:pPr>
      <w:r>
        <w:t>Fully inflate.</w:t>
      </w:r>
    </w:p>
    <w:p w:rsidR="009D723A" w:rsidRDefault="009D723A" w:rsidP="009755CF">
      <w:pPr>
        <w:autoSpaceDE w:val="0"/>
        <w:autoSpaceDN w:val="0"/>
        <w:adjustRightInd w:val="0"/>
        <w:spacing w:before="0"/>
      </w:pPr>
    </w:p>
    <w:p w:rsidR="00D02DB2" w:rsidRDefault="00D02DB2" w:rsidP="009755CF">
      <w:pPr>
        <w:autoSpaceDE w:val="0"/>
        <w:autoSpaceDN w:val="0"/>
        <w:adjustRightInd w:val="0"/>
        <w:spacing w:before="0"/>
      </w:pPr>
      <w:r>
        <w:t>T</w:t>
      </w:r>
      <w:r w:rsidR="008C2046">
        <w:t xml:space="preserve">he European standard allows safety symbol pictograms in place of these warnings (in accordance with European standard </w:t>
      </w:r>
      <w:r w:rsidR="008C2046" w:rsidRPr="00447A45">
        <w:rPr>
          <w:i/>
        </w:rPr>
        <w:t>EN 15649-2 2009 + A2 2013</w:t>
      </w:r>
      <w:r w:rsidR="009755CF">
        <w:rPr>
          <w:i/>
        </w:rPr>
        <w:t xml:space="preserve"> </w:t>
      </w:r>
      <w:r w:rsidR="009755CF" w:rsidRPr="009755CF">
        <w:rPr>
          <w:i/>
        </w:rPr>
        <w:t>Floating leisure articles for use on and in the water - Part 2: Consumer information</w:t>
      </w:r>
      <w:r w:rsidR="008C2046">
        <w:t xml:space="preserve">). We support the use of safety symbol pictograms in addition to text safety warnings in English but do not consider safety symbol pictograms a suitable replacement for text safety warnings in the Australian context. </w:t>
      </w:r>
    </w:p>
    <w:p w:rsidR="00D02DB2" w:rsidRDefault="00D02DB2" w:rsidP="009755CF">
      <w:pPr>
        <w:autoSpaceDE w:val="0"/>
        <w:autoSpaceDN w:val="0"/>
        <w:adjustRightInd w:val="0"/>
        <w:spacing w:before="0"/>
      </w:pPr>
    </w:p>
    <w:p w:rsidR="008C2046" w:rsidRDefault="008C2046" w:rsidP="009755CF">
      <w:pPr>
        <w:autoSpaceDE w:val="0"/>
        <w:autoSpaceDN w:val="0"/>
        <w:adjustRightInd w:val="0"/>
        <w:spacing w:before="0"/>
      </w:pPr>
      <w:r>
        <w:t>The European standard could only be acceptable in Australia if we specify that the warnings must be in English text, even if there are also safety symbol pictograms.</w:t>
      </w:r>
    </w:p>
    <w:p w:rsidR="003A207E" w:rsidRDefault="003A207E" w:rsidP="003A207E">
      <w:pPr>
        <w:pStyle w:val="Heading3"/>
      </w:pPr>
      <w:bookmarkStart w:id="82" w:name="_Toc463597801"/>
      <w:bookmarkStart w:id="83" w:name="_Toc463598351"/>
      <w:bookmarkStart w:id="84" w:name="_Toc463961671"/>
      <w:r>
        <w:t>Warning label resistance to UV light</w:t>
      </w:r>
      <w:bookmarkEnd w:id="70"/>
      <w:bookmarkEnd w:id="82"/>
      <w:bookmarkEnd w:id="83"/>
      <w:bookmarkEnd w:id="84"/>
    </w:p>
    <w:p w:rsidR="009F4312" w:rsidRPr="00F433FC" w:rsidRDefault="00F433FC" w:rsidP="00F433FC">
      <w:r>
        <w:t xml:space="preserve">The most significant difference between the </w:t>
      </w:r>
      <w:r w:rsidR="00B955CE">
        <w:t xml:space="preserve">European </w:t>
      </w:r>
      <w:r>
        <w:t xml:space="preserve">and </w:t>
      </w:r>
      <w:r w:rsidR="006B6CFC">
        <w:t xml:space="preserve">the </w:t>
      </w:r>
      <w:r w:rsidR="00B955CE">
        <w:t xml:space="preserve">voluntary </w:t>
      </w:r>
      <w:r>
        <w:t xml:space="preserve">Australian standard </w:t>
      </w:r>
      <w:r w:rsidR="00B955CE">
        <w:t>is that</w:t>
      </w:r>
      <w:r>
        <w:t xml:space="preserve"> the Australian standard </w:t>
      </w:r>
      <w:r w:rsidR="00B955CE">
        <w:t xml:space="preserve">requires </w:t>
      </w:r>
      <w:r>
        <w:t xml:space="preserve">warning labels and markings </w:t>
      </w:r>
      <w:r w:rsidR="00B955CE">
        <w:t xml:space="preserve">to </w:t>
      </w:r>
      <w:r>
        <w:t xml:space="preserve">be resistant to </w:t>
      </w:r>
      <w:r w:rsidR="00FA78AE">
        <w:t>heat</w:t>
      </w:r>
      <w:r>
        <w:t xml:space="preserve">, chlorine and ultraviolet (UV) light. The </w:t>
      </w:r>
      <w:r w:rsidR="00B955CE">
        <w:t xml:space="preserve">European standard </w:t>
      </w:r>
      <w:r>
        <w:t>requires resistance to saliva and perspiration only</w:t>
      </w:r>
      <w:r w:rsidR="00DB6074">
        <w:t xml:space="preserve"> but requires the products (rather than the warning labels specifically) to</w:t>
      </w:r>
      <w:r w:rsidR="00DB6074" w:rsidRPr="00262CA8">
        <w:t xml:space="preserve"> be resistant to chlorinated</w:t>
      </w:r>
      <w:r w:rsidR="006B6CFC">
        <w:t xml:space="preserve"> or</w:t>
      </w:r>
      <w:r w:rsidR="00DB6074" w:rsidRPr="00262CA8">
        <w:t xml:space="preserve"> salt water</w:t>
      </w:r>
      <w:r w:rsidR="00DB6074">
        <w:t xml:space="preserve"> – not required by the Australian standard. These differences may </w:t>
      </w:r>
      <w:r w:rsidR="009F4312">
        <w:t xml:space="preserve">reflect differences </w:t>
      </w:r>
      <w:r w:rsidR="00484B32">
        <w:t>between Europe and Australia</w:t>
      </w:r>
      <w:r w:rsidR="00DB6074">
        <w:t>,</w:t>
      </w:r>
      <w:r w:rsidR="00484B32">
        <w:t xml:space="preserve"> </w:t>
      </w:r>
      <w:r w:rsidR="00DB6074">
        <w:t xml:space="preserve">particularly in </w:t>
      </w:r>
      <w:r w:rsidR="00484B32">
        <w:t xml:space="preserve">levels of </w:t>
      </w:r>
      <w:r w:rsidR="009F4312">
        <w:t xml:space="preserve">exposure to UV light. </w:t>
      </w:r>
    </w:p>
    <w:bookmarkEnd w:id="71"/>
    <w:bookmarkEnd w:id="72"/>
    <w:bookmarkEnd w:id="73"/>
    <w:bookmarkEnd w:id="74"/>
    <w:bookmarkEnd w:id="75"/>
    <w:bookmarkEnd w:id="76"/>
    <w:bookmarkEnd w:id="77"/>
    <w:bookmarkEnd w:id="78"/>
    <w:bookmarkEnd w:id="79"/>
    <w:bookmarkEnd w:id="80"/>
    <w:bookmarkEnd w:id="81"/>
    <w:p w:rsidR="004F0E7C" w:rsidRDefault="001E1DE4" w:rsidP="00447A45">
      <w:pPr>
        <w:pStyle w:val="ListParagraph"/>
        <w:numPr>
          <w:ilvl w:val="0"/>
          <w:numId w:val="0"/>
        </w:numPr>
        <w:rPr>
          <w:bdr w:val="none" w:sz="0" w:space="0" w:color="auto" w:frame="1"/>
          <w:lang w:val="en" w:eastAsia="en-AU"/>
        </w:rPr>
      </w:pPr>
      <w:r>
        <w:t>The</w:t>
      </w:r>
      <w:r w:rsidR="009F4312">
        <w:t xml:space="preserve"> </w:t>
      </w:r>
      <w:r w:rsidR="003A40BF">
        <w:t xml:space="preserve">warning label is an important measure to </w:t>
      </w:r>
      <w:r w:rsidR="00683DAD">
        <w:t>alert</w:t>
      </w:r>
      <w:r w:rsidR="003A40BF">
        <w:t xml:space="preserve"> parents and carers </w:t>
      </w:r>
      <w:r w:rsidR="00683DAD">
        <w:t>to</w:t>
      </w:r>
      <w:r w:rsidR="003A40BF">
        <w:t xml:space="preserve"> the hazards of inadequate supervision, and the risk of drowning. </w:t>
      </w:r>
      <w:r w:rsidR="003A40BF" w:rsidRPr="00FA78AE">
        <w:t>R</w:t>
      </w:r>
      <w:r w:rsidR="00447A45" w:rsidRPr="00FA78AE">
        <w:t>esistance to UV light</w:t>
      </w:r>
      <w:r w:rsidR="00FA78AE">
        <w:t>, heat and chlorine</w:t>
      </w:r>
      <w:r w:rsidR="00447A45" w:rsidRPr="00FA78AE">
        <w:t xml:space="preserve"> </w:t>
      </w:r>
      <w:r w:rsidR="00FA78AE" w:rsidRPr="00B02E5E">
        <w:t>ensure</w:t>
      </w:r>
      <w:r>
        <w:t>s</w:t>
      </w:r>
      <w:r w:rsidR="00765C25" w:rsidRPr="00FA78AE">
        <w:t xml:space="preserve"> the label is</w:t>
      </w:r>
      <w:r w:rsidR="00A5615D" w:rsidRPr="00FA78AE">
        <w:t xml:space="preserve"> clear and legible throughout the life of the product</w:t>
      </w:r>
      <w:r w:rsidR="00255072">
        <w:t xml:space="preserve"> </w:t>
      </w:r>
      <w:r w:rsidR="00FA78AE">
        <w:rPr>
          <w:bdr w:val="none" w:sz="0" w:space="0" w:color="auto" w:frame="1"/>
          <w:lang w:val="en" w:eastAsia="en-AU"/>
        </w:rPr>
        <w:t>in the Australian context where these elements commonly occur during use.</w:t>
      </w:r>
      <w:bookmarkStart w:id="85" w:name="_Toc422996123"/>
      <w:bookmarkStart w:id="86" w:name="_Toc430872767"/>
      <w:bookmarkStart w:id="87" w:name="_Toc453749354"/>
      <w:bookmarkStart w:id="88" w:name="_Toc455580019"/>
    </w:p>
    <w:p w:rsidR="00216550" w:rsidRDefault="00216550" w:rsidP="00216550">
      <w:r>
        <w:t xml:space="preserve">As part of </w:t>
      </w:r>
      <w:r w:rsidR="006B6CFC">
        <w:t xml:space="preserve">the </w:t>
      </w:r>
      <w:r>
        <w:t xml:space="preserve">last review of the voluntary Australian standard, </w:t>
      </w:r>
      <w:r w:rsidR="00DB6074">
        <w:t xml:space="preserve">the </w:t>
      </w:r>
      <w:r>
        <w:t xml:space="preserve">Standards Australia </w:t>
      </w:r>
      <w:r w:rsidR="00DB6074">
        <w:t xml:space="preserve">technical committee </w:t>
      </w:r>
      <w:r>
        <w:t xml:space="preserve">considered whether the latest version should fully align with the European standard. Standards Australia decided that the voluntary Australian standard was working well under current arrangements </w:t>
      </w:r>
      <w:r w:rsidR="00B955CE">
        <w:t>and did</w:t>
      </w:r>
      <w:r>
        <w:t xml:space="preserve"> not </w:t>
      </w:r>
      <w:r w:rsidR="00B955CE">
        <w:t>align with the European standard</w:t>
      </w:r>
      <w:r>
        <w:t xml:space="preserve">. </w:t>
      </w:r>
    </w:p>
    <w:p w:rsidR="00210C8E" w:rsidRPr="002B1ABD" w:rsidRDefault="00255072" w:rsidP="00447A45">
      <w:pPr>
        <w:pStyle w:val="ListParagraph"/>
        <w:numPr>
          <w:ilvl w:val="0"/>
          <w:numId w:val="0"/>
        </w:numPr>
      </w:pPr>
      <w:r w:rsidRPr="008C2046">
        <w:t xml:space="preserve">We need to resolve the different warning label </w:t>
      </w:r>
      <w:r w:rsidR="00DD4E61" w:rsidRPr="008C2046">
        <w:t xml:space="preserve">resistance </w:t>
      </w:r>
      <w:r w:rsidRPr="008C2046">
        <w:t xml:space="preserve">requirements of the European standard, particularly </w:t>
      </w:r>
      <w:r w:rsidR="00DD4E61" w:rsidRPr="008C2046">
        <w:t>to UV light</w:t>
      </w:r>
      <w:r w:rsidR="003A207E" w:rsidRPr="008C2046">
        <w:t>, before we can determine whether the European standard is suitable for Australia</w:t>
      </w:r>
      <w:r w:rsidR="00DD4E61" w:rsidRPr="008C2046">
        <w:t xml:space="preserve">. </w:t>
      </w:r>
      <w:r w:rsidR="003A756F" w:rsidRPr="008C2046">
        <w:t>We seek information from stakeholders on this issue.</w:t>
      </w:r>
    </w:p>
    <w:p w:rsidR="008A7E47" w:rsidRDefault="00AC613B" w:rsidP="00CB0D3C">
      <w:pPr>
        <w:pStyle w:val="Numbered1"/>
        <w:numPr>
          <w:ilvl w:val="0"/>
          <w:numId w:val="28"/>
        </w:numPr>
        <w:ind w:left="680" w:hanging="680"/>
      </w:pPr>
      <w:bookmarkStart w:id="89" w:name="_Toc463597802"/>
      <w:r>
        <w:br w:type="page"/>
      </w:r>
      <w:bookmarkStart w:id="90" w:name="_Toc463598352"/>
      <w:bookmarkStart w:id="91" w:name="_Toc463961672"/>
      <w:r w:rsidR="008A7E47">
        <w:lastRenderedPageBreak/>
        <w:t xml:space="preserve">Detailed </w:t>
      </w:r>
      <w:r w:rsidR="00F63587" w:rsidRPr="00382011">
        <w:t>d</w:t>
      </w:r>
      <w:r w:rsidR="008A7E47" w:rsidRPr="00382011">
        <w:t>escription</w:t>
      </w:r>
      <w:r w:rsidR="008A7E47">
        <w:t xml:space="preserve"> of </w:t>
      </w:r>
      <w:r w:rsidR="00F63587">
        <w:t>p</w:t>
      </w:r>
      <w:r w:rsidR="00935D49">
        <w:t>olicy options</w:t>
      </w:r>
      <w:bookmarkStart w:id="92" w:name="_Toc448397937"/>
      <w:bookmarkEnd w:id="85"/>
      <w:bookmarkEnd w:id="86"/>
      <w:bookmarkEnd w:id="87"/>
      <w:bookmarkEnd w:id="88"/>
      <w:bookmarkEnd w:id="89"/>
      <w:bookmarkEnd w:id="90"/>
      <w:bookmarkEnd w:id="91"/>
    </w:p>
    <w:p w:rsidR="008A7E47" w:rsidRPr="00297D3B" w:rsidRDefault="008A7E47" w:rsidP="00F96A85">
      <w:pPr>
        <w:pStyle w:val="Heading2"/>
        <w:rPr>
          <w:b w:val="0"/>
        </w:rPr>
      </w:pPr>
      <w:bookmarkStart w:id="93" w:name="_Toc453749109"/>
      <w:bookmarkStart w:id="94" w:name="_Toc453749355"/>
      <w:bookmarkStart w:id="95" w:name="_Toc453759808"/>
      <w:bookmarkStart w:id="96" w:name="_Toc453763206"/>
      <w:bookmarkStart w:id="97" w:name="_Toc453763893"/>
      <w:bookmarkStart w:id="98" w:name="_Toc453765803"/>
      <w:bookmarkStart w:id="99" w:name="_Toc454544436"/>
      <w:bookmarkStart w:id="100" w:name="_Toc455580020"/>
      <w:bookmarkStart w:id="101" w:name="_Toc456277638"/>
      <w:bookmarkStart w:id="102" w:name="_Toc456279007"/>
      <w:bookmarkStart w:id="103" w:name="_Toc457311817"/>
      <w:bookmarkStart w:id="104" w:name="_Toc463597803"/>
      <w:bookmarkStart w:id="105" w:name="_Toc463598353"/>
      <w:bookmarkStart w:id="106" w:name="_Toc463961673"/>
      <w:r w:rsidRPr="00297D3B">
        <w:rPr>
          <w:b w:val="0"/>
        </w:rPr>
        <w:t xml:space="preserve">Option 1 - Keep the current mandatory </w:t>
      </w:r>
      <w:r w:rsidR="00C934C5">
        <w:rPr>
          <w:b w:val="0"/>
        </w:rPr>
        <w:t xml:space="preserve">safety </w:t>
      </w:r>
      <w:r w:rsidRPr="00297D3B">
        <w:rPr>
          <w:b w:val="0"/>
        </w:rPr>
        <w:t>standard (status quo)</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A7E47" w:rsidRDefault="008A7E47" w:rsidP="00297D3B">
      <w:pPr>
        <w:pStyle w:val="Heading3"/>
      </w:pPr>
      <w:bookmarkStart w:id="107" w:name="_Toc453749110"/>
      <w:bookmarkStart w:id="108" w:name="_Toc453749356"/>
      <w:bookmarkStart w:id="109" w:name="_Toc453763894"/>
      <w:bookmarkStart w:id="110" w:name="_Toc453765804"/>
      <w:bookmarkStart w:id="111" w:name="_Toc454444014"/>
      <w:bookmarkStart w:id="112" w:name="_Toc454544437"/>
      <w:bookmarkStart w:id="113" w:name="_Toc455580021"/>
      <w:bookmarkStart w:id="114" w:name="_Toc456277639"/>
      <w:bookmarkStart w:id="115" w:name="_Toc456279008"/>
      <w:bookmarkStart w:id="116" w:name="_Toc457311818"/>
      <w:bookmarkStart w:id="117" w:name="_Toc460422297"/>
      <w:bookmarkStart w:id="118" w:name="_Toc460424807"/>
      <w:bookmarkStart w:id="119" w:name="_Toc461110005"/>
      <w:bookmarkStart w:id="120" w:name="_Toc462049210"/>
      <w:bookmarkStart w:id="121" w:name="_Toc463597804"/>
      <w:bookmarkStart w:id="122" w:name="_Toc463598354"/>
      <w:bookmarkStart w:id="123" w:name="_Toc463961674"/>
      <w:r w:rsidRPr="009C2938">
        <w:t>Description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AD6EC9" w:rsidRPr="00AD6EC9" w:rsidRDefault="00AD6EC9" w:rsidP="00AD6EC9">
      <w:r w:rsidRPr="00AD6EC9">
        <w:t xml:space="preserve">This option would maintain the current </w:t>
      </w:r>
      <w:r w:rsidR="00C934C5">
        <w:t xml:space="preserve">mandatory </w:t>
      </w:r>
      <w:r w:rsidRPr="00AD6EC9">
        <w:t xml:space="preserve">safety standard.   </w:t>
      </w:r>
    </w:p>
    <w:p w:rsidR="008A7E47" w:rsidRDefault="008A7E47" w:rsidP="00297D3B">
      <w:pPr>
        <w:pStyle w:val="Heading3"/>
      </w:pPr>
      <w:bookmarkStart w:id="124" w:name="_Toc453749111"/>
      <w:bookmarkStart w:id="125" w:name="_Toc453749357"/>
      <w:bookmarkStart w:id="126" w:name="_Toc453763895"/>
      <w:bookmarkStart w:id="127" w:name="_Toc453765805"/>
      <w:bookmarkStart w:id="128" w:name="_Toc454444015"/>
      <w:bookmarkStart w:id="129" w:name="_Toc454544438"/>
      <w:bookmarkStart w:id="130" w:name="_Toc455580022"/>
      <w:bookmarkStart w:id="131" w:name="_Toc456277640"/>
      <w:bookmarkStart w:id="132" w:name="_Toc456279009"/>
      <w:bookmarkStart w:id="133" w:name="_Toc457311819"/>
      <w:bookmarkStart w:id="134" w:name="_Toc460422298"/>
      <w:bookmarkStart w:id="135" w:name="_Toc460424808"/>
      <w:bookmarkStart w:id="136" w:name="_Toc461110006"/>
      <w:bookmarkStart w:id="137" w:name="_Toc462049211"/>
      <w:bookmarkStart w:id="138" w:name="_Toc463597805"/>
      <w:bookmarkStart w:id="139" w:name="_Toc463598355"/>
      <w:bookmarkStart w:id="140" w:name="_Toc463961675"/>
      <w:r w:rsidRPr="0095683B">
        <w:t>Benefits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AD6EC9" w:rsidRPr="00AD6EC9" w:rsidRDefault="00C934C5" w:rsidP="00AD6EC9">
      <w:r>
        <w:t>This would</w:t>
      </w:r>
      <w:r w:rsidR="00AD6EC9" w:rsidRPr="00AD6EC9">
        <w:t xml:space="preserve"> result in no changes to the regulation and no </w:t>
      </w:r>
      <w:r>
        <w:t>new</w:t>
      </w:r>
      <w:r w:rsidRPr="00AD6EC9">
        <w:t xml:space="preserve"> </w:t>
      </w:r>
      <w:r w:rsidR="00AD6EC9" w:rsidRPr="00AD6EC9">
        <w:t>regulatory cost</w:t>
      </w:r>
      <w:r>
        <w:t>s</w:t>
      </w:r>
      <w:r w:rsidR="00AD6EC9" w:rsidRPr="00AD6EC9">
        <w:t xml:space="preserve"> for suppliers. </w:t>
      </w:r>
      <w:r>
        <w:t>Suppliers would need to c</w:t>
      </w:r>
      <w:r w:rsidR="00AD6EC9" w:rsidRPr="00AD6EC9">
        <w:t>ontinue</w:t>
      </w:r>
      <w:r>
        <w:t xml:space="preserve"> to</w:t>
      </w:r>
      <w:r w:rsidR="00AD6EC9" w:rsidRPr="00AD6EC9">
        <w:t xml:space="preserve"> </w:t>
      </w:r>
      <w:r w:rsidRPr="00AD6EC9">
        <w:t>compl</w:t>
      </w:r>
      <w:r>
        <w:t>y</w:t>
      </w:r>
      <w:r w:rsidRPr="00AD6EC9">
        <w:t xml:space="preserve"> </w:t>
      </w:r>
      <w:r w:rsidR="00AD6EC9" w:rsidRPr="00AD6EC9">
        <w:t xml:space="preserve">with the current </w:t>
      </w:r>
      <w:r w:rsidR="009E6FBC">
        <w:t xml:space="preserve">mandatory </w:t>
      </w:r>
      <w:r w:rsidR="00AD6EC9" w:rsidRPr="00AD6EC9">
        <w:t>safety standard.</w:t>
      </w:r>
    </w:p>
    <w:p w:rsidR="00921DE8" w:rsidRDefault="00921DE8" w:rsidP="00921DE8">
      <w:pPr>
        <w:pStyle w:val="Heading3"/>
      </w:pPr>
      <w:bookmarkStart w:id="141" w:name="_Toc457311820"/>
      <w:bookmarkStart w:id="142" w:name="_Toc460422299"/>
      <w:bookmarkStart w:id="143" w:name="_Toc460424809"/>
      <w:bookmarkStart w:id="144" w:name="_Toc461110007"/>
      <w:bookmarkStart w:id="145" w:name="_Toc462049212"/>
      <w:bookmarkStart w:id="146" w:name="_Toc463597806"/>
      <w:bookmarkStart w:id="147" w:name="_Toc463598356"/>
      <w:bookmarkStart w:id="148" w:name="_Toc463961676"/>
      <w:r>
        <w:t>Limitations</w:t>
      </w:r>
      <w:bookmarkEnd w:id="141"/>
      <w:bookmarkEnd w:id="142"/>
      <w:bookmarkEnd w:id="143"/>
      <w:bookmarkEnd w:id="144"/>
      <w:bookmarkEnd w:id="145"/>
      <w:bookmarkEnd w:id="146"/>
      <w:bookmarkEnd w:id="147"/>
      <w:bookmarkEnd w:id="148"/>
    </w:p>
    <w:p w:rsidR="009E6FBC" w:rsidRPr="000B0CD5" w:rsidRDefault="009E6FBC" w:rsidP="009E6FBC">
      <w:r>
        <w:t>Maintaining the status quo would mean the man</w:t>
      </w:r>
      <w:r w:rsidR="00265286">
        <w:t>datory safety standard continues</w:t>
      </w:r>
      <w:r>
        <w:t xml:space="preserve"> to reference an outdated voluntary Australian standard.</w:t>
      </w:r>
      <w:r w:rsidRPr="009E6FBC">
        <w:t xml:space="preserve"> </w:t>
      </w:r>
      <w:r>
        <w:t xml:space="preserve">Some suppliers have advised the ACCC that complying with this outdated standard is difficult.  </w:t>
      </w:r>
    </w:p>
    <w:p w:rsidR="00AD6EC9" w:rsidRDefault="009E6FBC" w:rsidP="00AD6EC9">
      <w:r>
        <w:t xml:space="preserve">Suppliers would be free to include </w:t>
      </w:r>
      <w:r w:rsidR="00AD6EC9">
        <w:t xml:space="preserve">the </w:t>
      </w:r>
      <w:r w:rsidR="00C934C5">
        <w:t xml:space="preserve">improved </w:t>
      </w:r>
      <w:r w:rsidR="00FF3796">
        <w:t xml:space="preserve">safety </w:t>
      </w:r>
      <w:r w:rsidR="00C934C5">
        <w:t xml:space="preserve">warning in the </w:t>
      </w:r>
      <w:r w:rsidR="00AD6EC9">
        <w:t>update</w:t>
      </w:r>
      <w:r w:rsidR="00C934C5">
        <w:t>d</w:t>
      </w:r>
      <w:r w:rsidR="00AD6EC9">
        <w:t xml:space="preserve"> </w:t>
      </w:r>
      <w:r w:rsidR="00C934C5">
        <w:t xml:space="preserve">voluntary </w:t>
      </w:r>
      <w:r w:rsidR="00AD6EC9">
        <w:t xml:space="preserve">Australian standard that the </w:t>
      </w:r>
      <w:r w:rsidR="00051AE0">
        <w:t>flotation</w:t>
      </w:r>
      <w:r w:rsidR="00AD6EC9">
        <w:t xml:space="preserve"> device or swimming vest ‘WILL NOT PROTECT</w:t>
      </w:r>
      <w:r w:rsidR="000C3220">
        <w:t xml:space="preserve"> AGAINST DROWNING’</w:t>
      </w:r>
      <w:r>
        <w:t xml:space="preserve"> </w:t>
      </w:r>
      <w:r w:rsidR="00294415">
        <w:t>but this</w:t>
      </w:r>
      <w:r>
        <w:t xml:space="preserve"> would not be mandatory.</w:t>
      </w:r>
    </w:p>
    <w:p w:rsidR="00573D7B" w:rsidRPr="00AD6EC9" w:rsidRDefault="008A7E47" w:rsidP="00A95514">
      <w:pPr>
        <w:pStyle w:val="Heading2"/>
        <w:rPr>
          <w:i/>
        </w:rPr>
      </w:pPr>
      <w:bookmarkStart w:id="149" w:name="_Toc454544444"/>
      <w:bookmarkStart w:id="150" w:name="_Toc455580028"/>
      <w:bookmarkStart w:id="151" w:name="_Toc448397938"/>
      <w:bookmarkStart w:id="152" w:name="_Toc453749117"/>
      <w:bookmarkStart w:id="153" w:name="_Toc453749363"/>
      <w:bookmarkStart w:id="154" w:name="_Toc453759810"/>
      <w:bookmarkStart w:id="155" w:name="_Toc453763208"/>
      <w:bookmarkStart w:id="156" w:name="_Toc453763901"/>
      <w:bookmarkStart w:id="157" w:name="_Toc453765811"/>
      <w:bookmarkStart w:id="158" w:name="_Toc456277646"/>
      <w:bookmarkStart w:id="159" w:name="_Toc456279015"/>
      <w:bookmarkStart w:id="160" w:name="_Toc457311824"/>
      <w:bookmarkStart w:id="161" w:name="_Toc463597807"/>
      <w:bookmarkStart w:id="162" w:name="_Toc463598357"/>
      <w:bookmarkStart w:id="163" w:name="_Toc463961677"/>
      <w:bookmarkEnd w:id="92"/>
      <w:r w:rsidRPr="00297D3B">
        <w:rPr>
          <w:b w:val="0"/>
        </w:rPr>
        <w:t xml:space="preserve">Option </w:t>
      </w:r>
      <w:r w:rsidR="005C30C7">
        <w:rPr>
          <w:b w:val="0"/>
        </w:rPr>
        <w:t>2</w:t>
      </w:r>
      <w:r w:rsidR="005C30C7" w:rsidRPr="00297D3B">
        <w:rPr>
          <w:b w:val="0"/>
        </w:rPr>
        <w:t xml:space="preserve"> </w:t>
      </w:r>
      <w:r w:rsidR="00863CC2">
        <w:rPr>
          <w:b w:val="0"/>
        </w:rPr>
        <w:t>–</w:t>
      </w:r>
      <w:r w:rsidRPr="00297D3B">
        <w:rPr>
          <w:b w:val="0"/>
        </w:rPr>
        <w:t xml:space="preserve"> </w:t>
      </w:r>
      <w:bookmarkStart w:id="164" w:name="_Toc453749118"/>
      <w:bookmarkStart w:id="165" w:name="_Toc453749364"/>
      <w:bookmarkStart w:id="166" w:name="_Toc453763902"/>
      <w:bookmarkStart w:id="167" w:name="_Toc453765812"/>
      <w:bookmarkStart w:id="168" w:name="_Toc454444022"/>
      <w:bookmarkStart w:id="169" w:name="_Toc454544445"/>
      <w:bookmarkEnd w:id="149"/>
      <w:bookmarkEnd w:id="150"/>
      <w:bookmarkEnd w:id="151"/>
      <w:bookmarkEnd w:id="152"/>
      <w:bookmarkEnd w:id="153"/>
      <w:bookmarkEnd w:id="154"/>
      <w:bookmarkEnd w:id="155"/>
      <w:bookmarkEnd w:id="156"/>
      <w:bookmarkEnd w:id="157"/>
      <w:bookmarkEnd w:id="158"/>
      <w:bookmarkEnd w:id="159"/>
      <w:r w:rsidR="00863CC2">
        <w:rPr>
          <w:b w:val="0"/>
        </w:rPr>
        <w:t>Adopt</w:t>
      </w:r>
      <w:r w:rsidR="00D829A9">
        <w:rPr>
          <w:b w:val="0"/>
        </w:rPr>
        <w:t xml:space="preserve"> </w:t>
      </w:r>
      <w:r w:rsidR="00D829A9" w:rsidRPr="00C144E0">
        <w:rPr>
          <w:b w:val="0"/>
        </w:rPr>
        <w:t xml:space="preserve">the </w:t>
      </w:r>
      <w:r w:rsidR="00D829A9">
        <w:rPr>
          <w:b w:val="0"/>
        </w:rPr>
        <w:t xml:space="preserve">updated </w:t>
      </w:r>
      <w:r w:rsidR="00D829A9" w:rsidRPr="00C144E0">
        <w:rPr>
          <w:b w:val="0"/>
        </w:rPr>
        <w:t>voluntary Australian</w:t>
      </w:r>
      <w:r w:rsidR="00863CC2">
        <w:rPr>
          <w:b w:val="0"/>
        </w:rPr>
        <w:t xml:space="preserve"> standard</w:t>
      </w:r>
      <w:bookmarkEnd w:id="160"/>
      <w:bookmarkEnd w:id="161"/>
      <w:bookmarkEnd w:id="162"/>
      <w:bookmarkEnd w:id="163"/>
    </w:p>
    <w:p w:rsidR="008A7E47" w:rsidRDefault="008A7E47" w:rsidP="00297D3B">
      <w:pPr>
        <w:pStyle w:val="Heading3"/>
      </w:pPr>
      <w:bookmarkStart w:id="170" w:name="_Toc455580029"/>
      <w:bookmarkStart w:id="171" w:name="_Toc456277647"/>
      <w:bookmarkStart w:id="172" w:name="_Toc456279016"/>
      <w:bookmarkStart w:id="173" w:name="_Toc457311825"/>
      <w:bookmarkStart w:id="174" w:name="_Toc460422304"/>
      <w:bookmarkStart w:id="175" w:name="_Toc460424814"/>
      <w:bookmarkStart w:id="176" w:name="_Toc461110009"/>
      <w:bookmarkStart w:id="177" w:name="_Toc462049214"/>
      <w:bookmarkStart w:id="178" w:name="_Toc463597808"/>
      <w:bookmarkStart w:id="179" w:name="_Toc463598358"/>
      <w:bookmarkStart w:id="180" w:name="_Toc463961678"/>
      <w:r w:rsidRPr="00297D3B">
        <w:t>Description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2497B" w:rsidRDefault="00F2497B" w:rsidP="00F2497B">
      <w:r w:rsidRPr="00F2497B">
        <w:t xml:space="preserve">This option would amend the </w:t>
      </w:r>
      <w:r w:rsidR="00294415">
        <w:t>mandatory</w:t>
      </w:r>
      <w:r w:rsidR="00294415" w:rsidRPr="00F2497B">
        <w:t xml:space="preserve"> </w:t>
      </w:r>
      <w:r w:rsidRPr="00F2497B">
        <w:t xml:space="preserve">safety standard to </w:t>
      </w:r>
      <w:r w:rsidR="00FF3796">
        <w:t>adopt</w:t>
      </w:r>
      <w:r w:rsidR="00FF3796" w:rsidRPr="00F2497B">
        <w:t xml:space="preserve"> </w:t>
      </w:r>
      <w:r w:rsidRPr="00F2497B">
        <w:t xml:space="preserve">the updated Australian voluntary standard. A transition period would allow suppliers to </w:t>
      </w:r>
      <w:r w:rsidR="00FF3796">
        <w:t>sell existing stock</w:t>
      </w:r>
      <w:r w:rsidRPr="00F2497B">
        <w:t xml:space="preserve"> </w:t>
      </w:r>
      <w:r w:rsidR="00FF3796">
        <w:t>and source products that me</w:t>
      </w:r>
      <w:r w:rsidR="009D723A">
        <w:t>e</w:t>
      </w:r>
      <w:r w:rsidR="00FF3796">
        <w:t>t the new</w:t>
      </w:r>
      <w:r w:rsidR="00FF3796" w:rsidRPr="00F2497B">
        <w:t xml:space="preserve"> </w:t>
      </w:r>
      <w:r w:rsidRPr="00F2497B">
        <w:t xml:space="preserve">requirements. </w:t>
      </w:r>
      <w:r w:rsidR="00DD385D">
        <w:t>Under this option, the following warning label would be required for flotation aids:</w:t>
      </w:r>
    </w:p>
    <w:p w:rsidR="00DD385D" w:rsidRDefault="00DD385D" w:rsidP="00E551F9">
      <w:pPr>
        <w:spacing w:before="0"/>
      </w:pPr>
    </w:p>
    <w:p w:rsidR="00DD385D" w:rsidRPr="00274F35" w:rsidRDefault="00DD385D" w:rsidP="00DD385D">
      <w:pPr>
        <w:pBdr>
          <w:top w:val="single" w:sz="4" w:space="1" w:color="auto"/>
          <w:left w:val="single" w:sz="4" w:space="4" w:color="auto"/>
          <w:bottom w:val="single" w:sz="4" w:space="1" w:color="auto"/>
          <w:right w:val="single" w:sz="4" w:space="4" w:color="auto"/>
        </w:pBdr>
        <w:spacing w:before="0"/>
        <w:ind w:left="340" w:firstLine="340"/>
        <w:jc w:val="center"/>
        <w:rPr>
          <w:b/>
        </w:rPr>
      </w:pPr>
      <w:r w:rsidRPr="00274F35">
        <w:rPr>
          <w:b/>
        </w:rPr>
        <w:t xml:space="preserve">WARNING </w:t>
      </w:r>
    </w:p>
    <w:p w:rsidR="00DD385D" w:rsidRPr="00274F35" w:rsidRDefault="00DD385D" w:rsidP="00DD385D">
      <w:pPr>
        <w:pBdr>
          <w:top w:val="single" w:sz="4" w:space="1" w:color="auto"/>
          <w:left w:val="single" w:sz="4" w:space="4" w:color="auto"/>
          <w:bottom w:val="single" w:sz="4" w:space="1" w:color="auto"/>
          <w:right w:val="single" w:sz="4" w:space="4" w:color="auto"/>
        </w:pBdr>
        <w:spacing w:before="0"/>
        <w:ind w:left="340" w:firstLine="340"/>
        <w:jc w:val="center"/>
        <w:rPr>
          <w:b/>
        </w:rPr>
      </w:pPr>
      <w:r w:rsidRPr="00274F35">
        <w:rPr>
          <w:b/>
        </w:rPr>
        <w:t>WILL NOT PROTECT AGAINST DROWNING</w:t>
      </w:r>
    </w:p>
    <w:p w:rsidR="00DD385D" w:rsidRPr="00274F35" w:rsidRDefault="00DD385D" w:rsidP="00DD385D">
      <w:pPr>
        <w:pBdr>
          <w:top w:val="single" w:sz="4" w:space="1" w:color="auto"/>
          <w:left w:val="single" w:sz="4" w:space="4" w:color="auto"/>
          <w:bottom w:val="single" w:sz="4" w:space="1" w:color="auto"/>
          <w:right w:val="single" w:sz="4" w:space="4" w:color="auto"/>
        </w:pBdr>
        <w:spacing w:before="0"/>
        <w:ind w:left="340" w:firstLine="340"/>
        <w:jc w:val="center"/>
        <w:rPr>
          <w:b/>
        </w:rPr>
      </w:pPr>
      <w:r w:rsidRPr="00274F35">
        <w:rPr>
          <w:b/>
        </w:rPr>
        <w:t>USE ONLY UNDER COMPETENT SUPERVISION</w:t>
      </w:r>
    </w:p>
    <w:p w:rsidR="00DD385D" w:rsidRDefault="00E551F9" w:rsidP="00DD385D">
      <w:r>
        <w:t>The following warning label would be required for swimming aid vests:</w:t>
      </w:r>
    </w:p>
    <w:p w:rsidR="00E551F9" w:rsidRDefault="00E551F9" w:rsidP="00E551F9">
      <w:pPr>
        <w:spacing w:before="0"/>
      </w:pPr>
    </w:p>
    <w:p w:rsidR="00E551F9" w:rsidRPr="00274F35" w:rsidRDefault="00E551F9" w:rsidP="00274F35">
      <w:pPr>
        <w:pBdr>
          <w:top w:val="single" w:sz="4" w:space="0" w:color="auto"/>
          <w:left w:val="single" w:sz="4" w:space="4" w:color="auto"/>
          <w:bottom w:val="single" w:sz="4" w:space="1" w:color="auto"/>
          <w:right w:val="single" w:sz="4" w:space="4" w:color="auto"/>
        </w:pBdr>
        <w:spacing w:before="0"/>
        <w:ind w:left="340" w:firstLine="340"/>
        <w:jc w:val="center"/>
        <w:rPr>
          <w:b/>
        </w:rPr>
      </w:pPr>
      <w:r w:rsidRPr="00274F35">
        <w:rPr>
          <w:b/>
        </w:rPr>
        <w:t xml:space="preserve">WARNING </w:t>
      </w:r>
    </w:p>
    <w:p w:rsidR="00E551F9" w:rsidRPr="00274F35" w:rsidRDefault="00E551F9" w:rsidP="00274F35">
      <w:pPr>
        <w:pBdr>
          <w:top w:val="single" w:sz="4" w:space="0" w:color="auto"/>
          <w:left w:val="single" w:sz="4" w:space="4" w:color="auto"/>
          <w:bottom w:val="single" w:sz="4" w:space="1" w:color="auto"/>
          <w:right w:val="single" w:sz="4" w:space="4" w:color="auto"/>
        </w:pBdr>
        <w:spacing w:before="0"/>
        <w:ind w:left="340" w:firstLine="340"/>
        <w:jc w:val="center"/>
        <w:rPr>
          <w:b/>
        </w:rPr>
      </w:pPr>
      <w:r w:rsidRPr="00274F35">
        <w:rPr>
          <w:b/>
        </w:rPr>
        <w:t>WILL NOT PROTECT AGAINST DROWNING</w:t>
      </w:r>
    </w:p>
    <w:p w:rsidR="00E551F9" w:rsidRPr="00274F35" w:rsidRDefault="00E551F9" w:rsidP="00274F35">
      <w:pPr>
        <w:pBdr>
          <w:top w:val="single" w:sz="4" w:space="0" w:color="auto"/>
          <w:left w:val="single" w:sz="4" w:space="4" w:color="auto"/>
          <w:bottom w:val="single" w:sz="4" w:space="1" w:color="auto"/>
          <w:right w:val="single" w:sz="4" w:space="4" w:color="auto"/>
        </w:pBdr>
        <w:spacing w:before="0"/>
        <w:ind w:left="340" w:firstLine="340"/>
        <w:jc w:val="center"/>
        <w:rPr>
          <w:b/>
        </w:rPr>
      </w:pPr>
      <w:r w:rsidRPr="00274F35">
        <w:rPr>
          <w:b/>
        </w:rPr>
        <w:t>USE ONLY UNDER COMPETENT SUPERVISION.</w:t>
      </w:r>
    </w:p>
    <w:p w:rsidR="00DD385D" w:rsidRPr="00F2497B" w:rsidRDefault="00E551F9" w:rsidP="00274F35">
      <w:pPr>
        <w:pBdr>
          <w:top w:val="single" w:sz="4" w:space="0" w:color="auto"/>
          <w:left w:val="single" w:sz="4" w:space="4" w:color="auto"/>
          <w:bottom w:val="single" w:sz="4" w:space="1" w:color="auto"/>
          <w:right w:val="single" w:sz="4" w:space="4" w:color="auto"/>
        </w:pBdr>
        <w:spacing w:before="0"/>
        <w:ind w:left="340" w:firstLine="340"/>
        <w:jc w:val="center"/>
      </w:pPr>
      <w:r w:rsidRPr="00274F35">
        <w:rPr>
          <w:b/>
        </w:rPr>
        <w:t>NOT FOR USE IN BOATING</w:t>
      </w:r>
    </w:p>
    <w:p w:rsidR="008A7E47" w:rsidRDefault="008A7E47" w:rsidP="00297D3B">
      <w:pPr>
        <w:pStyle w:val="Heading3"/>
      </w:pPr>
      <w:bookmarkStart w:id="181" w:name="_Toc453749119"/>
      <w:bookmarkStart w:id="182" w:name="_Toc453749365"/>
      <w:bookmarkStart w:id="183" w:name="_Toc453763903"/>
      <w:bookmarkStart w:id="184" w:name="_Toc453765813"/>
      <w:bookmarkStart w:id="185" w:name="_Toc454444023"/>
      <w:bookmarkStart w:id="186" w:name="_Toc454544446"/>
      <w:bookmarkStart w:id="187" w:name="_Toc455580030"/>
      <w:bookmarkStart w:id="188" w:name="_Toc456277648"/>
      <w:bookmarkStart w:id="189" w:name="_Toc456279017"/>
      <w:bookmarkStart w:id="190" w:name="_Toc457311826"/>
      <w:bookmarkStart w:id="191" w:name="_Toc460422305"/>
      <w:bookmarkStart w:id="192" w:name="_Toc460424815"/>
      <w:bookmarkStart w:id="193" w:name="_Toc461110010"/>
      <w:bookmarkStart w:id="194" w:name="_Toc462049215"/>
      <w:bookmarkStart w:id="195" w:name="_Toc463597809"/>
      <w:bookmarkStart w:id="196" w:name="_Toc463598359"/>
      <w:bookmarkStart w:id="197" w:name="_Toc463961679"/>
      <w:r w:rsidRPr="00297D3B">
        <w:t>Benefits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FF3796" w:rsidRDefault="00FF3796" w:rsidP="00F2497B">
      <w:r>
        <w:t>Adopting</w:t>
      </w:r>
      <w:r w:rsidR="00F2497B">
        <w:t xml:space="preserve"> the updated voluntary Australian standard </w:t>
      </w:r>
      <w:r>
        <w:t xml:space="preserve">would mandate the improved safety warning about the risk of drowning. </w:t>
      </w:r>
    </w:p>
    <w:p w:rsidR="00B7635E" w:rsidRDefault="00FF3796" w:rsidP="00F2497B">
      <w:r>
        <w:t xml:space="preserve">This would also </w:t>
      </w:r>
      <w:r w:rsidR="00B7635E">
        <w:t>make compliance easier for suppliers who find it confusing to comply with an outdated voluntary standard.</w:t>
      </w:r>
    </w:p>
    <w:p w:rsidR="00AC613B" w:rsidRDefault="00AC613B" w:rsidP="00297D3B">
      <w:pPr>
        <w:pStyle w:val="Heading3"/>
      </w:pPr>
      <w:bookmarkStart w:id="198" w:name="_Toc457311827"/>
      <w:bookmarkStart w:id="199" w:name="_Toc460422306"/>
      <w:bookmarkStart w:id="200" w:name="_Toc460424816"/>
      <w:bookmarkStart w:id="201" w:name="_Toc461110011"/>
      <w:bookmarkStart w:id="202" w:name="_Toc462049216"/>
      <w:bookmarkStart w:id="203" w:name="_Toc463597810"/>
    </w:p>
    <w:p w:rsidR="00AC613B" w:rsidRDefault="00AC613B" w:rsidP="00297D3B">
      <w:pPr>
        <w:pStyle w:val="Heading3"/>
      </w:pPr>
    </w:p>
    <w:p w:rsidR="008A7E47" w:rsidRDefault="00285E42" w:rsidP="00297D3B">
      <w:pPr>
        <w:pStyle w:val="Heading3"/>
      </w:pPr>
      <w:bookmarkStart w:id="204" w:name="_Toc463598360"/>
      <w:bookmarkStart w:id="205" w:name="_Toc463961680"/>
      <w:r>
        <w:lastRenderedPageBreak/>
        <w:t>Limitations</w:t>
      </w:r>
      <w:bookmarkEnd w:id="198"/>
      <w:bookmarkEnd w:id="199"/>
      <w:bookmarkEnd w:id="200"/>
      <w:bookmarkEnd w:id="201"/>
      <w:bookmarkEnd w:id="202"/>
      <w:bookmarkEnd w:id="203"/>
      <w:bookmarkEnd w:id="204"/>
      <w:bookmarkEnd w:id="205"/>
    </w:p>
    <w:p w:rsidR="00B7635E" w:rsidRDefault="00F2497B" w:rsidP="00F2497B">
      <w:r w:rsidRPr="00F2497B">
        <w:t xml:space="preserve">Amending the </w:t>
      </w:r>
      <w:r w:rsidR="009D723A">
        <w:t xml:space="preserve">mandatory </w:t>
      </w:r>
      <w:r w:rsidRPr="00F2497B">
        <w:t xml:space="preserve">safety standard may impose additional regulatory </w:t>
      </w:r>
      <w:r w:rsidR="00B7635E">
        <w:t xml:space="preserve">and labelling </w:t>
      </w:r>
      <w:r w:rsidRPr="00F2497B">
        <w:t xml:space="preserve">costs on suppliers as they transition to the </w:t>
      </w:r>
      <w:r w:rsidR="00B7635E">
        <w:t xml:space="preserve">new </w:t>
      </w:r>
      <w:r w:rsidRPr="00F2497B">
        <w:t xml:space="preserve">requirements. </w:t>
      </w:r>
      <w:r w:rsidR="00B7635E">
        <w:t>However, a suitable transition period would mean these costs would be small.</w:t>
      </w:r>
    </w:p>
    <w:p w:rsidR="008A7E47" w:rsidRPr="00AD6EC9" w:rsidRDefault="008A7E47" w:rsidP="00BE3C42">
      <w:pPr>
        <w:pStyle w:val="Heading2"/>
        <w:rPr>
          <w:i/>
        </w:rPr>
      </w:pPr>
      <w:bookmarkStart w:id="206" w:name="_Toc448397939"/>
      <w:bookmarkStart w:id="207" w:name="_Toc453749121"/>
      <w:bookmarkStart w:id="208" w:name="_Toc453749367"/>
      <w:bookmarkStart w:id="209" w:name="_Toc453759811"/>
      <w:bookmarkStart w:id="210" w:name="_Toc453763209"/>
      <w:bookmarkStart w:id="211" w:name="_Toc453763905"/>
      <w:bookmarkStart w:id="212" w:name="_Toc453765815"/>
      <w:bookmarkStart w:id="213" w:name="_Toc454544448"/>
      <w:bookmarkStart w:id="214" w:name="_Toc455580032"/>
      <w:bookmarkStart w:id="215" w:name="_Toc456277650"/>
      <w:bookmarkStart w:id="216" w:name="_Toc456279019"/>
      <w:bookmarkStart w:id="217" w:name="_Toc457311828"/>
      <w:bookmarkStart w:id="218" w:name="_Toc463597811"/>
      <w:bookmarkStart w:id="219" w:name="_Toc463598361"/>
      <w:bookmarkStart w:id="220" w:name="_Toc463961681"/>
      <w:r w:rsidRPr="00BE3C42">
        <w:rPr>
          <w:b w:val="0"/>
        </w:rPr>
        <w:t xml:space="preserve">Option </w:t>
      </w:r>
      <w:r w:rsidR="005C30C7">
        <w:rPr>
          <w:b w:val="0"/>
        </w:rPr>
        <w:t>3</w:t>
      </w:r>
      <w:r w:rsidR="005C30C7" w:rsidRPr="00BE3C42">
        <w:rPr>
          <w:b w:val="0"/>
        </w:rPr>
        <w:t xml:space="preserve"> </w:t>
      </w:r>
      <w:r w:rsidRPr="00BE3C42">
        <w:rPr>
          <w:b w:val="0"/>
        </w:rPr>
        <w:t xml:space="preserve">- </w:t>
      </w:r>
      <w:bookmarkEnd w:id="206"/>
      <w:bookmarkEnd w:id="207"/>
      <w:bookmarkEnd w:id="208"/>
      <w:bookmarkEnd w:id="209"/>
      <w:bookmarkEnd w:id="210"/>
      <w:bookmarkEnd w:id="211"/>
      <w:bookmarkEnd w:id="212"/>
      <w:bookmarkEnd w:id="213"/>
      <w:bookmarkEnd w:id="214"/>
      <w:r w:rsidR="00C144E0" w:rsidRPr="00C144E0">
        <w:rPr>
          <w:b w:val="0"/>
        </w:rPr>
        <w:t xml:space="preserve">Allow </w:t>
      </w:r>
      <w:r w:rsidR="00D829A9">
        <w:rPr>
          <w:b w:val="0"/>
        </w:rPr>
        <w:t xml:space="preserve">compliance with </w:t>
      </w:r>
      <w:r w:rsidR="00C144E0" w:rsidRPr="00C144E0">
        <w:rPr>
          <w:b w:val="0"/>
        </w:rPr>
        <w:t xml:space="preserve">the </w:t>
      </w:r>
      <w:r w:rsidR="00285E42">
        <w:rPr>
          <w:b w:val="0"/>
        </w:rPr>
        <w:t xml:space="preserve">updated </w:t>
      </w:r>
      <w:r w:rsidR="00C144E0" w:rsidRPr="00C144E0">
        <w:rPr>
          <w:b w:val="0"/>
        </w:rPr>
        <w:t xml:space="preserve">voluntary Australian </w:t>
      </w:r>
      <w:bookmarkEnd w:id="215"/>
      <w:bookmarkEnd w:id="216"/>
      <w:r w:rsidR="00AD6EC9">
        <w:rPr>
          <w:b w:val="0"/>
        </w:rPr>
        <w:t xml:space="preserve">standard </w:t>
      </w:r>
      <w:bookmarkEnd w:id="217"/>
      <w:r w:rsidR="005C30C7">
        <w:rPr>
          <w:b w:val="0"/>
        </w:rPr>
        <w:t xml:space="preserve">or the </w:t>
      </w:r>
      <w:r w:rsidR="00AD6EC9">
        <w:rPr>
          <w:b w:val="0"/>
        </w:rPr>
        <w:t>European standard</w:t>
      </w:r>
      <w:bookmarkEnd w:id="218"/>
      <w:bookmarkEnd w:id="219"/>
      <w:bookmarkEnd w:id="220"/>
    </w:p>
    <w:p w:rsidR="008A7E47" w:rsidRDefault="008A7E47" w:rsidP="00492F94">
      <w:pPr>
        <w:pStyle w:val="Heading3"/>
      </w:pPr>
      <w:bookmarkStart w:id="221" w:name="_Toc453749122"/>
      <w:bookmarkStart w:id="222" w:name="_Toc453749368"/>
      <w:bookmarkStart w:id="223" w:name="_Toc453763906"/>
      <w:bookmarkStart w:id="224" w:name="_Toc453765816"/>
      <w:bookmarkStart w:id="225" w:name="_Toc454444026"/>
      <w:bookmarkStart w:id="226" w:name="_Toc454544449"/>
      <w:bookmarkStart w:id="227" w:name="_Toc455580033"/>
      <w:bookmarkStart w:id="228" w:name="_Toc456277651"/>
      <w:bookmarkStart w:id="229" w:name="_Toc456279020"/>
      <w:bookmarkStart w:id="230" w:name="_Toc457311829"/>
      <w:bookmarkStart w:id="231" w:name="_Toc460422308"/>
      <w:bookmarkStart w:id="232" w:name="_Toc460424818"/>
      <w:bookmarkStart w:id="233" w:name="_Toc461110013"/>
      <w:bookmarkStart w:id="234" w:name="_Toc462049218"/>
      <w:bookmarkStart w:id="235" w:name="_Toc463597812"/>
      <w:bookmarkStart w:id="236" w:name="_Toc463598362"/>
      <w:bookmarkStart w:id="237" w:name="_Toc463961682"/>
      <w:r w:rsidRPr="00F82104">
        <w:t>Description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7635E" w:rsidRDefault="00F2497B" w:rsidP="00B7635E">
      <w:r w:rsidRPr="00F2497B">
        <w:t xml:space="preserve">This option would amend the </w:t>
      </w:r>
      <w:r w:rsidR="00B7635E">
        <w:t>mandatory</w:t>
      </w:r>
      <w:r w:rsidR="00B7635E" w:rsidRPr="00F2497B">
        <w:t xml:space="preserve"> </w:t>
      </w:r>
      <w:r w:rsidRPr="00F2497B">
        <w:t xml:space="preserve">safety standard to </w:t>
      </w:r>
      <w:r w:rsidR="00B7635E">
        <w:t>allow compliance with either</w:t>
      </w:r>
      <w:r w:rsidR="00B7635E" w:rsidRPr="00F2497B">
        <w:t xml:space="preserve"> </w:t>
      </w:r>
      <w:r w:rsidRPr="00F2497B">
        <w:t xml:space="preserve">the updated </w:t>
      </w:r>
      <w:r w:rsidR="00B7635E">
        <w:t xml:space="preserve">voluntary </w:t>
      </w:r>
      <w:r w:rsidRPr="00F2497B">
        <w:t xml:space="preserve">Australian </w:t>
      </w:r>
      <w:r w:rsidR="00B7635E">
        <w:t>s</w:t>
      </w:r>
      <w:r w:rsidR="00B7635E" w:rsidRPr="00F2497B">
        <w:t xml:space="preserve">tandard </w:t>
      </w:r>
      <w:r w:rsidR="00B7635E">
        <w:t>or</w:t>
      </w:r>
      <w:r w:rsidR="00B7635E" w:rsidRPr="00F2497B">
        <w:t xml:space="preserve"> </w:t>
      </w:r>
      <w:r w:rsidRPr="00F2497B">
        <w:t xml:space="preserve">the European </w:t>
      </w:r>
      <w:r w:rsidR="00B7635E">
        <w:t>s</w:t>
      </w:r>
      <w:r w:rsidR="00B7635E" w:rsidRPr="00F2497B">
        <w:t>tandard</w:t>
      </w:r>
      <w:r w:rsidRPr="00F2497B">
        <w:t xml:space="preserve">. </w:t>
      </w:r>
      <w:r w:rsidR="00B7635E" w:rsidRPr="00F2497B">
        <w:t xml:space="preserve">A transition period would allow suppliers to </w:t>
      </w:r>
      <w:r w:rsidR="00B7635E">
        <w:t>sell existing stock</w:t>
      </w:r>
      <w:r w:rsidR="00B7635E" w:rsidRPr="00F2497B">
        <w:t xml:space="preserve"> </w:t>
      </w:r>
      <w:r w:rsidR="00B7635E">
        <w:t>and source products that me</w:t>
      </w:r>
      <w:r w:rsidR="009D723A">
        <w:t>e</w:t>
      </w:r>
      <w:r w:rsidR="00B7635E">
        <w:t>t the new</w:t>
      </w:r>
      <w:r w:rsidR="00B7635E" w:rsidRPr="00F2497B">
        <w:t xml:space="preserve"> requirements. </w:t>
      </w:r>
      <w:bookmarkStart w:id="238" w:name="_Toc453749123"/>
      <w:bookmarkStart w:id="239" w:name="_Toc453749369"/>
      <w:bookmarkStart w:id="240" w:name="_Toc453763907"/>
      <w:bookmarkStart w:id="241" w:name="_Toc453765817"/>
      <w:bookmarkStart w:id="242" w:name="_Toc454444027"/>
      <w:bookmarkStart w:id="243" w:name="_Toc454544450"/>
      <w:bookmarkStart w:id="244" w:name="_Toc455580034"/>
      <w:bookmarkStart w:id="245" w:name="_Toc456277652"/>
      <w:bookmarkStart w:id="246" w:name="_Toc456279021"/>
      <w:bookmarkStart w:id="247" w:name="_Toc457311830"/>
      <w:bookmarkStart w:id="248" w:name="_Toc460422309"/>
      <w:bookmarkStart w:id="249" w:name="_Toc460424819"/>
      <w:bookmarkStart w:id="250" w:name="_Toc461110014"/>
    </w:p>
    <w:p w:rsidR="008869C7" w:rsidRDefault="00103469" w:rsidP="00B7635E">
      <w:r>
        <w:t xml:space="preserve">In </w:t>
      </w:r>
      <w:r w:rsidR="00FA153B">
        <w:t>accepting</w:t>
      </w:r>
      <w:r>
        <w:t xml:space="preserve"> the European</w:t>
      </w:r>
      <w:r w:rsidR="008869C7">
        <w:t xml:space="preserve"> standard, pictorials or symbols would not be permitted to replace text warning labels</w:t>
      </w:r>
      <w:r>
        <w:t xml:space="preserve"> – they </w:t>
      </w:r>
      <w:r w:rsidR="008869C7">
        <w:t xml:space="preserve">could </w:t>
      </w:r>
      <w:r>
        <w:t xml:space="preserve">only </w:t>
      </w:r>
      <w:r w:rsidR="008869C7">
        <w:t>be used in addition to worded labels.</w:t>
      </w:r>
      <w:r w:rsidR="000D1CBA">
        <w:t xml:space="preserve"> The w</w:t>
      </w:r>
      <w:r>
        <w:t xml:space="preserve">ording must always be in English. </w:t>
      </w:r>
      <w:r w:rsidR="008869C7">
        <w:t xml:space="preserve"> </w:t>
      </w:r>
    </w:p>
    <w:p w:rsidR="008A7E47" w:rsidRPr="00492F94" w:rsidRDefault="008A7E47" w:rsidP="00B7635E">
      <w:pPr>
        <w:pStyle w:val="Heading3"/>
      </w:pPr>
      <w:bookmarkStart w:id="251" w:name="_Toc462049219"/>
      <w:bookmarkStart w:id="252" w:name="_Toc463597813"/>
      <w:bookmarkStart w:id="253" w:name="_Toc463598363"/>
      <w:bookmarkStart w:id="254" w:name="_Toc463961683"/>
      <w:r w:rsidRPr="00492F94">
        <w:t>Benefits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6253D9" w:rsidRDefault="00D25985" w:rsidP="00E551F9">
      <w:bookmarkStart w:id="255" w:name="_Toc457311831"/>
      <w:r>
        <w:t>Allowing compliance with either the updated voluntary Australian or European standards would mandate the improved safety warning about the risk of drowning. This would also make compliance easier for suppliers who find it confusing to comply with an outdated voluntary Australian standard. Allowing compliance with the European standard could increase the choice of products available to suppliers, with reduced testing costs, and to consumers, at potentially reduced prices.</w:t>
      </w:r>
      <w:bookmarkStart w:id="256" w:name="_Toc460422310"/>
      <w:bookmarkStart w:id="257" w:name="_Toc460424820"/>
      <w:bookmarkStart w:id="258" w:name="_Toc461110015"/>
      <w:bookmarkStart w:id="259" w:name="_Toc462049220"/>
    </w:p>
    <w:p w:rsidR="008A7E47" w:rsidRPr="00D25985" w:rsidRDefault="00285E42" w:rsidP="00492F94">
      <w:pPr>
        <w:pStyle w:val="Heading3"/>
      </w:pPr>
      <w:bookmarkStart w:id="260" w:name="_Toc463597814"/>
      <w:bookmarkStart w:id="261" w:name="_Toc463598364"/>
      <w:bookmarkStart w:id="262" w:name="_Toc463961684"/>
      <w:r w:rsidRPr="00D25985">
        <w:t>Limitations</w:t>
      </w:r>
      <w:bookmarkEnd w:id="255"/>
      <w:bookmarkEnd w:id="256"/>
      <w:bookmarkEnd w:id="257"/>
      <w:bookmarkEnd w:id="258"/>
      <w:bookmarkEnd w:id="259"/>
      <w:bookmarkEnd w:id="260"/>
      <w:bookmarkEnd w:id="261"/>
      <w:bookmarkEnd w:id="262"/>
    </w:p>
    <w:p w:rsidR="00CB4D25" w:rsidRDefault="00CB4D25" w:rsidP="00CB4D25">
      <w:r w:rsidRPr="00F2497B">
        <w:t xml:space="preserve">Amending the </w:t>
      </w:r>
      <w:r w:rsidR="009D723A">
        <w:t xml:space="preserve">mandatory </w:t>
      </w:r>
      <w:r w:rsidRPr="00F2497B">
        <w:t xml:space="preserve">safety standard may impose additional regulatory </w:t>
      </w:r>
      <w:r>
        <w:t xml:space="preserve">and labelling </w:t>
      </w:r>
      <w:r w:rsidRPr="00F2497B">
        <w:t xml:space="preserve">costs on suppliers as they transition to the </w:t>
      </w:r>
      <w:r>
        <w:t xml:space="preserve">new </w:t>
      </w:r>
      <w:r w:rsidRPr="00F2497B">
        <w:t xml:space="preserve">requirements. </w:t>
      </w:r>
      <w:r>
        <w:t>However, a suitable transition period would mean these costs would be small.</w:t>
      </w:r>
    </w:p>
    <w:p w:rsidR="00CB4D25" w:rsidRPr="00D25985" w:rsidRDefault="00CB4D25" w:rsidP="00317E3B">
      <w:r>
        <w:t xml:space="preserve">Before we allow compliance with the European standard, we need to understand whether its warning label resistance requirements, particularly to UV light, are suitable for Australia. </w:t>
      </w:r>
    </w:p>
    <w:p w:rsidR="002D1FAF" w:rsidRPr="00D25985" w:rsidRDefault="002D1FAF" w:rsidP="002D1FAF">
      <w:pPr>
        <w:pStyle w:val="Heading2"/>
        <w:rPr>
          <w:b w:val="0"/>
        </w:rPr>
      </w:pPr>
      <w:bookmarkStart w:id="263" w:name="_Toc463597815"/>
      <w:bookmarkStart w:id="264" w:name="_Toc463598365"/>
      <w:bookmarkStart w:id="265" w:name="_Toc463961685"/>
      <w:r w:rsidRPr="00D25985">
        <w:rPr>
          <w:b w:val="0"/>
        </w:rPr>
        <w:t>Option 4 - Revoke the mandatory safety standard</w:t>
      </w:r>
      <w:bookmarkEnd w:id="263"/>
      <w:bookmarkEnd w:id="264"/>
      <w:bookmarkEnd w:id="265"/>
    </w:p>
    <w:p w:rsidR="002D1FAF" w:rsidRPr="00D25985" w:rsidRDefault="002D1FAF" w:rsidP="002D1FAF">
      <w:pPr>
        <w:pStyle w:val="Heading3"/>
      </w:pPr>
      <w:bookmarkStart w:id="266" w:name="_Toc461110017"/>
      <w:bookmarkStart w:id="267" w:name="_Toc462049222"/>
      <w:bookmarkStart w:id="268" w:name="_Toc463597816"/>
      <w:bookmarkStart w:id="269" w:name="_Toc463598366"/>
      <w:bookmarkStart w:id="270" w:name="_Toc463961686"/>
      <w:r w:rsidRPr="00D25985">
        <w:t>Description</w:t>
      </w:r>
      <w:bookmarkEnd w:id="266"/>
      <w:bookmarkEnd w:id="267"/>
      <w:bookmarkEnd w:id="268"/>
      <w:bookmarkEnd w:id="269"/>
      <w:bookmarkEnd w:id="270"/>
    </w:p>
    <w:p w:rsidR="002D1FAF" w:rsidRPr="00D25985" w:rsidRDefault="002D1FAF" w:rsidP="002D1FAF">
      <w:r w:rsidRPr="00D25985">
        <w:t xml:space="preserve">This option would revoke the mandatory </w:t>
      </w:r>
      <w:r w:rsidR="009D723A">
        <w:t xml:space="preserve">safety </w:t>
      </w:r>
      <w:r w:rsidRPr="00D25985">
        <w:t xml:space="preserve">standard, and would rely only on market forces and general provisions in the Australian Consumer Law to ensure safe products </w:t>
      </w:r>
      <w:r w:rsidR="00CB4D25">
        <w:t>we</w:t>
      </w:r>
      <w:r w:rsidR="00CB4D25" w:rsidRPr="00D25985">
        <w:t xml:space="preserve">re </w:t>
      </w:r>
      <w:r w:rsidRPr="00D25985">
        <w:t>sold in Australia.</w:t>
      </w:r>
    </w:p>
    <w:p w:rsidR="002D1FAF" w:rsidRPr="00D25985" w:rsidRDefault="002D1FAF" w:rsidP="002D1FAF">
      <w:pPr>
        <w:pStyle w:val="Heading3"/>
      </w:pPr>
      <w:bookmarkStart w:id="271" w:name="_Toc461110018"/>
      <w:bookmarkStart w:id="272" w:name="_Toc462049223"/>
      <w:bookmarkStart w:id="273" w:name="_Toc463597817"/>
      <w:bookmarkStart w:id="274" w:name="_Toc463598367"/>
      <w:bookmarkStart w:id="275" w:name="_Toc463961687"/>
      <w:r w:rsidRPr="00D25985">
        <w:t>Benefits</w:t>
      </w:r>
      <w:bookmarkEnd w:id="271"/>
      <w:bookmarkEnd w:id="272"/>
      <w:bookmarkEnd w:id="273"/>
      <w:bookmarkEnd w:id="274"/>
      <w:bookmarkEnd w:id="275"/>
    </w:p>
    <w:p w:rsidR="002D1FAF" w:rsidRDefault="002D1FAF" w:rsidP="002D1FAF">
      <w:r w:rsidRPr="00D25985">
        <w:t xml:space="preserve">Revoking the </w:t>
      </w:r>
      <w:r w:rsidR="009D723A">
        <w:t xml:space="preserve">mandatory </w:t>
      </w:r>
      <w:r w:rsidRPr="00D25985">
        <w:t xml:space="preserve">safety standard may decrease the regulatory burden on suppliers, and increase the range of products available and sold in the Australian market as products would not have to meet the requirements of the </w:t>
      </w:r>
      <w:r w:rsidR="009D723A">
        <w:t>mandatory</w:t>
      </w:r>
      <w:r w:rsidR="009D723A" w:rsidRPr="00D25985">
        <w:t xml:space="preserve"> </w:t>
      </w:r>
      <w:r w:rsidRPr="00D25985">
        <w:t xml:space="preserve">safety standard. </w:t>
      </w:r>
    </w:p>
    <w:p w:rsidR="00CB4D25" w:rsidRPr="00D25985" w:rsidRDefault="00CB4D25" w:rsidP="002D1FAF">
      <w:r>
        <w:t>Suppliers would be free to include safety warnings on their products, including those specified in the updated voluntary Australian and European standards, that the flotation device or swimming vest ‘WILL NOT PROTECT AGAINST DROWNING’ but this would not be mandatory.</w:t>
      </w:r>
    </w:p>
    <w:p w:rsidR="002D1FAF" w:rsidRPr="00D25985" w:rsidRDefault="002D1FAF" w:rsidP="002D1FAF">
      <w:pPr>
        <w:rPr>
          <w:rFonts w:eastAsia="Times New Roman"/>
          <w:b/>
          <w:bCs/>
          <w:color w:val="000000"/>
          <w:sz w:val="24"/>
        </w:rPr>
      </w:pPr>
      <w:r w:rsidRPr="00D25985">
        <w:rPr>
          <w:rFonts w:eastAsia="Times New Roman"/>
          <w:b/>
          <w:bCs/>
          <w:color w:val="000000"/>
          <w:sz w:val="24"/>
        </w:rPr>
        <w:lastRenderedPageBreak/>
        <w:t>Limitations</w:t>
      </w:r>
    </w:p>
    <w:p w:rsidR="00410B56" w:rsidRPr="00D25985" w:rsidRDefault="002D1FAF" w:rsidP="00317E3B">
      <w:pPr>
        <w:rPr>
          <w:rFonts w:eastAsia="Times New Roman"/>
          <w:bCs/>
          <w:color w:val="000000"/>
        </w:rPr>
      </w:pPr>
      <w:r w:rsidRPr="00D25985">
        <w:rPr>
          <w:rFonts w:eastAsia="Times New Roman"/>
          <w:bCs/>
          <w:color w:val="000000"/>
        </w:rPr>
        <w:t xml:space="preserve">This option is not recommended as flotation aids are products designed for vulnerable users (infants), and the revocation of the </w:t>
      </w:r>
      <w:r w:rsidR="00DD385D">
        <w:rPr>
          <w:rFonts w:eastAsia="Times New Roman"/>
          <w:bCs/>
          <w:color w:val="000000"/>
        </w:rPr>
        <w:t xml:space="preserve">mandatory </w:t>
      </w:r>
      <w:r w:rsidRPr="00D25985">
        <w:rPr>
          <w:rFonts w:eastAsia="Times New Roman"/>
          <w:bCs/>
          <w:color w:val="000000"/>
        </w:rPr>
        <w:t>safety standard could result in consumer misuse and possibly lead to child drownings associated with the product. This could reduce consumer and retailer confidence in the industry and in the safety of these products.</w:t>
      </w:r>
    </w:p>
    <w:p w:rsidR="00F2497B" w:rsidRPr="00D25985" w:rsidRDefault="0041713D" w:rsidP="00F2497B">
      <w:pPr>
        <w:pStyle w:val="Numbered1"/>
        <w:numPr>
          <w:ilvl w:val="0"/>
          <w:numId w:val="28"/>
        </w:numPr>
        <w:ind w:left="680" w:hanging="680"/>
      </w:pPr>
      <w:bookmarkStart w:id="276" w:name="_Toc463597818"/>
      <w:bookmarkStart w:id="277" w:name="_Toc463598368"/>
      <w:bookmarkStart w:id="278" w:name="_Toc463961688"/>
      <w:r w:rsidRPr="00D25985">
        <w:t>Preliminary position</w:t>
      </w:r>
      <w:bookmarkEnd w:id="276"/>
      <w:bookmarkEnd w:id="277"/>
      <w:bookmarkEnd w:id="278"/>
    </w:p>
    <w:p w:rsidR="00F2497B" w:rsidRPr="00D25985" w:rsidRDefault="00F2497B" w:rsidP="00F2497B">
      <w:r w:rsidRPr="00D25985">
        <w:t>The ACCC’s preliminary position is that Option</w:t>
      </w:r>
      <w:r w:rsidR="00B33E8A" w:rsidRPr="00D25985">
        <w:t>s</w:t>
      </w:r>
      <w:r w:rsidRPr="00D25985">
        <w:t xml:space="preserve"> </w:t>
      </w:r>
      <w:r w:rsidR="00B33E8A" w:rsidRPr="00D25985">
        <w:t xml:space="preserve">2 </w:t>
      </w:r>
      <w:r w:rsidR="003A40BF" w:rsidRPr="00D25985">
        <w:t xml:space="preserve">or </w:t>
      </w:r>
      <w:r w:rsidR="00B33E8A" w:rsidRPr="00D25985">
        <w:t xml:space="preserve">3 </w:t>
      </w:r>
      <w:r w:rsidR="003A40BF" w:rsidRPr="00D25985">
        <w:t>provide</w:t>
      </w:r>
      <w:r w:rsidRPr="00D25985">
        <w:t xml:space="preserve"> the greatest benefit for consumers, suppliers and regulators. </w:t>
      </w:r>
    </w:p>
    <w:p w:rsidR="00F2497B" w:rsidRPr="00D25985" w:rsidRDefault="00CB4D25" w:rsidP="00F2497B">
      <w:r>
        <w:t>Adopt</w:t>
      </w:r>
      <w:r w:rsidRPr="00D25985">
        <w:t xml:space="preserve">ing </w:t>
      </w:r>
      <w:r w:rsidR="00F2497B" w:rsidRPr="00D25985">
        <w:t xml:space="preserve">the updated voluntary Australian standard would </w:t>
      </w:r>
      <w:r>
        <w:t>mandate</w:t>
      </w:r>
      <w:r w:rsidRPr="00D25985">
        <w:t xml:space="preserve"> </w:t>
      </w:r>
      <w:r w:rsidR="00F2497B" w:rsidRPr="00D25985">
        <w:t>an improved warning label</w:t>
      </w:r>
      <w:r w:rsidR="003A40BF" w:rsidRPr="00D25985">
        <w:t xml:space="preserve"> that alerts </w:t>
      </w:r>
      <w:r w:rsidR="00DD385D">
        <w:t>parents and care givers</w:t>
      </w:r>
      <w:r w:rsidR="003A40BF" w:rsidRPr="00D25985">
        <w:t xml:space="preserve"> to the risk of drowning</w:t>
      </w:r>
      <w:r w:rsidR="00AC613B">
        <w:t>,</w:t>
      </w:r>
      <w:r w:rsidR="00F2497B" w:rsidRPr="00D25985">
        <w:t xml:space="preserve"> </w:t>
      </w:r>
      <w:r w:rsidR="00765C25" w:rsidRPr="00D25985">
        <w:t>and</w:t>
      </w:r>
      <w:r w:rsidR="00F2497B" w:rsidRPr="00D25985">
        <w:t xml:space="preserve"> </w:t>
      </w:r>
      <w:r w:rsidR="00A034E4">
        <w:t>make compliance easier for suppliers</w:t>
      </w:r>
      <w:r w:rsidR="00F2497B" w:rsidRPr="00D25985">
        <w:t xml:space="preserve">. </w:t>
      </w:r>
    </w:p>
    <w:p w:rsidR="003A40BF" w:rsidRPr="00D25985" w:rsidRDefault="003A40BF" w:rsidP="00F2497B">
      <w:r w:rsidRPr="00D25985">
        <w:t xml:space="preserve">If the </w:t>
      </w:r>
      <w:r w:rsidR="00A034E4">
        <w:t>question</w:t>
      </w:r>
      <w:r w:rsidR="00A034E4" w:rsidRPr="00D25985">
        <w:t xml:space="preserve"> </w:t>
      </w:r>
      <w:r w:rsidRPr="00D25985">
        <w:t xml:space="preserve">about the durability </w:t>
      </w:r>
      <w:r w:rsidR="00C01BAF" w:rsidRPr="00D25985">
        <w:t xml:space="preserve">of the warnings </w:t>
      </w:r>
      <w:r w:rsidR="00A034E4">
        <w:t xml:space="preserve">on products that comply with the European standard </w:t>
      </w:r>
      <w:r w:rsidR="00C01BAF" w:rsidRPr="00D25985">
        <w:t>can be resolved,</w:t>
      </w:r>
      <w:r w:rsidRPr="00D25985">
        <w:t xml:space="preserve"> Option </w:t>
      </w:r>
      <w:r w:rsidR="00B33E8A" w:rsidRPr="00D25985">
        <w:t xml:space="preserve">3 </w:t>
      </w:r>
      <w:r w:rsidR="00A034E4">
        <w:t>c</w:t>
      </w:r>
      <w:r w:rsidR="00A034E4" w:rsidRPr="00D25985">
        <w:t xml:space="preserve">ould </w:t>
      </w:r>
      <w:r w:rsidR="00A034E4">
        <w:t xml:space="preserve">improve on Option 2, </w:t>
      </w:r>
      <w:r w:rsidRPr="00D25985">
        <w:t>reduce costs to business</w:t>
      </w:r>
      <w:r w:rsidR="00A034E4">
        <w:t>,</w:t>
      </w:r>
      <w:r w:rsidRPr="00D25985">
        <w:t xml:space="preserve"> and improve consumer choice. However, if </w:t>
      </w:r>
      <w:r w:rsidR="00A034E4">
        <w:t>this</w:t>
      </w:r>
      <w:r w:rsidRPr="00D25985">
        <w:t xml:space="preserve"> cannot be resolved, Option </w:t>
      </w:r>
      <w:r w:rsidR="00B33E8A" w:rsidRPr="00D25985">
        <w:t xml:space="preserve">2 </w:t>
      </w:r>
      <w:r w:rsidRPr="00D25985">
        <w:t>would be the best option.</w:t>
      </w:r>
    </w:p>
    <w:p w:rsidR="00F2497B" w:rsidRPr="00D25985" w:rsidRDefault="00F2497B" w:rsidP="00F2497B">
      <w:r w:rsidRPr="00D25985">
        <w:t>Stakeholder submissions to this consultation will assist in testing this position.</w:t>
      </w:r>
    </w:p>
    <w:p w:rsidR="00A034E4" w:rsidRDefault="00A034E4" w:rsidP="00A034E4">
      <w:r w:rsidRPr="00D25985">
        <w:t>The Office of Best Practice Regulation has informed the ACCC that a regulation impact statement is not required for th</w:t>
      </w:r>
      <w:r>
        <w:t>is</w:t>
      </w:r>
      <w:r w:rsidRPr="00D25985">
        <w:t xml:space="preserve"> review.</w:t>
      </w:r>
    </w:p>
    <w:p w:rsidR="00CD4F4E" w:rsidRPr="00D25985" w:rsidRDefault="00CD4F4E" w:rsidP="00DE5B43">
      <w:pPr>
        <w:spacing w:before="0"/>
      </w:pPr>
    </w:p>
    <w:p w:rsidR="00DC65CF" w:rsidRPr="00D25985" w:rsidRDefault="00E4197A" w:rsidP="00EA2A0A">
      <w:pPr>
        <w:pStyle w:val="Numbered1"/>
        <w:numPr>
          <w:ilvl w:val="0"/>
          <w:numId w:val="28"/>
        </w:numPr>
        <w:spacing w:before="0"/>
        <w:ind w:left="680" w:hanging="680"/>
      </w:pPr>
      <w:bookmarkStart w:id="279" w:name="_Toc453749371"/>
      <w:bookmarkStart w:id="280" w:name="_Toc463597819"/>
      <w:bookmarkStart w:id="281" w:name="_Toc463598369"/>
      <w:bookmarkStart w:id="282" w:name="_Toc463961689"/>
      <w:r w:rsidRPr="00D25985">
        <w:t>C</w:t>
      </w:r>
      <w:r w:rsidR="009E5FC7" w:rsidRPr="00D25985">
        <w:t>onsultation questions</w:t>
      </w:r>
      <w:bookmarkEnd w:id="279"/>
      <w:bookmarkEnd w:id="280"/>
      <w:bookmarkEnd w:id="281"/>
      <w:bookmarkEnd w:id="282"/>
      <w:r w:rsidR="009E5FC7" w:rsidRPr="00D25985">
        <w:t xml:space="preserve"> </w:t>
      </w:r>
    </w:p>
    <w:p w:rsidR="000D65D2" w:rsidRPr="00D25985" w:rsidRDefault="000D65D2" w:rsidP="00EA2A0A">
      <w:pPr>
        <w:pStyle w:val="ListParagraph"/>
        <w:framePr w:hSpace="180" w:wrap="around" w:vAnchor="text" w:hAnchor="text" w:y="339"/>
        <w:numPr>
          <w:ilvl w:val="0"/>
          <w:numId w:val="30"/>
        </w:numPr>
        <w:pBdr>
          <w:top w:val="single" w:sz="4" w:space="1" w:color="auto"/>
          <w:left w:val="single" w:sz="4" w:space="4" w:color="auto"/>
          <w:bottom w:val="single" w:sz="4" w:space="1" w:color="auto"/>
          <w:right w:val="single" w:sz="4" w:space="4" w:color="auto"/>
        </w:pBdr>
        <w:spacing w:before="0" w:after="240"/>
      </w:pPr>
      <w:r w:rsidRPr="00D25985">
        <w:t>Which policy option do you support?</w:t>
      </w:r>
      <w:r w:rsidR="00EA2A0A" w:rsidRPr="00D25985">
        <w:t xml:space="preserve"> </w:t>
      </w:r>
    </w:p>
    <w:p w:rsidR="00EA2A0A" w:rsidRPr="00D25985" w:rsidRDefault="00EA2A0A" w:rsidP="00346B04">
      <w:pPr>
        <w:pStyle w:val="ListParagraph"/>
        <w:framePr w:hSpace="180" w:wrap="around" w:vAnchor="text" w:hAnchor="text" w:y="339"/>
        <w:numPr>
          <w:ilvl w:val="0"/>
          <w:numId w:val="30"/>
        </w:numPr>
        <w:pBdr>
          <w:top w:val="single" w:sz="4" w:space="1" w:color="auto"/>
          <w:left w:val="single" w:sz="4" w:space="4" w:color="auto"/>
          <w:bottom w:val="single" w:sz="4" w:space="1" w:color="auto"/>
          <w:right w:val="single" w:sz="4" w:space="4" w:color="auto"/>
        </w:pBdr>
        <w:spacing w:before="0" w:after="240"/>
      </w:pPr>
      <w:r w:rsidRPr="00D25985">
        <w:t xml:space="preserve">Do you </w:t>
      </w:r>
      <w:r w:rsidR="003A64E9" w:rsidRPr="00D25985">
        <w:t>agree with our assessment</w:t>
      </w:r>
      <w:r w:rsidR="00AE6732">
        <w:t>s</w:t>
      </w:r>
      <w:r w:rsidR="003A64E9" w:rsidRPr="00D25985">
        <w:t xml:space="preserve"> of </w:t>
      </w:r>
      <w:r w:rsidRPr="00D25985">
        <w:t xml:space="preserve">the </w:t>
      </w:r>
      <w:r w:rsidR="00A034E4">
        <w:t xml:space="preserve">updated </w:t>
      </w:r>
      <w:r w:rsidR="00E52325">
        <w:t xml:space="preserve">voluntary </w:t>
      </w:r>
      <w:r w:rsidR="00A034E4">
        <w:t>Australian</w:t>
      </w:r>
      <w:r w:rsidR="00E52325">
        <w:t xml:space="preserve"> standard</w:t>
      </w:r>
      <w:r w:rsidR="00A034E4">
        <w:t xml:space="preserve"> and </w:t>
      </w:r>
      <w:r w:rsidR="00E52325">
        <w:t xml:space="preserve">the </w:t>
      </w:r>
      <w:r w:rsidRPr="00D25985">
        <w:t>European standard?</w:t>
      </w:r>
    </w:p>
    <w:p w:rsidR="003A64E9" w:rsidRPr="00D25985" w:rsidRDefault="00A034E4" w:rsidP="003A64E9">
      <w:pPr>
        <w:pStyle w:val="ListParagraph"/>
        <w:framePr w:hSpace="180" w:wrap="around" w:vAnchor="text" w:hAnchor="text" w:y="339"/>
        <w:numPr>
          <w:ilvl w:val="0"/>
          <w:numId w:val="30"/>
        </w:numPr>
        <w:pBdr>
          <w:top w:val="single" w:sz="4" w:space="1" w:color="auto"/>
          <w:left w:val="single" w:sz="4" w:space="4" w:color="auto"/>
          <w:bottom w:val="single" w:sz="4" w:space="1" w:color="auto"/>
          <w:right w:val="single" w:sz="4" w:space="4" w:color="auto"/>
        </w:pBdr>
        <w:spacing w:before="0"/>
      </w:pPr>
      <w:r>
        <w:t xml:space="preserve">Are the labelling durability requirements of the European </w:t>
      </w:r>
      <w:r w:rsidR="006253D9">
        <w:t>standard adequate for Australia</w:t>
      </w:r>
      <w:r w:rsidR="003A64E9" w:rsidRPr="00D25985">
        <w:t>?</w:t>
      </w:r>
    </w:p>
    <w:p w:rsidR="000D65D2" w:rsidRPr="00D25985" w:rsidRDefault="000D65D2" w:rsidP="00EA2A0A">
      <w:pPr>
        <w:pStyle w:val="ListParagraph"/>
        <w:framePr w:hSpace="180" w:wrap="around" w:vAnchor="text" w:hAnchor="text" w:y="339"/>
        <w:numPr>
          <w:ilvl w:val="0"/>
          <w:numId w:val="30"/>
        </w:numPr>
        <w:pBdr>
          <w:top w:val="single" w:sz="4" w:space="1" w:color="auto"/>
          <w:left w:val="single" w:sz="4" w:space="4" w:color="auto"/>
          <w:bottom w:val="single" w:sz="4" w:space="1" w:color="auto"/>
          <w:right w:val="single" w:sz="4" w:space="4" w:color="auto"/>
        </w:pBdr>
        <w:tabs>
          <w:tab w:val="clear" w:pos="340"/>
        </w:tabs>
        <w:spacing w:after="120"/>
      </w:pPr>
      <w:r w:rsidRPr="00D25985">
        <w:t>Are there any other policy options that the ACCC should consider?</w:t>
      </w:r>
    </w:p>
    <w:p w:rsidR="00BE0A1D" w:rsidRPr="00D25985" w:rsidRDefault="00AC613B" w:rsidP="00CB0D3C">
      <w:pPr>
        <w:pStyle w:val="Numbered1"/>
        <w:numPr>
          <w:ilvl w:val="0"/>
          <w:numId w:val="28"/>
        </w:numPr>
        <w:ind w:left="680" w:hanging="680"/>
      </w:pPr>
      <w:bookmarkStart w:id="283" w:name="_Toc453749078"/>
      <w:bookmarkStart w:id="284" w:name="_Toc453749324"/>
      <w:bookmarkStart w:id="285" w:name="_Toc463597820"/>
      <w:r>
        <w:br w:type="page"/>
      </w:r>
      <w:bookmarkStart w:id="286" w:name="_Toc463598370"/>
      <w:bookmarkStart w:id="287" w:name="_Toc463961690"/>
      <w:bookmarkStart w:id="288" w:name="_GoBack"/>
      <w:bookmarkEnd w:id="288"/>
      <w:r w:rsidR="00BE0A1D" w:rsidRPr="00D25985">
        <w:lastRenderedPageBreak/>
        <w:t>Have your say</w:t>
      </w:r>
      <w:bookmarkEnd w:id="283"/>
      <w:bookmarkEnd w:id="284"/>
      <w:bookmarkEnd w:id="285"/>
      <w:bookmarkEnd w:id="286"/>
      <w:bookmarkEnd w:id="287"/>
    </w:p>
    <w:p w:rsidR="00EA5E10" w:rsidRPr="00D25985" w:rsidRDefault="00EA5E10" w:rsidP="00EA5E10">
      <w:r w:rsidRPr="00D25985">
        <w:t>The ACCC invites stakeholders and interested parties to comment on these policy options.</w:t>
      </w:r>
    </w:p>
    <w:p w:rsidR="00EA5E10" w:rsidRDefault="00EA5E10" w:rsidP="00EA5E10">
      <w:r w:rsidRPr="00D25985">
        <w:t xml:space="preserve">Consultation is open from </w:t>
      </w:r>
      <w:r w:rsidR="004D18C8" w:rsidRPr="004D18C8">
        <w:t xml:space="preserve">12 </w:t>
      </w:r>
      <w:r w:rsidR="001F71B3" w:rsidRPr="004D18C8">
        <w:t>October 2016</w:t>
      </w:r>
      <w:r w:rsidRPr="004D18C8">
        <w:t xml:space="preserve"> to </w:t>
      </w:r>
      <w:r w:rsidR="001F71B3" w:rsidRPr="004D18C8">
        <w:t>25 November</w:t>
      </w:r>
      <w:r w:rsidRPr="004D18C8">
        <w:t xml:space="preserve"> 2016.</w:t>
      </w:r>
      <w:r>
        <w:t xml:space="preserve"> </w:t>
      </w:r>
    </w:p>
    <w:p w:rsidR="00EA5E10" w:rsidRDefault="00EA5E10" w:rsidP="00EA5E10">
      <w:r>
        <w:t xml:space="preserve">The ACCC prefers submissions via the </w:t>
      </w:r>
      <w:r w:rsidRPr="0039574F">
        <w:t>ACCC consultation hub</w:t>
      </w:r>
      <w:r>
        <w:t xml:space="preserve"> at </w:t>
      </w:r>
      <w:hyperlink r:id="rId13" w:history="1">
        <w:r w:rsidRPr="00020736">
          <w:rPr>
            <w:rStyle w:val="Hyperlink"/>
          </w:rPr>
          <w:t>consultation.accc.gov.au/</w:t>
        </w:r>
      </w:hyperlink>
      <w:r>
        <w:t xml:space="preserve">. </w:t>
      </w:r>
    </w:p>
    <w:p w:rsidR="00EA5E10" w:rsidRDefault="00EA5E10" w:rsidP="00EA5E10">
      <w:r>
        <w:t xml:space="preserve">The ACCC will </w:t>
      </w:r>
      <w:r w:rsidRPr="007A03C1">
        <w:t xml:space="preserve">alert stakeholders and interested parties to the consultation through the Product Safety Australia website </w:t>
      </w:r>
      <w:hyperlink r:id="rId14" w:history="1">
        <w:r w:rsidRPr="007A03C1">
          <w:rPr>
            <w:rStyle w:val="Hyperlink"/>
          </w:rPr>
          <w:t>www.productsafety.gov.au/</w:t>
        </w:r>
      </w:hyperlink>
      <w:r w:rsidRPr="007A03C1">
        <w:t xml:space="preserve"> and </w:t>
      </w:r>
      <w:hyperlink r:id="rId15" w:history="1">
        <w:r w:rsidRPr="007A03C1">
          <w:rPr>
            <w:rStyle w:val="Hyperlink"/>
          </w:rPr>
          <w:t>www.business.gov.au/</w:t>
        </w:r>
      </w:hyperlink>
      <w:r w:rsidRPr="007A03C1">
        <w:t>.</w:t>
      </w:r>
      <w:r>
        <w:t xml:space="preserve"> </w:t>
      </w:r>
    </w:p>
    <w:p w:rsidR="00EA5E10" w:rsidRDefault="00EA5E10" w:rsidP="00EA5E10">
      <w:r>
        <w:t xml:space="preserve">Alternatively, email submissions to </w:t>
      </w:r>
      <w:hyperlink r:id="rId16" w:history="1">
        <w:r w:rsidRPr="007556AB">
          <w:rPr>
            <w:rStyle w:val="Hyperlink"/>
          </w:rPr>
          <w:t>productsafety.regulation@accc.gov.au</w:t>
        </w:r>
      </w:hyperlink>
      <w:r>
        <w:t xml:space="preserve"> or via post:</w:t>
      </w:r>
    </w:p>
    <w:p w:rsidR="00EA5E10" w:rsidRDefault="00EA5E10" w:rsidP="00EA5E10">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4827A4" w:rsidRDefault="004827A4"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EB59F6" w:rsidRDefault="00EB59F6" w:rsidP="00DC65CF">
      <w:pPr>
        <w:rPr>
          <w:rFonts w:eastAsia="Calibri"/>
          <w:b/>
        </w:rPr>
      </w:pPr>
    </w:p>
    <w:p w:rsidR="00DC65CF" w:rsidRPr="00382011" w:rsidRDefault="00DC65CF" w:rsidP="009F0344">
      <w:pPr>
        <w:pStyle w:val="Numbered1"/>
        <w:rPr>
          <w:rFonts w:eastAsia="Calibri"/>
        </w:rPr>
      </w:pPr>
      <w:bookmarkStart w:id="289" w:name="_Toc463597821"/>
      <w:bookmarkStart w:id="290" w:name="_Toc463598371"/>
      <w:bookmarkStart w:id="291" w:name="_Toc463961691"/>
      <w:r w:rsidRPr="00382011">
        <w:rPr>
          <w:rFonts w:eastAsia="Calibri"/>
        </w:rPr>
        <w:lastRenderedPageBreak/>
        <w:t>Glossary</w:t>
      </w:r>
      <w:bookmarkEnd w:id="289"/>
      <w:bookmarkEnd w:id="290"/>
      <w:bookmarkEnd w:id="291"/>
    </w:p>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2376"/>
        <w:gridCol w:w="6866"/>
      </w:tblGrid>
      <w:tr w:rsidR="00DC65CF" w:rsidTr="00794033">
        <w:tc>
          <w:tcPr>
            <w:tcW w:w="237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5F0E2D" w:rsidRDefault="00DC65CF" w:rsidP="00794033">
            <w:pPr>
              <w:spacing w:after="120"/>
              <w:rPr>
                <w:rFonts w:cs="Arial"/>
                <w:b/>
                <w:bCs/>
              </w:rPr>
            </w:pPr>
            <w:r w:rsidRPr="005F0E2D">
              <w:rPr>
                <w:rFonts w:cs="Arial"/>
                <w:b/>
                <w:bCs/>
              </w:rPr>
              <w:t>Term</w:t>
            </w:r>
          </w:p>
        </w:tc>
        <w:tc>
          <w:tcPr>
            <w:tcW w:w="6866"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5F0E2D" w:rsidRDefault="00DC65CF" w:rsidP="00794033">
            <w:pPr>
              <w:spacing w:after="120"/>
              <w:rPr>
                <w:rFonts w:cs="Arial"/>
                <w:b/>
                <w:bCs/>
              </w:rPr>
            </w:pPr>
            <w:r w:rsidRPr="005F0E2D">
              <w:rPr>
                <w:rFonts w:cs="Arial"/>
                <w:b/>
                <w:bCs/>
              </w:rPr>
              <w:t>Definition</w:t>
            </w:r>
          </w:p>
        </w:tc>
      </w:tr>
      <w:tr w:rsidR="00DC65CF" w:rsidRPr="00B7635E" w:rsidTr="00794033">
        <w:tc>
          <w:tcPr>
            <w:tcW w:w="2376" w:type="dxa"/>
            <w:shd w:val="clear" w:color="auto" w:fill="auto"/>
            <w:vAlign w:val="center"/>
          </w:tcPr>
          <w:p w:rsidR="00DC65CF" w:rsidRPr="00A034E4" w:rsidRDefault="00051AE0" w:rsidP="00794033">
            <w:pPr>
              <w:spacing w:after="120"/>
              <w:rPr>
                <w:rFonts w:cs="Arial"/>
                <w:b/>
                <w:bCs/>
              </w:rPr>
            </w:pPr>
            <w:r w:rsidRPr="00A034E4">
              <w:rPr>
                <w:rFonts w:cs="Arial"/>
                <w:b/>
                <w:bCs/>
              </w:rPr>
              <w:t>Flotation</w:t>
            </w:r>
            <w:r w:rsidR="0063003F" w:rsidRPr="00A034E4">
              <w:rPr>
                <w:rFonts w:cs="Arial"/>
                <w:b/>
                <w:bCs/>
              </w:rPr>
              <w:t xml:space="preserve"> aids &amp; </w:t>
            </w:r>
            <w:r w:rsidR="003E7656" w:rsidRPr="00A034E4">
              <w:rPr>
                <w:rFonts w:cs="Arial"/>
                <w:b/>
                <w:bCs/>
              </w:rPr>
              <w:t>Swimming aid vest</w:t>
            </w:r>
            <w:r w:rsidR="0063003F" w:rsidRPr="00A034E4">
              <w:rPr>
                <w:rFonts w:cs="Arial"/>
                <w:b/>
                <w:bCs/>
              </w:rPr>
              <w:t>s</w:t>
            </w:r>
          </w:p>
        </w:tc>
        <w:tc>
          <w:tcPr>
            <w:tcW w:w="6866" w:type="dxa"/>
            <w:shd w:val="clear" w:color="auto" w:fill="auto"/>
            <w:vAlign w:val="center"/>
          </w:tcPr>
          <w:p w:rsidR="00DC65CF" w:rsidRPr="00201AFA" w:rsidRDefault="0063003F" w:rsidP="00201AFA">
            <w:r w:rsidRPr="00201AFA">
              <w:t xml:space="preserve">Items that children </w:t>
            </w:r>
            <w:r w:rsidR="00201AFA" w:rsidRPr="00201AFA">
              <w:t>can</w:t>
            </w:r>
            <w:r w:rsidRPr="00201AFA">
              <w:t xml:space="preserve"> wear, have attached to their bodies or sit in to stay afloat. </w:t>
            </w:r>
          </w:p>
          <w:p w:rsidR="0063003F" w:rsidRPr="00201AFA" w:rsidRDefault="0063003F" w:rsidP="0063003F">
            <w:r w:rsidRPr="00201AFA">
              <w:t>Specifically excluding:</w:t>
            </w:r>
          </w:p>
          <w:p w:rsidR="0063003F" w:rsidRPr="00201AFA" w:rsidRDefault="0063003F" w:rsidP="00201AFA">
            <w:pPr>
              <w:numPr>
                <w:ilvl w:val="0"/>
                <w:numId w:val="44"/>
              </w:numPr>
            </w:pPr>
            <w:r w:rsidRPr="00201AFA">
              <w:t>inflatable novelty shapes</w:t>
            </w:r>
          </w:p>
          <w:p w:rsidR="0063003F" w:rsidRPr="00201AFA" w:rsidRDefault="0063003F" w:rsidP="00201AFA">
            <w:pPr>
              <w:numPr>
                <w:ilvl w:val="0"/>
                <w:numId w:val="44"/>
              </w:numPr>
            </w:pPr>
            <w:r w:rsidRPr="00201AFA">
              <w:t>unattached rings – complete or partial</w:t>
            </w:r>
          </w:p>
          <w:p w:rsidR="0063003F" w:rsidRPr="00201AFA" w:rsidRDefault="0063003F" w:rsidP="00201AFA">
            <w:pPr>
              <w:numPr>
                <w:ilvl w:val="0"/>
                <w:numId w:val="44"/>
              </w:numPr>
            </w:pPr>
            <w:r w:rsidRPr="00201AFA">
              <w:t>kickboards</w:t>
            </w:r>
          </w:p>
          <w:p w:rsidR="0063003F" w:rsidRPr="00201AFA" w:rsidRDefault="0063003F" w:rsidP="00201AFA">
            <w:pPr>
              <w:numPr>
                <w:ilvl w:val="0"/>
                <w:numId w:val="44"/>
              </w:numPr>
            </w:pPr>
            <w:r w:rsidRPr="00201AFA">
              <w:t>items for therapeutic use by people with a disability</w:t>
            </w:r>
          </w:p>
          <w:p w:rsidR="0063003F" w:rsidRPr="00A034E4" w:rsidRDefault="0063003F" w:rsidP="00201AFA">
            <w:pPr>
              <w:numPr>
                <w:ilvl w:val="0"/>
                <w:numId w:val="44"/>
              </w:numPr>
              <w:spacing w:after="120"/>
              <w:ind w:left="357" w:hanging="357"/>
              <w:rPr>
                <w:rFonts w:eastAsia="Times New Roman" w:cs="Arial"/>
                <w:color w:val="2D2D2D"/>
                <w:lang w:val="en" w:eastAsia="en-AU"/>
              </w:rPr>
            </w:pPr>
            <w:r w:rsidRPr="00201AFA">
              <w:t>life jackets or other personal flotation devices.</w:t>
            </w:r>
          </w:p>
        </w:tc>
      </w:tr>
      <w:tr w:rsidR="00DC65CF" w:rsidRPr="00B7635E" w:rsidTr="00794033">
        <w:tc>
          <w:tcPr>
            <w:tcW w:w="2376" w:type="dxa"/>
            <w:shd w:val="clear" w:color="auto" w:fill="auto"/>
            <w:vAlign w:val="center"/>
          </w:tcPr>
          <w:p w:rsidR="00DC65CF" w:rsidRPr="00A034E4" w:rsidRDefault="00201AFA" w:rsidP="00794033">
            <w:pPr>
              <w:spacing w:after="120"/>
              <w:rPr>
                <w:rFonts w:cs="Arial"/>
                <w:b/>
                <w:bCs/>
              </w:rPr>
            </w:pPr>
            <w:r>
              <w:rPr>
                <w:rFonts w:cs="Arial"/>
                <w:b/>
                <w:bCs/>
              </w:rPr>
              <w:t>European</w:t>
            </w:r>
            <w:r w:rsidRPr="00A034E4">
              <w:rPr>
                <w:rFonts w:cs="Arial"/>
                <w:b/>
                <w:bCs/>
              </w:rPr>
              <w:t xml:space="preserve"> </w:t>
            </w:r>
            <w:r w:rsidR="0063003F" w:rsidRPr="00A034E4">
              <w:rPr>
                <w:rFonts w:cs="Arial"/>
                <w:b/>
                <w:bCs/>
              </w:rPr>
              <w:t>standard</w:t>
            </w:r>
          </w:p>
        </w:tc>
        <w:tc>
          <w:tcPr>
            <w:tcW w:w="6866" w:type="dxa"/>
            <w:shd w:val="clear" w:color="auto" w:fill="auto"/>
            <w:vAlign w:val="center"/>
          </w:tcPr>
          <w:p w:rsidR="00DC65CF" w:rsidRPr="00A034E4" w:rsidRDefault="0063003F" w:rsidP="00794033">
            <w:pPr>
              <w:spacing w:after="120"/>
              <w:rPr>
                <w:rFonts w:cs="Arial"/>
              </w:rPr>
            </w:pPr>
            <w:r w:rsidRPr="00A034E4">
              <w:rPr>
                <w:rFonts w:cs="Arial"/>
              </w:rPr>
              <w:t>EN 13138.1:2014</w:t>
            </w:r>
            <w:r w:rsidR="00DD62AA" w:rsidRPr="00A034E4">
              <w:rPr>
                <w:rFonts w:cs="Arial"/>
              </w:rPr>
              <w:t xml:space="preserve"> - </w:t>
            </w:r>
            <w:r w:rsidR="00DD62AA" w:rsidRPr="00A034E4">
              <w:rPr>
                <w:rFonts w:cs="Arial"/>
                <w:i/>
              </w:rPr>
              <w:t>Buoyant aids for swimming instruction. Safety requirements and test methods for buoyant aids to be worn</w:t>
            </w:r>
            <w:r w:rsidR="00201AFA">
              <w:rPr>
                <w:rFonts w:cs="Arial"/>
                <w:i/>
              </w:rPr>
              <w:t>.</w:t>
            </w:r>
          </w:p>
        </w:tc>
      </w:tr>
      <w:tr w:rsidR="00DC65CF" w:rsidRPr="00B7635E" w:rsidTr="00794033">
        <w:tc>
          <w:tcPr>
            <w:tcW w:w="2376" w:type="dxa"/>
            <w:shd w:val="clear" w:color="auto" w:fill="auto"/>
            <w:vAlign w:val="center"/>
          </w:tcPr>
          <w:p w:rsidR="00DC65CF" w:rsidRPr="00A034E4" w:rsidRDefault="003E7656" w:rsidP="00794033">
            <w:pPr>
              <w:spacing w:after="120"/>
              <w:rPr>
                <w:rFonts w:cs="Arial"/>
                <w:b/>
                <w:bCs/>
              </w:rPr>
            </w:pPr>
            <w:r w:rsidRPr="00A034E4">
              <w:rPr>
                <w:rFonts w:cs="Arial"/>
                <w:b/>
                <w:bCs/>
              </w:rPr>
              <w:t>Mandatory safety standard</w:t>
            </w:r>
          </w:p>
        </w:tc>
        <w:tc>
          <w:tcPr>
            <w:tcW w:w="6866" w:type="dxa"/>
            <w:shd w:val="clear" w:color="auto" w:fill="auto"/>
            <w:vAlign w:val="center"/>
          </w:tcPr>
          <w:p w:rsidR="00DC65CF" w:rsidRPr="00A034E4" w:rsidRDefault="006001D1" w:rsidP="00794033">
            <w:pPr>
              <w:spacing w:after="120"/>
              <w:rPr>
                <w:rFonts w:cs="Arial"/>
              </w:rPr>
            </w:pPr>
            <w:hyperlink r:id="rId17" w:history="1">
              <w:r w:rsidR="0063003F" w:rsidRPr="00A034E4">
                <w:rPr>
                  <w:rStyle w:val="Hyperlink"/>
                  <w:rFonts w:cs="Arial"/>
                </w:rPr>
                <w:t>Consumer Protection Notice No. 3 of 2009</w:t>
              </w:r>
            </w:hyperlink>
            <w:r w:rsidR="00B33E8A" w:rsidRPr="00A034E4">
              <w:rPr>
                <w:rFonts w:cs="Arial"/>
              </w:rPr>
              <w:t xml:space="preserve"> </w:t>
            </w:r>
          </w:p>
        </w:tc>
      </w:tr>
      <w:tr w:rsidR="00DC65CF" w:rsidRPr="00B7635E" w:rsidTr="00794033">
        <w:tc>
          <w:tcPr>
            <w:tcW w:w="2376" w:type="dxa"/>
            <w:shd w:val="clear" w:color="auto" w:fill="auto"/>
            <w:vAlign w:val="center"/>
          </w:tcPr>
          <w:p w:rsidR="00DC65CF" w:rsidRPr="00A034E4" w:rsidRDefault="00294415" w:rsidP="00794033">
            <w:pPr>
              <w:spacing w:after="120"/>
              <w:rPr>
                <w:rFonts w:cs="Arial"/>
                <w:b/>
                <w:bCs/>
              </w:rPr>
            </w:pPr>
            <w:r w:rsidRPr="00A034E4">
              <w:rPr>
                <w:rFonts w:cs="Arial"/>
                <w:b/>
                <w:bCs/>
              </w:rPr>
              <w:t xml:space="preserve">Outdated </w:t>
            </w:r>
            <w:r w:rsidR="0063003F" w:rsidRPr="00A034E4">
              <w:rPr>
                <w:rFonts w:cs="Arial"/>
                <w:b/>
                <w:bCs/>
              </w:rPr>
              <w:t>v</w:t>
            </w:r>
            <w:r w:rsidR="009F0344" w:rsidRPr="00A034E4">
              <w:rPr>
                <w:rFonts w:cs="Arial"/>
                <w:b/>
                <w:bCs/>
              </w:rPr>
              <w:t>oluntary Australian standard</w:t>
            </w:r>
          </w:p>
        </w:tc>
        <w:tc>
          <w:tcPr>
            <w:tcW w:w="6866" w:type="dxa"/>
            <w:shd w:val="clear" w:color="auto" w:fill="auto"/>
            <w:vAlign w:val="center"/>
          </w:tcPr>
          <w:p w:rsidR="00DC65CF" w:rsidRPr="00A034E4" w:rsidRDefault="0063003F" w:rsidP="00794033">
            <w:pPr>
              <w:spacing w:after="120"/>
              <w:rPr>
                <w:rFonts w:cs="Arial"/>
              </w:rPr>
            </w:pPr>
            <w:r w:rsidRPr="00A034E4">
              <w:rPr>
                <w:rFonts w:cs="Arial"/>
              </w:rPr>
              <w:t>AS/NZS 1900:2002</w:t>
            </w:r>
            <w:r w:rsidR="00DD62AA" w:rsidRPr="00A034E4">
              <w:rPr>
                <w:rFonts w:cs="Arial"/>
              </w:rPr>
              <w:t xml:space="preserve"> </w:t>
            </w:r>
            <w:r w:rsidR="00DD62AA" w:rsidRPr="00A034E4">
              <w:rPr>
                <w:rFonts w:cs="Arial"/>
                <w:i/>
              </w:rPr>
              <w:t>Flotation aids for water familiarization and swimming tuition</w:t>
            </w:r>
            <w:r w:rsidR="00201AFA">
              <w:rPr>
                <w:rFonts w:cs="Arial"/>
                <w:i/>
              </w:rPr>
              <w:t>.</w:t>
            </w:r>
          </w:p>
        </w:tc>
      </w:tr>
      <w:tr w:rsidR="0063003F" w:rsidTr="00794033">
        <w:tc>
          <w:tcPr>
            <w:tcW w:w="2376" w:type="dxa"/>
            <w:shd w:val="clear" w:color="auto" w:fill="auto"/>
            <w:vAlign w:val="center"/>
          </w:tcPr>
          <w:p w:rsidR="0063003F" w:rsidRPr="00A034E4" w:rsidRDefault="00201AFA" w:rsidP="00794033">
            <w:pPr>
              <w:spacing w:after="120"/>
              <w:rPr>
                <w:rFonts w:cs="Arial"/>
                <w:b/>
                <w:bCs/>
              </w:rPr>
            </w:pPr>
            <w:r>
              <w:rPr>
                <w:rFonts w:cs="Arial"/>
                <w:b/>
                <w:bCs/>
              </w:rPr>
              <w:t>Updated</w:t>
            </w:r>
            <w:r w:rsidRPr="00A034E4">
              <w:rPr>
                <w:rFonts w:cs="Arial"/>
                <w:b/>
                <w:bCs/>
              </w:rPr>
              <w:t xml:space="preserve"> </w:t>
            </w:r>
            <w:r w:rsidR="0063003F" w:rsidRPr="00A034E4">
              <w:rPr>
                <w:rFonts w:cs="Arial"/>
                <w:b/>
                <w:bCs/>
              </w:rPr>
              <w:t>voluntary Australian standard</w:t>
            </w:r>
          </w:p>
        </w:tc>
        <w:tc>
          <w:tcPr>
            <w:tcW w:w="6866" w:type="dxa"/>
            <w:shd w:val="clear" w:color="auto" w:fill="auto"/>
            <w:vAlign w:val="center"/>
          </w:tcPr>
          <w:p w:rsidR="0063003F" w:rsidRPr="005F0E2D" w:rsidRDefault="0063003F" w:rsidP="00794033">
            <w:pPr>
              <w:spacing w:after="120"/>
              <w:rPr>
                <w:rFonts w:cs="Arial"/>
              </w:rPr>
            </w:pPr>
            <w:r w:rsidRPr="00A034E4">
              <w:rPr>
                <w:rFonts w:cs="Arial"/>
              </w:rPr>
              <w:t>AS/NZS 1900:2014</w:t>
            </w:r>
            <w:r w:rsidR="00DD62AA" w:rsidRPr="00A034E4">
              <w:rPr>
                <w:rFonts w:cs="Arial"/>
              </w:rPr>
              <w:t xml:space="preserve"> </w:t>
            </w:r>
            <w:r w:rsidR="00DD62AA" w:rsidRPr="00A034E4">
              <w:rPr>
                <w:rFonts w:cs="Arial"/>
                <w:i/>
              </w:rPr>
              <w:t>Flotation aids for water familiarization and swimming tuition</w:t>
            </w:r>
            <w:r w:rsidR="00201AFA">
              <w:rPr>
                <w:rFonts w:cs="Arial"/>
                <w:i/>
              </w:rPr>
              <w:t>.</w:t>
            </w:r>
          </w:p>
        </w:tc>
      </w:tr>
    </w:tbl>
    <w:p w:rsidR="00AB6528" w:rsidRDefault="00AB6528" w:rsidP="00201AFA">
      <w:pPr>
        <w:pStyle w:val="ListNumber"/>
        <w:numPr>
          <w:ilvl w:val="0"/>
          <w:numId w:val="0"/>
        </w:numPr>
      </w:pPr>
    </w:p>
    <w:sectPr w:rsidR="00AB6528" w:rsidSect="00782C4B">
      <w:footerReference w:type="default" r:id="rId18"/>
      <w:footerReference w:type="first" r:id="rId19"/>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3B" w:rsidRDefault="00AC613B" w:rsidP="004B4412">
      <w:pPr>
        <w:spacing w:before="0"/>
      </w:pPr>
      <w:r>
        <w:separator/>
      </w:r>
    </w:p>
  </w:endnote>
  <w:endnote w:type="continuationSeparator" w:id="0">
    <w:p w:rsidR="00AC613B" w:rsidRDefault="00AC613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3B" w:rsidRDefault="00AC613B">
    <w:pPr>
      <w:pStyle w:val="Footer"/>
      <w:jc w:val="right"/>
    </w:pPr>
    <w:r>
      <w:fldChar w:fldCharType="begin"/>
    </w:r>
    <w:r>
      <w:instrText xml:space="preserve"> PAGE   \* MERGEFORMAT </w:instrText>
    </w:r>
    <w:r>
      <w:fldChar w:fldCharType="separate"/>
    </w:r>
    <w:r w:rsidR="006001D1">
      <w:rPr>
        <w:noProof/>
      </w:rPr>
      <w:t>2</w:t>
    </w:r>
    <w:r>
      <w:rPr>
        <w:noProof/>
      </w:rPr>
      <w:fldChar w:fldCharType="end"/>
    </w:r>
  </w:p>
  <w:p w:rsidR="00AC613B" w:rsidRPr="00586FBE" w:rsidRDefault="00AC613B" w:rsidP="00783ECA">
    <w:pPr>
      <w:pStyle w:val="Footer"/>
      <w:jc w:val="center"/>
      <w:rPr>
        <w:sz w:val="20"/>
        <w:szCs w:val="20"/>
      </w:rPr>
    </w:pPr>
    <w:r w:rsidRPr="00586FBE">
      <w:rPr>
        <w:sz w:val="20"/>
        <w:szCs w:val="20"/>
      </w:rPr>
      <w:t xml:space="preserve">Review of the mandatory </w:t>
    </w:r>
    <w:r>
      <w:rPr>
        <w:sz w:val="20"/>
        <w:szCs w:val="20"/>
      </w:rPr>
      <w:t>safety standard for swimming and flotation aids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3B" w:rsidRDefault="00AC613B">
    <w:pPr>
      <w:pStyle w:val="Footer"/>
      <w:jc w:val="right"/>
    </w:pPr>
    <w:r>
      <w:fldChar w:fldCharType="begin"/>
    </w:r>
    <w:r>
      <w:instrText xml:space="preserve"> PAGE   \* MERGEFORMAT </w:instrText>
    </w:r>
    <w:r>
      <w:fldChar w:fldCharType="separate"/>
    </w:r>
    <w:r>
      <w:rPr>
        <w:noProof/>
      </w:rPr>
      <w:t>2</w:t>
    </w:r>
    <w:r>
      <w:rPr>
        <w:noProof/>
      </w:rPr>
      <w:fldChar w:fldCharType="end"/>
    </w:r>
  </w:p>
  <w:p w:rsidR="00AC613B" w:rsidRDefault="00AC6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3B" w:rsidRDefault="00AC613B" w:rsidP="004B4412">
      <w:pPr>
        <w:spacing w:before="0"/>
      </w:pPr>
      <w:r>
        <w:separator/>
      </w:r>
    </w:p>
  </w:footnote>
  <w:footnote w:type="continuationSeparator" w:id="0">
    <w:p w:rsidR="00AC613B" w:rsidRDefault="00AC613B" w:rsidP="004B4412">
      <w:pPr>
        <w:spacing w:before="0"/>
      </w:pPr>
      <w:r>
        <w:continuationSeparator/>
      </w:r>
    </w:p>
  </w:footnote>
  <w:footnote w:id="1">
    <w:p w:rsidR="00AC613B" w:rsidRDefault="00AC613B" w:rsidP="00197D05">
      <w:pPr>
        <w:pStyle w:val="FootnoteText"/>
        <w:ind w:left="0" w:firstLine="0"/>
      </w:pPr>
      <w:r>
        <w:rPr>
          <w:rStyle w:val="FootnoteReference"/>
        </w:rPr>
        <w:footnoteRef/>
      </w:r>
      <w:r>
        <w:t xml:space="preserve">ACCC, </w:t>
      </w:r>
      <w:r w:rsidRPr="000268CC">
        <w:rPr>
          <w:szCs w:val="16"/>
        </w:rPr>
        <w:t xml:space="preserve">International standards for the safety of consumer products - criteria for acceptance, ACCC policy principles, 22 July 2015, </w:t>
      </w:r>
      <w:hyperlink r:id="rId1" w:history="1">
        <w:r w:rsidRPr="00625A3A">
          <w:rPr>
            <w:rStyle w:val="Hyperlink"/>
            <w:sz w:val="16"/>
            <w:szCs w:val="16"/>
          </w:rPr>
          <w:t>www.productsafety.gov.au/content/index.phtml/itemId/1014180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44A29CE"/>
    <w:multiLevelType w:val="hybridMultilevel"/>
    <w:tmpl w:val="E8BE3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4974A4"/>
    <w:multiLevelType w:val="hybridMultilevel"/>
    <w:tmpl w:val="6122B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1C50D6"/>
    <w:multiLevelType w:val="multilevel"/>
    <w:tmpl w:val="2C80B854"/>
    <w:lvl w:ilvl="0">
      <w:start w:val="5"/>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3">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B2E6EF9"/>
    <w:multiLevelType w:val="hybridMultilevel"/>
    <w:tmpl w:val="0E56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1B69E0"/>
    <w:multiLevelType w:val="hybridMultilevel"/>
    <w:tmpl w:val="24C88A5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nsid w:val="1D04621B"/>
    <w:multiLevelType w:val="hybridMultilevel"/>
    <w:tmpl w:val="07D6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0A4A13"/>
    <w:multiLevelType w:val="hybridMultilevel"/>
    <w:tmpl w:val="140C7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nsid w:val="427F5332"/>
    <w:multiLevelType w:val="hybridMultilevel"/>
    <w:tmpl w:val="E3BA1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69471C6"/>
    <w:multiLevelType w:val="hybridMultilevel"/>
    <w:tmpl w:val="1ED65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6A1D46"/>
    <w:multiLevelType w:val="hybridMultilevel"/>
    <w:tmpl w:val="768A1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D42374"/>
    <w:multiLevelType w:val="multilevel"/>
    <w:tmpl w:val="9F422F3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nsid w:val="5BBE5D0D"/>
    <w:multiLevelType w:val="hybridMultilevel"/>
    <w:tmpl w:val="CA34B3D0"/>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67A15880"/>
    <w:multiLevelType w:val="multilevel"/>
    <w:tmpl w:val="E51A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82442B"/>
    <w:multiLevelType w:val="hybridMultilevel"/>
    <w:tmpl w:val="6640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0570921"/>
    <w:multiLevelType w:val="multilevel"/>
    <w:tmpl w:val="96B4EC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1">
    <w:nsid w:val="7E2819EC"/>
    <w:multiLevelType w:val="multilevel"/>
    <w:tmpl w:val="50D426D2"/>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41"/>
  </w:num>
  <w:num w:numId="3">
    <w:abstractNumId w:val="7"/>
  </w:num>
  <w:num w:numId="4">
    <w:abstractNumId w:val="6"/>
  </w:num>
  <w:num w:numId="5">
    <w:abstractNumId w:val="5"/>
  </w:num>
  <w:num w:numId="6">
    <w:abstractNumId w:val="4"/>
  </w:num>
  <w:num w:numId="7">
    <w:abstractNumId w:val="1"/>
  </w:num>
  <w:num w:numId="8">
    <w:abstractNumId w:val="0"/>
  </w:num>
  <w:num w:numId="9">
    <w:abstractNumId w:val="33"/>
  </w:num>
  <w:num w:numId="10">
    <w:abstractNumId w:val="22"/>
  </w:num>
  <w:num w:numId="11">
    <w:abstractNumId w:val="11"/>
  </w:num>
  <w:num w:numId="12">
    <w:abstractNumId w:val="21"/>
  </w:num>
  <w:num w:numId="13">
    <w:abstractNumId w:val="2"/>
  </w:num>
  <w:num w:numId="14">
    <w:abstractNumId w:val="37"/>
  </w:num>
  <w:num w:numId="15">
    <w:abstractNumId w:val="40"/>
  </w:num>
  <w:num w:numId="16">
    <w:abstractNumId w:val="39"/>
  </w:num>
  <w:num w:numId="17">
    <w:abstractNumId w:val="29"/>
  </w:num>
  <w:num w:numId="18">
    <w:abstractNumId w:val="20"/>
  </w:num>
  <w:num w:numId="19">
    <w:abstractNumId w:val="23"/>
  </w:num>
  <w:num w:numId="20">
    <w:abstractNumId w:val="38"/>
  </w:num>
  <w:num w:numId="21">
    <w:abstractNumId w:val="31"/>
  </w:num>
  <w:num w:numId="22">
    <w:abstractNumId w:val="8"/>
  </w:num>
  <w:num w:numId="23">
    <w:abstractNumId w:val="3"/>
  </w:num>
  <w:num w:numId="24">
    <w:abstractNumId w:val="26"/>
  </w:num>
  <w:num w:numId="25">
    <w:abstractNumId w:val="14"/>
  </w:num>
  <w:num w:numId="26">
    <w:abstractNumId w:val="32"/>
  </w:num>
  <w:num w:numId="27">
    <w:abstractNumId w:val="15"/>
  </w:num>
  <w:num w:numId="28">
    <w:abstractNumId w:val="12"/>
  </w:num>
  <w:num w:numId="29">
    <w:abstractNumId w:val="28"/>
  </w:num>
  <w:num w:numId="30">
    <w:abstractNumId w:val="27"/>
  </w:num>
  <w:num w:numId="31">
    <w:abstractNumId w:val="36"/>
  </w:num>
  <w:num w:numId="32">
    <w:abstractNumId w:val="19"/>
  </w:num>
  <w:num w:numId="33">
    <w:abstractNumId w:val="30"/>
  </w:num>
  <w:num w:numId="34">
    <w:abstractNumId w:val="35"/>
  </w:num>
  <w:num w:numId="35">
    <w:abstractNumId w:val="16"/>
  </w:num>
  <w:num w:numId="36">
    <w:abstractNumId w:val="17"/>
  </w:num>
  <w:num w:numId="37">
    <w:abstractNumId w:val="10"/>
  </w:num>
  <w:num w:numId="38">
    <w:abstractNumId w:val="18"/>
  </w:num>
  <w:num w:numId="39">
    <w:abstractNumId w:val="34"/>
  </w:num>
  <w:num w:numId="40">
    <w:abstractNumId w:val="11"/>
  </w:num>
  <w:num w:numId="41">
    <w:abstractNumId w:val="9"/>
  </w:num>
  <w:num w:numId="42">
    <w:abstractNumId w:val="24"/>
  </w:num>
  <w:num w:numId="43">
    <w:abstractNumId w:val="41"/>
  </w:num>
  <w:num w:numId="4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1945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10020\D16 117936  CPS - SP - Swimming and flotation aids - Consultation paper.DOCX"/>
  </w:docVars>
  <w:rsids>
    <w:rsidRoot w:val="00935D49"/>
    <w:rsid w:val="00005966"/>
    <w:rsid w:val="000123DD"/>
    <w:rsid w:val="00014359"/>
    <w:rsid w:val="00017DA1"/>
    <w:rsid w:val="0002080C"/>
    <w:rsid w:val="0002115F"/>
    <w:rsid w:val="00021202"/>
    <w:rsid w:val="000225C4"/>
    <w:rsid w:val="00023664"/>
    <w:rsid w:val="00023EAC"/>
    <w:rsid w:val="00033A6D"/>
    <w:rsid w:val="00033E57"/>
    <w:rsid w:val="0003578C"/>
    <w:rsid w:val="000363F1"/>
    <w:rsid w:val="000415DA"/>
    <w:rsid w:val="0004725E"/>
    <w:rsid w:val="00051AE0"/>
    <w:rsid w:val="00053EB8"/>
    <w:rsid w:val="00063247"/>
    <w:rsid w:val="00063F9F"/>
    <w:rsid w:val="000643B6"/>
    <w:rsid w:val="00070F9F"/>
    <w:rsid w:val="0007137B"/>
    <w:rsid w:val="00084813"/>
    <w:rsid w:val="00085663"/>
    <w:rsid w:val="00085EBF"/>
    <w:rsid w:val="00092D95"/>
    <w:rsid w:val="00093119"/>
    <w:rsid w:val="00093F6C"/>
    <w:rsid w:val="0009440F"/>
    <w:rsid w:val="000A3AD0"/>
    <w:rsid w:val="000B0CD5"/>
    <w:rsid w:val="000B66DD"/>
    <w:rsid w:val="000C16A1"/>
    <w:rsid w:val="000C3220"/>
    <w:rsid w:val="000C5EE8"/>
    <w:rsid w:val="000D122C"/>
    <w:rsid w:val="000D1CBA"/>
    <w:rsid w:val="000D32DE"/>
    <w:rsid w:val="000D3868"/>
    <w:rsid w:val="000D3BC4"/>
    <w:rsid w:val="000D65D2"/>
    <w:rsid w:val="000D72BE"/>
    <w:rsid w:val="000D7C9A"/>
    <w:rsid w:val="000E1819"/>
    <w:rsid w:val="000E4338"/>
    <w:rsid w:val="000E57D9"/>
    <w:rsid w:val="000E6C72"/>
    <w:rsid w:val="000E7F3F"/>
    <w:rsid w:val="000F20D6"/>
    <w:rsid w:val="000F2368"/>
    <w:rsid w:val="00102C0C"/>
    <w:rsid w:val="00103469"/>
    <w:rsid w:val="00106669"/>
    <w:rsid w:val="0010668B"/>
    <w:rsid w:val="00112DB6"/>
    <w:rsid w:val="00116EB2"/>
    <w:rsid w:val="00124609"/>
    <w:rsid w:val="00125BA1"/>
    <w:rsid w:val="00132DAF"/>
    <w:rsid w:val="001417FE"/>
    <w:rsid w:val="00146A47"/>
    <w:rsid w:val="00147F1E"/>
    <w:rsid w:val="00150167"/>
    <w:rsid w:val="001573E4"/>
    <w:rsid w:val="00160756"/>
    <w:rsid w:val="00166B41"/>
    <w:rsid w:val="0017232E"/>
    <w:rsid w:val="00172B84"/>
    <w:rsid w:val="00174102"/>
    <w:rsid w:val="00174935"/>
    <w:rsid w:val="00180157"/>
    <w:rsid w:val="00180E2D"/>
    <w:rsid w:val="00181223"/>
    <w:rsid w:val="00183645"/>
    <w:rsid w:val="00186F77"/>
    <w:rsid w:val="00187BA3"/>
    <w:rsid w:val="001913A0"/>
    <w:rsid w:val="001926A4"/>
    <w:rsid w:val="0019347B"/>
    <w:rsid w:val="001936BA"/>
    <w:rsid w:val="00193922"/>
    <w:rsid w:val="00195D8C"/>
    <w:rsid w:val="00197D05"/>
    <w:rsid w:val="001A3A19"/>
    <w:rsid w:val="001A6DAB"/>
    <w:rsid w:val="001B246B"/>
    <w:rsid w:val="001B313A"/>
    <w:rsid w:val="001B45A0"/>
    <w:rsid w:val="001B65AA"/>
    <w:rsid w:val="001C04D3"/>
    <w:rsid w:val="001C0DE1"/>
    <w:rsid w:val="001C18EE"/>
    <w:rsid w:val="001C62C1"/>
    <w:rsid w:val="001D055E"/>
    <w:rsid w:val="001D07BE"/>
    <w:rsid w:val="001D4CDD"/>
    <w:rsid w:val="001D6E42"/>
    <w:rsid w:val="001D777A"/>
    <w:rsid w:val="001E1DE4"/>
    <w:rsid w:val="001E4369"/>
    <w:rsid w:val="001E7815"/>
    <w:rsid w:val="001F2F13"/>
    <w:rsid w:val="001F3AD4"/>
    <w:rsid w:val="001F492E"/>
    <w:rsid w:val="001F4F11"/>
    <w:rsid w:val="001F6520"/>
    <w:rsid w:val="001F6DA3"/>
    <w:rsid w:val="001F71B3"/>
    <w:rsid w:val="002008C0"/>
    <w:rsid w:val="002019B5"/>
    <w:rsid w:val="00201AFA"/>
    <w:rsid w:val="002065B1"/>
    <w:rsid w:val="00210C8E"/>
    <w:rsid w:val="002124FE"/>
    <w:rsid w:val="00212737"/>
    <w:rsid w:val="002135C9"/>
    <w:rsid w:val="00215EF4"/>
    <w:rsid w:val="00216550"/>
    <w:rsid w:val="00220F50"/>
    <w:rsid w:val="0022438B"/>
    <w:rsid w:val="00224DB9"/>
    <w:rsid w:val="00225425"/>
    <w:rsid w:val="00242590"/>
    <w:rsid w:val="00246408"/>
    <w:rsid w:val="00247779"/>
    <w:rsid w:val="00250CCD"/>
    <w:rsid w:val="00251745"/>
    <w:rsid w:val="00253F53"/>
    <w:rsid w:val="00255072"/>
    <w:rsid w:val="002610F2"/>
    <w:rsid w:val="0026284D"/>
    <w:rsid w:val="00262A59"/>
    <w:rsid w:val="00262CA8"/>
    <w:rsid w:val="00263AC0"/>
    <w:rsid w:val="00265286"/>
    <w:rsid w:val="0026772D"/>
    <w:rsid w:val="002712AA"/>
    <w:rsid w:val="00271931"/>
    <w:rsid w:val="00274F35"/>
    <w:rsid w:val="00276A10"/>
    <w:rsid w:val="0028290F"/>
    <w:rsid w:val="00283E58"/>
    <w:rsid w:val="00285E42"/>
    <w:rsid w:val="00286874"/>
    <w:rsid w:val="002935DA"/>
    <w:rsid w:val="00294415"/>
    <w:rsid w:val="0029535F"/>
    <w:rsid w:val="00296B65"/>
    <w:rsid w:val="00296F53"/>
    <w:rsid w:val="00296F8D"/>
    <w:rsid w:val="00297D3B"/>
    <w:rsid w:val="002A1973"/>
    <w:rsid w:val="002A71AA"/>
    <w:rsid w:val="002A7C71"/>
    <w:rsid w:val="002A7DEF"/>
    <w:rsid w:val="002B1ABD"/>
    <w:rsid w:val="002B1BA7"/>
    <w:rsid w:val="002B2200"/>
    <w:rsid w:val="002C0C82"/>
    <w:rsid w:val="002D0C4D"/>
    <w:rsid w:val="002D186C"/>
    <w:rsid w:val="002D1FAF"/>
    <w:rsid w:val="002D31B1"/>
    <w:rsid w:val="002D3776"/>
    <w:rsid w:val="002D633E"/>
    <w:rsid w:val="002E067C"/>
    <w:rsid w:val="002E3CA3"/>
    <w:rsid w:val="002F447C"/>
    <w:rsid w:val="002F7986"/>
    <w:rsid w:val="00303C4A"/>
    <w:rsid w:val="00304EB9"/>
    <w:rsid w:val="00305E3F"/>
    <w:rsid w:val="00307F6D"/>
    <w:rsid w:val="00312DEB"/>
    <w:rsid w:val="003139DB"/>
    <w:rsid w:val="00314196"/>
    <w:rsid w:val="003177A2"/>
    <w:rsid w:val="00317E3B"/>
    <w:rsid w:val="003241F5"/>
    <w:rsid w:val="003271B5"/>
    <w:rsid w:val="003301BA"/>
    <w:rsid w:val="00330715"/>
    <w:rsid w:val="00330CA0"/>
    <w:rsid w:val="00331264"/>
    <w:rsid w:val="0033433E"/>
    <w:rsid w:val="00334C8D"/>
    <w:rsid w:val="00340655"/>
    <w:rsid w:val="0034195D"/>
    <w:rsid w:val="003459E6"/>
    <w:rsid w:val="00346B04"/>
    <w:rsid w:val="00350ABB"/>
    <w:rsid w:val="00351389"/>
    <w:rsid w:val="003518B3"/>
    <w:rsid w:val="003523A2"/>
    <w:rsid w:val="00364E4B"/>
    <w:rsid w:val="00367AAF"/>
    <w:rsid w:val="0037012D"/>
    <w:rsid w:val="003703E4"/>
    <w:rsid w:val="00370B8F"/>
    <w:rsid w:val="00371641"/>
    <w:rsid w:val="0037565E"/>
    <w:rsid w:val="0037572F"/>
    <w:rsid w:val="003804A9"/>
    <w:rsid w:val="00382011"/>
    <w:rsid w:val="00382184"/>
    <w:rsid w:val="003846F1"/>
    <w:rsid w:val="00392827"/>
    <w:rsid w:val="0039574F"/>
    <w:rsid w:val="003A19A4"/>
    <w:rsid w:val="003A207E"/>
    <w:rsid w:val="003A40BF"/>
    <w:rsid w:val="003A4CB3"/>
    <w:rsid w:val="003A53AB"/>
    <w:rsid w:val="003A64E9"/>
    <w:rsid w:val="003A673F"/>
    <w:rsid w:val="003A756F"/>
    <w:rsid w:val="003B334F"/>
    <w:rsid w:val="003B3A60"/>
    <w:rsid w:val="003B3CD1"/>
    <w:rsid w:val="003B5A70"/>
    <w:rsid w:val="003B64FE"/>
    <w:rsid w:val="003C4908"/>
    <w:rsid w:val="003D0732"/>
    <w:rsid w:val="003D45FD"/>
    <w:rsid w:val="003E114F"/>
    <w:rsid w:val="003E349F"/>
    <w:rsid w:val="003E7656"/>
    <w:rsid w:val="003E7D13"/>
    <w:rsid w:val="003F06AC"/>
    <w:rsid w:val="003F604E"/>
    <w:rsid w:val="004032B5"/>
    <w:rsid w:val="004045CF"/>
    <w:rsid w:val="004101DC"/>
    <w:rsid w:val="00410B56"/>
    <w:rsid w:val="00414170"/>
    <w:rsid w:val="0041713D"/>
    <w:rsid w:val="004211D4"/>
    <w:rsid w:val="00423003"/>
    <w:rsid w:val="00424548"/>
    <w:rsid w:val="00424AE4"/>
    <w:rsid w:val="00425040"/>
    <w:rsid w:val="0043256D"/>
    <w:rsid w:val="00442DFA"/>
    <w:rsid w:val="004438EC"/>
    <w:rsid w:val="00443B64"/>
    <w:rsid w:val="00447A45"/>
    <w:rsid w:val="00447CD6"/>
    <w:rsid w:val="00451126"/>
    <w:rsid w:val="00453E07"/>
    <w:rsid w:val="00454028"/>
    <w:rsid w:val="00460400"/>
    <w:rsid w:val="00462F92"/>
    <w:rsid w:val="0046316B"/>
    <w:rsid w:val="00465C89"/>
    <w:rsid w:val="004664A7"/>
    <w:rsid w:val="00475DDE"/>
    <w:rsid w:val="004762F9"/>
    <w:rsid w:val="00477244"/>
    <w:rsid w:val="0047737C"/>
    <w:rsid w:val="004804BE"/>
    <w:rsid w:val="00480B4B"/>
    <w:rsid w:val="004827A4"/>
    <w:rsid w:val="00483BD5"/>
    <w:rsid w:val="00484B32"/>
    <w:rsid w:val="00485DC4"/>
    <w:rsid w:val="0048630C"/>
    <w:rsid w:val="004872AD"/>
    <w:rsid w:val="00490CF4"/>
    <w:rsid w:val="0049212B"/>
    <w:rsid w:val="00492F94"/>
    <w:rsid w:val="004961F5"/>
    <w:rsid w:val="00496AF8"/>
    <w:rsid w:val="00496C4C"/>
    <w:rsid w:val="00497C7E"/>
    <w:rsid w:val="00497CBE"/>
    <w:rsid w:val="004A1654"/>
    <w:rsid w:val="004B02E6"/>
    <w:rsid w:val="004B0528"/>
    <w:rsid w:val="004B23D6"/>
    <w:rsid w:val="004B4412"/>
    <w:rsid w:val="004B552E"/>
    <w:rsid w:val="004C348C"/>
    <w:rsid w:val="004C6A5C"/>
    <w:rsid w:val="004D18C8"/>
    <w:rsid w:val="004D3B5C"/>
    <w:rsid w:val="004D55BA"/>
    <w:rsid w:val="004D6831"/>
    <w:rsid w:val="004E1A12"/>
    <w:rsid w:val="004F0A93"/>
    <w:rsid w:val="004F0C93"/>
    <w:rsid w:val="004F0E7C"/>
    <w:rsid w:val="004F2078"/>
    <w:rsid w:val="004F33BC"/>
    <w:rsid w:val="004F7BFC"/>
    <w:rsid w:val="00501692"/>
    <w:rsid w:val="005038DB"/>
    <w:rsid w:val="00505B58"/>
    <w:rsid w:val="0050656C"/>
    <w:rsid w:val="005112BC"/>
    <w:rsid w:val="00515357"/>
    <w:rsid w:val="00522DAC"/>
    <w:rsid w:val="0052379B"/>
    <w:rsid w:val="00530128"/>
    <w:rsid w:val="00532467"/>
    <w:rsid w:val="00534AEE"/>
    <w:rsid w:val="00542C91"/>
    <w:rsid w:val="00547BA2"/>
    <w:rsid w:val="00547CCF"/>
    <w:rsid w:val="00550681"/>
    <w:rsid w:val="00555A70"/>
    <w:rsid w:val="00555F84"/>
    <w:rsid w:val="00564A4D"/>
    <w:rsid w:val="0056786E"/>
    <w:rsid w:val="00571801"/>
    <w:rsid w:val="00571B35"/>
    <w:rsid w:val="00571C9F"/>
    <w:rsid w:val="00573932"/>
    <w:rsid w:val="00573D7B"/>
    <w:rsid w:val="00577A09"/>
    <w:rsid w:val="00580B78"/>
    <w:rsid w:val="00581D21"/>
    <w:rsid w:val="005823D9"/>
    <w:rsid w:val="00584D8F"/>
    <w:rsid w:val="00585FB8"/>
    <w:rsid w:val="00586FBE"/>
    <w:rsid w:val="00595360"/>
    <w:rsid w:val="00596D42"/>
    <w:rsid w:val="005A404D"/>
    <w:rsid w:val="005A5BC5"/>
    <w:rsid w:val="005A60B4"/>
    <w:rsid w:val="005A7FFE"/>
    <w:rsid w:val="005B1E3C"/>
    <w:rsid w:val="005B35D8"/>
    <w:rsid w:val="005B74F1"/>
    <w:rsid w:val="005C1ED2"/>
    <w:rsid w:val="005C24AC"/>
    <w:rsid w:val="005C26CC"/>
    <w:rsid w:val="005C30C7"/>
    <w:rsid w:val="005C59D1"/>
    <w:rsid w:val="005C5F8C"/>
    <w:rsid w:val="005C7264"/>
    <w:rsid w:val="005D1342"/>
    <w:rsid w:val="005D185E"/>
    <w:rsid w:val="005D4B28"/>
    <w:rsid w:val="005D5694"/>
    <w:rsid w:val="005D7D43"/>
    <w:rsid w:val="005E216C"/>
    <w:rsid w:val="005E53E0"/>
    <w:rsid w:val="005E6636"/>
    <w:rsid w:val="005E6C0E"/>
    <w:rsid w:val="005F0D33"/>
    <w:rsid w:val="005F0E2D"/>
    <w:rsid w:val="005F19B6"/>
    <w:rsid w:val="005F26C4"/>
    <w:rsid w:val="005F28FD"/>
    <w:rsid w:val="006001D1"/>
    <w:rsid w:val="00603892"/>
    <w:rsid w:val="00605D6C"/>
    <w:rsid w:val="0061252F"/>
    <w:rsid w:val="00615C6B"/>
    <w:rsid w:val="00617053"/>
    <w:rsid w:val="006253D9"/>
    <w:rsid w:val="0063003F"/>
    <w:rsid w:val="006313B8"/>
    <w:rsid w:val="00632D6D"/>
    <w:rsid w:val="0063437B"/>
    <w:rsid w:val="0063778D"/>
    <w:rsid w:val="006417EE"/>
    <w:rsid w:val="00642C3E"/>
    <w:rsid w:val="006456B6"/>
    <w:rsid w:val="00646025"/>
    <w:rsid w:val="006468F8"/>
    <w:rsid w:val="00650DE9"/>
    <w:rsid w:val="00655773"/>
    <w:rsid w:val="00660D0C"/>
    <w:rsid w:val="00663AEA"/>
    <w:rsid w:val="00663DAD"/>
    <w:rsid w:val="006668D6"/>
    <w:rsid w:val="006749E0"/>
    <w:rsid w:val="00674AF2"/>
    <w:rsid w:val="00676636"/>
    <w:rsid w:val="00676679"/>
    <w:rsid w:val="00677EDB"/>
    <w:rsid w:val="00683DAD"/>
    <w:rsid w:val="006847DF"/>
    <w:rsid w:val="00687649"/>
    <w:rsid w:val="00691616"/>
    <w:rsid w:val="00694802"/>
    <w:rsid w:val="006A19B3"/>
    <w:rsid w:val="006A312D"/>
    <w:rsid w:val="006A595C"/>
    <w:rsid w:val="006B4CF9"/>
    <w:rsid w:val="006B6CFC"/>
    <w:rsid w:val="006B6FE1"/>
    <w:rsid w:val="006B7AC8"/>
    <w:rsid w:val="006C63D5"/>
    <w:rsid w:val="006C6EAC"/>
    <w:rsid w:val="006C756C"/>
    <w:rsid w:val="006D110A"/>
    <w:rsid w:val="006D112C"/>
    <w:rsid w:val="006D550F"/>
    <w:rsid w:val="006D77F3"/>
    <w:rsid w:val="006E2BEE"/>
    <w:rsid w:val="006F4B41"/>
    <w:rsid w:val="007015B8"/>
    <w:rsid w:val="00701CAB"/>
    <w:rsid w:val="007022AA"/>
    <w:rsid w:val="007051CE"/>
    <w:rsid w:val="00706C4D"/>
    <w:rsid w:val="00707098"/>
    <w:rsid w:val="00707340"/>
    <w:rsid w:val="00707563"/>
    <w:rsid w:val="00710224"/>
    <w:rsid w:val="00711AFB"/>
    <w:rsid w:val="007123B4"/>
    <w:rsid w:val="00716590"/>
    <w:rsid w:val="00717BE3"/>
    <w:rsid w:val="00722AF4"/>
    <w:rsid w:val="0072348C"/>
    <w:rsid w:val="00724A37"/>
    <w:rsid w:val="00726F0E"/>
    <w:rsid w:val="00727DEF"/>
    <w:rsid w:val="007303C3"/>
    <w:rsid w:val="00730DCF"/>
    <w:rsid w:val="0073176D"/>
    <w:rsid w:val="00732C01"/>
    <w:rsid w:val="00733BE6"/>
    <w:rsid w:val="00734AC9"/>
    <w:rsid w:val="00743223"/>
    <w:rsid w:val="00746E01"/>
    <w:rsid w:val="00747A29"/>
    <w:rsid w:val="007512C9"/>
    <w:rsid w:val="00751696"/>
    <w:rsid w:val="00753454"/>
    <w:rsid w:val="00756734"/>
    <w:rsid w:val="0075688B"/>
    <w:rsid w:val="00757944"/>
    <w:rsid w:val="00763E5D"/>
    <w:rsid w:val="00765C25"/>
    <w:rsid w:val="0076627B"/>
    <w:rsid w:val="007663B4"/>
    <w:rsid w:val="00766C5E"/>
    <w:rsid w:val="00767740"/>
    <w:rsid w:val="00776F55"/>
    <w:rsid w:val="00777EE6"/>
    <w:rsid w:val="00782C4B"/>
    <w:rsid w:val="00782EEA"/>
    <w:rsid w:val="00783000"/>
    <w:rsid w:val="00783ECA"/>
    <w:rsid w:val="007852DE"/>
    <w:rsid w:val="00785FF4"/>
    <w:rsid w:val="00787463"/>
    <w:rsid w:val="00791BB3"/>
    <w:rsid w:val="007928AA"/>
    <w:rsid w:val="00794033"/>
    <w:rsid w:val="007A0061"/>
    <w:rsid w:val="007A6F2A"/>
    <w:rsid w:val="007A7F02"/>
    <w:rsid w:val="007B2C72"/>
    <w:rsid w:val="007C0DFE"/>
    <w:rsid w:val="007C1C53"/>
    <w:rsid w:val="007C3314"/>
    <w:rsid w:val="007C5BE9"/>
    <w:rsid w:val="007D124E"/>
    <w:rsid w:val="007D275E"/>
    <w:rsid w:val="007D43C1"/>
    <w:rsid w:val="007E09A3"/>
    <w:rsid w:val="007E1347"/>
    <w:rsid w:val="007E26A9"/>
    <w:rsid w:val="007E4904"/>
    <w:rsid w:val="007E4CB5"/>
    <w:rsid w:val="007E5E03"/>
    <w:rsid w:val="007F066B"/>
    <w:rsid w:val="007F68F7"/>
    <w:rsid w:val="007F6A63"/>
    <w:rsid w:val="00802C90"/>
    <w:rsid w:val="008033C4"/>
    <w:rsid w:val="00804060"/>
    <w:rsid w:val="00806AC0"/>
    <w:rsid w:val="00806C88"/>
    <w:rsid w:val="0081018D"/>
    <w:rsid w:val="0081034E"/>
    <w:rsid w:val="0081524E"/>
    <w:rsid w:val="00816A49"/>
    <w:rsid w:val="00816CC1"/>
    <w:rsid w:val="008207AF"/>
    <w:rsid w:val="00824DA3"/>
    <w:rsid w:val="00825899"/>
    <w:rsid w:val="008344F6"/>
    <w:rsid w:val="0083510F"/>
    <w:rsid w:val="00836B15"/>
    <w:rsid w:val="00837D6D"/>
    <w:rsid w:val="008404BC"/>
    <w:rsid w:val="00840AF6"/>
    <w:rsid w:val="00841513"/>
    <w:rsid w:val="00842D92"/>
    <w:rsid w:val="00851209"/>
    <w:rsid w:val="00852112"/>
    <w:rsid w:val="00854BF0"/>
    <w:rsid w:val="00854CEE"/>
    <w:rsid w:val="0086325C"/>
    <w:rsid w:val="00863CC2"/>
    <w:rsid w:val="0088007E"/>
    <w:rsid w:val="00881EDE"/>
    <w:rsid w:val="008823D0"/>
    <w:rsid w:val="0088377C"/>
    <w:rsid w:val="008837AC"/>
    <w:rsid w:val="008869C7"/>
    <w:rsid w:val="00890A5A"/>
    <w:rsid w:val="008945B4"/>
    <w:rsid w:val="0089538C"/>
    <w:rsid w:val="008A2330"/>
    <w:rsid w:val="008A587D"/>
    <w:rsid w:val="008A7E47"/>
    <w:rsid w:val="008B0088"/>
    <w:rsid w:val="008B62D6"/>
    <w:rsid w:val="008C16BB"/>
    <w:rsid w:val="008C2046"/>
    <w:rsid w:val="008C5486"/>
    <w:rsid w:val="008C568D"/>
    <w:rsid w:val="008D48E3"/>
    <w:rsid w:val="008D5626"/>
    <w:rsid w:val="008E7031"/>
    <w:rsid w:val="008E7ECD"/>
    <w:rsid w:val="008F09DA"/>
    <w:rsid w:val="008F34C2"/>
    <w:rsid w:val="008F7CD3"/>
    <w:rsid w:val="00906798"/>
    <w:rsid w:val="009120A1"/>
    <w:rsid w:val="00913E47"/>
    <w:rsid w:val="00915DCD"/>
    <w:rsid w:val="00916106"/>
    <w:rsid w:val="00921DE8"/>
    <w:rsid w:val="00922C95"/>
    <w:rsid w:val="009233EE"/>
    <w:rsid w:val="00931BA9"/>
    <w:rsid w:val="00935D49"/>
    <w:rsid w:val="00941858"/>
    <w:rsid w:val="009453F9"/>
    <w:rsid w:val="00955269"/>
    <w:rsid w:val="00955E60"/>
    <w:rsid w:val="0095683B"/>
    <w:rsid w:val="0095704E"/>
    <w:rsid w:val="009661DE"/>
    <w:rsid w:val="00967670"/>
    <w:rsid w:val="00971A3A"/>
    <w:rsid w:val="00971C4D"/>
    <w:rsid w:val="00972E73"/>
    <w:rsid w:val="009755CF"/>
    <w:rsid w:val="00980F47"/>
    <w:rsid w:val="009814BE"/>
    <w:rsid w:val="009827EB"/>
    <w:rsid w:val="00984235"/>
    <w:rsid w:val="009856B7"/>
    <w:rsid w:val="0098602B"/>
    <w:rsid w:val="00991B3B"/>
    <w:rsid w:val="0099273D"/>
    <w:rsid w:val="00993BF6"/>
    <w:rsid w:val="0099438B"/>
    <w:rsid w:val="009962BA"/>
    <w:rsid w:val="009B254D"/>
    <w:rsid w:val="009B72E4"/>
    <w:rsid w:val="009B74B0"/>
    <w:rsid w:val="009C1EAE"/>
    <w:rsid w:val="009C2938"/>
    <w:rsid w:val="009C4A7F"/>
    <w:rsid w:val="009C6F21"/>
    <w:rsid w:val="009D4414"/>
    <w:rsid w:val="009D6B46"/>
    <w:rsid w:val="009D723A"/>
    <w:rsid w:val="009E11DD"/>
    <w:rsid w:val="009E5FC7"/>
    <w:rsid w:val="009E6FBC"/>
    <w:rsid w:val="009E7EEA"/>
    <w:rsid w:val="009F0344"/>
    <w:rsid w:val="009F4312"/>
    <w:rsid w:val="009F4940"/>
    <w:rsid w:val="009F77DD"/>
    <w:rsid w:val="00A034E4"/>
    <w:rsid w:val="00A037E9"/>
    <w:rsid w:val="00A07335"/>
    <w:rsid w:val="00A15600"/>
    <w:rsid w:val="00A1665B"/>
    <w:rsid w:val="00A22CEF"/>
    <w:rsid w:val="00A24C82"/>
    <w:rsid w:val="00A256E2"/>
    <w:rsid w:val="00A26920"/>
    <w:rsid w:val="00A37CE5"/>
    <w:rsid w:val="00A407FB"/>
    <w:rsid w:val="00A4478A"/>
    <w:rsid w:val="00A44852"/>
    <w:rsid w:val="00A44BD5"/>
    <w:rsid w:val="00A478CF"/>
    <w:rsid w:val="00A47C24"/>
    <w:rsid w:val="00A506AF"/>
    <w:rsid w:val="00A5615D"/>
    <w:rsid w:val="00A57D04"/>
    <w:rsid w:val="00A60A26"/>
    <w:rsid w:val="00A61598"/>
    <w:rsid w:val="00A6611D"/>
    <w:rsid w:val="00A6693D"/>
    <w:rsid w:val="00A66D3E"/>
    <w:rsid w:val="00A67030"/>
    <w:rsid w:val="00A736A8"/>
    <w:rsid w:val="00A77DC2"/>
    <w:rsid w:val="00A81A8A"/>
    <w:rsid w:val="00A84F46"/>
    <w:rsid w:val="00A871F4"/>
    <w:rsid w:val="00A911FC"/>
    <w:rsid w:val="00A92F23"/>
    <w:rsid w:val="00A95514"/>
    <w:rsid w:val="00A96689"/>
    <w:rsid w:val="00AA1503"/>
    <w:rsid w:val="00AA36E7"/>
    <w:rsid w:val="00AA51E0"/>
    <w:rsid w:val="00AB310D"/>
    <w:rsid w:val="00AB4B90"/>
    <w:rsid w:val="00AB537D"/>
    <w:rsid w:val="00AB6528"/>
    <w:rsid w:val="00AC1B2C"/>
    <w:rsid w:val="00AC1FB8"/>
    <w:rsid w:val="00AC3264"/>
    <w:rsid w:val="00AC3378"/>
    <w:rsid w:val="00AC613B"/>
    <w:rsid w:val="00AC62F0"/>
    <w:rsid w:val="00AC6F01"/>
    <w:rsid w:val="00AC7784"/>
    <w:rsid w:val="00AD0B30"/>
    <w:rsid w:val="00AD16C0"/>
    <w:rsid w:val="00AD24CF"/>
    <w:rsid w:val="00AD3382"/>
    <w:rsid w:val="00AD6EC9"/>
    <w:rsid w:val="00AE0FE2"/>
    <w:rsid w:val="00AE16B5"/>
    <w:rsid w:val="00AE1BF1"/>
    <w:rsid w:val="00AE269D"/>
    <w:rsid w:val="00AE6732"/>
    <w:rsid w:val="00AF0DD2"/>
    <w:rsid w:val="00AF2073"/>
    <w:rsid w:val="00AF29ED"/>
    <w:rsid w:val="00B02E5E"/>
    <w:rsid w:val="00B07BBE"/>
    <w:rsid w:val="00B10314"/>
    <w:rsid w:val="00B10E48"/>
    <w:rsid w:val="00B13048"/>
    <w:rsid w:val="00B145BE"/>
    <w:rsid w:val="00B15998"/>
    <w:rsid w:val="00B16838"/>
    <w:rsid w:val="00B1716D"/>
    <w:rsid w:val="00B17A1D"/>
    <w:rsid w:val="00B207A0"/>
    <w:rsid w:val="00B214BD"/>
    <w:rsid w:val="00B21C20"/>
    <w:rsid w:val="00B23856"/>
    <w:rsid w:val="00B258C2"/>
    <w:rsid w:val="00B2799D"/>
    <w:rsid w:val="00B279DD"/>
    <w:rsid w:val="00B3167D"/>
    <w:rsid w:val="00B31BF6"/>
    <w:rsid w:val="00B33E8A"/>
    <w:rsid w:val="00B41D5B"/>
    <w:rsid w:val="00B50BC9"/>
    <w:rsid w:val="00B51380"/>
    <w:rsid w:val="00B5522D"/>
    <w:rsid w:val="00B55E50"/>
    <w:rsid w:val="00B5632E"/>
    <w:rsid w:val="00B56E03"/>
    <w:rsid w:val="00B60F5D"/>
    <w:rsid w:val="00B636D5"/>
    <w:rsid w:val="00B6475E"/>
    <w:rsid w:val="00B66726"/>
    <w:rsid w:val="00B67E91"/>
    <w:rsid w:val="00B71EF9"/>
    <w:rsid w:val="00B73C53"/>
    <w:rsid w:val="00B7635E"/>
    <w:rsid w:val="00B76790"/>
    <w:rsid w:val="00B8080B"/>
    <w:rsid w:val="00B81452"/>
    <w:rsid w:val="00B87C39"/>
    <w:rsid w:val="00B92352"/>
    <w:rsid w:val="00B951CE"/>
    <w:rsid w:val="00B955CE"/>
    <w:rsid w:val="00B97D27"/>
    <w:rsid w:val="00BA1262"/>
    <w:rsid w:val="00BA4665"/>
    <w:rsid w:val="00BA5784"/>
    <w:rsid w:val="00BB18C4"/>
    <w:rsid w:val="00BB2965"/>
    <w:rsid w:val="00BB2FB2"/>
    <w:rsid w:val="00BB3304"/>
    <w:rsid w:val="00BB429F"/>
    <w:rsid w:val="00BD3446"/>
    <w:rsid w:val="00BD3900"/>
    <w:rsid w:val="00BD4F7D"/>
    <w:rsid w:val="00BE0A1D"/>
    <w:rsid w:val="00BE1F1B"/>
    <w:rsid w:val="00BE3C42"/>
    <w:rsid w:val="00BE47B5"/>
    <w:rsid w:val="00BE4C99"/>
    <w:rsid w:val="00BF1FFB"/>
    <w:rsid w:val="00BF3ED7"/>
    <w:rsid w:val="00BF5336"/>
    <w:rsid w:val="00BF661B"/>
    <w:rsid w:val="00C01BAF"/>
    <w:rsid w:val="00C058AB"/>
    <w:rsid w:val="00C06739"/>
    <w:rsid w:val="00C12FE1"/>
    <w:rsid w:val="00C144E0"/>
    <w:rsid w:val="00C14AE3"/>
    <w:rsid w:val="00C16994"/>
    <w:rsid w:val="00C17052"/>
    <w:rsid w:val="00C23298"/>
    <w:rsid w:val="00C25A65"/>
    <w:rsid w:val="00C305CD"/>
    <w:rsid w:val="00C34CF8"/>
    <w:rsid w:val="00C35A55"/>
    <w:rsid w:val="00C36573"/>
    <w:rsid w:val="00C369F4"/>
    <w:rsid w:val="00C410E3"/>
    <w:rsid w:val="00C412AB"/>
    <w:rsid w:val="00C4151B"/>
    <w:rsid w:val="00C529C5"/>
    <w:rsid w:val="00C538A9"/>
    <w:rsid w:val="00C53B5A"/>
    <w:rsid w:val="00C54F5A"/>
    <w:rsid w:val="00C61053"/>
    <w:rsid w:val="00C6681E"/>
    <w:rsid w:val="00C72C99"/>
    <w:rsid w:val="00C755AD"/>
    <w:rsid w:val="00C8389C"/>
    <w:rsid w:val="00C86679"/>
    <w:rsid w:val="00C934C5"/>
    <w:rsid w:val="00C93DC7"/>
    <w:rsid w:val="00C96F55"/>
    <w:rsid w:val="00CA130D"/>
    <w:rsid w:val="00CA2F26"/>
    <w:rsid w:val="00CA37CA"/>
    <w:rsid w:val="00CB0D3C"/>
    <w:rsid w:val="00CB0F0C"/>
    <w:rsid w:val="00CB24DE"/>
    <w:rsid w:val="00CB4D25"/>
    <w:rsid w:val="00CB666B"/>
    <w:rsid w:val="00CB75D7"/>
    <w:rsid w:val="00CB7638"/>
    <w:rsid w:val="00CC2659"/>
    <w:rsid w:val="00CD1AC8"/>
    <w:rsid w:val="00CD252C"/>
    <w:rsid w:val="00CD443A"/>
    <w:rsid w:val="00CD4F4E"/>
    <w:rsid w:val="00CD614C"/>
    <w:rsid w:val="00CE4B41"/>
    <w:rsid w:val="00CE6BCF"/>
    <w:rsid w:val="00CF0739"/>
    <w:rsid w:val="00CF23EB"/>
    <w:rsid w:val="00CF39BC"/>
    <w:rsid w:val="00CF4762"/>
    <w:rsid w:val="00CF5CF4"/>
    <w:rsid w:val="00CF799E"/>
    <w:rsid w:val="00D0062C"/>
    <w:rsid w:val="00D01A6E"/>
    <w:rsid w:val="00D01CF0"/>
    <w:rsid w:val="00D0253C"/>
    <w:rsid w:val="00D02DB2"/>
    <w:rsid w:val="00D0442A"/>
    <w:rsid w:val="00D05B25"/>
    <w:rsid w:val="00D06837"/>
    <w:rsid w:val="00D07FBB"/>
    <w:rsid w:val="00D106E6"/>
    <w:rsid w:val="00D10FE9"/>
    <w:rsid w:val="00D1293B"/>
    <w:rsid w:val="00D16700"/>
    <w:rsid w:val="00D203E1"/>
    <w:rsid w:val="00D205E8"/>
    <w:rsid w:val="00D20609"/>
    <w:rsid w:val="00D2102F"/>
    <w:rsid w:val="00D25035"/>
    <w:rsid w:val="00D256E0"/>
    <w:rsid w:val="00D25985"/>
    <w:rsid w:val="00D25E41"/>
    <w:rsid w:val="00D37C2D"/>
    <w:rsid w:val="00D41FE6"/>
    <w:rsid w:val="00D44E1E"/>
    <w:rsid w:val="00D45CEF"/>
    <w:rsid w:val="00D4674F"/>
    <w:rsid w:val="00D507D3"/>
    <w:rsid w:val="00D52317"/>
    <w:rsid w:val="00D52E21"/>
    <w:rsid w:val="00D530B4"/>
    <w:rsid w:val="00D537C5"/>
    <w:rsid w:val="00D544B8"/>
    <w:rsid w:val="00D57582"/>
    <w:rsid w:val="00D61388"/>
    <w:rsid w:val="00D61A54"/>
    <w:rsid w:val="00D64DEA"/>
    <w:rsid w:val="00D73E67"/>
    <w:rsid w:val="00D7776D"/>
    <w:rsid w:val="00D80893"/>
    <w:rsid w:val="00D828C1"/>
    <w:rsid w:val="00D829A9"/>
    <w:rsid w:val="00D85E96"/>
    <w:rsid w:val="00D90F43"/>
    <w:rsid w:val="00D92752"/>
    <w:rsid w:val="00D92CF1"/>
    <w:rsid w:val="00D92D38"/>
    <w:rsid w:val="00D94B9E"/>
    <w:rsid w:val="00D950F5"/>
    <w:rsid w:val="00D96549"/>
    <w:rsid w:val="00D965A8"/>
    <w:rsid w:val="00DA4E46"/>
    <w:rsid w:val="00DB08B9"/>
    <w:rsid w:val="00DB0F93"/>
    <w:rsid w:val="00DB6074"/>
    <w:rsid w:val="00DB6778"/>
    <w:rsid w:val="00DC18A0"/>
    <w:rsid w:val="00DC390E"/>
    <w:rsid w:val="00DC542F"/>
    <w:rsid w:val="00DC5EF4"/>
    <w:rsid w:val="00DC65CF"/>
    <w:rsid w:val="00DC7314"/>
    <w:rsid w:val="00DC7981"/>
    <w:rsid w:val="00DD2499"/>
    <w:rsid w:val="00DD2DD9"/>
    <w:rsid w:val="00DD385D"/>
    <w:rsid w:val="00DD3A79"/>
    <w:rsid w:val="00DD4E61"/>
    <w:rsid w:val="00DD62AA"/>
    <w:rsid w:val="00DD7648"/>
    <w:rsid w:val="00DE0450"/>
    <w:rsid w:val="00DE37CD"/>
    <w:rsid w:val="00DE4EFA"/>
    <w:rsid w:val="00DE5520"/>
    <w:rsid w:val="00DE5B43"/>
    <w:rsid w:val="00DE7CA0"/>
    <w:rsid w:val="00DF389A"/>
    <w:rsid w:val="00DF46B2"/>
    <w:rsid w:val="00E0130C"/>
    <w:rsid w:val="00E01A14"/>
    <w:rsid w:val="00E04818"/>
    <w:rsid w:val="00E06442"/>
    <w:rsid w:val="00E12412"/>
    <w:rsid w:val="00E16FF7"/>
    <w:rsid w:val="00E23993"/>
    <w:rsid w:val="00E24FA9"/>
    <w:rsid w:val="00E2546F"/>
    <w:rsid w:val="00E25B8C"/>
    <w:rsid w:val="00E34830"/>
    <w:rsid w:val="00E35713"/>
    <w:rsid w:val="00E4197A"/>
    <w:rsid w:val="00E43C6A"/>
    <w:rsid w:val="00E44210"/>
    <w:rsid w:val="00E4674F"/>
    <w:rsid w:val="00E50575"/>
    <w:rsid w:val="00E52325"/>
    <w:rsid w:val="00E530BF"/>
    <w:rsid w:val="00E532A8"/>
    <w:rsid w:val="00E5501C"/>
    <w:rsid w:val="00E551F9"/>
    <w:rsid w:val="00E55910"/>
    <w:rsid w:val="00E614CF"/>
    <w:rsid w:val="00E65C85"/>
    <w:rsid w:val="00E66199"/>
    <w:rsid w:val="00E67A5D"/>
    <w:rsid w:val="00E71DE6"/>
    <w:rsid w:val="00E755EC"/>
    <w:rsid w:val="00E7624D"/>
    <w:rsid w:val="00E773D4"/>
    <w:rsid w:val="00E7774B"/>
    <w:rsid w:val="00E80D20"/>
    <w:rsid w:val="00E92740"/>
    <w:rsid w:val="00E945C0"/>
    <w:rsid w:val="00E97960"/>
    <w:rsid w:val="00EA034D"/>
    <w:rsid w:val="00EA0388"/>
    <w:rsid w:val="00EA10B1"/>
    <w:rsid w:val="00EA2A0A"/>
    <w:rsid w:val="00EA3D42"/>
    <w:rsid w:val="00EA417D"/>
    <w:rsid w:val="00EA5E10"/>
    <w:rsid w:val="00EA6B1B"/>
    <w:rsid w:val="00EB1CD7"/>
    <w:rsid w:val="00EB2D19"/>
    <w:rsid w:val="00EB35A9"/>
    <w:rsid w:val="00EB4255"/>
    <w:rsid w:val="00EB59F6"/>
    <w:rsid w:val="00EC1068"/>
    <w:rsid w:val="00EC2671"/>
    <w:rsid w:val="00EC496F"/>
    <w:rsid w:val="00ED07E2"/>
    <w:rsid w:val="00ED3A3F"/>
    <w:rsid w:val="00ED7300"/>
    <w:rsid w:val="00EE28F3"/>
    <w:rsid w:val="00EE2CAF"/>
    <w:rsid w:val="00EE7DA4"/>
    <w:rsid w:val="00EF0061"/>
    <w:rsid w:val="00EF103D"/>
    <w:rsid w:val="00EF4A91"/>
    <w:rsid w:val="00EF5110"/>
    <w:rsid w:val="00F033B3"/>
    <w:rsid w:val="00F0521E"/>
    <w:rsid w:val="00F064D5"/>
    <w:rsid w:val="00F15882"/>
    <w:rsid w:val="00F15B98"/>
    <w:rsid w:val="00F1773B"/>
    <w:rsid w:val="00F20771"/>
    <w:rsid w:val="00F20BD3"/>
    <w:rsid w:val="00F2350D"/>
    <w:rsid w:val="00F2497B"/>
    <w:rsid w:val="00F24F0B"/>
    <w:rsid w:val="00F26E07"/>
    <w:rsid w:val="00F3693D"/>
    <w:rsid w:val="00F373A5"/>
    <w:rsid w:val="00F41835"/>
    <w:rsid w:val="00F433FC"/>
    <w:rsid w:val="00F47559"/>
    <w:rsid w:val="00F47A7B"/>
    <w:rsid w:val="00F57300"/>
    <w:rsid w:val="00F60BE4"/>
    <w:rsid w:val="00F60F2D"/>
    <w:rsid w:val="00F61B84"/>
    <w:rsid w:val="00F63587"/>
    <w:rsid w:val="00F64C7B"/>
    <w:rsid w:val="00F671BE"/>
    <w:rsid w:val="00F676DD"/>
    <w:rsid w:val="00F67D05"/>
    <w:rsid w:val="00F73F1C"/>
    <w:rsid w:val="00F740B0"/>
    <w:rsid w:val="00F75A26"/>
    <w:rsid w:val="00F82104"/>
    <w:rsid w:val="00F83A0E"/>
    <w:rsid w:val="00F83FAD"/>
    <w:rsid w:val="00F90E23"/>
    <w:rsid w:val="00F91DC6"/>
    <w:rsid w:val="00F93EDD"/>
    <w:rsid w:val="00F952A0"/>
    <w:rsid w:val="00F96375"/>
    <w:rsid w:val="00F96A85"/>
    <w:rsid w:val="00FA153B"/>
    <w:rsid w:val="00FA1C20"/>
    <w:rsid w:val="00FA3C7F"/>
    <w:rsid w:val="00FA6A33"/>
    <w:rsid w:val="00FA78AE"/>
    <w:rsid w:val="00FA7C51"/>
    <w:rsid w:val="00FB01E5"/>
    <w:rsid w:val="00FB1A65"/>
    <w:rsid w:val="00FB52D7"/>
    <w:rsid w:val="00FB6617"/>
    <w:rsid w:val="00FB74E2"/>
    <w:rsid w:val="00FD273B"/>
    <w:rsid w:val="00FD2B03"/>
    <w:rsid w:val="00FD5614"/>
    <w:rsid w:val="00FD7474"/>
    <w:rsid w:val="00FE0BE1"/>
    <w:rsid w:val="00FE1164"/>
    <w:rsid w:val="00FE1DE9"/>
    <w:rsid w:val="00FE39C2"/>
    <w:rsid w:val="00FE4D7B"/>
    <w:rsid w:val="00FE5E61"/>
    <w:rsid w:val="00FE6417"/>
    <w:rsid w:val="00FE64AE"/>
    <w:rsid w:val="00FF3796"/>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6"/>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2"/>
      </w:numPr>
      <w:tabs>
        <w:tab w:val="left" w:pos="680"/>
      </w:tabs>
      <w:spacing w:before="120"/>
    </w:pPr>
    <w:rPr>
      <w:sz w:val="22"/>
      <w:szCs w:val="22"/>
      <w:lang w:eastAsia="en-US"/>
    </w:rPr>
  </w:style>
  <w:style w:type="paragraph" w:customStyle="1" w:styleId="Listalphabet3">
    <w:name w:val="List alphabet 3"/>
    <w:rsid w:val="00CF799E"/>
    <w:pPr>
      <w:numPr>
        <w:numId w:val="18"/>
      </w:numPr>
      <w:tabs>
        <w:tab w:val="left" w:pos="1021"/>
      </w:tabs>
      <w:spacing w:before="120"/>
    </w:pPr>
    <w:rPr>
      <w:sz w:val="22"/>
      <w:szCs w:val="22"/>
      <w:lang w:eastAsia="en-US"/>
    </w:rPr>
  </w:style>
  <w:style w:type="paragraph" w:customStyle="1" w:styleId="Listalphabet4">
    <w:name w:val="List alphabet 4"/>
    <w:rsid w:val="00CF799E"/>
    <w:pPr>
      <w:numPr>
        <w:numId w:val="19"/>
      </w:numPr>
      <w:tabs>
        <w:tab w:val="left" w:pos="1361"/>
      </w:tabs>
      <w:spacing w:before="120"/>
    </w:pPr>
    <w:rPr>
      <w:sz w:val="22"/>
      <w:szCs w:val="22"/>
      <w:lang w:eastAsia="en-US"/>
    </w:rPr>
  </w:style>
  <w:style w:type="paragraph" w:customStyle="1" w:styleId="Listalphabet5">
    <w:name w:val="List alphabet 5"/>
    <w:rsid w:val="00CF799E"/>
    <w:pPr>
      <w:numPr>
        <w:numId w:val="20"/>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778677231">
      <w:bodyDiv w:val="1"/>
      <w:marLeft w:val="0"/>
      <w:marRight w:val="0"/>
      <w:marTop w:val="0"/>
      <w:marBottom w:val="0"/>
      <w:divBdr>
        <w:top w:val="none" w:sz="0" w:space="0" w:color="auto"/>
        <w:left w:val="none" w:sz="0" w:space="0" w:color="auto"/>
        <w:bottom w:val="none" w:sz="0" w:space="0" w:color="auto"/>
        <w:right w:val="none" w:sz="0" w:space="0" w:color="auto"/>
      </w:divBdr>
      <w:divsChild>
        <w:div w:id="1858350840">
          <w:marLeft w:val="0"/>
          <w:marRight w:val="0"/>
          <w:marTop w:val="0"/>
          <w:marBottom w:val="0"/>
          <w:divBdr>
            <w:top w:val="none" w:sz="0" w:space="0" w:color="auto"/>
            <w:left w:val="none" w:sz="0" w:space="0" w:color="auto"/>
            <w:bottom w:val="none" w:sz="0" w:space="0" w:color="auto"/>
            <w:right w:val="none" w:sz="0" w:space="0" w:color="auto"/>
          </w:divBdr>
          <w:divsChild>
            <w:div w:id="1365062015">
              <w:marLeft w:val="-225"/>
              <w:marRight w:val="-225"/>
              <w:marTop w:val="0"/>
              <w:marBottom w:val="0"/>
              <w:divBdr>
                <w:top w:val="none" w:sz="0" w:space="0" w:color="auto"/>
                <w:left w:val="none" w:sz="0" w:space="0" w:color="auto"/>
                <w:bottom w:val="none" w:sz="0" w:space="0" w:color="auto"/>
                <w:right w:val="none" w:sz="0" w:space="0" w:color="auto"/>
              </w:divBdr>
              <w:divsChild>
                <w:div w:id="230507754">
                  <w:marLeft w:val="0"/>
                  <w:marRight w:val="0"/>
                  <w:marTop w:val="0"/>
                  <w:marBottom w:val="0"/>
                  <w:divBdr>
                    <w:top w:val="none" w:sz="0" w:space="0" w:color="auto"/>
                    <w:left w:val="none" w:sz="0" w:space="0" w:color="auto"/>
                    <w:bottom w:val="none" w:sz="0" w:space="0" w:color="auto"/>
                    <w:right w:val="none" w:sz="0" w:space="0" w:color="auto"/>
                  </w:divBdr>
                  <w:divsChild>
                    <w:div w:id="620453538">
                      <w:marLeft w:val="0"/>
                      <w:marRight w:val="0"/>
                      <w:marTop w:val="0"/>
                      <w:marBottom w:val="0"/>
                      <w:divBdr>
                        <w:top w:val="none" w:sz="0" w:space="0" w:color="auto"/>
                        <w:left w:val="none" w:sz="0" w:space="0" w:color="auto"/>
                        <w:bottom w:val="none" w:sz="0" w:space="0" w:color="auto"/>
                        <w:right w:val="none" w:sz="0" w:space="0" w:color="auto"/>
                      </w:divBdr>
                      <w:divsChild>
                        <w:div w:id="929241701">
                          <w:marLeft w:val="0"/>
                          <w:marRight w:val="0"/>
                          <w:marTop w:val="0"/>
                          <w:marBottom w:val="0"/>
                          <w:divBdr>
                            <w:top w:val="none" w:sz="0" w:space="0" w:color="auto"/>
                            <w:left w:val="none" w:sz="0" w:space="0" w:color="auto"/>
                            <w:bottom w:val="none" w:sz="0" w:space="0" w:color="auto"/>
                            <w:right w:val="none" w:sz="0" w:space="0" w:color="auto"/>
                          </w:divBdr>
                          <w:divsChild>
                            <w:div w:id="1201556680">
                              <w:marLeft w:val="0"/>
                              <w:marRight w:val="0"/>
                              <w:marTop w:val="0"/>
                              <w:marBottom w:val="0"/>
                              <w:divBdr>
                                <w:top w:val="none" w:sz="0" w:space="0" w:color="auto"/>
                                <w:left w:val="none" w:sz="0" w:space="0" w:color="auto"/>
                                <w:bottom w:val="none" w:sz="0" w:space="0" w:color="auto"/>
                                <w:right w:val="none" w:sz="0" w:space="0" w:color="auto"/>
                              </w:divBdr>
                              <w:divsChild>
                                <w:div w:id="1677733850">
                                  <w:marLeft w:val="0"/>
                                  <w:marRight w:val="0"/>
                                  <w:marTop w:val="0"/>
                                  <w:marBottom w:val="0"/>
                                  <w:divBdr>
                                    <w:top w:val="none" w:sz="0" w:space="0" w:color="auto"/>
                                    <w:left w:val="none" w:sz="0" w:space="0" w:color="auto"/>
                                    <w:bottom w:val="none" w:sz="0" w:space="0" w:color="auto"/>
                                    <w:right w:val="none" w:sz="0" w:space="0" w:color="auto"/>
                                  </w:divBdr>
                                  <w:divsChild>
                                    <w:div w:id="13123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accc.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hyperlink" Target="http://www.comlaw.gov.au/Details/F2009L01476" TargetMode="External"/><Relationship Id="rId2" Type="http://schemas.openxmlformats.org/officeDocument/2006/relationships/customXml" Target="../customXml/item2.xml"/><Relationship Id="rId16" Type="http://schemas.openxmlformats.org/officeDocument/2006/relationships/hyperlink" Target="mailto:productsafety.regulation@acc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business.gov.au/"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ductsafety.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oductsafety.gov.au/content/index.phtml/itemId/101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73B00-89F9-4859-9F9D-5B6EE0B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704524F5</Template>
  <TotalTime>1</TotalTime>
  <Pages>11</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16237</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Abhinav Suresh</cp:lastModifiedBy>
  <cp:revision>3</cp:revision>
  <cp:lastPrinted>2016-10-11T04:53:00Z</cp:lastPrinted>
  <dcterms:created xsi:type="dcterms:W3CDTF">2016-10-11T04:52:00Z</dcterms:created>
  <dcterms:modified xsi:type="dcterms:W3CDTF">2016-10-11T04:53:00Z</dcterms:modified>
</cp:coreProperties>
</file>